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76D9A" w14:textId="77777777" w:rsidR="00DD0C05" w:rsidRPr="000A1D51" w:rsidRDefault="00740379" w:rsidP="00DD0C05">
      <w:pPr>
        <w:pStyle w:val="BodyText"/>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t xml:space="preserve"> </w:t>
      </w:r>
      <w:r w:rsidR="00963E7A" w:rsidRPr="000A1D51">
        <w:rPr>
          <w:rFonts w:asciiTheme="minorHAnsi" w:hAnsiTheme="minorHAnsi" w:cstheme="minorHAnsi"/>
          <w:b/>
          <w:sz w:val="28"/>
          <w:szCs w:val="28"/>
        </w:rPr>
        <w:t>ASEAN Australia Development Cooperation Program II (AADCP II)</w:t>
      </w:r>
      <w:r w:rsidR="00DD0C05" w:rsidRPr="000A1D51">
        <w:rPr>
          <w:rFonts w:asciiTheme="minorHAnsi" w:hAnsiTheme="minorHAnsi" w:cstheme="minorHAnsi"/>
          <w:b/>
          <w:sz w:val="28"/>
          <w:szCs w:val="28"/>
        </w:rPr>
        <w:t xml:space="preserve"> Independent </w:t>
      </w:r>
      <w:r w:rsidR="003F6535" w:rsidRPr="000A1D51">
        <w:rPr>
          <w:rFonts w:asciiTheme="minorHAnsi" w:hAnsiTheme="minorHAnsi" w:cstheme="minorHAnsi"/>
          <w:b/>
          <w:sz w:val="28"/>
          <w:szCs w:val="28"/>
        </w:rPr>
        <w:t>Review</w:t>
      </w:r>
      <w:r w:rsidR="00DD0C05" w:rsidRPr="000A1D51">
        <w:rPr>
          <w:rFonts w:asciiTheme="minorHAnsi" w:hAnsiTheme="minorHAnsi" w:cstheme="minorHAnsi"/>
          <w:b/>
          <w:sz w:val="28"/>
          <w:szCs w:val="28"/>
        </w:rPr>
        <w:t xml:space="preserve"> Report (IR</w:t>
      </w:r>
      <w:r w:rsidR="009F5114" w:rsidRPr="000A1D51">
        <w:rPr>
          <w:rFonts w:asciiTheme="minorHAnsi" w:hAnsiTheme="minorHAnsi" w:cstheme="minorHAnsi"/>
          <w:b/>
          <w:sz w:val="28"/>
          <w:szCs w:val="28"/>
        </w:rPr>
        <w:t>R</w:t>
      </w:r>
      <w:r w:rsidR="00DD0C05" w:rsidRPr="000A1D51">
        <w:rPr>
          <w:rFonts w:asciiTheme="minorHAnsi" w:hAnsiTheme="minorHAnsi" w:cstheme="minorHAnsi"/>
          <w:b/>
          <w:sz w:val="28"/>
          <w:szCs w:val="28"/>
        </w:rPr>
        <w:t>)</w:t>
      </w:r>
    </w:p>
    <w:p w14:paraId="5914A2A8" w14:textId="77777777" w:rsidR="00DD0C05" w:rsidRPr="000A1D51" w:rsidRDefault="00DD0C05" w:rsidP="00DD0C05">
      <w:pPr>
        <w:rPr>
          <w:rFonts w:asciiTheme="minorHAnsi" w:hAnsiTheme="minorHAnsi" w:cstheme="minorHAnsi"/>
        </w:rPr>
      </w:pPr>
    </w:p>
    <w:p w14:paraId="07B0EEA9" w14:textId="77777777" w:rsidR="00DD0C05" w:rsidRPr="000A1D51" w:rsidRDefault="00DD0C05" w:rsidP="00DD0C05">
      <w:pPr>
        <w:rPr>
          <w:rFonts w:asciiTheme="minorHAnsi" w:hAnsiTheme="minorHAnsi" w:cstheme="minorHAnsi"/>
        </w:rPr>
      </w:pPr>
    </w:p>
    <w:p w14:paraId="29C084E4" w14:textId="78012CB4" w:rsidR="00DD0C05" w:rsidRPr="000A1D51" w:rsidRDefault="00DD0C05" w:rsidP="00DD0C05">
      <w:pPr>
        <w:pStyle w:val="Subtitle"/>
        <w:jc w:val="center"/>
        <w:rPr>
          <w:rFonts w:asciiTheme="minorHAnsi" w:hAnsiTheme="minorHAnsi" w:cstheme="minorHAnsi"/>
          <w:i/>
          <w:color w:val="000000" w:themeColor="text1"/>
          <w:sz w:val="40"/>
          <w:szCs w:val="40"/>
        </w:rPr>
      </w:pPr>
      <w:r w:rsidRPr="000A1D51">
        <w:rPr>
          <w:rFonts w:asciiTheme="minorHAnsi" w:hAnsiTheme="minorHAnsi" w:cstheme="minorHAnsi"/>
          <w:i/>
          <w:color w:val="000000" w:themeColor="text1"/>
          <w:sz w:val="40"/>
          <w:szCs w:val="40"/>
        </w:rPr>
        <w:t xml:space="preserve">INDEPENDENT </w:t>
      </w:r>
      <w:r w:rsidR="003F6535" w:rsidRPr="000A1D51">
        <w:rPr>
          <w:rFonts w:asciiTheme="minorHAnsi" w:hAnsiTheme="minorHAnsi" w:cstheme="minorHAnsi"/>
          <w:i/>
          <w:color w:val="000000" w:themeColor="text1"/>
          <w:sz w:val="40"/>
          <w:szCs w:val="40"/>
        </w:rPr>
        <w:t>REVIEW</w:t>
      </w:r>
      <w:r w:rsidRPr="000A1D51">
        <w:rPr>
          <w:rFonts w:asciiTheme="minorHAnsi" w:hAnsiTheme="minorHAnsi" w:cstheme="minorHAnsi"/>
          <w:i/>
          <w:color w:val="000000" w:themeColor="text1"/>
          <w:sz w:val="40"/>
          <w:szCs w:val="40"/>
        </w:rPr>
        <w:t xml:space="preserve"> REPORT</w:t>
      </w:r>
    </w:p>
    <w:p w14:paraId="59B6DAD8" w14:textId="77777777" w:rsidR="00DD0C05" w:rsidRPr="000A1D51" w:rsidRDefault="00DD0C05" w:rsidP="00DD0C05">
      <w:pPr>
        <w:ind w:left="360"/>
        <w:jc w:val="center"/>
        <w:rPr>
          <w:rFonts w:asciiTheme="minorHAnsi" w:hAnsiTheme="minorHAnsi" w:cstheme="minorHAnsi"/>
          <w:b/>
          <w:sz w:val="32"/>
          <w:szCs w:val="32"/>
        </w:rPr>
      </w:pPr>
    </w:p>
    <w:p w14:paraId="56F67D43" w14:textId="77777777" w:rsidR="00DD0C05" w:rsidRPr="000A1D51" w:rsidRDefault="00DD0C05" w:rsidP="00DD0C05">
      <w:pPr>
        <w:ind w:left="360"/>
        <w:jc w:val="center"/>
        <w:rPr>
          <w:rFonts w:asciiTheme="minorHAnsi" w:hAnsiTheme="minorHAnsi" w:cstheme="minorHAnsi"/>
          <w:b/>
          <w:sz w:val="32"/>
          <w:szCs w:val="32"/>
        </w:rPr>
      </w:pPr>
    </w:p>
    <w:p w14:paraId="493069A7" w14:textId="77777777" w:rsidR="00DD0C05" w:rsidRPr="000A1D51" w:rsidRDefault="00DD0C05" w:rsidP="00DD0C05">
      <w:pPr>
        <w:ind w:left="360"/>
        <w:jc w:val="center"/>
        <w:rPr>
          <w:rFonts w:asciiTheme="minorHAnsi" w:hAnsiTheme="minorHAnsi" w:cstheme="minorHAnsi"/>
          <w:b/>
          <w:sz w:val="32"/>
          <w:szCs w:val="32"/>
        </w:rPr>
      </w:pPr>
    </w:p>
    <w:p w14:paraId="6151FE3D" w14:textId="77777777" w:rsidR="00DD0C05" w:rsidRPr="000A1D51" w:rsidRDefault="00DD0C05" w:rsidP="00DD0C05">
      <w:pPr>
        <w:ind w:left="360"/>
        <w:jc w:val="center"/>
        <w:rPr>
          <w:rFonts w:asciiTheme="minorHAnsi" w:hAnsiTheme="minorHAnsi" w:cstheme="minorHAnsi"/>
          <w:b/>
          <w:sz w:val="32"/>
          <w:szCs w:val="32"/>
        </w:rPr>
      </w:pPr>
    </w:p>
    <w:p w14:paraId="21934A72" w14:textId="77777777" w:rsidR="00DD0C05" w:rsidRPr="000A1D51" w:rsidRDefault="00DD0C05" w:rsidP="00DD0C05">
      <w:pPr>
        <w:ind w:left="360"/>
        <w:jc w:val="center"/>
        <w:rPr>
          <w:rFonts w:asciiTheme="minorHAnsi" w:hAnsiTheme="minorHAnsi" w:cstheme="minorHAnsi"/>
          <w:b/>
          <w:sz w:val="32"/>
          <w:szCs w:val="32"/>
        </w:rPr>
      </w:pPr>
    </w:p>
    <w:p w14:paraId="2A9BBA8D" w14:textId="77777777" w:rsidR="00DD0C05" w:rsidRPr="000A1D51" w:rsidRDefault="00DD0C05" w:rsidP="00DD0C05">
      <w:pPr>
        <w:ind w:left="360"/>
        <w:jc w:val="center"/>
        <w:rPr>
          <w:rFonts w:asciiTheme="minorHAnsi" w:hAnsiTheme="minorHAnsi" w:cstheme="minorHAnsi"/>
          <w:b/>
          <w:sz w:val="32"/>
          <w:szCs w:val="32"/>
        </w:rPr>
      </w:pPr>
    </w:p>
    <w:p w14:paraId="33508379" w14:textId="77777777" w:rsidR="00DD0C05" w:rsidRPr="000A1D51" w:rsidRDefault="00DD0C05" w:rsidP="00DD0C05">
      <w:pPr>
        <w:ind w:left="360"/>
        <w:jc w:val="center"/>
        <w:rPr>
          <w:rFonts w:asciiTheme="minorHAnsi" w:hAnsiTheme="minorHAnsi" w:cstheme="minorHAnsi"/>
          <w:b/>
          <w:sz w:val="28"/>
          <w:szCs w:val="28"/>
        </w:rPr>
      </w:pPr>
    </w:p>
    <w:p w14:paraId="32D0810A" w14:textId="77777777" w:rsidR="00DD0C05" w:rsidRPr="000A1D51" w:rsidRDefault="00DD0C05" w:rsidP="00DD0C05">
      <w:pPr>
        <w:jc w:val="center"/>
        <w:rPr>
          <w:rFonts w:asciiTheme="minorHAnsi" w:hAnsiTheme="minorHAnsi" w:cstheme="minorHAnsi"/>
          <w:b/>
          <w:sz w:val="22"/>
          <w:szCs w:val="22"/>
        </w:rPr>
      </w:pPr>
      <w:r w:rsidRPr="000A1D51">
        <w:rPr>
          <w:rFonts w:asciiTheme="minorHAnsi" w:hAnsiTheme="minorHAnsi" w:cstheme="minorHAnsi"/>
          <w:b/>
          <w:sz w:val="22"/>
          <w:szCs w:val="22"/>
        </w:rPr>
        <w:t>Raymond Mallon, Team Leader/Economist</w:t>
      </w:r>
    </w:p>
    <w:p w14:paraId="03F32C6F" w14:textId="77777777" w:rsidR="00CE7070" w:rsidRPr="000A1D51" w:rsidRDefault="008B7CB0" w:rsidP="00DD0C05">
      <w:pPr>
        <w:jc w:val="center"/>
        <w:rPr>
          <w:rFonts w:asciiTheme="minorHAnsi" w:hAnsiTheme="minorHAnsi" w:cstheme="minorHAnsi"/>
          <w:b/>
          <w:sz w:val="22"/>
          <w:szCs w:val="22"/>
        </w:rPr>
      </w:pPr>
      <w:hyperlink r:id="rId8" w:history="1">
        <w:r w:rsidR="00F6001C" w:rsidRPr="000A1D51">
          <w:rPr>
            <w:rStyle w:val="Hyperlink"/>
            <w:rFonts w:asciiTheme="minorHAnsi" w:hAnsiTheme="minorHAnsi" w:cstheme="minorHAnsi"/>
            <w:b/>
            <w:sz w:val="22"/>
            <w:szCs w:val="22"/>
          </w:rPr>
          <w:t>raymallon@gmail.com</w:t>
        </w:r>
      </w:hyperlink>
    </w:p>
    <w:p w14:paraId="22FC62F6" w14:textId="77777777" w:rsidR="00F6001C" w:rsidRPr="000A1D51" w:rsidRDefault="00F6001C" w:rsidP="00DD0C05">
      <w:pPr>
        <w:jc w:val="center"/>
        <w:rPr>
          <w:rFonts w:asciiTheme="minorHAnsi" w:hAnsiTheme="minorHAnsi" w:cstheme="minorHAnsi"/>
          <w:b/>
          <w:sz w:val="22"/>
          <w:szCs w:val="22"/>
        </w:rPr>
      </w:pPr>
    </w:p>
    <w:p w14:paraId="476D3987" w14:textId="77777777" w:rsidR="00F6001C" w:rsidRPr="000A1D51" w:rsidRDefault="00F6001C" w:rsidP="00DD0C05">
      <w:pPr>
        <w:jc w:val="center"/>
        <w:rPr>
          <w:rFonts w:asciiTheme="minorHAnsi" w:hAnsiTheme="minorHAnsi" w:cstheme="minorHAnsi"/>
          <w:b/>
          <w:sz w:val="22"/>
          <w:szCs w:val="22"/>
        </w:rPr>
      </w:pPr>
      <w:r w:rsidRPr="000A1D51">
        <w:rPr>
          <w:rFonts w:asciiTheme="minorHAnsi" w:hAnsiTheme="minorHAnsi" w:cstheme="minorHAnsi"/>
          <w:b/>
          <w:sz w:val="22"/>
          <w:szCs w:val="22"/>
        </w:rPr>
        <w:t>and</w:t>
      </w:r>
    </w:p>
    <w:p w14:paraId="4444D8CB" w14:textId="77777777" w:rsidR="00F6001C" w:rsidRPr="000A1D51" w:rsidRDefault="00F6001C" w:rsidP="00DD0C05">
      <w:pPr>
        <w:jc w:val="center"/>
        <w:rPr>
          <w:rFonts w:asciiTheme="minorHAnsi" w:hAnsiTheme="minorHAnsi" w:cstheme="minorHAnsi"/>
          <w:b/>
          <w:sz w:val="22"/>
          <w:szCs w:val="22"/>
        </w:rPr>
      </w:pPr>
    </w:p>
    <w:p w14:paraId="203DBB0A" w14:textId="77777777" w:rsidR="00F6001C" w:rsidRPr="000A1D51" w:rsidRDefault="00F6001C" w:rsidP="00DD0C05">
      <w:pPr>
        <w:jc w:val="center"/>
        <w:rPr>
          <w:rFonts w:asciiTheme="minorHAnsi" w:hAnsiTheme="minorHAnsi" w:cstheme="minorHAnsi"/>
          <w:b/>
          <w:sz w:val="22"/>
          <w:szCs w:val="22"/>
        </w:rPr>
      </w:pPr>
      <w:r w:rsidRPr="000A1D51">
        <w:rPr>
          <w:rFonts w:asciiTheme="minorHAnsi" w:hAnsiTheme="minorHAnsi" w:cstheme="minorHAnsi"/>
          <w:b/>
          <w:sz w:val="22"/>
          <w:szCs w:val="22"/>
        </w:rPr>
        <w:t>Samiha Barkat, Principal Consultant, Clear Horizon</w:t>
      </w:r>
    </w:p>
    <w:p w14:paraId="7B3D398F" w14:textId="77777777" w:rsidR="00365399" w:rsidRPr="000A1D51" w:rsidRDefault="008B7CB0" w:rsidP="00DD0C05">
      <w:pPr>
        <w:jc w:val="center"/>
        <w:rPr>
          <w:rFonts w:asciiTheme="minorHAnsi" w:hAnsiTheme="minorHAnsi" w:cstheme="minorHAnsi"/>
          <w:b/>
          <w:sz w:val="22"/>
          <w:szCs w:val="22"/>
        </w:rPr>
      </w:pPr>
      <w:hyperlink r:id="rId9" w:history="1">
        <w:r w:rsidR="00365399" w:rsidRPr="000A1D51">
          <w:rPr>
            <w:rStyle w:val="Hyperlink"/>
            <w:rFonts w:asciiTheme="minorHAnsi" w:hAnsiTheme="minorHAnsi" w:cstheme="minorHAnsi"/>
            <w:b/>
            <w:sz w:val="22"/>
            <w:szCs w:val="22"/>
          </w:rPr>
          <w:t>samiha@clearhorizon.com.au</w:t>
        </w:r>
      </w:hyperlink>
      <w:r w:rsidR="00365399" w:rsidRPr="000A1D51">
        <w:rPr>
          <w:rFonts w:asciiTheme="minorHAnsi" w:hAnsiTheme="minorHAnsi" w:cstheme="minorHAnsi"/>
          <w:b/>
          <w:sz w:val="22"/>
          <w:szCs w:val="22"/>
        </w:rPr>
        <w:t xml:space="preserve"> </w:t>
      </w:r>
    </w:p>
    <w:p w14:paraId="76D6155D" w14:textId="77777777" w:rsidR="00DD0C05" w:rsidRPr="000A1D51" w:rsidRDefault="00DD0C05" w:rsidP="000341E7">
      <w:pPr>
        <w:jc w:val="center"/>
        <w:rPr>
          <w:rFonts w:asciiTheme="minorHAnsi" w:hAnsiTheme="minorHAnsi" w:cstheme="minorHAnsi"/>
          <w:b/>
          <w:sz w:val="22"/>
          <w:szCs w:val="22"/>
        </w:rPr>
      </w:pPr>
      <w:r w:rsidRPr="000A1D51">
        <w:rPr>
          <w:rFonts w:asciiTheme="minorHAnsi" w:hAnsiTheme="minorHAnsi" w:cstheme="minorHAnsi"/>
          <w:b/>
          <w:sz w:val="22"/>
          <w:szCs w:val="22"/>
        </w:rPr>
        <w:t xml:space="preserve"> </w:t>
      </w:r>
    </w:p>
    <w:p w14:paraId="0DFE78B7" w14:textId="77777777" w:rsidR="00DD0C05" w:rsidRPr="000A1D51" w:rsidRDefault="00DD0C05" w:rsidP="00DD0C05">
      <w:pPr>
        <w:pStyle w:val="BodyText"/>
        <w:jc w:val="center"/>
        <w:rPr>
          <w:rFonts w:asciiTheme="minorHAnsi" w:hAnsiTheme="minorHAnsi" w:cstheme="minorHAnsi"/>
          <w:i/>
        </w:rPr>
      </w:pPr>
      <w:r w:rsidRPr="000A1D51">
        <w:rPr>
          <w:rFonts w:asciiTheme="minorHAnsi" w:hAnsiTheme="minorHAnsi" w:cstheme="minorHAnsi"/>
          <w:i/>
        </w:rPr>
        <w:t xml:space="preserve">(The views in this report reflect the findings of the independent evaluation team. They do not necessarily reflect the views of the various </w:t>
      </w:r>
      <w:r w:rsidR="005018AD" w:rsidRPr="000A1D51">
        <w:rPr>
          <w:rFonts w:asciiTheme="minorHAnsi" w:hAnsiTheme="minorHAnsi" w:cstheme="minorHAnsi"/>
          <w:i/>
        </w:rPr>
        <w:t>AADCP</w:t>
      </w:r>
      <w:r w:rsidR="00F6001C" w:rsidRPr="000A1D51">
        <w:rPr>
          <w:rFonts w:asciiTheme="minorHAnsi" w:hAnsiTheme="minorHAnsi" w:cstheme="minorHAnsi"/>
          <w:i/>
        </w:rPr>
        <w:t xml:space="preserve"> II</w:t>
      </w:r>
      <w:r w:rsidR="005018AD" w:rsidRPr="000A1D51">
        <w:rPr>
          <w:rFonts w:asciiTheme="minorHAnsi" w:hAnsiTheme="minorHAnsi" w:cstheme="minorHAnsi"/>
          <w:i/>
        </w:rPr>
        <w:t xml:space="preserve"> </w:t>
      </w:r>
      <w:r w:rsidRPr="000A1D51">
        <w:rPr>
          <w:rFonts w:asciiTheme="minorHAnsi" w:hAnsiTheme="minorHAnsi" w:cstheme="minorHAnsi"/>
          <w:i/>
        </w:rPr>
        <w:t>stakeholders</w:t>
      </w:r>
      <w:r w:rsidR="000341E7" w:rsidRPr="000A1D51">
        <w:rPr>
          <w:rFonts w:asciiTheme="minorHAnsi" w:hAnsiTheme="minorHAnsi" w:cstheme="minorHAnsi"/>
          <w:i/>
        </w:rPr>
        <w:t xml:space="preserve"> or DFAT</w:t>
      </w:r>
      <w:r w:rsidRPr="000A1D51">
        <w:rPr>
          <w:rFonts w:asciiTheme="minorHAnsi" w:hAnsiTheme="minorHAnsi" w:cstheme="minorHAnsi"/>
          <w:i/>
        </w:rPr>
        <w:t>.)</w:t>
      </w:r>
    </w:p>
    <w:p w14:paraId="7669B58E" w14:textId="77777777" w:rsidR="00DD0C05" w:rsidRPr="000A1D51" w:rsidRDefault="00DD0C05" w:rsidP="00DD0C05">
      <w:pPr>
        <w:ind w:left="360"/>
        <w:jc w:val="center"/>
        <w:rPr>
          <w:rFonts w:asciiTheme="minorHAnsi" w:hAnsiTheme="minorHAnsi" w:cstheme="minorHAnsi"/>
          <w:b/>
          <w:sz w:val="28"/>
          <w:szCs w:val="28"/>
        </w:rPr>
      </w:pPr>
    </w:p>
    <w:p w14:paraId="506707D0" w14:textId="77777777" w:rsidR="00DD0C05" w:rsidRPr="000A1D51" w:rsidRDefault="00DD0C05" w:rsidP="00DD0C05">
      <w:pPr>
        <w:ind w:left="360"/>
        <w:jc w:val="center"/>
        <w:rPr>
          <w:rFonts w:asciiTheme="minorHAnsi" w:hAnsiTheme="minorHAnsi" w:cstheme="minorHAnsi"/>
          <w:b/>
          <w:sz w:val="28"/>
          <w:szCs w:val="28"/>
        </w:rPr>
      </w:pPr>
    </w:p>
    <w:p w14:paraId="1BA3A0E3" w14:textId="77777777" w:rsidR="00365399" w:rsidRPr="000A1D51" w:rsidRDefault="00365399" w:rsidP="00DD0C05">
      <w:pPr>
        <w:ind w:left="360"/>
        <w:jc w:val="center"/>
        <w:rPr>
          <w:rFonts w:asciiTheme="minorHAnsi" w:hAnsiTheme="minorHAnsi" w:cstheme="minorHAnsi"/>
          <w:b/>
          <w:sz w:val="28"/>
          <w:szCs w:val="28"/>
        </w:rPr>
      </w:pPr>
    </w:p>
    <w:p w14:paraId="6F5FF4A3" w14:textId="77777777" w:rsidR="00DD0C05" w:rsidRPr="000A1D51" w:rsidRDefault="00DD0C05" w:rsidP="00DD0C05">
      <w:pPr>
        <w:ind w:left="360"/>
        <w:jc w:val="center"/>
        <w:rPr>
          <w:rFonts w:asciiTheme="minorHAnsi" w:hAnsiTheme="minorHAnsi" w:cstheme="minorHAnsi"/>
          <w:b/>
          <w:sz w:val="28"/>
          <w:szCs w:val="28"/>
        </w:rPr>
      </w:pPr>
    </w:p>
    <w:p w14:paraId="4F38F8B1" w14:textId="77777777" w:rsidR="000341E7" w:rsidRPr="000A1D51" w:rsidRDefault="000341E7" w:rsidP="00DD0C05">
      <w:pPr>
        <w:ind w:left="360"/>
        <w:jc w:val="center"/>
        <w:rPr>
          <w:rFonts w:asciiTheme="minorHAnsi" w:hAnsiTheme="minorHAnsi" w:cstheme="minorHAnsi"/>
          <w:b/>
          <w:sz w:val="28"/>
          <w:szCs w:val="28"/>
        </w:rPr>
      </w:pPr>
    </w:p>
    <w:p w14:paraId="57A9724B" w14:textId="77777777" w:rsidR="00DD0C05" w:rsidRPr="000A1D51" w:rsidRDefault="00DD0C05" w:rsidP="00DD0C05">
      <w:pPr>
        <w:ind w:left="360"/>
        <w:jc w:val="center"/>
        <w:rPr>
          <w:rFonts w:asciiTheme="minorHAnsi" w:hAnsiTheme="minorHAnsi" w:cstheme="minorHAnsi"/>
          <w:b/>
          <w:sz w:val="28"/>
          <w:szCs w:val="28"/>
        </w:rPr>
      </w:pPr>
    </w:p>
    <w:p w14:paraId="1A9298D7" w14:textId="77777777" w:rsidR="00DD0C05" w:rsidRPr="000A1D51" w:rsidRDefault="00DD0C05" w:rsidP="00DD0C05">
      <w:pPr>
        <w:ind w:left="360"/>
        <w:jc w:val="center"/>
        <w:rPr>
          <w:rFonts w:asciiTheme="minorHAnsi" w:hAnsiTheme="minorHAnsi" w:cstheme="minorHAnsi"/>
          <w:b/>
          <w:sz w:val="28"/>
          <w:szCs w:val="28"/>
        </w:rPr>
      </w:pPr>
    </w:p>
    <w:p w14:paraId="04FE31AC" w14:textId="77777777" w:rsidR="000341E7" w:rsidRPr="000A1D51" w:rsidRDefault="000341E7" w:rsidP="00DD0C05">
      <w:pPr>
        <w:ind w:left="360"/>
        <w:jc w:val="center"/>
        <w:rPr>
          <w:rFonts w:asciiTheme="minorHAnsi" w:hAnsiTheme="minorHAnsi" w:cstheme="minorHAnsi"/>
          <w:b/>
          <w:sz w:val="28"/>
          <w:szCs w:val="28"/>
        </w:rPr>
      </w:pPr>
    </w:p>
    <w:p w14:paraId="26C4447D" w14:textId="77777777" w:rsidR="000341E7" w:rsidRPr="000A1D51" w:rsidRDefault="000341E7" w:rsidP="00DD0C05">
      <w:pPr>
        <w:ind w:left="360"/>
        <w:jc w:val="center"/>
        <w:rPr>
          <w:rFonts w:asciiTheme="minorHAnsi" w:hAnsiTheme="minorHAnsi" w:cstheme="minorHAnsi"/>
          <w:b/>
          <w:sz w:val="28"/>
          <w:szCs w:val="28"/>
        </w:rPr>
      </w:pPr>
    </w:p>
    <w:p w14:paraId="5284414E" w14:textId="07B9B4A9" w:rsidR="00DD0C05" w:rsidRPr="000A1D51" w:rsidRDefault="000E5BE2" w:rsidP="00DD0C05">
      <w:pPr>
        <w:pStyle w:val="Date"/>
        <w:jc w:val="center"/>
        <w:rPr>
          <w:rFonts w:asciiTheme="minorHAnsi" w:hAnsiTheme="minorHAnsi" w:cstheme="minorHAnsi"/>
        </w:rPr>
      </w:pPr>
      <w:r w:rsidRPr="000A1D51">
        <w:rPr>
          <w:rFonts w:asciiTheme="minorHAnsi" w:hAnsiTheme="minorHAnsi" w:cstheme="minorHAnsi"/>
        </w:rPr>
        <w:t>5 February</w:t>
      </w:r>
      <w:r w:rsidR="001A01FA" w:rsidRPr="000A1D51">
        <w:rPr>
          <w:rFonts w:asciiTheme="minorHAnsi" w:hAnsiTheme="minorHAnsi" w:cstheme="minorHAnsi"/>
        </w:rPr>
        <w:t xml:space="preserve"> </w:t>
      </w:r>
      <w:r w:rsidR="00E63769">
        <w:rPr>
          <w:rFonts w:asciiTheme="minorHAnsi" w:hAnsiTheme="minorHAnsi" w:cstheme="minorHAnsi"/>
        </w:rPr>
        <w:t>2020</w:t>
      </w:r>
    </w:p>
    <w:p w14:paraId="3106AD33" w14:textId="77777777" w:rsidR="006C330F" w:rsidRPr="000A1D51" w:rsidRDefault="006C330F" w:rsidP="006C330F"/>
    <w:p w14:paraId="36CA3BA2" w14:textId="77777777" w:rsidR="00462A45" w:rsidRPr="000A1D51" w:rsidRDefault="00972094" w:rsidP="00972094">
      <w:pPr>
        <w:pStyle w:val="TOC1"/>
        <w:tabs>
          <w:tab w:val="left" w:pos="720"/>
          <w:tab w:val="right" w:leader="dot" w:pos="8155"/>
        </w:tabs>
        <w:rPr>
          <w:rFonts w:cstheme="minorHAnsi"/>
        </w:rPr>
      </w:pPr>
      <w:r w:rsidRPr="000A1D51">
        <w:rPr>
          <w:rFonts w:cstheme="minorHAnsi"/>
        </w:rPr>
        <w:br w:type="page"/>
      </w:r>
    </w:p>
    <w:p w14:paraId="075E77B8" w14:textId="77777777" w:rsidR="00462A45" w:rsidRPr="000A1D51" w:rsidRDefault="00462A45" w:rsidP="0096407D">
      <w:pPr>
        <w:pStyle w:val="TOC1"/>
        <w:tabs>
          <w:tab w:val="left" w:pos="720"/>
          <w:tab w:val="right" w:leader="dot" w:pos="8155"/>
        </w:tabs>
        <w:jc w:val="center"/>
        <w:rPr>
          <w:rFonts w:cstheme="minorHAnsi"/>
        </w:rPr>
      </w:pPr>
      <w:r w:rsidRPr="000A1D51">
        <w:rPr>
          <w:rFonts w:cstheme="minorHAnsi"/>
        </w:rPr>
        <w:lastRenderedPageBreak/>
        <w:t>TABLE OF CONTENTS</w:t>
      </w:r>
    </w:p>
    <w:p w14:paraId="27B901A1" w14:textId="0632AF9D" w:rsidR="006C330F" w:rsidRPr="000A1D51" w:rsidRDefault="004D7237">
      <w:pPr>
        <w:pStyle w:val="TOC1"/>
        <w:tabs>
          <w:tab w:val="right" w:leader="dot" w:pos="8155"/>
        </w:tabs>
        <w:rPr>
          <w:rFonts w:eastAsiaTheme="minorEastAsia" w:cstheme="minorBidi"/>
          <w:b w:val="0"/>
          <w:bCs w:val="0"/>
          <w:caps w:val="0"/>
          <w:noProof/>
          <w:color w:val="auto"/>
          <w:sz w:val="24"/>
          <w:szCs w:val="24"/>
          <w:u w:val="none"/>
        </w:rPr>
      </w:pPr>
      <w:r w:rsidRPr="000A1D51">
        <w:rPr>
          <w:rFonts w:cstheme="minorHAnsi"/>
        </w:rPr>
        <w:fldChar w:fldCharType="begin"/>
      </w:r>
      <w:r w:rsidRPr="000A1D51">
        <w:rPr>
          <w:rFonts w:cstheme="minorHAnsi"/>
        </w:rPr>
        <w:instrText xml:space="preserve"> TOC \o "1-3" \h \z \u </w:instrText>
      </w:r>
      <w:r w:rsidRPr="000A1D51">
        <w:rPr>
          <w:rFonts w:cstheme="minorHAnsi"/>
        </w:rPr>
        <w:fldChar w:fldCharType="separate"/>
      </w:r>
      <w:hyperlink w:anchor="_Toc31820099" w:history="1">
        <w:r w:rsidR="006C330F" w:rsidRPr="000A1D51">
          <w:rPr>
            <w:rStyle w:val="Hyperlink"/>
            <w:rFonts w:cstheme="minorHAnsi"/>
            <w:noProof/>
          </w:rPr>
          <w:t>Activity Summary</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_Toc31820099 \h </w:instrText>
        </w:r>
        <w:r w:rsidR="006C330F" w:rsidRPr="000A1D51">
          <w:rPr>
            <w:noProof/>
            <w:webHidden/>
          </w:rPr>
        </w:r>
        <w:r w:rsidR="006C330F" w:rsidRPr="000A1D51">
          <w:rPr>
            <w:noProof/>
            <w:webHidden/>
          </w:rPr>
          <w:fldChar w:fldCharType="separate"/>
        </w:r>
        <w:r w:rsidR="00C5703B">
          <w:rPr>
            <w:noProof/>
            <w:webHidden/>
          </w:rPr>
          <w:t>iii</w:t>
        </w:r>
        <w:r w:rsidR="006C330F" w:rsidRPr="000A1D51">
          <w:rPr>
            <w:noProof/>
            <w:webHidden/>
          </w:rPr>
          <w:fldChar w:fldCharType="end"/>
        </w:r>
      </w:hyperlink>
    </w:p>
    <w:p w14:paraId="7F803AED" w14:textId="271E22EA" w:rsidR="006C330F" w:rsidRPr="000A1D51" w:rsidRDefault="008B7CB0">
      <w:pPr>
        <w:pStyle w:val="TOC3"/>
        <w:tabs>
          <w:tab w:val="right" w:leader="dot" w:pos="8155"/>
        </w:tabs>
        <w:rPr>
          <w:rFonts w:eastAsiaTheme="minorEastAsia" w:cstheme="minorBidi"/>
          <w:smallCaps w:val="0"/>
          <w:noProof/>
          <w:color w:val="auto"/>
          <w:sz w:val="24"/>
          <w:szCs w:val="24"/>
        </w:rPr>
      </w:pPr>
      <w:hyperlink w:anchor="_Toc31820100" w:history="1">
        <w:r w:rsidR="006C330F" w:rsidRPr="000A1D51">
          <w:rPr>
            <w:rStyle w:val="Hyperlink"/>
            <w:rFonts w:cstheme="minorHAnsi"/>
            <w:noProof/>
          </w:rPr>
          <w:t>Acknowledgments</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_Toc31820100 \h </w:instrText>
        </w:r>
        <w:r w:rsidR="006C330F" w:rsidRPr="000A1D51">
          <w:rPr>
            <w:noProof/>
            <w:webHidden/>
          </w:rPr>
        </w:r>
        <w:r w:rsidR="006C330F" w:rsidRPr="000A1D51">
          <w:rPr>
            <w:noProof/>
            <w:webHidden/>
          </w:rPr>
          <w:fldChar w:fldCharType="separate"/>
        </w:r>
        <w:r w:rsidR="00C5703B">
          <w:rPr>
            <w:noProof/>
            <w:webHidden/>
          </w:rPr>
          <w:t>iii</w:t>
        </w:r>
        <w:r w:rsidR="006C330F" w:rsidRPr="000A1D51">
          <w:rPr>
            <w:noProof/>
            <w:webHidden/>
          </w:rPr>
          <w:fldChar w:fldCharType="end"/>
        </w:r>
      </w:hyperlink>
    </w:p>
    <w:p w14:paraId="75619433" w14:textId="69BB4588" w:rsidR="006C330F" w:rsidRPr="000A1D51" w:rsidRDefault="008B7CB0">
      <w:pPr>
        <w:pStyle w:val="TOC3"/>
        <w:tabs>
          <w:tab w:val="right" w:leader="dot" w:pos="8155"/>
        </w:tabs>
        <w:rPr>
          <w:rFonts w:eastAsiaTheme="minorEastAsia" w:cstheme="minorBidi"/>
          <w:smallCaps w:val="0"/>
          <w:noProof/>
          <w:color w:val="auto"/>
          <w:sz w:val="24"/>
          <w:szCs w:val="24"/>
        </w:rPr>
      </w:pPr>
      <w:hyperlink w:anchor="_Toc31820101" w:history="1">
        <w:r w:rsidR="006C330F" w:rsidRPr="000A1D51">
          <w:rPr>
            <w:rStyle w:val="Hyperlink"/>
            <w:rFonts w:cstheme="minorHAnsi"/>
            <w:noProof/>
          </w:rPr>
          <w:t>Author’s Details</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_Toc31820101 \h </w:instrText>
        </w:r>
        <w:r w:rsidR="006C330F" w:rsidRPr="000A1D51">
          <w:rPr>
            <w:noProof/>
            <w:webHidden/>
          </w:rPr>
        </w:r>
        <w:r w:rsidR="006C330F" w:rsidRPr="000A1D51">
          <w:rPr>
            <w:noProof/>
            <w:webHidden/>
          </w:rPr>
          <w:fldChar w:fldCharType="separate"/>
        </w:r>
        <w:r w:rsidR="00C5703B">
          <w:rPr>
            <w:noProof/>
            <w:webHidden/>
          </w:rPr>
          <w:t>iii</w:t>
        </w:r>
        <w:r w:rsidR="006C330F" w:rsidRPr="000A1D51">
          <w:rPr>
            <w:noProof/>
            <w:webHidden/>
          </w:rPr>
          <w:fldChar w:fldCharType="end"/>
        </w:r>
      </w:hyperlink>
    </w:p>
    <w:p w14:paraId="3B7F5D57" w14:textId="286BA176" w:rsidR="006C330F" w:rsidRPr="000A1D51" w:rsidRDefault="008B7CB0">
      <w:pPr>
        <w:pStyle w:val="TOC1"/>
        <w:tabs>
          <w:tab w:val="right" w:leader="dot" w:pos="8155"/>
        </w:tabs>
        <w:rPr>
          <w:rFonts w:eastAsiaTheme="minorEastAsia" w:cstheme="minorBidi"/>
          <w:b w:val="0"/>
          <w:bCs w:val="0"/>
          <w:caps w:val="0"/>
          <w:noProof/>
          <w:color w:val="auto"/>
          <w:sz w:val="24"/>
          <w:szCs w:val="24"/>
          <w:u w:val="none"/>
        </w:rPr>
      </w:pPr>
      <w:hyperlink w:anchor="_Toc31820102" w:history="1">
        <w:r w:rsidR="006C330F" w:rsidRPr="000A1D51">
          <w:rPr>
            <w:rStyle w:val="Hyperlink"/>
            <w:rFonts w:cstheme="minorHAnsi"/>
            <w:noProof/>
          </w:rPr>
          <w:t>ACRONYMS</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_Toc31820102 \h </w:instrText>
        </w:r>
        <w:r w:rsidR="006C330F" w:rsidRPr="000A1D51">
          <w:rPr>
            <w:noProof/>
            <w:webHidden/>
          </w:rPr>
        </w:r>
        <w:r w:rsidR="006C330F" w:rsidRPr="000A1D51">
          <w:rPr>
            <w:noProof/>
            <w:webHidden/>
          </w:rPr>
          <w:fldChar w:fldCharType="separate"/>
        </w:r>
        <w:r w:rsidR="00C5703B">
          <w:rPr>
            <w:noProof/>
            <w:webHidden/>
          </w:rPr>
          <w:t>iv</w:t>
        </w:r>
        <w:r w:rsidR="006C330F" w:rsidRPr="000A1D51">
          <w:rPr>
            <w:noProof/>
            <w:webHidden/>
          </w:rPr>
          <w:fldChar w:fldCharType="end"/>
        </w:r>
      </w:hyperlink>
    </w:p>
    <w:p w14:paraId="202CB357" w14:textId="4DC26E74" w:rsidR="006C330F" w:rsidRPr="000A1D51" w:rsidRDefault="008B7CB0">
      <w:pPr>
        <w:pStyle w:val="TOC1"/>
        <w:tabs>
          <w:tab w:val="right" w:leader="dot" w:pos="8155"/>
        </w:tabs>
        <w:rPr>
          <w:rFonts w:eastAsiaTheme="minorEastAsia" w:cstheme="minorBidi"/>
          <w:b w:val="0"/>
          <w:bCs w:val="0"/>
          <w:caps w:val="0"/>
          <w:noProof/>
          <w:color w:val="auto"/>
          <w:sz w:val="24"/>
          <w:szCs w:val="24"/>
          <w:u w:val="none"/>
        </w:rPr>
      </w:pPr>
      <w:hyperlink w:anchor="_Toc31820103" w:history="1">
        <w:r w:rsidR="006C330F" w:rsidRPr="000A1D51">
          <w:rPr>
            <w:rStyle w:val="Hyperlink"/>
            <w:noProof/>
          </w:rPr>
          <w:t>Executive Summary</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_Toc31820103 \h </w:instrText>
        </w:r>
        <w:r w:rsidR="006C330F" w:rsidRPr="000A1D51">
          <w:rPr>
            <w:noProof/>
            <w:webHidden/>
          </w:rPr>
        </w:r>
        <w:r w:rsidR="006C330F" w:rsidRPr="000A1D51">
          <w:rPr>
            <w:noProof/>
            <w:webHidden/>
          </w:rPr>
          <w:fldChar w:fldCharType="separate"/>
        </w:r>
        <w:r w:rsidR="00C5703B">
          <w:rPr>
            <w:noProof/>
            <w:webHidden/>
          </w:rPr>
          <w:t>v</w:t>
        </w:r>
        <w:r w:rsidR="006C330F" w:rsidRPr="000A1D51">
          <w:rPr>
            <w:noProof/>
            <w:webHidden/>
          </w:rPr>
          <w:fldChar w:fldCharType="end"/>
        </w:r>
      </w:hyperlink>
    </w:p>
    <w:p w14:paraId="6DE8D72F" w14:textId="1CAE9D48" w:rsidR="006C330F" w:rsidRPr="000A1D51" w:rsidRDefault="008B7CB0">
      <w:pPr>
        <w:pStyle w:val="TOC1"/>
        <w:tabs>
          <w:tab w:val="right" w:leader="dot" w:pos="8155"/>
        </w:tabs>
        <w:rPr>
          <w:rFonts w:eastAsiaTheme="minorEastAsia" w:cstheme="minorBidi"/>
          <w:b w:val="0"/>
          <w:bCs w:val="0"/>
          <w:caps w:val="0"/>
          <w:noProof/>
          <w:color w:val="auto"/>
          <w:sz w:val="24"/>
          <w:szCs w:val="24"/>
          <w:u w:val="none"/>
        </w:rPr>
      </w:pPr>
      <w:hyperlink w:anchor="_Toc31820104" w:history="1">
        <w:r w:rsidR="006C330F" w:rsidRPr="000A1D51">
          <w:rPr>
            <w:rStyle w:val="Hyperlink"/>
            <w:noProof/>
          </w:rPr>
          <w:t>Introduction</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_Toc31820104 \h </w:instrText>
        </w:r>
        <w:r w:rsidR="006C330F" w:rsidRPr="000A1D51">
          <w:rPr>
            <w:noProof/>
            <w:webHidden/>
          </w:rPr>
        </w:r>
        <w:r w:rsidR="006C330F" w:rsidRPr="000A1D51">
          <w:rPr>
            <w:noProof/>
            <w:webHidden/>
          </w:rPr>
          <w:fldChar w:fldCharType="separate"/>
        </w:r>
        <w:r w:rsidR="00C5703B">
          <w:rPr>
            <w:noProof/>
            <w:webHidden/>
          </w:rPr>
          <w:t>1</w:t>
        </w:r>
        <w:r w:rsidR="006C330F" w:rsidRPr="000A1D51">
          <w:rPr>
            <w:noProof/>
            <w:webHidden/>
          </w:rPr>
          <w:fldChar w:fldCharType="end"/>
        </w:r>
      </w:hyperlink>
    </w:p>
    <w:p w14:paraId="18942A53" w14:textId="0237DB47" w:rsidR="006C330F" w:rsidRPr="000A1D51" w:rsidRDefault="008B7CB0">
      <w:pPr>
        <w:pStyle w:val="TOC2"/>
        <w:tabs>
          <w:tab w:val="right" w:leader="dot" w:pos="8155"/>
        </w:tabs>
        <w:rPr>
          <w:rFonts w:eastAsiaTheme="minorEastAsia" w:cstheme="minorBidi"/>
          <w:bCs w:val="0"/>
          <w:smallCaps w:val="0"/>
          <w:noProof/>
          <w:color w:val="auto"/>
          <w:sz w:val="24"/>
          <w:szCs w:val="24"/>
        </w:rPr>
      </w:pPr>
      <w:hyperlink w:anchor="_Toc31820105" w:history="1">
        <w:r w:rsidR="006C330F" w:rsidRPr="000A1D51">
          <w:rPr>
            <w:rStyle w:val="Hyperlink"/>
            <w:noProof/>
          </w:rPr>
          <w:t>Background</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_Toc31820105 \h </w:instrText>
        </w:r>
        <w:r w:rsidR="006C330F" w:rsidRPr="000A1D51">
          <w:rPr>
            <w:noProof/>
            <w:webHidden/>
          </w:rPr>
        </w:r>
        <w:r w:rsidR="006C330F" w:rsidRPr="000A1D51">
          <w:rPr>
            <w:noProof/>
            <w:webHidden/>
          </w:rPr>
          <w:fldChar w:fldCharType="separate"/>
        </w:r>
        <w:r w:rsidR="00C5703B">
          <w:rPr>
            <w:noProof/>
            <w:webHidden/>
          </w:rPr>
          <w:t>1</w:t>
        </w:r>
        <w:r w:rsidR="006C330F" w:rsidRPr="000A1D51">
          <w:rPr>
            <w:noProof/>
            <w:webHidden/>
          </w:rPr>
          <w:fldChar w:fldCharType="end"/>
        </w:r>
      </w:hyperlink>
    </w:p>
    <w:p w14:paraId="07287C8F" w14:textId="46FA8E47" w:rsidR="006C330F" w:rsidRPr="000A1D51" w:rsidRDefault="008B7CB0">
      <w:pPr>
        <w:pStyle w:val="TOC2"/>
        <w:tabs>
          <w:tab w:val="right" w:leader="dot" w:pos="8155"/>
        </w:tabs>
        <w:rPr>
          <w:rFonts w:eastAsiaTheme="minorEastAsia" w:cstheme="minorBidi"/>
          <w:bCs w:val="0"/>
          <w:smallCaps w:val="0"/>
          <w:noProof/>
          <w:color w:val="auto"/>
          <w:sz w:val="24"/>
          <w:szCs w:val="24"/>
        </w:rPr>
      </w:pPr>
      <w:hyperlink w:anchor="_Toc31820106" w:history="1">
        <w:r w:rsidR="006C330F" w:rsidRPr="000A1D51">
          <w:rPr>
            <w:rStyle w:val="Hyperlink"/>
            <w:noProof/>
          </w:rPr>
          <w:t>Review Methodology</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_Toc31820106 \h </w:instrText>
        </w:r>
        <w:r w:rsidR="006C330F" w:rsidRPr="000A1D51">
          <w:rPr>
            <w:noProof/>
            <w:webHidden/>
          </w:rPr>
        </w:r>
        <w:r w:rsidR="006C330F" w:rsidRPr="000A1D51">
          <w:rPr>
            <w:noProof/>
            <w:webHidden/>
          </w:rPr>
          <w:fldChar w:fldCharType="separate"/>
        </w:r>
        <w:r w:rsidR="00C5703B">
          <w:rPr>
            <w:noProof/>
            <w:webHidden/>
          </w:rPr>
          <w:t>2</w:t>
        </w:r>
        <w:r w:rsidR="006C330F" w:rsidRPr="000A1D51">
          <w:rPr>
            <w:noProof/>
            <w:webHidden/>
          </w:rPr>
          <w:fldChar w:fldCharType="end"/>
        </w:r>
      </w:hyperlink>
    </w:p>
    <w:p w14:paraId="373F3B96" w14:textId="17971658" w:rsidR="006C330F" w:rsidRPr="000A1D51" w:rsidRDefault="008B7CB0">
      <w:pPr>
        <w:pStyle w:val="TOC1"/>
        <w:tabs>
          <w:tab w:val="right" w:leader="dot" w:pos="8155"/>
        </w:tabs>
        <w:rPr>
          <w:rFonts w:eastAsiaTheme="minorEastAsia" w:cstheme="minorBidi"/>
          <w:b w:val="0"/>
          <w:bCs w:val="0"/>
          <w:caps w:val="0"/>
          <w:noProof/>
          <w:color w:val="auto"/>
          <w:sz w:val="24"/>
          <w:szCs w:val="24"/>
          <w:u w:val="none"/>
        </w:rPr>
      </w:pPr>
      <w:hyperlink w:anchor="_Toc31820107" w:history="1">
        <w:r w:rsidR="006C330F" w:rsidRPr="000A1D51">
          <w:rPr>
            <w:rStyle w:val="Hyperlink"/>
            <w:noProof/>
            <w:lang w:val="en-AU"/>
          </w:rPr>
          <w:t>Findings and Analysis</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_Toc31820107 \h </w:instrText>
        </w:r>
        <w:r w:rsidR="006C330F" w:rsidRPr="000A1D51">
          <w:rPr>
            <w:noProof/>
            <w:webHidden/>
          </w:rPr>
        </w:r>
        <w:r w:rsidR="006C330F" w:rsidRPr="000A1D51">
          <w:rPr>
            <w:noProof/>
            <w:webHidden/>
          </w:rPr>
          <w:fldChar w:fldCharType="separate"/>
        </w:r>
        <w:r w:rsidR="00C5703B">
          <w:rPr>
            <w:noProof/>
            <w:webHidden/>
          </w:rPr>
          <w:t>2</w:t>
        </w:r>
        <w:r w:rsidR="006C330F" w:rsidRPr="000A1D51">
          <w:rPr>
            <w:noProof/>
            <w:webHidden/>
          </w:rPr>
          <w:fldChar w:fldCharType="end"/>
        </w:r>
      </w:hyperlink>
    </w:p>
    <w:p w14:paraId="0FDDC7D5" w14:textId="48296C29" w:rsidR="006C330F" w:rsidRPr="000A1D51" w:rsidRDefault="008B7CB0">
      <w:pPr>
        <w:pStyle w:val="TOC2"/>
        <w:tabs>
          <w:tab w:val="right" w:leader="dot" w:pos="8155"/>
        </w:tabs>
        <w:rPr>
          <w:rFonts w:eastAsiaTheme="minorEastAsia" w:cstheme="minorBidi"/>
          <w:bCs w:val="0"/>
          <w:smallCaps w:val="0"/>
          <w:noProof/>
          <w:color w:val="auto"/>
          <w:sz w:val="24"/>
          <w:szCs w:val="24"/>
        </w:rPr>
      </w:pPr>
      <w:hyperlink w:anchor="_Toc31820108" w:history="1">
        <w:r w:rsidR="006C330F" w:rsidRPr="000A1D51">
          <w:rPr>
            <w:rStyle w:val="Hyperlink"/>
            <w:noProof/>
            <w:lang w:val="en-AU"/>
          </w:rPr>
          <w:t>Relevance.</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_Toc31820108 \h </w:instrText>
        </w:r>
        <w:r w:rsidR="006C330F" w:rsidRPr="000A1D51">
          <w:rPr>
            <w:noProof/>
            <w:webHidden/>
          </w:rPr>
        </w:r>
        <w:r w:rsidR="006C330F" w:rsidRPr="000A1D51">
          <w:rPr>
            <w:noProof/>
            <w:webHidden/>
          </w:rPr>
          <w:fldChar w:fldCharType="separate"/>
        </w:r>
        <w:r w:rsidR="00C5703B">
          <w:rPr>
            <w:noProof/>
            <w:webHidden/>
          </w:rPr>
          <w:t>2</w:t>
        </w:r>
        <w:r w:rsidR="006C330F" w:rsidRPr="000A1D51">
          <w:rPr>
            <w:noProof/>
            <w:webHidden/>
          </w:rPr>
          <w:fldChar w:fldCharType="end"/>
        </w:r>
      </w:hyperlink>
    </w:p>
    <w:p w14:paraId="4A47DDCA" w14:textId="468CAEB8" w:rsidR="006C330F" w:rsidRPr="000A1D51" w:rsidRDefault="008B7CB0">
      <w:pPr>
        <w:pStyle w:val="TOC2"/>
        <w:tabs>
          <w:tab w:val="right" w:leader="dot" w:pos="8155"/>
        </w:tabs>
        <w:rPr>
          <w:rFonts w:eastAsiaTheme="minorEastAsia" w:cstheme="minorBidi"/>
          <w:bCs w:val="0"/>
          <w:smallCaps w:val="0"/>
          <w:noProof/>
          <w:color w:val="auto"/>
          <w:sz w:val="24"/>
          <w:szCs w:val="24"/>
        </w:rPr>
      </w:pPr>
      <w:hyperlink w:anchor="_Toc31820109" w:history="1">
        <w:r w:rsidR="006C330F" w:rsidRPr="000A1D51">
          <w:rPr>
            <w:rStyle w:val="Hyperlink"/>
            <w:noProof/>
            <w:lang w:val="en-AU"/>
          </w:rPr>
          <w:t>Effectiveness</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_Toc31820109 \h </w:instrText>
        </w:r>
        <w:r w:rsidR="006C330F" w:rsidRPr="000A1D51">
          <w:rPr>
            <w:noProof/>
            <w:webHidden/>
          </w:rPr>
        </w:r>
        <w:r w:rsidR="006C330F" w:rsidRPr="000A1D51">
          <w:rPr>
            <w:noProof/>
            <w:webHidden/>
          </w:rPr>
          <w:fldChar w:fldCharType="separate"/>
        </w:r>
        <w:r w:rsidR="00C5703B">
          <w:rPr>
            <w:noProof/>
            <w:webHidden/>
          </w:rPr>
          <w:t>4</w:t>
        </w:r>
        <w:r w:rsidR="006C330F" w:rsidRPr="000A1D51">
          <w:rPr>
            <w:noProof/>
            <w:webHidden/>
          </w:rPr>
          <w:fldChar w:fldCharType="end"/>
        </w:r>
      </w:hyperlink>
    </w:p>
    <w:p w14:paraId="42147D0D" w14:textId="5A8968E7" w:rsidR="006C330F" w:rsidRPr="000A1D51" w:rsidRDefault="008B7CB0">
      <w:pPr>
        <w:pStyle w:val="TOC3"/>
        <w:tabs>
          <w:tab w:val="right" w:leader="dot" w:pos="8155"/>
        </w:tabs>
        <w:rPr>
          <w:rFonts w:eastAsiaTheme="minorEastAsia" w:cstheme="minorBidi"/>
          <w:smallCaps w:val="0"/>
          <w:noProof/>
          <w:color w:val="auto"/>
          <w:sz w:val="24"/>
          <w:szCs w:val="24"/>
        </w:rPr>
      </w:pPr>
      <w:hyperlink w:anchor="_Toc31820110" w:history="1">
        <w:r w:rsidR="006C330F" w:rsidRPr="000A1D51">
          <w:rPr>
            <w:rStyle w:val="Hyperlink"/>
            <w:rFonts w:ascii="Calibri" w:hAnsi="Calibri" w:cs="Calibri"/>
            <w:noProof/>
          </w:rPr>
          <w:t>Progress Towards Originally Targeted Program Component Objectives</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_Toc31820110 \h </w:instrText>
        </w:r>
        <w:r w:rsidR="006C330F" w:rsidRPr="000A1D51">
          <w:rPr>
            <w:noProof/>
            <w:webHidden/>
          </w:rPr>
        </w:r>
        <w:r w:rsidR="006C330F" w:rsidRPr="000A1D51">
          <w:rPr>
            <w:noProof/>
            <w:webHidden/>
          </w:rPr>
          <w:fldChar w:fldCharType="separate"/>
        </w:r>
        <w:r w:rsidR="00C5703B">
          <w:rPr>
            <w:noProof/>
            <w:webHidden/>
          </w:rPr>
          <w:t>5</w:t>
        </w:r>
        <w:r w:rsidR="006C330F" w:rsidRPr="000A1D51">
          <w:rPr>
            <w:noProof/>
            <w:webHidden/>
          </w:rPr>
          <w:fldChar w:fldCharType="end"/>
        </w:r>
      </w:hyperlink>
    </w:p>
    <w:p w14:paraId="270E406E" w14:textId="50619D1B" w:rsidR="006C330F" w:rsidRPr="000A1D51" w:rsidRDefault="008B7CB0">
      <w:pPr>
        <w:pStyle w:val="TOC3"/>
        <w:tabs>
          <w:tab w:val="right" w:leader="dot" w:pos="8155"/>
        </w:tabs>
        <w:rPr>
          <w:rFonts w:eastAsiaTheme="minorEastAsia" w:cstheme="minorBidi"/>
          <w:smallCaps w:val="0"/>
          <w:noProof/>
          <w:color w:val="auto"/>
          <w:sz w:val="24"/>
          <w:szCs w:val="24"/>
        </w:rPr>
      </w:pPr>
      <w:hyperlink w:anchor="_Toc31820111" w:history="1">
        <w:r w:rsidR="006C330F" w:rsidRPr="000A1D51">
          <w:rPr>
            <w:rStyle w:val="Hyperlink"/>
            <w:noProof/>
          </w:rPr>
          <w:t>Progress Towards the Four Results Areas</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_Toc31820111 \h </w:instrText>
        </w:r>
        <w:r w:rsidR="006C330F" w:rsidRPr="000A1D51">
          <w:rPr>
            <w:noProof/>
            <w:webHidden/>
          </w:rPr>
        </w:r>
        <w:r w:rsidR="006C330F" w:rsidRPr="000A1D51">
          <w:rPr>
            <w:noProof/>
            <w:webHidden/>
          </w:rPr>
          <w:fldChar w:fldCharType="separate"/>
        </w:r>
        <w:r w:rsidR="00C5703B">
          <w:rPr>
            <w:noProof/>
            <w:webHidden/>
          </w:rPr>
          <w:t>8</w:t>
        </w:r>
        <w:r w:rsidR="006C330F" w:rsidRPr="000A1D51">
          <w:rPr>
            <w:noProof/>
            <w:webHidden/>
          </w:rPr>
          <w:fldChar w:fldCharType="end"/>
        </w:r>
      </w:hyperlink>
    </w:p>
    <w:p w14:paraId="68CA743B" w14:textId="437520BC" w:rsidR="006C330F" w:rsidRPr="000A1D51" w:rsidRDefault="008B7CB0">
      <w:pPr>
        <w:pStyle w:val="TOC3"/>
        <w:tabs>
          <w:tab w:val="right" w:leader="dot" w:pos="8155"/>
        </w:tabs>
        <w:rPr>
          <w:rFonts w:eastAsiaTheme="minorEastAsia" w:cstheme="minorBidi"/>
          <w:smallCaps w:val="0"/>
          <w:noProof/>
          <w:color w:val="auto"/>
          <w:sz w:val="24"/>
          <w:szCs w:val="24"/>
        </w:rPr>
      </w:pPr>
      <w:hyperlink w:anchor="_Toc31820112" w:history="1">
        <w:r w:rsidR="006C330F" w:rsidRPr="000A1D51">
          <w:rPr>
            <w:rStyle w:val="Hyperlink"/>
            <w:noProof/>
          </w:rPr>
          <w:t>Effectiveness- the value of whole of government support</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_Toc31820112 \h </w:instrText>
        </w:r>
        <w:r w:rsidR="006C330F" w:rsidRPr="000A1D51">
          <w:rPr>
            <w:noProof/>
            <w:webHidden/>
          </w:rPr>
        </w:r>
        <w:r w:rsidR="006C330F" w:rsidRPr="000A1D51">
          <w:rPr>
            <w:noProof/>
            <w:webHidden/>
          </w:rPr>
          <w:fldChar w:fldCharType="separate"/>
        </w:r>
        <w:r w:rsidR="00C5703B">
          <w:rPr>
            <w:noProof/>
            <w:webHidden/>
          </w:rPr>
          <w:t>11</w:t>
        </w:r>
        <w:r w:rsidR="006C330F" w:rsidRPr="000A1D51">
          <w:rPr>
            <w:noProof/>
            <w:webHidden/>
          </w:rPr>
          <w:fldChar w:fldCharType="end"/>
        </w:r>
      </w:hyperlink>
    </w:p>
    <w:p w14:paraId="39D9E515" w14:textId="5F4B2032" w:rsidR="006C330F" w:rsidRPr="000A1D51" w:rsidRDefault="008B7CB0">
      <w:pPr>
        <w:pStyle w:val="TOC3"/>
        <w:tabs>
          <w:tab w:val="right" w:leader="dot" w:pos="8155"/>
        </w:tabs>
        <w:rPr>
          <w:rFonts w:eastAsiaTheme="minorEastAsia" w:cstheme="minorBidi"/>
          <w:smallCaps w:val="0"/>
          <w:noProof/>
          <w:color w:val="auto"/>
          <w:sz w:val="24"/>
          <w:szCs w:val="24"/>
        </w:rPr>
      </w:pPr>
      <w:hyperlink w:anchor="_Toc31820113" w:history="1">
        <w:r w:rsidR="006C330F" w:rsidRPr="000A1D51">
          <w:rPr>
            <w:rStyle w:val="Hyperlink"/>
            <w:noProof/>
          </w:rPr>
          <w:t>Effectiveness: communicating evidence to build support for program objectives</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_Toc31820113 \h </w:instrText>
        </w:r>
        <w:r w:rsidR="006C330F" w:rsidRPr="000A1D51">
          <w:rPr>
            <w:noProof/>
            <w:webHidden/>
          </w:rPr>
        </w:r>
        <w:r w:rsidR="006C330F" w:rsidRPr="000A1D51">
          <w:rPr>
            <w:noProof/>
            <w:webHidden/>
          </w:rPr>
          <w:fldChar w:fldCharType="separate"/>
        </w:r>
        <w:r w:rsidR="00C5703B">
          <w:rPr>
            <w:noProof/>
            <w:webHidden/>
          </w:rPr>
          <w:t>13</w:t>
        </w:r>
        <w:r w:rsidR="006C330F" w:rsidRPr="000A1D51">
          <w:rPr>
            <w:noProof/>
            <w:webHidden/>
          </w:rPr>
          <w:fldChar w:fldCharType="end"/>
        </w:r>
      </w:hyperlink>
    </w:p>
    <w:p w14:paraId="773634D0" w14:textId="21F16F72" w:rsidR="006C330F" w:rsidRPr="000A1D51" w:rsidRDefault="008B7CB0">
      <w:pPr>
        <w:pStyle w:val="TOC2"/>
        <w:tabs>
          <w:tab w:val="right" w:leader="dot" w:pos="8155"/>
        </w:tabs>
        <w:rPr>
          <w:rFonts w:eastAsiaTheme="minorEastAsia" w:cstheme="minorBidi"/>
          <w:bCs w:val="0"/>
          <w:smallCaps w:val="0"/>
          <w:noProof/>
          <w:color w:val="auto"/>
          <w:sz w:val="24"/>
          <w:szCs w:val="24"/>
        </w:rPr>
      </w:pPr>
      <w:hyperlink w:anchor="_Toc31820114" w:history="1">
        <w:r w:rsidR="006C330F" w:rsidRPr="000A1D51">
          <w:rPr>
            <w:rStyle w:val="Hyperlink"/>
            <w:noProof/>
          </w:rPr>
          <w:t>Efficiency</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_Toc31820114 \h </w:instrText>
        </w:r>
        <w:r w:rsidR="006C330F" w:rsidRPr="000A1D51">
          <w:rPr>
            <w:noProof/>
            <w:webHidden/>
          </w:rPr>
        </w:r>
        <w:r w:rsidR="006C330F" w:rsidRPr="000A1D51">
          <w:rPr>
            <w:noProof/>
            <w:webHidden/>
          </w:rPr>
          <w:fldChar w:fldCharType="separate"/>
        </w:r>
        <w:r w:rsidR="00C5703B">
          <w:rPr>
            <w:noProof/>
            <w:webHidden/>
          </w:rPr>
          <w:t>14</w:t>
        </w:r>
        <w:r w:rsidR="006C330F" w:rsidRPr="000A1D51">
          <w:rPr>
            <w:noProof/>
            <w:webHidden/>
          </w:rPr>
          <w:fldChar w:fldCharType="end"/>
        </w:r>
      </w:hyperlink>
    </w:p>
    <w:p w14:paraId="7594F5C3" w14:textId="1C7ACEB8" w:rsidR="006C330F" w:rsidRPr="000A1D51" w:rsidRDefault="008B7CB0">
      <w:pPr>
        <w:pStyle w:val="TOC3"/>
        <w:tabs>
          <w:tab w:val="right" w:leader="dot" w:pos="8155"/>
        </w:tabs>
        <w:rPr>
          <w:rFonts w:eastAsiaTheme="minorEastAsia" w:cstheme="minorBidi"/>
          <w:smallCaps w:val="0"/>
          <w:noProof/>
          <w:color w:val="auto"/>
          <w:sz w:val="24"/>
          <w:szCs w:val="24"/>
        </w:rPr>
      </w:pPr>
      <w:hyperlink w:anchor="_Toc31820115" w:history="1">
        <w:r w:rsidR="006C330F" w:rsidRPr="000A1D51">
          <w:rPr>
            <w:rStyle w:val="Hyperlink"/>
            <w:noProof/>
            <w:lang w:val="en-AU"/>
          </w:rPr>
          <w:t>The efficiency benefits of the partnership approach and ASEC program execution</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_Toc31820115 \h </w:instrText>
        </w:r>
        <w:r w:rsidR="006C330F" w:rsidRPr="000A1D51">
          <w:rPr>
            <w:noProof/>
            <w:webHidden/>
          </w:rPr>
        </w:r>
        <w:r w:rsidR="006C330F" w:rsidRPr="000A1D51">
          <w:rPr>
            <w:noProof/>
            <w:webHidden/>
          </w:rPr>
          <w:fldChar w:fldCharType="separate"/>
        </w:r>
        <w:r w:rsidR="00C5703B">
          <w:rPr>
            <w:noProof/>
            <w:webHidden/>
          </w:rPr>
          <w:t>14</w:t>
        </w:r>
        <w:r w:rsidR="006C330F" w:rsidRPr="000A1D51">
          <w:rPr>
            <w:noProof/>
            <w:webHidden/>
          </w:rPr>
          <w:fldChar w:fldCharType="end"/>
        </w:r>
      </w:hyperlink>
    </w:p>
    <w:p w14:paraId="6EA530C0" w14:textId="2E80265B" w:rsidR="006C330F" w:rsidRPr="000A1D51" w:rsidRDefault="008B7CB0">
      <w:pPr>
        <w:pStyle w:val="TOC3"/>
        <w:tabs>
          <w:tab w:val="right" w:leader="dot" w:pos="8155"/>
        </w:tabs>
        <w:rPr>
          <w:rFonts w:eastAsiaTheme="minorEastAsia" w:cstheme="minorBidi"/>
          <w:smallCaps w:val="0"/>
          <w:noProof/>
          <w:color w:val="auto"/>
          <w:sz w:val="24"/>
          <w:szCs w:val="24"/>
        </w:rPr>
      </w:pPr>
      <w:hyperlink w:anchor="_Toc31820116" w:history="1">
        <w:r w:rsidR="006C330F" w:rsidRPr="000A1D51">
          <w:rPr>
            <w:rStyle w:val="Hyperlink"/>
            <w:noProof/>
          </w:rPr>
          <w:t>Project level efficiency</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_Toc31820116 \h </w:instrText>
        </w:r>
        <w:r w:rsidR="006C330F" w:rsidRPr="000A1D51">
          <w:rPr>
            <w:noProof/>
            <w:webHidden/>
          </w:rPr>
        </w:r>
        <w:r w:rsidR="006C330F" w:rsidRPr="000A1D51">
          <w:rPr>
            <w:noProof/>
            <w:webHidden/>
          </w:rPr>
          <w:fldChar w:fldCharType="separate"/>
        </w:r>
        <w:r w:rsidR="00C5703B">
          <w:rPr>
            <w:noProof/>
            <w:webHidden/>
          </w:rPr>
          <w:t>15</w:t>
        </w:r>
        <w:r w:rsidR="006C330F" w:rsidRPr="000A1D51">
          <w:rPr>
            <w:noProof/>
            <w:webHidden/>
          </w:rPr>
          <w:fldChar w:fldCharType="end"/>
        </w:r>
      </w:hyperlink>
    </w:p>
    <w:p w14:paraId="524C19C7" w14:textId="57F10D1C" w:rsidR="006C330F" w:rsidRPr="000A1D51" w:rsidRDefault="008B7CB0">
      <w:pPr>
        <w:pStyle w:val="TOC3"/>
        <w:tabs>
          <w:tab w:val="right" w:leader="dot" w:pos="8155"/>
        </w:tabs>
        <w:rPr>
          <w:rFonts w:eastAsiaTheme="minorEastAsia" w:cstheme="minorBidi"/>
          <w:smallCaps w:val="0"/>
          <w:noProof/>
          <w:color w:val="auto"/>
          <w:sz w:val="24"/>
          <w:szCs w:val="24"/>
        </w:rPr>
      </w:pPr>
      <w:hyperlink w:anchor="_Toc31820117" w:history="1">
        <w:r w:rsidR="006C330F" w:rsidRPr="000A1D51">
          <w:rPr>
            <w:rStyle w:val="Hyperlink"/>
            <w:noProof/>
          </w:rPr>
          <w:t>Efficiency: build links with national initiatives and other development partners</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_Toc31820117 \h </w:instrText>
        </w:r>
        <w:r w:rsidR="006C330F" w:rsidRPr="000A1D51">
          <w:rPr>
            <w:noProof/>
            <w:webHidden/>
          </w:rPr>
        </w:r>
        <w:r w:rsidR="006C330F" w:rsidRPr="000A1D51">
          <w:rPr>
            <w:noProof/>
            <w:webHidden/>
          </w:rPr>
          <w:fldChar w:fldCharType="separate"/>
        </w:r>
        <w:r w:rsidR="00C5703B">
          <w:rPr>
            <w:noProof/>
            <w:webHidden/>
          </w:rPr>
          <w:t>16</w:t>
        </w:r>
        <w:r w:rsidR="006C330F" w:rsidRPr="000A1D51">
          <w:rPr>
            <w:noProof/>
            <w:webHidden/>
          </w:rPr>
          <w:fldChar w:fldCharType="end"/>
        </w:r>
      </w:hyperlink>
    </w:p>
    <w:p w14:paraId="4C85D403" w14:textId="2EA64CF8" w:rsidR="006C330F" w:rsidRPr="000A1D51" w:rsidRDefault="008B7CB0">
      <w:pPr>
        <w:pStyle w:val="TOC2"/>
        <w:tabs>
          <w:tab w:val="right" w:leader="dot" w:pos="8155"/>
        </w:tabs>
        <w:rPr>
          <w:rFonts w:eastAsiaTheme="minorEastAsia" w:cstheme="minorBidi"/>
          <w:bCs w:val="0"/>
          <w:smallCaps w:val="0"/>
          <w:noProof/>
          <w:color w:val="auto"/>
          <w:sz w:val="24"/>
          <w:szCs w:val="24"/>
        </w:rPr>
      </w:pPr>
      <w:hyperlink w:anchor="_Toc31820118" w:history="1">
        <w:r w:rsidR="006C330F" w:rsidRPr="000A1D51">
          <w:rPr>
            <w:rStyle w:val="Hyperlink"/>
            <w:noProof/>
            <w:lang w:val="en-AU"/>
          </w:rPr>
          <w:t>Partnership</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_Toc31820118 \h </w:instrText>
        </w:r>
        <w:r w:rsidR="006C330F" w:rsidRPr="000A1D51">
          <w:rPr>
            <w:noProof/>
            <w:webHidden/>
          </w:rPr>
        </w:r>
        <w:r w:rsidR="006C330F" w:rsidRPr="000A1D51">
          <w:rPr>
            <w:noProof/>
            <w:webHidden/>
          </w:rPr>
          <w:fldChar w:fldCharType="separate"/>
        </w:r>
        <w:r w:rsidR="00C5703B">
          <w:rPr>
            <w:noProof/>
            <w:webHidden/>
          </w:rPr>
          <w:t>17</w:t>
        </w:r>
        <w:r w:rsidR="006C330F" w:rsidRPr="000A1D51">
          <w:rPr>
            <w:noProof/>
            <w:webHidden/>
          </w:rPr>
          <w:fldChar w:fldCharType="end"/>
        </w:r>
      </w:hyperlink>
    </w:p>
    <w:p w14:paraId="4523666F" w14:textId="01A9BA73" w:rsidR="006C330F" w:rsidRPr="000A1D51" w:rsidRDefault="008B7CB0">
      <w:pPr>
        <w:pStyle w:val="TOC2"/>
        <w:tabs>
          <w:tab w:val="right" w:leader="dot" w:pos="8155"/>
        </w:tabs>
        <w:rPr>
          <w:rFonts w:eastAsiaTheme="minorEastAsia" w:cstheme="minorBidi"/>
          <w:bCs w:val="0"/>
          <w:smallCaps w:val="0"/>
          <w:noProof/>
          <w:color w:val="auto"/>
          <w:sz w:val="24"/>
          <w:szCs w:val="24"/>
        </w:rPr>
      </w:pPr>
      <w:hyperlink w:anchor="_Toc31820119" w:history="1">
        <w:r w:rsidR="006C330F" w:rsidRPr="000A1D51">
          <w:rPr>
            <w:rStyle w:val="Hyperlink"/>
            <w:noProof/>
            <w:lang w:val="en-AU"/>
          </w:rPr>
          <w:t>Monitoring and Evaluation</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_Toc31820119 \h </w:instrText>
        </w:r>
        <w:r w:rsidR="006C330F" w:rsidRPr="000A1D51">
          <w:rPr>
            <w:noProof/>
            <w:webHidden/>
          </w:rPr>
        </w:r>
        <w:r w:rsidR="006C330F" w:rsidRPr="000A1D51">
          <w:rPr>
            <w:noProof/>
            <w:webHidden/>
          </w:rPr>
          <w:fldChar w:fldCharType="separate"/>
        </w:r>
        <w:r w:rsidR="00C5703B">
          <w:rPr>
            <w:noProof/>
            <w:webHidden/>
          </w:rPr>
          <w:t>21</w:t>
        </w:r>
        <w:r w:rsidR="006C330F" w:rsidRPr="000A1D51">
          <w:rPr>
            <w:noProof/>
            <w:webHidden/>
          </w:rPr>
          <w:fldChar w:fldCharType="end"/>
        </w:r>
      </w:hyperlink>
    </w:p>
    <w:p w14:paraId="7A1D8703" w14:textId="4B44526C" w:rsidR="006C330F" w:rsidRPr="000A1D51" w:rsidRDefault="008B7CB0">
      <w:pPr>
        <w:pStyle w:val="TOC2"/>
        <w:tabs>
          <w:tab w:val="right" w:leader="dot" w:pos="8155"/>
        </w:tabs>
        <w:rPr>
          <w:rFonts w:eastAsiaTheme="minorEastAsia" w:cstheme="minorBidi"/>
          <w:bCs w:val="0"/>
          <w:smallCaps w:val="0"/>
          <w:noProof/>
          <w:color w:val="auto"/>
          <w:sz w:val="24"/>
          <w:szCs w:val="24"/>
        </w:rPr>
      </w:pPr>
      <w:hyperlink w:anchor="_Toc31820120" w:history="1">
        <w:r w:rsidR="006C330F" w:rsidRPr="000A1D51">
          <w:rPr>
            <w:rStyle w:val="Hyperlink"/>
            <w:noProof/>
            <w:lang w:val="en-AU"/>
          </w:rPr>
          <w:t>Gender</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_Toc31820120 \h </w:instrText>
        </w:r>
        <w:r w:rsidR="006C330F" w:rsidRPr="000A1D51">
          <w:rPr>
            <w:noProof/>
            <w:webHidden/>
          </w:rPr>
        </w:r>
        <w:r w:rsidR="006C330F" w:rsidRPr="000A1D51">
          <w:rPr>
            <w:noProof/>
            <w:webHidden/>
          </w:rPr>
          <w:fldChar w:fldCharType="separate"/>
        </w:r>
        <w:r w:rsidR="00C5703B">
          <w:rPr>
            <w:noProof/>
            <w:webHidden/>
          </w:rPr>
          <w:t>22</w:t>
        </w:r>
        <w:r w:rsidR="006C330F" w:rsidRPr="000A1D51">
          <w:rPr>
            <w:noProof/>
            <w:webHidden/>
          </w:rPr>
          <w:fldChar w:fldCharType="end"/>
        </w:r>
      </w:hyperlink>
    </w:p>
    <w:p w14:paraId="59D1845C" w14:textId="79FDFEA2" w:rsidR="006C330F" w:rsidRPr="000A1D51" w:rsidRDefault="008B7CB0">
      <w:pPr>
        <w:pStyle w:val="TOC1"/>
        <w:tabs>
          <w:tab w:val="right" w:leader="dot" w:pos="8155"/>
        </w:tabs>
        <w:rPr>
          <w:rFonts w:eastAsiaTheme="minorEastAsia" w:cstheme="minorBidi"/>
          <w:b w:val="0"/>
          <w:bCs w:val="0"/>
          <w:caps w:val="0"/>
          <w:noProof/>
          <w:color w:val="auto"/>
          <w:sz w:val="24"/>
          <w:szCs w:val="24"/>
          <w:u w:val="none"/>
        </w:rPr>
      </w:pPr>
      <w:hyperlink w:anchor="_Toc31820121" w:history="1">
        <w:r w:rsidR="006C330F" w:rsidRPr="000A1D51">
          <w:rPr>
            <w:rStyle w:val="Hyperlink"/>
            <w:noProof/>
          </w:rPr>
          <w:t>Conclusions and Recommendations</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_Toc31820121 \h </w:instrText>
        </w:r>
        <w:r w:rsidR="006C330F" w:rsidRPr="000A1D51">
          <w:rPr>
            <w:noProof/>
            <w:webHidden/>
          </w:rPr>
        </w:r>
        <w:r w:rsidR="006C330F" w:rsidRPr="000A1D51">
          <w:rPr>
            <w:noProof/>
            <w:webHidden/>
          </w:rPr>
          <w:fldChar w:fldCharType="separate"/>
        </w:r>
        <w:r w:rsidR="00C5703B">
          <w:rPr>
            <w:noProof/>
            <w:webHidden/>
          </w:rPr>
          <w:t>23</w:t>
        </w:r>
        <w:r w:rsidR="006C330F" w:rsidRPr="000A1D51">
          <w:rPr>
            <w:noProof/>
            <w:webHidden/>
          </w:rPr>
          <w:fldChar w:fldCharType="end"/>
        </w:r>
      </w:hyperlink>
    </w:p>
    <w:p w14:paraId="55CFAA71" w14:textId="4E278E7E" w:rsidR="006C330F" w:rsidRPr="000A1D51" w:rsidRDefault="008B7CB0">
      <w:pPr>
        <w:pStyle w:val="TOC2"/>
        <w:tabs>
          <w:tab w:val="right" w:leader="dot" w:pos="8155"/>
        </w:tabs>
        <w:rPr>
          <w:rFonts w:eastAsiaTheme="minorEastAsia" w:cstheme="minorBidi"/>
          <w:bCs w:val="0"/>
          <w:smallCaps w:val="0"/>
          <w:noProof/>
          <w:color w:val="auto"/>
          <w:sz w:val="24"/>
          <w:szCs w:val="24"/>
        </w:rPr>
      </w:pPr>
      <w:hyperlink w:anchor="_Toc31820122" w:history="1">
        <w:r w:rsidR="006C330F" w:rsidRPr="000A1D51">
          <w:rPr>
            <w:rStyle w:val="Hyperlink"/>
            <w:noProof/>
            <w:lang w:val="en-AU"/>
          </w:rPr>
          <w:t>General Conclusions</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_Toc31820122 \h </w:instrText>
        </w:r>
        <w:r w:rsidR="006C330F" w:rsidRPr="000A1D51">
          <w:rPr>
            <w:noProof/>
            <w:webHidden/>
          </w:rPr>
        </w:r>
        <w:r w:rsidR="006C330F" w:rsidRPr="000A1D51">
          <w:rPr>
            <w:noProof/>
            <w:webHidden/>
          </w:rPr>
          <w:fldChar w:fldCharType="separate"/>
        </w:r>
        <w:r w:rsidR="00C5703B">
          <w:rPr>
            <w:noProof/>
            <w:webHidden/>
          </w:rPr>
          <w:t>23</w:t>
        </w:r>
        <w:r w:rsidR="006C330F" w:rsidRPr="000A1D51">
          <w:rPr>
            <w:noProof/>
            <w:webHidden/>
          </w:rPr>
          <w:fldChar w:fldCharType="end"/>
        </w:r>
      </w:hyperlink>
    </w:p>
    <w:p w14:paraId="1ACA95E8" w14:textId="2DC4EC0C" w:rsidR="006C330F" w:rsidRPr="000A1D51" w:rsidRDefault="008B7CB0">
      <w:pPr>
        <w:pStyle w:val="TOC2"/>
        <w:tabs>
          <w:tab w:val="right" w:leader="dot" w:pos="8155"/>
        </w:tabs>
        <w:rPr>
          <w:rFonts w:eastAsiaTheme="minorEastAsia" w:cstheme="minorBidi"/>
          <w:bCs w:val="0"/>
          <w:smallCaps w:val="0"/>
          <w:noProof/>
          <w:color w:val="auto"/>
          <w:sz w:val="24"/>
          <w:szCs w:val="24"/>
        </w:rPr>
      </w:pPr>
      <w:hyperlink w:anchor="_Toc31820123" w:history="1">
        <w:r w:rsidR="006C330F" w:rsidRPr="000A1D51">
          <w:rPr>
            <w:rStyle w:val="Hyperlink"/>
            <w:noProof/>
            <w:lang w:val="en-AU"/>
          </w:rPr>
          <w:t>Conclusions on Partnership modality</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_Toc31820123 \h </w:instrText>
        </w:r>
        <w:r w:rsidR="006C330F" w:rsidRPr="000A1D51">
          <w:rPr>
            <w:noProof/>
            <w:webHidden/>
          </w:rPr>
        </w:r>
        <w:r w:rsidR="006C330F" w:rsidRPr="000A1D51">
          <w:rPr>
            <w:noProof/>
            <w:webHidden/>
          </w:rPr>
          <w:fldChar w:fldCharType="separate"/>
        </w:r>
        <w:r w:rsidR="00C5703B">
          <w:rPr>
            <w:noProof/>
            <w:webHidden/>
          </w:rPr>
          <w:t>24</w:t>
        </w:r>
        <w:r w:rsidR="006C330F" w:rsidRPr="000A1D51">
          <w:rPr>
            <w:noProof/>
            <w:webHidden/>
          </w:rPr>
          <w:fldChar w:fldCharType="end"/>
        </w:r>
      </w:hyperlink>
    </w:p>
    <w:p w14:paraId="68E5AB7D" w14:textId="648A460D" w:rsidR="006C330F" w:rsidRPr="000A1D51" w:rsidRDefault="008B7CB0">
      <w:pPr>
        <w:pStyle w:val="TOC2"/>
        <w:tabs>
          <w:tab w:val="right" w:leader="dot" w:pos="8155"/>
        </w:tabs>
        <w:rPr>
          <w:rFonts w:eastAsiaTheme="minorEastAsia" w:cstheme="minorBidi"/>
          <w:bCs w:val="0"/>
          <w:smallCaps w:val="0"/>
          <w:noProof/>
          <w:color w:val="auto"/>
          <w:sz w:val="24"/>
          <w:szCs w:val="24"/>
        </w:rPr>
      </w:pPr>
      <w:hyperlink w:anchor="_Toc31820124" w:history="1">
        <w:r w:rsidR="006C330F" w:rsidRPr="000A1D51">
          <w:rPr>
            <w:rStyle w:val="Hyperlink"/>
            <w:noProof/>
            <w:lang w:val="en-AU"/>
          </w:rPr>
          <w:t>Recommendations</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_Toc31820124 \h </w:instrText>
        </w:r>
        <w:r w:rsidR="006C330F" w:rsidRPr="000A1D51">
          <w:rPr>
            <w:noProof/>
            <w:webHidden/>
          </w:rPr>
        </w:r>
        <w:r w:rsidR="006C330F" w:rsidRPr="000A1D51">
          <w:rPr>
            <w:noProof/>
            <w:webHidden/>
          </w:rPr>
          <w:fldChar w:fldCharType="separate"/>
        </w:r>
        <w:r w:rsidR="00C5703B">
          <w:rPr>
            <w:noProof/>
            <w:webHidden/>
          </w:rPr>
          <w:t>24</w:t>
        </w:r>
        <w:r w:rsidR="006C330F" w:rsidRPr="000A1D51">
          <w:rPr>
            <w:noProof/>
            <w:webHidden/>
          </w:rPr>
          <w:fldChar w:fldCharType="end"/>
        </w:r>
      </w:hyperlink>
    </w:p>
    <w:p w14:paraId="4DF0BBD1" w14:textId="27AE3C49" w:rsidR="006C330F" w:rsidRPr="000A1D51" w:rsidRDefault="008B7CB0">
      <w:pPr>
        <w:pStyle w:val="TOC3"/>
        <w:tabs>
          <w:tab w:val="right" w:leader="dot" w:pos="8155"/>
        </w:tabs>
        <w:rPr>
          <w:rFonts w:eastAsiaTheme="minorEastAsia" w:cstheme="minorBidi"/>
          <w:smallCaps w:val="0"/>
          <w:noProof/>
          <w:color w:val="auto"/>
          <w:sz w:val="24"/>
          <w:szCs w:val="24"/>
        </w:rPr>
      </w:pPr>
      <w:hyperlink w:anchor="_Toc31820125" w:history="1">
        <w:r w:rsidR="006C330F" w:rsidRPr="000A1D51">
          <w:rPr>
            <w:rStyle w:val="Hyperlink"/>
            <w:noProof/>
          </w:rPr>
          <w:t>Ongoing implementation</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_Toc31820125 \h </w:instrText>
        </w:r>
        <w:r w:rsidR="006C330F" w:rsidRPr="000A1D51">
          <w:rPr>
            <w:noProof/>
            <w:webHidden/>
          </w:rPr>
        </w:r>
        <w:r w:rsidR="006C330F" w:rsidRPr="000A1D51">
          <w:rPr>
            <w:noProof/>
            <w:webHidden/>
          </w:rPr>
          <w:fldChar w:fldCharType="separate"/>
        </w:r>
        <w:r w:rsidR="00C5703B">
          <w:rPr>
            <w:noProof/>
            <w:webHidden/>
          </w:rPr>
          <w:t>24</w:t>
        </w:r>
        <w:r w:rsidR="006C330F" w:rsidRPr="000A1D51">
          <w:rPr>
            <w:noProof/>
            <w:webHidden/>
          </w:rPr>
          <w:fldChar w:fldCharType="end"/>
        </w:r>
      </w:hyperlink>
    </w:p>
    <w:p w14:paraId="27621FDD" w14:textId="58E6E0E2" w:rsidR="006C330F" w:rsidRPr="000A1D51" w:rsidRDefault="008B7CB0">
      <w:pPr>
        <w:pStyle w:val="TOC3"/>
        <w:tabs>
          <w:tab w:val="right" w:leader="dot" w:pos="8155"/>
        </w:tabs>
        <w:rPr>
          <w:rFonts w:eastAsiaTheme="minorEastAsia" w:cstheme="minorBidi"/>
          <w:smallCaps w:val="0"/>
          <w:noProof/>
          <w:color w:val="auto"/>
          <w:sz w:val="24"/>
          <w:szCs w:val="24"/>
        </w:rPr>
      </w:pPr>
      <w:hyperlink w:anchor="_Toc31820126" w:history="1">
        <w:r w:rsidR="006C330F" w:rsidRPr="000A1D51">
          <w:rPr>
            <w:rStyle w:val="Hyperlink"/>
            <w:noProof/>
          </w:rPr>
          <w:t>Recommendations for follow-up support</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_Toc31820126 \h </w:instrText>
        </w:r>
        <w:r w:rsidR="006C330F" w:rsidRPr="000A1D51">
          <w:rPr>
            <w:noProof/>
            <w:webHidden/>
          </w:rPr>
        </w:r>
        <w:r w:rsidR="006C330F" w:rsidRPr="000A1D51">
          <w:rPr>
            <w:noProof/>
            <w:webHidden/>
          </w:rPr>
          <w:fldChar w:fldCharType="separate"/>
        </w:r>
        <w:r w:rsidR="00C5703B">
          <w:rPr>
            <w:noProof/>
            <w:webHidden/>
          </w:rPr>
          <w:t>26</w:t>
        </w:r>
        <w:r w:rsidR="006C330F" w:rsidRPr="000A1D51">
          <w:rPr>
            <w:noProof/>
            <w:webHidden/>
          </w:rPr>
          <w:fldChar w:fldCharType="end"/>
        </w:r>
      </w:hyperlink>
    </w:p>
    <w:p w14:paraId="7A6D1A14" w14:textId="4A32F325" w:rsidR="006C330F" w:rsidRPr="000A1D51" w:rsidRDefault="008B7CB0">
      <w:pPr>
        <w:pStyle w:val="TOC1"/>
        <w:tabs>
          <w:tab w:val="right" w:leader="dot" w:pos="8155"/>
        </w:tabs>
        <w:rPr>
          <w:rFonts w:eastAsiaTheme="minorEastAsia" w:cstheme="minorBidi"/>
          <w:b w:val="0"/>
          <w:bCs w:val="0"/>
          <w:caps w:val="0"/>
          <w:noProof/>
          <w:color w:val="auto"/>
          <w:sz w:val="24"/>
          <w:szCs w:val="24"/>
          <w:u w:val="none"/>
        </w:rPr>
      </w:pPr>
      <w:hyperlink w:anchor="_Toc31820127" w:history="1">
        <w:r w:rsidR="006C330F" w:rsidRPr="000A1D51">
          <w:rPr>
            <w:rStyle w:val="Hyperlink"/>
            <w:noProof/>
          </w:rPr>
          <w:t>Appendix 1. Review Team Leader Terms of Reference</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_Toc31820127 \h </w:instrText>
        </w:r>
        <w:r w:rsidR="006C330F" w:rsidRPr="000A1D51">
          <w:rPr>
            <w:noProof/>
            <w:webHidden/>
          </w:rPr>
        </w:r>
        <w:r w:rsidR="006C330F" w:rsidRPr="000A1D51">
          <w:rPr>
            <w:noProof/>
            <w:webHidden/>
          </w:rPr>
          <w:fldChar w:fldCharType="separate"/>
        </w:r>
        <w:r w:rsidR="00C5703B">
          <w:rPr>
            <w:noProof/>
            <w:webHidden/>
          </w:rPr>
          <w:t>29</w:t>
        </w:r>
        <w:r w:rsidR="006C330F" w:rsidRPr="000A1D51">
          <w:rPr>
            <w:noProof/>
            <w:webHidden/>
          </w:rPr>
          <w:fldChar w:fldCharType="end"/>
        </w:r>
      </w:hyperlink>
    </w:p>
    <w:p w14:paraId="468E6554" w14:textId="5A795D51" w:rsidR="006C330F" w:rsidRPr="000A1D51" w:rsidRDefault="008B7CB0">
      <w:pPr>
        <w:pStyle w:val="TOC1"/>
        <w:tabs>
          <w:tab w:val="right" w:leader="dot" w:pos="8155"/>
        </w:tabs>
        <w:rPr>
          <w:rFonts w:eastAsiaTheme="minorEastAsia" w:cstheme="minorBidi"/>
          <w:b w:val="0"/>
          <w:bCs w:val="0"/>
          <w:caps w:val="0"/>
          <w:noProof/>
          <w:color w:val="auto"/>
          <w:sz w:val="24"/>
          <w:szCs w:val="24"/>
          <w:u w:val="none"/>
        </w:rPr>
      </w:pPr>
      <w:hyperlink w:anchor="_Toc31820128" w:history="1">
        <w:r w:rsidR="006C330F" w:rsidRPr="000A1D51">
          <w:rPr>
            <w:rStyle w:val="Hyperlink"/>
            <w:noProof/>
            <w:lang w:val="en-AU"/>
          </w:rPr>
          <w:t>Appendix 2: People/Agencies Consulted</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_Toc31820128 \h </w:instrText>
        </w:r>
        <w:r w:rsidR="006C330F" w:rsidRPr="000A1D51">
          <w:rPr>
            <w:noProof/>
            <w:webHidden/>
          </w:rPr>
        </w:r>
        <w:r w:rsidR="006C330F" w:rsidRPr="000A1D51">
          <w:rPr>
            <w:noProof/>
            <w:webHidden/>
          </w:rPr>
          <w:fldChar w:fldCharType="separate"/>
        </w:r>
        <w:r w:rsidR="00C5703B">
          <w:rPr>
            <w:noProof/>
            <w:webHidden/>
          </w:rPr>
          <w:t>34</w:t>
        </w:r>
        <w:r w:rsidR="006C330F" w:rsidRPr="000A1D51">
          <w:rPr>
            <w:noProof/>
            <w:webHidden/>
          </w:rPr>
          <w:fldChar w:fldCharType="end"/>
        </w:r>
      </w:hyperlink>
    </w:p>
    <w:p w14:paraId="5FD22F4A" w14:textId="2E7B1293" w:rsidR="006C330F" w:rsidRPr="000A1D51" w:rsidRDefault="008B7CB0">
      <w:pPr>
        <w:pStyle w:val="TOC1"/>
        <w:tabs>
          <w:tab w:val="right" w:leader="dot" w:pos="8155"/>
        </w:tabs>
        <w:rPr>
          <w:rFonts w:eastAsiaTheme="minorEastAsia" w:cstheme="minorBidi"/>
          <w:b w:val="0"/>
          <w:bCs w:val="0"/>
          <w:caps w:val="0"/>
          <w:noProof/>
          <w:color w:val="auto"/>
          <w:sz w:val="24"/>
          <w:szCs w:val="24"/>
          <w:u w:val="none"/>
        </w:rPr>
      </w:pPr>
      <w:hyperlink w:anchor="_Toc31820129" w:history="1">
        <w:r w:rsidR="006C330F" w:rsidRPr="000A1D51">
          <w:rPr>
            <w:rStyle w:val="Hyperlink"/>
            <w:noProof/>
            <w:lang w:val="en-AU"/>
          </w:rPr>
          <w:t>Appendix 3: Review Timeline</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_Toc31820129 \h </w:instrText>
        </w:r>
        <w:r w:rsidR="006C330F" w:rsidRPr="000A1D51">
          <w:rPr>
            <w:noProof/>
            <w:webHidden/>
          </w:rPr>
        </w:r>
        <w:r w:rsidR="006C330F" w:rsidRPr="000A1D51">
          <w:rPr>
            <w:noProof/>
            <w:webHidden/>
          </w:rPr>
          <w:fldChar w:fldCharType="separate"/>
        </w:r>
        <w:r w:rsidR="00C5703B">
          <w:rPr>
            <w:noProof/>
            <w:webHidden/>
          </w:rPr>
          <w:t>36</w:t>
        </w:r>
        <w:r w:rsidR="006C330F" w:rsidRPr="000A1D51">
          <w:rPr>
            <w:noProof/>
            <w:webHidden/>
          </w:rPr>
          <w:fldChar w:fldCharType="end"/>
        </w:r>
      </w:hyperlink>
    </w:p>
    <w:p w14:paraId="1D6D19AE" w14:textId="6C04C759" w:rsidR="006C330F" w:rsidRPr="000A1D51" w:rsidRDefault="008B7CB0">
      <w:pPr>
        <w:pStyle w:val="TOC1"/>
        <w:tabs>
          <w:tab w:val="right" w:leader="dot" w:pos="8155"/>
        </w:tabs>
        <w:rPr>
          <w:rFonts w:eastAsiaTheme="minorEastAsia" w:cstheme="minorBidi"/>
          <w:b w:val="0"/>
          <w:bCs w:val="0"/>
          <w:caps w:val="0"/>
          <w:noProof/>
          <w:color w:val="auto"/>
          <w:sz w:val="24"/>
          <w:szCs w:val="24"/>
          <w:u w:val="none"/>
        </w:rPr>
      </w:pPr>
      <w:hyperlink w:anchor="_Toc31820130" w:history="1">
        <w:r w:rsidR="006C330F" w:rsidRPr="000A1D51">
          <w:rPr>
            <w:rStyle w:val="Hyperlink"/>
            <w:noProof/>
            <w:lang w:val="en-AU"/>
          </w:rPr>
          <w:t>Appendix 4: Case Study on the AADCP II Partnership Approach</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_Toc31820130 \h </w:instrText>
        </w:r>
        <w:r w:rsidR="006C330F" w:rsidRPr="000A1D51">
          <w:rPr>
            <w:noProof/>
            <w:webHidden/>
          </w:rPr>
        </w:r>
        <w:r w:rsidR="006C330F" w:rsidRPr="000A1D51">
          <w:rPr>
            <w:noProof/>
            <w:webHidden/>
          </w:rPr>
          <w:fldChar w:fldCharType="separate"/>
        </w:r>
        <w:r w:rsidR="00C5703B">
          <w:rPr>
            <w:noProof/>
            <w:webHidden/>
          </w:rPr>
          <w:t>37</w:t>
        </w:r>
        <w:r w:rsidR="006C330F" w:rsidRPr="000A1D51">
          <w:rPr>
            <w:noProof/>
            <w:webHidden/>
          </w:rPr>
          <w:fldChar w:fldCharType="end"/>
        </w:r>
      </w:hyperlink>
    </w:p>
    <w:p w14:paraId="7D7EDBFC" w14:textId="2CA050D4" w:rsidR="006C330F" w:rsidRPr="000A1D51" w:rsidRDefault="008B7CB0">
      <w:pPr>
        <w:pStyle w:val="TOC2"/>
        <w:tabs>
          <w:tab w:val="left" w:pos="720"/>
          <w:tab w:val="right" w:leader="dot" w:pos="8155"/>
        </w:tabs>
        <w:rPr>
          <w:rFonts w:eastAsiaTheme="minorEastAsia" w:cstheme="minorBidi"/>
          <w:bCs w:val="0"/>
          <w:smallCaps w:val="0"/>
          <w:noProof/>
          <w:color w:val="auto"/>
          <w:sz w:val="24"/>
          <w:szCs w:val="24"/>
        </w:rPr>
      </w:pPr>
      <w:hyperlink w:anchor="_Toc31820131" w:history="1">
        <w:r w:rsidR="006C330F" w:rsidRPr="000A1D51">
          <w:rPr>
            <w:rStyle w:val="Hyperlink"/>
            <w:rFonts w:asciiTheme="majorHAnsi" w:hAnsiTheme="majorHAnsi"/>
            <w:noProof/>
            <w:lang w:val="en-AU"/>
          </w:rPr>
          <w:t>1.1</w:t>
        </w:r>
        <w:r w:rsidR="006C330F" w:rsidRPr="000A1D51">
          <w:rPr>
            <w:rFonts w:eastAsiaTheme="minorEastAsia" w:cstheme="minorBidi"/>
            <w:bCs w:val="0"/>
            <w:smallCaps w:val="0"/>
            <w:noProof/>
            <w:color w:val="auto"/>
            <w:sz w:val="24"/>
            <w:szCs w:val="24"/>
          </w:rPr>
          <w:tab/>
        </w:r>
        <w:r w:rsidR="006C330F" w:rsidRPr="000A1D51">
          <w:rPr>
            <w:rStyle w:val="Hyperlink"/>
            <w:noProof/>
            <w:lang w:val="en-AU"/>
          </w:rPr>
          <w:t>Describe AADCP II’s partnership approach</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_Toc31820131 \h </w:instrText>
        </w:r>
        <w:r w:rsidR="006C330F" w:rsidRPr="000A1D51">
          <w:rPr>
            <w:noProof/>
            <w:webHidden/>
          </w:rPr>
        </w:r>
        <w:r w:rsidR="006C330F" w:rsidRPr="000A1D51">
          <w:rPr>
            <w:noProof/>
            <w:webHidden/>
          </w:rPr>
          <w:fldChar w:fldCharType="separate"/>
        </w:r>
        <w:r w:rsidR="00C5703B">
          <w:rPr>
            <w:noProof/>
            <w:webHidden/>
          </w:rPr>
          <w:t>37</w:t>
        </w:r>
        <w:r w:rsidR="006C330F" w:rsidRPr="000A1D51">
          <w:rPr>
            <w:noProof/>
            <w:webHidden/>
          </w:rPr>
          <w:fldChar w:fldCharType="end"/>
        </w:r>
      </w:hyperlink>
    </w:p>
    <w:p w14:paraId="06CA4019" w14:textId="2B929E17" w:rsidR="006C330F" w:rsidRPr="000A1D51" w:rsidRDefault="008B7CB0">
      <w:pPr>
        <w:pStyle w:val="TOC2"/>
        <w:tabs>
          <w:tab w:val="left" w:pos="720"/>
          <w:tab w:val="right" w:leader="dot" w:pos="8155"/>
        </w:tabs>
        <w:rPr>
          <w:rFonts w:eastAsiaTheme="minorEastAsia" w:cstheme="minorBidi"/>
          <w:bCs w:val="0"/>
          <w:smallCaps w:val="0"/>
          <w:noProof/>
          <w:color w:val="auto"/>
          <w:sz w:val="24"/>
          <w:szCs w:val="24"/>
        </w:rPr>
      </w:pPr>
      <w:hyperlink w:anchor="_Toc31820132" w:history="1">
        <w:r w:rsidR="006C330F" w:rsidRPr="000A1D51">
          <w:rPr>
            <w:rStyle w:val="Hyperlink"/>
            <w:rFonts w:asciiTheme="majorHAnsi" w:hAnsiTheme="majorHAnsi"/>
            <w:noProof/>
            <w:lang w:val="en-AU"/>
          </w:rPr>
          <w:t>1.2</w:t>
        </w:r>
        <w:r w:rsidR="006C330F" w:rsidRPr="000A1D51">
          <w:rPr>
            <w:rFonts w:eastAsiaTheme="minorEastAsia" w:cstheme="minorBidi"/>
            <w:bCs w:val="0"/>
            <w:smallCaps w:val="0"/>
            <w:noProof/>
            <w:color w:val="auto"/>
            <w:sz w:val="24"/>
            <w:szCs w:val="24"/>
          </w:rPr>
          <w:tab/>
        </w:r>
        <w:r w:rsidR="006C330F" w:rsidRPr="000A1D51">
          <w:rPr>
            <w:rStyle w:val="Hyperlink"/>
            <w:noProof/>
            <w:lang w:val="en-AU"/>
          </w:rPr>
          <w:t>What was the purpose of the partnership? Were principles of the partnership or a shared vision (expected outcome, etc) articulated from the outset?</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_Toc31820132 \h </w:instrText>
        </w:r>
        <w:r w:rsidR="006C330F" w:rsidRPr="000A1D51">
          <w:rPr>
            <w:noProof/>
            <w:webHidden/>
          </w:rPr>
        </w:r>
        <w:r w:rsidR="006C330F" w:rsidRPr="000A1D51">
          <w:rPr>
            <w:noProof/>
            <w:webHidden/>
          </w:rPr>
          <w:fldChar w:fldCharType="separate"/>
        </w:r>
        <w:r w:rsidR="00C5703B">
          <w:rPr>
            <w:noProof/>
            <w:webHidden/>
          </w:rPr>
          <w:t>37</w:t>
        </w:r>
        <w:r w:rsidR="006C330F" w:rsidRPr="000A1D51">
          <w:rPr>
            <w:noProof/>
            <w:webHidden/>
          </w:rPr>
          <w:fldChar w:fldCharType="end"/>
        </w:r>
      </w:hyperlink>
    </w:p>
    <w:p w14:paraId="1809A1C7" w14:textId="2FC47417" w:rsidR="006C330F" w:rsidRPr="000A1D51" w:rsidRDefault="008B7CB0">
      <w:pPr>
        <w:pStyle w:val="TOC2"/>
        <w:tabs>
          <w:tab w:val="left" w:pos="720"/>
          <w:tab w:val="right" w:leader="dot" w:pos="8155"/>
        </w:tabs>
        <w:rPr>
          <w:rFonts w:eastAsiaTheme="minorEastAsia" w:cstheme="minorBidi"/>
          <w:bCs w:val="0"/>
          <w:smallCaps w:val="0"/>
          <w:noProof/>
          <w:color w:val="auto"/>
          <w:sz w:val="24"/>
          <w:szCs w:val="24"/>
        </w:rPr>
      </w:pPr>
      <w:hyperlink w:anchor="_Toc31820133" w:history="1">
        <w:r w:rsidR="006C330F" w:rsidRPr="000A1D51">
          <w:rPr>
            <w:rStyle w:val="Hyperlink"/>
            <w:rFonts w:asciiTheme="majorHAnsi" w:hAnsiTheme="majorHAnsi"/>
            <w:noProof/>
            <w:lang w:val="en-AU"/>
          </w:rPr>
          <w:t>1.3</w:t>
        </w:r>
        <w:r w:rsidR="006C330F" w:rsidRPr="000A1D51">
          <w:rPr>
            <w:rFonts w:eastAsiaTheme="minorEastAsia" w:cstheme="minorBidi"/>
            <w:bCs w:val="0"/>
            <w:smallCaps w:val="0"/>
            <w:noProof/>
            <w:color w:val="auto"/>
            <w:sz w:val="24"/>
            <w:szCs w:val="24"/>
          </w:rPr>
          <w:tab/>
        </w:r>
        <w:r w:rsidR="006C330F" w:rsidRPr="000A1D51">
          <w:rPr>
            <w:rStyle w:val="Hyperlink"/>
            <w:noProof/>
            <w:lang w:val="en-AU"/>
          </w:rPr>
          <w:t>What worked well in this partnership modality?</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_Toc31820133 \h </w:instrText>
        </w:r>
        <w:r w:rsidR="006C330F" w:rsidRPr="000A1D51">
          <w:rPr>
            <w:noProof/>
            <w:webHidden/>
          </w:rPr>
        </w:r>
        <w:r w:rsidR="006C330F" w:rsidRPr="000A1D51">
          <w:rPr>
            <w:noProof/>
            <w:webHidden/>
          </w:rPr>
          <w:fldChar w:fldCharType="separate"/>
        </w:r>
        <w:r w:rsidR="00C5703B">
          <w:rPr>
            <w:noProof/>
            <w:webHidden/>
          </w:rPr>
          <w:t>38</w:t>
        </w:r>
        <w:r w:rsidR="006C330F" w:rsidRPr="000A1D51">
          <w:rPr>
            <w:noProof/>
            <w:webHidden/>
          </w:rPr>
          <w:fldChar w:fldCharType="end"/>
        </w:r>
      </w:hyperlink>
    </w:p>
    <w:p w14:paraId="44900697" w14:textId="70FD2D6A" w:rsidR="006C330F" w:rsidRPr="000A1D51" w:rsidRDefault="008B7CB0">
      <w:pPr>
        <w:pStyle w:val="TOC2"/>
        <w:tabs>
          <w:tab w:val="left" w:pos="720"/>
          <w:tab w:val="right" w:leader="dot" w:pos="8155"/>
        </w:tabs>
        <w:rPr>
          <w:rFonts w:eastAsiaTheme="minorEastAsia" w:cstheme="minorBidi"/>
          <w:bCs w:val="0"/>
          <w:smallCaps w:val="0"/>
          <w:noProof/>
          <w:color w:val="auto"/>
          <w:sz w:val="24"/>
          <w:szCs w:val="24"/>
        </w:rPr>
      </w:pPr>
      <w:hyperlink w:anchor="_Toc31820134" w:history="1">
        <w:r w:rsidR="006C330F" w:rsidRPr="000A1D51">
          <w:rPr>
            <w:rStyle w:val="Hyperlink"/>
            <w:rFonts w:asciiTheme="majorHAnsi" w:hAnsiTheme="majorHAnsi"/>
            <w:noProof/>
            <w:lang w:val="en-AU"/>
          </w:rPr>
          <w:t>1.4</w:t>
        </w:r>
        <w:r w:rsidR="006C330F" w:rsidRPr="000A1D51">
          <w:rPr>
            <w:rFonts w:eastAsiaTheme="minorEastAsia" w:cstheme="minorBidi"/>
            <w:bCs w:val="0"/>
            <w:smallCaps w:val="0"/>
            <w:noProof/>
            <w:color w:val="auto"/>
            <w:sz w:val="24"/>
            <w:szCs w:val="24"/>
          </w:rPr>
          <w:tab/>
        </w:r>
        <w:r w:rsidR="006C330F" w:rsidRPr="000A1D51">
          <w:rPr>
            <w:rStyle w:val="Hyperlink"/>
            <w:noProof/>
            <w:lang w:val="en-AU"/>
          </w:rPr>
          <w:t>What were some challenges and how were they addressed?</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_Toc31820134 \h </w:instrText>
        </w:r>
        <w:r w:rsidR="006C330F" w:rsidRPr="000A1D51">
          <w:rPr>
            <w:noProof/>
            <w:webHidden/>
          </w:rPr>
        </w:r>
        <w:r w:rsidR="006C330F" w:rsidRPr="000A1D51">
          <w:rPr>
            <w:noProof/>
            <w:webHidden/>
          </w:rPr>
          <w:fldChar w:fldCharType="separate"/>
        </w:r>
        <w:r w:rsidR="00C5703B">
          <w:rPr>
            <w:noProof/>
            <w:webHidden/>
          </w:rPr>
          <w:t>40</w:t>
        </w:r>
        <w:r w:rsidR="006C330F" w:rsidRPr="000A1D51">
          <w:rPr>
            <w:noProof/>
            <w:webHidden/>
          </w:rPr>
          <w:fldChar w:fldCharType="end"/>
        </w:r>
      </w:hyperlink>
    </w:p>
    <w:p w14:paraId="6459AAA4" w14:textId="624B9502" w:rsidR="006C330F" w:rsidRPr="000A1D51" w:rsidRDefault="008B7CB0">
      <w:pPr>
        <w:pStyle w:val="TOC2"/>
        <w:tabs>
          <w:tab w:val="left" w:pos="720"/>
          <w:tab w:val="right" w:leader="dot" w:pos="8155"/>
        </w:tabs>
        <w:rPr>
          <w:rFonts w:eastAsiaTheme="minorEastAsia" w:cstheme="minorBidi"/>
          <w:bCs w:val="0"/>
          <w:smallCaps w:val="0"/>
          <w:noProof/>
          <w:color w:val="auto"/>
          <w:sz w:val="24"/>
          <w:szCs w:val="24"/>
        </w:rPr>
      </w:pPr>
      <w:hyperlink w:anchor="_Toc31820135" w:history="1">
        <w:r w:rsidR="006C330F" w:rsidRPr="000A1D51">
          <w:rPr>
            <w:rStyle w:val="Hyperlink"/>
            <w:rFonts w:asciiTheme="majorHAnsi" w:hAnsiTheme="majorHAnsi"/>
            <w:noProof/>
            <w:lang w:val="en-AU"/>
          </w:rPr>
          <w:t>1.5</w:t>
        </w:r>
        <w:r w:rsidR="006C330F" w:rsidRPr="000A1D51">
          <w:rPr>
            <w:rFonts w:eastAsiaTheme="minorEastAsia" w:cstheme="minorBidi"/>
            <w:bCs w:val="0"/>
            <w:smallCaps w:val="0"/>
            <w:noProof/>
            <w:color w:val="auto"/>
            <w:sz w:val="24"/>
            <w:szCs w:val="24"/>
          </w:rPr>
          <w:tab/>
        </w:r>
        <w:r w:rsidR="006C330F" w:rsidRPr="000A1D51">
          <w:rPr>
            <w:rStyle w:val="Hyperlink"/>
            <w:noProof/>
            <w:lang w:val="en-AU"/>
          </w:rPr>
          <w:t>What approaches do other dialogue partners use with ASEAN? What works well, what doesn’t and why?</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_Toc31820135 \h </w:instrText>
        </w:r>
        <w:r w:rsidR="006C330F" w:rsidRPr="000A1D51">
          <w:rPr>
            <w:noProof/>
            <w:webHidden/>
          </w:rPr>
        </w:r>
        <w:r w:rsidR="006C330F" w:rsidRPr="000A1D51">
          <w:rPr>
            <w:noProof/>
            <w:webHidden/>
          </w:rPr>
          <w:fldChar w:fldCharType="separate"/>
        </w:r>
        <w:r w:rsidR="00C5703B">
          <w:rPr>
            <w:noProof/>
            <w:webHidden/>
          </w:rPr>
          <w:t>42</w:t>
        </w:r>
        <w:r w:rsidR="006C330F" w:rsidRPr="000A1D51">
          <w:rPr>
            <w:noProof/>
            <w:webHidden/>
          </w:rPr>
          <w:fldChar w:fldCharType="end"/>
        </w:r>
      </w:hyperlink>
    </w:p>
    <w:p w14:paraId="5EF442F9" w14:textId="08A05B6D" w:rsidR="006C330F" w:rsidRPr="000A1D51" w:rsidRDefault="008B7CB0">
      <w:pPr>
        <w:pStyle w:val="TOC2"/>
        <w:tabs>
          <w:tab w:val="left" w:pos="720"/>
          <w:tab w:val="right" w:leader="dot" w:pos="8155"/>
        </w:tabs>
        <w:rPr>
          <w:rFonts w:eastAsiaTheme="minorEastAsia" w:cstheme="minorBidi"/>
          <w:bCs w:val="0"/>
          <w:smallCaps w:val="0"/>
          <w:noProof/>
          <w:color w:val="auto"/>
          <w:sz w:val="24"/>
          <w:szCs w:val="24"/>
        </w:rPr>
      </w:pPr>
      <w:hyperlink w:anchor="_Toc31820136" w:history="1">
        <w:r w:rsidR="006C330F" w:rsidRPr="000A1D51">
          <w:rPr>
            <w:rStyle w:val="Hyperlink"/>
            <w:rFonts w:asciiTheme="majorHAnsi" w:hAnsiTheme="majorHAnsi"/>
            <w:noProof/>
            <w:lang w:val="en-AU"/>
          </w:rPr>
          <w:t>1.6</w:t>
        </w:r>
        <w:r w:rsidR="006C330F" w:rsidRPr="000A1D51">
          <w:rPr>
            <w:rFonts w:eastAsiaTheme="minorEastAsia" w:cstheme="minorBidi"/>
            <w:bCs w:val="0"/>
            <w:smallCaps w:val="0"/>
            <w:noProof/>
            <w:color w:val="auto"/>
            <w:sz w:val="24"/>
            <w:szCs w:val="24"/>
          </w:rPr>
          <w:tab/>
        </w:r>
        <w:r w:rsidR="006C330F" w:rsidRPr="000A1D51">
          <w:rPr>
            <w:rStyle w:val="Hyperlink"/>
            <w:noProof/>
            <w:lang w:val="en-AU"/>
          </w:rPr>
          <w:t>What are the key lessons of the AADCP II partnership approach?</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_Toc31820136 \h </w:instrText>
        </w:r>
        <w:r w:rsidR="006C330F" w:rsidRPr="000A1D51">
          <w:rPr>
            <w:noProof/>
            <w:webHidden/>
          </w:rPr>
        </w:r>
        <w:r w:rsidR="006C330F" w:rsidRPr="000A1D51">
          <w:rPr>
            <w:noProof/>
            <w:webHidden/>
          </w:rPr>
          <w:fldChar w:fldCharType="separate"/>
        </w:r>
        <w:r w:rsidR="00C5703B">
          <w:rPr>
            <w:noProof/>
            <w:webHidden/>
          </w:rPr>
          <w:t>44</w:t>
        </w:r>
        <w:r w:rsidR="006C330F" w:rsidRPr="000A1D51">
          <w:rPr>
            <w:noProof/>
            <w:webHidden/>
          </w:rPr>
          <w:fldChar w:fldCharType="end"/>
        </w:r>
      </w:hyperlink>
    </w:p>
    <w:p w14:paraId="5BBA2BCA" w14:textId="0AE01514" w:rsidR="006C330F" w:rsidRPr="000A1D51" w:rsidRDefault="008B7CB0">
      <w:pPr>
        <w:pStyle w:val="TOC1"/>
        <w:tabs>
          <w:tab w:val="right" w:leader="dot" w:pos="8155"/>
        </w:tabs>
        <w:rPr>
          <w:rFonts w:eastAsiaTheme="minorEastAsia" w:cstheme="minorBidi"/>
          <w:b w:val="0"/>
          <w:bCs w:val="0"/>
          <w:caps w:val="0"/>
          <w:noProof/>
          <w:color w:val="auto"/>
          <w:sz w:val="24"/>
          <w:szCs w:val="24"/>
          <w:u w:val="none"/>
        </w:rPr>
      </w:pPr>
      <w:hyperlink w:anchor="_Toc31820137" w:history="1">
        <w:r w:rsidR="006C330F" w:rsidRPr="000A1D51">
          <w:rPr>
            <w:rStyle w:val="Hyperlink"/>
            <w:noProof/>
            <w:lang w:val="en-AU"/>
          </w:rPr>
          <w:t>Appendix 5: M&amp;E review</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_Toc31820137 \h </w:instrText>
        </w:r>
        <w:r w:rsidR="006C330F" w:rsidRPr="000A1D51">
          <w:rPr>
            <w:noProof/>
            <w:webHidden/>
          </w:rPr>
        </w:r>
        <w:r w:rsidR="006C330F" w:rsidRPr="000A1D51">
          <w:rPr>
            <w:noProof/>
            <w:webHidden/>
          </w:rPr>
          <w:fldChar w:fldCharType="separate"/>
        </w:r>
        <w:r w:rsidR="00C5703B">
          <w:rPr>
            <w:noProof/>
            <w:webHidden/>
          </w:rPr>
          <w:t>47</w:t>
        </w:r>
        <w:r w:rsidR="006C330F" w:rsidRPr="000A1D51">
          <w:rPr>
            <w:noProof/>
            <w:webHidden/>
          </w:rPr>
          <w:fldChar w:fldCharType="end"/>
        </w:r>
      </w:hyperlink>
    </w:p>
    <w:p w14:paraId="102EBC5A" w14:textId="519567BF" w:rsidR="006C330F" w:rsidRPr="000A1D51" w:rsidRDefault="008B7CB0">
      <w:pPr>
        <w:pStyle w:val="TOC2"/>
        <w:tabs>
          <w:tab w:val="left" w:pos="720"/>
          <w:tab w:val="right" w:leader="dot" w:pos="8155"/>
        </w:tabs>
        <w:rPr>
          <w:rFonts w:eastAsiaTheme="minorEastAsia" w:cstheme="minorBidi"/>
          <w:bCs w:val="0"/>
          <w:smallCaps w:val="0"/>
          <w:noProof/>
          <w:color w:val="auto"/>
          <w:sz w:val="24"/>
          <w:szCs w:val="24"/>
        </w:rPr>
      </w:pPr>
      <w:hyperlink w:anchor="_Toc31820138" w:history="1">
        <w:r w:rsidR="006C330F" w:rsidRPr="000A1D51">
          <w:rPr>
            <w:rStyle w:val="Hyperlink"/>
            <w:rFonts w:asciiTheme="majorHAnsi" w:hAnsiTheme="majorHAnsi"/>
            <w:noProof/>
          </w:rPr>
          <w:t>1.7</w:t>
        </w:r>
        <w:r w:rsidR="006C330F" w:rsidRPr="000A1D51">
          <w:rPr>
            <w:rFonts w:eastAsiaTheme="minorEastAsia" w:cstheme="minorBidi"/>
            <w:bCs w:val="0"/>
            <w:smallCaps w:val="0"/>
            <w:noProof/>
            <w:color w:val="auto"/>
            <w:sz w:val="24"/>
            <w:szCs w:val="24"/>
          </w:rPr>
          <w:tab/>
        </w:r>
        <w:r w:rsidR="006C330F" w:rsidRPr="000A1D51">
          <w:rPr>
            <w:rStyle w:val="Hyperlink"/>
            <w:noProof/>
          </w:rPr>
          <w:t>AADCP II Theory of Change (Program Logic)</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_Toc31820138 \h </w:instrText>
        </w:r>
        <w:r w:rsidR="006C330F" w:rsidRPr="000A1D51">
          <w:rPr>
            <w:noProof/>
            <w:webHidden/>
          </w:rPr>
        </w:r>
        <w:r w:rsidR="006C330F" w:rsidRPr="000A1D51">
          <w:rPr>
            <w:noProof/>
            <w:webHidden/>
          </w:rPr>
          <w:fldChar w:fldCharType="separate"/>
        </w:r>
        <w:r w:rsidR="00C5703B">
          <w:rPr>
            <w:noProof/>
            <w:webHidden/>
          </w:rPr>
          <w:t>47</w:t>
        </w:r>
        <w:r w:rsidR="006C330F" w:rsidRPr="000A1D51">
          <w:rPr>
            <w:noProof/>
            <w:webHidden/>
          </w:rPr>
          <w:fldChar w:fldCharType="end"/>
        </w:r>
      </w:hyperlink>
    </w:p>
    <w:p w14:paraId="6BFC859C" w14:textId="6BB9EF2A" w:rsidR="006C330F" w:rsidRPr="000A1D51" w:rsidRDefault="008B7CB0">
      <w:pPr>
        <w:pStyle w:val="TOC2"/>
        <w:tabs>
          <w:tab w:val="left" w:pos="720"/>
          <w:tab w:val="right" w:leader="dot" w:pos="8155"/>
        </w:tabs>
        <w:rPr>
          <w:rFonts w:eastAsiaTheme="minorEastAsia" w:cstheme="minorBidi"/>
          <w:bCs w:val="0"/>
          <w:smallCaps w:val="0"/>
          <w:noProof/>
          <w:color w:val="auto"/>
          <w:sz w:val="24"/>
          <w:szCs w:val="24"/>
        </w:rPr>
      </w:pPr>
      <w:hyperlink w:anchor="_Toc31820139" w:history="1">
        <w:r w:rsidR="006C330F" w:rsidRPr="000A1D51">
          <w:rPr>
            <w:rStyle w:val="Hyperlink"/>
            <w:rFonts w:asciiTheme="majorHAnsi" w:hAnsiTheme="majorHAnsi"/>
            <w:noProof/>
          </w:rPr>
          <w:t>1.8</w:t>
        </w:r>
        <w:r w:rsidR="006C330F" w:rsidRPr="000A1D51">
          <w:rPr>
            <w:rFonts w:eastAsiaTheme="minorEastAsia" w:cstheme="minorBidi"/>
            <w:bCs w:val="0"/>
            <w:smallCaps w:val="0"/>
            <w:noProof/>
            <w:color w:val="auto"/>
            <w:sz w:val="24"/>
            <w:szCs w:val="24"/>
          </w:rPr>
          <w:tab/>
        </w:r>
        <w:r w:rsidR="006C330F" w:rsidRPr="000A1D51">
          <w:rPr>
            <w:rStyle w:val="Hyperlink"/>
            <w:noProof/>
          </w:rPr>
          <w:t>Monitoring, Evaluation and Learning Framework</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_Toc31820139 \h </w:instrText>
        </w:r>
        <w:r w:rsidR="006C330F" w:rsidRPr="000A1D51">
          <w:rPr>
            <w:noProof/>
            <w:webHidden/>
          </w:rPr>
        </w:r>
        <w:r w:rsidR="006C330F" w:rsidRPr="000A1D51">
          <w:rPr>
            <w:noProof/>
            <w:webHidden/>
          </w:rPr>
          <w:fldChar w:fldCharType="separate"/>
        </w:r>
        <w:r w:rsidR="00C5703B">
          <w:rPr>
            <w:noProof/>
            <w:webHidden/>
          </w:rPr>
          <w:t>49</w:t>
        </w:r>
        <w:r w:rsidR="006C330F" w:rsidRPr="000A1D51">
          <w:rPr>
            <w:noProof/>
            <w:webHidden/>
          </w:rPr>
          <w:fldChar w:fldCharType="end"/>
        </w:r>
      </w:hyperlink>
    </w:p>
    <w:p w14:paraId="519EA55C" w14:textId="571903DC" w:rsidR="006C330F" w:rsidRPr="000A1D51" w:rsidRDefault="008B7CB0">
      <w:pPr>
        <w:pStyle w:val="TOC1"/>
        <w:tabs>
          <w:tab w:val="right" w:leader="dot" w:pos="8155"/>
        </w:tabs>
        <w:rPr>
          <w:rFonts w:eastAsiaTheme="minorEastAsia" w:cstheme="minorBidi"/>
          <w:b w:val="0"/>
          <w:bCs w:val="0"/>
          <w:caps w:val="0"/>
          <w:noProof/>
          <w:color w:val="auto"/>
          <w:sz w:val="24"/>
          <w:szCs w:val="24"/>
          <w:u w:val="none"/>
        </w:rPr>
      </w:pPr>
      <w:hyperlink w:anchor="_Toc31820140" w:history="1">
        <w:r w:rsidR="006C330F" w:rsidRPr="000A1D51">
          <w:rPr>
            <w:rStyle w:val="Hyperlink"/>
            <w:noProof/>
          </w:rPr>
          <w:t>Appendix 6: Project Data</w:t>
        </w:r>
        <w:r w:rsidR="006C330F" w:rsidRPr="000A1D51">
          <w:rPr>
            <w:noProof/>
            <w:webHidden/>
          </w:rPr>
          <w:tab/>
        </w:r>
        <w:r w:rsidR="006C330F" w:rsidRPr="000A1D51">
          <w:rPr>
            <w:noProof/>
            <w:webHidden/>
          </w:rPr>
          <w:fldChar w:fldCharType="begin"/>
        </w:r>
        <w:r w:rsidR="006C330F" w:rsidRPr="000A1D51">
          <w:rPr>
            <w:noProof/>
            <w:webHidden/>
          </w:rPr>
          <w:instrText xml:space="preserve"> PAGEREF _Toc31820140 \h </w:instrText>
        </w:r>
        <w:r w:rsidR="006C330F" w:rsidRPr="000A1D51">
          <w:rPr>
            <w:noProof/>
            <w:webHidden/>
          </w:rPr>
        </w:r>
        <w:r w:rsidR="006C330F" w:rsidRPr="000A1D51">
          <w:rPr>
            <w:noProof/>
            <w:webHidden/>
          </w:rPr>
          <w:fldChar w:fldCharType="separate"/>
        </w:r>
        <w:r w:rsidR="00C5703B">
          <w:rPr>
            <w:noProof/>
            <w:webHidden/>
          </w:rPr>
          <w:t>52</w:t>
        </w:r>
        <w:r w:rsidR="006C330F" w:rsidRPr="000A1D51">
          <w:rPr>
            <w:noProof/>
            <w:webHidden/>
          </w:rPr>
          <w:fldChar w:fldCharType="end"/>
        </w:r>
      </w:hyperlink>
    </w:p>
    <w:p w14:paraId="2397CB08" w14:textId="4E3AA5A5" w:rsidR="00972094" w:rsidRPr="000A1D51" w:rsidRDefault="004D7237" w:rsidP="002B3D55">
      <w:pPr>
        <w:pStyle w:val="BodyText"/>
        <w:rPr>
          <w:rFonts w:asciiTheme="minorHAnsi" w:hAnsiTheme="minorHAnsi" w:cstheme="minorHAnsi"/>
        </w:rPr>
        <w:sectPr w:rsidR="00972094" w:rsidRPr="000A1D51" w:rsidSect="00D84943">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pgNumType w:fmt="lowerRoman" w:start="1"/>
          <w:cols w:space="720"/>
          <w:titlePg/>
          <w:docGrid w:linePitch="272"/>
        </w:sectPr>
      </w:pPr>
      <w:r w:rsidRPr="000A1D51">
        <w:rPr>
          <w:rFonts w:asciiTheme="minorHAnsi" w:hAnsiTheme="minorHAnsi" w:cstheme="minorHAnsi"/>
        </w:rPr>
        <w:fldChar w:fldCharType="end"/>
      </w:r>
    </w:p>
    <w:p w14:paraId="1154CA40" w14:textId="77777777" w:rsidR="00310A06" w:rsidRPr="000A1D51" w:rsidRDefault="00310A06" w:rsidP="00310A06">
      <w:pPr>
        <w:pStyle w:val="Heading1"/>
        <w:rPr>
          <w:rFonts w:asciiTheme="minorHAnsi" w:hAnsiTheme="minorHAnsi" w:cstheme="minorHAnsi"/>
        </w:rPr>
      </w:pPr>
      <w:bookmarkStart w:id="1" w:name="_Toc524515380"/>
      <w:bookmarkStart w:id="2" w:name="_Toc533181385"/>
      <w:bookmarkStart w:id="3" w:name="_Toc24884097"/>
      <w:bookmarkStart w:id="4" w:name="_Toc31820099"/>
      <w:r w:rsidRPr="000A1D51">
        <w:rPr>
          <w:rFonts w:asciiTheme="minorHAnsi" w:hAnsiTheme="minorHAnsi" w:cstheme="minorHAnsi"/>
        </w:rPr>
        <w:lastRenderedPageBreak/>
        <w:t>Activity Summary</w:t>
      </w:r>
      <w:bookmarkEnd w:id="1"/>
      <w:bookmarkEnd w:id="2"/>
      <w:bookmarkEnd w:id="3"/>
      <w:bookmarkEnd w:id="4"/>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63"/>
        <w:gridCol w:w="1701"/>
        <w:gridCol w:w="1951"/>
        <w:gridCol w:w="2240"/>
      </w:tblGrid>
      <w:tr w:rsidR="00310A06" w:rsidRPr="000A1D51" w14:paraId="0C792A5B" w14:textId="77777777" w:rsidTr="002D4C11">
        <w:trPr>
          <w:cantSplit/>
          <w:tblHeader/>
        </w:trPr>
        <w:tc>
          <w:tcPr>
            <w:tcW w:w="2263" w:type="dxa"/>
            <w:shd w:val="clear" w:color="auto" w:fill="E0E0E0"/>
            <w:vAlign w:val="center"/>
          </w:tcPr>
          <w:p w14:paraId="7CDFB2A4" w14:textId="77777777" w:rsidR="00310A06" w:rsidRPr="000A1D51" w:rsidRDefault="00310A06" w:rsidP="006C5259">
            <w:pPr>
              <w:pStyle w:val="Table-normal-text"/>
              <w:rPr>
                <w:rFonts w:asciiTheme="minorHAnsi" w:hAnsiTheme="minorHAnsi" w:cstheme="minorHAnsi"/>
                <w:b/>
                <w:sz w:val="21"/>
                <w:szCs w:val="21"/>
              </w:rPr>
            </w:pPr>
            <w:r w:rsidRPr="000A1D51">
              <w:rPr>
                <w:rFonts w:asciiTheme="minorHAnsi" w:hAnsiTheme="minorHAnsi" w:cstheme="minorHAnsi"/>
                <w:b/>
                <w:sz w:val="21"/>
                <w:szCs w:val="21"/>
              </w:rPr>
              <w:t>Aid Activity Name</w:t>
            </w:r>
          </w:p>
        </w:tc>
        <w:tc>
          <w:tcPr>
            <w:tcW w:w="5892" w:type="dxa"/>
            <w:gridSpan w:val="3"/>
            <w:shd w:val="clear" w:color="auto" w:fill="E0E0E0"/>
            <w:vAlign w:val="center"/>
          </w:tcPr>
          <w:p w14:paraId="2CD54307" w14:textId="77777777" w:rsidR="00310A06" w:rsidRPr="000A1D51" w:rsidRDefault="009649DD" w:rsidP="006C5259">
            <w:pPr>
              <w:pStyle w:val="Table-normal-text"/>
              <w:rPr>
                <w:rFonts w:asciiTheme="minorHAnsi" w:hAnsiTheme="minorHAnsi" w:cstheme="minorHAnsi"/>
                <w:b/>
                <w:sz w:val="21"/>
                <w:szCs w:val="21"/>
              </w:rPr>
            </w:pPr>
            <w:r w:rsidRPr="000A1D51">
              <w:rPr>
                <w:rFonts w:asciiTheme="minorHAnsi" w:hAnsiTheme="minorHAnsi" w:cstheme="minorHAnsi"/>
                <w:b/>
                <w:i/>
                <w:iCs/>
                <w:sz w:val="21"/>
                <w:szCs w:val="21"/>
              </w:rPr>
              <w:t>AADCP</w:t>
            </w:r>
            <w:r w:rsidR="0028651E" w:rsidRPr="000A1D51">
              <w:rPr>
                <w:rFonts w:asciiTheme="minorHAnsi" w:hAnsiTheme="minorHAnsi" w:cstheme="minorHAnsi"/>
                <w:b/>
                <w:i/>
                <w:iCs/>
                <w:sz w:val="21"/>
                <w:szCs w:val="21"/>
              </w:rPr>
              <w:t xml:space="preserve"> II</w:t>
            </w:r>
          </w:p>
        </w:tc>
      </w:tr>
      <w:tr w:rsidR="00310A06" w:rsidRPr="000A1D51" w14:paraId="37D91E3D" w14:textId="77777777" w:rsidTr="002D4C11">
        <w:trPr>
          <w:cantSplit/>
        </w:trPr>
        <w:tc>
          <w:tcPr>
            <w:tcW w:w="2263" w:type="dxa"/>
            <w:shd w:val="clear" w:color="auto" w:fill="auto"/>
          </w:tcPr>
          <w:p w14:paraId="1F5A8B20" w14:textId="77777777" w:rsidR="00310A06" w:rsidRPr="000A1D51" w:rsidRDefault="00310A06" w:rsidP="006C5259">
            <w:pPr>
              <w:pStyle w:val="Table-normal-text"/>
              <w:rPr>
                <w:rFonts w:asciiTheme="minorHAnsi" w:hAnsiTheme="minorHAnsi" w:cstheme="minorHAnsi"/>
                <w:sz w:val="21"/>
                <w:szCs w:val="21"/>
              </w:rPr>
            </w:pPr>
            <w:r w:rsidRPr="000A1D51">
              <w:rPr>
                <w:rFonts w:asciiTheme="minorHAnsi" w:hAnsiTheme="minorHAnsi" w:cstheme="minorHAnsi"/>
                <w:sz w:val="21"/>
                <w:szCs w:val="21"/>
              </w:rPr>
              <w:t>Commencement date</w:t>
            </w:r>
          </w:p>
        </w:tc>
        <w:tc>
          <w:tcPr>
            <w:tcW w:w="1701" w:type="dxa"/>
            <w:shd w:val="clear" w:color="auto" w:fill="auto"/>
          </w:tcPr>
          <w:p w14:paraId="6F980897" w14:textId="77777777" w:rsidR="00310A06" w:rsidRPr="000A1D51" w:rsidRDefault="005F01D7" w:rsidP="006C5259">
            <w:pPr>
              <w:pStyle w:val="Table-normal-text"/>
              <w:rPr>
                <w:rFonts w:asciiTheme="minorHAnsi" w:hAnsiTheme="minorHAnsi" w:cstheme="minorHAnsi"/>
                <w:sz w:val="21"/>
                <w:szCs w:val="21"/>
              </w:rPr>
            </w:pPr>
            <w:r w:rsidRPr="000A1D51">
              <w:rPr>
                <w:rFonts w:asciiTheme="minorHAnsi" w:hAnsiTheme="minorHAnsi" w:cstheme="minorHAnsi"/>
                <w:sz w:val="21"/>
                <w:szCs w:val="21"/>
              </w:rPr>
              <w:t>June 2009</w:t>
            </w:r>
          </w:p>
        </w:tc>
        <w:tc>
          <w:tcPr>
            <w:tcW w:w="1951" w:type="dxa"/>
            <w:shd w:val="clear" w:color="auto" w:fill="auto"/>
          </w:tcPr>
          <w:p w14:paraId="368E6B03" w14:textId="77777777" w:rsidR="00310A06" w:rsidRPr="000A1D51" w:rsidRDefault="00310A06" w:rsidP="006C5259">
            <w:pPr>
              <w:pStyle w:val="Table-normal-text"/>
              <w:rPr>
                <w:rFonts w:asciiTheme="minorHAnsi" w:hAnsiTheme="minorHAnsi" w:cstheme="minorHAnsi"/>
                <w:sz w:val="21"/>
                <w:szCs w:val="21"/>
              </w:rPr>
            </w:pPr>
            <w:r w:rsidRPr="000A1D51">
              <w:rPr>
                <w:rFonts w:asciiTheme="minorHAnsi" w:hAnsiTheme="minorHAnsi" w:cstheme="minorHAnsi"/>
                <w:sz w:val="21"/>
                <w:szCs w:val="21"/>
              </w:rPr>
              <w:t>Completion date</w:t>
            </w:r>
          </w:p>
        </w:tc>
        <w:tc>
          <w:tcPr>
            <w:tcW w:w="2240" w:type="dxa"/>
            <w:shd w:val="clear" w:color="auto" w:fill="auto"/>
          </w:tcPr>
          <w:p w14:paraId="10AC2A22" w14:textId="77777777" w:rsidR="00310A06" w:rsidRPr="000A1D51" w:rsidRDefault="005F01D7" w:rsidP="006C5259">
            <w:pPr>
              <w:pStyle w:val="Table-normal-text"/>
              <w:rPr>
                <w:rFonts w:asciiTheme="minorHAnsi" w:hAnsiTheme="minorHAnsi" w:cstheme="minorHAnsi"/>
                <w:sz w:val="21"/>
                <w:szCs w:val="21"/>
              </w:rPr>
            </w:pPr>
            <w:r w:rsidRPr="000A1D51">
              <w:rPr>
                <w:rFonts w:asciiTheme="minorHAnsi" w:hAnsiTheme="minorHAnsi" w:cstheme="minorHAnsi"/>
                <w:sz w:val="21"/>
                <w:szCs w:val="21"/>
              </w:rPr>
              <w:t>December 2021</w:t>
            </w:r>
          </w:p>
        </w:tc>
      </w:tr>
      <w:tr w:rsidR="00310A06" w:rsidRPr="000A1D51" w14:paraId="283CBD26" w14:textId="77777777" w:rsidTr="002D4C11">
        <w:trPr>
          <w:cantSplit/>
        </w:trPr>
        <w:tc>
          <w:tcPr>
            <w:tcW w:w="2263" w:type="dxa"/>
            <w:shd w:val="clear" w:color="auto" w:fill="auto"/>
          </w:tcPr>
          <w:p w14:paraId="1F69D35E" w14:textId="77777777" w:rsidR="00310A06" w:rsidRPr="000A1D51" w:rsidRDefault="00310A06" w:rsidP="006C5259">
            <w:pPr>
              <w:pStyle w:val="Table-normal-text"/>
              <w:rPr>
                <w:rFonts w:asciiTheme="minorHAnsi" w:hAnsiTheme="minorHAnsi" w:cstheme="minorHAnsi"/>
                <w:sz w:val="21"/>
                <w:szCs w:val="21"/>
              </w:rPr>
            </w:pPr>
            <w:r w:rsidRPr="000A1D51">
              <w:rPr>
                <w:rFonts w:asciiTheme="minorHAnsi" w:hAnsiTheme="minorHAnsi" w:cstheme="minorHAnsi"/>
                <w:sz w:val="21"/>
                <w:szCs w:val="21"/>
              </w:rPr>
              <w:t>Total Australian $</w:t>
            </w:r>
          </w:p>
        </w:tc>
        <w:tc>
          <w:tcPr>
            <w:tcW w:w="5892" w:type="dxa"/>
            <w:gridSpan w:val="3"/>
            <w:shd w:val="clear" w:color="auto" w:fill="auto"/>
          </w:tcPr>
          <w:p w14:paraId="39DE8262" w14:textId="77777777" w:rsidR="00310A06" w:rsidRPr="000A1D51" w:rsidRDefault="00D12C3C" w:rsidP="006C5259">
            <w:pPr>
              <w:pStyle w:val="Table-normal-text"/>
              <w:rPr>
                <w:rFonts w:asciiTheme="minorHAnsi" w:hAnsiTheme="minorHAnsi" w:cstheme="minorHAnsi"/>
                <w:sz w:val="21"/>
                <w:szCs w:val="21"/>
              </w:rPr>
            </w:pPr>
            <w:r w:rsidRPr="000A1D51">
              <w:rPr>
                <w:rFonts w:asciiTheme="minorHAnsi" w:hAnsiTheme="minorHAnsi" w:cstheme="minorHAnsi"/>
                <w:sz w:val="21"/>
                <w:szCs w:val="21"/>
              </w:rPr>
              <w:t>$</w:t>
            </w:r>
            <w:r w:rsidR="005F01D7" w:rsidRPr="000A1D51">
              <w:rPr>
                <w:rFonts w:asciiTheme="minorHAnsi" w:hAnsiTheme="minorHAnsi" w:cstheme="minorHAnsi"/>
                <w:sz w:val="21"/>
                <w:szCs w:val="21"/>
              </w:rPr>
              <w:t>57.0</w:t>
            </w:r>
            <w:r w:rsidR="009649DD" w:rsidRPr="000A1D51">
              <w:rPr>
                <w:rFonts w:asciiTheme="minorHAnsi" w:hAnsiTheme="minorHAnsi" w:cstheme="minorHAnsi"/>
                <w:sz w:val="21"/>
                <w:szCs w:val="21"/>
              </w:rPr>
              <w:t xml:space="preserve"> </w:t>
            </w:r>
            <w:r w:rsidR="00310A06" w:rsidRPr="000A1D51">
              <w:rPr>
                <w:rFonts w:asciiTheme="minorHAnsi" w:hAnsiTheme="minorHAnsi" w:cstheme="minorHAnsi"/>
                <w:sz w:val="21"/>
                <w:szCs w:val="21"/>
              </w:rPr>
              <w:t>million</w:t>
            </w:r>
          </w:p>
        </w:tc>
      </w:tr>
      <w:tr w:rsidR="00310A06" w:rsidRPr="000A1D51" w14:paraId="652603C6" w14:textId="77777777" w:rsidTr="002D4C11">
        <w:trPr>
          <w:cantSplit/>
        </w:trPr>
        <w:tc>
          <w:tcPr>
            <w:tcW w:w="2263" w:type="dxa"/>
            <w:shd w:val="clear" w:color="auto" w:fill="auto"/>
          </w:tcPr>
          <w:p w14:paraId="3D312296" w14:textId="77777777" w:rsidR="00310A06" w:rsidRPr="000A1D51" w:rsidRDefault="00310A06" w:rsidP="006C5259">
            <w:pPr>
              <w:pStyle w:val="Table-normal-text"/>
              <w:rPr>
                <w:rFonts w:asciiTheme="minorHAnsi" w:hAnsiTheme="minorHAnsi" w:cstheme="minorHAnsi"/>
                <w:sz w:val="21"/>
                <w:szCs w:val="21"/>
              </w:rPr>
            </w:pPr>
            <w:r w:rsidRPr="000A1D51">
              <w:rPr>
                <w:rFonts w:asciiTheme="minorHAnsi" w:hAnsiTheme="minorHAnsi" w:cstheme="minorHAnsi"/>
                <w:sz w:val="21"/>
                <w:szCs w:val="21"/>
              </w:rPr>
              <w:t xml:space="preserve">Total other </w:t>
            </w:r>
          </w:p>
        </w:tc>
        <w:tc>
          <w:tcPr>
            <w:tcW w:w="5892" w:type="dxa"/>
            <w:gridSpan w:val="3"/>
            <w:shd w:val="clear" w:color="auto" w:fill="auto"/>
          </w:tcPr>
          <w:p w14:paraId="2108AEC8" w14:textId="77777777" w:rsidR="00310A06" w:rsidRPr="000A1D51" w:rsidRDefault="009649DD" w:rsidP="006C5259">
            <w:pPr>
              <w:pStyle w:val="Table-normal-text"/>
              <w:rPr>
                <w:rFonts w:asciiTheme="minorHAnsi" w:hAnsiTheme="minorHAnsi" w:cstheme="minorHAnsi"/>
                <w:sz w:val="21"/>
                <w:szCs w:val="21"/>
              </w:rPr>
            </w:pPr>
            <w:r w:rsidRPr="000A1D51">
              <w:rPr>
                <w:rFonts w:asciiTheme="minorHAnsi" w:hAnsiTheme="minorHAnsi" w:cstheme="minorHAnsi"/>
                <w:sz w:val="21"/>
                <w:szCs w:val="21"/>
              </w:rPr>
              <w:t xml:space="preserve"> </w:t>
            </w:r>
          </w:p>
        </w:tc>
      </w:tr>
      <w:tr w:rsidR="00310A06" w:rsidRPr="000A1D51" w14:paraId="2B73E175" w14:textId="77777777" w:rsidTr="002D4C11">
        <w:trPr>
          <w:cantSplit/>
        </w:trPr>
        <w:tc>
          <w:tcPr>
            <w:tcW w:w="2263" w:type="dxa"/>
            <w:shd w:val="clear" w:color="auto" w:fill="auto"/>
          </w:tcPr>
          <w:p w14:paraId="7E6BA9F4" w14:textId="77777777" w:rsidR="00310A06" w:rsidRPr="000A1D51" w:rsidRDefault="00310A06" w:rsidP="006C5259">
            <w:pPr>
              <w:pStyle w:val="Table-normal-text"/>
              <w:rPr>
                <w:rFonts w:asciiTheme="minorHAnsi" w:hAnsiTheme="minorHAnsi" w:cstheme="minorHAnsi"/>
                <w:sz w:val="21"/>
                <w:szCs w:val="21"/>
              </w:rPr>
            </w:pPr>
            <w:r w:rsidRPr="000A1D51">
              <w:rPr>
                <w:rFonts w:asciiTheme="minorHAnsi" w:hAnsiTheme="minorHAnsi" w:cstheme="minorHAnsi"/>
                <w:sz w:val="21"/>
                <w:szCs w:val="21"/>
              </w:rPr>
              <w:t xml:space="preserve">Delivery </w:t>
            </w:r>
            <w:r w:rsidR="00083D72" w:rsidRPr="000A1D51">
              <w:rPr>
                <w:rFonts w:asciiTheme="minorHAnsi" w:hAnsiTheme="minorHAnsi" w:cstheme="minorHAnsi"/>
                <w:sz w:val="21"/>
                <w:szCs w:val="21"/>
              </w:rPr>
              <w:t>organization</w:t>
            </w:r>
          </w:p>
        </w:tc>
        <w:tc>
          <w:tcPr>
            <w:tcW w:w="5892" w:type="dxa"/>
            <w:gridSpan w:val="3"/>
            <w:shd w:val="clear" w:color="auto" w:fill="auto"/>
          </w:tcPr>
          <w:p w14:paraId="0363EC7B" w14:textId="77777777" w:rsidR="00310A06" w:rsidRPr="000A1D51" w:rsidRDefault="00310A06" w:rsidP="006C5259">
            <w:pPr>
              <w:pStyle w:val="Table-normal-text"/>
              <w:rPr>
                <w:rFonts w:asciiTheme="minorHAnsi" w:hAnsiTheme="minorHAnsi" w:cstheme="minorHAnsi"/>
                <w:sz w:val="21"/>
                <w:szCs w:val="21"/>
              </w:rPr>
            </w:pPr>
            <w:r w:rsidRPr="000A1D51">
              <w:rPr>
                <w:rFonts w:asciiTheme="minorHAnsi" w:hAnsiTheme="minorHAnsi" w:cstheme="minorHAnsi"/>
                <w:sz w:val="21"/>
                <w:szCs w:val="21"/>
              </w:rPr>
              <w:t>ASEAN Secretariat</w:t>
            </w:r>
            <w:r w:rsidRPr="000A1D51">
              <w:rPr>
                <w:rFonts w:ascii="MS Gothic" w:eastAsia="MS Gothic" w:hAnsi="MS Gothic" w:cs="MS Gothic" w:hint="eastAsia"/>
                <w:sz w:val="21"/>
                <w:szCs w:val="21"/>
              </w:rPr>
              <w:t> </w:t>
            </w:r>
          </w:p>
        </w:tc>
      </w:tr>
      <w:tr w:rsidR="00310A06" w:rsidRPr="000A1D51" w14:paraId="4DE96352" w14:textId="77777777" w:rsidTr="002D4C11">
        <w:trPr>
          <w:cantSplit/>
        </w:trPr>
        <w:tc>
          <w:tcPr>
            <w:tcW w:w="2263" w:type="dxa"/>
            <w:shd w:val="clear" w:color="auto" w:fill="auto"/>
          </w:tcPr>
          <w:p w14:paraId="179D16E1" w14:textId="77777777" w:rsidR="00310A06" w:rsidRPr="000A1D51" w:rsidRDefault="00310A06" w:rsidP="006C5259">
            <w:pPr>
              <w:pStyle w:val="Table-normal-text"/>
              <w:rPr>
                <w:rFonts w:asciiTheme="minorHAnsi" w:hAnsiTheme="minorHAnsi" w:cstheme="minorHAnsi"/>
                <w:sz w:val="21"/>
                <w:szCs w:val="21"/>
              </w:rPr>
            </w:pPr>
            <w:r w:rsidRPr="000A1D51">
              <w:rPr>
                <w:rFonts w:asciiTheme="minorHAnsi" w:hAnsiTheme="minorHAnsi" w:cstheme="minorHAnsi"/>
                <w:sz w:val="21"/>
                <w:szCs w:val="21"/>
              </w:rPr>
              <w:t>Implementing Partners</w:t>
            </w:r>
          </w:p>
        </w:tc>
        <w:tc>
          <w:tcPr>
            <w:tcW w:w="5892" w:type="dxa"/>
            <w:gridSpan w:val="3"/>
            <w:shd w:val="clear" w:color="auto" w:fill="auto"/>
          </w:tcPr>
          <w:p w14:paraId="00837342" w14:textId="77777777" w:rsidR="00310A06" w:rsidRPr="000A1D51" w:rsidRDefault="00310A06" w:rsidP="006C5259">
            <w:pPr>
              <w:pStyle w:val="Table-normal-text"/>
              <w:rPr>
                <w:rFonts w:asciiTheme="minorHAnsi" w:hAnsiTheme="minorHAnsi" w:cstheme="minorHAnsi"/>
                <w:sz w:val="21"/>
                <w:szCs w:val="21"/>
              </w:rPr>
            </w:pPr>
            <w:r w:rsidRPr="000A1D51">
              <w:rPr>
                <w:rFonts w:asciiTheme="minorHAnsi" w:hAnsiTheme="minorHAnsi" w:cstheme="minorHAnsi"/>
                <w:sz w:val="21"/>
                <w:szCs w:val="21"/>
              </w:rPr>
              <w:t>ASEAN Secretariat</w:t>
            </w:r>
            <w:r w:rsidRPr="000A1D51">
              <w:rPr>
                <w:rFonts w:ascii="MS Gothic" w:eastAsia="MS Gothic" w:hAnsi="MS Gothic" w:cs="MS Gothic" w:hint="eastAsia"/>
                <w:sz w:val="21"/>
                <w:szCs w:val="21"/>
              </w:rPr>
              <w:t> </w:t>
            </w:r>
          </w:p>
        </w:tc>
      </w:tr>
      <w:tr w:rsidR="00310A06" w:rsidRPr="000A1D51" w14:paraId="4F3ADD42" w14:textId="77777777" w:rsidTr="002D4C11">
        <w:trPr>
          <w:cantSplit/>
        </w:trPr>
        <w:tc>
          <w:tcPr>
            <w:tcW w:w="2263" w:type="dxa"/>
            <w:shd w:val="clear" w:color="auto" w:fill="auto"/>
          </w:tcPr>
          <w:p w14:paraId="0D943169" w14:textId="77777777" w:rsidR="00310A06" w:rsidRPr="000A1D51" w:rsidRDefault="00310A06" w:rsidP="006C5259">
            <w:pPr>
              <w:pStyle w:val="Table-normal-text"/>
              <w:rPr>
                <w:rFonts w:asciiTheme="minorHAnsi" w:hAnsiTheme="minorHAnsi" w:cstheme="minorHAnsi"/>
                <w:sz w:val="21"/>
                <w:szCs w:val="21"/>
              </w:rPr>
            </w:pPr>
            <w:r w:rsidRPr="000A1D51">
              <w:rPr>
                <w:rFonts w:asciiTheme="minorHAnsi" w:hAnsiTheme="minorHAnsi" w:cstheme="minorHAnsi"/>
                <w:sz w:val="21"/>
                <w:szCs w:val="21"/>
              </w:rPr>
              <w:t>Country/Region</w:t>
            </w:r>
          </w:p>
        </w:tc>
        <w:tc>
          <w:tcPr>
            <w:tcW w:w="5892" w:type="dxa"/>
            <w:gridSpan w:val="3"/>
            <w:shd w:val="clear" w:color="auto" w:fill="auto"/>
          </w:tcPr>
          <w:p w14:paraId="09384850" w14:textId="77777777" w:rsidR="00310A06" w:rsidRPr="000A1D51" w:rsidRDefault="00310A06" w:rsidP="006C5259">
            <w:pPr>
              <w:pStyle w:val="Table-normal-text"/>
              <w:rPr>
                <w:rFonts w:asciiTheme="minorHAnsi" w:hAnsiTheme="minorHAnsi" w:cstheme="minorHAnsi"/>
                <w:sz w:val="21"/>
                <w:szCs w:val="21"/>
              </w:rPr>
            </w:pPr>
            <w:r w:rsidRPr="000A1D51">
              <w:rPr>
                <w:rFonts w:asciiTheme="minorHAnsi" w:hAnsiTheme="minorHAnsi" w:cstheme="minorHAnsi"/>
                <w:sz w:val="21"/>
                <w:szCs w:val="21"/>
              </w:rPr>
              <w:t>ASEAN</w:t>
            </w:r>
          </w:p>
        </w:tc>
      </w:tr>
      <w:tr w:rsidR="00310A06" w:rsidRPr="000A1D51" w14:paraId="1D050312" w14:textId="77777777" w:rsidTr="002D4C11">
        <w:trPr>
          <w:cantSplit/>
        </w:trPr>
        <w:tc>
          <w:tcPr>
            <w:tcW w:w="2263" w:type="dxa"/>
            <w:shd w:val="clear" w:color="auto" w:fill="auto"/>
          </w:tcPr>
          <w:p w14:paraId="20470FA9" w14:textId="77777777" w:rsidR="00310A06" w:rsidRPr="000A1D51" w:rsidRDefault="00310A06" w:rsidP="006C5259">
            <w:pPr>
              <w:pStyle w:val="Table-normal-text"/>
              <w:rPr>
                <w:rFonts w:asciiTheme="minorHAnsi" w:hAnsiTheme="minorHAnsi" w:cstheme="minorHAnsi"/>
                <w:sz w:val="21"/>
                <w:szCs w:val="21"/>
              </w:rPr>
            </w:pPr>
            <w:r w:rsidRPr="000A1D51">
              <w:rPr>
                <w:rFonts w:asciiTheme="minorHAnsi" w:hAnsiTheme="minorHAnsi" w:cstheme="minorHAnsi"/>
                <w:sz w:val="21"/>
                <w:szCs w:val="21"/>
              </w:rPr>
              <w:t>Primary Sector</w:t>
            </w:r>
          </w:p>
        </w:tc>
        <w:tc>
          <w:tcPr>
            <w:tcW w:w="5892" w:type="dxa"/>
            <w:gridSpan w:val="3"/>
            <w:shd w:val="clear" w:color="auto" w:fill="auto"/>
          </w:tcPr>
          <w:p w14:paraId="61308256" w14:textId="77777777" w:rsidR="00310A06" w:rsidRPr="000A1D51" w:rsidRDefault="00310A06" w:rsidP="006C5259">
            <w:pPr>
              <w:pStyle w:val="Table-normal-text"/>
              <w:rPr>
                <w:rFonts w:asciiTheme="minorHAnsi" w:hAnsiTheme="minorHAnsi" w:cstheme="minorHAnsi"/>
                <w:sz w:val="21"/>
                <w:szCs w:val="21"/>
              </w:rPr>
            </w:pPr>
            <w:r w:rsidRPr="000A1D51">
              <w:rPr>
                <w:rFonts w:asciiTheme="minorHAnsi" w:hAnsiTheme="minorHAnsi" w:cstheme="minorHAnsi"/>
                <w:sz w:val="21"/>
                <w:szCs w:val="21"/>
              </w:rPr>
              <w:t>ECONOMIC INFRASTRUCTURE &amp; SERVICES</w:t>
            </w:r>
          </w:p>
        </w:tc>
      </w:tr>
    </w:tbl>
    <w:p w14:paraId="64539D9B" w14:textId="77777777" w:rsidR="00310A06" w:rsidRPr="000A1D51" w:rsidRDefault="00310A06" w:rsidP="00310A06">
      <w:pPr>
        <w:rPr>
          <w:rFonts w:asciiTheme="minorHAnsi" w:hAnsiTheme="minorHAnsi" w:cstheme="minorHAnsi"/>
        </w:rPr>
      </w:pPr>
    </w:p>
    <w:p w14:paraId="76D23BDD" w14:textId="77777777" w:rsidR="00310A06" w:rsidRPr="000A1D51" w:rsidRDefault="00310A06" w:rsidP="002D7A79">
      <w:pPr>
        <w:pStyle w:val="Heading3"/>
        <w:rPr>
          <w:rFonts w:asciiTheme="minorHAnsi" w:hAnsiTheme="minorHAnsi" w:cstheme="minorHAnsi"/>
        </w:rPr>
      </w:pPr>
      <w:bookmarkStart w:id="5" w:name="_Toc24884098"/>
      <w:bookmarkStart w:id="6" w:name="_Toc31820100"/>
      <w:r w:rsidRPr="000A1D51">
        <w:rPr>
          <w:rFonts w:asciiTheme="minorHAnsi" w:hAnsiTheme="minorHAnsi" w:cstheme="minorHAnsi"/>
        </w:rPr>
        <w:t>Acknowledgments</w:t>
      </w:r>
      <w:bookmarkEnd w:id="5"/>
      <w:bookmarkEnd w:id="6"/>
    </w:p>
    <w:p w14:paraId="7A4F9773" w14:textId="77777777" w:rsidR="00F6001C" w:rsidRPr="000A1D51" w:rsidRDefault="00F6001C" w:rsidP="004748A1">
      <w:pPr>
        <w:pStyle w:val="BodyText"/>
        <w:numPr>
          <w:ilvl w:val="0"/>
          <w:numId w:val="30"/>
        </w:numPr>
        <w:rPr>
          <w:rFonts w:asciiTheme="minorHAnsi" w:hAnsiTheme="minorHAnsi" w:cstheme="minorHAnsi"/>
        </w:rPr>
      </w:pPr>
      <w:r w:rsidRPr="000A1D51">
        <w:rPr>
          <w:rFonts w:asciiTheme="minorHAnsi" w:hAnsiTheme="minorHAnsi" w:cstheme="minorHAnsi"/>
        </w:rPr>
        <w:t xml:space="preserve">The mission held consultations with government agencies, development partners, and stakeholders from selected subprojects. Their support to the mission is much appreciated. A list of agencies and persons consulted is included in Appendix A. </w:t>
      </w:r>
    </w:p>
    <w:p w14:paraId="5A7214E1" w14:textId="77777777" w:rsidR="00F6001C" w:rsidRPr="000A1D51" w:rsidRDefault="00F6001C" w:rsidP="004748A1">
      <w:pPr>
        <w:pStyle w:val="BodyText"/>
        <w:numPr>
          <w:ilvl w:val="0"/>
          <w:numId w:val="30"/>
        </w:numPr>
        <w:rPr>
          <w:rFonts w:asciiTheme="minorHAnsi" w:hAnsiTheme="minorHAnsi" w:cstheme="minorHAnsi"/>
        </w:rPr>
      </w:pPr>
      <w:r w:rsidRPr="000A1D51">
        <w:rPr>
          <w:rFonts w:asciiTheme="minorHAnsi" w:hAnsiTheme="minorHAnsi" w:cstheme="minorHAnsi"/>
        </w:rPr>
        <w:t xml:space="preserve">The mission appreciates the support provided by the DFAT Mission and AADCP II officers in Jakarta, and the open and productive discussions with key stakeholders consulted during </w:t>
      </w:r>
      <w:r w:rsidR="007214D6" w:rsidRPr="000A1D51">
        <w:rPr>
          <w:rFonts w:asciiTheme="minorHAnsi" w:hAnsiTheme="minorHAnsi" w:cstheme="minorHAnsi"/>
        </w:rPr>
        <w:t xml:space="preserve">and following </w:t>
      </w:r>
      <w:r w:rsidRPr="000A1D51">
        <w:rPr>
          <w:rFonts w:asciiTheme="minorHAnsi" w:hAnsiTheme="minorHAnsi" w:cstheme="minorHAnsi"/>
        </w:rPr>
        <w:t xml:space="preserve">the visit. </w:t>
      </w:r>
    </w:p>
    <w:p w14:paraId="6597F08D" w14:textId="29F6B7BB" w:rsidR="00310A06" w:rsidRPr="000A1D51" w:rsidRDefault="00310A06" w:rsidP="004748A1">
      <w:pPr>
        <w:pStyle w:val="BodyText"/>
        <w:numPr>
          <w:ilvl w:val="0"/>
          <w:numId w:val="30"/>
        </w:numPr>
        <w:rPr>
          <w:rFonts w:asciiTheme="minorHAnsi" w:hAnsiTheme="minorHAnsi" w:cstheme="minorHAnsi"/>
        </w:rPr>
      </w:pPr>
      <w:r w:rsidRPr="000A1D51">
        <w:rPr>
          <w:rFonts w:asciiTheme="minorHAnsi" w:hAnsiTheme="minorHAnsi" w:cstheme="minorHAnsi"/>
        </w:rPr>
        <w:t xml:space="preserve">The views in this report reflect the </w:t>
      </w:r>
      <w:r w:rsidR="007214D6" w:rsidRPr="000A1D51">
        <w:rPr>
          <w:rFonts w:asciiTheme="minorHAnsi" w:hAnsiTheme="minorHAnsi" w:cstheme="minorHAnsi"/>
        </w:rPr>
        <w:t>findings</w:t>
      </w:r>
      <w:r w:rsidRPr="000A1D51">
        <w:rPr>
          <w:rFonts w:asciiTheme="minorHAnsi" w:hAnsiTheme="minorHAnsi" w:cstheme="minorHAnsi"/>
        </w:rPr>
        <w:t xml:space="preserve"> of the independent evaluation team. They do not necessarily reflect the views of the various stakeholders.</w:t>
      </w:r>
    </w:p>
    <w:p w14:paraId="10F431E2" w14:textId="77777777" w:rsidR="00310A06" w:rsidRPr="000A1D51" w:rsidRDefault="00310A06" w:rsidP="002D7A79">
      <w:pPr>
        <w:pStyle w:val="Heading3"/>
        <w:rPr>
          <w:rFonts w:asciiTheme="minorHAnsi" w:hAnsiTheme="minorHAnsi" w:cstheme="minorHAnsi"/>
        </w:rPr>
      </w:pPr>
      <w:bookmarkStart w:id="7" w:name="_Toc24884099"/>
      <w:bookmarkStart w:id="8" w:name="_Toc31820101"/>
      <w:r w:rsidRPr="000A1D51">
        <w:rPr>
          <w:rFonts w:asciiTheme="minorHAnsi" w:hAnsiTheme="minorHAnsi" w:cstheme="minorHAnsi"/>
        </w:rPr>
        <w:t>Author’s Details</w:t>
      </w:r>
      <w:bookmarkEnd w:id="7"/>
      <w:bookmarkEnd w:id="8"/>
    </w:p>
    <w:p w14:paraId="032A6AB8" w14:textId="77777777" w:rsidR="009F01D6" w:rsidRPr="000A1D51" w:rsidRDefault="009F01D6" w:rsidP="00CF61C5">
      <w:pPr>
        <w:pStyle w:val="ListParagraph"/>
      </w:pPr>
      <w:r w:rsidRPr="000A1D51">
        <w:t>The independent review team comprised:</w:t>
      </w:r>
    </w:p>
    <w:p w14:paraId="0D4CD07D" w14:textId="77777777" w:rsidR="009F01D6" w:rsidRPr="000A1D51" w:rsidRDefault="009F01D6" w:rsidP="009F01D6">
      <w:pPr>
        <w:pStyle w:val="BodyText"/>
        <w:numPr>
          <w:ilvl w:val="0"/>
          <w:numId w:val="26"/>
        </w:numPr>
        <w:ind w:left="1080"/>
        <w:rPr>
          <w:rFonts w:asciiTheme="minorHAnsi" w:hAnsiTheme="minorHAnsi" w:cstheme="minorHAnsi"/>
        </w:rPr>
      </w:pPr>
      <w:r w:rsidRPr="000A1D51">
        <w:rPr>
          <w:rFonts w:asciiTheme="minorHAnsi" w:hAnsiTheme="minorHAnsi" w:cstheme="minorHAnsi"/>
        </w:rPr>
        <w:t xml:space="preserve">Raymond Mallon, Economist, Review Team Leader; and </w:t>
      </w:r>
    </w:p>
    <w:p w14:paraId="56E7155E" w14:textId="77777777" w:rsidR="009F01D6" w:rsidRPr="000A1D51" w:rsidRDefault="009F01D6" w:rsidP="009F01D6">
      <w:pPr>
        <w:pStyle w:val="BodyText"/>
        <w:numPr>
          <w:ilvl w:val="0"/>
          <w:numId w:val="26"/>
        </w:numPr>
        <w:ind w:left="1080"/>
        <w:rPr>
          <w:rFonts w:asciiTheme="minorHAnsi" w:hAnsiTheme="minorHAnsi" w:cstheme="minorHAnsi"/>
        </w:rPr>
      </w:pPr>
      <w:r w:rsidRPr="000A1D51">
        <w:rPr>
          <w:rFonts w:asciiTheme="minorHAnsi" w:hAnsiTheme="minorHAnsi" w:cstheme="minorHAnsi"/>
        </w:rPr>
        <w:t>Samiha Barkat, Principal Consultant, Clear Horizon.</w:t>
      </w:r>
    </w:p>
    <w:p w14:paraId="7A2B8C54" w14:textId="77777777" w:rsidR="009F01D6" w:rsidRPr="000A1D51" w:rsidRDefault="009F01D6" w:rsidP="00CF61C5">
      <w:pPr>
        <w:pStyle w:val="ListParagraph"/>
      </w:pPr>
      <w:r w:rsidRPr="000A1D51">
        <w:t>The independent review team was assisted in Indonesia by:</w:t>
      </w:r>
    </w:p>
    <w:p w14:paraId="73B37796" w14:textId="77777777" w:rsidR="009F01D6" w:rsidRPr="000A1D51" w:rsidRDefault="009F01D6" w:rsidP="009F01D6">
      <w:pPr>
        <w:pStyle w:val="BodyText"/>
        <w:numPr>
          <w:ilvl w:val="0"/>
          <w:numId w:val="27"/>
        </w:numPr>
        <w:ind w:left="1080"/>
        <w:rPr>
          <w:rFonts w:asciiTheme="minorHAnsi" w:hAnsiTheme="minorHAnsi" w:cstheme="minorHAnsi"/>
        </w:rPr>
      </w:pPr>
      <w:r w:rsidRPr="000A1D51">
        <w:rPr>
          <w:rFonts w:asciiTheme="minorHAnsi" w:hAnsiTheme="minorHAnsi" w:cstheme="minorHAnsi"/>
        </w:rPr>
        <w:t>Megan Jones, Deputy Head of Mission, Australian Mission to ASEAN, Jakarta;</w:t>
      </w:r>
    </w:p>
    <w:p w14:paraId="46FFA61C" w14:textId="77777777" w:rsidR="009F01D6" w:rsidRPr="000A1D51" w:rsidRDefault="009F01D6" w:rsidP="009F01D6">
      <w:pPr>
        <w:pStyle w:val="BodyText"/>
        <w:numPr>
          <w:ilvl w:val="0"/>
          <w:numId w:val="27"/>
        </w:numPr>
        <w:ind w:left="1080"/>
        <w:rPr>
          <w:rFonts w:asciiTheme="minorHAnsi" w:hAnsiTheme="minorHAnsi" w:cstheme="minorHAnsi"/>
        </w:rPr>
      </w:pPr>
      <w:r w:rsidRPr="000A1D51">
        <w:rPr>
          <w:rFonts w:asciiTheme="minorHAnsi" w:hAnsiTheme="minorHAnsi" w:cstheme="minorHAnsi"/>
        </w:rPr>
        <w:t>Bia Puspita, Senior Program Manager, Australian Mission to ASEAN, Jakarta; and</w:t>
      </w:r>
    </w:p>
    <w:p w14:paraId="58945A4F" w14:textId="77777777" w:rsidR="009F01D6" w:rsidRPr="000A1D51" w:rsidRDefault="009F01D6" w:rsidP="009F01D6">
      <w:pPr>
        <w:pStyle w:val="BodyText"/>
        <w:numPr>
          <w:ilvl w:val="0"/>
          <w:numId w:val="27"/>
        </w:numPr>
        <w:ind w:left="1080"/>
        <w:rPr>
          <w:rFonts w:asciiTheme="minorHAnsi" w:hAnsiTheme="minorHAnsi" w:cstheme="minorHAnsi"/>
        </w:rPr>
      </w:pPr>
      <w:r w:rsidRPr="000A1D51">
        <w:rPr>
          <w:rFonts w:asciiTheme="minorHAnsi" w:hAnsiTheme="minorHAnsi" w:cstheme="minorHAnsi"/>
        </w:rPr>
        <w:t xml:space="preserve">Listi Irawati, Program </w:t>
      </w:r>
      <w:r w:rsidR="00227E75" w:rsidRPr="000A1D51">
        <w:rPr>
          <w:rFonts w:asciiTheme="minorHAnsi" w:hAnsiTheme="minorHAnsi" w:cstheme="minorHAnsi"/>
        </w:rPr>
        <w:t>Manager</w:t>
      </w:r>
      <w:r w:rsidRPr="000A1D51">
        <w:rPr>
          <w:rFonts w:asciiTheme="minorHAnsi" w:hAnsiTheme="minorHAnsi" w:cstheme="minorHAnsi"/>
        </w:rPr>
        <w:t>, Australian Mission to ASEAN, Jakarta.</w:t>
      </w:r>
    </w:p>
    <w:p w14:paraId="4E59763E" w14:textId="77777777" w:rsidR="00310A06" w:rsidRPr="000A1D51" w:rsidRDefault="00310A06" w:rsidP="009D16D3">
      <w:pPr>
        <w:numPr>
          <w:ilvl w:val="0"/>
          <w:numId w:val="27"/>
        </w:numPr>
        <w:spacing w:after="200" w:line="276" w:lineRule="auto"/>
        <w:rPr>
          <w:rFonts w:asciiTheme="minorHAnsi" w:hAnsiTheme="minorHAnsi" w:cstheme="minorHAnsi"/>
          <w:color w:val="000000" w:themeColor="text1"/>
          <w:sz w:val="21"/>
        </w:rPr>
      </w:pPr>
      <w:r w:rsidRPr="000A1D51">
        <w:rPr>
          <w:rFonts w:asciiTheme="minorHAnsi" w:hAnsiTheme="minorHAnsi" w:cstheme="minorHAnsi"/>
        </w:rPr>
        <w:br w:type="page"/>
      </w:r>
    </w:p>
    <w:p w14:paraId="591A17CA" w14:textId="77777777" w:rsidR="00221E2C" w:rsidRPr="000A1D51" w:rsidRDefault="00220593" w:rsidP="00221E2C">
      <w:pPr>
        <w:pStyle w:val="Heading1"/>
        <w:jc w:val="center"/>
        <w:rPr>
          <w:rFonts w:asciiTheme="minorHAnsi" w:hAnsiTheme="minorHAnsi" w:cstheme="minorHAnsi"/>
        </w:rPr>
      </w:pPr>
      <w:bookmarkStart w:id="9" w:name="_Toc533181386"/>
      <w:bookmarkStart w:id="10" w:name="_Toc24884100"/>
      <w:bookmarkStart w:id="11" w:name="_Toc31820102"/>
      <w:r w:rsidRPr="000A1D51">
        <w:rPr>
          <w:rFonts w:asciiTheme="minorHAnsi" w:hAnsiTheme="minorHAnsi" w:cstheme="minorHAnsi"/>
        </w:rPr>
        <w:lastRenderedPageBreak/>
        <w:t>ACRONYMS</w:t>
      </w:r>
      <w:bookmarkEnd w:id="9"/>
      <w:bookmarkEnd w:id="10"/>
      <w:bookmarkEnd w:id="11"/>
    </w:p>
    <w:p w14:paraId="590F9678" w14:textId="77777777" w:rsidR="00C57F35" w:rsidRPr="000A1D51" w:rsidRDefault="00C57F35" w:rsidP="00C57F35">
      <w:pPr>
        <w:pStyle w:val="BodyText"/>
        <w:rPr>
          <w:rFonts w:asciiTheme="minorHAnsi" w:hAnsiTheme="minorHAnsi" w:cstheme="minorHAnsi"/>
        </w:rPr>
      </w:pPr>
    </w:p>
    <w:tbl>
      <w:tblPr>
        <w:tblW w:w="0" w:type="auto"/>
        <w:tblInd w:w="85" w:type="dxa"/>
        <w:tblLayout w:type="fixed"/>
        <w:tblCellMar>
          <w:left w:w="56" w:type="dxa"/>
          <w:right w:w="56" w:type="dxa"/>
        </w:tblCellMar>
        <w:tblLook w:val="04A0" w:firstRow="1" w:lastRow="0" w:firstColumn="1" w:lastColumn="0" w:noHBand="0" w:noVBand="1"/>
      </w:tblPr>
      <w:tblGrid>
        <w:gridCol w:w="1531"/>
        <w:gridCol w:w="60"/>
        <w:gridCol w:w="6347"/>
      </w:tblGrid>
      <w:tr w:rsidR="003F6535" w:rsidRPr="000A1D51" w14:paraId="6F544327" w14:textId="77777777" w:rsidTr="006C5259">
        <w:tc>
          <w:tcPr>
            <w:tcW w:w="1591" w:type="dxa"/>
            <w:gridSpan w:val="2"/>
            <w:tcBorders>
              <w:top w:val="nil"/>
              <w:left w:val="nil"/>
              <w:bottom w:val="nil"/>
              <w:right w:val="nil"/>
            </w:tcBorders>
          </w:tcPr>
          <w:p w14:paraId="460C5D9F" w14:textId="77777777" w:rsidR="003F6535" w:rsidRPr="000A1D51" w:rsidRDefault="003F6535"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AADCP</w:t>
            </w:r>
            <w:r w:rsidR="00963E7A" w:rsidRPr="000A1D51">
              <w:rPr>
                <w:rFonts w:asciiTheme="minorHAnsi" w:hAnsiTheme="minorHAnsi" w:cstheme="minorHAnsi"/>
                <w:sz w:val="18"/>
                <w:szCs w:val="18"/>
                <w:lang w:val="en-US"/>
              </w:rPr>
              <w:t xml:space="preserve"> II</w:t>
            </w:r>
          </w:p>
        </w:tc>
        <w:tc>
          <w:tcPr>
            <w:tcW w:w="6347" w:type="dxa"/>
            <w:tcBorders>
              <w:top w:val="nil"/>
              <w:left w:val="nil"/>
              <w:bottom w:val="nil"/>
              <w:right w:val="nil"/>
            </w:tcBorders>
          </w:tcPr>
          <w:p w14:paraId="63708968" w14:textId="77777777" w:rsidR="003F6535" w:rsidRPr="000A1D51" w:rsidRDefault="003F6535"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ASEAN Australia Development Cooperation Program</w:t>
            </w:r>
            <w:r w:rsidR="00963E7A" w:rsidRPr="000A1D51">
              <w:rPr>
                <w:rFonts w:asciiTheme="minorHAnsi" w:hAnsiTheme="minorHAnsi" w:cstheme="minorHAnsi"/>
                <w:sz w:val="18"/>
                <w:szCs w:val="18"/>
                <w:lang w:val="en-US"/>
              </w:rPr>
              <w:t xml:space="preserve"> II</w:t>
            </w:r>
          </w:p>
        </w:tc>
      </w:tr>
      <w:tr w:rsidR="00221E2C" w:rsidRPr="000A1D51" w14:paraId="1ED0420B" w14:textId="77777777" w:rsidTr="006C5259">
        <w:tc>
          <w:tcPr>
            <w:tcW w:w="1591" w:type="dxa"/>
            <w:gridSpan w:val="2"/>
            <w:tcBorders>
              <w:top w:val="nil"/>
              <w:left w:val="nil"/>
              <w:bottom w:val="nil"/>
              <w:right w:val="nil"/>
            </w:tcBorders>
          </w:tcPr>
          <w:p w14:paraId="0EA13059"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AANZFTA</w:t>
            </w:r>
          </w:p>
        </w:tc>
        <w:tc>
          <w:tcPr>
            <w:tcW w:w="6347" w:type="dxa"/>
            <w:tcBorders>
              <w:top w:val="nil"/>
              <w:left w:val="nil"/>
              <w:bottom w:val="nil"/>
              <w:right w:val="nil"/>
            </w:tcBorders>
          </w:tcPr>
          <w:p w14:paraId="58C87F80"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ASEAN-Australia-New Zealand Free Trade Area</w:t>
            </w:r>
          </w:p>
        </w:tc>
      </w:tr>
      <w:tr w:rsidR="00C17DD8" w:rsidRPr="000A1D51" w14:paraId="4621F9BD" w14:textId="77777777" w:rsidTr="006C5259">
        <w:tc>
          <w:tcPr>
            <w:tcW w:w="1591" w:type="dxa"/>
            <w:gridSpan w:val="2"/>
            <w:tcBorders>
              <w:top w:val="nil"/>
              <w:left w:val="nil"/>
              <w:bottom w:val="nil"/>
              <w:right w:val="nil"/>
            </w:tcBorders>
          </w:tcPr>
          <w:p w14:paraId="36827318" w14:textId="77777777" w:rsidR="00C17DD8" w:rsidRPr="000A1D51" w:rsidRDefault="00C17DD8"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ACCC</w:t>
            </w:r>
          </w:p>
        </w:tc>
        <w:tc>
          <w:tcPr>
            <w:tcW w:w="6347" w:type="dxa"/>
            <w:tcBorders>
              <w:top w:val="nil"/>
              <w:left w:val="nil"/>
              <w:bottom w:val="nil"/>
              <w:right w:val="nil"/>
            </w:tcBorders>
          </w:tcPr>
          <w:p w14:paraId="4586240E" w14:textId="77777777" w:rsidR="00C17DD8" w:rsidRPr="000A1D51" w:rsidRDefault="00C17DD8"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Australian Competition and Consumer Commission</w:t>
            </w:r>
          </w:p>
        </w:tc>
      </w:tr>
      <w:tr w:rsidR="000A33FA" w:rsidRPr="000A1D51" w14:paraId="5720628B" w14:textId="77777777" w:rsidTr="006C5259">
        <w:tc>
          <w:tcPr>
            <w:tcW w:w="1591" w:type="dxa"/>
            <w:gridSpan w:val="2"/>
            <w:tcBorders>
              <w:top w:val="nil"/>
              <w:left w:val="nil"/>
              <w:bottom w:val="nil"/>
              <w:right w:val="nil"/>
            </w:tcBorders>
          </w:tcPr>
          <w:p w14:paraId="20769A88" w14:textId="77777777" w:rsidR="000A33FA" w:rsidRPr="000A1D51" w:rsidRDefault="000A33FA"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ACIAR</w:t>
            </w:r>
          </w:p>
        </w:tc>
        <w:tc>
          <w:tcPr>
            <w:tcW w:w="6347" w:type="dxa"/>
            <w:tcBorders>
              <w:top w:val="nil"/>
              <w:left w:val="nil"/>
              <w:bottom w:val="nil"/>
              <w:right w:val="nil"/>
            </w:tcBorders>
          </w:tcPr>
          <w:p w14:paraId="01132934" w14:textId="77777777" w:rsidR="000A33FA" w:rsidRPr="000A1D51" w:rsidRDefault="000A33FA"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Australian Centre for International Agricultural Research</w:t>
            </w:r>
          </w:p>
        </w:tc>
      </w:tr>
      <w:tr w:rsidR="00221E2C" w:rsidRPr="000A1D51" w14:paraId="035AF66C" w14:textId="77777777" w:rsidTr="006C5259">
        <w:tc>
          <w:tcPr>
            <w:tcW w:w="1591" w:type="dxa"/>
            <w:gridSpan w:val="2"/>
            <w:tcBorders>
              <w:top w:val="nil"/>
              <w:left w:val="nil"/>
              <w:bottom w:val="nil"/>
              <w:right w:val="nil"/>
            </w:tcBorders>
          </w:tcPr>
          <w:p w14:paraId="1071403F"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AEC</w:t>
            </w:r>
          </w:p>
        </w:tc>
        <w:tc>
          <w:tcPr>
            <w:tcW w:w="6347" w:type="dxa"/>
            <w:tcBorders>
              <w:top w:val="nil"/>
              <w:left w:val="nil"/>
              <w:bottom w:val="nil"/>
              <w:right w:val="nil"/>
            </w:tcBorders>
          </w:tcPr>
          <w:p w14:paraId="63BA7658"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ASEAN Economic Community</w:t>
            </w:r>
          </w:p>
        </w:tc>
      </w:tr>
      <w:tr w:rsidR="00221E2C" w:rsidRPr="000A1D51" w14:paraId="32CB922F" w14:textId="77777777" w:rsidTr="006C5259">
        <w:tc>
          <w:tcPr>
            <w:tcW w:w="1591" w:type="dxa"/>
            <w:gridSpan w:val="2"/>
            <w:tcBorders>
              <w:top w:val="nil"/>
              <w:left w:val="nil"/>
              <w:bottom w:val="nil"/>
              <w:right w:val="nil"/>
            </w:tcBorders>
          </w:tcPr>
          <w:p w14:paraId="53AC48A7"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AECSP</w:t>
            </w:r>
          </w:p>
        </w:tc>
        <w:tc>
          <w:tcPr>
            <w:tcW w:w="6347" w:type="dxa"/>
            <w:tcBorders>
              <w:top w:val="nil"/>
              <w:left w:val="nil"/>
              <w:bottom w:val="nil"/>
              <w:right w:val="nil"/>
            </w:tcBorders>
          </w:tcPr>
          <w:p w14:paraId="136C0A15"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 xml:space="preserve">AANZFTA Economic Cooperation Support Program.  </w:t>
            </w:r>
          </w:p>
        </w:tc>
      </w:tr>
      <w:tr w:rsidR="00B10743" w:rsidRPr="000A1D51" w14:paraId="7F653993" w14:textId="77777777" w:rsidTr="006C5259">
        <w:tc>
          <w:tcPr>
            <w:tcW w:w="1591" w:type="dxa"/>
            <w:gridSpan w:val="2"/>
            <w:tcBorders>
              <w:top w:val="nil"/>
              <w:left w:val="nil"/>
              <w:bottom w:val="nil"/>
              <w:right w:val="nil"/>
            </w:tcBorders>
          </w:tcPr>
          <w:p w14:paraId="46B3E4A6" w14:textId="77777777" w:rsidR="00B10743" w:rsidRPr="000A1D51" w:rsidRDefault="00B10743"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rPr>
              <w:t>AFPWP</w:t>
            </w:r>
          </w:p>
        </w:tc>
        <w:tc>
          <w:tcPr>
            <w:tcW w:w="6347" w:type="dxa"/>
            <w:tcBorders>
              <w:top w:val="nil"/>
              <w:left w:val="nil"/>
              <w:bottom w:val="nil"/>
              <w:right w:val="nil"/>
            </w:tcBorders>
          </w:tcPr>
          <w:p w14:paraId="7E578A65" w14:textId="77777777" w:rsidR="00B10743" w:rsidRPr="000A1D51" w:rsidRDefault="00B10743" w:rsidP="00EA1E1A">
            <w:pPr>
              <w:pStyle w:val="TableTextEntries"/>
              <w:rPr>
                <w:rFonts w:asciiTheme="minorHAnsi" w:hAnsiTheme="minorHAnsi" w:cstheme="minorHAnsi"/>
                <w:sz w:val="18"/>
                <w:szCs w:val="18"/>
              </w:rPr>
            </w:pPr>
            <w:r w:rsidRPr="000A1D51">
              <w:rPr>
                <w:rFonts w:asciiTheme="minorHAnsi" w:hAnsiTheme="minorHAnsi" w:cstheme="minorHAnsi"/>
                <w:sz w:val="18"/>
                <w:szCs w:val="18"/>
              </w:rPr>
              <w:t>Australia Foreign Policy White Paper</w:t>
            </w:r>
          </w:p>
        </w:tc>
      </w:tr>
      <w:tr w:rsidR="005367BF" w:rsidRPr="000A1D51" w14:paraId="03B90D54" w14:textId="77777777" w:rsidTr="006C5259">
        <w:tc>
          <w:tcPr>
            <w:tcW w:w="1591" w:type="dxa"/>
            <w:gridSpan w:val="2"/>
            <w:tcBorders>
              <w:top w:val="nil"/>
              <w:left w:val="nil"/>
              <w:bottom w:val="nil"/>
              <w:right w:val="nil"/>
            </w:tcBorders>
          </w:tcPr>
          <w:p w14:paraId="695ECA64" w14:textId="77777777" w:rsidR="005367BF" w:rsidRPr="000A1D51" w:rsidRDefault="005367BF"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AIP</w:t>
            </w:r>
          </w:p>
        </w:tc>
        <w:tc>
          <w:tcPr>
            <w:tcW w:w="6347" w:type="dxa"/>
            <w:tcBorders>
              <w:top w:val="nil"/>
              <w:left w:val="nil"/>
              <w:bottom w:val="nil"/>
              <w:right w:val="nil"/>
            </w:tcBorders>
          </w:tcPr>
          <w:p w14:paraId="74874042" w14:textId="77777777" w:rsidR="005367BF" w:rsidRPr="000A1D51" w:rsidRDefault="005367BF"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(DFAT) Aid Investment Plan</w:t>
            </w:r>
          </w:p>
        </w:tc>
      </w:tr>
      <w:tr w:rsidR="00221E2C" w:rsidRPr="000A1D51" w14:paraId="759A2695" w14:textId="77777777" w:rsidTr="006C5259">
        <w:tc>
          <w:tcPr>
            <w:tcW w:w="1591" w:type="dxa"/>
            <w:gridSpan w:val="2"/>
            <w:tcBorders>
              <w:top w:val="nil"/>
              <w:left w:val="nil"/>
              <w:bottom w:val="nil"/>
              <w:right w:val="nil"/>
            </w:tcBorders>
          </w:tcPr>
          <w:p w14:paraId="6D4111F9"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AMS</w:t>
            </w:r>
          </w:p>
        </w:tc>
        <w:tc>
          <w:tcPr>
            <w:tcW w:w="6347" w:type="dxa"/>
            <w:tcBorders>
              <w:top w:val="nil"/>
              <w:left w:val="nil"/>
              <w:bottom w:val="nil"/>
              <w:right w:val="nil"/>
            </w:tcBorders>
          </w:tcPr>
          <w:p w14:paraId="745B8214"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ASEAN Member States</w:t>
            </w:r>
          </w:p>
        </w:tc>
      </w:tr>
      <w:tr w:rsidR="00221E2C" w:rsidRPr="000A1D51" w14:paraId="4C28719C" w14:textId="77777777" w:rsidTr="006C5259">
        <w:tc>
          <w:tcPr>
            <w:tcW w:w="1591" w:type="dxa"/>
            <w:gridSpan w:val="2"/>
            <w:tcBorders>
              <w:top w:val="nil"/>
              <w:left w:val="nil"/>
              <w:bottom w:val="nil"/>
              <w:right w:val="nil"/>
            </w:tcBorders>
          </w:tcPr>
          <w:p w14:paraId="35C722EE"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ASEAN</w:t>
            </w:r>
          </w:p>
        </w:tc>
        <w:tc>
          <w:tcPr>
            <w:tcW w:w="6347" w:type="dxa"/>
            <w:tcBorders>
              <w:top w:val="nil"/>
              <w:left w:val="nil"/>
              <w:bottom w:val="nil"/>
              <w:right w:val="nil"/>
            </w:tcBorders>
          </w:tcPr>
          <w:p w14:paraId="3393E798"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Association of Southeast Asian Nations</w:t>
            </w:r>
          </w:p>
        </w:tc>
      </w:tr>
      <w:tr w:rsidR="00C17DD8" w:rsidRPr="000A1D51" w14:paraId="18861852" w14:textId="77777777" w:rsidTr="006C5259">
        <w:tc>
          <w:tcPr>
            <w:tcW w:w="1591" w:type="dxa"/>
            <w:gridSpan w:val="2"/>
            <w:tcBorders>
              <w:top w:val="nil"/>
              <w:left w:val="nil"/>
              <w:bottom w:val="nil"/>
              <w:right w:val="nil"/>
            </w:tcBorders>
          </w:tcPr>
          <w:p w14:paraId="469B3AC6" w14:textId="77777777" w:rsidR="00C17DD8" w:rsidRPr="000A1D51" w:rsidRDefault="00C17DD8"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ASEC</w:t>
            </w:r>
          </w:p>
        </w:tc>
        <w:tc>
          <w:tcPr>
            <w:tcW w:w="6347" w:type="dxa"/>
            <w:tcBorders>
              <w:top w:val="nil"/>
              <w:left w:val="nil"/>
              <w:bottom w:val="nil"/>
              <w:right w:val="nil"/>
            </w:tcBorders>
          </w:tcPr>
          <w:p w14:paraId="4C2A943F" w14:textId="77777777" w:rsidR="00C17DD8" w:rsidRPr="000A1D51" w:rsidRDefault="00C17DD8"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ASEAN Secretariat</w:t>
            </w:r>
          </w:p>
        </w:tc>
      </w:tr>
      <w:tr w:rsidR="00F756E7" w:rsidRPr="000A1D51" w14:paraId="0DC2EF44" w14:textId="77777777" w:rsidTr="006C5259">
        <w:tc>
          <w:tcPr>
            <w:tcW w:w="1591" w:type="dxa"/>
            <w:gridSpan w:val="2"/>
            <w:tcBorders>
              <w:top w:val="nil"/>
              <w:left w:val="nil"/>
              <w:bottom w:val="nil"/>
              <w:right w:val="nil"/>
            </w:tcBorders>
          </w:tcPr>
          <w:p w14:paraId="6B5FB6B0" w14:textId="77777777" w:rsidR="00F756E7" w:rsidRPr="000A1D51" w:rsidRDefault="00F756E7"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CLMV</w:t>
            </w:r>
          </w:p>
        </w:tc>
        <w:tc>
          <w:tcPr>
            <w:tcW w:w="6347" w:type="dxa"/>
            <w:tcBorders>
              <w:top w:val="nil"/>
              <w:left w:val="nil"/>
              <w:bottom w:val="nil"/>
              <w:right w:val="nil"/>
            </w:tcBorders>
          </w:tcPr>
          <w:p w14:paraId="51F060EB" w14:textId="77777777" w:rsidR="00F756E7" w:rsidRPr="000A1D51" w:rsidRDefault="00F756E7"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Cambodia, Lao PDR, Myanmar, Viet Nam</w:t>
            </w:r>
          </w:p>
        </w:tc>
      </w:tr>
      <w:tr w:rsidR="000A33FA" w:rsidRPr="000A1D51" w14:paraId="692FFC61" w14:textId="77777777" w:rsidTr="001A0443">
        <w:tc>
          <w:tcPr>
            <w:tcW w:w="1591" w:type="dxa"/>
            <w:gridSpan w:val="2"/>
            <w:tcBorders>
              <w:top w:val="nil"/>
              <w:left w:val="nil"/>
              <w:bottom w:val="nil"/>
              <w:right w:val="nil"/>
            </w:tcBorders>
          </w:tcPr>
          <w:p w14:paraId="0A61B9A8" w14:textId="77777777" w:rsidR="000A33FA" w:rsidRPr="000A1D51" w:rsidRDefault="000A33FA" w:rsidP="001A0443">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DFAT</w:t>
            </w:r>
          </w:p>
        </w:tc>
        <w:tc>
          <w:tcPr>
            <w:tcW w:w="6347" w:type="dxa"/>
            <w:tcBorders>
              <w:top w:val="nil"/>
              <w:left w:val="nil"/>
              <w:bottom w:val="nil"/>
              <w:right w:val="nil"/>
            </w:tcBorders>
          </w:tcPr>
          <w:p w14:paraId="621C0D1D" w14:textId="77777777" w:rsidR="000A33FA" w:rsidRPr="000A1D51" w:rsidRDefault="000A33FA" w:rsidP="001A0443">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(Australian) Department of Foreign Affairs and Trade</w:t>
            </w:r>
          </w:p>
        </w:tc>
      </w:tr>
      <w:tr w:rsidR="002D326B" w:rsidRPr="000A1D51" w14:paraId="40CAF281" w14:textId="77777777" w:rsidTr="006C5259">
        <w:tc>
          <w:tcPr>
            <w:tcW w:w="1591" w:type="dxa"/>
            <w:gridSpan w:val="2"/>
            <w:tcBorders>
              <w:top w:val="nil"/>
              <w:left w:val="nil"/>
              <w:bottom w:val="nil"/>
              <w:right w:val="nil"/>
            </w:tcBorders>
          </w:tcPr>
          <w:p w14:paraId="70F21630" w14:textId="77777777" w:rsidR="002D326B" w:rsidRPr="000A1D51" w:rsidRDefault="002D326B"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D</w:t>
            </w:r>
            <w:r w:rsidR="000A33FA" w:rsidRPr="000A1D51">
              <w:rPr>
                <w:rFonts w:asciiTheme="minorHAnsi" w:hAnsiTheme="minorHAnsi" w:cstheme="minorHAnsi"/>
                <w:sz w:val="18"/>
                <w:szCs w:val="18"/>
                <w:lang w:val="en-US"/>
              </w:rPr>
              <w:t>oA</w:t>
            </w:r>
          </w:p>
        </w:tc>
        <w:tc>
          <w:tcPr>
            <w:tcW w:w="6347" w:type="dxa"/>
            <w:tcBorders>
              <w:top w:val="nil"/>
              <w:left w:val="nil"/>
              <w:bottom w:val="nil"/>
              <w:right w:val="nil"/>
            </w:tcBorders>
          </w:tcPr>
          <w:p w14:paraId="124A206F" w14:textId="77777777" w:rsidR="002D326B" w:rsidRPr="000A1D51" w:rsidRDefault="002D326B"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 xml:space="preserve">(Australian) Department of </w:t>
            </w:r>
            <w:r w:rsidR="000A33FA" w:rsidRPr="000A1D51">
              <w:rPr>
                <w:rFonts w:asciiTheme="minorHAnsi" w:hAnsiTheme="minorHAnsi" w:cstheme="minorHAnsi"/>
                <w:sz w:val="18"/>
                <w:szCs w:val="18"/>
                <w:lang w:val="en-US"/>
              </w:rPr>
              <w:t>Agriculture</w:t>
            </w:r>
          </w:p>
        </w:tc>
      </w:tr>
      <w:tr w:rsidR="00CC4445" w:rsidRPr="000A1D51" w14:paraId="4D0567AF" w14:textId="77777777" w:rsidTr="006C5259">
        <w:tc>
          <w:tcPr>
            <w:tcW w:w="1591" w:type="dxa"/>
            <w:gridSpan w:val="2"/>
            <w:tcBorders>
              <w:top w:val="nil"/>
              <w:left w:val="nil"/>
              <w:bottom w:val="nil"/>
              <w:right w:val="nil"/>
            </w:tcBorders>
          </w:tcPr>
          <w:p w14:paraId="44C610D6" w14:textId="77777777" w:rsidR="00CC4445" w:rsidRPr="000A1D51" w:rsidRDefault="009E4068"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EERD</w:t>
            </w:r>
          </w:p>
        </w:tc>
        <w:tc>
          <w:tcPr>
            <w:tcW w:w="6347" w:type="dxa"/>
            <w:tcBorders>
              <w:top w:val="nil"/>
              <w:left w:val="nil"/>
              <w:bottom w:val="nil"/>
              <w:right w:val="nil"/>
            </w:tcBorders>
          </w:tcPr>
          <w:p w14:paraId="7D80B0A3" w14:textId="77777777" w:rsidR="00CC4445" w:rsidRPr="000A1D51" w:rsidRDefault="00F756E7"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w:t>
            </w:r>
            <w:r w:rsidR="00DD1888" w:rsidRPr="000A1D51">
              <w:rPr>
                <w:rFonts w:asciiTheme="minorHAnsi" w:hAnsiTheme="minorHAnsi" w:cstheme="minorHAnsi"/>
                <w:sz w:val="18"/>
                <w:szCs w:val="18"/>
                <w:lang w:val="en-US"/>
              </w:rPr>
              <w:t>ASEC’s</w:t>
            </w:r>
            <w:r w:rsidRPr="000A1D51">
              <w:rPr>
                <w:rFonts w:asciiTheme="minorHAnsi" w:hAnsiTheme="minorHAnsi" w:cstheme="minorHAnsi"/>
                <w:sz w:val="18"/>
                <w:szCs w:val="18"/>
                <w:lang w:val="en-US"/>
              </w:rPr>
              <w:t>)</w:t>
            </w:r>
            <w:r w:rsidR="00DD1888" w:rsidRPr="000A1D51">
              <w:rPr>
                <w:rFonts w:asciiTheme="minorHAnsi" w:hAnsiTheme="minorHAnsi" w:cstheme="minorHAnsi"/>
                <w:sz w:val="18"/>
                <w:szCs w:val="18"/>
                <w:lang w:val="en-US"/>
              </w:rPr>
              <w:t xml:space="preserve"> External Economic Relations Division</w:t>
            </w:r>
          </w:p>
        </w:tc>
      </w:tr>
      <w:tr w:rsidR="00221E2C" w:rsidRPr="000A1D51" w14:paraId="4F4B9278" w14:textId="77777777" w:rsidTr="006C5259">
        <w:tc>
          <w:tcPr>
            <w:tcW w:w="1591" w:type="dxa"/>
            <w:gridSpan w:val="2"/>
            <w:tcBorders>
              <w:top w:val="nil"/>
              <w:left w:val="nil"/>
              <w:bottom w:val="nil"/>
              <w:right w:val="nil"/>
            </w:tcBorders>
          </w:tcPr>
          <w:p w14:paraId="636771D3"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FTA</w:t>
            </w:r>
          </w:p>
        </w:tc>
        <w:tc>
          <w:tcPr>
            <w:tcW w:w="6347" w:type="dxa"/>
            <w:tcBorders>
              <w:top w:val="nil"/>
              <w:left w:val="nil"/>
              <w:bottom w:val="nil"/>
              <w:right w:val="nil"/>
            </w:tcBorders>
          </w:tcPr>
          <w:p w14:paraId="12868FE9"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Free Trade Agreement</w:t>
            </w:r>
          </w:p>
        </w:tc>
      </w:tr>
      <w:tr w:rsidR="004C565A" w:rsidRPr="000A1D51" w14:paraId="37F1ECDB" w14:textId="77777777" w:rsidTr="006C5259">
        <w:tc>
          <w:tcPr>
            <w:tcW w:w="1591" w:type="dxa"/>
            <w:gridSpan w:val="2"/>
            <w:tcBorders>
              <w:top w:val="nil"/>
              <w:left w:val="nil"/>
              <w:bottom w:val="nil"/>
              <w:right w:val="nil"/>
            </w:tcBorders>
          </w:tcPr>
          <w:p w14:paraId="213EE19C" w14:textId="77777777" w:rsidR="004C565A" w:rsidRPr="000A1D51" w:rsidRDefault="004C565A"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GESI</w:t>
            </w:r>
          </w:p>
        </w:tc>
        <w:tc>
          <w:tcPr>
            <w:tcW w:w="6347" w:type="dxa"/>
            <w:tcBorders>
              <w:top w:val="nil"/>
              <w:left w:val="nil"/>
              <w:bottom w:val="nil"/>
              <w:right w:val="nil"/>
            </w:tcBorders>
          </w:tcPr>
          <w:p w14:paraId="0461D340" w14:textId="77777777" w:rsidR="004C565A" w:rsidRPr="000A1D51" w:rsidRDefault="004C565A"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Gender and social inclusion</w:t>
            </w:r>
          </w:p>
        </w:tc>
      </w:tr>
      <w:tr w:rsidR="005034D5" w:rsidRPr="000A1D51" w14:paraId="10ADE70E" w14:textId="77777777" w:rsidTr="006C5259">
        <w:tc>
          <w:tcPr>
            <w:tcW w:w="1591" w:type="dxa"/>
            <w:gridSpan w:val="2"/>
            <w:tcBorders>
              <w:top w:val="nil"/>
              <w:left w:val="nil"/>
              <w:bottom w:val="nil"/>
              <w:right w:val="nil"/>
            </w:tcBorders>
          </w:tcPr>
          <w:p w14:paraId="571866A6" w14:textId="77777777" w:rsidR="005034D5" w:rsidRPr="000A1D51" w:rsidRDefault="005034D5"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HOM</w:t>
            </w:r>
          </w:p>
        </w:tc>
        <w:tc>
          <w:tcPr>
            <w:tcW w:w="6347" w:type="dxa"/>
            <w:tcBorders>
              <w:top w:val="nil"/>
              <w:left w:val="nil"/>
              <w:bottom w:val="nil"/>
              <w:right w:val="nil"/>
            </w:tcBorders>
          </w:tcPr>
          <w:p w14:paraId="5E26C705" w14:textId="77777777" w:rsidR="005034D5" w:rsidRPr="000A1D51" w:rsidRDefault="005034D5"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Head of Mission</w:t>
            </w:r>
          </w:p>
        </w:tc>
      </w:tr>
      <w:tr w:rsidR="0028651E" w:rsidRPr="000A1D51" w14:paraId="4437F972" w14:textId="77777777" w:rsidTr="006C5259">
        <w:tc>
          <w:tcPr>
            <w:tcW w:w="1591" w:type="dxa"/>
            <w:gridSpan w:val="2"/>
            <w:tcBorders>
              <w:top w:val="nil"/>
              <w:left w:val="nil"/>
              <w:bottom w:val="nil"/>
              <w:right w:val="nil"/>
            </w:tcBorders>
          </w:tcPr>
          <w:p w14:paraId="7A85CE90" w14:textId="77777777" w:rsidR="0028651E" w:rsidRPr="000A1D51" w:rsidRDefault="0028651E"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IAI</w:t>
            </w:r>
          </w:p>
        </w:tc>
        <w:tc>
          <w:tcPr>
            <w:tcW w:w="6347" w:type="dxa"/>
            <w:tcBorders>
              <w:top w:val="nil"/>
              <w:left w:val="nil"/>
              <w:bottom w:val="nil"/>
              <w:right w:val="nil"/>
            </w:tcBorders>
          </w:tcPr>
          <w:p w14:paraId="7A525947" w14:textId="77777777" w:rsidR="0028651E" w:rsidRPr="000A1D51" w:rsidRDefault="009970AB"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Initiative for ASEAN Integration</w:t>
            </w:r>
          </w:p>
        </w:tc>
      </w:tr>
      <w:tr w:rsidR="000A33FA" w:rsidRPr="000A1D51" w14:paraId="16099BB1" w14:textId="77777777" w:rsidTr="006C5259">
        <w:tc>
          <w:tcPr>
            <w:tcW w:w="1591" w:type="dxa"/>
            <w:gridSpan w:val="2"/>
            <w:tcBorders>
              <w:top w:val="nil"/>
              <w:left w:val="nil"/>
              <w:bottom w:val="nil"/>
              <w:right w:val="nil"/>
            </w:tcBorders>
          </w:tcPr>
          <w:p w14:paraId="32695F9C" w14:textId="77777777" w:rsidR="000A33FA" w:rsidRPr="000A1D51" w:rsidRDefault="000A33FA"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JPRC</w:t>
            </w:r>
          </w:p>
        </w:tc>
        <w:tc>
          <w:tcPr>
            <w:tcW w:w="6347" w:type="dxa"/>
            <w:tcBorders>
              <w:top w:val="nil"/>
              <w:left w:val="nil"/>
              <w:bottom w:val="nil"/>
              <w:right w:val="nil"/>
            </w:tcBorders>
          </w:tcPr>
          <w:p w14:paraId="0F85AB4E" w14:textId="77777777" w:rsidR="000A33FA" w:rsidRPr="000A1D51" w:rsidRDefault="000A33FA"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Joint Planning and Review Committee</w:t>
            </w:r>
          </w:p>
        </w:tc>
      </w:tr>
      <w:tr w:rsidR="00C33B90" w:rsidRPr="000A1D51" w14:paraId="0AF74CFC" w14:textId="77777777" w:rsidTr="006C5259">
        <w:tc>
          <w:tcPr>
            <w:tcW w:w="1591" w:type="dxa"/>
            <w:gridSpan w:val="2"/>
            <w:tcBorders>
              <w:top w:val="nil"/>
              <w:left w:val="nil"/>
              <w:bottom w:val="nil"/>
              <w:right w:val="nil"/>
            </w:tcBorders>
          </w:tcPr>
          <w:p w14:paraId="09A68C4D" w14:textId="77777777" w:rsidR="00C33B90" w:rsidRPr="000A1D51" w:rsidRDefault="00C33B90"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LIB-SI</w:t>
            </w:r>
          </w:p>
        </w:tc>
        <w:tc>
          <w:tcPr>
            <w:tcW w:w="6347" w:type="dxa"/>
            <w:tcBorders>
              <w:top w:val="nil"/>
              <w:left w:val="nil"/>
              <w:bottom w:val="nil"/>
              <w:right w:val="nil"/>
            </w:tcBorders>
          </w:tcPr>
          <w:p w14:paraId="556125E3" w14:textId="77777777" w:rsidR="00C33B90" w:rsidRPr="000A1D51" w:rsidRDefault="00C33B90" w:rsidP="00C33B90">
            <w:pPr>
              <w:pStyle w:val="TableTextEntries"/>
              <w:spacing w:after="0"/>
              <w:rPr>
                <w:rFonts w:asciiTheme="minorHAnsi" w:hAnsiTheme="minorHAnsi" w:cstheme="minorHAnsi"/>
                <w:sz w:val="18"/>
                <w:szCs w:val="18"/>
              </w:rPr>
            </w:pPr>
            <w:r w:rsidRPr="000A1D51">
              <w:rPr>
                <w:rFonts w:asciiTheme="minorHAnsi" w:hAnsiTheme="minorHAnsi" w:cstheme="minorHAnsi"/>
                <w:sz w:val="18"/>
                <w:szCs w:val="18"/>
              </w:rPr>
              <w:t>Lead Implementing Body for Sustainable Infrastructure</w:t>
            </w:r>
          </w:p>
        </w:tc>
      </w:tr>
      <w:tr w:rsidR="00C17DD8" w:rsidRPr="000A1D51" w14:paraId="620301D6" w14:textId="77777777" w:rsidTr="006C5259">
        <w:tc>
          <w:tcPr>
            <w:tcW w:w="1591" w:type="dxa"/>
            <w:gridSpan w:val="2"/>
            <w:tcBorders>
              <w:top w:val="nil"/>
              <w:left w:val="nil"/>
              <w:bottom w:val="nil"/>
              <w:right w:val="nil"/>
            </w:tcBorders>
          </w:tcPr>
          <w:p w14:paraId="4C511904" w14:textId="77777777" w:rsidR="00C17DD8" w:rsidRPr="000A1D51" w:rsidRDefault="00C17DD8"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M&amp;E</w:t>
            </w:r>
          </w:p>
        </w:tc>
        <w:tc>
          <w:tcPr>
            <w:tcW w:w="6347" w:type="dxa"/>
            <w:tcBorders>
              <w:top w:val="nil"/>
              <w:left w:val="nil"/>
              <w:bottom w:val="nil"/>
              <w:right w:val="nil"/>
            </w:tcBorders>
          </w:tcPr>
          <w:p w14:paraId="5E399481" w14:textId="77777777" w:rsidR="00C17DD8" w:rsidRPr="000A1D51" w:rsidRDefault="00C17DD8"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Monitoring and Evaluation</w:t>
            </w:r>
          </w:p>
        </w:tc>
      </w:tr>
      <w:tr w:rsidR="00667596" w:rsidRPr="000A1D51" w14:paraId="226BE214" w14:textId="77777777" w:rsidTr="006C5259">
        <w:tc>
          <w:tcPr>
            <w:tcW w:w="1591" w:type="dxa"/>
            <w:gridSpan w:val="2"/>
            <w:tcBorders>
              <w:top w:val="nil"/>
              <w:left w:val="nil"/>
              <w:bottom w:val="nil"/>
              <w:right w:val="nil"/>
            </w:tcBorders>
          </w:tcPr>
          <w:p w14:paraId="286A5AF1" w14:textId="77777777" w:rsidR="00667596" w:rsidRPr="000A1D51" w:rsidRDefault="00667596"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MPAC</w:t>
            </w:r>
          </w:p>
        </w:tc>
        <w:tc>
          <w:tcPr>
            <w:tcW w:w="6347" w:type="dxa"/>
            <w:tcBorders>
              <w:top w:val="nil"/>
              <w:left w:val="nil"/>
              <w:bottom w:val="nil"/>
              <w:right w:val="nil"/>
            </w:tcBorders>
          </w:tcPr>
          <w:p w14:paraId="132F8E1E" w14:textId="77777777" w:rsidR="00667596" w:rsidRPr="000A1D51" w:rsidRDefault="00667596"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Master Plan on ASEAN Connectivity</w:t>
            </w:r>
          </w:p>
        </w:tc>
      </w:tr>
      <w:tr w:rsidR="00DC4115" w:rsidRPr="000A1D51" w14:paraId="49329B06" w14:textId="77777777" w:rsidTr="006C5259">
        <w:tc>
          <w:tcPr>
            <w:tcW w:w="1591" w:type="dxa"/>
            <w:gridSpan w:val="2"/>
            <w:tcBorders>
              <w:top w:val="nil"/>
              <w:left w:val="nil"/>
              <w:bottom w:val="nil"/>
              <w:right w:val="nil"/>
            </w:tcBorders>
          </w:tcPr>
          <w:p w14:paraId="1FCCD031" w14:textId="77777777" w:rsidR="00DC4115" w:rsidRPr="000A1D51" w:rsidRDefault="00DC4115"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MSME</w:t>
            </w:r>
          </w:p>
        </w:tc>
        <w:tc>
          <w:tcPr>
            <w:tcW w:w="6347" w:type="dxa"/>
            <w:tcBorders>
              <w:top w:val="nil"/>
              <w:left w:val="nil"/>
              <w:bottom w:val="nil"/>
              <w:right w:val="nil"/>
            </w:tcBorders>
          </w:tcPr>
          <w:p w14:paraId="0F5BA0C0" w14:textId="77777777" w:rsidR="00DC4115" w:rsidRPr="000A1D51" w:rsidRDefault="00DC4115"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Micro, Small and Medium size Enterprises</w:t>
            </w:r>
          </w:p>
        </w:tc>
      </w:tr>
      <w:tr w:rsidR="00221E2C" w:rsidRPr="000A1D51" w14:paraId="1DD50E9A" w14:textId="77777777" w:rsidTr="006C5259">
        <w:tc>
          <w:tcPr>
            <w:tcW w:w="1591" w:type="dxa"/>
            <w:gridSpan w:val="2"/>
            <w:tcBorders>
              <w:top w:val="nil"/>
              <w:left w:val="nil"/>
              <w:bottom w:val="nil"/>
              <w:right w:val="nil"/>
            </w:tcBorders>
          </w:tcPr>
          <w:p w14:paraId="357214A4"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NTM</w:t>
            </w:r>
          </w:p>
        </w:tc>
        <w:tc>
          <w:tcPr>
            <w:tcW w:w="6347" w:type="dxa"/>
            <w:tcBorders>
              <w:top w:val="nil"/>
              <w:left w:val="nil"/>
              <w:bottom w:val="nil"/>
              <w:right w:val="nil"/>
            </w:tcBorders>
          </w:tcPr>
          <w:p w14:paraId="748E9AC9"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Non-Tariff Measure</w:t>
            </w:r>
          </w:p>
        </w:tc>
      </w:tr>
      <w:tr w:rsidR="00771BC2" w:rsidRPr="000A1D51" w14:paraId="4B57229E" w14:textId="77777777" w:rsidTr="00B804EB">
        <w:tc>
          <w:tcPr>
            <w:tcW w:w="1591" w:type="dxa"/>
            <w:gridSpan w:val="2"/>
            <w:tcBorders>
              <w:top w:val="nil"/>
              <w:left w:val="nil"/>
              <w:bottom w:val="nil"/>
              <w:right w:val="nil"/>
            </w:tcBorders>
          </w:tcPr>
          <w:p w14:paraId="119DEDE9" w14:textId="77777777" w:rsidR="00771BC2" w:rsidRPr="000A1D51" w:rsidRDefault="00771BC2" w:rsidP="00B804EB">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PCPMD</w:t>
            </w:r>
          </w:p>
        </w:tc>
        <w:tc>
          <w:tcPr>
            <w:tcW w:w="6347" w:type="dxa"/>
            <w:tcBorders>
              <w:top w:val="nil"/>
              <w:left w:val="nil"/>
              <w:bottom w:val="nil"/>
              <w:right w:val="nil"/>
            </w:tcBorders>
          </w:tcPr>
          <w:p w14:paraId="72BCAD74" w14:textId="77777777" w:rsidR="00771BC2" w:rsidRPr="000A1D51" w:rsidRDefault="00771BC2" w:rsidP="00B804EB">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Program Cooperation &amp; Project Management Division</w:t>
            </w:r>
          </w:p>
        </w:tc>
      </w:tr>
      <w:tr w:rsidR="009C448D" w:rsidRPr="000A1D51" w14:paraId="2CAD2B4C" w14:textId="77777777" w:rsidTr="006C5259">
        <w:tc>
          <w:tcPr>
            <w:tcW w:w="1591" w:type="dxa"/>
            <w:gridSpan w:val="2"/>
            <w:tcBorders>
              <w:top w:val="nil"/>
              <w:left w:val="nil"/>
              <w:bottom w:val="nil"/>
              <w:right w:val="nil"/>
            </w:tcBorders>
          </w:tcPr>
          <w:p w14:paraId="68D7DB64" w14:textId="77777777" w:rsidR="009C448D" w:rsidRPr="000A1D51" w:rsidRDefault="009C448D"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PMT</w:t>
            </w:r>
          </w:p>
        </w:tc>
        <w:tc>
          <w:tcPr>
            <w:tcW w:w="6347" w:type="dxa"/>
            <w:tcBorders>
              <w:top w:val="nil"/>
              <w:left w:val="nil"/>
              <w:bottom w:val="nil"/>
              <w:right w:val="nil"/>
            </w:tcBorders>
          </w:tcPr>
          <w:p w14:paraId="3C087CEC" w14:textId="77777777" w:rsidR="009C448D" w:rsidRPr="000A1D51" w:rsidRDefault="009C448D"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Program Management Team</w:t>
            </w:r>
          </w:p>
        </w:tc>
      </w:tr>
      <w:tr w:rsidR="005034D5" w:rsidRPr="000A1D51" w14:paraId="7BEDE3C6" w14:textId="77777777" w:rsidTr="006C5259">
        <w:tc>
          <w:tcPr>
            <w:tcW w:w="1591" w:type="dxa"/>
            <w:gridSpan w:val="2"/>
            <w:tcBorders>
              <w:top w:val="nil"/>
              <w:left w:val="nil"/>
              <w:bottom w:val="nil"/>
              <w:right w:val="nil"/>
            </w:tcBorders>
          </w:tcPr>
          <w:p w14:paraId="0A62D9FB" w14:textId="77777777" w:rsidR="005034D5" w:rsidRPr="000A1D51" w:rsidRDefault="005034D5"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PPMSU</w:t>
            </w:r>
          </w:p>
        </w:tc>
        <w:tc>
          <w:tcPr>
            <w:tcW w:w="6347" w:type="dxa"/>
            <w:tcBorders>
              <w:top w:val="nil"/>
              <w:left w:val="nil"/>
              <w:bottom w:val="nil"/>
              <w:right w:val="nil"/>
            </w:tcBorders>
          </w:tcPr>
          <w:p w14:paraId="0D511DB8" w14:textId="77777777" w:rsidR="005034D5" w:rsidRPr="000A1D51" w:rsidRDefault="005034D5"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Program Planning and Monitoring Support Unit</w:t>
            </w:r>
          </w:p>
        </w:tc>
      </w:tr>
      <w:tr w:rsidR="00221E2C" w:rsidRPr="000A1D51" w14:paraId="48C4BF81" w14:textId="77777777" w:rsidTr="006C5259">
        <w:tc>
          <w:tcPr>
            <w:tcW w:w="1591" w:type="dxa"/>
            <w:gridSpan w:val="2"/>
            <w:tcBorders>
              <w:top w:val="nil"/>
              <w:left w:val="nil"/>
              <w:bottom w:val="nil"/>
              <w:right w:val="nil"/>
            </w:tcBorders>
          </w:tcPr>
          <w:p w14:paraId="70480B27"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RCEP</w:t>
            </w:r>
          </w:p>
        </w:tc>
        <w:tc>
          <w:tcPr>
            <w:tcW w:w="6347" w:type="dxa"/>
            <w:tcBorders>
              <w:top w:val="nil"/>
              <w:left w:val="nil"/>
              <w:bottom w:val="nil"/>
              <w:right w:val="nil"/>
            </w:tcBorders>
          </w:tcPr>
          <w:p w14:paraId="16E0CA7C"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Regional Comprehensive Economic Partnership</w:t>
            </w:r>
          </w:p>
        </w:tc>
      </w:tr>
      <w:tr w:rsidR="005367BF" w:rsidRPr="000A1D51" w14:paraId="5726F8FE" w14:textId="77777777" w:rsidTr="006C5259">
        <w:tc>
          <w:tcPr>
            <w:tcW w:w="1591" w:type="dxa"/>
            <w:gridSpan w:val="2"/>
            <w:tcBorders>
              <w:top w:val="nil"/>
              <w:left w:val="nil"/>
              <w:bottom w:val="nil"/>
              <w:right w:val="nil"/>
            </w:tcBorders>
          </w:tcPr>
          <w:p w14:paraId="3EF38424" w14:textId="77777777" w:rsidR="005367BF" w:rsidRPr="000A1D51" w:rsidRDefault="005367BF"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SB</w:t>
            </w:r>
          </w:p>
        </w:tc>
        <w:tc>
          <w:tcPr>
            <w:tcW w:w="6347" w:type="dxa"/>
            <w:tcBorders>
              <w:top w:val="nil"/>
              <w:left w:val="nil"/>
              <w:bottom w:val="nil"/>
              <w:right w:val="nil"/>
            </w:tcBorders>
          </w:tcPr>
          <w:p w14:paraId="1F212F79" w14:textId="77777777" w:rsidR="005367BF" w:rsidRPr="000A1D51" w:rsidRDefault="005367BF"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(ASEAN) Sectoral Bodies</w:t>
            </w:r>
          </w:p>
        </w:tc>
      </w:tr>
      <w:tr w:rsidR="00DC4115" w:rsidRPr="000A1D51" w14:paraId="0FE4BA95" w14:textId="77777777" w:rsidTr="006C5259">
        <w:tc>
          <w:tcPr>
            <w:tcW w:w="1591" w:type="dxa"/>
            <w:gridSpan w:val="2"/>
            <w:tcBorders>
              <w:top w:val="nil"/>
              <w:left w:val="nil"/>
              <w:bottom w:val="nil"/>
              <w:right w:val="nil"/>
            </w:tcBorders>
          </w:tcPr>
          <w:p w14:paraId="0D2AFF6B" w14:textId="77777777" w:rsidR="00DC4115" w:rsidRPr="000A1D51" w:rsidRDefault="00DC4115"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SEOM</w:t>
            </w:r>
          </w:p>
        </w:tc>
        <w:tc>
          <w:tcPr>
            <w:tcW w:w="6347" w:type="dxa"/>
            <w:tcBorders>
              <w:top w:val="nil"/>
              <w:left w:val="nil"/>
              <w:bottom w:val="nil"/>
              <w:right w:val="nil"/>
            </w:tcBorders>
          </w:tcPr>
          <w:p w14:paraId="459568DD" w14:textId="77777777" w:rsidR="00DC4115" w:rsidRPr="000A1D51" w:rsidRDefault="00DC4115"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Senior Economic Officials Meeting</w:t>
            </w:r>
          </w:p>
        </w:tc>
      </w:tr>
      <w:tr w:rsidR="005367BF" w:rsidRPr="000A1D51" w14:paraId="420ECD38" w14:textId="77777777" w:rsidTr="006C5259">
        <w:tc>
          <w:tcPr>
            <w:tcW w:w="1591" w:type="dxa"/>
            <w:gridSpan w:val="2"/>
            <w:tcBorders>
              <w:top w:val="nil"/>
              <w:left w:val="nil"/>
              <w:bottom w:val="nil"/>
              <w:right w:val="nil"/>
            </w:tcBorders>
          </w:tcPr>
          <w:p w14:paraId="54D6A6DE" w14:textId="77777777" w:rsidR="005367BF" w:rsidRPr="000A1D51" w:rsidRDefault="005367BF"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WG</w:t>
            </w:r>
          </w:p>
        </w:tc>
        <w:tc>
          <w:tcPr>
            <w:tcW w:w="6347" w:type="dxa"/>
            <w:tcBorders>
              <w:top w:val="nil"/>
              <w:left w:val="nil"/>
              <w:bottom w:val="nil"/>
              <w:right w:val="nil"/>
            </w:tcBorders>
          </w:tcPr>
          <w:p w14:paraId="49CC6A17" w14:textId="77777777" w:rsidR="005367BF" w:rsidRPr="000A1D51" w:rsidRDefault="005367BF"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(ASEAN) Working Groups</w:t>
            </w:r>
          </w:p>
        </w:tc>
      </w:tr>
      <w:tr w:rsidR="000E5099" w:rsidRPr="000A1D51" w14:paraId="51E43FF1" w14:textId="77777777" w:rsidTr="006C5259">
        <w:tc>
          <w:tcPr>
            <w:tcW w:w="1591" w:type="dxa"/>
            <w:gridSpan w:val="2"/>
            <w:tcBorders>
              <w:top w:val="nil"/>
              <w:left w:val="nil"/>
              <w:bottom w:val="nil"/>
              <w:right w:val="nil"/>
            </w:tcBorders>
          </w:tcPr>
          <w:p w14:paraId="4CE3C784" w14:textId="77777777" w:rsidR="000E5099" w:rsidRPr="000A1D51" w:rsidRDefault="000E5099"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WoG</w:t>
            </w:r>
          </w:p>
        </w:tc>
        <w:tc>
          <w:tcPr>
            <w:tcW w:w="6347" w:type="dxa"/>
            <w:tcBorders>
              <w:top w:val="nil"/>
              <w:left w:val="nil"/>
              <w:bottom w:val="nil"/>
              <w:right w:val="nil"/>
            </w:tcBorders>
          </w:tcPr>
          <w:p w14:paraId="5969FB8D" w14:textId="77777777" w:rsidR="000E5099" w:rsidRPr="000A1D51" w:rsidRDefault="000E5099" w:rsidP="006C5259">
            <w:pPr>
              <w:pStyle w:val="TableTextEntries"/>
              <w:spacing w:after="0" w:line="240" w:lineRule="auto"/>
              <w:rPr>
                <w:rFonts w:asciiTheme="minorHAnsi" w:hAnsiTheme="minorHAnsi" w:cstheme="minorHAnsi"/>
                <w:sz w:val="18"/>
                <w:szCs w:val="18"/>
                <w:lang w:val="en-US"/>
              </w:rPr>
            </w:pPr>
            <w:r w:rsidRPr="000A1D51">
              <w:rPr>
                <w:rFonts w:asciiTheme="minorHAnsi" w:hAnsiTheme="minorHAnsi" w:cstheme="minorHAnsi"/>
                <w:sz w:val="18"/>
                <w:szCs w:val="18"/>
                <w:lang w:val="en-US"/>
              </w:rPr>
              <w:t>Whole of Government</w:t>
            </w:r>
          </w:p>
        </w:tc>
      </w:tr>
      <w:tr w:rsidR="00221E2C" w:rsidRPr="000A1D51" w14:paraId="5EBA091E" w14:textId="77777777" w:rsidTr="006C5259">
        <w:tc>
          <w:tcPr>
            <w:tcW w:w="1531" w:type="dxa"/>
          </w:tcPr>
          <w:p w14:paraId="3C75D3B9"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p>
        </w:tc>
        <w:tc>
          <w:tcPr>
            <w:tcW w:w="6407" w:type="dxa"/>
            <w:gridSpan w:val="2"/>
          </w:tcPr>
          <w:p w14:paraId="0F482B83" w14:textId="77777777" w:rsidR="00221E2C" w:rsidRPr="000A1D51" w:rsidRDefault="00221E2C" w:rsidP="006C5259">
            <w:pPr>
              <w:pStyle w:val="TableTextEntries"/>
              <w:spacing w:after="0" w:line="240" w:lineRule="auto"/>
              <w:rPr>
                <w:rFonts w:asciiTheme="minorHAnsi" w:hAnsiTheme="minorHAnsi" w:cstheme="minorHAnsi"/>
                <w:sz w:val="18"/>
                <w:szCs w:val="18"/>
                <w:lang w:val="en-US"/>
              </w:rPr>
            </w:pPr>
          </w:p>
        </w:tc>
      </w:tr>
    </w:tbl>
    <w:p w14:paraId="21FCBD82" w14:textId="77777777" w:rsidR="00C57F35" w:rsidRPr="000A1D51" w:rsidRDefault="00C57F35" w:rsidP="00C95A29">
      <w:pPr>
        <w:pStyle w:val="Heading1"/>
        <w:sectPr w:rsidR="00C57F35" w:rsidRPr="000A1D51" w:rsidSect="000C09D8">
          <w:headerReference w:type="first" r:id="rId16"/>
          <w:pgSz w:w="11907" w:h="16840" w:code="9"/>
          <w:pgMar w:top="2268" w:right="1871" w:bottom="907" w:left="1871" w:header="851" w:footer="454" w:gutter="0"/>
          <w:pgNumType w:fmt="lowerRoman"/>
          <w:cols w:space="720"/>
          <w:docGrid w:linePitch="326"/>
        </w:sectPr>
      </w:pPr>
      <w:bookmarkStart w:id="12" w:name="_Toc528568753"/>
      <w:bookmarkStart w:id="13" w:name="_Toc533181387"/>
    </w:p>
    <w:p w14:paraId="77FEF67F" w14:textId="77777777" w:rsidR="00C95A29" w:rsidRPr="000A1D51" w:rsidRDefault="00C95A29" w:rsidP="00C95A29">
      <w:pPr>
        <w:pStyle w:val="Heading1"/>
      </w:pPr>
      <w:bookmarkStart w:id="14" w:name="_Toc24884101"/>
      <w:bookmarkStart w:id="15" w:name="_Toc31820103"/>
      <w:r w:rsidRPr="000A1D51">
        <w:lastRenderedPageBreak/>
        <w:t>Executive Summary</w:t>
      </w:r>
      <w:bookmarkEnd w:id="14"/>
      <w:bookmarkEnd w:id="15"/>
    </w:p>
    <w:p w14:paraId="0B4350EA" w14:textId="248D8706" w:rsidR="007214D6" w:rsidRPr="000A1D51" w:rsidRDefault="007C6ED4" w:rsidP="00AB449D">
      <w:pPr>
        <w:pStyle w:val="ListParagraph"/>
        <w:numPr>
          <w:ilvl w:val="0"/>
          <w:numId w:val="38"/>
        </w:numPr>
        <w:rPr>
          <w:iCs/>
          <w:lang w:val="en-AU"/>
        </w:rPr>
      </w:pPr>
      <w:r w:rsidRPr="000A1D51">
        <w:t>The purposes of this review are to: (i) enhance and better explain AADCP II performance and accountabilities; (ii) strengthen knowledge of the context in which AADCP II operates, and the opportunities and challenges presented within this context;</w:t>
      </w:r>
      <w:r w:rsidR="00E81E20">
        <w:t xml:space="preserve"> and</w:t>
      </w:r>
      <w:r w:rsidRPr="000A1D51">
        <w:t xml:space="preserve"> </w:t>
      </w:r>
      <w:r w:rsidR="00053E77" w:rsidRPr="000A1D51">
        <w:t xml:space="preserve">(iii) </w:t>
      </w:r>
      <w:r w:rsidRPr="000A1D51">
        <w:t>provide forward-looking recommendations for the re-design of a new phase of the program</w:t>
      </w:r>
      <w:r w:rsidR="00E81E20">
        <w:t>.</w:t>
      </w:r>
    </w:p>
    <w:p w14:paraId="3083CE57" w14:textId="77777777" w:rsidR="000860A9" w:rsidRPr="000A1D51" w:rsidRDefault="000860A9" w:rsidP="00AB449D">
      <w:pPr>
        <w:pStyle w:val="ListParagraph"/>
        <w:numPr>
          <w:ilvl w:val="0"/>
          <w:numId w:val="38"/>
        </w:numPr>
        <w:rPr>
          <w:iCs/>
          <w:lang w:val="en-AU"/>
        </w:rPr>
      </w:pPr>
      <w:r w:rsidRPr="000A1D51">
        <w:rPr>
          <w:iCs/>
        </w:rPr>
        <w:t xml:space="preserve">While it is important to </w:t>
      </w:r>
      <w:r w:rsidR="007214D6" w:rsidRPr="000A1D51">
        <w:rPr>
          <w:iCs/>
        </w:rPr>
        <w:t>remain</w:t>
      </w:r>
      <w:r w:rsidRPr="000A1D51">
        <w:rPr>
          <w:iCs/>
        </w:rPr>
        <w:t xml:space="preserve"> cognizant of the ultimate outcomes of development programs, quantifying the development outcomes of institutional reform and development support is difficult. </w:t>
      </w:r>
      <w:r w:rsidR="0010592E" w:rsidRPr="000A1D51">
        <w:rPr>
          <w:iCs/>
        </w:rPr>
        <w:t xml:space="preserve">The nature of </w:t>
      </w:r>
      <w:r w:rsidRPr="000A1D51">
        <w:rPr>
          <w:iCs/>
        </w:rPr>
        <w:t xml:space="preserve">AADCP II support makes it especially difficult to directly link AADCP II support to improvements in </w:t>
      </w:r>
      <w:r w:rsidR="0010592E" w:rsidRPr="000A1D51">
        <w:rPr>
          <w:iCs/>
        </w:rPr>
        <w:t xml:space="preserve">targeted </w:t>
      </w:r>
      <w:r w:rsidRPr="000A1D51">
        <w:rPr>
          <w:iCs/>
        </w:rPr>
        <w:t>beneficiaries in ASEAN member states (AMS). This review only attempts to identify selected examples of plausible links to national level impacts</w:t>
      </w:r>
      <w:r w:rsidR="0010592E" w:rsidRPr="000A1D51">
        <w:rPr>
          <w:iCs/>
        </w:rPr>
        <w:t>.</w:t>
      </w:r>
    </w:p>
    <w:p w14:paraId="4B8FB553" w14:textId="77777777" w:rsidR="00F6001C" w:rsidRPr="000A1D51" w:rsidRDefault="007C6ED4" w:rsidP="00AB449D">
      <w:pPr>
        <w:pStyle w:val="ListParagraph"/>
        <w:numPr>
          <w:ilvl w:val="0"/>
          <w:numId w:val="38"/>
        </w:numPr>
      </w:pPr>
      <w:r w:rsidRPr="000A1D51">
        <w:t xml:space="preserve">The team </w:t>
      </w:r>
      <w:r w:rsidR="00EB56B3" w:rsidRPr="000A1D51">
        <w:t>found</w:t>
      </w:r>
      <w:r w:rsidRPr="000A1D51">
        <w:t xml:space="preserve"> that</w:t>
      </w:r>
      <w:r w:rsidR="00981C86" w:rsidRPr="000A1D51">
        <w:t xml:space="preserve"> AADCP II is</w:t>
      </w:r>
      <w:r w:rsidRPr="000A1D51">
        <w:t>:</w:t>
      </w:r>
    </w:p>
    <w:p w14:paraId="632C0332" w14:textId="3F7FF696" w:rsidR="00251403" w:rsidRPr="000A1D51" w:rsidRDefault="00667596" w:rsidP="00FD562F">
      <w:pPr>
        <w:pStyle w:val="Bullet0"/>
      </w:pPr>
      <w:r w:rsidRPr="000A1D51">
        <w:rPr>
          <w:b/>
          <w:bCs/>
        </w:rPr>
        <w:t>R</w:t>
      </w:r>
      <w:r w:rsidR="00251403" w:rsidRPr="000A1D51">
        <w:rPr>
          <w:b/>
          <w:bCs/>
        </w:rPr>
        <w:t>elevant</w:t>
      </w:r>
      <w:r w:rsidR="00251403" w:rsidRPr="000A1D51">
        <w:t xml:space="preserve"> to the implementation of both (i) the </w:t>
      </w:r>
      <w:r w:rsidR="002F31A4" w:rsidRPr="000A1D51">
        <w:t>ASEAN Economic Community (</w:t>
      </w:r>
      <w:r w:rsidR="00251403" w:rsidRPr="000A1D51">
        <w:t>AEC</w:t>
      </w:r>
      <w:r w:rsidR="002F31A4" w:rsidRPr="000A1D51">
        <w:t>)</w:t>
      </w:r>
      <w:r w:rsidR="00251403" w:rsidRPr="000A1D51">
        <w:t xml:space="preserve">; and (ii) the </w:t>
      </w:r>
      <w:r w:rsidR="002F31A4" w:rsidRPr="000A1D51">
        <w:t>Australian Foreign Policy White Paper (</w:t>
      </w:r>
      <w:r w:rsidR="00BF20F6" w:rsidRPr="000A1D51">
        <w:t>AFPWP</w:t>
      </w:r>
      <w:r w:rsidR="002F31A4" w:rsidRPr="000A1D51">
        <w:t>)</w:t>
      </w:r>
      <w:r w:rsidR="00251403" w:rsidRPr="000A1D51">
        <w:t xml:space="preserve">. </w:t>
      </w:r>
      <w:r w:rsidR="00BF20F6" w:rsidRPr="000A1D51">
        <w:t xml:space="preserve">The </w:t>
      </w:r>
      <w:r w:rsidR="00120975" w:rsidRPr="000A1D51">
        <w:t xml:space="preserve">ASEC led prioritization process (in consultation with Australia) </w:t>
      </w:r>
      <w:r w:rsidR="00BF20F6" w:rsidRPr="000A1D51">
        <w:t>has</w:t>
      </w:r>
      <w:r w:rsidR="00120975" w:rsidRPr="000A1D51">
        <w:t xml:space="preserve"> ensured </w:t>
      </w:r>
      <w:r w:rsidR="00BF20F6" w:rsidRPr="000A1D51">
        <w:t>the strong relevance to</w:t>
      </w:r>
      <w:r w:rsidR="00120975" w:rsidRPr="000A1D51">
        <w:t xml:space="preserve"> AEC</w:t>
      </w:r>
      <w:r w:rsidR="00BF20F6" w:rsidRPr="000A1D51">
        <w:t xml:space="preserve"> implementation</w:t>
      </w:r>
      <w:r w:rsidR="00120975" w:rsidRPr="000A1D51">
        <w:t xml:space="preserve">. </w:t>
      </w:r>
      <w:r w:rsidR="0079451A" w:rsidRPr="000A1D51">
        <w:t>T</w:t>
      </w:r>
      <w:r w:rsidR="00120975" w:rsidRPr="000A1D51">
        <w:t>he</w:t>
      </w:r>
      <w:r w:rsidR="0079451A" w:rsidRPr="000A1D51">
        <w:t xml:space="preserve"> flexible design and</w:t>
      </w:r>
      <w:r w:rsidR="00120975" w:rsidRPr="000A1D51">
        <w:t xml:space="preserve"> close links with </w:t>
      </w:r>
      <w:r w:rsidR="009C29CD" w:rsidRPr="000A1D51">
        <w:t xml:space="preserve">evolving </w:t>
      </w:r>
      <w:r w:rsidR="00120975" w:rsidRPr="000A1D51">
        <w:t xml:space="preserve">AEC </w:t>
      </w:r>
      <w:r w:rsidR="009C29CD" w:rsidRPr="000A1D51">
        <w:t xml:space="preserve">needs and </w:t>
      </w:r>
      <w:r w:rsidR="00120975" w:rsidRPr="000A1D51">
        <w:t>ensure</w:t>
      </w:r>
      <w:r w:rsidR="00AB1785" w:rsidRPr="000A1D51">
        <w:t>d</w:t>
      </w:r>
      <w:r w:rsidR="00120975" w:rsidRPr="000A1D51">
        <w:t xml:space="preserve"> </w:t>
      </w:r>
      <w:r w:rsidR="00AB1785" w:rsidRPr="000A1D51">
        <w:t xml:space="preserve">close </w:t>
      </w:r>
      <w:r w:rsidR="00120975" w:rsidRPr="000A1D51">
        <w:t>relevance with AFPWP priorities which include</w:t>
      </w:r>
      <w:r w:rsidR="009C29CD" w:rsidRPr="000A1D51">
        <w:t>d</w:t>
      </w:r>
      <w:r w:rsidR="00120975" w:rsidRPr="000A1D51">
        <w:t xml:space="preserve"> a strong focus on regional economic </w:t>
      </w:r>
      <w:r w:rsidR="007B5203" w:rsidRPr="000A1D51">
        <w:t>cooperation</w:t>
      </w:r>
      <w:r w:rsidR="00BF20F6" w:rsidRPr="000A1D51">
        <w:t>.</w:t>
      </w:r>
      <w:r w:rsidR="00047480" w:rsidRPr="000A1D51">
        <w:t xml:space="preserve"> The recent increase in allocations to connectivity is viewed as highly relevant to both ASEAN and Australia.</w:t>
      </w:r>
    </w:p>
    <w:p w14:paraId="2A839166" w14:textId="30D0CDAC" w:rsidR="00034775" w:rsidRPr="000A1D51" w:rsidRDefault="00981C86" w:rsidP="00FD562F">
      <w:pPr>
        <w:pStyle w:val="Bullet0"/>
      </w:pPr>
      <w:r w:rsidRPr="000A1D51">
        <w:rPr>
          <w:b/>
          <w:bCs/>
        </w:rPr>
        <w:t>Effective</w:t>
      </w:r>
      <w:r w:rsidR="00D779E0" w:rsidRPr="000A1D51">
        <w:t xml:space="preserve">. </w:t>
      </w:r>
      <w:r w:rsidR="003A4AF1" w:rsidRPr="000A1D51">
        <w:t xml:space="preserve">Progress is being made towards the realization of </w:t>
      </w:r>
      <w:r w:rsidR="002F415F" w:rsidRPr="000A1D51">
        <w:t xml:space="preserve">(i) </w:t>
      </w:r>
      <w:r w:rsidR="003A4AF1" w:rsidRPr="000A1D51">
        <w:t xml:space="preserve">the original </w:t>
      </w:r>
      <w:r w:rsidR="003169EE" w:rsidRPr="000A1D51">
        <w:t>component objectives</w:t>
      </w:r>
      <w:r w:rsidR="002F415F" w:rsidRPr="000A1D51">
        <w:t xml:space="preserve">; </w:t>
      </w:r>
      <w:r w:rsidR="003F68F7" w:rsidRPr="000A1D51">
        <w:t xml:space="preserve">and </w:t>
      </w:r>
      <w:r w:rsidR="002F415F" w:rsidRPr="000A1D51">
        <w:t xml:space="preserve">(ii) </w:t>
      </w:r>
      <w:r w:rsidR="003169EE" w:rsidRPr="000A1D51">
        <w:t>the revised key results area targeted with AADCP II support</w:t>
      </w:r>
      <w:r w:rsidR="003F68F7" w:rsidRPr="000A1D51">
        <w:t xml:space="preserve">. </w:t>
      </w:r>
      <w:r w:rsidR="002164CB" w:rsidRPr="000A1D51">
        <w:t>AADCP II contribution</w:t>
      </w:r>
      <w:r w:rsidR="003D0E56" w:rsidRPr="000A1D51">
        <w:t>s</w:t>
      </w:r>
      <w:r w:rsidR="002164CB" w:rsidRPr="000A1D51">
        <w:t xml:space="preserve"> to</w:t>
      </w:r>
      <w:r w:rsidR="00284EE7" w:rsidRPr="000A1D51">
        <w:t xml:space="preserve"> </w:t>
      </w:r>
      <w:r w:rsidR="002164CB" w:rsidRPr="000A1D51">
        <w:t xml:space="preserve">the </w:t>
      </w:r>
      <w:r w:rsidR="003F68F7" w:rsidRPr="000A1D51">
        <w:t>proposed “</w:t>
      </w:r>
      <w:r w:rsidR="006D28ED" w:rsidRPr="000A1D51">
        <w:t>end of program objective</w:t>
      </w:r>
      <w:r w:rsidR="003F68F7" w:rsidRPr="000A1D51">
        <w:t>”</w:t>
      </w:r>
      <w:r w:rsidR="006D28ED" w:rsidRPr="000A1D51">
        <w:t xml:space="preserve"> of </w:t>
      </w:r>
      <w:r w:rsidR="00284EE7" w:rsidRPr="000A1D51">
        <w:t>deepen</w:t>
      </w:r>
      <w:r w:rsidR="002164CB" w:rsidRPr="000A1D51">
        <w:t>ing</w:t>
      </w:r>
      <w:r w:rsidR="00284EE7" w:rsidRPr="000A1D51">
        <w:t xml:space="preserve"> strategic partnerships between ASEAN and Australia</w:t>
      </w:r>
      <w:r w:rsidR="002164CB" w:rsidRPr="000A1D51">
        <w:t xml:space="preserve"> is particularly apparent, and t</w:t>
      </w:r>
      <w:r w:rsidR="00284EE7" w:rsidRPr="000A1D51">
        <w:t>here are also indication</w:t>
      </w:r>
      <w:r w:rsidR="00BD05A3" w:rsidRPr="000A1D51">
        <w:t>s</w:t>
      </w:r>
      <w:r w:rsidR="00284EE7" w:rsidRPr="000A1D51">
        <w:t xml:space="preserve"> of progress towards </w:t>
      </w:r>
      <w:r w:rsidR="00BD05A3" w:rsidRPr="000A1D51">
        <w:t>the targeted end of program outcome of “</w:t>
      </w:r>
      <w:r w:rsidR="00F20BA5" w:rsidRPr="000A1D51">
        <w:t>ASEAN’s capacity to implement its economic integration policies and priorities, in line with the AEC Blueprint</w:t>
      </w:r>
      <w:r w:rsidR="00BD05A3" w:rsidRPr="000A1D51">
        <w:t xml:space="preserve">”. </w:t>
      </w:r>
      <w:r w:rsidR="004B5CDF" w:rsidRPr="000A1D51">
        <w:t xml:space="preserve">Given </w:t>
      </w:r>
      <w:r w:rsidR="005851A0" w:rsidRPr="000A1D51">
        <w:t>limited data on links to national level policy actions</w:t>
      </w:r>
      <w:r w:rsidR="004B5CDF" w:rsidRPr="000A1D51">
        <w:t xml:space="preserve">, it is not possible to </w:t>
      </w:r>
      <w:r w:rsidR="00075069" w:rsidRPr="000A1D51">
        <w:t xml:space="preserve">confirm the program is contributing to </w:t>
      </w:r>
      <w:r w:rsidR="007708F6" w:rsidRPr="000A1D51">
        <w:t>the goal</w:t>
      </w:r>
      <w:r w:rsidR="00BA44A3" w:rsidRPr="000A1D51">
        <w:t>s</w:t>
      </w:r>
      <w:r w:rsidR="007708F6" w:rsidRPr="000A1D51">
        <w:t xml:space="preserve"> of ASEAN economic growth and poverty reduction</w:t>
      </w:r>
      <w:r w:rsidR="00BA44A3" w:rsidRPr="000A1D51">
        <w:t xml:space="preserve"> and/or inclu</w:t>
      </w:r>
      <w:r w:rsidR="002F415F" w:rsidRPr="000A1D51">
        <w:t>sive growth</w:t>
      </w:r>
      <w:r w:rsidR="007708F6" w:rsidRPr="000A1D51">
        <w:t xml:space="preserve">, but </w:t>
      </w:r>
      <w:r w:rsidR="002C64BC" w:rsidRPr="000A1D51">
        <w:t xml:space="preserve">the </w:t>
      </w:r>
      <w:r w:rsidR="009C29CD" w:rsidRPr="000A1D51">
        <w:t>original</w:t>
      </w:r>
      <w:r w:rsidR="002C64BC" w:rsidRPr="000A1D51">
        <w:t xml:space="preserve"> program design logic remains valid.</w:t>
      </w:r>
      <w:r w:rsidR="00075069" w:rsidRPr="000A1D51">
        <w:t xml:space="preserve"> </w:t>
      </w:r>
    </w:p>
    <w:p w14:paraId="146DAFAD" w14:textId="2A639810" w:rsidR="00BD094D" w:rsidRPr="000A1D51" w:rsidRDefault="00BD094D" w:rsidP="00FD562F">
      <w:pPr>
        <w:pStyle w:val="Bullet0"/>
      </w:pPr>
      <w:r w:rsidRPr="000A1D51">
        <w:rPr>
          <w:b/>
          <w:bCs/>
        </w:rPr>
        <w:t>Efficien</w:t>
      </w:r>
      <w:r w:rsidR="00101E4F" w:rsidRPr="000A1D51">
        <w:rPr>
          <w:b/>
          <w:bCs/>
        </w:rPr>
        <w:t>t.</w:t>
      </w:r>
      <w:r w:rsidR="00101E4F" w:rsidRPr="000A1D51">
        <w:t xml:space="preserve"> </w:t>
      </w:r>
      <w:r w:rsidR="00AA31CE" w:rsidRPr="000A1D51">
        <w:t xml:space="preserve">ASEC execution of program implementation has </w:t>
      </w:r>
      <w:r w:rsidR="00204BA6" w:rsidRPr="000A1D51">
        <w:t>been</w:t>
      </w:r>
      <w:r w:rsidR="00AA31CE" w:rsidRPr="000A1D51">
        <w:t xml:space="preserve"> efficient in the use of Australian resources, with Australian overheads </w:t>
      </w:r>
      <w:r w:rsidR="00E141EC" w:rsidRPr="000A1D51">
        <w:t xml:space="preserve">amounting to less than half that originally budgeted. </w:t>
      </w:r>
      <w:r w:rsidR="00096B73" w:rsidRPr="000A1D51">
        <w:t xml:space="preserve">While fragmentation and </w:t>
      </w:r>
      <w:r w:rsidR="006721F1" w:rsidRPr="000A1D51">
        <w:t>delays undermined the</w:t>
      </w:r>
      <w:r w:rsidR="00096B73" w:rsidRPr="000A1D51">
        <w:t xml:space="preserve"> </w:t>
      </w:r>
      <w:r w:rsidR="006721F1" w:rsidRPr="000A1D51">
        <w:t>efficiency</w:t>
      </w:r>
      <w:r w:rsidR="00096B73" w:rsidRPr="000A1D51">
        <w:t xml:space="preserve"> </w:t>
      </w:r>
      <w:r w:rsidR="006721F1" w:rsidRPr="000A1D51">
        <w:t xml:space="preserve">of </w:t>
      </w:r>
      <w:r w:rsidR="00B205E0" w:rsidRPr="000A1D51">
        <w:t>some</w:t>
      </w:r>
      <w:r w:rsidR="00EA6EF4" w:rsidRPr="000A1D51">
        <w:t xml:space="preserve"> </w:t>
      </w:r>
      <w:r w:rsidR="006721F1" w:rsidRPr="000A1D51">
        <w:t>individual</w:t>
      </w:r>
      <w:r w:rsidR="00096B73" w:rsidRPr="000A1D51">
        <w:t xml:space="preserve"> project</w:t>
      </w:r>
      <w:r w:rsidR="006721F1" w:rsidRPr="000A1D51">
        <w:t xml:space="preserve">s, most resources were directed to </w:t>
      </w:r>
      <w:r w:rsidR="006D2527" w:rsidRPr="000A1D51">
        <w:t xml:space="preserve">generally </w:t>
      </w:r>
      <w:r w:rsidR="00A073DF" w:rsidRPr="000A1D51">
        <w:t xml:space="preserve">effective and efficient interventions. Project level efficiency </w:t>
      </w:r>
      <w:r w:rsidR="00B85B51" w:rsidRPr="000A1D51">
        <w:t>has</w:t>
      </w:r>
      <w:r w:rsidR="00A073DF" w:rsidRPr="000A1D51">
        <w:t xml:space="preserve"> improved over time with a shift to more programmatic approaches</w:t>
      </w:r>
      <w:r w:rsidR="00B205E0" w:rsidRPr="000A1D51">
        <w:t xml:space="preserve"> as demonstrated, for example, in</w:t>
      </w:r>
      <w:r w:rsidR="00A073DF" w:rsidRPr="000A1D51">
        <w:t xml:space="preserve"> support</w:t>
      </w:r>
      <w:r w:rsidR="00B205E0" w:rsidRPr="000A1D51">
        <w:t xml:space="preserve"> provided for</w:t>
      </w:r>
      <w:r w:rsidR="00A073DF" w:rsidRPr="000A1D51">
        <w:t xml:space="preserve"> connectivity and IAI.</w:t>
      </w:r>
    </w:p>
    <w:p w14:paraId="4EF94D79" w14:textId="77777777" w:rsidR="00FC6195" w:rsidRPr="000A1D51" w:rsidRDefault="00981C86" w:rsidP="00FD562F">
      <w:pPr>
        <w:pStyle w:val="Bullet0"/>
      </w:pPr>
      <w:r w:rsidRPr="000A1D51">
        <w:rPr>
          <w:b/>
        </w:rPr>
        <w:t>Partnerships</w:t>
      </w:r>
      <w:r w:rsidR="009113EC" w:rsidRPr="000A1D51">
        <w:t xml:space="preserve">. </w:t>
      </w:r>
      <w:r w:rsidR="00542C37" w:rsidRPr="000A1D51">
        <w:t xml:space="preserve">Overall, </w:t>
      </w:r>
      <w:r w:rsidR="00204BA6" w:rsidRPr="000A1D51">
        <w:t>t</w:t>
      </w:r>
      <w:r w:rsidR="00FC6195" w:rsidRPr="000A1D51">
        <w:t xml:space="preserve">he AADCP II partnership approach demonstrates value for money. Working through ASEC systems has reinforced a strong AADCP II brand recognition within ASEAN. The committed partnership and trust between the two </w:t>
      </w:r>
      <w:r w:rsidR="00FC6195" w:rsidRPr="000A1D51">
        <w:lastRenderedPageBreak/>
        <w:t xml:space="preserve">stakeholders allow them to collaborate on areas of mutual interest and address program risks and sensitive issues effectively.  </w:t>
      </w:r>
    </w:p>
    <w:p w14:paraId="4D1DFBB0" w14:textId="77777777" w:rsidR="00981C86" w:rsidRPr="000A1D51" w:rsidRDefault="00981C86" w:rsidP="00FD562F">
      <w:pPr>
        <w:pStyle w:val="Bullet0"/>
      </w:pPr>
      <w:r w:rsidRPr="000A1D51">
        <w:rPr>
          <w:b/>
          <w:bCs/>
        </w:rPr>
        <w:t>Monitoring and evaluation</w:t>
      </w:r>
      <w:r w:rsidR="00B12BC8" w:rsidRPr="000A1D51">
        <w:rPr>
          <w:b/>
          <w:bCs/>
        </w:rPr>
        <w:t xml:space="preserve"> (M&amp;E)</w:t>
      </w:r>
      <w:r w:rsidR="009113EC" w:rsidRPr="000A1D51">
        <w:t xml:space="preserve">. </w:t>
      </w:r>
      <w:r w:rsidR="000E0B7C" w:rsidRPr="000A1D51">
        <w:t xml:space="preserve">The current program logic </w:t>
      </w:r>
      <w:r w:rsidR="00C12D80" w:rsidRPr="000A1D51">
        <w:t xml:space="preserve">provides a </w:t>
      </w:r>
      <w:r w:rsidR="00CA04E5" w:rsidRPr="000A1D51">
        <w:t>good representation</w:t>
      </w:r>
      <w:r w:rsidR="00C12D80" w:rsidRPr="000A1D51">
        <w:t xml:space="preserve"> of AADCP II’s model</w:t>
      </w:r>
      <w:r w:rsidR="00BA7F86" w:rsidRPr="000A1D51">
        <w:t xml:space="preserve"> including the facility approach it takes</w:t>
      </w:r>
      <w:r w:rsidR="00C12D80" w:rsidRPr="000A1D51">
        <w:t xml:space="preserve">. </w:t>
      </w:r>
      <w:r w:rsidR="000B2821" w:rsidRPr="000A1D51">
        <w:t>T</w:t>
      </w:r>
      <w:r w:rsidR="00B12BC8" w:rsidRPr="000A1D51">
        <w:t>he existing</w:t>
      </w:r>
      <w:r w:rsidR="000E0B7C" w:rsidRPr="000A1D51">
        <w:t xml:space="preserve"> M&amp;E framework </w:t>
      </w:r>
      <w:r w:rsidR="00B12BC8" w:rsidRPr="000A1D51">
        <w:t xml:space="preserve">is pragmatic and </w:t>
      </w:r>
      <w:r w:rsidR="002C2945" w:rsidRPr="000A1D51">
        <w:t xml:space="preserve">should continue </w:t>
      </w:r>
      <w:r w:rsidR="00832B3A" w:rsidRPr="000A1D51">
        <w:t>in its current form</w:t>
      </w:r>
      <w:r w:rsidR="007C4A9C" w:rsidRPr="000A1D51">
        <w:t>.</w:t>
      </w:r>
      <w:r w:rsidR="00832B3A" w:rsidRPr="000A1D51">
        <w:t xml:space="preserve"> </w:t>
      </w:r>
      <w:r w:rsidR="007C4A9C" w:rsidRPr="000A1D51">
        <w:t xml:space="preserve">The review team makes </w:t>
      </w:r>
      <w:r w:rsidR="002C2945" w:rsidRPr="000A1D51">
        <w:t xml:space="preserve">some </w:t>
      </w:r>
      <w:r w:rsidR="005726BA" w:rsidRPr="000A1D51">
        <w:t>minor</w:t>
      </w:r>
      <w:r w:rsidR="002C2945" w:rsidRPr="000A1D51">
        <w:t xml:space="preserve"> </w:t>
      </w:r>
      <w:r w:rsidR="007C4A9C" w:rsidRPr="000A1D51">
        <w:t xml:space="preserve">suggestions </w:t>
      </w:r>
      <w:r w:rsidR="00832B3A" w:rsidRPr="000A1D51">
        <w:t xml:space="preserve">to strengthen </w:t>
      </w:r>
      <w:r w:rsidR="002A374C" w:rsidRPr="000A1D51">
        <w:t>data collection and</w:t>
      </w:r>
      <w:r w:rsidR="00832B3A" w:rsidRPr="000A1D51">
        <w:t xml:space="preserve"> reporting </w:t>
      </w:r>
      <w:r w:rsidR="002A374C" w:rsidRPr="000A1D51">
        <w:t xml:space="preserve">of the more informal data and </w:t>
      </w:r>
      <w:r w:rsidR="00D833AA" w:rsidRPr="000A1D51">
        <w:t xml:space="preserve">emergent </w:t>
      </w:r>
      <w:r w:rsidR="002A374C" w:rsidRPr="000A1D51">
        <w:t>outcomes of the program.</w:t>
      </w:r>
    </w:p>
    <w:p w14:paraId="124D7BE3" w14:textId="7242FC59" w:rsidR="00BB7D3A" w:rsidRPr="000A1D51" w:rsidRDefault="00981C86" w:rsidP="00FD562F">
      <w:pPr>
        <w:pStyle w:val="Bullet0"/>
      </w:pPr>
      <w:r w:rsidRPr="000A1D51">
        <w:rPr>
          <w:b/>
          <w:bCs/>
        </w:rPr>
        <w:t>Gender</w:t>
      </w:r>
      <w:r w:rsidR="009113EC" w:rsidRPr="000A1D51">
        <w:t xml:space="preserve">. </w:t>
      </w:r>
      <w:r w:rsidR="00BB7D3A" w:rsidRPr="000A1D51">
        <w:t xml:space="preserve"> The program has found it challenging to meaningfully incorporate gender </w:t>
      </w:r>
      <w:r w:rsidR="00401007" w:rsidRPr="000A1D51">
        <w:t xml:space="preserve">and social inclusion </w:t>
      </w:r>
      <w:r w:rsidR="008C176D" w:rsidRPr="000A1D51">
        <w:t xml:space="preserve">(GESI) </w:t>
      </w:r>
      <w:r w:rsidR="00401007" w:rsidRPr="000A1D51">
        <w:t xml:space="preserve">aspects </w:t>
      </w:r>
      <w:r w:rsidR="00BB7D3A" w:rsidRPr="000A1D51">
        <w:t>into its work owing to the demand-driven approach</w:t>
      </w:r>
      <w:r w:rsidR="00F5260E" w:rsidRPr="000A1D51">
        <w:t>.</w:t>
      </w:r>
      <w:r w:rsidR="004D1A5F" w:rsidRPr="000A1D51">
        <w:t xml:space="preserve"> </w:t>
      </w:r>
      <w:r w:rsidR="00F5260E" w:rsidRPr="000A1D51">
        <w:t>U</w:t>
      </w:r>
      <w:r w:rsidR="004D1A5F" w:rsidRPr="000A1D51">
        <w:t xml:space="preserve">nder ASEAN’s structure, </w:t>
      </w:r>
      <w:r w:rsidR="00BB7D3A" w:rsidRPr="000A1D51">
        <w:t xml:space="preserve">gender </w:t>
      </w:r>
      <w:r w:rsidR="004D1A5F" w:rsidRPr="000A1D51">
        <w:t xml:space="preserve">falls </w:t>
      </w:r>
      <w:r w:rsidR="003621CB" w:rsidRPr="000A1D51">
        <w:t>under</w:t>
      </w:r>
      <w:r w:rsidR="00BB7D3A" w:rsidRPr="000A1D51">
        <w:t xml:space="preserve"> the socio-</w:t>
      </w:r>
      <w:r w:rsidR="00B335FF" w:rsidRPr="000A1D51">
        <w:t>cultural</w:t>
      </w:r>
      <w:r w:rsidR="00BB7D3A" w:rsidRPr="000A1D51">
        <w:t xml:space="preserve"> pillar</w:t>
      </w:r>
      <w:r w:rsidR="004D1A5F" w:rsidRPr="000A1D51">
        <w:t xml:space="preserve">, </w:t>
      </w:r>
      <w:r w:rsidR="003430E0" w:rsidRPr="000A1D51">
        <w:t xml:space="preserve">which </w:t>
      </w:r>
      <w:r w:rsidR="007064B5" w:rsidRPr="000A1D51">
        <w:t>is not the target</w:t>
      </w:r>
      <w:r w:rsidR="003430E0" w:rsidRPr="000A1D51">
        <w:t xml:space="preserve"> </w:t>
      </w:r>
      <w:r w:rsidR="007064B5" w:rsidRPr="000A1D51">
        <w:t>of AADCP II support</w:t>
      </w:r>
      <w:r w:rsidR="00BB7D3A" w:rsidRPr="000A1D51">
        <w:t xml:space="preserve">. </w:t>
      </w:r>
      <w:r w:rsidR="009B439B" w:rsidRPr="000A1D51">
        <w:t>AADCP II should continue to source on-demand gender advice and hold discussions with the AEC, Connectivity and IAI teams</w:t>
      </w:r>
      <w:r w:rsidR="00D9683D" w:rsidRPr="000A1D51">
        <w:t xml:space="preserve"> to progress work on GESI</w:t>
      </w:r>
      <w:r w:rsidR="009B439B" w:rsidRPr="000A1D51">
        <w:t xml:space="preserve">. </w:t>
      </w:r>
      <w:r w:rsidR="00612191" w:rsidRPr="000A1D51">
        <w:t>Further, g</w:t>
      </w:r>
      <w:r w:rsidR="008001D9" w:rsidRPr="000A1D51">
        <w:t xml:space="preserve">iven Australia’s and ASEAN’s </w:t>
      </w:r>
      <w:r w:rsidR="008C176D" w:rsidRPr="000A1D51">
        <w:t>longstanding</w:t>
      </w:r>
      <w:r w:rsidR="00FC77A0" w:rsidRPr="000A1D51">
        <w:t xml:space="preserve"> partnership</w:t>
      </w:r>
      <w:r w:rsidR="008C176D" w:rsidRPr="000A1D51">
        <w:t xml:space="preserve">, the ASEAN Mission should continue to advocate </w:t>
      </w:r>
      <w:r w:rsidR="001A227A" w:rsidRPr="000A1D51">
        <w:t xml:space="preserve">the importance of GESI to </w:t>
      </w:r>
      <w:r w:rsidR="008C176D" w:rsidRPr="000A1D51">
        <w:t xml:space="preserve">ASEAN </w:t>
      </w:r>
      <w:r w:rsidR="000A6F69" w:rsidRPr="000A1D51">
        <w:t>particularly</w:t>
      </w:r>
      <w:r w:rsidR="00F76286" w:rsidRPr="000A1D51">
        <w:t xml:space="preserve"> </w:t>
      </w:r>
      <w:r w:rsidR="002D4687" w:rsidRPr="000A1D51">
        <w:t>through</w:t>
      </w:r>
      <w:r w:rsidR="000A6F69" w:rsidRPr="000A1D51">
        <w:t xml:space="preserve"> its </w:t>
      </w:r>
      <w:r w:rsidR="00077DAD" w:rsidRPr="000A1D51">
        <w:t xml:space="preserve">current </w:t>
      </w:r>
      <w:r w:rsidR="000A6F69" w:rsidRPr="000A1D51">
        <w:t>portfolio of work</w:t>
      </w:r>
      <w:r w:rsidR="008C176D" w:rsidRPr="000A1D51">
        <w:t xml:space="preserve"> with Australia and </w:t>
      </w:r>
      <w:r w:rsidR="007064B5" w:rsidRPr="000A1D51">
        <w:t>any</w:t>
      </w:r>
      <w:r w:rsidR="008C176D" w:rsidRPr="000A1D51">
        <w:t xml:space="preserve"> future project proposals.   </w:t>
      </w:r>
      <w:r w:rsidR="00FC77A0" w:rsidRPr="000A1D51">
        <w:t xml:space="preserve"> </w:t>
      </w:r>
    </w:p>
    <w:p w14:paraId="41966AFD" w14:textId="77777777" w:rsidR="00BD094D" w:rsidRPr="000A1D51" w:rsidRDefault="00BD094D" w:rsidP="00CF61C5">
      <w:pPr>
        <w:pStyle w:val="ListParagraph"/>
      </w:pPr>
      <w:r w:rsidRPr="000A1D51">
        <w:t>The team identified the following characteristic</w:t>
      </w:r>
      <w:r w:rsidR="00C21A82" w:rsidRPr="000A1D51">
        <w:t>s</w:t>
      </w:r>
      <w:r w:rsidRPr="000A1D51">
        <w:t xml:space="preserve"> that allow AADCP </w:t>
      </w:r>
      <w:r w:rsidR="004E0D59" w:rsidRPr="000A1D51">
        <w:t xml:space="preserve">II </w:t>
      </w:r>
      <w:r w:rsidRPr="000A1D51">
        <w:t>to add particular value to efforts to strengthen ASEC capacity to support regional economic integration</w:t>
      </w:r>
      <w:r w:rsidR="002B220C" w:rsidRPr="000A1D51">
        <w:t>:</w:t>
      </w:r>
    </w:p>
    <w:p w14:paraId="4293363D" w14:textId="19589910" w:rsidR="002B220C" w:rsidRPr="000A1D51" w:rsidRDefault="002B220C" w:rsidP="006E25FD">
      <w:pPr>
        <w:pStyle w:val="Bullet0"/>
        <w:numPr>
          <w:ilvl w:val="0"/>
          <w:numId w:val="50"/>
        </w:numPr>
      </w:pPr>
      <w:r w:rsidRPr="000A1D51">
        <w:t>The degree to which AADCP II is embedded into</w:t>
      </w:r>
      <w:r w:rsidR="00667596" w:rsidRPr="000A1D51">
        <w:t xml:space="preserve"> A</w:t>
      </w:r>
      <w:r w:rsidRPr="000A1D51">
        <w:t xml:space="preserve">SEC </w:t>
      </w:r>
      <w:r w:rsidR="008E1940" w:rsidRPr="000A1D51">
        <w:t xml:space="preserve">operations and </w:t>
      </w:r>
      <w:r w:rsidR="00786A82" w:rsidRPr="000A1D51">
        <w:t>planning processes</w:t>
      </w:r>
      <w:r w:rsidRPr="000A1D51">
        <w:t xml:space="preserve">. </w:t>
      </w:r>
    </w:p>
    <w:p w14:paraId="2494A332" w14:textId="77777777" w:rsidR="002B220C" w:rsidRPr="000A1D51" w:rsidRDefault="002B220C" w:rsidP="00FD562F">
      <w:pPr>
        <w:pStyle w:val="Bullet0"/>
      </w:pPr>
      <w:r w:rsidRPr="000A1D51">
        <w:t xml:space="preserve">The program is seen as an ASEAN-Australian partnership targeted at achieving shared priorities related to implementation of regional economic integration. </w:t>
      </w:r>
    </w:p>
    <w:p w14:paraId="75457141" w14:textId="77777777" w:rsidR="002B220C" w:rsidRPr="000A1D51" w:rsidRDefault="002B220C" w:rsidP="00FD562F">
      <w:pPr>
        <w:pStyle w:val="Bullet0"/>
      </w:pPr>
      <w:r w:rsidRPr="000A1D51">
        <w:t xml:space="preserve">The extent to which ASEC is driving the planning, prioritisation and implementation of projects with </w:t>
      </w:r>
      <w:r w:rsidR="00E217B0" w:rsidRPr="000A1D51">
        <w:t>DFAT</w:t>
      </w:r>
      <w:r w:rsidRPr="000A1D51">
        <w:t xml:space="preserve"> support </w:t>
      </w:r>
      <w:r w:rsidR="00E217B0" w:rsidRPr="000A1D51">
        <w:t>and engagement</w:t>
      </w:r>
      <w:r w:rsidRPr="000A1D51">
        <w:t>.</w:t>
      </w:r>
    </w:p>
    <w:p w14:paraId="0416BE62" w14:textId="77777777" w:rsidR="002B220C" w:rsidRPr="000A1D51" w:rsidRDefault="002B220C" w:rsidP="00FD562F">
      <w:pPr>
        <w:pStyle w:val="Bullet0"/>
      </w:pPr>
      <w:r w:rsidRPr="000A1D51">
        <w:t>The high degree of program visibility within ASEC and ASEAN, and the benefits that this provides in terms of Australian-ASEAN engagement.</w:t>
      </w:r>
    </w:p>
    <w:p w14:paraId="77925B23" w14:textId="77777777" w:rsidR="002B220C" w:rsidRPr="000A1D51" w:rsidRDefault="002B220C" w:rsidP="00FD562F">
      <w:pPr>
        <w:pStyle w:val="Bullet0"/>
      </w:pPr>
      <w:r w:rsidRPr="000A1D51">
        <w:t xml:space="preserve">The extent to which the program has been able to promote cross-pillar collaboration within ASEC (e.g. under the connectivity program). </w:t>
      </w:r>
    </w:p>
    <w:p w14:paraId="44BF4DFE" w14:textId="77777777" w:rsidR="00740E85" w:rsidRPr="000A1D51" w:rsidRDefault="00740E85" w:rsidP="00740E85">
      <w:pPr>
        <w:pStyle w:val="ListParagraph"/>
        <w:numPr>
          <w:ilvl w:val="0"/>
          <w:numId w:val="38"/>
        </w:numPr>
      </w:pPr>
      <w:r w:rsidRPr="000A1D51">
        <w:t xml:space="preserve">Some stakeholders suggested that more systematic engagement could </w:t>
      </w:r>
      <w:r w:rsidR="002E224A" w:rsidRPr="000A1D51">
        <w:t xml:space="preserve">help </w:t>
      </w:r>
      <w:r w:rsidRPr="000A1D51">
        <w:t>improve the quality of proposal designs and outcomes</w:t>
      </w:r>
      <w:r w:rsidR="00673D6A" w:rsidRPr="000A1D51">
        <w:t xml:space="preserve"> </w:t>
      </w:r>
      <w:r w:rsidRPr="000A1D51">
        <w:t xml:space="preserve">and help ensure that Australian perspectives were reflected in policy and institutional studies. Possible initiatives to promote greater WOG engagement </w:t>
      </w:r>
      <w:r w:rsidR="00B4081E" w:rsidRPr="000A1D51">
        <w:t>under existing and future support include:</w:t>
      </w:r>
    </w:p>
    <w:p w14:paraId="7A1FE1E9" w14:textId="77777777" w:rsidR="00740E85" w:rsidRPr="000A1D51" w:rsidRDefault="00740E85" w:rsidP="00740E85">
      <w:pPr>
        <w:pStyle w:val="Bullet0"/>
        <w:numPr>
          <w:ilvl w:val="0"/>
          <w:numId w:val="60"/>
        </w:numPr>
      </w:pPr>
      <w:r w:rsidRPr="000A1D51">
        <w:t xml:space="preserve">Develop mechanisms for more systematic use of flexible funds to help fund </w:t>
      </w:r>
      <w:r w:rsidR="003219D4" w:rsidRPr="000A1D51">
        <w:t xml:space="preserve">and/or develop </w:t>
      </w:r>
      <w:r w:rsidRPr="000A1D51">
        <w:t xml:space="preserve">Australian led initiatives directly linked to </w:t>
      </w:r>
      <w:r w:rsidR="003219D4" w:rsidRPr="000A1D51">
        <w:t xml:space="preserve">established </w:t>
      </w:r>
      <w:r w:rsidRPr="000A1D51">
        <w:t>ASEAN priorities.</w:t>
      </w:r>
    </w:p>
    <w:p w14:paraId="342AA347" w14:textId="77777777" w:rsidR="00740E85" w:rsidRPr="000A1D51" w:rsidRDefault="00740E85" w:rsidP="00740E85">
      <w:pPr>
        <w:pStyle w:val="Bullet0"/>
      </w:pPr>
      <w:r w:rsidRPr="000A1D51">
        <w:t>Develop sector specific strategies for Australian WOG engagement within the ASEAN region</w:t>
      </w:r>
      <w:r w:rsidR="003219D4" w:rsidRPr="000A1D51">
        <w:t>, b</w:t>
      </w:r>
      <w:r w:rsidRPr="000A1D51">
        <w:t>uild</w:t>
      </w:r>
      <w:r w:rsidR="003219D4" w:rsidRPr="000A1D51">
        <w:t>ing</w:t>
      </w:r>
      <w:r w:rsidRPr="000A1D51">
        <w:t xml:space="preserve"> on the </w:t>
      </w:r>
      <w:hyperlink r:id="rId17" w:history="1">
        <w:r w:rsidRPr="000A1D51">
          <w:rPr>
            <w:rStyle w:val="Hyperlink"/>
            <w:sz w:val="22"/>
            <w:szCs w:val="22"/>
          </w:rPr>
          <w:t>Plan of Action to Implement the ASEAN-Australian Strategic Partnership (2020-2024)</w:t>
        </w:r>
      </w:hyperlink>
      <w:r w:rsidRPr="000A1D51">
        <w:t xml:space="preserve"> to identify ASEAN priority needs that matched with Australian comparative strengths and identify what Australian development assistance program was most appropriate for addressing these prioritie</w:t>
      </w:r>
      <w:r w:rsidR="003219D4" w:rsidRPr="000A1D51">
        <w:t>s</w:t>
      </w:r>
      <w:r w:rsidRPr="000A1D51">
        <w:t xml:space="preserve">. </w:t>
      </w:r>
      <w:r w:rsidR="003219D4" w:rsidRPr="000A1D51">
        <w:t xml:space="preserve"> </w:t>
      </w:r>
    </w:p>
    <w:p w14:paraId="62C6A98A" w14:textId="77777777" w:rsidR="002E224A" w:rsidRPr="000A1D51" w:rsidRDefault="00740E85" w:rsidP="00B4081E">
      <w:pPr>
        <w:pStyle w:val="Bullet0"/>
      </w:pPr>
      <w:r w:rsidRPr="000A1D51">
        <w:lastRenderedPageBreak/>
        <w:t xml:space="preserve">Link core AADCP II support to targets specified in both the Australian and ASEAN strategic plans and undertake annual joint (ASEAN, DFAT, WOG partner) monitoring of progress towards targeted outcomes.  </w:t>
      </w:r>
    </w:p>
    <w:p w14:paraId="7A630FA9" w14:textId="77777777" w:rsidR="007C6ED4" w:rsidRPr="000A1D51" w:rsidRDefault="007D4E65" w:rsidP="00AB449D">
      <w:pPr>
        <w:pStyle w:val="ListParagraph"/>
        <w:numPr>
          <w:ilvl w:val="0"/>
          <w:numId w:val="38"/>
        </w:numPr>
      </w:pPr>
      <w:r w:rsidRPr="000A1D51">
        <w:t>For the ongoing project, t</w:t>
      </w:r>
      <w:r w:rsidR="00EB56B3" w:rsidRPr="000A1D51">
        <w:t>he team recommends that:</w:t>
      </w:r>
    </w:p>
    <w:p w14:paraId="476D0E8F" w14:textId="3803405D" w:rsidR="00BD2735" w:rsidRPr="000A1D51" w:rsidRDefault="00BB36C9" w:rsidP="00115640">
      <w:pPr>
        <w:pStyle w:val="Heading4"/>
      </w:pPr>
      <w:r w:rsidRPr="000A1D51">
        <w:t>Sustain momentum</w:t>
      </w:r>
    </w:p>
    <w:p w14:paraId="16C8A3F0" w14:textId="4835C5FA" w:rsidR="00BD2735" w:rsidRPr="000A1D51" w:rsidRDefault="00D621EC" w:rsidP="00C341E3">
      <w:pPr>
        <w:pStyle w:val="indenta"/>
      </w:pPr>
      <w:r w:rsidRPr="000A1D51">
        <w:t xml:space="preserve">DFAT </w:t>
      </w:r>
      <w:r w:rsidR="00BB36C9" w:rsidRPr="000A1D51">
        <w:t xml:space="preserve">should </w:t>
      </w:r>
      <w:r w:rsidRPr="000A1D51">
        <w:t xml:space="preserve">work with the </w:t>
      </w:r>
      <w:r w:rsidR="009C448D" w:rsidRPr="000A1D51">
        <w:t>PMT</w:t>
      </w:r>
      <w:r w:rsidRPr="000A1D51">
        <w:t xml:space="preserve"> and ASEC</w:t>
      </w:r>
      <w:r w:rsidRPr="000A1D51">
        <w:rPr>
          <w:b/>
          <w:bCs/>
        </w:rPr>
        <w:t xml:space="preserve"> </w:t>
      </w:r>
      <w:r w:rsidRPr="000A1D51">
        <w:t xml:space="preserve">to minimise disruption to </w:t>
      </w:r>
      <w:r w:rsidR="005A3EED" w:rsidRPr="000A1D51">
        <w:t xml:space="preserve">the strong partnerships and momentum </w:t>
      </w:r>
      <w:r w:rsidR="00C341E3" w:rsidRPr="000A1D51">
        <w:t>in</w:t>
      </w:r>
      <w:r w:rsidR="00422EA0" w:rsidRPr="000A1D51">
        <w:t xml:space="preserve"> the transition to follow-up support</w:t>
      </w:r>
      <w:r w:rsidR="005A3EED" w:rsidRPr="000A1D51">
        <w:t>.</w:t>
      </w:r>
      <w:r w:rsidRPr="000A1D51">
        <w:t xml:space="preserve"> </w:t>
      </w:r>
    </w:p>
    <w:p w14:paraId="455CC240" w14:textId="3DD45B8A" w:rsidR="007D4E65" w:rsidRPr="000A1D51" w:rsidRDefault="009C448D" w:rsidP="00C341E3">
      <w:pPr>
        <w:pStyle w:val="indenta"/>
      </w:pPr>
      <w:r w:rsidRPr="000A1D51">
        <w:t>PMT</w:t>
      </w:r>
      <w:r w:rsidR="00115E1B" w:rsidRPr="000A1D51">
        <w:t xml:space="preserve"> to </w:t>
      </w:r>
      <w:r w:rsidR="0017204C" w:rsidRPr="000A1D51">
        <w:rPr>
          <w:lang w:val="en-US"/>
        </w:rPr>
        <w:t>continue</w:t>
      </w:r>
      <w:r w:rsidR="00B578B5" w:rsidRPr="000A1D51">
        <w:rPr>
          <w:lang w:val="en-US"/>
        </w:rPr>
        <w:t xml:space="preserve"> engag</w:t>
      </w:r>
      <w:r w:rsidR="00115E1B" w:rsidRPr="000A1D51">
        <w:rPr>
          <w:lang w:val="en-US"/>
        </w:rPr>
        <w:t>ing</w:t>
      </w:r>
      <w:r w:rsidR="00B578B5" w:rsidRPr="000A1D51">
        <w:rPr>
          <w:lang w:val="en-US"/>
        </w:rPr>
        <w:t xml:space="preserve"> with ASEC officials to assess needs </w:t>
      </w:r>
      <w:r w:rsidR="00C01C16" w:rsidRPr="000A1D51">
        <w:rPr>
          <w:lang w:val="en-US"/>
        </w:rPr>
        <w:t xml:space="preserve">to </w:t>
      </w:r>
      <w:r w:rsidR="00B578B5" w:rsidRPr="000A1D51">
        <w:rPr>
          <w:lang w:val="en-US"/>
        </w:rPr>
        <w:t xml:space="preserve">develop project proposals </w:t>
      </w:r>
    </w:p>
    <w:p w14:paraId="0747CC58" w14:textId="72443C6B" w:rsidR="00BD2735" w:rsidRPr="000A1D51" w:rsidRDefault="00BB36C9" w:rsidP="00115640">
      <w:pPr>
        <w:pStyle w:val="Heading4"/>
      </w:pPr>
      <w:r w:rsidRPr="000A1D51">
        <w:t xml:space="preserve">Gender </w:t>
      </w:r>
      <w:r w:rsidR="002C0EC1" w:rsidRPr="000A1D51">
        <w:t>and social inclusion (GESI)</w:t>
      </w:r>
    </w:p>
    <w:p w14:paraId="36134288" w14:textId="77777777" w:rsidR="00BD2735" w:rsidRPr="000A1D51" w:rsidRDefault="005A3EED" w:rsidP="00C341E3">
      <w:pPr>
        <w:pStyle w:val="indenta"/>
      </w:pPr>
      <w:r w:rsidRPr="000A1D51">
        <w:t xml:space="preserve">DFAT to provide </w:t>
      </w:r>
      <w:r w:rsidR="00D00082" w:rsidRPr="000A1D51">
        <w:t xml:space="preserve">additional flexible/discretionary funding to </w:t>
      </w:r>
      <w:r w:rsidR="0092281A" w:rsidRPr="000A1D51">
        <w:t xml:space="preserve">recruit a short-term </w:t>
      </w:r>
      <w:r w:rsidR="00AB1785" w:rsidRPr="000A1D51">
        <w:t xml:space="preserve">gender expert </w:t>
      </w:r>
      <w:r w:rsidR="0092281A" w:rsidRPr="000A1D51">
        <w:t>to</w:t>
      </w:r>
      <w:r w:rsidR="00C07029" w:rsidRPr="000A1D51">
        <w:rPr>
          <w:lang w:val="en-US"/>
        </w:rPr>
        <w:t xml:space="preserve"> identify champions and entry points for gender. Consideration could also be given to </w:t>
      </w:r>
      <w:r w:rsidR="0092281A" w:rsidRPr="000A1D51">
        <w:t xml:space="preserve">undertake an analysis of </w:t>
      </w:r>
      <w:r w:rsidR="00707843" w:rsidRPr="000A1D51">
        <w:t>the gender impacts of selected AADCP II projects</w:t>
      </w:r>
      <w:r w:rsidR="00C07029" w:rsidRPr="000A1D51">
        <w:t xml:space="preserve"> </w:t>
      </w:r>
      <w:r w:rsidR="001B1C7A" w:rsidRPr="000A1D51">
        <w:t xml:space="preserve">and </w:t>
      </w:r>
      <w:r w:rsidR="001B68BE" w:rsidRPr="000A1D51">
        <w:t>to provide guidance on proposal development.</w:t>
      </w:r>
      <w:r w:rsidR="00C07029" w:rsidRPr="000A1D51">
        <w:rPr>
          <w:rFonts w:ascii="Times New Roman" w:eastAsia="Times New Roman" w:hAnsi="Times New Roman" w:cs="Times New Roman"/>
          <w:sz w:val="24"/>
          <w:szCs w:val="24"/>
          <w:lang w:val="en-US" w:eastAsia="en-GB"/>
        </w:rPr>
        <w:t xml:space="preserve"> </w:t>
      </w:r>
      <w:r w:rsidR="00C07029" w:rsidRPr="000A1D51">
        <w:rPr>
          <w:lang w:val="en-US"/>
        </w:rPr>
        <w:t xml:space="preserve"> </w:t>
      </w:r>
    </w:p>
    <w:p w14:paraId="23172895" w14:textId="6876F148" w:rsidR="00372502" w:rsidRPr="000A1D51" w:rsidRDefault="00372502" w:rsidP="00C341E3">
      <w:pPr>
        <w:pStyle w:val="indenta"/>
      </w:pPr>
      <w:r w:rsidRPr="000A1D51">
        <w:t>AADCP II and DFAT should continue to engage GESI expertise to identify ways to better integrate GESI into its current portfolio of work.</w:t>
      </w:r>
    </w:p>
    <w:p w14:paraId="1DC272EC" w14:textId="77777777" w:rsidR="00B14E75" w:rsidRPr="000A1D51" w:rsidRDefault="00372502" w:rsidP="00115640">
      <w:pPr>
        <w:pStyle w:val="Heading4"/>
      </w:pPr>
      <w:r w:rsidRPr="000A1D51">
        <w:t xml:space="preserve">Communications. </w:t>
      </w:r>
    </w:p>
    <w:p w14:paraId="4712DDB7" w14:textId="03D039AB" w:rsidR="001C5C7B" w:rsidRPr="000A1D51" w:rsidRDefault="001C5C7B" w:rsidP="00C341E3">
      <w:pPr>
        <w:pStyle w:val="indenta"/>
      </w:pPr>
      <w:r w:rsidRPr="000A1D51">
        <w:rPr>
          <w:bCs/>
        </w:rPr>
        <w:t>AADCP II and DFAT</w:t>
      </w:r>
      <w:r w:rsidRPr="000A1D51">
        <w:t xml:space="preserve"> should reinforce communication efforts (internal and external) to meet the needs of different audiences to better show how AADCP II advanc</w:t>
      </w:r>
      <w:r w:rsidR="00B14E75" w:rsidRPr="000A1D51">
        <w:t xml:space="preserve">es </w:t>
      </w:r>
      <w:r w:rsidRPr="000A1D51">
        <w:t>Australia’s and ASEAN’s shared interests.</w:t>
      </w:r>
    </w:p>
    <w:p w14:paraId="08379558" w14:textId="77777777" w:rsidR="00523CF9" w:rsidRPr="000A1D51" w:rsidRDefault="00FE38B4" w:rsidP="00115640">
      <w:pPr>
        <w:pStyle w:val="Heading4"/>
      </w:pPr>
      <w:r w:rsidRPr="000A1D51">
        <w:t xml:space="preserve">M&amp;E. </w:t>
      </w:r>
    </w:p>
    <w:p w14:paraId="71722B61" w14:textId="1CF039FF" w:rsidR="00523CF9" w:rsidRPr="000A1D51" w:rsidRDefault="00982721" w:rsidP="00C341E3">
      <w:pPr>
        <w:pStyle w:val="indenta"/>
      </w:pPr>
      <w:r w:rsidRPr="000A1D51">
        <w:t xml:space="preserve">PPMSU </w:t>
      </w:r>
      <w:r w:rsidR="00C515F3" w:rsidRPr="000A1D51">
        <w:t>should e</w:t>
      </w:r>
      <w:r w:rsidR="0000059E" w:rsidRPr="000A1D51">
        <w:t xml:space="preserve">xplore lessons </w:t>
      </w:r>
      <w:r w:rsidR="00A34313" w:rsidRPr="000A1D51">
        <w:t>from MPAC and IAI experiences</w:t>
      </w:r>
      <w:r w:rsidR="0000059E" w:rsidRPr="000A1D51">
        <w:t xml:space="preserve"> </w:t>
      </w:r>
      <w:r w:rsidR="00AE3408" w:rsidRPr="000A1D51">
        <w:t>to</w:t>
      </w:r>
      <w:r w:rsidR="0000059E" w:rsidRPr="000A1D51">
        <w:t xml:space="preserve"> design support to strengthen ASEC M&amp;E systems</w:t>
      </w:r>
      <w:r w:rsidR="00A34313" w:rsidRPr="000A1D51">
        <w:t xml:space="preserve">. </w:t>
      </w:r>
      <w:r w:rsidR="0000059E" w:rsidRPr="000A1D51">
        <w:t>Prepare</w:t>
      </w:r>
      <w:r w:rsidR="00A34313" w:rsidRPr="000A1D51">
        <w:t xml:space="preserve"> case studies of </w:t>
      </w:r>
      <w:r w:rsidR="0000059E" w:rsidRPr="000A1D51">
        <w:t>plausible causal</w:t>
      </w:r>
      <w:r w:rsidR="00A34313" w:rsidRPr="000A1D51">
        <w:t xml:space="preserve"> links between AADCP II supported activities</w:t>
      </w:r>
      <w:r w:rsidR="0000059E" w:rsidRPr="000A1D51">
        <w:t>,</w:t>
      </w:r>
      <w:r w:rsidR="00A34313" w:rsidRPr="000A1D51">
        <w:t xml:space="preserve"> strengthened ASEC capacity, </w:t>
      </w:r>
      <w:r w:rsidR="0000059E" w:rsidRPr="000A1D51">
        <w:t xml:space="preserve">and </w:t>
      </w:r>
      <w:r w:rsidR="00AE3408" w:rsidRPr="000A1D51">
        <w:t xml:space="preserve">AEC blueprint </w:t>
      </w:r>
      <w:r w:rsidR="0000059E" w:rsidRPr="000A1D51">
        <w:t xml:space="preserve">implementation </w:t>
      </w:r>
      <w:r w:rsidR="00107E7B" w:rsidRPr="000A1D51">
        <w:t xml:space="preserve">in order to </w:t>
      </w:r>
      <w:r w:rsidR="001C74EE" w:rsidRPr="000A1D51">
        <w:t>clarify</w:t>
      </w:r>
      <w:r w:rsidR="00107E7B" w:rsidRPr="000A1D51">
        <w:t xml:space="preserve"> the </w:t>
      </w:r>
      <w:r w:rsidR="001C74EE" w:rsidRPr="000A1D51">
        <w:t xml:space="preserve">potential </w:t>
      </w:r>
      <w:r w:rsidR="00107E7B" w:rsidRPr="000A1D51">
        <w:t xml:space="preserve">value </w:t>
      </w:r>
      <w:r w:rsidR="001C74EE" w:rsidRPr="000A1D51">
        <w:t>of efforts to</w:t>
      </w:r>
      <w:r w:rsidR="00107E7B" w:rsidRPr="000A1D51">
        <w:t xml:space="preserve"> </w:t>
      </w:r>
      <w:r w:rsidR="001C74EE" w:rsidRPr="000A1D51">
        <w:t>strengthen the ASEC.</w:t>
      </w:r>
      <w:r w:rsidR="001C5C7B" w:rsidRPr="000A1D51">
        <w:t xml:space="preserve"> </w:t>
      </w:r>
    </w:p>
    <w:p w14:paraId="1812FA49" w14:textId="5768FB01" w:rsidR="001C5C7B" w:rsidRPr="000A1D51" w:rsidRDefault="001C5C7B" w:rsidP="00C341E3">
      <w:pPr>
        <w:pStyle w:val="indenta"/>
      </w:pPr>
      <w:r w:rsidRPr="000A1D51">
        <w:t>The</w:t>
      </w:r>
      <w:r w:rsidR="00FE38B4" w:rsidRPr="000A1D51">
        <w:rPr>
          <w:b/>
        </w:rPr>
        <w:t xml:space="preserve"> </w:t>
      </w:r>
      <w:r w:rsidR="00C30382" w:rsidRPr="000A1D51">
        <w:rPr>
          <w:bCs/>
        </w:rPr>
        <w:t>AADCP II program team</w:t>
      </w:r>
      <w:r w:rsidR="00C30382" w:rsidRPr="000A1D51">
        <w:t xml:space="preserve"> should continue to </w:t>
      </w:r>
      <w:r w:rsidR="00FE38B4" w:rsidRPr="000A1D51">
        <w:t>respond to</w:t>
      </w:r>
      <w:r w:rsidR="00B7084B" w:rsidRPr="000A1D51">
        <w:t xml:space="preserve"> the increased interest in M&amp;E from ASEC</w:t>
      </w:r>
      <w:r w:rsidR="000F625A" w:rsidRPr="000A1D51">
        <w:t>.</w:t>
      </w:r>
      <w:r w:rsidR="000E3068" w:rsidRPr="000A1D51">
        <w:t xml:space="preserve"> </w:t>
      </w:r>
      <w:r w:rsidR="000F625A" w:rsidRPr="000A1D51">
        <w:t>Lessons learned from directly supporting the M&amp;E and IAI may provide useful lessons in this regard.</w:t>
      </w:r>
    </w:p>
    <w:p w14:paraId="7919E85A" w14:textId="77777777" w:rsidR="00523CF9" w:rsidRPr="000A1D51" w:rsidRDefault="001C5C7B" w:rsidP="00115640">
      <w:pPr>
        <w:pStyle w:val="Heading4"/>
      </w:pPr>
      <w:r w:rsidRPr="000A1D51">
        <w:t xml:space="preserve">Project design and implementation. </w:t>
      </w:r>
    </w:p>
    <w:p w14:paraId="2C464660" w14:textId="77777777" w:rsidR="00523CF9" w:rsidRPr="000A1D51" w:rsidRDefault="00562B03" w:rsidP="00C341E3">
      <w:pPr>
        <w:pStyle w:val="indenta"/>
      </w:pPr>
      <w:r w:rsidRPr="000A1D51">
        <w:rPr>
          <w:bCs/>
        </w:rPr>
        <w:t>The PMT and the AADCP II program team</w:t>
      </w:r>
      <w:r w:rsidRPr="000A1D51">
        <w:t xml:space="preserve"> should work with ASEC to clarify roles and responsibilities </w:t>
      </w:r>
      <w:r w:rsidR="004F00CD" w:rsidRPr="000A1D51">
        <w:t xml:space="preserve">of the team and ASEAN </w:t>
      </w:r>
      <w:r w:rsidRPr="000A1D51">
        <w:t xml:space="preserve">in proposal development and project implementation. </w:t>
      </w:r>
      <w:r w:rsidR="001C5C7B" w:rsidRPr="000A1D51">
        <w:t xml:space="preserve"> </w:t>
      </w:r>
    </w:p>
    <w:p w14:paraId="2A8EBB51" w14:textId="4E36BA9B" w:rsidR="00A34313" w:rsidRPr="000A1D51" w:rsidRDefault="00F2087A" w:rsidP="00C341E3">
      <w:pPr>
        <w:pStyle w:val="indenta"/>
      </w:pPr>
      <w:r w:rsidRPr="000A1D51">
        <w:rPr>
          <w:bCs/>
        </w:rPr>
        <w:t xml:space="preserve">DFAT and </w:t>
      </w:r>
      <w:r w:rsidR="009C448D" w:rsidRPr="000A1D51">
        <w:rPr>
          <w:bCs/>
        </w:rPr>
        <w:t>PMT</w:t>
      </w:r>
      <w:r w:rsidR="00C515F3" w:rsidRPr="000A1D51">
        <w:t xml:space="preserve"> should c</w:t>
      </w:r>
      <w:r w:rsidR="00A34313" w:rsidRPr="000A1D51">
        <w:t>ontinue to</w:t>
      </w:r>
      <w:r w:rsidRPr="000A1D51">
        <w:t xml:space="preserve"> </w:t>
      </w:r>
      <w:r w:rsidR="00BD2735" w:rsidRPr="000A1D51">
        <w:t>try to</w:t>
      </w:r>
      <w:r w:rsidR="00740E85" w:rsidRPr="000A1D51">
        <w:t xml:space="preserve"> </w:t>
      </w:r>
      <w:r w:rsidR="00A34313" w:rsidRPr="000A1D51">
        <w:t>reduc</w:t>
      </w:r>
      <w:r w:rsidR="00BD2735" w:rsidRPr="000A1D51">
        <w:t>e</w:t>
      </w:r>
      <w:r w:rsidR="00740E85" w:rsidRPr="000A1D51">
        <w:t xml:space="preserve"> the</w:t>
      </w:r>
      <w:r w:rsidR="00A34313" w:rsidRPr="000A1D51">
        <w:t xml:space="preserve"> number</w:t>
      </w:r>
      <w:r w:rsidRPr="000A1D51">
        <w:t>s</w:t>
      </w:r>
      <w:r w:rsidR="00A34313" w:rsidRPr="000A1D51">
        <w:t xml:space="preserve"> of ad hoc projects to: (i) reduce the time spent by processing and overseeing requests for small ad hoc activities, and; (ii) facilitate reporting on project results and better communications of results.  </w:t>
      </w:r>
    </w:p>
    <w:p w14:paraId="24A1B50F" w14:textId="77777777" w:rsidR="00C341E3" w:rsidRPr="000A1D51" w:rsidRDefault="00C341E3" w:rsidP="00C341E3">
      <w:pPr>
        <w:pStyle w:val="indenta"/>
        <w:numPr>
          <w:ilvl w:val="0"/>
          <w:numId w:val="0"/>
        </w:numPr>
        <w:ind w:left="993"/>
      </w:pPr>
    </w:p>
    <w:p w14:paraId="33CA36AB" w14:textId="77777777" w:rsidR="007D4E65" w:rsidRPr="000A1D51" w:rsidRDefault="007D4E65" w:rsidP="00AB449D">
      <w:pPr>
        <w:pStyle w:val="ListParagraph"/>
        <w:numPr>
          <w:ilvl w:val="0"/>
          <w:numId w:val="38"/>
        </w:numPr>
      </w:pPr>
      <w:r w:rsidRPr="000A1D51">
        <w:lastRenderedPageBreak/>
        <w:t xml:space="preserve">The team </w:t>
      </w:r>
      <w:r w:rsidR="00F8339F" w:rsidRPr="000A1D51">
        <w:t>provides the following recommendations for</w:t>
      </w:r>
      <w:r w:rsidR="00F91018" w:rsidRPr="000A1D51">
        <w:t xml:space="preserve"> planning any</w:t>
      </w:r>
      <w:r w:rsidRPr="000A1D51">
        <w:t xml:space="preserve"> follow-up support:</w:t>
      </w:r>
    </w:p>
    <w:p w14:paraId="5F6E9792" w14:textId="77777777" w:rsidR="0091385D" w:rsidRPr="000A1D51" w:rsidRDefault="005D6C3D" w:rsidP="00115640">
      <w:pPr>
        <w:pStyle w:val="Heading4"/>
        <w:numPr>
          <w:ilvl w:val="0"/>
          <w:numId w:val="72"/>
        </w:numPr>
      </w:pPr>
      <w:r w:rsidRPr="000A1D51">
        <w:t xml:space="preserve">Build on success. </w:t>
      </w:r>
    </w:p>
    <w:p w14:paraId="6F9FFA96" w14:textId="28FC91CC" w:rsidR="00933C41" w:rsidRPr="000A1D51" w:rsidRDefault="00AB1785" w:rsidP="00C341E3">
      <w:pPr>
        <w:pStyle w:val="indenta"/>
      </w:pPr>
      <w:r w:rsidRPr="000A1D51">
        <w:rPr>
          <w:b/>
          <w:bCs/>
        </w:rPr>
        <w:t>DFAT and t</w:t>
      </w:r>
      <w:r w:rsidR="00933C41" w:rsidRPr="000A1D51">
        <w:rPr>
          <w:b/>
          <w:bCs/>
        </w:rPr>
        <w:t>he design team</w:t>
      </w:r>
      <w:r w:rsidR="00933C41" w:rsidRPr="000A1D51">
        <w:t xml:space="preserve"> should</w:t>
      </w:r>
      <w:r w:rsidR="004E75CE" w:rsidRPr="000A1D51">
        <w:t xml:space="preserve"> continue with, but</w:t>
      </w:r>
      <w:r w:rsidR="00933C41" w:rsidRPr="000A1D51">
        <w:t xml:space="preserve"> look to improve on</w:t>
      </w:r>
      <w:r w:rsidR="004E75CE" w:rsidRPr="000A1D51">
        <w:t>,</w:t>
      </w:r>
      <w:r w:rsidR="00933C41" w:rsidRPr="000A1D51">
        <w:t xml:space="preserve"> the existing </w:t>
      </w:r>
      <w:r w:rsidR="000576D2" w:rsidRPr="000A1D51">
        <w:t>well-</w:t>
      </w:r>
      <w:r w:rsidR="00E13806" w:rsidRPr="000A1D51">
        <w:t xml:space="preserve">regarded </w:t>
      </w:r>
      <w:r w:rsidR="00933C41" w:rsidRPr="000A1D51">
        <w:t>partnership model.</w:t>
      </w:r>
      <w:r w:rsidR="003A2291" w:rsidRPr="000A1D51">
        <w:t xml:space="preserve"> Try to sustain recent momentum.</w:t>
      </w:r>
    </w:p>
    <w:p w14:paraId="3771FDD9" w14:textId="007D91B8" w:rsidR="00E7004A" w:rsidRPr="000A1D51" w:rsidRDefault="00E805AA" w:rsidP="00115640">
      <w:pPr>
        <w:pStyle w:val="Heading4"/>
      </w:pPr>
      <w:r w:rsidRPr="000A1D51">
        <w:t>G</w:t>
      </w:r>
      <w:r w:rsidR="00E7004A" w:rsidRPr="000A1D51">
        <w:t>reater flexibility in responding to emerging needs</w:t>
      </w:r>
    </w:p>
    <w:p w14:paraId="242A2B3B" w14:textId="6AABD7BD" w:rsidR="00BA0129" w:rsidRPr="000A1D51" w:rsidRDefault="0068359F" w:rsidP="00C341E3">
      <w:pPr>
        <w:pStyle w:val="indenta"/>
      </w:pPr>
      <w:r w:rsidRPr="000A1D51">
        <w:rPr>
          <w:b/>
        </w:rPr>
        <w:t>DFAT</w:t>
      </w:r>
      <w:r w:rsidRPr="000A1D51">
        <w:t xml:space="preserve"> should </w:t>
      </w:r>
      <w:r w:rsidR="00304FFD" w:rsidRPr="000A1D51">
        <w:t>review options for</w:t>
      </w:r>
      <w:r w:rsidR="00933C41" w:rsidRPr="000A1D51">
        <w:t xml:space="preserve"> a flexible funding facility </w:t>
      </w:r>
      <w:r w:rsidR="00724374" w:rsidRPr="000A1D51">
        <w:t xml:space="preserve">(possibly to support a portfolio of regional programs) </w:t>
      </w:r>
      <w:r w:rsidR="00933C41" w:rsidRPr="000A1D51">
        <w:t xml:space="preserve">to </w:t>
      </w:r>
      <w:r w:rsidR="00F73078" w:rsidRPr="000A1D51">
        <w:t xml:space="preserve">provide greater flexibility </w:t>
      </w:r>
      <w:r w:rsidR="00ED6B9F" w:rsidRPr="000A1D51">
        <w:t xml:space="preserve">to support the </w:t>
      </w:r>
      <w:r w:rsidR="009810D6" w:rsidRPr="000A1D51">
        <w:t>develop</w:t>
      </w:r>
      <w:r w:rsidR="00ED6B9F" w:rsidRPr="000A1D51">
        <w:t>ment of</w:t>
      </w:r>
      <w:r w:rsidR="009810D6" w:rsidRPr="000A1D51">
        <w:t xml:space="preserve"> higher quality proposals</w:t>
      </w:r>
      <w:r w:rsidR="0060739C" w:rsidRPr="000A1D51">
        <w:t>, to</w:t>
      </w:r>
      <w:r w:rsidR="009810D6" w:rsidRPr="000A1D51">
        <w:t xml:space="preserve"> flesh out potential o</w:t>
      </w:r>
      <w:r w:rsidR="00011B30" w:rsidRPr="000A1D51">
        <w:t xml:space="preserve">pportunities for more substantive support, </w:t>
      </w:r>
      <w:r w:rsidR="0060739C" w:rsidRPr="000A1D51">
        <w:t>and/or to address cross-cutting concerns.</w:t>
      </w:r>
      <w:r w:rsidR="00B804EB" w:rsidRPr="000A1D51">
        <w:t xml:space="preserve"> </w:t>
      </w:r>
    </w:p>
    <w:p w14:paraId="353A9B39" w14:textId="39078A51" w:rsidR="00BA0129" w:rsidRPr="000A1D51" w:rsidRDefault="002B3D55" w:rsidP="00C341E3">
      <w:pPr>
        <w:pStyle w:val="indenta"/>
      </w:pPr>
      <w:r w:rsidRPr="000A1D51">
        <w:rPr>
          <w:b/>
          <w:bCs/>
        </w:rPr>
        <w:t>D</w:t>
      </w:r>
      <w:r w:rsidR="0060739C" w:rsidRPr="000A1D51">
        <w:rPr>
          <w:b/>
          <w:bCs/>
        </w:rPr>
        <w:t xml:space="preserve">esign </w:t>
      </w:r>
      <w:r w:rsidR="0068359F" w:rsidRPr="000A1D51">
        <w:rPr>
          <w:b/>
          <w:bCs/>
        </w:rPr>
        <w:t>team</w:t>
      </w:r>
      <w:r w:rsidR="0068359F" w:rsidRPr="000A1D51">
        <w:t xml:space="preserve"> </w:t>
      </w:r>
      <w:r w:rsidR="0060739C" w:rsidRPr="000A1D51">
        <w:t>should</w:t>
      </w:r>
      <w:r w:rsidR="0068359F" w:rsidRPr="000A1D51">
        <w:t xml:space="preserve"> explore ways to</w:t>
      </w:r>
      <w:r w:rsidR="0060739C" w:rsidRPr="000A1D51">
        <w:t xml:space="preserve"> </w:t>
      </w:r>
      <w:r w:rsidR="00E13806" w:rsidRPr="000A1D51">
        <w:t>promote</w:t>
      </w:r>
      <w:r w:rsidR="00F73078" w:rsidRPr="000A1D51">
        <w:t xml:space="preserve"> programmatic approaches</w:t>
      </w:r>
      <w:r w:rsidR="0060739C" w:rsidRPr="000A1D51">
        <w:t xml:space="preserve">, while retaining flexibility to respond to ad hoc needs. </w:t>
      </w:r>
    </w:p>
    <w:p w14:paraId="30C6D64B" w14:textId="69D414D2" w:rsidR="00BA0129" w:rsidRPr="000A1D51" w:rsidRDefault="0068359F" w:rsidP="00C341E3">
      <w:pPr>
        <w:pStyle w:val="indenta"/>
        <w:rPr>
          <w:rFonts w:eastAsia="SimSun"/>
          <w:b/>
          <w:color w:val="000000" w:themeColor="text1"/>
        </w:rPr>
      </w:pPr>
      <w:r w:rsidRPr="000A1D51">
        <w:rPr>
          <w:b/>
          <w:bCs/>
        </w:rPr>
        <w:t>DFAT and the design team</w:t>
      </w:r>
      <w:r w:rsidRPr="000A1D51">
        <w:t xml:space="preserve"> should e</w:t>
      </w:r>
      <w:r w:rsidR="00FE1DF0" w:rsidRPr="000A1D51">
        <w:t xml:space="preserve">xplore options for </w:t>
      </w:r>
      <w:r w:rsidR="00310669" w:rsidRPr="000A1D51">
        <w:t>improved</w:t>
      </w:r>
      <w:r w:rsidR="00F73078" w:rsidRPr="000A1D51">
        <w:t xml:space="preserve"> harmonisation and coherence between Australia’s regional and bilateral programs in the region. </w:t>
      </w:r>
      <w:r w:rsidR="00E13806" w:rsidRPr="000A1D51">
        <w:t>The</w:t>
      </w:r>
      <w:r w:rsidR="00435CFD" w:rsidRPr="000A1D51">
        <w:t xml:space="preserve"> new </w:t>
      </w:r>
      <w:r w:rsidR="00ED6B9F" w:rsidRPr="000A1D51">
        <w:t xml:space="preserve">design should </w:t>
      </w:r>
      <w:r w:rsidR="00435CFD" w:rsidRPr="000A1D51">
        <w:t xml:space="preserve">complement other </w:t>
      </w:r>
      <w:r w:rsidR="00B804EB" w:rsidRPr="000A1D51">
        <w:t xml:space="preserve">regional </w:t>
      </w:r>
      <w:r w:rsidR="00435CFD" w:rsidRPr="000A1D51">
        <w:t>DFAT programs currently under design/re-design</w:t>
      </w:r>
      <w:r w:rsidR="00B804EB" w:rsidRPr="000A1D51">
        <w:t>.</w:t>
      </w:r>
    </w:p>
    <w:p w14:paraId="6BAEE3D1" w14:textId="69148075" w:rsidR="005414CE" w:rsidRPr="000A1D51" w:rsidRDefault="002B3D55" w:rsidP="00C341E3">
      <w:pPr>
        <w:pStyle w:val="indenta"/>
        <w:rPr>
          <w:rFonts w:eastAsia="SimSun"/>
          <w:b/>
          <w:color w:val="000000" w:themeColor="text1"/>
        </w:rPr>
      </w:pPr>
      <w:r w:rsidRPr="000A1D51">
        <w:rPr>
          <w:b/>
          <w:bCs/>
        </w:rPr>
        <w:t>D</w:t>
      </w:r>
      <w:r w:rsidR="00F8339F" w:rsidRPr="000A1D51">
        <w:rPr>
          <w:b/>
          <w:bCs/>
        </w:rPr>
        <w:t>e</w:t>
      </w:r>
      <w:r w:rsidR="008D704B" w:rsidRPr="000A1D51">
        <w:rPr>
          <w:b/>
          <w:bCs/>
        </w:rPr>
        <w:t xml:space="preserve">sign team (and ASEC) </w:t>
      </w:r>
      <w:r w:rsidR="008D704B" w:rsidRPr="000A1D51">
        <w:t>should c</w:t>
      </w:r>
      <w:r w:rsidR="00F73078" w:rsidRPr="000A1D51">
        <w:t xml:space="preserve">onsider more flexibility in </w:t>
      </w:r>
      <w:r w:rsidR="00FE1DF0" w:rsidRPr="000A1D51">
        <w:t>targeting regional development gaps</w:t>
      </w:r>
      <w:r w:rsidR="005414CE" w:rsidRPr="000A1D51">
        <w:t xml:space="preserve"> (including support for the IAI).</w:t>
      </w:r>
    </w:p>
    <w:p w14:paraId="17C3890A" w14:textId="77777777" w:rsidR="00BA0129" w:rsidRPr="000A1D51" w:rsidRDefault="00BA0129" w:rsidP="00115640">
      <w:pPr>
        <w:pStyle w:val="Heading4"/>
      </w:pPr>
      <w:r w:rsidRPr="000A1D51">
        <w:t>Consider sector wide approaches to Australian support for ASEAN</w:t>
      </w:r>
    </w:p>
    <w:p w14:paraId="2F66B892" w14:textId="6D9567FF" w:rsidR="00F73078" w:rsidRPr="000A1D51" w:rsidRDefault="007B7049" w:rsidP="00C341E3">
      <w:pPr>
        <w:pStyle w:val="indenta"/>
      </w:pPr>
      <w:r w:rsidRPr="000A1D51">
        <w:rPr>
          <w:b/>
        </w:rPr>
        <w:t>DFAT</w:t>
      </w:r>
      <w:r w:rsidRPr="000A1D51">
        <w:t xml:space="preserve"> should c</w:t>
      </w:r>
      <w:r w:rsidR="00F73078" w:rsidRPr="000A1D51">
        <w:t xml:space="preserve">onsider sector wide approach </w:t>
      </w:r>
      <w:r w:rsidRPr="000A1D51">
        <w:t xml:space="preserve">(in a limited number of priority sectors) </w:t>
      </w:r>
      <w:r w:rsidR="00F73078" w:rsidRPr="000A1D51">
        <w:t>to planning Australian support for ASEAN</w:t>
      </w:r>
      <w:r w:rsidR="00F2087A" w:rsidRPr="000A1D51">
        <w:t xml:space="preserve"> </w:t>
      </w:r>
      <w:r w:rsidRPr="000A1D51">
        <w:t>and identify the most appropriate interventions to realize targeted outcomes</w:t>
      </w:r>
      <w:r w:rsidR="00F73078" w:rsidRPr="000A1D51">
        <w:t>.</w:t>
      </w:r>
    </w:p>
    <w:p w14:paraId="4A486FDF" w14:textId="06E96125" w:rsidR="00BA0129" w:rsidRPr="000A1D51" w:rsidRDefault="00BA0129" w:rsidP="00115640">
      <w:pPr>
        <w:pStyle w:val="Heading4"/>
      </w:pPr>
      <w:r w:rsidRPr="000A1D51">
        <w:t>Gender and social inclusion (GESI)</w:t>
      </w:r>
    </w:p>
    <w:p w14:paraId="12C38565" w14:textId="436D1196" w:rsidR="00CE1C6C" w:rsidRPr="000A1D51" w:rsidRDefault="00CE1C6C" w:rsidP="00C341E3">
      <w:pPr>
        <w:pStyle w:val="indenta"/>
      </w:pPr>
      <w:r w:rsidRPr="000A1D51">
        <w:rPr>
          <w:b/>
          <w:bCs/>
        </w:rPr>
        <w:t>DFAT</w:t>
      </w:r>
      <w:r w:rsidR="009A6B8D" w:rsidRPr="000A1D51">
        <w:rPr>
          <w:b/>
          <w:bCs/>
        </w:rPr>
        <w:t xml:space="preserve"> </w:t>
      </w:r>
      <w:r w:rsidR="009A6B8D" w:rsidRPr="000A1D51">
        <w:t>should</w:t>
      </w:r>
      <w:r w:rsidR="009A6B8D" w:rsidRPr="000A1D51">
        <w:rPr>
          <w:b/>
          <w:bCs/>
        </w:rPr>
        <w:t xml:space="preserve"> </w:t>
      </w:r>
      <w:r w:rsidR="009A6B8D" w:rsidRPr="000A1D51">
        <w:t>include a GESI expert in the design team</w:t>
      </w:r>
      <w:r w:rsidR="009A6B8D" w:rsidRPr="000A1D51">
        <w:rPr>
          <w:b/>
          <w:bCs/>
        </w:rPr>
        <w:t xml:space="preserve">. </w:t>
      </w:r>
      <w:r w:rsidR="009A6B8D" w:rsidRPr="000A1D51">
        <w:rPr>
          <w:b/>
        </w:rPr>
        <w:t>DFAT</w:t>
      </w:r>
      <w:r w:rsidR="006D2527" w:rsidRPr="000A1D51">
        <w:rPr>
          <w:b/>
        </w:rPr>
        <w:t>, ASEC</w:t>
      </w:r>
      <w:r w:rsidRPr="000A1D51">
        <w:rPr>
          <w:b/>
        </w:rPr>
        <w:t xml:space="preserve"> and the design team</w:t>
      </w:r>
      <w:r w:rsidRPr="000A1D51">
        <w:t xml:space="preserve"> </w:t>
      </w:r>
      <w:r w:rsidR="00493BA9" w:rsidRPr="000A1D51">
        <w:t>c</w:t>
      </w:r>
      <w:r w:rsidRPr="000A1D51">
        <w:t xml:space="preserve">ould explore </w:t>
      </w:r>
      <w:r w:rsidR="00DD78AB" w:rsidRPr="000A1D51">
        <w:t xml:space="preserve">options to ensure more attention is given to </w:t>
      </w:r>
      <w:r w:rsidR="00DC6D01" w:rsidRPr="000A1D51">
        <w:t xml:space="preserve">more systematically incorporating </w:t>
      </w:r>
      <w:r w:rsidR="00DD78AB" w:rsidRPr="000A1D51">
        <w:t xml:space="preserve">GESI </w:t>
      </w:r>
      <w:r w:rsidR="00DC6D01" w:rsidRPr="000A1D51">
        <w:t>as a cross-cutting (and cross-pillar) issue</w:t>
      </w:r>
      <w:r w:rsidR="00DD78AB" w:rsidRPr="000A1D51">
        <w:t xml:space="preserve">. </w:t>
      </w:r>
    </w:p>
    <w:p w14:paraId="70235C02" w14:textId="590009D5" w:rsidR="00115640" w:rsidRPr="000A1D51" w:rsidRDefault="00115640" w:rsidP="00115640">
      <w:pPr>
        <w:pStyle w:val="Heading4"/>
      </w:pPr>
      <w:r w:rsidRPr="000A1D51">
        <w:t>Monitoring and evaluation</w:t>
      </w:r>
    </w:p>
    <w:p w14:paraId="6A1443FF" w14:textId="424D5D84" w:rsidR="00AE3408" w:rsidRPr="000A1D51" w:rsidRDefault="004A1F51" w:rsidP="002C0EC1">
      <w:pPr>
        <w:pStyle w:val="Bullet0"/>
        <w:numPr>
          <w:ilvl w:val="1"/>
          <w:numId w:val="25"/>
        </w:numPr>
        <w:ind w:left="993" w:hanging="284"/>
      </w:pPr>
      <w:r w:rsidRPr="000A1D51">
        <w:rPr>
          <w:b/>
          <w:bCs/>
          <w:lang w:val="en-US"/>
        </w:rPr>
        <w:t>DFAT ASEC and the design team</w:t>
      </w:r>
      <w:r w:rsidR="009D586F" w:rsidRPr="000A1D51">
        <w:rPr>
          <w:b/>
          <w:bCs/>
          <w:lang w:val="en-US"/>
        </w:rPr>
        <w:t xml:space="preserve"> </w:t>
      </w:r>
      <w:r w:rsidRPr="000A1D51">
        <w:rPr>
          <w:lang w:val="en-US"/>
        </w:rPr>
        <w:t>should explore avenues for leveraging ASEC’s increasing interest in M&amp;E of outcomes and impacts and consider the value of providing additional M&amp;E resources within the program.</w:t>
      </w:r>
    </w:p>
    <w:p w14:paraId="65EA63BE" w14:textId="2E04259A" w:rsidR="00E805AA" w:rsidRPr="000A1D51" w:rsidRDefault="00E805AA" w:rsidP="00115640">
      <w:pPr>
        <w:pStyle w:val="Heading4"/>
      </w:pPr>
      <w:r w:rsidRPr="000A1D51">
        <w:t>Communications</w:t>
      </w:r>
    </w:p>
    <w:p w14:paraId="71E12AB0" w14:textId="08956257" w:rsidR="009E1D55" w:rsidRPr="000A1D51" w:rsidRDefault="009E1D55" w:rsidP="00C341E3">
      <w:pPr>
        <w:pStyle w:val="indenta"/>
      </w:pPr>
      <w:r w:rsidRPr="000A1D51">
        <w:rPr>
          <w:b/>
          <w:bCs/>
        </w:rPr>
        <w:t>DFAT</w:t>
      </w:r>
      <w:r w:rsidR="006D2527" w:rsidRPr="000A1D51">
        <w:rPr>
          <w:b/>
          <w:bCs/>
        </w:rPr>
        <w:t xml:space="preserve"> </w:t>
      </w:r>
      <w:r w:rsidRPr="000A1D51">
        <w:rPr>
          <w:b/>
          <w:bCs/>
        </w:rPr>
        <w:t>and the design team</w:t>
      </w:r>
      <w:r w:rsidRPr="000A1D51">
        <w:t xml:space="preserve"> should consider the need for a communication strategy and provision for communications </w:t>
      </w:r>
      <w:r w:rsidR="00AE7571" w:rsidRPr="000A1D51">
        <w:t>services</w:t>
      </w:r>
      <w:r w:rsidRPr="000A1D51">
        <w:t xml:space="preserve"> in any follow-up support. </w:t>
      </w:r>
      <w:r w:rsidR="00AE7571" w:rsidRPr="000A1D51">
        <w:t xml:space="preserve"> </w:t>
      </w:r>
    </w:p>
    <w:p w14:paraId="61C25F3D" w14:textId="353D4507" w:rsidR="00115640" w:rsidRPr="000A1D51" w:rsidRDefault="00E13806" w:rsidP="00E13806">
      <w:pPr>
        <w:pStyle w:val="Heading4"/>
      </w:pPr>
      <w:r w:rsidRPr="000A1D51">
        <w:t>Broader stakeholder engagement</w:t>
      </w:r>
    </w:p>
    <w:p w14:paraId="662F8836" w14:textId="51B32C96" w:rsidR="00E10E52" w:rsidRPr="000A1D51" w:rsidRDefault="00E10E52" w:rsidP="00C341E3">
      <w:pPr>
        <w:pStyle w:val="indenta"/>
      </w:pPr>
      <w:r w:rsidRPr="000A1D51">
        <w:rPr>
          <w:b/>
          <w:bCs/>
        </w:rPr>
        <w:t>DFAT and the design team</w:t>
      </w:r>
      <w:r w:rsidRPr="000A1D51">
        <w:t xml:space="preserve"> should consider options to develop strategies for more direct engagement with business</w:t>
      </w:r>
      <w:r w:rsidR="00204BA6" w:rsidRPr="000A1D51">
        <w:t xml:space="preserve">, </w:t>
      </w:r>
      <w:r w:rsidRPr="000A1D51">
        <w:t>worker</w:t>
      </w:r>
      <w:r w:rsidR="00204BA6" w:rsidRPr="000A1D51">
        <w:t xml:space="preserve"> and other civil society</w:t>
      </w:r>
      <w:r w:rsidRPr="000A1D51">
        <w:t xml:space="preserve"> representative to better understand and address some of the practical bottlenecks and concerns regarding increased economic integration.</w:t>
      </w:r>
    </w:p>
    <w:p w14:paraId="48897D92" w14:textId="77777777" w:rsidR="009E1D55" w:rsidRPr="000A1D51" w:rsidRDefault="009E1D55" w:rsidP="00EC44AC">
      <w:pPr>
        <w:pStyle w:val="Bullet0"/>
        <w:numPr>
          <w:ilvl w:val="0"/>
          <w:numId w:val="0"/>
        </w:numPr>
        <w:ind w:left="782"/>
      </w:pPr>
    </w:p>
    <w:p w14:paraId="58958A09" w14:textId="77777777" w:rsidR="007C6ED4" w:rsidRPr="000A1D51" w:rsidRDefault="007C6ED4" w:rsidP="007C6ED4">
      <w:pPr>
        <w:sectPr w:rsidR="007C6ED4" w:rsidRPr="000A1D51" w:rsidSect="00C57F35">
          <w:pgSz w:w="11907" w:h="16840" w:code="9"/>
          <w:pgMar w:top="2268" w:right="1871" w:bottom="907" w:left="1871" w:header="851" w:footer="454" w:gutter="0"/>
          <w:pgNumType w:fmt="lowerRoman"/>
          <w:cols w:space="720"/>
          <w:docGrid w:linePitch="326"/>
        </w:sectPr>
      </w:pPr>
    </w:p>
    <w:p w14:paraId="7BDD649E" w14:textId="77777777" w:rsidR="00C95A29" w:rsidRPr="000A1D51" w:rsidRDefault="00C95A29" w:rsidP="007E7C14">
      <w:pPr>
        <w:pStyle w:val="Heading1"/>
        <w:spacing w:before="120"/>
      </w:pPr>
      <w:bookmarkStart w:id="16" w:name="_Toc24884102"/>
      <w:bookmarkStart w:id="17" w:name="_Toc31820104"/>
      <w:r w:rsidRPr="000A1D51">
        <w:lastRenderedPageBreak/>
        <w:t>Introduction</w:t>
      </w:r>
      <w:bookmarkEnd w:id="16"/>
      <w:bookmarkEnd w:id="17"/>
    </w:p>
    <w:p w14:paraId="7769EA12" w14:textId="77777777" w:rsidR="007E7C14" w:rsidRPr="000A1D51" w:rsidRDefault="007E7C14" w:rsidP="00C95A29">
      <w:pPr>
        <w:pStyle w:val="Heading2"/>
      </w:pPr>
      <w:bookmarkStart w:id="18" w:name="_Toc24884103"/>
      <w:bookmarkStart w:id="19" w:name="_Toc31820105"/>
      <w:r w:rsidRPr="000A1D51">
        <w:t>Background</w:t>
      </w:r>
      <w:bookmarkEnd w:id="12"/>
      <w:bookmarkEnd w:id="13"/>
      <w:bookmarkEnd w:id="18"/>
      <w:bookmarkEnd w:id="19"/>
    </w:p>
    <w:p w14:paraId="3545AB4D" w14:textId="77777777" w:rsidR="00634336" w:rsidRPr="000A1D51" w:rsidRDefault="00D07892" w:rsidP="00AB449D">
      <w:pPr>
        <w:pStyle w:val="ListParagraph"/>
        <w:numPr>
          <w:ilvl w:val="0"/>
          <w:numId w:val="32"/>
        </w:numPr>
      </w:pPr>
      <w:bookmarkStart w:id="20" w:name="_Toc528568755"/>
      <w:bookmarkStart w:id="21" w:name="_Toc533181389"/>
      <w:r w:rsidRPr="000A1D51">
        <w:t xml:space="preserve">The ASEAN-Australia Development Cooperation Program Phase II (AADCP II) is an AUD57 million partnership between Australia and ASEAN, </w:t>
      </w:r>
      <w:r w:rsidR="002D4281" w:rsidRPr="000A1D51">
        <w:t>implemented by</w:t>
      </w:r>
      <w:r w:rsidRPr="000A1D51">
        <w:t xml:space="preserve"> the ASEAN Secretariat (ASEC), supporting the ASEAN Economic Community (AEC). It builds on AADCP I (ended in 2008). AADCP II was signed June 2009 and will end (with an extension) in December 2021. </w:t>
      </w:r>
      <w:r w:rsidR="00634336" w:rsidRPr="000A1D51">
        <w:t>The “overall objective is to support ASEAN to implement its economic integration policies and priorities, in line with the ASEAN Economic Community (AEC) blueprint”</w:t>
      </w:r>
      <w:r w:rsidR="00634336" w:rsidRPr="000A1D51">
        <w:rPr>
          <w:rStyle w:val="FootnoteReference"/>
        </w:rPr>
        <w:footnoteReference w:id="2"/>
      </w:r>
      <w:r w:rsidR="00634336" w:rsidRPr="000A1D51">
        <w:t>.</w:t>
      </w:r>
    </w:p>
    <w:p w14:paraId="4CC97F11" w14:textId="77777777" w:rsidR="00D07892" w:rsidRPr="000A1D51" w:rsidRDefault="00634336" w:rsidP="00AB449D">
      <w:pPr>
        <w:pStyle w:val="ListParagraph"/>
        <w:numPr>
          <w:ilvl w:val="0"/>
          <w:numId w:val="32"/>
        </w:numPr>
      </w:pPr>
      <w:r w:rsidRPr="000A1D51">
        <w:t>The Program design document defined the program’s goal as to promote (ASEAN) “economic growth and poverty reduction”, and its purpose as to “effectively contribute to the establishment of an ASEAN Economic Community (AEC)</w:t>
      </w:r>
      <w:r w:rsidR="00CE6C61" w:rsidRPr="000A1D51">
        <w:t>”</w:t>
      </w:r>
      <w:r w:rsidRPr="000A1D51">
        <w:rPr>
          <w:rStyle w:val="FootnoteReference"/>
        </w:rPr>
        <w:footnoteReference w:id="3"/>
      </w:r>
      <w:r w:rsidRPr="000A1D51">
        <w:t xml:space="preserve">. </w:t>
      </w:r>
      <w:r w:rsidR="00D07892" w:rsidRPr="000A1D51">
        <w:t xml:space="preserve">Program components are intended: </w:t>
      </w:r>
    </w:p>
    <w:p w14:paraId="691C7DB3" w14:textId="77777777" w:rsidR="00D07892" w:rsidRPr="000A1D51" w:rsidRDefault="00634336" w:rsidP="00EC44AC">
      <w:pPr>
        <w:pStyle w:val="Bullet0"/>
        <w:numPr>
          <w:ilvl w:val="0"/>
          <w:numId w:val="53"/>
        </w:numPr>
      </w:pPr>
      <w:r w:rsidRPr="000A1D51">
        <w:t>To s</w:t>
      </w:r>
      <w:r w:rsidR="00D07892" w:rsidRPr="000A1D51">
        <w:t xml:space="preserve">trengthen ASEC’s institutional capacity to </w:t>
      </w:r>
      <w:r w:rsidRPr="000A1D51">
        <w:t xml:space="preserve">effectively implement its mandate” (i.e., to </w:t>
      </w:r>
      <w:r w:rsidR="00D07892" w:rsidRPr="000A1D51">
        <w:t>facilitate and support ASEAN integration and community building efforts</w:t>
      </w:r>
      <w:r w:rsidRPr="000A1D51">
        <w:t>)</w:t>
      </w:r>
      <w:r w:rsidR="00D07892" w:rsidRPr="000A1D51">
        <w:t xml:space="preserve"> (Component 1</w:t>
      </w:r>
      <w:r w:rsidRPr="000A1D51">
        <w:t>: indicative allocation $8 million</w:t>
      </w:r>
      <w:r w:rsidR="00D07892" w:rsidRPr="000A1D51">
        <w:t>).</w:t>
      </w:r>
    </w:p>
    <w:p w14:paraId="050F23A8" w14:textId="77777777" w:rsidR="00D07892" w:rsidRPr="000A1D51" w:rsidRDefault="00634336" w:rsidP="00FD562F">
      <w:pPr>
        <w:pStyle w:val="Bullet0"/>
      </w:pPr>
      <w:r w:rsidRPr="000A1D51">
        <w:t>To p</w:t>
      </w:r>
      <w:r w:rsidR="00D07892" w:rsidRPr="000A1D51">
        <w:t>rovi</w:t>
      </w:r>
      <w:r w:rsidRPr="000A1D51">
        <w:t>de</w:t>
      </w:r>
      <w:r w:rsidR="00D07892" w:rsidRPr="000A1D51">
        <w:t xml:space="preserve"> timely and high-quality economic research and policy advice</w:t>
      </w:r>
      <w:r w:rsidRPr="000A1D51">
        <w:t xml:space="preserve"> on priority regional economic integration issues</w:t>
      </w:r>
      <w:r w:rsidR="00D07892" w:rsidRPr="000A1D51">
        <w:t xml:space="preserve"> (Component 2a</w:t>
      </w:r>
      <w:r w:rsidRPr="000A1D51">
        <w:t>: $10 million</w:t>
      </w:r>
      <w:r w:rsidR="00D07892" w:rsidRPr="000A1D51">
        <w:t>).</w:t>
      </w:r>
    </w:p>
    <w:p w14:paraId="30D79F87" w14:textId="77777777" w:rsidR="00D07892" w:rsidRPr="000A1D51" w:rsidRDefault="00634336" w:rsidP="00FD562F">
      <w:pPr>
        <w:pStyle w:val="Bullet0"/>
      </w:pPr>
      <w:r w:rsidRPr="000A1D51">
        <w:t>To s</w:t>
      </w:r>
      <w:r w:rsidR="00D07892" w:rsidRPr="000A1D51">
        <w:t>upport regional mechanisms</w:t>
      </w:r>
      <w:r w:rsidRPr="000A1D51">
        <w:t>/</w:t>
      </w:r>
      <w:r w:rsidR="00D07892" w:rsidRPr="000A1D51">
        <w:t>capacity fo</w:t>
      </w:r>
      <w:r w:rsidRPr="000A1D51">
        <w:t>r</w:t>
      </w:r>
      <w:r w:rsidR="00D07892" w:rsidRPr="000A1D51">
        <w:t xml:space="preserve"> implementation of selected AEC Blueprint activities at the national level (Component 2b</w:t>
      </w:r>
      <w:r w:rsidRPr="000A1D51">
        <w:t>: $17 million</w:t>
      </w:r>
      <w:r w:rsidR="00D07892" w:rsidRPr="000A1D51">
        <w:t>).</w:t>
      </w:r>
    </w:p>
    <w:p w14:paraId="5B0FBA0F" w14:textId="77777777" w:rsidR="00D07892" w:rsidRPr="000A1D51" w:rsidRDefault="00D07892" w:rsidP="00CF61C5">
      <w:pPr>
        <w:pStyle w:val="ListParagraph"/>
      </w:pPr>
      <w:r w:rsidRPr="000A1D51">
        <w:t>Following a 2014 Independent Review recommendation, the Program organised its reporting around the following four result areas:</w:t>
      </w:r>
    </w:p>
    <w:p w14:paraId="0561BE40" w14:textId="77777777" w:rsidR="00D07892" w:rsidRPr="000A1D51" w:rsidRDefault="00D07892" w:rsidP="00EC44AC">
      <w:pPr>
        <w:pStyle w:val="Bullet0"/>
        <w:numPr>
          <w:ilvl w:val="0"/>
          <w:numId w:val="54"/>
        </w:numPr>
      </w:pPr>
      <w:r w:rsidRPr="000A1D51">
        <w:t>A better knowledge and evidence base exist for regional policy making and regulation for AEC.</w:t>
      </w:r>
    </w:p>
    <w:p w14:paraId="11CC46D7" w14:textId="77777777" w:rsidR="00D07892" w:rsidRPr="000A1D51" w:rsidRDefault="00D07892" w:rsidP="00FD562F">
      <w:pPr>
        <w:pStyle w:val="Bullet0"/>
      </w:pPr>
      <w:r w:rsidRPr="000A1D51">
        <w:t>Appropriate norms and standards are established for AEC to progress.</w:t>
      </w:r>
    </w:p>
    <w:p w14:paraId="64C65250" w14:textId="77777777" w:rsidR="00D07892" w:rsidRPr="000A1D51" w:rsidRDefault="00D07892" w:rsidP="00FD562F">
      <w:pPr>
        <w:pStyle w:val="Bullet0"/>
      </w:pPr>
      <w:r w:rsidRPr="000A1D51">
        <w:t>Stakeholders are better aware of the concepts, benefits and opportunities involved in AEC.</w:t>
      </w:r>
    </w:p>
    <w:p w14:paraId="2750A759" w14:textId="77777777" w:rsidR="00D07892" w:rsidRPr="000A1D51" w:rsidRDefault="00D07892" w:rsidP="00FD562F">
      <w:pPr>
        <w:pStyle w:val="Bullet0"/>
      </w:pPr>
      <w:r w:rsidRPr="000A1D51">
        <w:t>ASEC better able to support AEC process.</w:t>
      </w:r>
    </w:p>
    <w:p w14:paraId="5C30C477" w14:textId="77777777" w:rsidR="00803F5B" w:rsidRPr="000A1D51" w:rsidRDefault="00803F5B" w:rsidP="00CF61C5">
      <w:pPr>
        <w:pStyle w:val="ListParagraph"/>
      </w:pPr>
      <w:r w:rsidRPr="000A1D51">
        <w:t xml:space="preserve">The purposes of this review are to:  </w:t>
      </w:r>
    </w:p>
    <w:p w14:paraId="55EDFFD7" w14:textId="77777777" w:rsidR="00803F5B" w:rsidRPr="000A1D51" w:rsidRDefault="00803F5B" w:rsidP="00EC44AC">
      <w:pPr>
        <w:pStyle w:val="Bullet0"/>
        <w:numPr>
          <w:ilvl w:val="0"/>
          <w:numId w:val="55"/>
        </w:numPr>
      </w:pPr>
      <w:r w:rsidRPr="000A1D51">
        <w:t xml:space="preserve">Enhance and better explain AADCP II performance and accountabilities, </w:t>
      </w:r>
    </w:p>
    <w:p w14:paraId="267CC98D" w14:textId="77777777" w:rsidR="00803F5B" w:rsidRPr="000A1D51" w:rsidRDefault="00803F5B" w:rsidP="00FD562F">
      <w:pPr>
        <w:pStyle w:val="Bullet0"/>
      </w:pPr>
      <w:r w:rsidRPr="000A1D51">
        <w:t>Strengthen knowledge of the context in which AADCP II operates, and the opportunities and challenges presented within this context</w:t>
      </w:r>
      <w:r w:rsidR="00CE6C61" w:rsidRPr="000A1D51">
        <w:t>,</w:t>
      </w:r>
    </w:p>
    <w:p w14:paraId="1C4CF606" w14:textId="77777777" w:rsidR="00803F5B" w:rsidRPr="000A1D51" w:rsidRDefault="00803F5B" w:rsidP="00FD562F">
      <w:pPr>
        <w:pStyle w:val="Bullet0"/>
      </w:pPr>
      <w:r w:rsidRPr="000A1D51">
        <w:t>Provide forward-looking recommendations for the re-design of a new phase of the program</w:t>
      </w:r>
      <w:r w:rsidR="00CE6C61" w:rsidRPr="000A1D51">
        <w:t>, and;</w:t>
      </w:r>
    </w:p>
    <w:p w14:paraId="4F8708D0" w14:textId="77777777" w:rsidR="00DD7937" w:rsidRPr="000A1D51" w:rsidRDefault="00DD7937" w:rsidP="00FD562F">
      <w:pPr>
        <w:pStyle w:val="Bullet0"/>
      </w:pPr>
      <w:r w:rsidRPr="000A1D51">
        <w:lastRenderedPageBreak/>
        <w:t>Provide more detailed case studies of the AADCP II partnership model and of the AADCP M&amp;E Framework.</w:t>
      </w:r>
    </w:p>
    <w:p w14:paraId="0A69FC17" w14:textId="77777777" w:rsidR="007E7C14" w:rsidRPr="000A1D51" w:rsidRDefault="00D07892" w:rsidP="007E7C14">
      <w:pPr>
        <w:pStyle w:val="Heading2"/>
      </w:pPr>
      <w:bookmarkStart w:id="22" w:name="_Toc24884104"/>
      <w:bookmarkStart w:id="23" w:name="_Toc31820106"/>
      <w:bookmarkEnd w:id="20"/>
      <w:bookmarkEnd w:id="21"/>
      <w:r w:rsidRPr="000A1D51">
        <w:t>Review Methodology</w:t>
      </w:r>
      <w:bookmarkEnd w:id="22"/>
      <w:bookmarkEnd w:id="23"/>
    </w:p>
    <w:p w14:paraId="1EF8C0BF" w14:textId="77777777" w:rsidR="00BE0E63" w:rsidRPr="000A1D51" w:rsidRDefault="00BE0E63" w:rsidP="00CF61C5">
      <w:pPr>
        <w:pStyle w:val="ListParagraph"/>
      </w:pPr>
      <w:r w:rsidRPr="000A1D51">
        <w:t xml:space="preserve">The </w:t>
      </w:r>
      <w:r w:rsidR="004B4512" w:rsidRPr="000A1D51">
        <w:t>team</w:t>
      </w:r>
      <w:r w:rsidRPr="000A1D51">
        <w:t xml:space="preserve"> conduct</w:t>
      </w:r>
      <w:r w:rsidR="00DD244B" w:rsidRPr="000A1D51">
        <w:t>ed</w:t>
      </w:r>
      <w:r w:rsidRPr="000A1D51">
        <w:t xml:space="preserve"> semi-structured consultations with </w:t>
      </w:r>
      <w:r w:rsidR="00DD244B" w:rsidRPr="000A1D51">
        <w:t>key</w:t>
      </w:r>
      <w:r w:rsidRPr="000A1D51">
        <w:t xml:space="preserve"> program stakeholders directly involved in program implementation. </w:t>
      </w:r>
      <w:r w:rsidR="00FE1BB0" w:rsidRPr="000A1D51">
        <w:t xml:space="preserve">A list of </w:t>
      </w:r>
      <w:r w:rsidR="00DD244B" w:rsidRPr="000A1D51">
        <w:t>persons</w:t>
      </w:r>
      <w:r w:rsidR="00FE1BB0" w:rsidRPr="000A1D51">
        <w:t xml:space="preserve"> consulted is attached as Appendix 2. </w:t>
      </w:r>
      <w:r w:rsidR="004B4512" w:rsidRPr="000A1D51">
        <w:t>A</w:t>
      </w:r>
      <w:r w:rsidRPr="000A1D51">
        <w:t xml:space="preserve"> one-day reflective workshop with </w:t>
      </w:r>
      <w:r w:rsidR="007737E3" w:rsidRPr="000A1D51">
        <w:t xml:space="preserve">the </w:t>
      </w:r>
      <w:r w:rsidRPr="000A1D51">
        <w:t xml:space="preserve">AADCP II team </w:t>
      </w:r>
      <w:r w:rsidR="004B4512" w:rsidRPr="000A1D51">
        <w:t>helped to</w:t>
      </w:r>
      <w:r w:rsidRPr="000A1D51">
        <w:t xml:space="preserve"> gather feedback</w:t>
      </w:r>
      <w:r w:rsidR="004E75CE" w:rsidRPr="000A1D51">
        <w:t xml:space="preserve"> on</w:t>
      </w:r>
      <w:r w:rsidRPr="000A1D51">
        <w:t xml:space="preserve"> program</w:t>
      </w:r>
      <w:r w:rsidR="004B4512" w:rsidRPr="000A1D51">
        <w:t xml:space="preserve"> implementation issues</w:t>
      </w:r>
      <w:r w:rsidRPr="000A1D51">
        <w:t xml:space="preserve">. The </w:t>
      </w:r>
      <w:r w:rsidR="00FE1BB0" w:rsidRPr="000A1D51">
        <w:t>team</w:t>
      </w:r>
      <w:r w:rsidRPr="000A1D51">
        <w:t xml:space="preserve"> prepare</w:t>
      </w:r>
      <w:r w:rsidR="00FE1BB0" w:rsidRPr="000A1D51">
        <w:t>d</w:t>
      </w:r>
      <w:r w:rsidRPr="000A1D51">
        <w:t xml:space="preserve"> an aide memoire and circulate</w:t>
      </w:r>
      <w:r w:rsidR="00FE1BB0" w:rsidRPr="000A1D51">
        <w:t>d</w:t>
      </w:r>
      <w:r w:rsidRPr="000A1D51">
        <w:t xml:space="preserve"> it </w:t>
      </w:r>
      <w:r w:rsidR="00FE1BB0" w:rsidRPr="000A1D51">
        <w:t xml:space="preserve">to DFAT </w:t>
      </w:r>
      <w:r w:rsidRPr="000A1D51">
        <w:t xml:space="preserve">for </w:t>
      </w:r>
      <w:r w:rsidR="00FE1BB0" w:rsidRPr="000A1D51">
        <w:t>feedback</w:t>
      </w:r>
      <w:r w:rsidRPr="000A1D51">
        <w:t xml:space="preserve"> prior to drafting the main report. </w:t>
      </w:r>
    </w:p>
    <w:p w14:paraId="48071051" w14:textId="77777777" w:rsidR="004B4512" w:rsidRPr="000A1D51" w:rsidRDefault="004E75CE" w:rsidP="00CF61C5">
      <w:pPr>
        <w:pStyle w:val="ListParagraph"/>
      </w:pPr>
      <w:r w:rsidRPr="000A1D51">
        <w:t xml:space="preserve">The </w:t>
      </w:r>
      <w:r w:rsidR="00CF61C5" w:rsidRPr="000A1D51">
        <w:t xml:space="preserve">review </w:t>
      </w:r>
      <w:r w:rsidRPr="000A1D51">
        <w:t xml:space="preserve">team considered the following key </w:t>
      </w:r>
      <w:r w:rsidR="004B4512" w:rsidRPr="000A1D51">
        <w:t>evaluation questions:</w:t>
      </w:r>
    </w:p>
    <w:p w14:paraId="5209BE5A" w14:textId="77777777" w:rsidR="004B4512" w:rsidRPr="000A1D51" w:rsidRDefault="004B4512" w:rsidP="00EC44AC">
      <w:pPr>
        <w:pStyle w:val="Bullet0"/>
        <w:numPr>
          <w:ilvl w:val="0"/>
          <w:numId w:val="56"/>
        </w:numPr>
      </w:pPr>
      <w:r w:rsidRPr="000A1D51">
        <w:t>How relevant is the approach and pipeline of AADCP</w:t>
      </w:r>
      <w:r w:rsidR="005349B4" w:rsidRPr="000A1D51">
        <w:t xml:space="preserve"> </w:t>
      </w:r>
      <w:r w:rsidRPr="000A1D51">
        <w:t>II relative to ASEAN Economic Blueprint and the Australian Foreign Policy White Paper?</w:t>
      </w:r>
    </w:p>
    <w:p w14:paraId="5AD8751C" w14:textId="77777777" w:rsidR="004B4512" w:rsidRPr="000A1D51" w:rsidRDefault="004B4512" w:rsidP="00FD562F">
      <w:pPr>
        <w:pStyle w:val="Bullet0"/>
      </w:pPr>
      <w:r w:rsidRPr="000A1D51">
        <w:t>Has AADCP</w:t>
      </w:r>
      <w:r w:rsidR="005349B4" w:rsidRPr="000A1D51">
        <w:t xml:space="preserve"> </w:t>
      </w:r>
      <w:r w:rsidRPr="000A1D51">
        <w:t xml:space="preserve">II been effective in achieving its stated outcomes? </w:t>
      </w:r>
    </w:p>
    <w:p w14:paraId="3D119B06" w14:textId="77777777" w:rsidR="004B4512" w:rsidRPr="000A1D51" w:rsidRDefault="004B4512" w:rsidP="00FD562F">
      <w:pPr>
        <w:pStyle w:val="Bullet0"/>
      </w:pPr>
      <w:r w:rsidRPr="000A1D51">
        <w:t>Has AADCP</w:t>
      </w:r>
      <w:r w:rsidR="005349B4" w:rsidRPr="000A1D51">
        <w:t xml:space="preserve"> </w:t>
      </w:r>
      <w:r w:rsidRPr="000A1D51">
        <w:t xml:space="preserve">II been efficient in its use of resources? </w:t>
      </w:r>
    </w:p>
    <w:p w14:paraId="67750593" w14:textId="77777777" w:rsidR="004B4512" w:rsidRPr="000A1D51" w:rsidRDefault="004B4512" w:rsidP="00FD562F">
      <w:pPr>
        <w:pStyle w:val="Bullet0"/>
      </w:pPr>
      <w:r w:rsidRPr="000A1D51">
        <w:t>Does the AADCP</w:t>
      </w:r>
      <w:r w:rsidR="005349B4" w:rsidRPr="000A1D51">
        <w:t xml:space="preserve"> </w:t>
      </w:r>
      <w:r w:rsidRPr="000A1D51">
        <w:t>II partnership approach demonstrate value for money? How?</w:t>
      </w:r>
    </w:p>
    <w:p w14:paraId="0F63D4C9" w14:textId="77777777" w:rsidR="004B4512" w:rsidRPr="000A1D51" w:rsidRDefault="004B4512" w:rsidP="00FD562F">
      <w:pPr>
        <w:pStyle w:val="Bullet0"/>
      </w:pPr>
      <w:r w:rsidRPr="000A1D51">
        <w:t>Is the AADCP</w:t>
      </w:r>
      <w:r w:rsidR="005349B4" w:rsidRPr="000A1D51">
        <w:t xml:space="preserve"> </w:t>
      </w:r>
      <w:r w:rsidRPr="000A1D51">
        <w:t>II partnership approach with ASEAN a sustainable mechanism?</w:t>
      </w:r>
    </w:p>
    <w:p w14:paraId="03E6EA94" w14:textId="77777777" w:rsidR="004B4512" w:rsidRPr="000A1D51" w:rsidRDefault="004B4512" w:rsidP="00FD562F">
      <w:pPr>
        <w:pStyle w:val="Bullet0"/>
      </w:pPr>
      <w:r w:rsidRPr="000A1D51">
        <w:t>Has AADCP</w:t>
      </w:r>
      <w:r w:rsidR="005349B4" w:rsidRPr="000A1D51">
        <w:t xml:space="preserve"> </w:t>
      </w:r>
      <w:r w:rsidRPr="000A1D51">
        <w:t>II been able to address gender and socially inclusive issues within the ASEAN Secretariat / pipeline of work?</w:t>
      </w:r>
    </w:p>
    <w:p w14:paraId="4CC1F526" w14:textId="77777777" w:rsidR="004B4512" w:rsidRPr="000A1D51" w:rsidRDefault="004B4512" w:rsidP="00FD562F">
      <w:pPr>
        <w:pStyle w:val="Bullet0"/>
      </w:pPr>
      <w:r w:rsidRPr="000A1D51">
        <w:t>What lessons and recommendations are able to be drawn for (i) AADCPII’s remaining timeframe and (ii) AADCPII’s successor program?</w:t>
      </w:r>
    </w:p>
    <w:p w14:paraId="47E69449" w14:textId="77777777" w:rsidR="00BE7DDE" w:rsidRPr="000A1D51" w:rsidRDefault="00BE7DDE" w:rsidP="00CF61C5">
      <w:pPr>
        <w:pStyle w:val="ListParagraph"/>
      </w:pPr>
      <w:r w:rsidRPr="000A1D51">
        <w:t xml:space="preserve">A key </w:t>
      </w:r>
      <w:r w:rsidR="0059061D" w:rsidRPr="000A1D51">
        <w:t>methodological</w:t>
      </w:r>
      <w:r w:rsidR="00157C53" w:rsidRPr="000A1D51">
        <w:t xml:space="preserve"> </w:t>
      </w:r>
      <w:r w:rsidRPr="000A1D51">
        <w:t xml:space="preserve">challenge was to try to provide credible evidence of differences in ASEC outcomes “with AADCP II support” compared with a “without-AADCP II support” scenario. </w:t>
      </w:r>
      <w:r w:rsidR="00D779E0" w:rsidRPr="000A1D51">
        <w:t xml:space="preserve">The review aims to provide a qualitative assessment of the </w:t>
      </w:r>
      <w:r w:rsidRPr="000A1D51">
        <w:t xml:space="preserve">key question </w:t>
      </w:r>
      <w:r w:rsidR="00D779E0" w:rsidRPr="000A1D51">
        <w:t>of</w:t>
      </w:r>
      <w:r w:rsidRPr="000A1D51">
        <w:t xml:space="preserve"> what AADCP</w:t>
      </w:r>
      <w:r w:rsidR="00D779E0" w:rsidRPr="000A1D51">
        <w:t xml:space="preserve"> II</w:t>
      </w:r>
      <w:r w:rsidRPr="000A1D51">
        <w:t xml:space="preserve"> add</w:t>
      </w:r>
      <w:r w:rsidR="00D779E0" w:rsidRPr="000A1D51">
        <w:t>ed</w:t>
      </w:r>
      <w:r w:rsidRPr="000A1D51">
        <w:t xml:space="preserve"> to ASEAN regional economic integration</w:t>
      </w:r>
      <w:r w:rsidR="007D6196" w:rsidRPr="000A1D51">
        <w:t xml:space="preserve"> process</w:t>
      </w:r>
      <w:r w:rsidRPr="000A1D51">
        <w:t xml:space="preserve"> from the outputs and outcomes produced using AADCP support. </w:t>
      </w:r>
    </w:p>
    <w:p w14:paraId="73D39A6B" w14:textId="77777777" w:rsidR="009F01D6" w:rsidRPr="000A1D51" w:rsidRDefault="009F01D6" w:rsidP="009F01D6">
      <w:pPr>
        <w:pStyle w:val="Heading1"/>
        <w:rPr>
          <w:lang w:val="en-AU"/>
        </w:rPr>
      </w:pPr>
      <w:bookmarkStart w:id="24" w:name="_Toc24884105"/>
      <w:bookmarkStart w:id="25" w:name="_Toc31820107"/>
      <w:r w:rsidRPr="000A1D51">
        <w:rPr>
          <w:lang w:val="en-AU"/>
        </w:rPr>
        <w:t>Findings and Analysis</w:t>
      </w:r>
      <w:bookmarkEnd w:id="24"/>
      <w:bookmarkEnd w:id="25"/>
    </w:p>
    <w:p w14:paraId="17D7FC46" w14:textId="77777777" w:rsidR="009F01D6" w:rsidRPr="000A1D51" w:rsidRDefault="009F01D6" w:rsidP="009F01D6">
      <w:pPr>
        <w:pStyle w:val="Heading2"/>
        <w:rPr>
          <w:lang w:val="en-AU"/>
        </w:rPr>
      </w:pPr>
      <w:bookmarkStart w:id="26" w:name="_Toc24884106"/>
      <w:bookmarkStart w:id="27" w:name="_Toc31820108"/>
      <w:r w:rsidRPr="000A1D51">
        <w:rPr>
          <w:lang w:val="en-AU"/>
        </w:rPr>
        <w:t>Relevance.</w:t>
      </w:r>
      <w:bookmarkEnd w:id="26"/>
      <w:bookmarkEnd w:id="27"/>
      <w:r w:rsidRPr="000A1D51">
        <w:rPr>
          <w:lang w:val="en-AU"/>
        </w:rPr>
        <w:t xml:space="preserve"> </w:t>
      </w:r>
    </w:p>
    <w:p w14:paraId="53F5D794" w14:textId="77777777" w:rsidR="00DD7937" w:rsidRPr="000A1D51" w:rsidRDefault="00450C1E" w:rsidP="00DD7937">
      <w:pPr>
        <w:pStyle w:val="BodyText"/>
        <w:rPr>
          <w:rFonts w:asciiTheme="minorHAnsi" w:hAnsiTheme="minorHAnsi" w:cstheme="minorHAnsi"/>
          <w:b/>
          <w:sz w:val="22"/>
          <w:szCs w:val="22"/>
        </w:rPr>
      </w:pPr>
      <w:bookmarkStart w:id="28" w:name="_Toc21417453"/>
      <w:r w:rsidRPr="000A1D51">
        <w:rPr>
          <w:rFonts w:asciiTheme="minorHAnsi" w:hAnsiTheme="minorHAnsi" w:cstheme="minorHAnsi"/>
          <w:b/>
          <w:sz w:val="22"/>
          <w:szCs w:val="22"/>
        </w:rPr>
        <w:t xml:space="preserve">The AADCP II </w:t>
      </w:r>
      <w:r w:rsidR="00DD7937" w:rsidRPr="000A1D51">
        <w:rPr>
          <w:rFonts w:asciiTheme="minorHAnsi" w:hAnsiTheme="minorHAnsi" w:cstheme="minorHAnsi"/>
          <w:b/>
          <w:sz w:val="22"/>
          <w:szCs w:val="22"/>
        </w:rPr>
        <w:t xml:space="preserve">approach and pipeline </w:t>
      </w:r>
      <w:r w:rsidRPr="000A1D51">
        <w:rPr>
          <w:rFonts w:asciiTheme="minorHAnsi" w:hAnsiTheme="minorHAnsi" w:cstheme="minorHAnsi"/>
          <w:b/>
          <w:sz w:val="22"/>
          <w:szCs w:val="22"/>
        </w:rPr>
        <w:t>is relevant</w:t>
      </w:r>
      <w:r w:rsidR="00DD7937" w:rsidRPr="000A1D51">
        <w:rPr>
          <w:rFonts w:asciiTheme="minorHAnsi" w:hAnsiTheme="minorHAnsi" w:cstheme="minorHAnsi"/>
          <w:b/>
          <w:sz w:val="22"/>
          <w:szCs w:val="22"/>
        </w:rPr>
        <w:t xml:space="preserve"> to </w:t>
      </w:r>
      <w:r w:rsidRPr="000A1D51">
        <w:rPr>
          <w:rFonts w:asciiTheme="minorHAnsi" w:hAnsiTheme="minorHAnsi" w:cstheme="minorHAnsi"/>
          <w:b/>
          <w:sz w:val="22"/>
          <w:szCs w:val="22"/>
        </w:rPr>
        <w:t xml:space="preserve">both the </w:t>
      </w:r>
      <w:r w:rsidR="00DD7937" w:rsidRPr="000A1D51">
        <w:rPr>
          <w:rFonts w:asciiTheme="minorHAnsi" w:hAnsiTheme="minorHAnsi" w:cstheme="minorHAnsi"/>
          <w:b/>
          <w:sz w:val="22"/>
          <w:szCs w:val="22"/>
        </w:rPr>
        <w:t>ASEAN Economic Blueprint and the Australian Foreign Policy White Paper</w:t>
      </w:r>
      <w:bookmarkEnd w:id="28"/>
      <w:r w:rsidRPr="000A1D51">
        <w:rPr>
          <w:rFonts w:asciiTheme="minorHAnsi" w:hAnsiTheme="minorHAnsi" w:cstheme="minorHAnsi"/>
          <w:b/>
          <w:sz w:val="22"/>
          <w:szCs w:val="22"/>
        </w:rPr>
        <w:t>.</w:t>
      </w:r>
    </w:p>
    <w:p w14:paraId="195C33EA" w14:textId="77777777" w:rsidR="00452A8C" w:rsidRPr="000A1D51" w:rsidRDefault="00452A8C" w:rsidP="00797F3B">
      <w:pPr>
        <w:pStyle w:val="Heading4"/>
        <w:numPr>
          <w:ilvl w:val="0"/>
          <w:numId w:val="0"/>
        </w:numPr>
        <w:ind w:left="425"/>
      </w:pPr>
      <w:r w:rsidRPr="000A1D51">
        <w:t>Relevance to the ASEAN Economic</w:t>
      </w:r>
      <w:r w:rsidR="00DA06E7" w:rsidRPr="000A1D51">
        <w:t xml:space="preserve"> Community (AEC)</w:t>
      </w:r>
      <w:r w:rsidRPr="000A1D51">
        <w:t xml:space="preserve"> Blueprint</w:t>
      </w:r>
    </w:p>
    <w:p w14:paraId="0140681C" w14:textId="77777777" w:rsidR="004D173C" w:rsidRPr="000A1D51" w:rsidRDefault="00DA06E7" w:rsidP="00CF61C5">
      <w:pPr>
        <w:pStyle w:val="ListParagraph"/>
      </w:pPr>
      <w:r w:rsidRPr="000A1D51">
        <w:t>ASEAN defines the aspirations of the ASEAN Economic Community Blueprint as: “The AEC Blueprint will transform ASEAN into a single market and production base, a highly competitive economic region, a region of equitable economic development, and a region fully integrated into the global economy</w:t>
      </w:r>
      <w:r w:rsidRPr="00C10BB4">
        <w:rPr>
          <w:bCs/>
        </w:rPr>
        <w:t>”</w:t>
      </w:r>
      <w:r w:rsidR="00137CD9" w:rsidRPr="00C10BB4">
        <w:rPr>
          <w:rStyle w:val="FootnoteReference"/>
          <w:bCs/>
        </w:rPr>
        <w:footnoteReference w:id="4"/>
      </w:r>
      <w:r w:rsidRPr="000A1D51">
        <w:t xml:space="preserve">. </w:t>
      </w:r>
      <w:r w:rsidR="00137CD9" w:rsidRPr="000A1D51">
        <w:t xml:space="preserve">Key stakeholders </w:t>
      </w:r>
      <w:r w:rsidR="00605389" w:rsidRPr="000A1D51">
        <w:t xml:space="preserve">(including both </w:t>
      </w:r>
      <w:r w:rsidR="00605389" w:rsidRPr="000A1D51">
        <w:lastRenderedPageBreak/>
        <w:t xml:space="preserve">ASEC staff and ASEAN permanent missions in Jakarta (members of the Joint Planning and Review Committee (JPRC)) </w:t>
      </w:r>
      <w:r w:rsidR="00137CD9" w:rsidRPr="000A1D51">
        <w:t>confirmed that both t</w:t>
      </w:r>
      <w:r w:rsidR="00F3584F" w:rsidRPr="000A1D51">
        <w:t>he design and implementation of AADCP II has been</w:t>
      </w:r>
      <w:r w:rsidRPr="000A1D51">
        <w:t xml:space="preserve"> </w:t>
      </w:r>
      <w:r w:rsidR="00137CD9" w:rsidRPr="000A1D51">
        <w:t>directly linked</w:t>
      </w:r>
      <w:r w:rsidRPr="000A1D51">
        <w:t xml:space="preserve"> to</w:t>
      </w:r>
      <w:r w:rsidR="00137CD9" w:rsidRPr="000A1D51">
        <w:t xml:space="preserve"> implementation of</w:t>
      </w:r>
      <w:r w:rsidR="00605389" w:rsidRPr="000A1D51">
        <w:t xml:space="preserve"> key elements of</w:t>
      </w:r>
      <w:r w:rsidRPr="000A1D51">
        <w:t xml:space="preserve"> the ASEAN </w:t>
      </w:r>
      <w:r w:rsidR="00137CD9" w:rsidRPr="000A1D51">
        <w:t>AEC</w:t>
      </w:r>
      <w:r w:rsidRPr="000A1D51">
        <w:t xml:space="preserve"> Blue</w:t>
      </w:r>
      <w:r w:rsidR="00137CD9" w:rsidRPr="000A1D51">
        <w:t>print.</w:t>
      </w:r>
      <w:r w:rsidR="004D173C" w:rsidRPr="000A1D51">
        <w:t xml:space="preserve"> Discussants noted that </w:t>
      </w:r>
      <w:r w:rsidR="00605389" w:rsidRPr="000A1D51">
        <w:t xml:space="preserve">the support was </w:t>
      </w:r>
      <w:r w:rsidR="004D173C" w:rsidRPr="000A1D51">
        <w:t xml:space="preserve">highly relevant </w:t>
      </w:r>
      <w:r w:rsidR="00605389" w:rsidRPr="000A1D51">
        <w:t xml:space="preserve">both in terms of the targeted areas and the nature of the support which has helped </w:t>
      </w:r>
      <w:r w:rsidR="00EA6EF4" w:rsidRPr="000A1D51">
        <w:t xml:space="preserve">both in </w:t>
      </w:r>
      <w:r w:rsidR="00605389" w:rsidRPr="000A1D51">
        <w:t>build</w:t>
      </w:r>
      <w:r w:rsidR="00EA6EF4" w:rsidRPr="000A1D51">
        <w:t>ing</w:t>
      </w:r>
      <w:r w:rsidR="00605389" w:rsidRPr="000A1D51">
        <w:t xml:space="preserve"> understanding of the </w:t>
      </w:r>
      <w:r w:rsidR="00DF5E03" w:rsidRPr="000A1D51">
        <w:t>issues</w:t>
      </w:r>
      <w:r w:rsidR="00EA6EF4" w:rsidRPr="000A1D51">
        <w:t>,</w:t>
      </w:r>
      <w:r w:rsidR="00DF5E03" w:rsidRPr="000A1D51">
        <w:t xml:space="preserve"> and</w:t>
      </w:r>
      <w:r w:rsidR="00605389" w:rsidRPr="000A1D51">
        <w:t xml:space="preserve"> </w:t>
      </w:r>
      <w:r w:rsidR="00EA6EF4" w:rsidRPr="000A1D51">
        <w:t xml:space="preserve">in </w:t>
      </w:r>
      <w:r w:rsidR="00605389" w:rsidRPr="000A1D51">
        <w:t>develop</w:t>
      </w:r>
      <w:r w:rsidR="00EA6EF4" w:rsidRPr="000A1D51">
        <w:t>ing</w:t>
      </w:r>
      <w:r w:rsidR="00605389" w:rsidRPr="000A1D51">
        <w:t xml:space="preserve"> the capacity and evidence base to address the issues. </w:t>
      </w:r>
      <w:r w:rsidR="00157C53" w:rsidRPr="000A1D51">
        <w:t xml:space="preserve"> </w:t>
      </w:r>
    </w:p>
    <w:p w14:paraId="1EE6B452" w14:textId="77777777" w:rsidR="00DD7937" w:rsidRPr="000A1D51" w:rsidRDefault="00DD7937" w:rsidP="00CF61C5">
      <w:pPr>
        <w:pStyle w:val="ListParagraph"/>
      </w:pPr>
      <w:r w:rsidRPr="000A1D51">
        <w:t xml:space="preserve">ASEAN permanent missions in Jakarta </w:t>
      </w:r>
      <w:r w:rsidR="00C773FD" w:rsidRPr="000A1D51">
        <w:t xml:space="preserve">highlighted the </w:t>
      </w:r>
      <w:r w:rsidR="00605389" w:rsidRPr="000A1D51">
        <w:t>particular relevance</w:t>
      </w:r>
      <w:r w:rsidR="00C773FD" w:rsidRPr="000A1D51">
        <w:t xml:space="preserve"> that they see in being directly engaged in decision making regarding </w:t>
      </w:r>
      <w:r w:rsidR="00770C43" w:rsidRPr="000A1D51">
        <w:t xml:space="preserve">the </w:t>
      </w:r>
      <w:r w:rsidR="00C773FD" w:rsidRPr="000A1D51">
        <w:t>ind</w:t>
      </w:r>
      <w:r w:rsidR="00852734" w:rsidRPr="000A1D51">
        <w:t>ividual projects</w:t>
      </w:r>
      <w:r w:rsidR="00770C43" w:rsidRPr="000A1D51">
        <w:t xml:space="preserve"> that AADCP II funds, and in the ongoing oversight of these projects</w:t>
      </w:r>
      <w:r w:rsidR="00852734" w:rsidRPr="000A1D51">
        <w:t xml:space="preserve">. They </w:t>
      </w:r>
      <w:r w:rsidRPr="000A1D51">
        <w:t xml:space="preserve">emphasized that they </w:t>
      </w:r>
      <w:r w:rsidR="002C27F3" w:rsidRPr="000A1D51">
        <w:t>see</w:t>
      </w:r>
      <w:r w:rsidRPr="000A1D51">
        <w:t xml:space="preserve"> </w:t>
      </w:r>
      <w:r w:rsidR="00852734" w:rsidRPr="000A1D51">
        <w:t>their direct involvement in the governance of</w:t>
      </w:r>
      <w:r w:rsidR="00852734" w:rsidRPr="000A1D51" w:rsidDel="00852734">
        <w:t xml:space="preserve"> </w:t>
      </w:r>
      <w:r w:rsidR="00852734" w:rsidRPr="000A1D51">
        <w:t>AADCP II</w:t>
      </w:r>
      <w:r w:rsidRPr="000A1D51">
        <w:t xml:space="preserve"> as a unique</w:t>
      </w:r>
      <w:r w:rsidR="002C27F3" w:rsidRPr="000A1D51">
        <w:t xml:space="preserve"> </w:t>
      </w:r>
      <w:r w:rsidRPr="000A1D51">
        <w:t>model of development cooperatio</w:t>
      </w:r>
      <w:r w:rsidR="00852734" w:rsidRPr="000A1D51">
        <w:t>n</w:t>
      </w:r>
      <w:r w:rsidR="002C27F3" w:rsidRPr="000A1D51">
        <w:t xml:space="preserve"> that contributes to a program</w:t>
      </w:r>
      <w:r w:rsidR="00EA6EF4" w:rsidRPr="000A1D51">
        <w:t xml:space="preserve"> that is directly relevant to ASEAN needs and priorities</w:t>
      </w:r>
      <w:r w:rsidR="00204BA6" w:rsidRPr="000A1D51">
        <w:t xml:space="preserve"> for regional economic integration.</w:t>
      </w:r>
    </w:p>
    <w:p w14:paraId="13A05F79" w14:textId="2744BA78" w:rsidR="004D173C" w:rsidRPr="000A1D51" w:rsidRDefault="004D173C" w:rsidP="00CF61C5">
      <w:pPr>
        <w:pStyle w:val="ListParagraph"/>
      </w:pPr>
      <w:r w:rsidRPr="000A1D51">
        <w:t>ASEC staff emphasized that AADCP II is recipient-driven and linked to ASEC economic integration related work priorities</w:t>
      </w:r>
      <w:r w:rsidR="00650F66" w:rsidRPr="000A1D51">
        <w:t>. R</w:t>
      </w:r>
      <w:r w:rsidRPr="000A1D51">
        <w:t>equests for support must come from ASEC</w:t>
      </w:r>
      <w:r w:rsidR="00650F66" w:rsidRPr="000A1D51">
        <w:t xml:space="preserve">, </w:t>
      </w:r>
      <w:r w:rsidRPr="000A1D51">
        <w:t xml:space="preserve">but </w:t>
      </w:r>
      <w:r w:rsidR="00E415AD" w:rsidRPr="000A1D51">
        <w:t xml:space="preserve">proposals are </w:t>
      </w:r>
      <w:r w:rsidR="003C160E" w:rsidRPr="000A1D51">
        <w:t>increasingly</w:t>
      </w:r>
      <w:r w:rsidR="00E415AD" w:rsidRPr="000A1D51">
        <w:t xml:space="preserve"> developed</w:t>
      </w:r>
      <w:r w:rsidRPr="000A1D51">
        <w:t xml:space="preserve"> in </w:t>
      </w:r>
      <w:r w:rsidR="003C160E" w:rsidRPr="000A1D51">
        <w:t xml:space="preserve">informal </w:t>
      </w:r>
      <w:r w:rsidR="003319B5" w:rsidRPr="000A1D51">
        <w:t>consultation</w:t>
      </w:r>
      <w:r w:rsidR="003C160E" w:rsidRPr="000A1D51">
        <w:t>s</w:t>
      </w:r>
      <w:r w:rsidRPr="000A1D51">
        <w:t xml:space="preserve"> with </w:t>
      </w:r>
      <w:r w:rsidR="003319B5" w:rsidRPr="000A1D51">
        <w:t xml:space="preserve">Australian </w:t>
      </w:r>
      <w:r w:rsidR="00204BA6" w:rsidRPr="000A1D51">
        <w:t xml:space="preserve">(and other international) </w:t>
      </w:r>
      <w:r w:rsidR="003319B5" w:rsidRPr="000A1D51">
        <w:t>experts</w:t>
      </w:r>
      <w:r w:rsidRPr="000A1D51">
        <w:t>.</w:t>
      </w:r>
      <w:r w:rsidR="003C160E" w:rsidRPr="000A1D51">
        <w:rPr>
          <w:rStyle w:val="FootnoteReference"/>
        </w:rPr>
        <w:footnoteReference w:id="5"/>
      </w:r>
      <w:r w:rsidRPr="000A1D51">
        <w:t xml:space="preserve"> ASEC staff remarked on the extent to which AADCP II has supported priority (and sometimes sensitive) ASEC activities supporting economic integration as identified in sector work plans. Similar views were expressed by AADCP II personnel and other</w:t>
      </w:r>
      <w:r w:rsidR="00DF5E03" w:rsidRPr="000A1D51">
        <w:t xml:space="preserve"> outsiders</w:t>
      </w:r>
      <w:r w:rsidRPr="000A1D51">
        <w:t xml:space="preserve"> working with the ASEC Secretariat. </w:t>
      </w:r>
    </w:p>
    <w:p w14:paraId="0A7B4DFC" w14:textId="51F9B116" w:rsidR="00DD7937" w:rsidRPr="000A1D51" w:rsidRDefault="004D173C" w:rsidP="00CF61C5">
      <w:pPr>
        <w:pStyle w:val="ListParagraph"/>
      </w:pPr>
      <w:r w:rsidRPr="000A1D51">
        <w:t>In some areas (e.g. connectivity</w:t>
      </w:r>
      <w:r w:rsidR="00D917C0" w:rsidRPr="000A1D51">
        <w:t xml:space="preserve">, </w:t>
      </w:r>
      <w:r w:rsidR="00F5647F" w:rsidRPr="000A1D51">
        <w:t xml:space="preserve">including </w:t>
      </w:r>
      <w:r w:rsidR="002350E3" w:rsidRPr="000A1D51">
        <w:t xml:space="preserve">telecommunications, </w:t>
      </w:r>
      <w:r w:rsidRPr="000A1D51">
        <w:t>power</w:t>
      </w:r>
      <w:r w:rsidR="00D917C0" w:rsidRPr="000A1D51">
        <w:t>,</w:t>
      </w:r>
      <w:r w:rsidRPr="000A1D51">
        <w:t xml:space="preserve"> and reducing regional development gaps), </w:t>
      </w:r>
      <w:r w:rsidR="00F5647F" w:rsidRPr="000A1D51">
        <w:t xml:space="preserve">ASEC and DFAT </w:t>
      </w:r>
      <w:r w:rsidR="00132674" w:rsidRPr="000A1D51">
        <w:t xml:space="preserve">discussants report that </w:t>
      </w:r>
      <w:r w:rsidRPr="000A1D51">
        <w:t xml:space="preserve">AADCP II studies are </w:t>
      </w:r>
      <w:r w:rsidR="00427AF4" w:rsidRPr="000A1D51">
        <w:t xml:space="preserve">contributing to ongoing </w:t>
      </w:r>
      <w:r w:rsidR="00B52315" w:rsidRPr="000A1D51">
        <w:t xml:space="preserve">planning, </w:t>
      </w:r>
      <w:r w:rsidR="00427AF4" w:rsidRPr="000A1D51">
        <w:t>evaluations and</w:t>
      </w:r>
      <w:r w:rsidR="0004452E" w:rsidRPr="000A1D51">
        <w:t>, thus,</w:t>
      </w:r>
      <w:r w:rsidR="00427AF4" w:rsidRPr="000A1D51">
        <w:t xml:space="preserve"> </w:t>
      </w:r>
      <w:r w:rsidRPr="000A1D51">
        <w:t>the future direction of ASEAN economic cooperation, another important indicator o</w:t>
      </w:r>
      <w:r w:rsidR="00A53713" w:rsidRPr="000A1D51">
        <w:t>f</w:t>
      </w:r>
      <w:r w:rsidRPr="000A1D51">
        <w:t xml:space="preserve"> relevance. </w:t>
      </w:r>
      <w:r w:rsidR="00DD7937" w:rsidRPr="000A1D51">
        <w:t xml:space="preserve">Strong </w:t>
      </w:r>
      <w:r w:rsidR="00452A8C" w:rsidRPr="000A1D51">
        <w:t xml:space="preserve">relevance (and ownership) </w:t>
      </w:r>
      <w:r w:rsidR="00DD7937" w:rsidRPr="000A1D51">
        <w:t xml:space="preserve">is reflected </w:t>
      </w:r>
      <w:r w:rsidR="000D1E31" w:rsidRPr="000A1D51">
        <w:t xml:space="preserve">in </w:t>
      </w:r>
      <w:r w:rsidR="00D917C0" w:rsidRPr="000A1D51">
        <w:t>the high-level feedback provided by ASEC, SEOMs, and ASEAN ministerial meetings on selected AADCP II supported outputs</w:t>
      </w:r>
      <w:r w:rsidR="00DD7937" w:rsidRPr="000A1D51">
        <w:t xml:space="preserve">. It is also often reflected </w:t>
      </w:r>
      <w:r w:rsidR="00D917C0" w:rsidRPr="000A1D51">
        <w:t>in generally strong ASEC commitment to successful and timely implementation of many, but not all, AADCP II projects</w:t>
      </w:r>
      <w:r w:rsidR="00E5101B" w:rsidRPr="000A1D51">
        <w:rPr>
          <w:rStyle w:val="FootnoteReference"/>
        </w:rPr>
        <w:footnoteReference w:id="6"/>
      </w:r>
      <w:r w:rsidR="00DD7937" w:rsidRPr="000A1D51">
        <w:t xml:space="preserve">. </w:t>
      </w:r>
    </w:p>
    <w:p w14:paraId="376B6E0A" w14:textId="77777777" w:rsidR="00DF2DB0" w:rsidRPr="000A1D51" w:rsidRDefault="00DF5E03" w:rsidP="00CF61C5">
      <w:pPr>
        <w:pStyle w:val="ListParagraph"/>
      </w:pPr>
      <w:r w:rsidRPr="000A1D51">
        <w:t>Some ASEC staff noted that</w:t>
      </w:r>
      <w:r w:rsidR="00E82932" w:rsidRPr="000A1D51">
        <w:t xml:space="preserve"> -- provided</w:t>
      </w:r>
      <w:r w:rsidRPr="000A1D51">
        <w:t xml:space="preserve"> </w:t>
      </w:r>
      <w:r w:rsidR="00E82932" w:rsidRPr="000A1D51">
        <w:t xml:space="preserve">current levels of ASEC ownership could be maintained -- </w:t>
      </w:r>
      <w:r w:rsidRPr="000A1D51">
        <w:t>relevance could be enhanced if AADCP</w:t>
      </w:r>
      <w:r w:rsidR="004E0D59" w:rsidRPr="000A1D51">
        <w:t xml:space="preserve"> II</w:t>
      </w:r>
      <w:r w:rsidRPr="000A1D51">
        <w:t xml:space="preserve"> had a mechanism to</w:t>
      </w:r>
      <w:r w:rsidR="00F94536" w:rsidRPr="000A1D51">
        <w:t xml:space="preserve"> help </w:t>
      </w:r>
      <w:r w:rsidR="00AC2C94" w:rsidRPr="000A1D51">
        <w:t xml:space="preserve">ASEC </w:t>
      </w:r>
      <w:r w:rsidR="00F94536" w:rsidRPr="000A1D51">
        <w:t>develop</w:t>
      </w:r>
      <w:r w:rsidR="00AC2C94" w:rsidRPr="000A1D51">
        <w:t xml:space="preserve"> quality and timely</w:t>
      </w:r>
      <w:r w:rsidR="00F94536" w:rsidRPr="000A1D51">
        <w:t xml:space="preserve"> proposals, and</w:t>
      </w:r>
      <w:r w:rsidRPr="000A1D51">
        <w:t xml:space="preserve"> respond more quickly</w:t>
      </w:r>
      <w:r w:rsidR="00F94536" w:rsidRPr="000A1D51">
        <w:t>,</w:t>
      </w:r>
      <w:r w:rsidRPr="000A1D51">
        <w:t xml:space="preserve"> </w:t>
      </w:r>
      <w:r w:rsidR="00427AF4" w:rsidRPr="000A1D51">
        <w:t xml:space="preserve">to </w:t>
      </w:r>
      <w:r w:rsidR="00F94536" w:rsidRPr="000A1D51">
        <w:t xml:space="preserve">address </w:t>
      </w:r>
      <w:r w:rsidR="00427AF4" w:rsidRPr="000A1D51">
        <w:t xml:space="preserve">emerging needs that </w:t>
      </w:r>
      <w:r w:rsidR="00F94536" w:rsidRPr="000A1D51">
        <w:t>could not be addressed under</w:t>
      </w:r>
      <w:r w:rsidR="00427AF4" w:rsidRPr="000A1D51">
        <w:t xml:space="preserve"> already approved projects. </w:t>
      </w:r>
    </w:p>
    <w:p w14:paraId="2F693B48" w14:textId="77777777" w:rsidR="00452A8C" w:rsidRPr="000A1D51" w:rsidRDefault="00452A8C" w:rsidP="00797F3B">
      <w:pPr>
        <w:pStyle w:val="Heading4"/>
        <w:numPr>
          <w:ilvl w:val="0"/>
          <w:numId w:val="0"/>
        </w:numPr>
        <w:ind w:left="425"/>
      </w:pPr>
      <w:r w:rsidRPr="000A1D51">
        <w:t xml:space="preserve">Relevance to the </w:t>
      </w:r>
      <w:r w:rsidR="003A63C4" w:rsidRPr="000A1D51">
        <w:t>Australian Foreign Policy White Paper</w:t>
      </w:r>
      <w:r w:rsidR="0039534A" w:rsidRPr="000A1D51">
        <w:t xml:space="preserve"> (AFPWP)</w:t>
      </w:r>
    </w:p>
    <w:p w14:paraId="7313F971" w14:textId="5002BBA8" w:rsidR="00B476CF" w:rsidRPr="000A1D51" w:rsidRDefault="00886D2D" w:rsidP="00F84D7A">
      <w:pPr>
        <w:pStyle w:val="ListParagraph"/>
      </w:pPr>
      <w:r w:rsidRPr="000A1D51">
        <w:t xml:space="preserve">The </w:t>
      </w:r>
      <w:r w:rsidR="0039534A" w:rsidRPr="000A1D51">
        <w:t>AFPWP</w:t>
      </w:r>
      <w:r w:rsidRPr="000A1D51">
        <w:t xml:space="preserve"> </w:t>
      </w:r>
      <w:r w:rsidR="00563081" w:rsidRPr="000A1D51">
        <w:t xml:space="preserve">(p.43) </w:t>
      </w:r>
      <w:r w:rsidR="00BA49C2" w:rsidRPr="000A1D51">
        <w:t>notes that</w:t>
      </w:r>
      <w:r w:rsidR="00460103" w:rsidRPr="000A1D51">
        <w:t xml:space="preserve"> </w:t>
      </w:r>
      <w:r w:rsidR="00563081" w:rsidRPr="000A1D51">
        <w:t xml:space="preserve">ASEAN’s success has helped support regional security and prosperity for 50 years. In 2016, Australia’s trade with ASEAN countries was greater </w:t>
      </w:r>
      <w:r w:rsidR="00563081" w:rsidRPr="000A1D51">
        <w:lastRenderedPageBreak/>
        <w:t>than with our second-largest bilateral trading partner, the United States</w:t>
      </w:r>
      <w:r w:rsidR="00DC0BED" w:rsidRPr="000A1D51">
        <w:rPr>
          <w:rStyle w:val="FootnoteReference"/>
        </w:rPr>
        <w:footnoteReference w:id="7"/>
      </w:r>
      <w:r w:rsidR="00DC0BED" w:rsidRPr="000A1D51">
        <w:t>.</w:t>
      </w:r>
      <w:r w:rsidR="00BA49C2" w:rsidRPr="000A1D51">
        <w:t xml:space="preserve"> </w:t>
      </w:r>
      <w:r w:rsidR="009A482F" w:rsidRPr="000A1D51">
        <w:t xml:space="preserve">The </w:t>
      </w:r>
      <w:r w:rsidR="0039534A" w:rsidRPr="000A1D51">
        <w:t>AFPW</w:t>
      </w:r>
      <w:r w:rsidR="00E778E4" w:rsidRPr="000A1D51">
        <w:t>P</w:t>
      </w:r>
      <w:r w:rsidR="009A482F" w:rsidRPr="000A1D51">
        <w:t xml:space="preserve"> further </w:t>
      </w:r>
      <w:r w:rsidR="00AC2C94" w:rsidRPr="000A1D51">
        <w:t>notes</w:t>
      </w:r>
      <w:r w:rsidR="009A482F" w:rsidRPr="000A1D51">
        <w:t xml:space="preserve"> the need to engage with regional institutions, </w:t>
      </w:r>
      <w:r w:rsidR="00CA7370" w:rsidRPr="000A1D51">
        <w:t>including</w:t>
      </w:r>
      <w:r w:rsidR="009A482F" w:rsidRPr="000A1D51">
        <w:t xml:space="preserve"> </w:t>
      </w:r>
      <w:r w:rsidR="00CA7370" w:rsidRPr="000A1D51">
        <w:t xml:space="preserve">to “support the development of the ASEAN Economic Community” via </w:t>
      </w:r>
      <w:r w:rsidR="00B244F0" w:rsidRPr="000A1D51">
        <w:t>“</w:t>
      </w:r>
      <w:r w:rsidR="00B244F0" w:rsidRPr="000A1D51">
        <w:rPr>
          <w:i/>
          <w:iCs/>
        </w:rPr>
        <w:t>initiatives on services, investment, competition policy and intellectual property”</w:t>
      </w:r>
      <w:r w:rsidR="00B244F0" w:rsidRPr="000A1D51">
        <w:t>.</w:t>
      </w:r>
      <w:r w:rsidR="00B244F0" w:rsidRPr="000A1D51">
        <w:rPr>
          <w:rStyle w:val="FootnoteReference"/>
        </w:rPr>
        <w:footnoteReference w:id="8"/>
      </w:r>
      <w:r w:rsidR="00CA7370" w:rsidRPr="000A1D51">
        <w:t xml:space="preserve"> </w:t>
      </w:r>
      <w:r w:rsidR="00576B37" w:rsidRPr="000A1D51">
        <w:t xml:space="preserve">It also </w:t>
      </w:r>
      <w:r w:rsidR="008C2565" w:rsidRPr="000A1D51">
        <w:t xml:space="preserve">states that “As competition for influence in Southeast Asia sharpens, the Government will ensure </w:t>
      </w:r>
      <w:r w:rsidR="00087D96" w:rsidRPr="000A1D51">
        <w:t>that “</w:t>
      </w:r>
      <w:r w:rsidR="008C2565" w:rsidRPr="000A1D51">
        <w:rPr>
          <w:i/>
          <w:iCs/>
        </w:rPr>
        <w:t>Australia remains a leading economic, development and strategic partner for ASEAN and its members</w:t>
      </w:r>
      <w:r w:rsidR="00087D96" w:rsidRPr="000A1D51">
        <w:t>”</w:t>
      </w:r>
      <w:r w:rsidR="00087D96" w:rsidRPr="000A1D51">
        <w:rPr>
          <w:rStyle w:val="FootnoteReference"/>
        </w:rPr>
        <w:footnoteReference w:id="9"/>
      </w:r>
      <w:r w:rsidR="00087D96" w:rsidRPr="000A1D51">
        <w:t xml:space="preserve"> … [and] </w:t>
      </w:r>
      <w:r w:rsidR="00334AEB" w:rsidRPr="000A1D51">
        <w:t>“</w:t>
      </w:r>
      <w:r w:rsidR="00334AEB" w:rsidRPr="000A1D51">
        <w:rPr>
          <w:i/>
          <w:iCs/>
        </w:rPr>
        <w:t>that</w:t>
      </w:r>
      <w:r w:rsidR="006B5504" w:rsidRPr="000A1D51">
        <w:rPr>
          <w:i/>
          <w:iCs/>
        </w:rPr>
        <w:t xml:space="preserve"> we are a leading security, economic and development partner for</w:t>
      </w:r>
      <w:r w:rsidR="00334AEB" w:rsidRPr="000A1D51">
        <w:rPr>
          <w:i/>
          <w:iCs/>
        </w:rPr>
        <w:t xml:space="preserve"> Southeast Asia. We will also</w:t>
      </w:r>
      <w:r w:rsidR="006B5504" w:rsidRPr="000A1D51">
        <w:rPr>
          <w:i/>
          <w:iCs/>
        </w:rPr>
        <w:t xml:space="preserve"> </w:t>
      </w:r>
      <w:r w:rsidR="00334AEB" w:rsidRPr="000A1D51">
        <w:rPr>
          <w:i/>
          <w:iCs/>
        </w:rPr>
        <w:t xml:space="preserve">reinforce </w:t>
      </w:r>
      <w:r w:rsidR="006B5504" w:rsidRPr="000A1D51">
        <w:rPr>
          <w:i/>
          <w:iCs/>
        </w:rPr>
        <w:t>the regional forums that promote economic and security cooperation</w:t>
      </w:r>
      <w:r w:rsidR="00A45DFC" w:rsidRPr="000A1D51">
        <w:rPr>
          <w:i/>
          <w:iCs/>
        </w:rPr>
        <w:t>….</w:t>
      </w:r>
      <w:r w:rsidR="00334AEB" w:rsidRPr="000A1D51">
        <w:rPr>
          <w:i/>
          <w:iCs/>
        </w:rPr>
        <w:t xml:space="preserve"> </w:t>
      </w:r>
      <w:r w:rsidR="006B5504" w:rsidRPr="000A1D51">
        <w:rPr>
          <w:i/>
          <w:iCs/>
        </w:rPr>
        <w:t>We want an open, outward-looking regional economy strongly connected to global markets</w:t>
      </w:r>
      <w:r w:rsidR="00EE342F" w:rsidRPr="000A1D51">
        <w:rPr>
          <w:i/>
          <w:iCs/>
        </w:rPr>
        <w:t>…</w:t>
      </w:r>
      <w:r w:rsidR="006B5504" w:rsidRPr="000A1D51">
        <w:rPr>
          <w:i/>
          <w:iCs/>
        </w:rPr>
        <w:t xml:space="preserve"> </w:t>
      </w:r>
      <w:r w:rsidR="00D14180" w:rsidRPr="000A1D51">
        <w:rPr>
          <w:i/>
          <w:iCs/>
        </w:rPr>
        <w:t>We will promote high quality Australian regulatory models</w:t>
      </w:r>
      <w:r w:rsidR="00334AEB" w:rsidRPr="000A1D51">
        <w:t>”</w:t>
      </w:r>
      <w:r w:rsidR="006B5504" w:rsidRPr="000A1D51">
        <w:t>.</w:t>
      </w:r>
      <w:r w:rsidR="004C14B4" w:rsidRPr="000A1D51">
        <w:rPr>
          <w:rStyle w:val="FootnoteReference"/>
        </w:rPr>
        <w:footnoteReference w:id="10"/>
      </w:r>
      <w:r w:rsidR="00EE342F" w:rsidRPr="000A1D51">
        <w:t xml:space="preserve"> </w:t>
      </w:r>
      <w:r w:rsidR="00AC469F" w:rsidRPr="000A1D51">
        <w:t>From the earlier discussion</w:t>
      </w:r>
      <w:r w:rsidR="00E778E4" w:rsidRPr="000A1D51">
        <w:t>,</w:t>
      </w:r>
      <w:r w:rsidR="00AC469F" w:rsidRPr="000A1D51">
        <w:t xml:space="preserve"> i</w:t>
      </w:r>
      <w:r w:rsidR="00A45A64" w:rsidRPr="000A1D51">
        <w:t xml:space="preserve">t is apparent that </w:t>
      </w:r>
      <w:r w:rsidR="00D776DA" w:rsidRPr="000A1D51">
        <w:t xml:space="preserve">support that is </w:t>
      </w:r>
      <w:r w:rsidR="006C52A1" w:rsidRPr="000A1D51">
        <w:t xml:space="preserve">highly </w:t>
      </w:r>
      <w:r w:rsidR="00D776DA" w:rsidRPr="000A1D51">
        <w:t>relevant to developing ASEC capacity to implement the AEC</w:t>
      </w:r>
      <w:r w:rsidR="00723D23" w:rsidRPr="000A1D51">
        <w:t xml:space="preserve"> (and to promoting a regional, rules based regional economy connected to global markets) must also be relevant to the </w:t>
      </w:r>
      <w:r w:rsidR="006C52A1" w:rsidRPr="000A1D51">
        <w:t xml:space="preserve">AFPWP. </w:t>
      </w:r>
      <w:r w:rsidR="00B476CF" w:rsidRPr="000A1D51">
        <w:t xml:space="preserve">Thus, AADCP II is relevant to the AFPWP.  </w:t>
      </w:r>
      <w:r w:rsidR="00F84D7A" w:rsidRPr="000A1D51">
        <w:t xml:space="preserve"> </w:t>
      </w:r>
      <w:r w:rsidR="00D6094B" w:rsidRPr="000A1D51">
        <w:t xml:space="preserve">AADCP II is also </w:t>
      </w:r>
      <w:r w:rsidR="00421B38" w:rsidRPr="000A1D51">
        <w:t>self-evidently</w:t>
      </w:r>
      <w:r w:rsidR="00D6094B" w:rsidRPr="000A1D51">
        <w:t xml:space="preserve"> relevant to implementing DFAT’s Plan of Action to Implement the ASEAN-Australian Strategic Partnership (2020-2024) </w:t>
      </w:r>
      <w:r w:rsidR="0075393A" w:rsidRPr="000A1D51">
        <w:t xml:space="preserve">which </w:t>
      </w:r>
      <w:r w:rsidR="00B476CF" w:rsidRPr="000A1D51">
        <w:t>calls for continued support for “</w:t>
      </w:r>
      <w:r w:rsidR="00B476CF" w:rsidRPr="000A1D51">
        <w:rPr>
          <w:i/>
          <w:iCs/>
        </w:rPr>
        <w:t>ASEAN economic integration and implementation of the AEC Blueprint through the ASEAN-Australia Development Cooperation Program Phase II (AADCP II)”</w:t>
      </w:r>
      <w:r w:rsidR="00B476CF" w:rsidRPr="000A1D51">
        <w:t>.</w:t>
      </w:r>
      <w:r w:rsidR="00B476CF" w:rsidRPr="000A1D51">
        <w:rPr>
          <w:rStyle w:val="FootnoteReference"/>
        </w:rPr>
        <w:footnoteReference w:id="11"/>
      </w:r>
    </w:p>
    <w:p w14:paraId="60555E68" w14:textId="78CD86D7" w:rsidR="003A63C4" w:rsidRPr="000A1D51" w:rsidRDefault="006C52A1" w:rsidP="00CF61C5">
      <w:pPr>
        <w:pStyle w:val="ListParagraph"/>
      </w:pPr>
      <w:r w:rsidRPr="000A1D51">
        <w:t xml:space="preserve">The DFAT-ASEAN Mission highlighted the strong AADCP II brand recognition, noting that ASEAN often saw Australian support as synonymous with AADCP II support. </w:t>
      </w:r>
    </w:p>
    <w:p w14:paraId="08C3F2F3" w14:textId="77777777" w:rsidR="009F01D6" w:rsidRPr="000A1D51" w:rsidRDefault="009F01D6" w:rsidP="00111FD6">
      <w:pPr>
        <w:pStyle w:val="Heading2"/>
        <w:rPr>
          <w:lang w:val="en-AU"/>
        </w:rPr>
      </w:pPr>
      <w:bookmarkStart w:id="29" w:name="_Toc24884107"/>
      <w:bookmarkStart w:id="30" w:name="_Toc31820109"/>
      <w:r w:rsidRPr="000A1D51">
        <w:rPr>
          <w:lang w:val="en-AU"/>
        </w:rPr>
        <w:t>Effectiveness</w:t>
      </w:r>
      <w:bookmarkEnd w:id="29"/>
      <w:bookmarkEnd w:id="30"/>
    </w:p>
    <w:p w14:paraId="604C0042" w14:textId="77777777" w:rsidR="00DD7937" w:rsidRPr="000A1D51" w:rsidRDefault="003B07E6" w:rsidP="00DD7937">
      <w:pPr>
        <w:spacing w:after="200" w:line="276" w:lineRule="auto"/>
        <w:rPr>
          <w:rFonts w:ascii="Calibri" w:hAnsi="Calibri" w:cs="Calibri"/>
          <w:b/>
          <w:color w:val="000000"/>
          <w:sz w:val="22"/>
          <w:szCs w:val="22"/>
        </w:rPr>
      </w:pPr>
      <w:bookmarkStart w:id="31" w:name="_Toc21417454"/>
      <w:r w:rsidRPr="000A1D51">
        <w:rPr>
          <w:rFonts w:ascii="Calibri" w:hAnsi="Calibri" w:cs="Calibri"/>
          <w:b/>
          <w:color w:val="000000"/>
          <w:sz w:val="22"/>
          <w:szCs w:val="22"/>
        </w:rPr>
        <w:t>M</w:t>
      </w:r>
      <w:r w:rsidR="00450C1E" w:rsidRPr="000A1D51">
        <w:rPr>
          <w:rFonts w:ascii="Calibri" w:hAnsi="Calibri" w:cs="Calibri"/>
          <w:b/>
          <w:color w:val="000000"/>
          <w:sz w:val="22"/>
          <w:szCs w:val="22"/>
        </w:rPr>
        <w:t xml:space="preserve">ostly </w:t>
      </w:r>
      <w:r w:rsidR="00DD7937" w:rsidRPr="000A1D51">
        <w:rPr>
          <w:rFonts w:ascii="Calibri" w:hAnsi="Calibri" w:cs="Calibri"/>
          <w:b/>
          <w:color w:val="000000"/>
          <w:sz w:val="22"/>
          <w:szCs w:val="22"/>
        </w:rPr>
        <w:t>effective in achieving its</w:t>
      </w:r>
      <w:r w:rsidRPr="000A1D51">
        <w:rPr>
          <w:rFonts w:ascii="Calibri" w:hAnsi="Calibri" w:cs="Calibri"/>
          <w:b/>
          <w:color w:val="000000"/>
          <w:sz w:val="22"/>
          <w:szCs w:val="22"/>
        </w:rPr>
        <w:t xml:space="preserve"> originally</w:t>
      </w:r>
      <w:r w:rsidR="00DD7937" w:rsidRPr="000A1D51">
        <w:rPr>
          <w:rFonts w:ascii="Calibri" w:hAnsi="Calibri" w:cs="Calibri"/>
          <w:b/>
          <w:color w:val="000000"/>
          <w:sz w:val="22"/>
          <w:szCs w:val="22"/>
        </w:rPr>
        <w:t xml:space="preserve"> </w:t>
      </w:r>
      <w:r w:rsidR="00286361" w:rsidRPr="000A1D51">
        <w:rPr>
          <w:rFonts w:ascii="Calibri" w:hAnsi="Calibri" w:cs="Calibri"/>
          <w:b/>
          <w:color w:val="000000"/>
          <w:sz w:val="22"/>
          <w:szCs w:val="22"/>
        </w:rPr>
        <w:t>targeted</w:t>
      </w:r>
      <w:r w:rsidR="00DD7937" w:rsidRPr="000A1D51">
        <w:rPr>
          <w:rFonts w:ascii="Calibri" w:hAnsi="Calibri" w:cs="Calibri"/>
          <w:b/>
          <w:color w:val="000000"/>
          <w:sz w:val="22"/>
          <w:szCs w:val="22"/>
        </w:rPr>
        <w:t xml:space="preserve"> outcomes</w:t>
      </w:r>
      <w:bookmarkEnd w:id="31"/>
      <w:r w:rsidRPr="000A1D51">
        <w:rPr>
          <w:rFonts w:ascii="Calibri" w:hAnsi="Calibri" w:cs="Calibri"/>
          <w:b/>
          <w:color w:val="000000"/>
          <w:sz w:val="22"/>
          <w:szCs w:val="22"/>
        </w:rPr>
        <w:t xml:space="preserve"> and key results areas</w:t>
      </w:r>
      <w:r w:rsidR="00DD7937" w:rsidRPr="000A1D51">
        <w:rPr>
          <w:rFonts w:ascii="Calibri" w:hAnsi="Calibri" w:cs="Calibri"/>
          <w:b/>
          <w:color w:val="000000"/>
          <w:sz w:val="22"/>
          <w:szCs w:val="22"/>
        </w:rPr>
        <w:t xml:space="preserve"> </w:t>
      </w:r>
    </w:p>
    <w:p w14:paraId="5EB2D5B7" w14:textId="149BBC34" w:rsidR="00B120EB" w:rsidRPr="000A1D51" w:rsidRDefault="00B120EB" w:rsidP="00CF61C5">
      <w:pPr>
        <w:pStyle w:val="ListParagraph"/>
      </w:pPr>
      <w:r w:rsidRPr="000A1D51">
        <w:rPr>
          <w:rFonts w:ascii="Calibri" w:hAnsi="Calibri" w:cs="Calibri"/>
          <w:color w:val="000000"/>
        </w:rPr>
        <w:t xml:space="preserve">The </w:t>
      </w:r>
      <w:r w:rsidRPr="000A1D51">
        <w:t xml:space="preserve">team found AADCP </w:t>
      </w:r>
      <w:r w:rsidR="004E0D59" w:rsidRPr="000A1D51">
        <w:t xml:space="preserve">II </w:t>
      </w:r>
      <w:r w:rsidRPr="000A1D51">
        <w:t xml:space="preserve">to be generally effective in contributing to </w:t>
      </w:r>
      <w:r w:rsidR="00303315" w:rsidRPr="000A1D51">
        <w:t>it</w:t>
      </w:r>
      <w:r w:rsidR="00C22701" w:rsidRPr="000A1D51">
        <w:t>s</w:t>
      </w:r>
      <w:r w:rsidR="00303315" w:rsidRPr="000A1D51">
        <w:t xml:space="preserve"> overall</w:t>
      </w:r>
      <w:r w:rsidRPr="000A1D51">
        <w:t xml:space="preserve"> objective of helping build ASEAN’s capacity to implement its economic integration policies and priorities, in line with the ASEAN Economic Community (AEC) </w:t>
      </w:r>
      <w:r w:rsidR="0061714F" w:rsidRPr="000A1D51">
        <w:t>Blueprint</w:t>
      </w:r>
      <w:r w:rsidR="00303315" w:rsidRPr="000A1D51">
        <w:rPr>
          <w:rStyle w:val="FootnoteReference"/>
        </w:rPr>
        <w:footnoteReference w:id="12"/>
      </w:r>
      <w:r w:rsidRPr="000A1D51">
        <w:t xml:space="preserve">.  </w:t>
      </w:r>
      <w:r w:rsidR="00FA4A4E" w:rsidRPr="000A1D51">
        <w:t xml:space="preserve">ASEC discussants were generally aware of the expected end result of AADCP II support for AEC implementation. </w:t>
      </w:r>
      <w:r w:rsidR="00583A3E" w:rsidRPr="000A1D51">
        <w:t xml:space="preserve">Given the </w:t>
      </w:r>
      <w:r w:rsidR="00FA4A4E" w:rsidRPr="000A1D51">
        <w:t xml:space="preserve">continuing validity of the </w:t>
      </w:r>
      <w:r w:rsidR="00583A3E" w:rsidRPr="000A1D51">
        <w:t xml:space="preserve">program design </w:t>
      </w:r>
      <w:r w:rsidR="00FA4A4E" w:rsidRPr="000A1D51">
        <w:t xml:space="preserve">assumptions </w:t>
      </w:r>
      <w:r w:rsidR="00583A3E" w:rsidRPr="000A1D51">
        <w:t xml:space="preserve">(which </w:t>
      </w:r>
      <w:r w:rsidR="00FA4A4E" w:rsidRPr="000A1D51">
        <w:t xml:space="preserve">are </w:t>
      </w:r>
      <w:r w:rsidR="00583A3E" w:rsidRPr="000A1D51">
        <w:t xml:space="preserve">closely linked to the AEC </w:t>
      </w:r>
      <w:r w:rsidR="00155147" w:rsidRPr="000A1D51">
        <w:t xml:space="preserve">design </w:t>
      </w:r>
      <w:r w:rsidR="00583A3E" w:rsidRPr="000A1D51">
        <w:t>logic), s</w:t>
      </w:r>
      <w:r w:rsidRPr="000A1D51">
        <w:t xml:space="preserve">trengthened capacity </w:t>
      </w:r>
      <w:r w:rsidR="001A73E8" w:rsidRPr="000A1D51">
        <w:t>are still expected to</w:t>
      </w:r>
      <w:r w:rsidR="00C5736D" w:rsidRPr="000A1D51">
        <w:t xml:space="preserve"> </w:t>
      </w:r>
      <w:r w:rsidRPr="000A1D51">
        <w:t>contribut</w:t>
      </w:r>
      <w:r w:rsidR="00583A3E" w:rsidRPr="000A1D51">
        <w:t>e</w:t>
      </w:r>
      <w:r w:rsidRPr="000A1D51">
        <w:t xml:space="preserve"> to the AADCP II goal </w:t>
      </w:r>
      <w:r w:rsidR="00583A3E" w:rsidRPr="000A1D51">
        <w:t>of</w:t>
      </w:r>
      <w:r w:rsidR="00303315" w:rsidRPr="000A1D51">
        <w:t xml:space="preserve"> promot</w:t>
      </w:r>
      <w:r w:rsidR="00583A3E" w:rsidRPr="000A1D51">
        <w:t>ing</w:t>
      </w:r>
      <w:r w:rsidRPr="000A1D51">
        <w:t xml:space="preserve"> ASEAN economic growth and poverty reduction</w:t>
      </w:r>
      <w:r w:rsidR="003B07E6" w:rsidRPr="000A1D51">
        <w:rPr>
          <w:rStyle w:val="FootnoteReference"/>
        </w:rPr>
        <w:footnoteReference w:id="13"/>
      </w:r>
      <w:r w:rsidR="00FA4A4E" w:rsidRPr="000A1D51">
        <w:t>. However, and not surprisingly, i</w:t>
      </w:r>
      <w:r w:rsidRPr="000A1D51">
        <w:t xml:space="preserve">t is not possible to </w:t>
      </w:r>
      <w:r w:rsidRPr="000A1D51">
        <w:lastRenderedPageBreak/>
        <w:t>verify this with available data</w:t>
      </w:r>
      <w:r w:rsidR="006C6A48" w:rsidRPr="000A1D51">
        <w:t xml:space="preserve">, including </w:t>
      </w:r>
      <w:r w:rsidR="00204BA6" w:rsidRPr="000A1D51">
        <w:t xml:space="preserve">in particular, </w:t>
      </w:r>
      <w:r w:rsidR="006C6A48" w:rsidRPr="000A1D51">
        <w:t xml:space="preserve">the limited data </w:t>
      </w:r>
      <w:r w:rsidR="00F70BD1" w:rsidRPr="000A1D51">
        <w:t>on AADCP II links to, and</w:t>
      </w:r>
      <w:r w:rsidR="006C6A48" w:rsidRPr="000A1D51">
        <w:t xml:space="preserve"> the impact of AADCP II support on</w:t>
      </w:r>
      <w:r w:rsidR="00F70BD1" w:rsidRPr="000A1D51">
        <w:t>,</w:t>
      </w:r>
      <w:r w:rsidR="006C6A48" w:rsidRPr="000A1D51">
        <w:t xml:space="preserve"> national</w:t>
      </w:r>
      <w:r w:rsidR="0061714F" w:rsidRPr="000A1D51">
        <w:t>-</w:t>
      </w:r>
      <w:r w:rsidR="006C6A48" w:rsidRPr="000A1D51">
        <w:t>level reform agendas</w:t>
      </w:r>
      <w:r w:rsidRPr="000A1D51">
        <w:t>.</w:t>
      </w:r>
      <w:r w:rsidR="00FA4A4E" w:rsidRPr="000A1D51">
        <w:rPr>
          <w:rStyle w:val="FootnoteReference"/>
        </w:rPr>
        <w:footnoteReference w:id="14"/>
      </w:r>
      <w:r w:rsidRPr="000A1D51">
        <w:t xml:space="preserve"> </w:t>
      </w:r>
    </w:p>
    <w:p w14:paraId="0DBDC359" w14:textId="4D3D72A1" w:rsidR="00871AD5" w:rsidRPr="000A1D51" w:rsidRDefault="00A034C9" w:rsidP="00CF61C5">
      <w:pPr>
        <w:pStyle w:val="ListParagraph"/>
      </w:pPr>
      <w:r w:rsidRPr="000A1D51">
        <w:t>At an institutional level, senior stakeholders from Australia and ASEAN argued that i</w:t>
      </w:r>
      <w:r w:rsidR="00871AD5" w:rsidRPr="000A1D51">
        <w:t xml:space="preserve">mprovements in capacity can be seen in ASEC and AMS recognition of the improved quality of ongoing outputs produced with AADCP II support (e.g. the ongoing work on connectivity, IAI, investment, and consumer protection). </w:t>
      </w:r>
      <w:r w:rsidR="001B0937" w:rsidRPr="000A1D51">
        <w:t xml:space="preserve">Examples </w:t>
      </w:r>
      <w:r w:rsidR="00D221E9" w:rsidRPr="000A1D51">
        <w:t>are</w:t>
      </w:r>
      <w:r w:rsidR="001B0937" w:rsidRPr="000A1D51">
        <w:t xml:space="preserve"> given </w:t>
      </w:r>
      <w:r w:rsidR="00D221E9" w:rsidRPr="000A1D51">
        <w:t>in Footnote 5 and Appendix 4</w:t>
      </w:r>
      <w:r w:rsidR="0040251D" w:rsidRPr="000A1D51">
        <w:t xml:space="preserve"> </w:t>
      </w:r>
      <w:r w:rsidR="001B0937" w:rsidRPr="000A1D51">
        <w:t xml:space="preserve">of AADCP II supported studies that were being referred to </w:t>
      </w:r>
      <w:r w:rsidR="00F0708B" w:rsidRPr="000A1D51">
        <w:t>during</w:t>
      </w:r>
      <w:r w:rsidR="001B0937" w:rsidRPr="000A1D51">
        <w:t xml:space="preserve"> high</w:t>
      </w:r>
      <w:r w:rsidR="00E778E4" w:rsidRPr="000A1D51">
        <w:t>-</w:t>
      </w:r>
      <w:r w:rsidR="001B0937" w:rsidRPr="000A1D51">
        <w:t xml:space="preserve">level regional policy dialogue and planning. </w:t>
      </w:r>
      <w:r w:rsidR="00871AD5" w:rsidRPr="000A1D51">
        <w:t xml:space="preserve">And AADCP II supported </w:t>
      </w:r>
      <w:r w:rsidR="00D91B4A" w:rsidRPr="000A1D51">
        <w:t xml:space="preserve">ASEC level </w:t>
      </w:r>
      <w:r w:rsidR="00871AD5" w:rsidRPr="000A1D51">
        <w:t xml:space="preserve">monitoring and evaluation (e.g. on connectivity and IAI) </w:t>
      </w:r>
      <w:r w:rsidR="0040251D" w:rsidRPr="000A1D51">
        <w:t>reports suggest</w:t>
      </w:r>
      <w:r w:rsidR="00871AD5" w:rsidRPr="000A1D51">
        <w:t xml:space="preserve"> that this work is impacting on planning and implementation of development activities in AMS</w:t>
      </w:r>
      <w:r w:rsidR="00AE36C6" w:rsidRPr="000A1D51">
        <w:t xml:space="preserve">. </w:t>
      </w:r>
      <w:r w:rsidR="00871AD5" w:rsidRPr="000A1D51">
        <w:t>In other cases, case studies (e.g. of support to consumer protection) show a</w:t>
      </w:r>
      <w:r w:rsidR="00D91B4A" w:rsidRPr="000A1D51">
        <w:t xml:space="preserve"> plausible</w:t>
      </w:r>
      <w:r w:rsidR="00871AD5" w:rsidRPr="000A1D51">
        <w:t xml:space="preserve"> link between AADCP II and reforms of consumer protection laws and legislation in certain AMS.</w:t>
      </w:r>
    </w:p>
    <w:p w14:paraId="43FBD618" w14:textId="0C47AEC5" w:rsidR="00F70BD1" w:rsidRPr="000A1D51" w:rsidRDefault="00204BA6" w:rsidP="00CF61C5">
      <w:pPr>
        <w:pStyle w:val="ListParagraph"/>
      </w:pPr>
      <w:r w:rsidRPr="000A1D51">
        <w:t>More recently p</w:t>
      </w:r>
      <w:r w:rsidR="00486C15" w:rsidRPr="000A1D51">
        <w:t>ropos</w:t>
      </w:r>
      <w:r w:rsidR="00DC61B6" w:rsidRPr="000A1D51">
        <w:t xml:space="preserve">als </w:t>
      </w:r>
      <w:r w:rsidRPr="000A1D51">
        <w:t>were</w:t>
      </w:r>
      <w:r w:rsidR="00DC61B6" w:rsidRPr="000A1D51">
        <w:t xml:space="preserve"> made (but not formally approved) to</w:t>
      </w:r>
      <w:r w:rsidR="00486C15" w:rsidRPr="000A1D51">
        <w:t xml:space="preserve"> </w:t>
      </w:r>
      <w:r w:rsidR="00DC61B6" w:rsidRPr="000A1D51">
        <w:t>adapt</w:t>
      </w:r>
      <w:r w:rsidR="00486C15" w:rsidRPr="000A1D51">
        <w:t xml:space="preserve"> the</w:t>
      </w:r>
      <w:r w:rsidR="008F1382" w:rsidRPr="000A1D51">
        <w:t xml:space="preserve"> AADCP II</w:t>
      </w:r>
      <w:r w:rsidR="00486C15" w:rsidRPr="000A1D51">
        <w:t xml:space="preserve"> M&amp;E system to focus more on </w:t>
      </w:r>
      <w:r w:rsidR="00486C15" w:rsidRPr="000A1D51">
        <w:rPr>
          <w:lang w:val="en-AU"/>
        </w:rPr>
        <w:t xml:space="preserve">two “end of program outcomes” </w:t>
      </w:r>
      <w:r w:rsidR="008F1382" w:rsidRPr="000A1D51">
        <w:rPr>
          <w:lang w:val="en-AU"/>
        </w:rPr>
        <w:t>to which AADCP II will</w:t>
      </w:r>
      <w:r w:rsidR="00486C15" w:rsidRPr="000A1D51">
        <w:rPr>
          <w:lang w:val="en-AU"/>
        </w:rPr>
        <w:t xml:space="preserve"> contribute, namely (i) ASEAN </w:t>
      </w:r>
      <w:r w:rsidR="00C22701" w:rsidRPr="000A1D51">
        <w:rPr>
          <w:lang w:val="en-AU"/>
        </w:rPr>
        <w:t xml:space="preserve">decision-makers </w:t>
      </w:r>
      <w:r w:rsidR="00486C15" w:rsidRPr="000A1D51">
        <w:rPr>
          <w:lang w:val="en-AU"/>
        </w:rPr>
        <w:t>are more effectively able to support ASEAN integration, (ii) deepening the strategic partnership between Australia and ASEAN.</w:t>
      </w:r>
      <w:r w:rsidR="00486C15" w:rsidRPr="000A1D51">
        <w:rPr>
          <w:rStyle w:val="FootnoteReference"/>
          <w:lang w:val="en-AU"/>
        </w:rPr>
        <w:footnoteReference w:id="15"/>
      </w:r>
      <w:r w:rsidR="00D6326E" w:rsidRPr="000A1D51">
        <w:rPr>
          <w:iCs/>
          <w:lang w:val="en-AU"/>
        </w:rPr>
        <w:t xml:space="preserve"> </w:t>
      </w:r>
      <w:r w:rsidR="00DC61B6" w:rsidRPr="000A1D51">
        <w:rPr>
          <w:iCs/>
        </w:rPr>
        <w:t xml:space="preserve">AADCP II contributions to the proposed deepening strategic partnerships between ASEAN and Australia outcome is particularly apparent (see </w:t>
      </w:r>
      <w:r w:rsidR="00B01981" w:rsidRPr="000A1D51">
        <w:rPr>
          <w:iCs/>
        </w:rPr>
        <w:t xml:space="preserve">partnership </w:t>
      </w:r>
      <w:r w:rsidR="00DC61B6" w:rsidRPr="000A1D51">
        <w:rPr>
          <w:iCs/>
        </w:rPr>
        <w:t xml:space="preserve">discussion), and there are also indications of progress towards the </w:t>
      </w:r>
      <w:r w:rsidR="00154666" w:rsidRPr="000A1D51">
        <w:rPr>
          <w:iCs/>
        </w:rPr>
        <w:t xml:space="preserve">original economic integration </w:t>
      </w:r>
      <w:r w:rsidR="00DC61B6" w:rsidRPr="000A1D51">
        <w:rPr>
          <w:iCs/>
        </w:rPr>
        <w:t>outcome as discussed below.</w:t>
      </w:r>
    </w:p>
    <w:p w14:paraId="2F51295E" w14:textId="77777777" w:rsidR="00871AD5" w:rsidRPr="000A1D51" w:rsidRDefault="008E19DD" w:rsidP="00871AD5">
      <w:pPr>
        <w:pStyle w:val="Heading3"/>
        <w:rPr>
          <w:rStyle w:val="BodyTextChar"/>
          <w:rFonts w:ascii="Calibri" w:hAnsi="Calibri" w:cs="Calibri"/>
          <w:color w:val="000000"/>
          <w:sz w:val="22"/>
          <w:szCs w:val="22"/>
          <w:lang w:eastAsia="en-GB"/>
        </w:rPr>
      </w:pPr>
      <w:bookmarkStart w:id="32" w:name="_Toc24884108"/>
      <w:bookmarkStart w:id="33" w:name="_Toc31820110"/>
      <w:r w:rsidRPr="000A1D51">
        <w:rPr>
          <w:rStyle w:val="BodyTextChar"/>
          <w:rFonts w:ascii="Calibri" w:hAnsi="Calibri" w:cs="Calibri"/>
          <w:color w:val="000000"/>
          <w:sz w:val="22"/>
          <w:szCs w:val="22"/>
          <w:lang w:eastAsia="en-GB"/>
        </w:rPr>
        <w:t>Progress Towards Originally Targeted Program</w:t>
      </w:r>
      <w:r w:rsidR="001B0937" w:rsidRPr="000A1D51">
        <w:rPr>
          <w:rStyle w:val="BodyTextChar"/>
          <w:rFonts w:ascii="Calibri" w:hAnsi="Calibri" w:cs="Calibri"/>
          <w:color w:val="000000"/>
          <w:sz w:val="22"/>
          <w:szCs w:val="22"/>
          <w:lang w:eastAsia="en-GB"/>
        </w:rPr>
        <w:t xml:space="preserve"> Component</w:t>
      </w:r>
      <w:r w:rsidRPr="000A1D51">
        <w:rPr>
          <w:rStyle w:val="BodyTextChar"/>
          <w:rFonts w:ascii="Calibri" w:hAnsi="Calibri" w:cs="Calibri"/>
          <w:color w:val="000000"/>
          <w:sz w:val="22"/>
          <w:szCs w:val="22"/>
          <w:lang w:eastAsia="en-GB"/>
        </w:rPr>
        <w:t xml:space="preserve"> </w:t>
      </w:r>
      <w:r w:rsidR="00871AD5" w:rsidRPr="000A1D51">
        <w:rPr>
          <w:rStyle w:val="BodyTextChar"/>
          <w:rFonts w:ascii="Calibri" w:hAnsi="Calibri" w:cs="Calibri"/>
          <w:color w:val="000000"/>
          <w:sz w:val="22"/>
          <w:szCs w:val="22"/>
          <w:lang w:eastAsia="en-GB"/>
        </w:rPr>
        <w:t>Objective</w:t>
      </w:r>
      <w:r w:rsidRPr="000A1D51">
        <w:rPr>
          <w:rStyle w:val="BodyTextChar"/>
          <w:rFonts w:ascii="Calibri" w:hAnsi="Calibri" w:cs="Calibri"/>
          <w:color w:val="000000"/>
          <w:sz w:val="22"/>
          <w:szCs w:val="22"/>
          <w:lang w:eastAsia="en-GB"/>
        </w:rPr>
        <w:t>s</w:t>
      </w:r>
      <w:bookmarkEnd w:id="32"/>
      <w:bookmarkEnd w:id="33"/>
    </w:p>
    <w:p w14:paraId="57ACBC09" w14:textId="77777777" w:rsidR="008E19DD" w:rsidRPr="000A1D51" w:rsidRDefault="00634336" w:rsidP="00CF61C5">
      <w:pPr>
        <w:pStyle w:val="ListParagraph"/>
        <w:rPr>
          <w:rStyle w:val="BodyTextChar"/>
          <w:rFonts w:asciiTheme="minorHAnsi" w:eastAsia="SimSun" w:hAnsiTheme="minorHAnsi" w:cstheme="minorHAnsi"/>
          <w:sz w:val="22"/>
          <w:szCs w:val="22"/>
        </w:rPr>
      </w:pPr>
      <w:r w:rsidRPr="000A1D51">
        <w:rPr>
          <w:rStyle w:val="BodyTextChar"/>
          <w:rFonts w:asciiTheme="minorHAnsi" w:eastAsia="SimSun" w:hAnsiTheme="minorHAnsi" w:cstheme="minorHAnsi"/>
          <w:sz w:val="22"/>
          <w:szCs w:val="22"/>
        </w:rPr>
        <w:t>The project design aimed to</w:t>
      </w:r>
      <w:r w:rsidR="00C34533" w:rsidRPr="000A1D51">
        <w:rPr>
          <w:rStyle w:val="BodyTextChar"/>
          <w:rFonts w:asciiTheme="minorHAnsi" w:eastAsia="SimSun" w:hAnsiTheme="minorHAnsi" w:cstheme="minorHAnsi"/>
          <w:sz w:val="22"/>
          <w:szCs w:val="22"/>
        </w:rPr>
        <w:t xml:space="preserve"> </w:t>
      </w:r>
      <w:r w:rsidR="00DD7937" w:rsidRPr="000A1D51">
        <w:rPr>
          <w:rStyle w:val="BodyTextChar"/>
          <w:rFonts w:asciiTheme="minorHAnsi" w:eastAsia="SimSun" w:hAnsiTheme="minorHAnsi" w:cstheme="minorHAnsi"/>
          <w:sz w:val="22"/>
          <w:szCs w:val="22"/>
        </w:rPr>
        <w:t>strengthen ASEC capacity</w:t>
      </w:r>
      <w:r w:rsidR="00C34533" w:rsidRPr="000A1D51">
        <w:rPr>
          <w:rStyle w:val="BodyTextChar"/>
          <w:rFonts w:asciiTheme="minorHAnsi" w:eastAsia="SimSun" w:hAnsiTheme="minorHAnsi" w:cstheme="minorHAnsi"/>
          <w:sz w:val="22"/>
          <w:szCs w:val="22"/>
        </w:rPr>
        <w:t xml:space="preserve"> </w:t>
      </w:r>
      <w:r w:rsidRPr="000A1D51">
        <w:rPr>
          <w:rStyle w:val="BodyTextChar"/>
          <w:rFonts w:asciiTheme="minorHAnsi" w:eastAsia="SimSun" w:hAnsiTheme="minorHAnsi" w:cstheme="minorHAnsi"/>
          <w:sz w:val="22"/>
          <w:szCs w:val="22"/>
        </w:rPr>
        <w:t>both via</w:t>
      </w:r>
      <w:r w:rsidR="00EE6F9F" w:rsidRPr="000A1D51">
        <w:rPr>
          <w:rStyle w:val="BodyTextChar"/>
          <w:rFonts w:asciiTheme="minorHAnsi" w:eastAsia="SimSun" w:hAnsiTheme="minorHAnsi" w:cstheme="minorHAnsi"/>
          <w:sz w:val="22"/>
          <w:szCs w:val="22"/>
        </w:rPr>
        <w:t xml:space="preserve"> </w:t>
      </w:r>
      <w:r w:rsidR="00DB09BA" w:rsidRPr="000A1D51">
        <w:rPr>
          <w:rStyle w:val="BodyTextChar"/>
          <w:rFonts w:asciiTheme="minorHAnsi" w:eastAsia="SimSun" w:hAnsiTheme="minorHAnsi" w:cstheme="minorHAnsi"/>
          <w:sz w:val="22"/>
          <w:szCs w:val="22"/>
        </w:rPr>
        <w:t>(i) direct</w:t>
      </w:r>
      <w:r w:rsidR="00EE6F9F" w:rsidRPr="000A1D51">
        <w:rPr>
          <w:rStyle w:val="BodyTextChar"/>
          <w:rFonts w:asciiTheme="minorHAnsi" w:eastAsia="SimSun" w:hAnsiTheme="minorHAnsi" w:cstheme="minorHAnsi"/>
          <w:sz w:val="22"/>
          <w:szCs w:val="22"/>
        </w:rPr>
        <w:t xml:space="preserve"> capacity building support under Component 1, and </w:t>
      </w:r>
      <w:r w:rsidR="00DB09BA" w:rsidRPr="000A1D51">
        <w:rPr>
          <w:rStyle w:val="BodyTextChar"/>
          <w:rFonts w:asciiTheme="minorHAnsi" w:eastAsia="SimSun" w:hAnsiTheme="minorHAnsi" w:cstheme="minorHAnsi"/>
          <w:sz w:val="22"/>
          <w:szCs w:val="22"/>
        </w:rPr>
        <w:t>(ii)</w:t>
      </w:r>
      <w:r w:rsidR="00EE6F9F" w:rsidRPr="000A1D51">
        <w:rPr>
          <w:rStyle w:val="BodyTextChar"/>
          <w:rFonts w:asciiTheme="minorHAnsi" w:eastAsia="SimSun" w:hAnsiTheme="minorHAnsi" w:cstheme="minorHAnsi"/>
          <w:sz w:val="22"/>
          <w:szCs w:val="22"/>
        </w:rPr>
        <w:t xml:space="preserve"> </w:t>
      </w:r>
      <w:r w:rsidR="00370625" w:rsidRPr="000A1D51">
        <w:rPr>
          <w:rStyle w:val="BodyTextChar"/>
          <w:rFonts w:asciiTheme="minorHAnsi" w:eastAsia="SimSun" w:hAnsiTheme="minorHAnsi" w:cstheme="minorHAnsi"/>
          <w:sz w:val="22"/>
          <w:szCs w:val="22"/>
        </w:rPr>
        <w:t>building</w:t>
      </w:r>
      <w:r w:rsidR="00EE6F9F" w:rsidRPr="000A1D51">
        <w:rPr>
          <w:rStyle w:val="BodyTextChar"/>
          <w:rFonts w:asciiTheme="minorHAnsi" w:eastAsia="SimSun" w:hAnsiTheme="minorHAnsi" w:cstheme="minorHAnsi"/>
          <w:sz w:val="22"/>
          <w:szCs w:val="22"/>
        </w:rPr>
        <w:t xml:space="preserve"> ASEC </w:t>
      </w:r>
      <w:r w:rsidR="00370625" w:rsidRPr="000A1D51">
        <w:rPr>
          <w:rStyle w:val="BodyTextChar"/>
          <w:rFonts w:asciiTheme="minorHAnsi" w:eastAsia="SimSun" w:hAnsiTheme="minorHAnsi" w:cstheme="minorHAnsi"/>
          <w:sz w:val="22"/>
          <w:szCs w:val="22"/>
        </w:rPr>
        <w:t xml:space="preserve">capacity </w:t>
      </w:r>
      <w:r w:rsidR="00EE6F9F" w:rsidRPr="000A1D51">
        <w:rPr>
          <w:rStyle w:val="BodyTextChar"/>
          <w:rFonts w:asciiTheme="minorHAnsi" w:eastAsia="SimSun" w:hAnsiTheme="minorHAnsi" w:cstheme="minorHAnsi"/>
          <w:sz w:val="22"/>
          <w:szCs w:val="22"/>
        </w:rPr>
        <w:t>to provide timely and high-quality economic research and policy advice and to support regional mechanisms and capacity for the implementation of selected AEC Blueprint activities at the national level (Components 2a and 2b).</w:t>
      </w:r>
      <w:r w:rsidR="005F162A" w:rsidRPr="000A1D51">
        <w:rPr>
          <w:rStyle w:val="FootnoteReference"/>
        </w:rPr>
        <w:footnoteReference w:id="16"/>
      </w:r>
      <w:r w:rsidR="0020006A" w:rsidRPr="000A1D51">
        <w:rPr>
          <w:rStyle w:val="BodyTextChar"/>
          <w:rFonts w:asciiTheme="minorHAnsi" w:eastAsia="SimSun" w:hAnsiTheme="minorHAnsi" w:cstheme="minorHAnsi"/>
          <w:sz w:val="22"/>
          <w:szCs w:val="22"/>
        </w:rPr>
        <w:t xml:space="preserve"> </w:t>
      </w:r>
    </w:p>
    <w:p w14:paraId="18B68AA6" w14:textId="453CFDCF" w:rsidR="008F1382" w:rsidRPr="000A1D51" w:rsidRDefault="006A2ABB" w:rsidP="008F1382">
      <w:pPr>
        <w:pStyle w:val="ListParagraph"/>
        <w:rPr>
          <w:rStyle w:val="BodyTextChar"/>
          <w:rFonts w:asciiTheme="minorHAnsi" w:eastAsia="SimSun" w:hAnsiTheme="minorHAnsi" w:cstheme="minorHAnsi"/>
          <w:sz w:val="22"/>
          <w:szCs w:val="22"/>
        </w:rPr>
      </w:pPr>
      <w:r w:rsidRPr="000A1D51">
        <w:rPr>
          <w:rStyle w:val="BodyTextChar"/>
          <w:rFonts w:asciiTheme="minorHAnsi" w:eastAsia="SimSun" w:hAnsiTheme="minorHAnsi" w:cstheme="minorHAnsi"/>
          <w:sz w:val="22"/>
          <w:szCs w:val="22"/>
        </w:rPr>
        <w:t>Some</w:t>
      </w:r>
      <w:r w:rsidR="0020006A" w:rsidRPr="000A1D51">
        <w:rPr>
          <w:rStyle w:val="BodyTextChar"/>
          <w:rFonts w:asciiTheme="minorHAnsi" w:eastAsia="SimSun" w:hAnsiTheme="minorHAnsi" w:cstheme="minorHAnsi"/>
          <w:sz w:val="22"/>
          <w:szCs w:val="22"/>
        </w:rPr>
        <w:t xml:space="preserve"> </w:t>
      </w:r>
      <w:r w:rsidRPr="000A1D51">
        <w:rPr>
          <w:rStyle w:val="BodyTextChar"/>
          <w:rFonts w:asciiTheme="minorHAnsi" w:eastAsia="SimSun" w:hAnsiTheme="minorHAnsi" w:cstheme="minorHAnsi"/>
          <w:sz w:val="22"/>
          <w:szCs w:val="22"/>
        </w:rPr>
        <w:t>55</w:t>
      </w:r>
      <w:r w:rsidR="0020006A" w:rsidRPr="000A1D51">
        <w:rPr>
          <w:rStyle w:val="BodyTextChar"/>
          <w:rFonts w:asciiTheme="minorHAnsi" w:eastAsia="SimSun" w:hAnsiTheme="minorHAnsi" w:cstheme="minorHAnsi"/>
          <w:sz w:val="22"/>
          <w:szCs w:val="22"/>
        </w:rPr>
        <w:t>% of total program resources were allocated to Component 2</w:t>
      </w:r>
      <w:r w:rsidR="006E75A1" w:rsidRPr="000A1D51">
        <w:rPr>
          <w:rStyle w:val="BodyTextChar"/>
          <w:rFonts w:asciiTheme="minorHAnsi" w:eastAsia="SimSun" w:hAnsiTheme="minorHAnsi" w:cstheme="minorHAnsi"/>
          <w:sz w:val="22"/>
          <w:szCs w:val="22"/>
        </w:rPr>
        <w:t xml:space="preserve">b and another </w:t>
      </w:r>
      <w:r w:rsidRPr="000A1D51">
        <w:rPr>
          <w:rStyle w:val="BodyTextChar"/>
          <w:rFonts w:asciiTheme="minorHAnsi" w:eastAsia="SimSun" w:hAnsiTheme="minorHAnsi" w:cstheme="minorHAnsi"/>
          <w:sz w:val="22"/>
          <w:szCs w:val="22"/>
        </w:rPr>
        <w:t>20</w:t>
      </w:r>
      <w:r w:rsidR="006E75A1" w:rsidRPr="000A1D51">
        <w:rPr>
          <w:rStyle w:val="BodyTextChar"/>
          <w:rFonts w:asciiTheme="minorHAnsi" w:eastAsia="SimSun" w:hAnsiTheme="minorHAnsi" w:cstheme="minorHAnsi"/>
          <w:sz w:val="22"/>
          <w:szCs w:val="22"/>
        </w:rPr>
        <w:t xml:space="preserve">% were directed towards Component 2a. Only about </w:t>
      </w:r>
      <w:r w:rsidR="002539F1" w:rsidRPr="000A1D51">
        <w:rPr>
          <w:rStyle w:val="BodyTextChar"/>
          <w:rFonts w:asciiTheme="minorHAnsi" w:eastAsia="SimSun" w:hAnsiTheme="minorHAnsi" w:cstheme="minorHAnsi"/>
          <w:sz w:val="22"/>
          <w:szCs w:val="22"/>
        </w:rPr>
        <w:t xml:space="preserve">$2.5 million (or </w:t>
      </w:r>
      <w:r w:rsidR="006E75A1" w:rsidRPr="000A1D51">
        <w:rPr>
          <w:rStyle w:val="BodyTextChar"/>
          <w:rFonts w:asciiTheme="minorHAnsi" w:eastAsia="SimSun" w:hAnsiTheme="minorHAnsi" w:cstheme="minorHAnsi"/>
          <w:sz w:val="22"/>
          <w:szCs w:val="22"/>
        </w:rPr>
        <w:t xml:space="preserve">8% of </w:t>
      </w:r>
      <w:r w:rsidR="002539F1" w:rsidRPr="000A1D51">
        <w:rPr>
          <w:rStyle w:val="BodyTextChar"/>
          <w:rFonts w:asciiTheme="minorHAnsi" w:eastAsia="SimSun" w:hAnsiTheme="minorHAnsi" w:cstheme="minorHAnsi"/>
          <w:sz w:val="22"/>
          <w:szCs w:val="22"/>
        </w:rPr>
        <w:t xml:space="preserve">total </w:t>
      </w:r>
      <w:r w:rsidR="006E75A1" w:rsidRPr="000A1D51">
        <w:rPr>
          <w:rStyle w:val="BodyTextChar"/>
          <w:rFonts w:asciiTheme="minorHAnsi" w:eastAsia="SimSun" w:hAnsiTheme="minorHAnsi" w:cstheme="minorHAnsi"/>
          <w:sz w:val="22"/>
          <w:szCs w:val="22"/>
        </w:rPr>
        <w:t>resources</w:t>
      </w:r>
      <w:r w:rsidR="002539F1" w:rsidRPr="000A1D51">
        <w:rPr>
          <w:rStyle w:val="BodyTextChar"/>
          <w:rFonts w:asciiTheme="minorHAnsi" w:eastAsia="SimSun" w:hAnsiTheme="minorHAnsi" w:cstheme="minorHAnsi"/>
          <w:sz w:val="22"/>
          <w:szCs w:val="22"/>
        </w:rPr>
        <w:t>)</w:t>
      </w:r>
      <w:r w:rsidR="006E75A1" w:rsidRPr="000A1D51">
        <w:rPr>
          <w:rStyle w:val="BodyTextChar"/>
          <w:rFonts w:asciiTheme="minorHAnsi" w:eastAsia="SimSun" w:hAnsiTheme="minorHAnsi" w:cstheme="minorHAnsi"/>
          <w:sz w:val="22"/>
          <w:szCs w:val="22"/>
        </w:rPr>
        <w:t xml:space="preserve"> were allocated to Component 1</w:t>
      </w:r>
      <w:r w:rsidR="00B54CBC" w:rsidRPr="000A1D51">
        <w:rPr>
          <w:rStyle w:val="BodyTextChar"/>
          <w:rFonts w:asciiTheme="minorHAnsi" w:eastAsia="SimSun" w:hAnsiTheme="minorHAnsi" w:cstheme="minorHAnsi"/>
          <w:sz w:val="22"/>
          <w:szCs w:val="22"/>
        </w:rPr>
        <w:t xml:space="preserve">, </w:t>
      </w:r>
      <w:r w:rsidR="002539F1" w:rsidRPr="000A1D51">
        <w:rPr>
          <w:rStyle w:val="BodyTextChar"/>
          <w:rFonts w:asciiTheme="minorHAnsi" w:eastAsia="SimSun" w:hAnsiTheme="minorHAnsi" w:cstheme="minorHAnsi"/>
          <w:sz w:val="22"/>
          <w:szCs w:val="22"/>
        </w:rPr>
        <w:t>well below that envisaged at program design.</w:t>
      </w:r>
      <w:r w:rsidR="002E79E7" w:rsidRPr="000A1D51">
        <w:rPr>
          <w:rStyle w:val="BodyTextChar"/>
          <w:rFonts w:asciiTheme="minorHAnsi" w:eastAsia="SimSun" w:hAnsiTheme="minorHAnsi" w:cstheme="minorHAnsi"/>
          <w:sz w:val="22"/>
          <w:szCs w:val="22"/>
        </w:rPr>
        <w:t xml:space="preserve"> The share allocated for economic research and policy is a little more than planned, and the share allocated to overheads is </w:t>
      </w:r>
      <w:r w:rsidR="00F44159" w:rsidRPr="000A1D51">
        <w:rPr>
          <w:rStyle w:val="BodyTextChar"/>
          <w:rFonts w:asciiTheme="minorHAnsi" w:eastAsia="SimSun" w:hAnsiTheme="minorHAnsi" w:cstheme="minorHAnsi"/>
          <w:sz w:val="22"/>
          <w:szCs w:val="22"/>
        </w:rPr>
        <w:t>just over</w:t>
      </w:r>
      <w:r w:rsidR="002E79E7" w:rsidRPr="000A1D51">
        <w:rPr>
          <w:rStyle w:val="BodyTextChar"/>
          <w:rFonts w:asciiTheme="minorHAnsi" w:eastAsia="SimSun" w:hAnsiTheme="minorHAnsi" w:cstheme="minorHAnsi"/>
          <w:sz w:val="22"/>
          <w:szCs w:val="22"/>
        </w:rPr>
        <w:t xml:space="preserve"> half that planned.</w:t>
      </w:r>
      <w:r w:rsidR="00B54CBC" w:rsidRPr="000A1D51">
        <w:rPr>
          <w:rStyle w:val="BodyTextChar"/>
          <w:rFonts w:asciiTheme="minorHAnsi" w:eastAsia="SimSun" w:hAnsiTheme="minorHAnsi" w:cstheme="minorHAnsi"/>
          <w:sz w:val="22"/>
          <w:szCs w:val="22"/>
        </w:rPr>
        <w:t xml:space="preserve"> The share of allocations between components varied greatly over time, with the share allocated to component 2b jumping sharply from FY 201</w:t>
      </w:r>
      <w:r w:rsidR="00871AD5" w:rsidRPr="000A1D51">
        <w:rPr>
          <w:rStyle w:val="BodyTextChar"/>
          <w:rFonts w:asciiTheme="minorHAnsi" w:eastAsia="SimSun" w:hAnsiTheme="minorHAnsi" w:cstheme="minorHAnsi"/>
          <w:sz w:val="22"/>
          <w:szCs w:val="22"/>
        </w:rPr>
        <w:t>2/13 onwards</w:t>
      </w:r>
      <w:r w:rsidR="009A6044" w:rsidRPr="000A1D51">
        <w:rPr>
          <w:rStyle w:val="FootnoteReference"/>
        </w:rPr>
        <w:footnoteReference w:id="17"/>
      </w:r>
      <w:r w:rsidR="00871AD5" w:rsidRPr="000A1D51">
        <w:rPr>
          <w:rStyle w:val="BodyTextChar"/>
          <w:rFonts w:asciiTheme="minorHAnsi" w:eastAsia="SimSun" w:hAnsiTheme="minorHAnsi" w:cstheme="minorHAnsi"/>
          <w:sz w:val="22"/>
          <w:szCs w:val="22"/>
        </w:rPr>
        <w:t>.</w:t>
      </w:r>
    </w:p>
    <w:p w14:paraId="2DF1D2EE" w14:textId="77777777" w:rsidR="00DF2DB0" w:rsidRPr="000A1D51" w:rsidRDefault="00DF2DB0" w:rsidP="00DF2DB0">
      <w:pPr>
        <w:rPr>
          <w:rStyle w:val="BodyTextChar"/>
          <w:rFonts w:ascii="Calibri" w:eastAsia="SimSun" w:hAnsi="Calibri"/>
          <w:color w:val="000000"/>
          <w:sz w:val="22"/>
        </w:rPr>
      </w:pPr>
    </w:p>
    <w:p w14:paraId="48B7E762" w14:textId="4B682F71" w:rsidR="002539F1" w:rsidRPr="000A1D51" w:rsidRDefault="002539F1" w:rsidP="002539F1">
      <w:pPr>
        <w:spacing w:after="200" w:line="276" w:lineRule="auto"/>
        <w:rPr>
          <w:rStyle w:val="BodyTextChar"/>
          <w:b/>
          <w:bCs/>
        </w:rPr>
      </w:pPr>
      <w:r w:rsidRPr="000A1D51">
        <w:rPr>
          <w:rStyle w:val="BodyTextChar"/>
          <w:b/>
          <w:bCs/>
        </w:rPr>
        <w:lastRenderedPageBreak/>
        <w:t>Table 1</w:t>
      </w:r>
      <w:r w:rsidR="002E79E7" w:rsidRPr="000A1D51">
        <w:rPr>
          <w:rStyle w:val="BodyTextChar"/>
          <w:b/>
          <w:bCs/>
        </w:rPr>
        <w:t>a</w:t>
      </w:r>
      <w:r w:rsidRPr="000A1D51">
        <w:rPr>
          <w:rStyle w:val="BodyTextChar"/>
          <w:b/>
          <w:bCs/>
        </w:rPr>
        <w:t xml:space="preserve">: </w:t>
      </w:r>
      <w:r w:rsidR="00441635" w:rsidRPr="000A1D51">
        <w:rPr>
          <w:rStyle w:val="BodyTextChar"/>
          <w:b/>
          <w:bCs/>
        </w:rPr>
        <w:t xml:space="preserve">Planned and Actual Expenditure </w:t>
      </w:r>
      <w:r w:rsidR="00F90DD9" w:rsidRPr="000A1D51">
        <w:rPr>
          <w:rStyle w:val="BodyTextChar"/>
          <w:b/>
          <w:bCs/>
        </w:rPr>
        <w:t xml:space="preserve">Shares </w:t>
      </w:r>
      <w:r w:rsidR="00441635" w:rsidRPr="000A1D51">
        <w:rPr>
          <w:rStyle w:val="BodyTextChar"/>
          <w:b/>
          <w:bCs/>
        </w:rPr>
        <w:t xml:space="preserve">to </w:t>
      </w:r>
      <w:r w:rsidR="00F90DD9" w:rsidRPr="000A1D51">
        <w:rPr>
          <w:rStyle w:val="BodyTextChar"/>
          <w:b/>
          <w:bCs/>
        </w:rPr>
        <w:t>June 2019</w:t>
      </w:r>
      <w:r w:rsidR="00441635" w:rsidRPr="000A1D51">
        <w:rPr>
          <w:rStyle w:val="BodyTextChar"/>
          <w:b/>
          <w:bCs/>
        </w:rPr>
        <w:t xml:space="preserve"> by Component</w:t>
      </w:r>
      <w:r w:rsidR="00B73BE3" w:rsidRPr="000A1D51">
        <w:rPr>
          <w:rStyle w:val="BodyTextChar"/>
          <w:b/>
          <w:bCs/>
        </w:rPr>
        <w:t xml:space="preserve"> (</w:t>
      </w:r>
      <w:r w:rsidR="00F90DD9" w:rsidRPr="000A1D51">
        <w:rPr>
          <w:rStyle w:val="BodyTextChar"/>
          <w:b/>
          <w:bCs/>
        </w:rPr>
        <w:t>% of total</w:t>
      </w:r>
      <w:r w:rsidR="00B73BE3" w:rsidRPr="000A1D51">
        <w:rPr>
          <w:rStyle w:val="BodyTextChar"/>
          <w:b/>
          <w:bCs/>
        </w:rPr>
        <w:t>)</w:t>
      </w:r>
      <w:r w:rsidR="00441635" w:rsidRPr="000A1D51">
        <w:rPr>
          <w:rStyle w:val="BodyTextChar"/>
          <w:b/>
          <w:bCs/>
        </w:rPr>
        <w:t>.</w:t>
      </w:r>
    </w:p>
    <w:p w14:paraId="40F6A9A3" w14:textId="41E875E9" w:rsidR="00F90DD9" w:rsidRPr="000A1D51" w:rsidRDefault="004400F1" w:rsidP="00871AD5">
      <w:pPr>
        <w:spacing w:after="200" w:line="276" w:lineRule="auto"/>
        <w:rPr>
          <w:rStyle w:val="BodyTextChar"/>
          <w:sz w:val="18"/>
          <w:szCs w:val="18"/>
          <w:u w:val="single"/>
        </w:rPr>
      </w:pPr>
      <w:r w:rsidRPr="000A1D51">
        <w:rPr>
          <w:rStyle w:val="BodyTextChar"/>
          <w:noProof/>
          <w:sz w:val="18"/>
          <w:szCs w:val="18"/>
          <w:u w:val="single"/>
          <w:lang w:val="en-AU" w:eastAsia="en-AU"/>
        </w:rPr>
        <w:drawing>
          <wp:inline distT="0" distB="0" distL="0" distR="0" wp14:anchorId="65886D99" wp14:editId="0448855B">
            <wp:extent cx="5612603" cy="1023731"/>
            <wp:effectExtent l="0" t="0" r="127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37979" cy="1028360"/>
                    </a:xfrm>
                    <a:prstGeom prst="rect">
                      <a:avLst/>
                    </a:prstGeom>
                  </pic:spPr>
                </pic:pic>
              </a:graphicData>
            </a:graphic>
          </wp:inline>
        </w:drawing>
      </w:r>
    </w:p>
    <w:p w14:paraId="1BA581B8" w14:textId="00D80DE8" w:rsidR="00C71E7A" w:rsidRPr="00C5703B" w:rsidRDefault="00AD4EA8" w:rsidP="00871AD5">
      <w:pPr>
        <w:spacing w:after="200" w:line="276" w:lineRule="auto"/>
        <w:rPr>
          <w:rStyle w:val="BodyTextChar"/>
          <w:sz w:val="18"/>
          <w:szCs w:val="18"/>
        </w:rPr>
      </w:pPr>
      <w:r w:rsidRPr="000A1D51">
        <w:rPr>
          <w:rStyle w:val="BodyTextChar"/>
          <w:sz w:val="18"/>
          <w:szCs w:val="18"/>
          <w:u w:val="single"/>
        </w:rPr>
        <w:t>Source</w:t>
      </w:r>
      <w:r w:rsidRPr="000A1D51">
        <w:rPr>
          <w:rStyle w:val="BodyTextChar"/>
          <w:sz w:val="18"/>
          <w:szCs w:val="18"/>
        </w:rPr>
        <w:t>: Derived from program monitoring data.</w:t>
      </w:r>
    </w:p>
    <w:p w14:paraId="3AC0DDEE" w14:textId="7628FE7A" w:rsidR="002539F1" w:rsidRPr="000A1D51" w:rsidRDefault="002E79E7" w:rsidP="00AD4EA8">
      <w:pPr>
        <w:spacing w:after="200" w:line="276" w:lineRule="auto"/>
        <w:jc w:val="both"/>
        <w:rPr>
          <w:rStyle w:val="BodyTextChar"/>
          <w:rFonts w:ascii="Calibri" w:hAnsi="Calibri" w:cs="Calibri"/>
          <w:b/>
          <w:bCs/>
          <w:color w:val="000000"/>
          <w:sz w:val="22"/>
          <w:szCs w:val="22"/>
        </w:rPr>
      </w:pPr>
      <w:r w:rsidRPr="000A1D51">
        <w:rPr>
          <w:rStyle w:val="BodyTextChar"/>
          <w:rFonts w:ascii="Calibri" w:hAnsi="Calibri" w:cs="Calibri"/>
          <w:b/>
          <w:bCs/>
          <w:color w:val="000000"/>
          <w:sz w:val="22"/>
          <w:szCs w:val="22"/>
        </w:rPr>
        <w:t>Table 1b: Actual Expenditure to</w:t>
      </w:r>
      <w:r w:rsidR="00AD4EA8" w:rsidRPr="000A1D51">
        <w:rPr>
          <w:rStyle w:val="BodyTextChar"/>
          <w:rFonts w:ascii="Calibri" w:hAnsi="Calibri" w:cs="Calibri"/>
          <w:b/>
          <w:bCs/>
          <w:color w:val="000000"/>
          <w:sz w:val="22"/>
          <w:szCs w:val="22"/>
        </w:rPr>
        <w:t xml:space="preserve"> Date (by component and year</w:t>
      </w:r>
      <w:r w:rsidR="00845B80" w:rsidRPr="000A1D51">
        <w:rPr>
          <w:rStyle w:val="BodyTextChar"/>
          <w:rFonts w:ascii="Calibri" w:hAnsi="Calibri" w:cs="Calibri"/>
          <w:b/>
          <w:bCs/>
          <w:color w:val="000000"/>
          <w:sz w:val="22"/>
          <w:szCs w:val="22"/>
        </w:rPr>
        <w:t xml:space="preserve"> (‘000 USD</w:t>
      </w:r>
      <w:r w:rsidR="00A87315" w:rsidRPr="000A1D51">
        <w:rPr>
          <w:rStyle w:val="BodyTextChar"/>
          <w:rFonts w:ascii="Calibri" w:hAnsi="Calibri" w:cs="Calibri"/>
          <w:b/>
          <w:bCs/>
          <w:color w:val="000000"/>
          <w:sz w:val="22"/>
          <w:szCs w:val="22"/>
        </w:rPr>
        <w:t>)</w:t>
      </w:r>
    </w:p>
    <w:p w14:paraId="71E964DC" w14:textId="420E042F" w:rsidR="003D36FB" w:rsidRPr="000A1D51" w:rsidRDefault="00814EDD" w:rsidP="00AD4EA8">
      <w:pPr>
        <w:spacing w:after="200" w:line="276" w:lineRule="auto"/>
        <w:jc w:val="both"/>
        <w:rPr>
          <w:rStyle w:val="BodyTextChar"/>
          <w:rFonts w:ascii="Calibri" w:hAnsi="Calibri" w:cs="Calibri"/>
          <w:b/>
          <w:bCs/>
          <w:color w:val="000000"/>
          <w:sz w:val="22"/>
          <w:szCs w:val="22"/>
        </w:rPr>
      </w:pPr>
      <w:r w:rsidRPr="000A1D51">
        <w:rPr>
          <w:rStyle w:val="BodyTextChar"/>
          <w:rFonts w:ascii="Calibri" w:hAnsi="Calibri" w:cs="Calibri"/>
          <w:b/>
          <w:bCs/>
          <w:noProof/>
          <w:color w:val="000000"/>
          <w:sz w:val="22"/>
          <w:szCs w:val="22"/>
          <w:lang w:val="en-AU" w:eastAsia="en-AU"/>
        </w:rPr>
        <w:drawing>
          <wp:inline distT="0" distB="0" distL="0" distR="0" wp14:anchorId="2EC359F7" wp14:editId="5841D46F">
            <wp:extent cx="5651805" cy="201764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87074" cy="2030235"/>
                    </a:xfrm>
                    <a:prstGeom prst="rect">
                      <a:avLst/>
                    </a:prstGeom>
                  </pic:spPr>
                </pic:pic>
              </a:graphicData>
            </a:graphic>
          </wp:inline>
        </w:drawing>
      </w:r>
    </w:p>
    <w:p w14:paraId="7558EE98" w14:textId="7C6A109A" w:rsidR="00AE0F2A" w:rsidRPr="00C5703B" w:rsidRDefault="00AD4EA8" w:rsidP="00AE0F2A">
      <w:pPr>
        <w:spacing w:after="200" w:line="276" w:lineRule="auto"/>
        <w:jc w:val="both"/>
        <w:rPr>
          <w:rFonts w:ascii="Franklin Gothic Book" w:hAnsi="Franklin Gothic Book"/>
          <w:color w:val="000000" w:themeColor="text1"/>
          <w:sz w:val="18"/>
          <w:u w:val="single"/>
        </w:rPr>
      </w:pPr>
      <w:r w:rsidRPr="000A1D51">
        <w:rPr>
          <w:rStyle w:val="BodyTextChar"/>
          <w:sz w:val="18"/>
          <w:szCs w:val="18"/>
          <w:u w:val="single"/>
        </w:rPr>
        <w:t>Source</w:t>
      </w:r>
      <w:r w:rsidRPr="000A1D51">
        <w:rPr>
          <w:rStyle w:val="BodyTextChar"/>
          <w:sz w:val="18"/>
          <w:szCs w:val="18"/>
        </w:rPr>
        <w:t>: Derived from program monitoring data</w:t>
      </w:r>
      <w:r w:rsidR="00AE0F2A" w:rsidRPr="000A1D51">
        <w:rPr>
          <w:rStyle w:val="BodyTextChar"/>
          <w:sz w:val="18"/>
          <w:szCs w:val="18"/>
        </w:rPr>
        <w:t>.</w:t>
      </w:r>
    </w:p>
    <w:p w14:paraId="6FC63B2C" w14:textId="77777777" w:rsidR="00DD7937" w:rsidRPr="000A1D51" w:rsidRDefault="001B0937" w:rsidP="004748A1">
      <w:pPr>
        <w:numPr>
          <w:ilvl w:val="0"/>
          <w:numId w:val="30"/>
        </w:numPr>
        <w:spacing w:after="200" w:line="276" w:lineRule="auto"/>
        <w:rPr>
          <w:rFonts w:ascii="Calibri" w:hAnsi="Calibri" w:cs="Calibri"/>
          <w:color w:val="000000"/>
          <w:sz w:val="22"/>
          <w:szCs w:val="22"/>
          <w:lang w:val="en-AU"/>
        </w:rPr>
      </w:pPr>
      <w:r w:rsidRPr="000A1D51">
        <w:rPr>
          <w:rFonts w:ascii="Calibri" w:hAnsi="Calibri" w:cs="Calibri"/>
          <w:color w:val="000000"/>
          <w:sz w:val="22"/>
          <w:szCs w:val="22"/>
          <w:lang w:val="en-AU"/>
        </w:rPr>
        <w:t>Key indicators of p</w:t>
      </w:r>
      <w:r w:rsidR="00DD7937" w:rsidRPr="000A1D51">
        <w:rPr>
          <w:rFonts w:ascii="Calibri" w:hAnsi="Calibri" w:cs="Calibri"/>
          <w:color w:val="000000"/>
          <w:sz w:val="22"/>
          <w:szCs w:val="22"/>
          <w:lang w:val="en-AU"/>
        </w:rPr>
        <w:t xml:space="preserve">rogress towards the originally defined interrelated program component objectives include: </w:t>
      </w:r>
    </w:p>
    <w:p w14:paraId="22D8EDDD" w14:textId="77777777" w:rsidR="00DD7937" w:rsidRPr="000A1D51" w:rsidRDefault="00DD7937" w:rsidP="00EC44AC">
      <w:pPr>
        <w:pStyle w:val="Bullet0"/>
        <w:numPr>
          <w:ilvl w:val="0"/>
          <w:numId w:val="57"/>
        </w:numPr>
      </w:pPr>
      <w:r w:rsidRPr="000A1D51">
        <w:t xml:space="preserve">Strengthen ASEC’s institutional capacity to facilitate and support ASEAN integration and community building efforts (Component 1). </w:t>
      </w:r>
      <w:r w:rsidR="009166C7" w:rsidRPr="000A1D51">
        <w:t>The level of support to this component, and potential impacts, was less than expected due to limited ASEC demand, and the availability of support from other development partners. Nevertheless, p</w:t>
      </w:r>
      <w:r w:rsidRPr="000A1D51">
        <w:t xml:space="preserve">rogress reports and discussants highlighted </w:t>
      </w:r>
      <w:r w:rsidR="00540EE4" w:rsidRPr="000A1D51">
        <w:t>several important</w:t>
      </w:r>
      <w:r w:rsidRPr="000A1D51">
        <w:t xml:space="preserve"> AADCP II contributions to building ASEC institutional capacity</w:t>
      </w:r>
      <w:r w:rsidR="00540EE4" w:rsidRPr="000A1D51">
        <w:t>, including s</w:t>
      </w:r>
      <w:r w:rsidRPr="000A1D51">
        <w:t xml:space="preserve">upport </w:t>
      </w:r>
      <w:r w:rsidR="00540EE4" w:rsidRPr="000A1D51">
        <w:t>for</w:t>
      </w:r>
      <w:r w:rsidRPr="000A1D51">
        <w:t xml:space="preserve"> discrete projects aimed at strengthening ASEC (support for positions in Finance and Legal Services, and the placement of the Knowledge Management (KM) Adviser under the Corporate Director.  AADCP II also provides direct support to help</w:t>
      </w:r>
      <w:r w:rsidR="001359D6" w:rsidRPr="000A1D51">
        <w:t xml:space="preserve"> </w:t>
      </w:r>
      <w:r w:rsidR="001359D6" w:rsidRPr="000A1D51">
        <w:rPr>
          <w:lang w:val="en-US"/>
        </w:rPr>
        <w:t>ASEC</w:t>
      </w:r>
      <w:r w:rsidR="00771BC2" w:rsidRPr="000A1D51">
        <w:rPr>
          <w:lang w:val="en-US"/>
        </w:rPr>
        <w:t>’s</w:t>
      </w:r>
      <w:r w:rsidR="001359D6" w:rsidRPr="000A1D51">
        <w:rPr>
          <w:lang w:val="en-US"/>
        </w:rPr>
        <w:t xml:space="preserve"> Program Cooperation &amp; Project Management Division (PCPMD)</w:t>
      </w:r>
      <w:r w:rsidRPr="000A1D51">
        <w:t xml:space="preserve"> to clarify their mandate and operational tools. </w:t>
      </w:r>
      <w:r w:rsidR="00771BC2" w:rsidRPr="000A1D51">
        <w:t>PCPMD play key role in coordinating implementation of AADCP II and other development projects.</w:t>
      </w:r>
    </w:p>
    <w:p w14:paraId="7729F9E5" w14:textId="77777777" w:rsidR="00DD7937" w:rsidRPr="000A1D51" w:rsidRDefault="00C20AD4" w:rsidP="00FD562F">
      <w:pPr>
        <w:pStyle w:val="Bullet0"/>
      </w:pPr>
      <w:r w:rsidRPr="000A1D51">
        <w:t xml:space="preserve">ASEC staff noted that </w:t>
      </w:r>
      <w:r w:rsidR="00DD7937" w:rsidRPr="000A1D51">
        <w:t xml:space="preserve">AADCP II </w:t>
      </w:r>
      <w:r w:rsidR="00D56569" w:rsidRPr="000A1D51">
        <w:rPr>
          <w:b/>
          <w:bCs/>
        </w:rPr>
        <w:t>Component 2</w:t>
      </w:r>
      <w:r w:rsidR="00D56569" w:rsidRPr="000A1D51">
        <w:t xml:space="preserve"> support </w:t>
      </w:r>
      <w:r w:rsidR="00DD7937" w:rsidRPr="000A1D51">
        <w:t xml:space="preserve">also </w:t>
      </w:r>
      <w:r w:rsidR="00D56569" w:rsidRPr="000A1D51">
        <w:t>helped build</w:t>
      </w:r>
      <w:r w:rsidR="00DD7937" w:rsidRPr="000A1D51">
        <w:t xml:space="preserve"> </w:t>
      </w:r>
      <w:r w:rsidR="00D56569" w:rsidRPr="000A1D51">
        <w:t>capacity related to</w:t>
      </w:r>
      <w:r w:rsidR="00DD7937" w:rsidRPr="000A1D51">
        <w:t xml:space="preserve"> planning, implementation and monitoring and implementation of core ASEC responsibilities (especially the support for ASEAN connectivity and IAI). ASEC and ASEAN stakeholders stressed the contributions to ASEC capacity building as a core comparative strength of AADCP II support and emphasized the importance of </w:t>
      </w:r>
      <w:r w:rsidR="00DD7937" w:rsidRPr="000A1D51">
        <w:lastRenderedPageBreak/>
        <w:t>the partnership model (including use of ASEC systems at all stages of the project cycle) in building that capacity.</w:t>
      </w:r>
      <w:r w:rsidR="00FE0735" w:rsidRPr="000A1D51">
        <w:t xml:space="preserve"> </w:t>
      </w:r>
    </w:p>
    <w:p w14:paraId="2064B264" w14:textId="2B77B2D9" w:rsidR="00DD7937" w:rsidRPr="000A1D51" w:rsidRDefault="00DD7937" w:rsidP="00FD562F">
      <w:pPr>
        <w:pStyle w:val="Bullet0"/>
      </w:pPr>
      <w:r w:rsidRPr="000A1D51">
        <w:t xml:space="preserve">Support movement towards the AEC through the provision of timely and high-quality economic research and policy advice (Component 2a). Key contributions highlighted in review reports and confirmed by discussants included the development of, and agreements on standards in the agriculture and tourism sector to facilitate trade and investment. Other studies such as the annual investment reports are also supporting progress towards AEC via improved information including analysis of key themes related to AEC (most recently the focus was on </w:t>
      </w:r>
      <w:r w:rsidR="001D25BE" w:rsidRPr="000A1D51">
        <w:t>services in health care</w:t>
      </w:r>
      <w:r w:rsidR="001D25BE" w:rsidRPr="000A1D51">
        <w:rPr>
          <w:rStyle w:val="FootnoteReference"/>
        </w:rPr>
        <w:footnoteReference w:id="18"/>
      </w:r>
      <w:r w:rsidR="001D25BE" w:rsidRPr="000A1D51">
        <w:t xml:space="preserve">. </w:t>
      </w:r>
    </w:p>
    <w:p w14:paraId="521C64E4" w14:textId="77777777" w:rsidR="00DD7937" w:rsidRPr="000A1D51" w:rsidRDefault="00DD7937" w:rsidP="00FD562F">
      <w:pPr>
        <w:pStyle w:val="Bullet0"/>
      </w:pPr>
      <w:r w:rsidRPr="000A1D51">
        <w:t xml:space="preserve">Support regional mechanisms and capacity for the implementation of selected AEC Blueprint activities at the national level (Component 2b).  The AADCP II view was that the focus of this component was regional, not national. Thus, the AADCP II took the view that regional products should </w:t>
      </w:r>
      <w:r w:rsidR="00AE0F2A" w:rsidRPr="000A1D51">
        <w:t>reflect</w:t>
      </w:r>
      <w:r w:rsidRPr="000A1D51">
        <w:t xml:space="preserve"> national level circumstances and contexts and should be realistic in what can be achieved at that level – but that their focus should be at the whole-of-ASEAN level</w:t>
      </w:r>
      <w:r w:rsidR="00730452" w:rsidRPr="000A1D51">
        <w:t xml:space="preserve"> actions that would facilitate national level reforms</w:t>
      </w:r>
      <w:r w:rsidRPr="000A1D51">
        <w:t>. Thus, components 2a and 2b are closely related with many projects contributing to both targeted outcomes.</w:t>
      </w:r>
    </w:p>
    <w:p w14:paraId="2657725F" w14:textId="77777777" w:rsidR="00E44C87" w:rsidRPr="000A1D51" w:rsidRDefault="00DD7937" w:rsidP="00CF61C5">
      <w:pPr>
        <w:pStyle w:val="ListParagraph"/>
      </w:pPr>
      <w:r w:rsidRPr="000A1D51">
        <w:t xml:space="preserve">While the AADCP II strategic focus was at the regional level, there are also some indicators of AADCP II national level contributions. Support to the IAI </w:t>
      </w:r>
      <w:r w:rsidR="00D82DB8" w:rsidRPr="000A1D51">
        <w:t xml:space="preserve">(including support for agriculture standards and post-harvest losses) </w:t>
      </w:r>
      <w:r w:rsidRPr="000A1D51">
        <w:t>was the AADCP II activity area most closely linked to national level activities</w:t>
      </w:r>
      <w:r w:rsidR="00823C26" w:rsidRPr="000A1D51">
        <w:rPr>
          <w:rStyle w:val="FootnoteReference"/>
        </w:rPr>
        <w:footnoteReference w:id="19"/>
      </w:r>
      <w:r w:rsidRPr="000A1D51">
        <w:t xml:space="preserve">. IAI support has helped to better define AEC related priorities in CLMV and this has helped to mobilize resources for IAI and has helped other ASEAN countries to better understand priorities for reducing development gaps. Support for </w:t>
      </w:r>
      <w:r w:rsidR="004E0D59" w:rsidRPr="000A1D51">
        <w:t xml:space="preserve">policy research and </w:t>
      </w:r>
      <w:r w:rsidRPr="000A1D51">
        <w:t xml:space="preserve">outreach activities under consumer protection projects contributed to some national level legislative and institutional reforms. And other support to build regional frameworks for connectivity </w:t>
      </w:r>
      <w:r w:rsidR="00204BA6" w:rsidRPr="000A1D51">
        <w:t xml:space="preserve">(e.g. the ASEAN power grid and other infrastructure) are likely to facilitate increased and more effective national level investments in infrastructure. </w:t>
      </w:r>
      <w:r w:rsidRPr="000A1D51">
        <w:t xml:space="preserve"> </w:t>
      </w:r>
    </w:p>
    <w:p w14:paraId="03CB5D70" w14:textId="77777777" w:rsidR="00111FD6" w:rsidRPr="000A1D51" w:rsidRDefault="00111FD6" w:rsidP="00631CFD">
      <w:pPr>
        <w:pStyle w:val="Heading3"/>
        <w:rPr>
          <w:lang w:eastAsia="en-GB"/>
        </w:rPr>
      </w:pPr>
      <w:bookmarkStart w:id="34" w:name="_Toc24884109"/>
      <w:bookmarkStart w:id="35" w:name="_Toc31820111"/>
      <w:r w:rsidRPr="000A1D51">
        <w:t>Progress Towards the Four Results Areas</w:t>
      </w:r>
      <w:bookmarkEnd w:id="34"/>
      <w:bookmarkEnd w:id="35"/>
    </w:p>
    <w:p w14:paraId="2BCC4AA2" w14:textId="77777777" w:rsidR="00DD7937" w:rsidRPr="000A1D51" w:rsidRDefault="00DD7937" w:rsidP="004748A1">
      <w:pPr>
        <w:numPr>
          <w:ilvl w:val="0"/>
          <w:numId w:val="30"/>
        </w:numPr>
        <w:spacing w:after="200" w:line="276" w:lineRule="auto"/>
        <w:rPr>
          <w:rFonts w:ascii="Calibri" w:hAnsi="Calibri" w:cs="Calibri"/>
          <w:color w:val="000000"/>
          <w:sz w:val="22"/>
          <w:szCs w:val="22"/>
          <w:lang w:val="en-AU"/>
        </w:rPr>
      </w:pPr>
      <w:r w:rsidRPr="000A1D51">
        <w:rPr>
          <w:rFonts w:ascii="Calibri" w:hAnsi="Calibri" w:cs="Calibri"/>
          <w:color w:val="000000"/>
          <w:sz w:val="22"/>
          <w:szCs w:val="22"/>
          <w:lang w:val="en-AU"/>
        </w:rPr>
        <w:t xml:space="preserve">Following </w:t>
      </w:r>
      <w:r w:rsidR="00E779B3" w:rsidRPr="000A1D51">
        <w:rPr>
          <w:rFonts w:ascii="Calibri" w:hAnsi="Calibri" w:cs="Calibri"/>
          <w:color w:val="000000"/>
          <w:sz w:val="22"/>
          <w:szCs w:val="22"/>
          <w:lang w:val="en-AU"/>
        </w:rPr>
        <w:t>the</w:t>
      </w:r>
      <w:r w:rsidRPr="000A1D51">
        <w:rPr>
          <w:rFonts w:ascii="Calibri" w:hAnsi="Calibri" w:cs="Calibri"/>
          <w:color w:val="000000"/>
          <w:sz w:val="22"/>
          <w:szCs w:val="22"/>
          <w:lang w:val="en-AU"/>
        </w:rPr>
        <w:t xml:space="preserve"> </w:t>
      </w:r>
      <w:r w:rsidR="00E779B3" w:rsidRPr="000A1D51">
        <w:rPr>
          <w:rFonts w:ascii="Calibri" w:hAnsi="Calibri" w:cs="Calibri"/>
          <w:color w:val="000000"/>
          <w:sz w:val="22"/>
          <w:szCs w:val="22"/>
          <w:lang w:val="en-AU"/>
        </w:rPr>
        <w:t xml:space="preserve">recommendations of a 2014 </w:t>
      </w:r>
      <w:r w:rsidR="0098092F" w:rsidRPr="000A1D51">
        <w:rPr>
          <w:rFonts w:ascii="Calibri" w:hAnsi="Calibri" w:cs="Calibri"/>
          <w:color w:val="000000"/>
          <w:sz w:val="22"/>
          <w:szCs w:val="22"/>
          <w:lang w:val="en-AU"/>
        </w:rPr>
        <w:t>i</w:t>
      </w:r>
      <w:r w:rsidRPr="000A1D51">
        <w:rPr>
          <w:rFonts w:ascii="Calibri" w:hAnsi="Calibri" w:cs="Calibri"/>
          <w:color w:val="000000"/>
          <w:sz w:val="22"/>
          <w:szCs w:val="22"/>
          <w:lang w:val="en-AU"/>
        </w:rPr>
        <w:t>ndependent</w:t>
      </w:r>
      <w:r w:rsidR="0098092F" w:rsidRPr="000A1D51">
        <w:rPr>
          <w:rFonts w:ascii="Calibri" w:hAnsi="Calibri" w:cs="Calibri"/>
          <w:color w:val="000000"/>
          <w:sz w:val="22"/>
          <w:szCs w:val="22"/>
          <w:lang w:val="en-AU"/>
        </w:rPr>
        <w:t xml:space="preserve"> r</w:t>
      </w:r>
      <w:r w:rsidRPr="000A1D51">
        <w:rPr>
          <w:rFonts w:ascii="Calibri" w:hAnsi="Calibri" w:cs="Calibri"/>
          <w:color w:val="000000"/>
          <w:sz w:val="22"/>
          <w:szCs w:val="22"/>
          <w:lang w:val="en-AU"/>
        </w:rPr>
        <w:t xml:space="preserve">eview, </w:t>
      </w:r>
      <w:r w:rsidR="00E13FE8" w:rsidRPr="000A1D51">
        <w:rPr>
          <w:rFonts w:ascii="Calibri" w:hAnsi="Calibri" w:cs="Calibri"/>
          <w:color w:val="000000"/>
          <w:sz w:val="22"/>
          <w:szCs w:val="22"/>
          <w:lang w:val="en-AU"/>
        </w:rPr>
        <w:t xml:space="preserve">AADCP II </w:t>
      </w:r>
      <w:r w:rsidRPr="000A1D51">
        <w:rPr>
          <w:rFonts w:ascii="Calibri" w:hAnsi="Calibri" w:cs="Calibri"/>
          <w:color w:val="000000"/>
          <w:sz w:val="22"/>
          <w:szCs w:val="22"/>
          <w:lang w:val="en-AU"/>
        </w:rPr>
        <w:t xml:space="preserve">reporting </w:t>
      </w:r>
      <w:r w:rsidR="00E779B3" w:rsidRPr="000A1D51">
        <w:rPr>
          <w:rFonts w:ascii="Calibri" w:hAnsi="Calibri" w:cs="Calibri"/>
          <w:color w:val="000000"/>
          <w:sz w:val="22"/>
          <w:szCs w:val="22"/>
          <w:lang w:val="en-AU"/>
        </w:rPr>
        <w:t xml:space="preserve">has been organized </w:t>
      </w:r>
      <w:r w:rsidRPr="000A1D51">
        <w:rPr>
          <w:rFonts w:ascii="Calibri" w:hAnsi="Calibri" w:cs="Calibri"/>
          <w:color w:val="000000"/>
          <w:sz w:val="22"/>
          <w:szCs w:val="22"/>
          <w:lang w:val="en-AU"/>
        </w:rPr>
        <w:t xml:space="preserve">around </w:t>
      </w:r>
      <w:r w:rsidR="00E779B3" w:rsidRPr="000A1D51">
        <w:rPr>
          <w:rFonts w:ascii="Calibri" w:hAnsi="Calibri" w:cs="Calibri"/>
          <w:color w:val="000000"/>
          <w:sz w:val="22"/>
          <w:szCs w:val="22"/>
          <w:lang w:val="en-AU"/>
        </w:rPr>
        <w:t xml:space="preserve">the following </w:t>
      </w:r>
      <w:r w:rsidRPr="000A1D51">
        <w:rPr>
          <w:rFonts w:ascii="Calibri" w:hAnsi="Calibri" w:cs="Calibri"/>
          <w:color w:val="000000"/>
          <w:sz w:val="22"/>
          <w:szCs w:val="22"/>
          <w:lang w:val="en-AU"/>
        </w:rPr>
        <w:t>four result areas:</w:t>
      </w:r>
    </w:p>
    <w:p w14:paraId="5758047D" w14:textId="77777777" w:rsidR="00DD7937" w:rsidRPr="000A1D51" w:rsidRDefault="00DD7937" w:rsidP="002F4B95">
      <w:pPr>
        <w:pStyle w:val="Bullet0"/>
        <w:numPr>
          <w:ilvl w:val="0"/>
          <w:numId w:val="58"/>
        </w:numPr>
      </w:pPr>
      <w:r w:rsidRPr="000A1D51">
        <w:rPr>
          <w:b/>
          <w:bCs/>
          <w:i/>
        </w:rPr>
        <w:t>A better knowledge and evidence base exist for regional policy making and regulation for AEC.</w:t>
      </w:r>
      <w:r w:rsidRPr="000A1D51">
        <w:t xml:space="preserve"> The AADCP II has contributed to an impressive library of new and higher quality studies and reports that are influencing regional policy makers. The key indicators of the influence and quality of these documents are the substantive</w:t>
      </w:r>
      <w:r w:rsidR="00AD392E" w:rsidRPr="000A1D51">
        <w:t xml:space="preserve"> and</w:t>
      </w:r>
      <w:r w:rsidRPr="000A1D51">
        <w:t xml:space="preserve"> </w:t>
      </w:r>
      <w:r w:rsidR="00AD392E" w:rsidRPr="000A1D51">
        <w:t xml:space="preserve">favourable </w:t>
      </w:r>
      <w:r w:rsidRPr="000A1D51">
        <w:t>references to the studies in regional forums, and in other regional and national policy studies and debate</w:t>
      </w:r>
      <w:r w:rsidR="0036347A" w:rsidRPr="000A1D51">
        <w:t xml:space="preserve">, and feedback from those </w:t>
      </w:r>
      <w:r w:rsidR="0036347A" w:rsidRPr="000A1D51">
        <w:lastRenderedPageBreak/>
        <w:t>engaged in, or directly observing, the policy making processes</w:t>
      </w:r>
      <w:r w:rsidR="0036347A" w:rsidRPr="000A1D51">
        <w:rPr>
          <w:rStyle w:val="FootnoteReference"/>
        </w:rPr>
        <w:footnoteReference w:id="20"/>
      </w:r>
      <w:r w:rsidRPr="000A1D51">
        <w:t>.</w:t>
      </w:r>
      <w:r w:rsidR="008D79E9" w:rsidRPr="000A1D51">
        <w:t xml:space="preserve"> AADCP II contribution to developing ASEC’s kno</w:t>
      </w:r>
      <w:r w:rsidR="009A3615" w:rsidRPr="000A1D51">
        <w:t xml:space="preserve">wledge and evidence base was widely seen as a key factor in building AADCP II strong reputation and “brand recognition” within ASEAN institutions. </w:t>
      </w:r>
      <w:r w:rsidR="00FE500D" w:rsidRPr="000A1D51">
        <w:t>The fact that this reputation has developed despite some DFAT concerns that not all AADCP II supported projects were formally “AADCP II branded” suggests that the quality of the AADCP II supported projects matters more than the number of logos printed in terms of building name recognition.</w:t>
      </w:r>
    </w:p>
    <w:p w14:paraId="66B10EDE" w14:textId="0F914882" w:rsidR="00DD7937" w:rsidRPr="000A1D51" w:rsidRDefault="00DD7937" w:rsidP="00FD562F">
      <w:pPr>
        <w:pStyle w:val="Bullet0"/>
        <w:rPr>
          <w:i/>
        </w:rPr>
      </w:pPr>
      <w:r w:rsidRPr="000A1D51">
        <w:rPr>
          <w:b/>
          <w:bCs/>
          <w:i/>
        </w:rPr>
        <w:t>Appropriate norms and standards are established for AEC to progress.</w:t>
      </w:r>
      <w:r w:rsidRPr="000A1D51">
        <w:rPr>
          <w:i/>
        </w:rPr>
        <w:t xml:space="preserve"> </w:t>
      </w:r>
      <w:r w:rsidRPr="000A1D51">
        <w:t>The program has contributed to the formulation of standards and norms related to connectivity (including norms related to energy and the digital economy)</w:t>
      </w:r>
      <w:r w:rsidR="00FA6FFF" w:rsidRPr="000A1D51">
        <w:t xml:space="preserve">, </w:t>
      </w:r>
      <w:r w:rsidRPr="000A1D51">
        <w:t>agriculture and consumer protection.</w:t>
      </w:r>
      <w:r w:rsidR="00C92DBC" w:rsidRPr="000A1D51">
        <w:t xml:space="preserve"> Some discussants noted that </w:t>
      </w:r>
      <w:r w:rsidR="001845AE" w:rsidRPr="000A1D51">
        <w:t xml:space="preserve">in some cases (e.g. agriculture standards) </w:t>
      </w:r>
      <w:r w:rsidR="00C92DBC" w:rsidRPr="000A1D51">
        <w:t xml:space="preserve">more sustained support was needed to </w:t>
      </w:r>
      <w:r w:rsidR="001845AE" w:rsidRPr="000A1D51">
        <w:t xml:space="preserve">move beyond </w:t>
      </w:r>
      <w:r w:rsidR="00FB3868" w:rsidRPr="000A1D51">
        <w:t xml:space="preserve">just agreeing on ASEAN standards to support implementation of </w:t>
      </w:r>
      <w:r w:rsidR="00C416A3" w:rsidRPr="000A1D51">
        <w:t>standards, including the implementation of higher quality standards needed to access higher value markets beyond the AEC.</w:t>
      </w:r>
    </w:p>
    <w:p w14:paraId="31944439" w14:textId="77777777" w:rsidR="00DD7937" w:rsidRPr="000A1D51" w:rsidRDefault="00DD7937" w:rsidP="00FD562F">
      <w:pPr>
        <w:pStyle w:val="Bullet0"/>
        <w:rPr>
          <w:i/>
        </w:rPr>
      </w:pPr>
      <w:r w:rsidRPr="000A1D51">
        <w:rPr>
          <w:b/>
          <w:bCs/>
          <w:i/>
        </w:rPr>
        <w:t>Stakeholders are better aware of the concepts, benefits and opportunities involved in AEC.</w:t>
      </w:r>
      <w:r w:rsidRPr="000A1D51">
        <w:t xml:space="preserve"> There are some areas (e.g. connectivity and investment) where there are</w:t>
      </w:r>
      <w:r w:rsidR="00D604F7" w:rsidRPr="000A1D51">
        <w:t xml:space="preserve"> compelling</w:t>
      </w:r>
      <w:r w:rsidRPr="000A1D51">
        <w:t xml:space="preserve"> indications that AADCP II has contributed to an increased awareness of AEC amongst a broader group of stakeholders (both as a result of the quality and accessibility of study reports and the nature of consultative workshops that encouraged broad participation and media coverage). Support for activities related to consumer protection and investment studies also helped to raise awareness amongst a broader group of stakeholders on selected issues.</w:t>
      </w:r>
      <w:r w:rsidR="006C5828" w:rsidRPr="000A1D51">
        <w:t xml:space="preserve"> On the other hand</w:t>
      </w:r>
      <w:r w:rsidR="008A73C6" w:rsidRPr="000A1D51">
        <w:t xml:space="preserve">, </w:t>
      </w:r>
      <w:r w:rsidR="00176A80" w:rsidRPr="000A1D51">
        <w:t>key discussants from ASEC and ASEAN argued that more needs to be done to</w:t>
      </w:r>
      <w:r w:rsidR="00162CA4" w:rsidRPr="000A1D51">
        <w:t xml:space="preserve"> develop the evidence base, and</w:t>
      </w:r>
      <w:r w:rsidR="00176A80" w:rsidRPr="000A1D51">
        <w:t xml:space="preserve"> raise awareness</w:t>
      </w:r>
      <w:r w:rsidR="00162CA4" w:rsidRPr="000A1D51">
        <w:t>,</w:t>
      </w:r>
      <w:r w:rsidR="00176A80" w:rsidRPr="000A1D51">
        <w:t xml:space="preserve"> of the potential benefits of AEC related reform initiatives to help build public support </w:t>
      </w:r>
      <w:r w:rsidR="006E687D" w:rsidRPr="000A1D51">
        <w:t>to implement regional and national level actions to implement and maximize the benefits from the AEC.</w:t>
      </w:r>
      <w:r w:rsidR="00DC7FB6" w:rsidRPr="000A1D51">
        <w:t xml:space="preserve"> And there was only limited direct engagement with the business sector that was envisaged in the program design framework</w:t>
      </w:r>
      <w:r w:rsidR="00DC7FB6" w:rsidRPr="000A1D51">
        <w:rPr>
          <w:rStyle w:val="FootnoteReference"/>
        </w:rPr>
        <w:footnoteReference w:id="21"/>
      </w:r>
      <w:r w:rsidR="00DC7FB6" w:rsidRPr="000A1D51">
        <w:t>.</w:t>
      </w:r>
      <w:r w:rsidR="001479AE" w:rsidRPr="000A1D51">
        <w:t xml:space="preserve"> </w:t>
      </w:r>
      <w:r w:rsidR="00BE3725" w:rsidRPr="000A1D51">
        <w:rPr>
          <w:lang w:val="en-US"/>
        </w:rPr>
        <w:t>More attention should be given to these issues in the design of future proposals, and in the design of any follow-up support”.</w:t>
      </w:r>
    </w:p>
    <w:p w14:paraId="6CF056B5" w14:textId="2553BA1E" w:rsidR="00C71E7A" w:rsidRPr="00C5703B" w:rsidRDefault="00DD7937" w:rsidP="00C5703B">
      <w:pPr>
        <w:pStyle w:val="Bullet0"/>
        <w:rPr>
          <w:i/>
        </w:rPr>
      </w:pPr>
      <w:r w:rsidRPr="000A1D51">
        <w:rPr>
          <w:b/>
          <w:bCs/>
          <w:i/>
        </w:rPr>
        <w:t>ASEC better able to support AEC process.</w:t>
      </w:r>
      <w:r w:rsidRPr="000A1D51">
        <w:t xml:space="preserve"> Most key discussants highlighted the practical contributions AADCP II has made to building ASEC capacity to engage in a broad range of activities to support the AEC process.</w:t>
      </w:r>
      <w:r w:rsidR="00965E72" w:rsidRPr="000A1D51">
        <w:t xml:space="preserve"> </w:t>
      </w:r>
      <w:r w:rsidR="00A755E8" w:rsidRPr="000A1D51">
        <w:t xml:space="preserve">The ASEAN Permanent Mission representatives and </w:t>
      </w:r>
      <w:r w:rsidR="00D90737" w:rsidRPr="000A1D51">
        <w:t>ASEC staff highlighted AADCP II contributions in this results area. And, i</w:t>
      </w:r>
      <w:r w:rsidR="00965E72" w:rsidRPr="000A1D51">
        <w:t xml:space="preserve">n addition to practical </w:t>
      </w:r>
      <w:r w:rsidR="00A630E4" w:rsidRPr="000A1D51">
        <w:t xml:space="preserve">learning by doing, AADCP II financed </w:t>
      </w:r>
      <w:r w:rsidR="00A630E4" w:rsidRPr="000A1D51">
        <w:lastRenderedPageBreak/>
        <w:t xml:space="preserve">limited additional staff resources to help </w:t>
      </w:r>
      <w:r w:rsidR="00892BC6" w:rsidRPr="000A1D51">
        <w:t>ASEC implement core tasks related to AADCP II and AEC implementation.</w:t>
      </w:r>
      <w:r w:rsidRPr="000A1D51">
        <w:t xml:space="preserve"> </w:t>
      </w:r>
    </w:p>
    <w:p w14:paraId="67F53B14" w14:textId="77777777" w:rsidR="00D90737" w:rsidRPr="000A1D51" w:rsidRDefault="00D90737" w:rsidP="00D90737">
      <w:pPr>
        <w:spacing w:after="200" w:line="276" w:lineRule="auto"/>
        <w:rPr>
          <w:rFonts w:ascii="Calibri" w:hAnsi="Calibri" w:cs="Calibri"/>
          <w:b/>
          <w:bCs/>
          <w:color w:val="000000"/>
          <w:sz w:val="22"/>
          <w:szCs w:val="22"/>
        </w:rPr>
      </w:pPr>
      <w:r w:rsidRPr="000A1D51">
        <w:rPr>
          <w:rFonts w:ascii="Calibri" w:hAnsi="Calibri" w:cs="Calibri"/>
          <w:b/>
          <w:bCs/>
          <w:color w:val="000000"/>
          <w:sz w:val="22"/>
          <w:szCs w:val="22"/>
        </w:rPr>
        <w:t>Table 2: Cumulative Program Spending by Results Areas</w:t>
      </w:r>
      <w:r w:rsidR="00BE3725" w:rsidRPr="000A1D51">
        <w:rPr>
          <w:rFonts w:ascii="Calibri" w:hAnsi="Calibri" w:cs="Calibri"/>
          <w:b/>
          <w:bCs/>
          <w:color w:val="000000"/>
          <w:sz w:val="22"/>
          <w:szCs w:val="22"/>
        </w:rPr>
        <w:t xml:space="preserve"> (USD)</w:t>
      </w:r>
    </w:p>
    <w:p w14:paraId="7DA6E882" w14:textId="4F542BD8" w:rsidR="00B062CC" w:rsidRPr="000A1D51" w:rsidRDefault="005B274C" w:rsidP="006B0F3B">
      <w:pPr>
        <w:spacing w:after="200" w:line="276" w:lineRule="auto"/>
        <w:rPr>
          <w:rFonts w:ascii="Calibri" w:hAnsi="Calibri" w:cs="Calibri"/>
          <w:noProof/>
          <w:color w:val="000000"/>
          <w:sz w:val="22"/>
          <w:szCs w:val="22"/>
        </w:rPr>
      </w:pPr>
      <w:r w:rsidRPr="000A1D51">
        <w:rPr>
          <w:rFonts w:ascii="Calibri" w:hAnsi="Calibri" w:cs="Calibri"/>
          <w:noProof/>
          <w:color w:val="000000"/>
          <w:sz w:val="22"/>
          <w:szCs w:val="22"/>
        </w:rPr>
        <w:object w:dxaOrig="9140" w:dyaOrig="1960" w14:anchorId="13565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5.25pt;height:97.5pt;mso-width-percent:0;mso-height-percent:0;mso-width-percent:0;mso-height-percent:0" o:ole="">
            <v:imagedata r:id="rId20" o:title=""/>
          </v:shape>
          <o:OLEObject Type="Embed" ProgID="Excel.Sheet.12" ShapeID="_x0000_i1025" DrawAspect="Content" ObjectID="_1665990323" r:id="rId21"/>
        </w:object>
      </w:r>
      <w:r w:rsidR="00B062CC" w:rsidRPr="000A1D51">
        <w:rPr>
          <w:rFonts w:ascii="Calibri" w:hAnsi="Calibri" w:cs="Calibri"/>
          <w:noProof/>
          <w:color w:val="000000"/>
          <w:sz w:val="18"/>
          <w:szCs w:val="18"/>
          <w:u w:val="single"/>
        </w:rPr>
        <w:t>Source</w:t>
      </w:r>
      <w:r w:rsidR="00B062CC" w:rsidRPr="000A1D51">
        <w:rPr>
          <w:rFonts w:ascii="Calibri" w:hAnsi="Calibri" w:cs="Calibri"/>
          <w:noProof/>
          <w:color w:val="000000"/>
          <w:sz w:val="18"/>
          <w:szCs w:val="18"/>
        </w:rPr>
        <w:t>: AADCP II Program monitoring reports (31 O</w:t>
      </w:r>
      <w:r w:rsidR="00A87CD2" w:rsidRPr="000A1D51">
        <w:rPr>
          <w:rFonts w:ascii="Calibri" w:hAnsi="Calibri" w:cs="Calibri"/>
          <w:noProof/>
          <w:color w:val="000000"/>
          <w:sz w:val="18"/>
          <w:szCs w:val="18"/>
        </w:rPr>
        <w:t>c</w:t>
      </w:r>
      <w:r w:rsidR="00B062CC" w:rsidRPr="000A1D51">
        <w:rPr>
          <w:rFonts w:ascii="Calibri" w:hAnsi="Calibri" w:cs="Calibri"/>
          <w:noProof/>
          <w:color w:val="000000"/>
          <w:sz w:val="18"/>
          <w:szCs w:val="18"/>
        </w:rPr>
        <w:t>tober 2019).</w:t>
      </w:r>
    </w:p>
    <w:p w14:paraId="0732C096" w14:textId="40121C9C" w:rsidR="00450C1E" w:rsidRPr="000A1D51" w:rsidRDefault="00450C1E" w:rsidP="006B0F3B">
      <w:pPr>
        <w:numPr>
          <w:ilvl w:val="0"/>
          <w:numId w:val="30"/>
        </w:numPr>
        <w:spacing w:after="200" w:line="276" w:lineRule="auto"/>
        <w:rPr>
          <w:rFonts w:ascii="Calibri" w:hAnsi="Calibri" w:cs="Calibri"/>
          <w:color w:val="000000"/>
          <w:sz w:val="22"/>
          <w:szCs w:val="22"/>
        </w:rPr>
      </w:pPr>
      <w:r w:rsidRPr="000A1D51">
        <w:rPr>
          <w:rFonts w:ascii="Calibri" w:hAnsi="Calibri" w:cs="Calibri"/>
          <w:color w:val="000000"/>
          <w:sz w:val="22"/>
          <w:szCs w:val="22"/>
        </w:rPr>
        <w:t xml:space="preserve">While individual projects </w:t>
      </w:r>
      <w:r w:rsidR="00BE3725" w:rsidRPr="000A1D51">
        <w:rPr>
          <w:rFonts w:ascii="Calibri" w:hAnsi="Calibri" w:cs="Calibri"/>
          <w:color w:val="000000"/>
          <w:sz w:val="22"/>
          <w:szCs w:val="22"/>
        </w:rPr>
        <w:t>are</w:t>
      </w:r>
      <w:r w:rsidR="0054372F" w:rsidRPr="000A1D51">
        <w:rPr>
          <w:rFonts w:ascii="Calibri" w:hAnsi="Calibri" w:cs="Calibri"/>
          <w:color w:val="000000"/>
          <w:sz w:val="22"/>
          <w:szCs w:val="22"/>
        </w:rPr>
        <w:t xml:space="preserve"> </w:t>
      </w:r>
      <w:r w:rsidRPr="000A1D51">
        <w:rPr>
          <w:rFonts w:ascii="Calibri" w:hAnsi="Calibri" w:cs="Calibri"/>
          <w:color w:val="000000"/>
          <w:sz w:val="22"/>
          <w:szCs w:val="22"/>
        </w:rPr>
        <w:t xml:space="preserve">classified in project monitoring into </w:t>
      </w:r>
      <w:r w:rsidR="00235B04" w:rsidRPr="000A1D51">
        <w:rPr>
          <w:rFonts w:ascii="Calibri" w:hAnsi="Calibri" w:cs="Calibri"/>
          <w:color w:val="000000"/>
          <w:sz w:val="22"/>
          <w:szCs w:val="22"/>
        </w:rPr>
        <w:t>only a single</w:t>
      </w:r>
      <w:r w:rsidRPr="000A1D51">
        <w:rPr>
          <w:rFonts w:ascii="Calibri" w:hAnsi="Calibri" w:cs="Calibri"/>
          <w:color w:val="000000"/>
          <w:sz w:val="22"/>
          <w:szCs w:val="22"/>
        </w:rPr>
        <w:t xml:space="preserve"> one of these results areas, most projects are contributing to multiple results areas. The bulk of resources have been </w:t>
      </w:r>
      <w:r w:rsidR="007854EB" w:rsidRPr="000A1D51">
        <w:rPr>
          <w:rFonts w:ascii="Calibri" w:hAnsi="Calibri" w:cs="Calibri"/>
          <w:color w:val="000000"/>
          <w:sz w:val="22"/>
          <w:szCs w:val="22"/>
        </w:rPr>
        <w:t xml:space="preserve">classified as </w:t>
      </w:r>
      <w:r w:rsidRPr="000A1D51">
        <w:rPr>
          <w:rFonts w:ascii="Calibri" w:hAnsi="Calibri" w:cs="Calibri"/>
          <w:color w:val="000000"/>
          <w:sz w:val="22"/>
          <w:szCs w:val="22"/>
        </w:rPr>
        <w:t>target</w:t>
      </w:r>
      <w:r w:rsidR="007854EB" w:rsidRPr="000A1D51">
        <w:rPr>
          <w:rFonts w:ascii="Calibri" w:hAnsi="Calibri" w:cs="Calibri"/>
          <w:color w:val="000000"/>
          <w:sz w:val="22"/>
          <w:szCs w:val="22"/>
        </w:rPr>
        <w:t>ing</w:t>
      </w:r>
      <w:r w:rsidRPr="000A1D51">
        <w:rPr>
          <w:rFonts w:ascii="Calibri" w:hAnsi="Calibri" w:cs="Calibri"/>
          <w:color w:val="000000"/>
          <w:sz w:val="22"/>
          <w:szCs w:val="22"/>
        </w:rPr>
        <w:t>: “</w:t>
      </w:r>
      <w:r w:rsidRPr="000A1D51">
        <w:rPr>
          <w:rFonts w:ascii="Calibri" w:hAnsi="Calibri" w:cs="Calibri"/>
          <w:i/>
          <w:iCs/>
          <w:color w:val="000000"/>
          <w:sz w:val="22"/>
          <w:szCs w:val="22"/>
        </w:rPr>
        <w:t>better knowledge and evidence base exist for regional policy making and regulation for AEC</w:t>
      </w:r>
      <w:r w:rsidR="001A73E8" w:rsidRPr="000A1D51">
        <w:rPr>
          <w:rFonts w:ascii="Calibri" w:hAnsi="Calibri" w:cs="Calibri"/>
          <w:i/>
          <w:iCs/>
          <w:color w:val="000000"/>
          <w:sz w:val="22"/>
          <w:szCs w:val="22"/>
        </w:rPr>
        <w:t>.”</w:t>
      </w:r>
    </w:p>
    <w:p w14:paraId="4112E99F" w14:textId="77777777" w:rsidR="005C77C8" w:rsidRPr="000A1D51" w:rsidRDefault="00B062CC" w:rsidP="005C77C8">
      <w:pPr>
        <w:spacing w:after="200" w:line="276" w:lineRule="auto"/>
        <w:ind w:left="360"/>
        <w:rPr>
          <w:rFonts w:ascii="Calibri" w:hAnsi="Calibri" w:cs="Calibri"/>
          <w:color w:val="000000"/>
          <w:sz w:val="22"/>
          <w:szCs w:val="22"/>
        </w:rPr>
      </w:pPr>
      <w:r w:rsidRPr="000A1D51">
        <w:rPr>
          <w:noProof/>
          <w:lang w:val="en-AU" w:eastAsia="en-AU"/>
        </w:rPr>
        <w:drawing>
          <wp:inline distT="0" distB="0" distL="0" distR="0" wp14:anchorId="02195059" wp14:editId="202C15D7">
            <wp:extent cx="5178425" cy="2743200"/>
            <wp:effectExtent l="0" t="0" r="15875"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D995C45" w14:textId="77777777" w:rsidR="00C6384B" w:rsidRPr="000A1D51" w:rsidRDefault="00C6384B" w:rsidP="004748A1">
      <w:pPr>
        <w:numPr>
          <w:ilvl w:val="0"/>
          <w:numId w:val="30"/>
        </w:numPr>
        <w:spacing w:after="200" w:line="276" w:lineRule="auto"/>
        <w:rPr>
          <w:rFonts w:ascii="Calibri" w:hAnsi="Calibri" w:cs="Calibri"/>
          <w:color w:val="000000"/>
          <w:sz w:val="22"/>
          <w:szCs w:val="22"/>
        </w:rPr>
      </w:pPr>
      <w:r w:rsidRPr="000A1D51">
        <w:rPr>
          <w:rFonts w:ascii="Calibri" w:hAnsi="Calibri" w:cs="Calibri"/>
          <w:color w:val="000000"/>
          <w:sz w:val="22"/>
          <w:szCs w:val="22"/>
        </w:rPr>
        <w:t>In terms of work streams, c</w:t>
      </w:r>
      <w:r w:rsidR="00DD7937" w:rsidRPr="000A1D51">
        <w:rPr>
          <w:rFonts w:ascii="Calibri" w:hAnsi="Calibri" w:cs="Calibri"/>
          <w:color w:val="000000"/>
          <w:sz w:val="22"/>
          <w:szCs w:val="22"/>
        </w:rPr>
        <w:t>onnectivity has</w:t>
      </w:r>
      <w:r w:rsidR="004F5FBB" w:rsidRPr="000A1D51">
        <w:rPr>
          <w:rFonts w:ascii="Calibri" w:hAnsi="Calibri" w:cs="Calibri"/>
          <w:color w:val="000000"/>
          <w:sz w:val="22"/>
          <w:szCs w:val="22"/>
        </w:rPr>
        <w:t xml:space="preserve"> </w:t>
      </w:r>
      <w:r w:rsidR="00227FB4" w:rsidRPr="000A1D51">
        <w:rPr>
          <w:rFonts w:ascii="Calibri" w:hAnsi="Calibri" w:cs="Calibri"/>
          <w:color w:val="000000"/>
          <w:sz w:val="22"/>
          <w:szCs w:val="22"/>
        </w:rPr>
        <w:t>absorbed the greatest share</w:t>
      </w:r>
      <w:r w:rsidR="004F5FBB" w:rsidRPr="000A1D51">
        <w:rPr>
          <w:rFonts w:ascii="Calibri" w:hAnsi="Calibri" w:cs="Calibri"/>
          <w:color w:val="000000"/>
          <w:sz w:val="22"/>
          <w:szCs w:val="22"/>
        </w:rPr>
        <w:t xml:space="preserve"> of </w:t>
      </w:r>
      <w:r w:rsidR="00227FB4" w:rsidRPr="000A1D51">
        <w:rPr>
          <w:rFonts w:ascii="Calibri" w:hAnsi="Calibri" w:cs="Calibri"/>
          <w:color w:val="000000"/>
          <w:sz w:val="22"/>
          <w:szCs w:val="22"/>
        </w:rPr>
        <w:t xml:space="preserve">AADCP II </w:t>
      </w:r>
      <w:r w:rsidR="004F5FBB" w:rsidRPr="000A1D51">
        <w:rPr>
          <w:rFonts w:ascii="Calibri" w:hAnsi="Calibri" w:cs="Calibri"/>
          <w:color w:val="000000"/>
          <w:sz w:val="22"/>
          <w:szCs w:val="22"/>
        </w:rPr>
        <w:t>resources</w:t>
      </w:r>
      <w:r w:rsidRPr="000A1D51">
        <w:rPr>
          <w:rFonts w:ascii="Calibri" w:hAnsi="Calibri" w:cs="Calibri"/>
          <w:color w:val="000000"/>
          <w:sz w:val="22"/>
          <w:szCs w:val="22"/>
        </w:rPr>
        <w:t xml:space="preserve"> (30%), and it</w:t>
      </w:r>
      <w:r w:rsidR="004E0D59" w:rsidRPr="000A1D51">
        <w:rPr>
          <w:rFonts w:ascii="Calibri" w:hAnsi="Calibri" w:cs="Calibri"/>
          <w:color w:val="000000"/>
          <w:sz w:val="22"/>
          <w:szCs w:val="22"/>
        </w:rPr>
        <w:t>s</w:t>
      </w:r>
      <w:r w:rsidRPr="000A1D51">
        <w:rPr>
          <w:rFonts w:ascii="Calibri" w:hAnsi="Calibri" w:cs="Calibri"/>
          <w:color w:val="000000"/>
          <w:sz w:val="22"/>
          <w:szCs w:val="22"/>
        </w:rPr>
        <w:t xml:space="preserve"> share is projected to increase further. </w:t>
      </w:r>
      <w:r w:rsidR="00C744C4" w:rsidRPr="000A1D51">
        <w:rPr>
          <w:rFonts w:ascii="Calibri" w:hAnsi="Calibri" w:cs="Calibri"/>
          <w:color w:val="000000"/>
          <w:sz w:val="22"/>
          <w:szCs w:val="22"/>
        </w:rPr>
        <w:t>Tourism has been the second largest recipient (but its share is declining). Other major work streams have included consumer protection, IAI, services and agriculture.</w:t>
      </w:r>
    </w:p>
    <w:p w14:paraId="4F757EEF" w14:textId="7FD01022" w:rsidR="00DD7937" w:rsidRPr="000A1D51" w:rsidRDefault="00C6384B" w:rsidP="004748A1">
      <w:pPr>
        <w:numPr>
          <w:ilvl w:val="0"/>
          <w:numId w:val="30"/>
        </w:numPr>
        <w:spacing w:after="200" w:line="276" w:lineRule="auto"/>
        <w:rPr>
          <w:rFonts w:ascii="Calibri" w:hAnsi="Calibri" w:cs="Calibri"/>
          <w:color w:val="000000"/>
          <w:sz w:val="22"/>
          <w:szCs w:val="22"/>
        </w:rPr>
      </w:pPr>
      <w:r w:rsidRPr="000A1D51">
        <w:rPr>
          <w:rFonts w:ascii="Calibri" w:hAnsi="Calibri" w:cs="Calibri"/>
          <w:color w:val="000000"/>
          <w:sz w:val="22"/>
          <w:szCs w:val="22"/>
        </w:rPr>
        <w:t>S</w:t>
      </w:r>
      <w:r w:rsidR="00227FB4" w:rsidRPr="000A1D51">
        <w:rPr>
          <w:rFonts w:ascii="Calibri" w:hAnsi="Calibri" w:cs="Calibri"/>
          <w:color w:val="000000"/>
          <w:sz w:val="22"/>
          <w:szCs w:val="22"/>
        </w:rPr>
        <w:t>upport</w:t>
      </w:r>
      <w:r w:rsidRPr="000A1D51">
        <w:rPr>
          <w:rFonts w:ascii="Calibri" w:hAnsi="Calibri" w:cs="Calibri"/>
          <w:color w:val="000000"/>
          <w:sz w:val="22"/>
          <w:szCs w:val="22"/>
        </w:rPr>
        <w:t xml:space="preserve"> for connectivity</w:t>
      </w:r>
      <w:r w:rsidR="00227FB4" w:rsidRPr="000A1D51">
        <w:rPr>
          <w:rFonts w:ascii="Calibri" w:hAnsi="Calibri" w:cs="Calibri"/>
          <w:color w:val="000000"/>
          <w:sz w:val="22"/>
          <w:szCs w:val="22"/>
        </w:rPr>
        <w:t xml:space="preserve"> has generated</w:t>
      </w:r>
      <w:r w:rsidR="00DD7937" w:rsidRPr="000A1D51">
        <w:rPr>
          <w:rFonts w:ascii="Calibri" w:hAnsi="Calibri" w:cs="Calibri"/>
          <w:color w:val="000000"/>
          <w:sz w:val="22"/>
          <w:szCs w:val="22"/>
        </w:rPr>
        <w:t xml:space="preserve"> a </w:t>
      </w:r>
      <w:r w:rsidR="004F5FBB" w:rsidRPr="000A1D51">
        <w:rPr>
          <w:rFonts w:ascii="Calibri" w:hAnsi="Calibri" w:cs="Calibri"/>
          <w:color w:val="000000"/>
          <w:sz w:val="22"/>
          <w:szCs w:val="22"/>
        </w:rPr>
        <w:t xml:space="preserve">key </w:t>
      </w:r>
      <w:r w:rsidR="00DD7937" w:rsidRPr="000A1D51">
        <w:rPr>
          <w:rFonts w:ascii="Calibri" w:hAnsi="Calibri" w:cs="Calibri"/>
          <w:color w:val="000000"/>
          <w:sz w:val="22"/>
          <w:szCs w:val="22"/>
        </w:rPr>
        <w:t xml:space="preserve">breakthrough </w:t>
      </w:r>
      <w:r w:rsidR="00227FB4" w:rsidRPr="000A1D51">
        <w:rPr>
          <w:rFonts w:ascii="Calibri" w:hAnsi="Calibri" w:cs="Calibri"/>
          <w:color w:val="000000"/>
          <w:sz w:val="22"/>
          <w:szCs w:val="22"/>
        </w:rPr>
        <w:t>in</w:t>
      </w:r>
      <w:r w:rsidR="00DD7937" w:rsidRPr="000A1D51">
        <w:rPr>
          <w:rFonts w:ascii="Calibri" w:hAnsi="Calibri" w:cs="Calibri"/>
          <w:color w:val="000000"/>
          <w:sz w:val="22"/>
          <w:szCs w:val="22"/>
        </w:rPr>
        <w:t xml:space="preserve"> help</w:t>
      </w:r>
      <w:r w:rsidR="004F5FBB" w:rsidRPr="000A1D51">
        <w:rPr>
          <w:rFonts w:ascii="Calibri" w:hAnsi="Calibri" w:cs="Calibri"/>
          <w:color w:val="000000"/>
          <w:sz w:val="22"/>
          <w:szCs w:val="22"/>
        </w:rPr>
        <w:t>ing</w:t>
      </w:r>
      <w:r w:rsidR="00DD7937" w:rsidRPr="000A1D51">
        <w:rPr>
          <w:rFonts w:ascii="Calibri" w:hAnsi="Calibri" w:cs="Calibri"/>
          <w:color w:val="000000"/>
          <w:sz w:val="22"/>
          <w:szCs w:val="22"/>
        </w:rPr>
        <w:t xml:space="preserve"> build ASEC capacity to develop and implement cross-pillar initiatives</w:t>
      </w:r>
      <w:r w:rsidR="005A63D8" w:rsidRPr="000A1D51">
        <w:rPr>
          <w:rFonts w:ascii="Calibri" w:hAnsi="Calibri" w:cs="Calibri"/>
          <w:color w:val="000000"/>
          <w:sz w:val="22"/>
          <w:szCs w:val="22"/>
        </w:rPr>
        <w:t xml:space="preserve"> that address cross-cutting issues in a holistic manner</w:t>
      </w:r>
      <w:r w:rsidR="00DD7937" w:rsidRPr="000A1D51">
        <w:rPr>
          <w:rFonts w:ascii="Calibri" w:hAnsi="Calibri" w:cs="Calibri"/>
          <w:color w:val="000000"/>
          <w:sz w:val="22"/>
          <w:szCs w:val="22"/>
        </w:rPr>
        <w:t xml:space="preserve">. Progress in strengthening cross-cutting issues has also been achieved with support to IAI. </w:t>
      </w:r>
      <w:r w:rsidR="00227FB4" w:rsidRPr="000A1D51">
        <w:rPr>
          <w:rFonts w:ascii="Calibri" w:hAnsi="Calibri" w:cs="Calibri"/>
          <w:color w:val="000000"/>
          <w:sz w:val="22"/>
          <w:szCs w:val="22"/>
        </w:rPr>
        <w:t>AADCP II success in</w:t>
      </w:r>
      <w:r w:rsidR="00DD7937" w:rsidRPr="000A1D51">
        <w:rPr>
          <w:rFonts w:ascii="Calibri" w:hAnsi="Calibri" w:cs="Calibri"/>
          <w:color w:val="000000"/>
          <w:sz w:val="22"/>
          <w:szCs w:val="22"/>
        </w:rPr>
        <w:t xml:space="preserve"> address</w:t>
      </w:r>
      <w:r w:rsidR="00227FB4" w:rsidRPr="000A1D51">
        <w:rPr>
          <w:rFonts w:ascii="Calibri" w:hAnsi="Calibri" w:cs="Calibri"/>
          <w:color w:val="000000"/>
          <w:sz w:val="22"/>
          <w:szCs w:val="22"/>
        </w:rPr>
        <w:t>ing</w:t>
      </w:r>
      <w:r w:rsidR="00DD7937" w:rsidRPr="000A1D51">
        <w:rPr>
          <w:rFonts w:ascii="Calibri" w:hAnsi="Calibri" w:cs="Calibri"/>
          <w:color w:val="000000"/>
          <w:sz w:val="22"/>
          <w:szCs w:val="22"/>
        </w:rPr>
        <w:t xml:space="preserve"> </w:t>
      </w:r>
      <w:r w:rsidR="00F410A2" w:rsidRPr="000A1D51">
        <w:rPr>
          <w:rFonts w:ascii="Calibri" w:hAnsi="Calibri" w:cs="Calibri"/>
          <w:color w:val="000000"/>
          <w:sz w:val="22"/>
          <w:szCs w:val="22"/>
        </w:rPr>
        <w:t xml:space="preserve">(and building capacity to address) </w:t>
      </w:r>
      <w:r w:rsidR="00DD7937" w:rsidRPr="000A1D51">
        <w:rPr>
          <w:rFonts w:ascii="Calibri" w:hAnsi="Calibri" w:cs="Calibri"/>
          <w:color w:val="000000"/>
          <w:sz w:val="22"/>
          <w:szCs w:val="22"/>
        </w:rPr>
        <w:t>cross-cutting issues has been facilitated by more medium-term engagement at all stages of the project cycle from strategic planning to monitoring and evaluation</w:t>
      </w:r>
      <w:r w:rsidR="00C05799" w:rsidRPr="000A1D51">
        <w:rPr>
          <w:rFonts w:ascii="Calibri" w:hAnsi="Calibri" w:cs="Calibri"/>
          <w:color w:val="000000"/>
          <w:sz w:val="22"/>
          <w:szCs w:val="22"/>
        </w:rPr>
        <w:t>, and in supporting implementation of key initiatives (e.g. under IAI)</w:t>
      </w:r>
      <w:r w:rsidR="00DD7937" w:rsidRPr="000A1D51">
        <w:rPr>
          <w:rFonts w:ascii="Calibri" w:hAnsi="Calibri" w:cs="Calibri"/>
          <w:color w:val="000000"/>
          <w:sz w:val="22"/>
          <w:szCs w:val="22"/>
        </w:rPr>
        <w:t xml:space="preserve">. </w:t>
      </w:r>
      <w:r w:rsidR="00047480" w:rsidRPr="000A1D51">
        <w:rPr>
          <w:rFonts w:ascii="Calibri" w:hAnsi="Calibri" w:cs="Calibri"/>
          <w:color w:val="000000"/>
          <w:sz w:val="22"/>
          <w:szCs w:val="22"/>
        </w:rPr>
        <w:t xml:space="preserve">Success in this area </w:t>
      </w:r>
      <w:r w:rsidR="00A87CD2" w:rsidRPr="000A1D51">
        <w:rPr>
          <w:rFonts w:ascii="Calibri" w:hAnsi="Calibri" w:cs="Calibri"/>
          <w:color w:val="000000"/>
          <w:sz w:val="22"/>
          <w:szCs w:val="22"/>
        </w:rPr>
        <w:lastRenderedPageBreak/>
        <w:t xml:space="preserve">has </w:t>
      </w:r>
      <w:r w:rsidR="00047480" w:rsidRPr="000A1D51">
        <w:rPr>
          <w:rFonts w:ascii="Calibri" w:hAnsi="Calibri" w:cs="Calibri"/>
          <w:color w:val="000000"/>
          <w:sz w:val="22"/>
          <w:szCs w:val="22"/>
        </w:rPr>
        <w:t>helped transform ASEC thinking about the value of taking more holistic approaches to development thinking.</w:t>
      </w:r>
      <w:r w:rsidR="005A63D8" w:rsidRPr="000A1D51">
        <w:rPr>
          <w:rFonts w:ascii="Calibri" w:hAnsi="Calibri" w:cs="Calibri"/>
          <w:color w:val="000000"/>
          <w:sz w:val="22"/>
          <w:szCs w:val="22"/>
        </w:rPr>
        <w:t xml:space="preserve"> </w:t>
      </w:r>
      <w:r w:rsidR="00AA08BC" w:rsidRPr="000A1D51">
        <w:rPr>
          <w:rFonts w:ascii="Calibri" w:hAnsi="Calibri" w:cs="Calibri"/>
          <w:color w:val="000000"/>
          <w:sz w:val="22"/>
          <w:szCs w:val="22"/>
        </w:rPr>
        <w:t xml:space="preserve">The value of this support has been reflected in </w:t>
      </w:r>
      <w:r w:rsidR="001232CF" w:rsidRPr="000A1D51">
        <w:rPr>
          <w:rFonts w:ascii="Calibri" w:hAnsi="Calibri" w:cs="Calibri"/>
          <w:color w:val="000000"/>
          <w:sz w:val="22"/>
          <w:szCs w:val="22"/>
        </w:rPr>
        <w:t xml:space="preserve">references to these studies in </w:t>
      </w:r>
      <w:r w:rsidR="00AA08BC" w:rsidRPr="000A1D51">
        <w:rPr>
          <w:rFonts w:ascii="Calibri" w:hAnsi="Calibri" w:cs="Calibri"/>
          <w:color w:val="000000"/>
          <w:sz w:val="22"/>
          <w:szCs w:val="22"/>
        </w:rPr>
        <w:t xml:space="preserve">high level </w:t>
      </w:r>
      <w:r w:rsidR="001232CF" w:rsidRPr="000A1D51">
        <w:rPr>
          <w:rFonts w:ascii="Calibri" w:hAnsi="Calibri" w:cs="Calibri"/>
          <w:color w:val="000000"/>
          <w:sz w:val="22"/>
          <w:szCs w:val="22"/>
        </w:rPr>
        <w:t>regional forums</w:t>
      </w:r>
      <w:r w:rsidR="00DF230F" w:rsidRPr="000A1D51">
        <w:rPr>
          <w:rStyle w:val="FootnoteReference"/>
          <w:rFonts w:cs="Calibri"/>
          <w:color w:val="000000"/>
        </w:rPr>
        <w:footnoteReference w:id="22"/>
      </w:r>
      <w:r w:rsidR="001232CF" w:rsidRPr="000A1D51">
        <w:rPr>
          <w:rFonts w:ascii="Calibri" w:hAnsi="Calibri" w:cs="Calibri"/>
          <w:color w:val="000000"/>
          <w:sz w:val="22"/>
          <w:szCs w:val="22"/>
        </w:rPr>
        <w:t>. High level r</w:t>
      </w:r>
      <w:r w:rsidR="005A63D8" w:rsidRPr="000A1D51">
        <w:rPr>
          <w:rFonts w:ascii="Calibri" w:hAnsi="Calibri" w:cs="Calibri"/>
          <w:color w:val="000000"/>
          <w:sz w:val="22"/>
          <w:szCs w:val="22"/>
        </w:rPr>
        <w:t xml:space="preserve">ecognition of the value of taking more holistic approaches may provide more opportunities to make the case for addressing other cross-cutting concerns including </w:t>
      </w:r>
      <w:r w:rsidR="00F410A2" w:rsidRPr="000A1D51">
        <w:rPr>
          <w:rFonts w:ascii="Calibri" w:hAnsi="Calibri" w:cs="Calibri"/>
          <w:color w:val="000000"/>
          <w:sz w:val="22"/>
          <w:szCs w:val="22"/>
        </w:rPr>
        <w:t xml:space="preserve">gender, social inclusion and the environment. </w:t>
      </w:r>
      <w:r w:rsidR="004A63F1" w:rsidRPr="000A1D51">
        <w:rPr>
          <w:rFonts w:ascii="Calibri" w:hAnsi="Calibri" w:cs="Calibri"/>
          <w:color w:val="000000"/>
          <w:sz w:val="22"/>
          <w:szCs w:val="22"/>
        </w:rPr>
        <w:t>It</w:t>
      </w:r>
      <w:r w:rsidR="002C5D88" w:rsidRPr="000A1D51">
        <w:rPr>
          <w:rFonts w:ascii="Calibri" w:hAnsi="Calibri" w:cs="Calibri"/>
          <w:color w:val="000000"/>
          <w:sz w:val="22"/>
          <w:szCs w:val="22"/>
        </w:rPr>
        <w:t xml:space="preserve"> also demonstrates the value of providing more sustained and substantive support for a receptive division. </w:t>
      </w:r>
      <w:r w:rsidR="00F410A2" w:rsidRPr="000A1D51">
        <w:rPr>
          <w:rFonts w:ascii="Calibri" w:hAnsi="Calibri" w:cs="Calibri"/>
          <w:color w:val="000000"/>
          <w:sz w:val="22"/>
          <w:szCs w:val="22"/>
        </w:rPr>
        <w:t xml:space="preserve">The close partnership </w:t>
      </w:r>
      <w:r w:rsidR="006255D3" w:rsidRPr="000A1D51">
        <w:rPr>
          <w:rFonts w:ascii="Calibri" w:hAnsi="Calibri" w:cs="Calibri"/>
          <w:color w:val="000000"/>
          <w:sz w:val="22"/>
          <w:szCs w:val="22"/>
        </w:rPr>
        <w:t xml:space="preserve">with, </w:t>
      </w:r>
      <w:r w:rsidR="00F410A2" w:rsidRPr="000A1D51">
        <w:rPr>
          <w:rFonts w:ascii="Calibri" w:hAnsi="Calibri" w:cs="Calibri"/>
          <w:color w:val="000000"/>
          <w:sz w:val="22"/>
          <w:szCs w:val="22"/>
        </w:rPr>
        <w:t xml:space="preserve">and </w:t>
      </w:r>
      <w:r w:rsidR="006255D3" w:rsidRPr="000A1D51">
        <w:rPr>
          <w:rFonts w:ascii="Calibri" w:hAnsi="Calibri" w:cs="Calibri"/>
          <w:color w:val="000000"/>
          <w:sz w:val="22"/>
          <w:szCs w:val="22"/>
        </w:rPr>
        <w:t xml:space="preserve">substantive support provided by, </w:t>
      </w:r>
      <w:r w:rsidR="00F410A2" w:rsidRPr="000A1D51">
        <w:rPr>
          <w:rFonts w:ascii="Calibri" w:hAnsi="Calibri" w:cs="Calibri"/>
          <w:color w:val="000000"/>
          <w:sz w:val="22"/>
          <w:szCs w:val="22"/>
        </w:rPr>
        <w:t xml:space="preserve">the World Bank in </w:t>
      </w:r>
      <w:r w:rsidR="007D11A8" w:rsidRPr="000A1D51">
        <w:rPr>
          <w:rFonts w:ascii="Calibri" w:hAnsi="Calibri" w:cs="Calibri"/>
          <w:color w:val="000000"/>
          <w:sz w:val="22"/>
          <w:szCs w:val="22"/>
        </w:rPr>
        <w:t>developing and i</w:t>
      </w:r>
      <w:r w:rsidR="00F410A2" w:rsidRPr="000A1D51">
        <w:rPr>
          <w:rFonts w:ascii="Calibri" w:hAnsi="Calibri" w:cs="Calibri"/>
          <w:color w:val="000000"/>
          <w:sz w:val="22"/>
          <w:szCs w:val="22"/>
        </w:rPr>
        <w:t xml:space="preserve">mplementing key connectivity studies has </w:t>
      </w:r>
      <w:r w:rsidR="006255D3" w:rsidRPr="000A1D51">
        <w:rPr>
          <w:rFonts w:ascii="Calibri" w:hAnsi="Calibri" w:cs="Calibri"/>
          <w:color w:val="000000"/>
          <w:sz w:val="22"/>
          <w:szCs w:val="22"/>
        </w:rPr>
        <w:t xml:space="preserve">contributed to this success. </w:t>
      </w:r>
      <w:r w:rsidR="004A63F1" w:rsidRPr="000A1D51">
        <w:rPr>
          <w:rFonts w:ascii="Calibri" w:hAnsi="Calibri" w:cs="Calibri"/>
          <w:color w:val="000000"/>
          <w:sz w:val="22"/>
          <w:szCs w:val="22"/>
        </w:rPr>
        <w:t xml:space="preserve">The design team </w:t>
      </w:r>
      <w:r w:rsidR="000860A9" w:rsidRPr="000A1D51">
        <w:rPr>
          <w:rFonts w:ascii="Calibri" w:hAnsi="Calibri" w:cs="Calibri"/>
          <w:color w:val="000000"/>
          <w:sz w:val="22"/>
          <w:szCs w:val="22"/>
        </w:rPr>
        <w:t xml:space="preserve">for any follow-up support </w:t>
      </w:r>
      <w:r w:rsidR="004A63F1" w:rsidRPr="000A1D51">
        <w:rPr>
          <w:rFonts w:ascii="Calibri" w:hAnsi="Calibri" w:cs="Calibri"/>
          <w:color w:val="000000"/>
          <w:sz w:val="22"/>
          <w:szCs w:val="22"/>
        </w:rPr>
        <w:t>should study the experiences and lessons learned from support to connectivity and IAI.</w:t>
      </w:r>
      <w:r w:rsidR="00F410A2" w:rsidRPr="000A1D51">
        <w:rPr>
          <w:rFonts w:ascii="Calibri" w:hAnsi="Calibri" w:cs="Calibri"/>
          <w:color w:val="000000"/>
          <w:sz w:val="22"/>
          <w:szCs w:val="22"/>
        </w:rPr>
        <w:t xml:space="preserve"> </w:t>
      </w:r>
    </w:p>
    <w:p w14:paraId="699375AE" w14:textId="77777777" w:rsidR="005C77C8" w:rsidRPr="000A1D51" w:rsidRDefault="005C77C8" w:rsidP="00DA2B4F">
      <w:pPr>
        <w:numPr>
          <w:ilvl w:val="0"/>
          <w:numId w:val="30"/>
        </w:numPr>
        <w:spacing w:after="200" w:line="276" w:lineRule="auto"/>
        <w:rPr>
          <w:rFonts w:ascii="Calibri" w:hAnsi="Calibri" w:cs="Calibri"/>
          <w:color w:val="000000"/>
          <w:sz w:val="22"/>
          <w:szCs w:val="22"/>
        </w:rPr>
      </w:pPr>
      <w:r w:rsidRPr="000A1D51">
        <w:rPr>
          <w:rFonts w:ascii="Calibri" w:hAnsi="Calibri" w:cs="Calibri"/>
          <w:color w:val="000000"/>
          <w:sz w:val="22"/>
          <w:szCs w:val="22"/>
        </w:rPr>
        <w:t xml:space="preserve">Some discussants emphasized the challenge in communicating cross-cutting issues to sector implementing agencies at the national level. For example, while the MPAC is well understood at senior national level planning agency level, there is still a long way to go in terms of building broader awareness in reflecting the agreed priorities in national development strategies and investment plans. </w:t>
      </w:r>
      <w:r w:rsidR="00372A3E" w:rsidRPr="000A1D51">
        <w:rPr>
          <w:rFonts w:ascii="Calibri" w:hAnsi="Calibri" w:cs="Calibri"/>
          <w:color w:val="000000"/>
          <w:sz w:val="22"/>
          <w:szCs w:val="22"/>
        </w:rPr>
        <w:t>A Lead Implementing Body for Sustainable Infrastructure (</w:t>
      </w:r>
      <w:r w:rsidRPr="000A1D51">
        <w:rPr>
          <w:rFonts w:ascii="Calibri" w:hAnsi="Calibri" w:cs="Calibri"/>
          <w:color w:val="000000"/>
          <w:sz w:val="22"/>
          <w:szCs w:val="22"/>
        </w:rPr>
        <w:t>LIB-SI</w:t>
      </w:r>
      <w:r w:rsidR="00372A3E" w:rsidRPr="000A1D51">
        <w:rPr>
          <w:rFonts w:ascii="Calibri" w:hAnsi="Calibri" w:cs="Calibri"/>
          <w:color w:val="000000"/>
          <w:sz w:val="22"/>
          <w:szCs w:val="22"/>
        </w:rPr>
        <w:t xml:space="preserve">) </w:t>
      </w:r>
      <w:r w:rsidRPr="000A1D51">
        <w:rPr>
          <w:rFonts w:ascii="Calibri" w:hAnsi="Calibri" w:cs="Calibri"/>
          <w:color w:val="000000"/>
          <w:sz w:val="22"/>
          <w:szCs w:val="22"/>
        </w:rPr>
        <w:t>representative argued that the level of awareness of MPAC in the Australian-Indonesia bilateral program was also limited. She suggested that consideration should be given to including connectivity (or economic integration) as a cross-cutting theme in all bilateral and regional economic development programs (in the same way gender is being included and is helping build national and regional awareness of the importance of gender issues in infrastructure development).</w:t>
      </w:r>
    </w:p>
    <w:p w14:paraId="591692C3" w14:textId="726C19F9" w:rsidR="00DD7937" w:rsidRPr="000A1D51" w:rsidRDefault="00DD7937" w:rsidP="004748A1">
      <w:pPr>
        <w:numPr>
          <w:ilvl w:val="0"/>
          <w:numId w:val="30"/>
        </w:numPr>
        <w:spacing w:after="200" w:line="276" w:lineRule="auto"/>
        <w:rPr>
          <w:rFonts w:ascii="Calibri" w:hAnsi="Calibri" w:cs="Calibri"/>
          <w:color w:val="000000"/>
          <w:sz w:val="22"/>
          <w:szCs w:val="22"/>
        </w:rPr>
      </w:pPr>
      <w:r w:rsidRPr="000A1D51">
        <w:rPr>
          <w:rFonts w:ascii="Calibri" w:hAnsi="Calibri" w:cs="Calibri"/>
          <w:color w:val="000000"/>
          <w:sz w:val="22"/>
          <w:szCs w:val="22"/>
        </w:rPr>
        <w:t xml:space="preserve">Several </w:t>
      </w:r>
      <w:r w:rsidR="003C6C12" w:rsidRPr="000A1D51">
        <w:rPr>
          <w:rFonts w:ascii="Calibri" w:hAnsi="Calibri" w:cs="Calibri"/>
          <w:color w:val="000000"/>
          <w:sz w:val="22"/>
          <w:szCs w:val="22"/>
        </w:rPr>
        <w:t xml:space="preserve">ASEC </w:t>
      </w:r>
      <w:r w:rsidRPr="000A1D51">
        <w:rPr>
          <w:rFonts w:ascii="Calibri" w:hAnsi="Calibri" w:cs="Calibri"/>
          <w:color w:val="000000"/>
          <w:sz w:val="22"/>
          <w:szCs w:val="22"/>
        </w:rPr>
        <w:t xml:space="preserve">sectoral </w:t>
      </w:r>
      <w:r w:rsidR="00993F12" w:rsidRPr="000A1D51">
        <w:rPr>
          <w:rFonts w:ascii="Calibri" w:hAnsi="Calibri" w:cs="Calibri"/>
          <w:color w:val="000000"/>
          <w:sz w:val="22"/>
          <w:szCs w:val="22"/>
        </w:rPr>
        <w:t>divisions</w:t>
      </w:r>
      <w:r w:rsidRPr="000A1D51">
        <w:rPr>
          <w:rFonts w:ascii="Calibri" w:hAnsi="Calibri" w:cs="Calibri"/>
          <w:color w:val="000000"/>
          <w:sz w:val="22"/>
          <w:szCs w:val="22"/>
        </w:rPr>
        <w:t xml:space="preserve"> and </w:t>
      </w:r>
      <w:r w:rsidR="003C6C12" w:rsidRPr="000A1D51">
        <w:rPr>
          <w:rFonts w:ascii="Calibri" w:hAnsi="Calibri" w:cs="Calibri"/>
          <w:color w:val="000000"/>
          <w:sz w:val="22"/>
          <w:szCs w:val="22"/>
        </w:rPr>
        <w:t>other</w:t>
      </w:r>
      <w:r w:rsidRPr="000A1D51">
        <w:rPr>
          <w:rFonts w:ascii="Calibri" w:hAnsi="Calibri" w:cs="Calibri"/>
          <w:color w:val="000000"/>
          <w:sz w:val="22"/>
          <w:szCs w:val="22"/>
        </w:rPr>
        <w:t xml:space="preserve"> development partners </w:t>
      </w:r>
      <w:r w:rsidR="003C6C12" w:rsidRPr="000A1D51">
        <w:rPr>
          <w:rFonts w:ascii="Calibri" w:hAnsi="Calibri" w:cs="Calibri"/>
          <w:color w:val="000000"/>
          <w:sz w:val="22"/>
          <w:szCs w:val="22"/>
        </w:rPr>
        <w:t xml:space="preserve">working at ASEC </w:t>
      </w:r>
      <w:r w:rsidRPr="000A1D51">
        <w:rPr>
          <w:rFonts w:ascii="Calibri" w:hAnsi="Calibri" w:cs="Calibri"/>
          <w:color w:val="000000"/>
          <w:sz w:val="22"/>
          <w:szCs w:val="22"/>
        </w:rPr>
        <w:t xml:space="preserve">argued that the value added by cross-cutting initiatives such as the MPAC and IAI </w:t>
      </w:r>
      <w:r w:rsidR="003C6C12" w:rsidRPr="000A1D51">
        <w:rPr>
          <w:rFonts w:ascii="Calibri" w:hAnsi="Calibri" w:cs="Calibri"/>
          <w:color w:val="000000"/>
          <w:sz w:val="22"/>
          <w:szCs w:val="22"/>
        </w:rPr>
        <w:t>can be</w:t>
      </w:r>
      <w:r w:rsidRPr="000A1D51">
        <w:rPr>
          <w:rFonts w:ascii="Calibri" w:hAnsi="Calibri" w:cs="Calibri"/>
          <w:color w:val="000000"/>
          <w:sz w:val="22"/>
          <w:szCs w:val="22"/>
        </w:rPr>
        <w:t xml:space="preserve"> overstated. Some felt that these initiatives diverted attention from more important substantive sectoral initiatives. On the other hand, feedback from high </w:t>
      </w:r>
      <w:r w:rsidR="0054372F" w:rsidRPr="000A1D51">
        <w:rPr>
          <w:rFonts w:ascii="Calibri" w:hAnsi="Calibri" w:cs="Calibri"/>
          <w:color w:val="000000"/>
          <w:sz w:val="22"/>
          <w:szCs w:val="22"/>
        </w:rPr>
        <w:t xml:space="preserve">- </w:t>
      </w:r>
      <w:r w:rsidRPr="000A1D51">
        <w:rPr>
          <w:rFonts w:ascii="Calibri" w:hAnsi="Calibri" w:cs="Calibri"/>
          <w:color w:val="000000"/>
          <w:sz w:val="22"/>
          <w:szCs w:val="22"/>
        </w:rPr>
        <w:t xml:space="preserve">level forums on the quality of these initiatives has been positive and </w:t>
      </w:r>
      <w:r w:rsidR="00A04FFE" w:rsidRPr="000A1D51">
        <w:rPr>
          <w:rFonts w:ascii="Calibri" w:hAnsi="Calibri" w:cs="Calibri"/>
          <w:color w:val="000000"/>
          <w:sz w:val="22"/>
          <w:szCs w:val="22"/>
        </w:rPr>
        <w:t>is reported</w:t>
      </w:r>
      <w:r w:rsidRPr="000A1D51">
        <w:rPr>
          <w:rFonts w:ascii="Calibri" w:hAnsi="Calibri" w:cs="Calibri"/>
          <w:color w:val="000000"/>
          <w:sz w:val="22"/>
          <w:szCs w:val="22"/>
        </w:rPr>
        <w:t xml:space="preserve"> to have been important in building regional commitments to work together on </w:t>
      </w:r>
      <w:r w:rsidR="00A04FFE" w:rsidRPr="000A1D51">
        <w:rPr>
          <w:rFonts w:ascii="Calibri" w:hAnsi="Calibri" w:cs="Calibri"/>
          <w:color w:val="000000"/>
          <w:sz w:val="22"/>
          <w:szCs w:val="22"/>
        </w:rPr>
        <w:t>priority</w:t>
      </w:r>
      <w:r w:rsidRPr="000A1D51">
        <w:rPr>
          <w:rFonts w:ascii="Calibri" w:hAnsi="Calibri" w:cs="Calibri"/>
          <w:color w:val="000000"/>
          <w:sz w:val="22"/>
          <w:szCs w:val="22"/>
        </w:rPr>
        <w:t xml:space="preserve"> regional issues (e.g., the ASEAN Power Grid).</w:t>
      </w:r>
    </w:p>
    <w:p w14:paraId="52093B06" w14:textId="77777777" w:rsidR="00DD7937" w:rsidRPr="000A1D51" w:rsidRDefault="00DD7937" w:rsidP="004748A1">
      <w:pPr>
        <w:numPr>
          <w:ilvl w:val="0"/>
          <w:numId w:val="30"/>
        </w:numPr>
        <w:spacing w:after="200" w:line="276" w:lineRule="auto"/>
        <w:rPr>
          <w:rFonts w:ascii="Calibri" w:hAnsi="Calibri" w:cs="Calibri"/>
          <w:color w:val="000000"/>
          <w:sz w:val="22"/>
          <w:szCs w:val="22"/>
        </w:rPr>
      </w:pPr>
      <w:r w:rsidRPr="000A1D51">
        <w:rPr>
          <w:rFonts w:ascii="Calibri" w:hAnsi="Calibri" w:cs="Calibri"/>
          <w:color w:val="000000"/>
          <w:sz w:val="22"/>
          <w:szCs w:val="22"/>
        </w:rPr>
        <w:t xml:space="preserve">While it is important to be cognizant of the ultimate outcomes of development programs, quantifying the development outcomes of institutional reform and development support is difficult. AADCP II support -- which focusses on building regional level capacity, links and institutions, and Australian-ASEAN relationships -- makes it especially difficult to directly link AADCP II support to improvements in the ultimate beneficiaries of the ASEAN Economic Integration process in ASEAN member </w:t>
      </w:r>
      <w:r w:rsidRPr="000A1D51">
        <w:rPr>
          <w:rFonts w:ascii="Calibri" w:hAnsi="Calibri" w:cs="Calibri"/>
          <w:color w:val="000000"/>
          <w:sz w:val="22"/>
          <w:szCs w:val="22"/>
        </w:rPr>
        <w:lastRenderedPageBreak/>
        <w:t>states (AMS). This review only attempts to identify selected examples of plausible links to national level impacts</w:t>
      </w:r>
      <w:r w:rsidRPr="000A1D51">
        <w:rPr>
          <w:rStyle w:val="FootnoteReference"/>
        </w:rPr>
        <w:footnoteReference w:id="23"/>
      </w:r>
      <w:r w:rsidRPr="000A1D51">
        <w:rPr>
          <w:rFonts w:ascii="Calibri" w:hAnsi="Calibri" w:cs="Calibri"/>
          <w:color w:val="000000"/>
          <w:sz w:val="22"/>
          <w:szCs w:val="22"/>
        </w:rPr>
        <w:t xml:space="preserve">. </w:t>
      </w:r>
    </w:p>
    <w:p w14:paraId="472A3C81" w14:textId="77777777" w:rsidR="00B020F9" w:rsidRPr="000A1D51" w:rsidRDefault="00B020F9" w:rsidP="00B020F9">
      <w:pPr>
        <w:pStyle w:val="Heading3"/>
      </w:pPr>
      <w:bookmarkStart w:id="36" w:name="_Toc21417458"/>
      <w:bookmarkStart w:id="37" w:name="_Toc24884110"/>
      <w:bookmarkStart w:id="38" w:name="_Toc31820112"/>
      <w:r w:rsidRPr="000A1D51">
        <w:t xml:space="preserve">Effectiveness- </w:t>
      </w:r>
      <w:bookmarkEnd w:id="36"/>
      <w:r w:rsidR="008F0779" w:rsidRPr="000A1D51">
        <w:t>the value of whole of government support</w:t>
      </w:r>
      <w:bookmarkEnd w:id="37"/>
      <w:bookmarkEnd w:id="38"/>
    </w:p>
    <w:p w14:paraId="3A600D36" w14:textId="234BE5D1" w:rsidR="00D604F7" w:rsidRPr="000A1D51" w:rsidRDefault="00D604F7" w:rsidP="00D604F7">
      <w:pPr>
        <w:numPr>
          <w:ilvl w:val="0"/>
          <w:numId w:val="30"/>
        </w:numPr>
        <w:spacing w:after="200" w:line="276" w:lineRule="auto"/>
        <w:rPr>
          <w:rFonts w:ascii="Calibri" w:hAnsi="Calibri" w:cs="Calibri"/>
          <w:color w:val="000000"/>
          <w:sz w:val="22"/>
          <w:szCs w:val="22"/>
        </w:rPr>
      </w:pPr>
      <w:r w:rsidRPr="000A1D51">
        <w:rPr>
          <w:rFonts w:ascii="Calibri" w:hAnsi="Calibri" w:cs="Calibri"/>
          <w:b/>
          <w:bCs/>
          <w:color w:val="000000"/>
          <w:sz w:val="22"/>
          <w:szCs w:val="22"/>
        </w:rPr>
        <w:t>Whole of government (WOG)</w:t>
      </w:r>
      <w:r w:rsidRPr="000A1D51">
        <w:rPr>
          <w:rFonts w:ascii="Calibri" w:hAnsi="Calibri" w:cs="Calibri"/>
          <w:color w:val="000000"/>
          <w:sz w:val="22"/>
          <w:szCs w:val="22"/>
        </w:rPr>
        <w:t xml:space="preserve"> approaches to delivering regional support were appreciated by some ASEC partners (notably for consumer protection, but also in agriculture) because of the practical nature of the support that can be provided by expert practitioners with direct experience working on relevant issues</w:t>
      </w:r>
      <w:r w:rsidRPr="000A1D51">
        <w:rPr>
          <w:rStyle w:val="FootnoteReference"/>
        </w:rPr>
        <w:footnoteReference w:id="24"/>
      </w:r>
      <w:r w:rsidRPr="000A1D51">
        <w:rPr>
          <w:rStyle w:val="FootnoteReference"/>
        </w:rPr>
        <w:t>.</w:t>
      </w:r>
      <w:r w:rsidRPr="000A1D51">
        <w:rPr>
          <w:rFonts w:ascii="Calibri" w:hAnsi="Calibri" w:cs="Calibri"/>
          <w:color w:val="000000"/>
          <w:sz w:val="22"/>
          <w:szCs w:val="22"/>
        </w:rPr>
        <w:t xml:space="preserve"> The nature of the AADCP II support has made it difficult to systematically mobilize and coordinate whole of government support, because, in principle, priorities are determined by ASEAN through ASEC without the systematic engagement of Australian government agencies in the prioritization, planning and implementation proposal. However, Australian government agencies do engage with ASEC partners on areas of mutual interest. For example, there has been some engagement (e.g. by the Australian Department of Agriculture) to help review and contribute to the quality of funding proposals and study methodologies. Government agencies (such as </w:t>
      </w:r>
      <w:r w:rsidR="00CF78B8" w:rsidRPr="000A1D51">
        <w:rPr>
          <w:rFonts w:ascii="Calibri" w:hAnsi="Calibri" w:cs="Calibri"/>
          <w:color w:val="000000"/>
          <w:sz w:val="22"/>
          <w:szCs w:val="22"/>
        </w:rPr>
        <w:t xml:space="preserve">competition and </w:t>
      </w:r>
      <w:r w:rsidRPr="000A1D51">
        <w:rPr>
          <w:rFonts w:ascii="Calibri" w:hAnsi="Calibri" w:cs="Calibri"/>
          <w:color w:val="000000"/>
          <w:sz w:val="22"/>
          <w:szCs w:val="22"/>
        </w:rPr>
        <w:t>agriculture and food safety agencies) with clear mandates for regional cooperation tend to have better access to resources to facilitate sustained engagement.</w:t>
      </w:r>
    </w:p>
    <w:p w14:paraId="11E79D1F" w14:textId="1D3D968F" w:rsidR="00B020F9" w:rsidRPr="000A1D51" w:rsidRDefault="00B020F9" w:rsidP="00B020F9">
      <w:pPr>
        <w:numPr>
          <w:ilvl w:val="0"/>
          <w:numId w:val="30"/>
        </w:numPr>
        <w:spacing w:after="200" w:line="276" w:lineRule="auto"/>
        <w:rPr>
          <w:rFonts w:ascii="Calibri" w:hAnsi="Calibri" w:cs="Calibri"/>
          <w:color w:val="000000"/>
          <w:sz w:val="22"/>
          <w:szCs w:val="22"/>
        </w:rPr>
      </w:pPr>
      <w:r w:rsidRPr="000A1D51">
        <w:rPr>
          <w:rFonts w:ascii="Calibri" w:hAnsi="Calibri" w:cs="Calibri"/>
          <w:color w:val="000000"/>
          <w:sz w:val="22"/>
          <w:szCs w:val="22"/>
        </w:rPr>
        <w:t xml:space="preserve">Some ASEC and Australian officials suggested that more systematic engagement could be useful both to improve the quality of proposal designs and outcomes, and to help ensure that Australian perspectives were reflected in ongoing work and the recommendations resulting from policy and institutional studies. Possible initiatives suggested to promote greater WOG engagement </w:t>
      </w:r>
      <w:r w:rsidR="007B437A" w:rsidRPr="000A1D51">
        <w:rPr>
          <w:rFonts w:ascii="Calibri" w:hAnsi="Calibri" w:cs="Calibri"/>
          <w:color w:val="000000"/>
          <w:sz w:val="22"/>
          <w:szCs w:val="22"/>
        </w:rPr>
        <w:t xml:space="preserve">are outlined below. </w:t>
      </w:r>
      <w:r w:rsidR="007B437A" w:rsidRPr="000A1D51">
        <w:rPr>
          <w:rFonts w:ascii="Calibri" w:hAnsi="Calibri" w:cs="Calibri"/>
          <w:color w:val="000000"/>
          <w:sz w:val="22"/>
          <w:szCs w:val="22"/>
          <w:lang w:val="en-AU"/>
        </w:rPr>
        <w:t>DFAT and the program team might want to start taking action in these areas under the existing program. For example, AADCP II could begin developing and piloting mechanisms to use flexible funds to help develop proposals and/or to consider gender and social inclusion issues associated with the connectivity agenda.</w:t>
      </w:r>
    </w:p>
    <w:p w14:paraId="7D837331" w14:textId="52B7B024" w:rsidR="00B020F9" w:rsidRPr="000A1D51" w:rsidRDefault="00A12EB1" w:rsidP="00F44159">
      <w:pPr>
        <w:pStyle w:val="Bullet0"/>
        <w:numPr>
          <w:ilvl w:val="0"/>
          <w:numId w:val="59"/>
        </w:numPr>
      </w:pPr>
      <w:r w:rsidRPr="000A1D51">
        <w:t>Develop mechanisms for more</w:t>
      </w:r>
      <w:r w:rsidR="00B020F9" w:rsidRPr="000A1D51">
        <w:t xml:space="preserve"> </w:t>
      </w:r>
      <w:r w:rsidR="00A0343F" w:rsidRPr="000A1D51">
        <w:t xml:space="preserve">systematic </w:t>
      </w:r>
      <w:r w:rsidR="00B020F9" w:rsidRPr="000A1D51">
        <w:t>use of flexible fund</w:t>
      </w:r>
      <w:r w:rsidRPr="000A1D51">
        <w:t>s</w:t>
      </w:r>
      <w:r w:rsidR="00B020F9" w:rsidRPr="000A1D51">
        <w:t xml:space="preserve"> (in addition to funds approved by ASEC) to help fund Australian led initiatives directly linked to ASEAN priorities.</w:t>
      </w:r>
      <w:r w:rsidR="008F0779" w:rsidRPr="000A1D51">
        <w:t xml:space="preserve"> These funds could be</w:t>
      </w:r>
      <w:r w:rsidR="00426D0C" w:rsidRPr="000A1D51">
        <w:t xml:space="preserve"> directly linked to </w:t>
      </w:r>
      <w:r w:rsidR="006C7E6D" w:rsidRPr="000A1D51">
        <w:t>just the follow-up support, and/or be used to</w:t>
      </w:r>
      <w:r w:rsidR="000A0D08" w:rsidRPr="000A1D51">
        <w:t xml:space="preserve"> help develop other high</w:t>
      </w:r>
      <w:r w:rsidR="00D95F27" w:rsidRPr="000A1D51">
        <w:t>-</w:t>
      </w:r>
      <w:r w:rsidR="001D3F27" w:rsidRPr="000A1D51">
        <w:t xml:space="preserve">quality proposal for </w:t>
      </w:r>
      <w:r w:rsidR="000A0D08" w:rsidRPr="000A1D51">
        <w:t>ASEC</w:t>
      </w:r>
      <w:r w:rsidR="001D3F27" w:rsidRPr="000A1D51">
        <w:t>-led</w:t>
      </w:r>
      <w:r w:rsidR="000A0D08" w:rsidRPr="000A1D51">
        <w:t xml:space="preserve"> initiatives that might be supported by other Australian funded programs.</w:t>
      </w:r>
    </w:p>
    <w:p w14:paraId="36E72333" w14:textId="77777777" w:rsidR="00B020F9" w:rsidRPr="000A1D51" w:rsidRDefault="00B020F9" w:rsidP="00FD562F">
      <w:pPr>
        <w:pStyle w:val="Bullet0"/>
      </w:pPr>
      <w:r w:rsidRPr="000A1D51">
        <w:lastRenderedPageBreak/>
        <w:t>Develop sector specific strategies (and targeted strategic outcomes) for Australian WOG engagement within the ASEAN region</w:t>
      </w:r>
      <w:r w:rsidRPr="000A1D51">
        <w:rPr>
          <w:rStyle w:val="FootnoteReference"/>
        </w:rPr>
        <w:footnoteReference w:id="25"/>
      </w:r>
      <w:r w:rsidRPr="000A1D51">
        <w:t xml:space="preserve">. These strategies should describe all key </w:t>
      </w:r>
      <w:r w:rsidR="003C4B72" w:rsidRPr="000A1D51">
        <w:t xml:space="preserve">Australian </w:t>
      </w:r>
      <w:r w:rsidRPr="000A1D51">
        <w:t xml:space="preserve">WOG regional and national initiatives aimed at achieving </w:t>
      </w:r>
      <w:r w:rsidR="003C4B72" w:rsidRPr="000A1D51">
        <w:t>joint Australia-ASEAN results targets for these sectors</w:t>
      </w:r>
      <w:r w:rsidRPr="000A1D51">
        <w:t>.</w:t>
      </w:r>
      <w:r w:rsidR="003C4B72" w:rsidRPr="000A1D51">
        <w:rPr>
          <w:rFonts w:ascii="Calibri" w:eastAsia="Times New Roman" w:hAnsi="Calibri" w:cs="Calibri"/>
          <w:color w:val="000000"/>
          <w:lang w:val="en-US" w:eastAsia="en-GB"/>
        </w:rPr>
        <w:t xml:space="preserve"> </w:t>
      </w:r>
      <w:r w:rsidR="003C4B72" w:rsidRPr="000A1D51">
        <w:rPr>
          <w:lang w:val="en-US"/>
        </w:rPr>
        <w:t xml:space="preserve">The aim would be to build on the </w:t>
      </w:r>
      <w:hyperlink r:id="rId23" w:history="1">
        <w:r w:rsidR="003C4B72" w:rsidRPr="000A1D51">
          <w:rPr>
            <w:rStyle w:val="Hyperlink"/>
            <w:sz w:val="22"/>
            <w:szCs w:val="22"/>
            <w:lang w:val="en-US"/>
          </w:rPr>
          <w:t>Plan</w:t>
        </w:r>
        <w:r w:rsidR="008C622D" w:rsidRPr="000A1D51">
          <w:rPr>
            <w:rStyle w:val="Hyperlink"/>
            <w:sz w:val="22"/>
            <w:szCs w:val="22"/>
            <w:lang w:val="en-US"/>
          </w:rPr>
          <w:t xml:space="preserve"> of Action</w:t>
        </w:r>
        <w:r w:rsidR="003C4B72" w:rsidRPr="000A1D51">
          <w:rPr>
            <w:rStyle w:val="Hyperlink"/>
            <w:sz w:val="22"/>
            <w:szCs w:val="22"/>
            <w:lang w:val="en-US"/>
          </w:rPr>
          <w:t xml:space="preserve"> to Implement the ASEAN-Australian Strategic Partnership (2020-2024)</w:t>
        </w:r>
      </w:hyperlink>
      <w:r w:rsidR="003C4B72" w:rsidRPr="000A1D51">
        <w:rPr>
          <w:lang w:val="en-US"/>
        </w:rPr>
        <w:t xml:space="preserve"> to identify ASEAN priority needs that matched with Australian comparative strengths and/or strategic interests in ASEAN and identify what Australian development assistance program (e.g. AADCP II, AECSP, ERIA or bilateral programs) was most appropriate for addressing these priorities</w:t>
      </w:r>
      <w:r w:rsidR="003C4B72" w:rsidRPr="000A1D51">
        <w:rPr>
          <w:rStyle w:val="FootnoteReference"/>
          <w:lang w:val="en-US"/>
        </w:rPr>
        <w:footnoteReference w:id="26"/>
      </w:r>
      <w:r w:rsidR="003C4B72" w:rsidRPr="000A1D51">
        <w:rPr>
          <w:lang w:val="en-US"/>
        </w:rPr>
        <w:t xml:space="preserve">. The </w:t>
      </w:r>
      <w:r w:rsidR="008C622D" w:rsidRPr="000A1D51">
        <w:rPr>
          <w:lang w:val="en-US"/>
        </w:rPr>
        <w:t xml:space="preserve">plan of </w:t>
      </w:r>
      <w:r w:rsidR="003C4B72" w:rsidRPr="000A1D51">
        <w:rPr>
          <w:lang w:val="en-US"/>
        </w:rPr>
        <w:t>action already provides guidance on suggested tools in some areas.</w:t>
      </w:r>
    </w:p>
    <w:p w14:paraId="5C3E33DE" w14:textId="77777777" w:rsidR="00B020F9" w:rsidRPr="000A1D51" w:rsidRDefault="00B020F9" w:rsidP="00FD562F">
      <w:pPr>
        <w:pStyle w:val="Bullet0"/>
      </w:pPr>
      <w:r w:rsidRPr="000A1D51">
        <w:t>Link core AADCP II support to targets specified in both the Australian and ASEAN strategic plans and undertake annual joint (ASEAN, DFAT, WOG partner) monitoring of progress towards targeted outcomes.</w:t>
      </w:r>
      <w:r w:rsidRPr="000A1D51">
        <w:rPr>
          <w:rStyle w:val="FootnoteReference"/>
        </w:rPr>
        <w:footnoteReference w:id="27"/>
      </w:r>
      <w:r w:rsidRPr="000A1D51">
        <w:rPr>
          <w:rStyle w:val="FootnoteReference"/>
        </w:rPr>
        <w:t xml:space="preserve"> </w:t>
      </w:r>
      <w:r w:rsidRPr="000A1D51">
        <w:t xml:space="preserve"> Australia could continue to help develop, and monitor implementation of, ASEAN sector strategies and plans. </w:t>
      </w:r>
    </w:p>
    <w:p w14:paraId="5958AB68" w14:textId="77777777" w:rsidR="00215229" w:rsidRPr="000A1D51" w:rsidRDefault="00215229" w:rsidP="00215229">
      <w:pPr>
        <w:pStyle w:val="ListParagraph"/>
      </w:pPr>
      <w:r w:rsidRPr="000A1D51">
        <w:t>An example of the potential value of a more strategic approach is in the area of consumer protection. ACCC is already cooperating closely with ASEAN to strengthen regional cooperation in competition policy under the under the AECSP supported CLIP initiative. Consumer protection issues might be better addressed under a CLIP like mechanism (rather than the AADCP mechanism) to allow ongoing engagement with an institution like ACCC to facilitate implementation, including the recruitment of appropriate experts and resource persons, and to facilitate peer to peer learning processes. This would require strong ACCC commitment, which might be facilitated by a medium-term strategy.</w:t>
      </w:r>
    </w:p>
    <w:p w14:paraId="39B493DE" w14:textId="77777777" w:rsidR="00215229" w:rsidRPr="000A1D51" w:rsidRDefault="00215229" w:rsidP="00215229">
      <w:pPr>
        <w:pStyle w:val="ListParagraph"/>
      </w:pPr>
      <w:r w:rsidRPr="000A1D51">
        <w:t>Australia’s ASEAN agriculture counsellor argued for such an approach because of the various Australian government agencies involved in providing agriculture support in ASEAN (including DFAT, DoA and ACIAR). The counsellor said that the department has lacked the staff resources to develop such a strategy but felt that a more coordinated approach would help Australia to better achieve its development and national interests in ASEAN agriculture development. Some priorities outcomes have already been identified in the abovementioned Plan of Action</w:t>
      </w:r>
      <w:r w:rsidRPr="000A1D51">
        <w:footnoteReference w:id="28"/>
      </w:r>
      <w:r w:rsidRPr="000A1D51">
        <w:t xml:space="preserve">. </w:t>
      </w:r>
    </w:p>
    <w:p w14:paraId="5F997261" w14:textId="77777777" w:rsidR="00215229" w:rsidRPr="000A1D51" w:rsidRDefault="00215229" w:rsidP="00F44159">
      <w:pPr>
        <w:pStyle w:val="ListParagraph"/>
      </w:pPr>
      <w:r w:rsidRPr="000A1D51">
        <w:t xml:space="preserve">The sector wide approaches could be developed in consultation between sector working groups and Australian counterparts in a similar way to which AECSP priorities are identified. This should help ensure greater engagement by sector level technical experts in ASEAN countries and Australia and help promote greater links with national agencies that will need to implement actions. Annual engagements could include a </w:t>
      </w:r>
      <w:r w:rsidRPr="000A1D51">
        <w:lastRenderedPageBreak/>
        <w:t>focus on monitoring and evaluation of agreed sector approaches to promote greater accountability for results.</w:t>
      </w:r>
    </w:p>
    <w:p w14:paraId="1CC5DF10" w14:textId="77777777" w:rsidR="00B8689D" w:rsidRPr="000A1D51" w:rsidRDefault="00B8689D" w:rsidP="004C30D6">
      <w:pPr>
        <w:pStyle w:val="Heading3"/>
      </w:pPr>
      <w:bookmarkStart w:id="39" w:name="_Toc24884111"/>
      <w:bookmarkStart w:id="40" w:name="_Toc31820113"/>
      <w:r w:rsidRPr="000A1D51">
        <w:t xml:space="preserve">Effectiveness: </w:t>
      </w:r>
      <w:r w:rsidR="0098089A" w:rsidRPr="000A1D51">
        <w:t>communicating evidence</w:t>
      </w:r>
      <w:r w:rsidRPr="000A1D51">
        <w:t xml:space="preserve"> to build support for </w:t>
      </w:r>
      <w:r w:rsidR="004C30D6" w:rsidRPr="000A1D51">
        <w:t>program objectives</w:t>
      </w:r>
      <w:bookmarkEnd w:id="39"/>
      <w:bookmarkEnd w:id="40"/>
    </w:p>
    <w:p w14:paraId="6E0B2AE6" w14:textId="77777777" w:rsidR="004C30D6" w:rsidRPr="000A1D51" w:rsidRDefault="004C30D6" w:rsidP="004C30D6">
      <w:pPr>
        <w:pStyle w:val="ListParagraph"/>
      </w:pPr>
      <w:r w:rsidRPr="000A1D51">
        <w:t>Securing ASEAN support for regional economic integration related reforms (especially at national and sub-national levels) requires both (i) a strong evidence base of the case for reforms and; (ii) a broad</w:t>
      </w:r>
      <w:r w:rsidR="0098089A" w:rsidRPr="000A1D51">
        <w:t>-</w:t>
      </w:r>
      <w:r w:rsidRPr="000A1D51">
        <w:t>based awareness of the</w:t>
      </w:r>
      <w:r w:rsidR="0098089A" w:rsidRPr="000A1D51">
        <w:t xml:space="preserve"> potential level and distribution of</w:t>
      </w:r>
      <w:r w:rsidRPr="000A1D51">
        <w:t xml:space="preserve"> benefits </w:t>
      </w:r>
      <w:r w:rsidR="0098089A" w:rsidRPr="000A1D51">
        <w:t xml:space="preserve">flowing from regional economic integration. AADCP II supported activities aimed at both these </w:t>
      </w:r>
      <w:r w:rsidR="00855187" w:rsidRPr="000A1D51">
        <w:t>needs but</w:t>
      </w:r>
      <w:r w:rsidR="0098089A" w:rsidRPr="000A1D51">
        <w:t xml:space="preserve"> was more </w:t>
      </w:r>
      <w:r w:rsidR="00855187" w:rsidRPr="000A1D51">
        <w:t>focused on</w:t>
      </w:r>
      <w:r w:rsidR="0098089A" w:rsidRPr="000A1D51">
        <w:t xml:space="preserve"> the first</w:t>
      </w:r>
      <w:r w:rsidR="00855187" w:rsidRPr="000A1D51">
        <w:t xml:space="preserve"> need</w:t>
      </w:r>
      <w:r w:rsidR="0098089A" w:rsidRPr="000A1D51">
        <w:t>.</w:t>
      </w:r>
    </w:p>
    <w:p w14:paraId="3D799B56" w14:textId="77777777" w:rsidR="004C30D6" w:rsidRPr="000A1D51" w:rsidRDefault="004C30D6" w:rsidP="004C30D6">
      <w:pPr>
        <w:pStyle w:val="ListParagraph"/>
      </w:pPr>
      <w:r w:rsidRPr="000A1D51">
        <w:rPr>
          <w:bCs/>
        </w:rPr>
        <w:t>AADCP II support for communication and information dissemination</w:t>
      </w:r>
      <w:r w:rsidRPr="000A1D51">
        <w:t xml:space="preserve"> has mostly been on a project by project basis. Most project</w:t>
      </w:r>
      <w:r w:rsidR="00C07374" w:rsidRPr="000A1D51">
        <w:t>s</w:t>
      </w:r>
      <w:r w:rsidRPr="000A1D51">
        <w:t xml:space="preserve"> include workshops and report dissemination as part of the project design. Others (e.g. in agriculture, investment, and consumer protection) have included more targeted outreach programs. AADCP II also targets 1-2 sectors per year for communications products timed for the JPRC meeting and published on the AADCP II website. A stand-alone project supported the production of digital communications products on ASEAN connectivity, which helped raise the regional visibility of this issue. While AADCP II already has a relatively high visibility, the overall program efficiency and effectiveness might be enhanced by a more systematic outreach program that included a focus on disseminating findings and recommendations to a broader range of stakeholders. GIZ has also been funding complementary communications support related to ASEAN connectivity. ASEAN, however, has the final say on what gets disseminated, and how it gets disseminated. </w:t>
      </w:r>
    </w:p>
    <w:p w14:paraId="7D490DBA" w14:textId="7FEA69E4" w:rsidR="004C30D6" w:rsidRPr="000A1D51" w:rsidRDefault="004C30D6" w:rsidP="004C30D6">
      <w:pPr>
        <w:pStyle w:val="ListParagraph"/>
      </w:pPr>
      <w:r w:rsidRPr="000A1D51">
        <w:t xml:space="preserve">The ASEAN Permanent Mission representatives also </w:t>
      </w:r>
      <w:r w:rsidR="000374A7" w:rsidRPr="000A1D51">
        <w:t xml:space="preserve">noted that they </w:t>
      </w:r>
      <w:r w:rsidRPr="000A1D51">
        <w:t>need to engage better with</w:t>
      </w:r>
      <w:r w:rsidR="007854EB" w:rsidRPr="000A1D51">
        <w:t xml:space="preserve"> (</w:t>
      </w:r>
      <w:r w:rsidRPr="000A1D51">
        <w:t>and understand more about</w:t>
      </w:r>
      <w:r w:rsidR="007854EB" w:rsidRPr="000A1D51">
        <w:t>)</w:t>
      </w:r>
      <w:r w:rsidRPr="000A1D51">
        <w:t xml:space="preserve"> AADCP II to help </w:t>
      </w:r>
      <w:r w:rsidR="000D0F05" w:rsidRPr="000A1D51">
        <w:t>the representatives better exercise their oversight functions</w:t>
      </w:r>
      <w:r w:rsidRPr="000A1D51">
        <w:t>. Given that the Permanent Mission representatives (and most consumers of communications products) are not sectoral experts, communications products need to be tailored accordingly.</w:t>
      </w:r>
    </w:p>
    <w:p w14:paraId="76A09074" w14:textId="439C65C6" w:rsidR="00855187" w:rsidRPr="000A1D51" w:rsidRDefault="004C30D6" w:rsidP="00855187">
      <w:pPr>
        <w:pStyle w:val="ListParagraph"/>
      </w:pPr>
      <w:r w:rsidRPr="000A1D51">
        <w:t xml:space="preserve">Consideration should be given to developing a communication strategy and including provision for communications </w:t>
      </w:r>
      <w:r w:rsidR="00EF44B1" w:rsidRPr="000A1D51">
        <w:t>support services</w:t>
      </w:r>
      <w:r w:rsidRPr="000A1D51">
        <w:t xml:space="preserve"> in any follow-up support. This could also help ease concerns by some DFAT discussants about </w:t>
      </w:r>
      <w:r w:rsidR="00AD6BAD" w:rsidRPr="000A1D51">
        <w:t xml:space="preserve">limited </w:t>
      </w:r>
      <w:r w:rsidRPr="000A1D51">
        <w:t xml:space="preserve">AADCP II </w:t>
      </w:r>
      <w:r w:rsidR="00EF44B1" w:rsidRPr="000A1D51">
        <w:t>branding</w:t>
      </w:r>
      <w:r w:rsidR="00AD6BAD" w:rsidRPr="000A1D51">
        <w:t xml:space="preserve"> in </w:t>
      </w:r>
      <w:r w:rsidR="00EF44B1" w:rsidRPr="000A1D51">
        <w:t xml:space="preserve">of </w:t>
      </w:r>
      <w:r w:rsidR="00AD6BAD" w:rsidRPr="000A1D51">
        <w:t xml:space="preserve">some </w:t>
      </w:r>
      <w:r w:rsidR="00EF44B1" w:rsidRPr="000A1D51">
        <w:t xml:space="preserve">AADCP II </w:t>
      </w:r>
      <w:r w:rsidR="00AD6BAD" w:rsidRPr="000A1D51">
        <w:t>studies</w:t>
      </w:r>
      <w:r w:rsidR="00EF44B1" w:rsidRPr="000A1D51">
        <w:t xml:space="preserve"> and events</w:t>
      </w:r>
      <w:r w:rsidRPr="000A1D51">
        <w:t>.</w:t>
      </w:r>
      <w:r w:rsidR="00855187" w:rsidRPr="000A1D51">
        <w:t xml:space="preserve"> </w:t>
      </w:r>
      <w:r w:rsidR="00EF44B1" w:rsidRPr="000A1D51">
        <w:t xml:space="preserve">At the same time, it is important to recognize that </w:t>
      </w:r>
      <w:r w:rsidR="00AF6D43" w:rsidRPr="000A1D51">
        <w:t xml:space="preserve">successful implementation of sensitive </w:t>
      </w:r>
      <w:r w:rsidR="00970E64" w:rsidRPr="000A1D51">
        <w:t xml:space="preserve">regional and national </w:t>
      </w:r>
      <w:r w:rsidR="00AF6D43" w:rsidRPr="000A1D51">
        <w:t xml:space="preserve">reforms may more likely to be accepted </w:t>
      </w:r>
      <w:r w:rsidR="00831BCE" w:rsidRPr="000A1D51">
        <w:t>of outsiders</w:t>
      </w:r>
      <w:r w:rsidR="00AF6D43" w:rsidRPr="000A1D51">
        <w:t xml:space="preserve"> maintain a more modest </w:t>
      </w:r>
      <w:r w:rsidR="00970E64" w:rsidRPr="000A1D51">
        <w:t>profile</w:t>
      </w:r>
      <w:r w:rsidR="00AF6D43" w:rsidRPr="000A1D51">
        <w:t xml:space="preserve">. </w:t>
      </w:r>
    </w:p>
    <w:p w14:paraId="08D2A3F6" w14:textId="77777777" w:rsidR="004C30D6" w:rsidRPr="000A1D51" w:rsidRDefault="00855187" w:rsidP="00855187">
      <w:pPr>
        <w:pStyle w:val="ListParagraph"/>
      </w:pPr>
      <w:r w:rsidRPr="000A1D51">
        <w:t>Australian Productivity Commission experience shows that regular direct engagement with a broader base of stakeholders -- including labour and business associations and the media -- can also help in building support for economic reform processes</w:t>
      </w:r>
      <w:r w:rsidRPr="000A1D51">
        <w:rPr>
          <w:rStyle w:val="FootnoteReference"/>
        </w:rPr>
        <w:footnoteReference w:id="29"/>
      </w:r>
      <w:r w:rsidRPr="000A1D51">
        <w:t>.</w:t>
      </w:r>
    </w:p>
    <w:p w14:paraId="13E8C48D" w14:textId="22DF0ACD" w:rsidR="00DD7937" w:rsidRPr="000A1D51" w:rsidRDefault="00DD7937" w:rsidP="00016357">
      <w:pPr>
        <w:pStyle w:val="Heading2"/>
      </w:pPr>
      <w:bookmarkStart w:id="41" w:name="_Toc31820114"/>
      <w:bookmarkStart w:id="42" w:name="_Toc21417455"/>
      <w:bookmarkStart w:id="43" w:name="_Toc24884112"/>
      <w:r w:rsidRPr="000A1D51">
        <w:t>Efficiency</w:t>
      </w:r>
      <w:bookmarkEnd w:id="41"/>
      <w:r w:rsidRPr="000A1D51">
        <w:t xml:space="preserve"> </w:t>
      </w:r>
      <w:bookmarkEnd w:id="42"/>
      <w:bookmarkEnd w:id="43"/>
    </w:p>
    <w:p w14:paraId="63C900D4" w14:textId="77777777" w:rsidR="00D72740" w:rsidRPr="000A1D51" w:rsidRDefault="00D72740" w:rsidP="00D72740">
      <w:pPr>
        <w:pStyle w:val="Heading3"/>
        <w:rPr>
          <w:lang w:val="en-AU"/>
        </w:rPr>
      </w:pPr>
      <w:bookmarkStart w:id="44" w:name="_Toc24884113"/>
      <w:bookmarkStart w:id="45" w:name="_Toc31820115"/>
      <w:r w:rsidRPr="000A1D51">
        <w:rPr>
          <w:lang w:val="en-AU"/>
        </w:rPr>
        <w:t xml:space="preserve">The efficiency benefits of </w:t>
      </w:r>
      <w:r w:rsidR="007D5BE7" w:rsidRPr="000A1D51">
        <w:rPr>
          <w:lang w:val="en-AU"/>
        </w:rPr>
        <w:t xml:space="preserve">the partnership approach and </w:t>
      </w:r>
      <w:r w:rsidRPr="000A1D51">
        <w:rPr>
          <w:lang w:val="en-AU"/>
        </w:rPr>
        <w:t>ASEC program execution</w:t>
      </w:r>
      <w:bookmarkEnd w:id="44"/>
      <w:bookmarkEnd w:id="45"/>
    </w:p>
    <w:p w14:paraId="3131BA48" w14:textId="6CBD5755" w:rsidR="003D35D5" w:rsidRPr="000A1D51" w:rsidRDefault="003D35D5" w:rsidP="00831BCE">
      <w:pPr>
        <w:pStyle w:val="ListParagraph"/>
      </w:pPr>
      <w:r w:rsidRPr="000A1D51">
        <w:lastRenderedPageBreak/>
        <w:t>The partnership approach</w:t>
      </w:r>
      <w:r w:rsidR="00CD2907" w:rsidRPr="000A1D51">
        <w:t xml:space="preserve"> contributes significantly to AADCP II efficiency </w:t>
      </w:r>
      <w:r w:rsidRPr="000A1D51">
        <w:t xml:space="preserve">at two levels. </w:t>
      </w:r>
      <w:r w:rsidR="00A2341A" w:rsidRPr="000A1D51">
        <w:t>Firstly,</w:t>
      </w:r>
      <w:r w:rsidRPr="000A1D51">
        <w:t xml:space="preserve"> Australian support is directly integrated into the ASEC planning and implementation system. </w:t>
      </w:r>
      <w:r w:rsidR="00A2341A" w:rsidRPr="000A1D51">
        <w:t>S</w:t>
      </w:r>
      <w:r w:rsidRPr="000A1D51">
        <w:t>econd</w:t>
      </w:r>
      <w:r w:rsidR="00A2341A" w:rsidRPr="000A1D51">
        <w:t>ly,</w:t>
      </w:r>
      <w:r w:rsidRPr="000A1D51">
        <w:t xml:space="preserve"> </w:t>
      </w:r>
      <w:r w:rsidR="00A2341A" w:rsidRPr="000A1D51">
        <w:t>AADCP II</w:t>
      </w:r>
      <w:r w:rsidRPr="000A1D51">
        <w:t xml:space="preserve"> support is directed at addressing </w:t>
      </w:r>
      <w:r w:rsidR="00CD2907" w:rsidRPr="000A1D51">
        <w:t>ASEC identified</w:t>
      </w:r>
      <w:r w:rsidRPr="000A1D51">
        <w:t xml:space="preserve"> </w:t>
      </w:r>
      <w:r w:rsidR="00CD2907" w:rsidRPr="000A1D51">
        <w:t>priorities</w:t>
      </w:r>
      <w:r w:rsidRPr="000A1D51">
        <w:t xml:space="preserve">. </w:t>
      </w:r>
    </w:p>
    <w:p w14:paraId="5BC419E5" w14:textId="0A661779" w:rsidR="00DD7937" w:rsidRPr="000A1D51" w:rsidRDefault="00DD7937" w:rsidP="00831BCE">
      <w:pPr>
        <w:pStyle w:val="ListParagraph"/>
      </w:pPr>
      <w:r w:rsidRPr="000A1D51">
        <w:t>From an Australian perspective, AADCP II has been efficient in deliver</w:t>
      </w:r>
      <w:r w:rsidR="00A2341A" w:rsidRPr="000A1D51">
        <w:t>ing</w:t>
      </w:r>
      <w:r w:rsidRPr="000A1D51">
        <w:t xml:space="preserve"> a diverse range of activities with limited </w:t>
      </w:r>
      <w:r w:rsidR="009760F0" w:rsidRPr="000A1D51">
        <w:t xml:space="preserve">financial </w:t>
      </w:r>
      <w:r w:rsidRPr="000A1D51">
        <w:t xml:space="preserve">overhead costs. </w:t>
      </w:r>
      <w:r w:rsidR="00C644F3" w:rsidRPr="000A1D51">
        <w:t xml:space="preserve">Whereas </w:t>
      </w:r>
      <w:r w:rsidR="004D701B" w:rsidRPr="000A1D51">
        <w:t>relatively high overhead costs ha</w:t>
      </w:r>
      <w:r w:rsidR="00B14BE6" w:rsidRPr="000A1D51">
        <w:t>d</w:t>
      </w:r>
      <w:r w:rsidR="004D701B" w:rsidRPr="000A1D51">
        <w:t xml:space="preserve"> been a concern with AADCP</w:t>
      </w:r>
      <w:r w:rsidR="00B14BE6" w:rsidRPr="000A1D51">
        <w:t xml:space="preserve"> I</w:t>
      </w:r>
      <w:r w:rsidR="004D701B" w:rsidRPr="000A1D51">
        <w:t xml:space="preserve">, AADCP II overhead costs have been less than 15% of total expenditure, </w:t>
      </w:r>
      <w:r w:rsidR="00B14BE6" w:rsidRPr="000A1D51">
        <w:t xml:space="preserve">or </w:t>
      </w:r>
      <w:r w:rsidR="004D701B" w:rsidRPr="000A1D51">
        <w:t>less than half that originally budgeted. The</w:t>
      </w:r>
      <w:r w:rsidRPr="000A1D51">
        <w:t xml:space="preserve"> use of ASEC systems reduce</w:t>
      </w:r>
      <w:r w:rsidR="005679AE" w:rsidRPr="000A1D51">
        <w:t>d</w:t>
      </w:r>
      <w:r w:rsidRPr="000A1D51">
        <w:t xml:space="preserve"> the Australian financed costs of project delivery. However, the partnership model and the use of ASEC systems added to </w:t>
      </w:r>
      <w:r w:rsidR="00BA4130" w:rsidRPr="000A1D51">
        <w:t>DFAT</w:t>
      </w:r>
      <w:r w:rsidRPr="000A1D51">
        <w:t xml:space="preserve"> costs in terms of </w:t>
      </w:r>
      <w:r w:rsidR="005679AE" w:rsidRPr="000A1D51">
        <w:t>inputs of DFAT staff time</w:t>
      </w:r>
      <w:r w:rsidR="002D3A50" w:rsidRPr="000A1D51">
        <w:t xml:space="preserve"> to support implementation and monitoring</w:t>
      </w:r>
      <w:r w:rsidR="00BA4130" w:rsidRPr="000A1D51">
        <w:t xml:space="preserve">. It also </w:t>
      </w:r>
      <w:r w:rsidR="00CC2FEF" w:rsidRPr="000A1D51">
        <w:t xml:space="preserve">often </w:t>
      </w:r>
      <w:r w:rsidR="00BA4130" w:rsidRPr="000A1D51">
        <w:t xml:space="preserve">added to </w:t>
      </w:r>
      <w:r w:rsidRPr="000A1D51">
        <w:t xml:space="preserve">the time taken to develop proposals supported by all parties (which can undermine efficiency). </w:t>
      </w:r>
      <w:r w:rsidR="00F81F78" w:rsidRPr="000A1D51">
        <w:t>The partnership model has</w:t>
      </w:r>
      <w:r w:rsidR="00BA4130" w:rsidRPr="000A1D51">
        <w:t xml:space="preserve"> also</w:t>
      </w:r>
      <w:r w:rsidR="00F81F78" w:rsidRPr="000A1D51">
        <w:t xml:space="preserve"> bound the program to ASEC procurement and human resources regulations. </w:t>
      </w:r>
      <w:r w:rsidR="002D3A50" w:rsidRPr="000A1D51">
        <w:t xml:space="preserve">Potential benefits in terms of visibility may have been lost in terms of </w:t>
      </w:r>
      <w:r w:rsidR="00F81F78" w:rsidRPr="000A1D51">
        <w:t xml:space="preserve">recognition of DFAT contributions to individual activities, although the partnership model may have helped </w:t>
      </w:r>
      <w:r w:rsidR="00AC73DE" w:rsidRPr="000A1D51">
        <w:t xml:space="preserve">AADCP II </w:t>
      </w:r>
      <w:r w:rsidR="00F81F78" w:rsidRPr="000A1D51">
        <w:t xml:space="preserve">visibility in regional policy fora. </w:t>
      </w:r>
    </w:p>
    <w:p w14:paraId="0D2259CF" w14:textId="48619CB7" w:rsidR="00DD7937" w:rsidRPr="000A1D51" w:rsidRDefault="00DD7937" w:rsidP="00831BCE">
      <w:pPr>
        <w:pStyle w:val="ListParagraph"/>
      </w:pPr>
      <w:r w:rsidRPr="000A1D51">
        <w:t xml:space="preserve">Some </w:t>
      </w:r>
      <w:r w:rsidR="007D5BE7" w:rsidRPr="000A1D51">
        <w:t xml:space="preserve">ASEC </w:t>
      </w:r>
      <w:r w:rsidRPr="000A1D51">
        <w:t>observers argued that AADCP II divert</w:t>
      </w:r>
      <w:r w:rsidR="00D604F7" w:rsidRPr="000A1D51">
        <w:t>ed</w:t>
      </w:r>
      <w:r w:rsidR="005A2706" w:rsidRPr="000A1D51">
        <w:t xml:space="preserve"> some</w:t>
      </w:r>
      <w:r w:rsidRPr="000A1D51">
        <w:t xml:space="preserve"> scarce ASEC human resources from high priority ASEC policy issues. Others </w:t>
      </w:r>
      <w:r w:rsidR="0055003B" w:rsidRPr="000A1D51">
        <w:t xml:space="preserve">ASEC staff </w:t>
      </w:r>
      <w:r w:rsidRPr="000A1D51">
        <w:t>argued that while AADCP II is relatively ASEC resource intensive, the supported activities are directly</w:t>
      </w:r>
      <w:r w:rsidRPr="000A1D51">
        <w:rPr>
          <w:lang w:val="en-AU"/>
        </w:rPr>
        <w:t xml:space="preserve"> linked to priority ASEC issues (and therefore r</w:t>
      </w:r>
      <w:r w:rsidR="00BB0986" w:rsidRPr="000A1D51">
        <w:rPr>
          <w:lang w:val="en-AU"/>
        </w:rPr>
        <w:t>educe</w:t>
      </w:r>
      <w:r w:rsidRPr="000A1D51">
        <w:rPr>
          <w:lang w:val="en-AU"/>
        </w:rPr>
        <w:t xml:space="preserve"> pressures on staff resources in other key areas). Moreover, AADCP II helped finance a limited number of experts to support ongoing ASEC work, and the support unit helped with implementation. This issue </w:t>
      </w:r>
      <w:r w:rsidR="00567053" w:rsidRPr="000A1D51">
        <w:rPr>
          <w:lang w:val="en-AU"/>
        </w:rPr>
        <w:t>is</w:t>
      </w:r>
      <w:r w:rsidRPr="000A1D51">
        <w:rPr>
          <w:lang w:val="en-AU"/>
        </w:rPr>
        <w:t xml:space="preserve"> </w:t>
      </w:r>
      <w:r w:rsidRPr="000A1D51">
        <w:t>explored in more detail in the partnership model case study.</w:t>
      </w:r>
    </w:p>
    <w:p w14:paraId="79DC1816" w14:textId="77777777" w:rsidR="00A2341A" w:rsidRPr="000A1D51" w:rsidRDefault="00A2341A" w:rsidP="00831BCE">
      <w:pPr>
        <w:pStyle w:val="ListParagraph"/>
      </w:pPr>
      <w:r w:rsidRPr="000A1D51">
        <w:t xml:space="preserve">AADCP II is recipient-driven in that specific requests for support must come from ASEC, not the development partner. Many within ASEC saw this as positive in terms of building ownership. While recognizing the benefits of strong ownership, there were some commentators -- from DFAT, ASEC/PCPMD and other development partners -- who asked if the demand led approach contributed to the lack of adequately sequenced strategic support in some areas </w:t>
      </w:r>
      <w:r w:rsidR="004253B4" w:rsidRPr="000A1D51">
        <w:t>{</w:t>
      </w:r>
      <w:r w:rsidRPr="000A1D51">
        <w:t>e.g. agriculture (including ASEAN fruit and vegetables GAP standards), and services</w:t>
      </w:r>
      <w:r w:rsidR="004253B4" w:rsidRPr="000A1D51">
        <w:t>}</w:t>
      </w:r>
      <w:r w:rsidRPr="000A1D51">
        <w:t xml:space="preserve">, reducing the opportunities for more focused support, capacity building and tangible outcomes in these areas. On the other hand, DFAT and key ASEC staff acknowledged that the AADCP II model has resulted in sustained strategic support in key areas such as connectivity and the Initiative for ASEAN Integration (IAI) that were generating substantive impacts in helping ASEC respond constructively to ASEAN leader’s priorities, and to promote accountability and sustained pressure for implementation via support to M&amp;E of these sub-programs. </w:t>
      </w:r>
    </w:p>
    <w:p w14:paraId="0B95058C" w14:textId="77777777" w:rsidR="00B14BE6" w:rsidRPr="000A1D51" w:rsidRDefault="00B14BE6" w:rsidP="00831BCE">
      <w:pPr>
        <w:pStyle w:val="ListParagraph"/>
      </w:pPr>
      <w:r w:rsidRPr="000A1D51">
        <w:t xml:space="preserve">AADCP II generally follows ASEC’s procurement process with supplemental steps, including project-specific tender committees convened to assess proposals. AADCP II’s tendering process was highlighted by ASEC staff as being fair and transparent providing ASEC access to (mostly) high-quality consultants.  </w:t>
      </w:r>
    </w:p>
    <w:p w14:paraId="6F028195" w14:textId="77777777" w:rsidR="00AC30E5" w:rsidRPr="000A1D51" w:rsidRDefault="00573985" w:rsidP="00831BCE">
      <w:pPr>
        <w:pStyle w:val="ListParagraph"/>
      </w:pPr>
      <w:r w:rsidRPr="000A1D51">
        <w:t xml:space="preserve">Some </w:t>
      </w:r>
      <w:r w:rsidR="00AC30E5" w:rsidRPr="000A1D51">
        <w:t xml:space="preserve">ASEC staff noted that other </w:t>
      </w:r>
      <w:r w:rsidRPr="000A1D51">
        <w:t>development partner</w:t>
      </w:r>
      <w:r w:rsidR="00AC30E5" w:rsidRPr="000A1D51">
        <w:t xml:space="preserve"> projects (e.g. ARISE and GIZ) were able to respond more quickly to emerging needs because they were able to </w:t>
      </w:r>
      <w:r w:rsidR="00AC30E5" w:rsidRPr="000A1D51">
        <w:lastRenderedPageBreak/>
        <w:t>develop and approve projects using their own staff resources, while proposals for AADCP II funding need to be developed by ASEC staff. While the AADCP II process can be slower, given limited ASEC staff resources, this process helps build ownership and ASEC capacity.</w:t>
      </w:r>
      <w:r w:rsidR="007A1F79" w:rsidRPr="000A1D51">
        <w:t xml:space="preserve"> </w:t>
      </w:r>
      <w:r w:rsidR="005C77C8" w:rsidRPr="000A1D51">
        <w:t>Strong ownership of the overall program and most projects enhances the prospects for sustainability of most initiatives.</w:t>
      </w:r>
      <w:r w:rsidR="00CE2968" w:rsidRPr="000A1D51">
        <w:t xml:space="preserve"> DFAT provision</w:t>
      </w:r>
      <w:r w:rsidR="00FE5A08" w:rsidRPr="000A1D51">
        <w:t xml:space="preserve"> of flexible resources to help support ASEC staff to develop proposals might help expedite the </w:t>
      </w:r>
      <w:r w:rsidR="00FF11B1" w:rsidRPr="000A1D51">
        <w:t>development of high</w:t>
      </w:r>
      <w:r w:rsidR="005C77C8" w:rsidRPr="000A1D51">
        <w:t>-</w:t>
      </w:r>
      <w:r w:rsidR="00FF11B1" w:rsidRPr="000A1D51">
        <w:t>quality proposals</w:t>
      </w:r>
      <w:r w:rsidR="005C77C8" w:rsidRPr="000A1D51">
        <w:t xml:space="preserve">. However, </w:t>
      </w:r>
      <w:r w:rsidR="00FF11B1" w:rsidRPr="000A1D51">
        <w:t xml:space="preserve">it would be important to </w:t>
      </w:r>
      <w:r w:rsidR="005C77C8" w:rsidRPr="000A1D51">
        <w:t xml:space="preserve">monitor and </w:t>
      </w:r>
      <w:r w:rsidR="00FF11B1" w:rsidRPr="000A1D51">
        <w:t xml:space="preserve">ensure that this did not undermine </w:t>
      </w:r>
      <w:r w:rsidR="003A5B0F" w:rsidRPr="000A1D51">
        <w:t>ASEC current ownership of the proposal development process</w:t>
      </w:r>
      <w:r w:rsidR="005C77C8" w:rsidRPr="000A1D51">
        <w:t>, as this is a key positive characteristic of the current AADCP II model.</w:t>
      </w:r>
    </w:p>
    <w:p w14:paraId="4E321409" w14:textId="77777777" w:rsidR="007F12E7" w:rsidRPr="000A1D51" w:rsidRDefault="007F12E7" w:rsidP="007F12E7">
      <w:pPr>
        <w:pStyle w:val="Heading3"/>
      </w:pPr>
      <w:bookmarkStart w:id="46" w:name="_Toc24884114"/>
      <w:bookmarkStart w:id="47" w:name="_Toc31820116"/>
      <w:bookmarkStart w:id="48" w:name="_Toc9940405"/>
      <w:r w:rsidRPr="000A1D51">
        <w:t>Project level efficiency</w:t>
      </w:r>
      <w:bookmarkEnd w:id="46"/>
      <w:bookmarkEnd w:id="47"/>
    </w:p>
    <w:p w14:paraId="72376E1D" w14:textId="7CAC3458" w:rsidR="002C05A6" w:rsidRPr="000A1D51" w:rsidRDefault="007F12E7" w:rsidP="00855187">
      <w:pPr>
        <w:pStyle w:val="ListParagraph"/>
      </w:pPr>
      <w:r w:rsidRPr="000A1D51">
        <w:t>Efficiency</w:t>
      </w:r>
      <w:r w:rsidR="002C05A6" w:rsidRPr="000A1D51">
        <w:t xml:space="preserve"> at the project level has been mixed. </w:t>
      </w:r>
      <w:r w:rsidR="006510F2" w:rsidRPr="000A1D51">
        <w:t>The AADCP II</w:t>
      </w:r>
      <w:r w:rsidR="002C05A6" w:rsidRPr="000A1D51">
        <w:t xml:space="preserve"> partnership </w:t>
      </w:r>
      <w:r w:rsidR="006510F2" w:rsidRPr="000A1D51">
        <w:t xml:space="preserve">model </w:t>
      </w:r>
      <w:r w:rsidR="002C05A6" w:rsidRPr="000A1D51">
        <w:t>requires the relevant ASEC division to own the design and implementation of project activities</w:t>
      </w:r>
      <w:r w:rsidR="00520799" w:rsidRPr="000A1D51">
        <w:t xml:space="preserve">, although PPMSU project officers </w:t>
      </w:r>
      <w:r w:rsidR="000755FE" w:rsidRPr="000A1D51">
        <w:t xml:space="preserve">and/or external partners may </w:t>
      </w:r>
      <w:r w:rsidR="00075864" w:rsidRPr="000A1D51">
        <w:t>provide support</w:t>
      </w:r>
      <w:r w:rsidR="002C05A6" w:rsidRPr="000A1D51">
        <w:t xml:space="preserve">. When the relevant division has many competing commitments and/or lacks the requisite staff skills and resources, or is otherwise not fully engaged in implementation, the quality and relevance of outcomes suffers </w:t>
      </w:r>
      <w:r w:rsidR="00AB516C" w:rsidRPr="000A1D51">
        <w:t xml:space="preserve">Some discussants also noted some </w:t>
      </w:r>
      <w:r w:rsidR="002C05A6" w:rsidRPr="000A1D51">
        <w:t xml:space="preserve">lack of clarity in the division of roles and responsibilities between ASEC Desk Officers and the PPMSU. </w:t>
      </w:r>
      <w:r w:rsidR="00401C6C" w:rsidRPr="000A1D51">
        <w:t>Notwithstanding</w:t>
      </w:r>
      <w:r w:rsidR="00DE7F30" w:rsidRPr="000A1D51">
        <w:t xml:space="preserve"> these challenges, two of the Desk Officers</w:t>
      </w:r>
      <w:r w:rsidR="00D015D7" w:rsidRPr="000A1D51">
        <w:rPr>
          <w:rStyle w:val="FootnoteReference"/>
        </w:rPr>
        <w:footnoteReference w:id="30"/>
      </w:r>
      <w:r w:rsidR="00DE7F30" w:rsidRPr="000A1D51">
        <w:t xml:space="preserve"> consulted with on this review noted that </w:t>
      </w:r>
      <w:r w:rsidR="00B75268" w:rsidRPr="000A1D51">
        <w:t xml:space="preserve">AADCP II is accessible and </w:t>
      </w:r>
      <w:r w:rsidR="0020013D" w:rsidRPr="000A1D51">
        <w:t>the</w:t>
      </w:r>
      <w:r w:rsidR="00BB5FC5" w:rsidRPr="000A1D51">
        <w:t xml:space="preserve"> support they receive from </w:t>
      </w:r>
      <w:r w:rsidR="00B75268" w:rsidRPr="000A1D51">
        <w:t>PPMSU</w:t>
      </w:r>
      <w:r w:rsidR="00BB5FC5" w:rsidRPr="000A1D51">
        <w:t xml:space="preserve"> enables them to </w:t>
      </w:r>
      <w:r w:rsidR="00FA5AFC" w:rsidRPr="000A1D51">
        <w:t>perform their roles</w:t>
      </w:r>
      <w:r w:rsidR="00154A5B" w:rsidRPr="000A1D51">
        <w:t xml:space="preserve">. </w:t>
      </w:r>
    </w:p>
    <w:p w14:paraId="53884E5D" w14:textId="77777777" w:rsidR="002C05A6" w:rsidRPr="000A1D51" w:rsidRDefault="002C05A6" w:rsidP="00855187">
      <w:pPr>
        <w:pStyle w:val="ListParagraph"/>
      </w:pPr>
      <w:r w:rsidRPr="000A1D51">
        <w:t xml:space="preserve">The </w:t>
      </w:r>
      <w:r w:rsidR="00D604F7" w:rsidRPr="000A1D51">
        <w:t>AADCP II</w:t>
      </w:r>
      <w:r w:rsidRPr="000A1D51">
        <w:t xml:space="preserve"> approach of starting small, learning from experience, and building shared priorities and trust, before considering more substantive engagements appears to be working well. Where feasible, the more substantive engagements (especially in connectivity and IAI) have been particularly helpful in build substantive practical capacity within ASEC at all stages of the program cycle from problem identification, strategic planning, formulation and implementation of interventions, and monitoring and evaluation. </w:t>
      </w:r>
    </w:p>
    <w:p w14:paraId="2F331B21" w14:textId="77777777" w:rsidR="002C05A6" w:rsidRPr="000A1D51" w:rsidRDefault="002C05A6" w:rsidP="00AB516C">
      <w:pPr>
        <w:pStyle w:val="Heading3"/>
      </w:pPr>
      <w:bookmarkStart w:id="49" w:name="_Toc24884115"/>
      <w:bookmarkStart w:id="50" w:name="_Toc31820117"/>
      <w:r w:rsidRPr="000A1D51">
        <w:t>Efficiency</w:t>
      </w:r>
      <w:r w:rsidR="0058053A" w:rsidRPr="000A1D51">
        <w:t>:</w:t>
      </w:r>
      <w:r w:rsidRPr="000A1D51">
        <w:t xml:space="preserve"> </w:t>
      </w:r>
      <w:r w:rsidR="000A33FA" w:rsidRPr="000A1D51">
        <w:t xml:space="preserve">build links </w:t>
      </w:r>
      <w:r w:rsidRPr="000A1D51">
        <w:t xml:space="preserve">with </w:t>
      </w:r>
      <w:r w:rsidR="00105B75" w:rsidRPr="000A1D51">
        <w:t xml:space="preserve">national initiatives and </w:t>
      </w:r>
      <w:r w:rsidRPr="000A1D51">
        <w:t xml:space="preserve">other </w:t>
      </w:r>
      <w:r w:rsidR="0007654F" w:rsidRPr="000A1D51">
        <w:t>development</w:t>
      </w:r>
      <w:r w:rsidRPr="000A1D51">
        <w:t xml:space="preserve"> partners</w:t>
      </w:r>
      <w:bookmarkEnd w:id="49"/>
      <w:bookmarkEnd w:id="50"/>
    </w:p>
    <w:p w14:paraId="56A4968E" w14:textId="42E4D768" w:rsidR="00D604F7" w:rsidRPr="000A1D51" w:rsidRDefault="00D604F7" w:rsidP="00D604F7">
      <w:pPr>
        <w:pStyle w:val="ListParagraph"/>
      </w:pPr>
      <w:r w:rsidRPr="000A1D51">
        <w:t xml:space="preserve">A key challenge to effective and efficient delivery at the sectoral level is the limited scope for </w:t>
      </w:r>
      <w:r w:rsidR="004E0D59" w:rsidRPr="000A1D51">
        <w:t xml:space="preserve">ASEC </w:t>
      </w:r>
      <w:r w:rsidRPr="000A1D51">
        <w:t xml:space="preserve">sectoral </w:t>
      </w:r>
      <w:r w:rsidR="00CC2FEF" w:rsidRPr="000A1D51">
        <w:t>divisions</w:t>
      </w:r>
      <w:r w:rsidRPr="000A1D51">
        <w:t xml:space="preserve"> to work with national sectoral institutions to leverage regional cooperation to secure national level outcomes. Australia funds several other regional and national programs</w:t>
      </w:r>
      <w:r w:rsidRPr="000A1D51">
        <w:rPr>
          <w:rStyle w:val="FootnoteReference"/>
        </w:rPr>
        <w:footnoteReference w:id="31"/>
      </w:r>
      <w:r w:rsidRPr="000A1D51">
        <w:t xml:space="preserve"> that support activities aimed at contributing to ASEAN integration and community building objectives, and which might be leveraged to improve linkages to national level outcomes. For example, the AECSP support for ASEAN Australia New Zealand Free Trade Agreement (AANZFTA) implementation </w:t>
      </w:r>
      <w:r w:rsidR="00C74049" w:rsidRPr="000A1D51">
        <w:t>supports</w:t>
      </w:r>
      <w:r w:rsidRPr="000A1D51">
        <w:t xml:space="preserve"> activities directly linked to ASEAN implementation including standards, harmonization of competition policy and intellectual property protection, and other business and trade regulations. </w:t>
      </w:r>
      <w:r w:rsidR="00C74049" w:rsidRPr="000A1D51">
        <w:t xml:space="preserve">And </w:t>
      </w:r>
      <w:r w:rsidRPr="000A1D51">
        <w:t xml:space="preserve">DFAT support for ERIA is directly linked to ASEAN </w:t>
      </w:r>
      <w:r w:rsidRPr="000A1D51">
        <w:lastRenderedPageBreak/>
        <w:t xml:space="preserve">IAI initiatives in that it aims to build policy analysis and implementation capacity in the Cambodia, Laos and Myanmar (CLM). </w:t>
      </w:r>
    </w:p>
    <w:p w14:paraId="0330B010" w14:textId="77777777" w:rsidR="002C05A6" w:rsidRPr="000A1D51" w:rsidRDefault="003235F3" w:rsidP="00855187">
      <w:pPr>
        <w:pStyle w:val="ListParagraph"/>
      </w:pPr>
      <w:r w:rsidRPr="000A1D51">
        <w:t>DFAT</w:t>
      </w:r>
      <w:r w:rsidR="002C05A6" w:rsidRPr="000A1D51">
        <w:t xml:space="preserve"> could </w:t>
      </w:r>
      <w:r w:rsidRPr="000A1D51">
        <w:t xml:space="preserve">explore options (including the development of ASEAN level sector strategies) </w:t>
      </w:r>
      <w:r w:rsidR="00611E9B" w:rsidRPr="000A1D51">
        <w:t>to link</w:t>
      </w:r>
      <w:r w:rsidR="002C05A6" w:rsidRPr="000A1D51">
        <w:t xml:space="preserve"> sectoral working group dialogue mechanisms {e.g. under </w:t>
      </w:r>
      <w:r w:rsidR="00611E9B" w:rsidRPr="000A1D51">
        <w:t xml:space="preserve">AANZFTA </w:t>
      </w:r>
      <w:r w:rsidR="002C05A6" w:rsidRPr="000A1D51">
        <w:t xml:space="preserve">and the Regional Comprehensive Economic Partnership (RCEP)} to identify and develop proposals and determine the most appropriate implementation mechanism </w:t>
      </w:r>
      <w:r w:rsidR="004372BD" w:rsidRPr="000A1D51">
        <w:t xml:space="preserve">for achieving Australia’s ASEAN level sector objectives. </w:t>
      </w:r>
      <w:r w:rsidR="002C05A6" w:rsidRPr="000A1D51">
        <w:t xml:space="preserve">In addition to </w:t>
      </w:r>
      <w:r w:rsidR="004372BD" w:rsidRPr="000A1D51">
        <w:t>promoting links to national level initiatives,</w:t>
      </w:r>
      <w:r w:rsidR="002C05A6" w:rsidRPr="000A1D51">
        <w:t xml:space="preserve"> this would help Australia develop a more strategic and coordinated approach to delivering and monitoring support to realize sectoral level outcomes that are in both ASEAN and Australia’s interests. </w:t>
      </w:r>
      <w:r w:rsidR="00BA3144" w:rsidRPr="000A1D51">
        <w:t xml:space="preserve"> </w:t>
      </w:r>
    </w:p>
    <w:p w14:paraId="7DDF0D8E" w14:textId="77777777" w:rsidR="00631471" w:rsidRPr="000A1D51" w:rsidRDefault="004372BD" w:rsidP="00631471">
      <w:pPr>
        <w:pStyle w:val="ListParagraph"/>
      </w:pPr>
      <w:r w:rsidRPr="000A1D51">
        <w:t>For example, in the agriculture sector</w:t>
      </w:r>
      <w:r w:rsidR="002C05A6" w:rsidRPr="000A1D51">
        <w:t xml:space="preserve"> Australia directly engages in developing and building standards in agriculture via regional support provided under AADCP II and AECSP as well as under bilateral programs (including ACIAR support). The Australian Department of Agriculture (DoA) maintains a strong interest </w:t>
      </w:r>
      <w:r w:rsidR="00227290" w:rsidRPr="000A1D51">
        <w:t xml:space="preserve">and remains engaged </w:t>
      </w:r>
      <w:r w:rsidR="002C05A6" w:rsidRPr="000A1D51">
        <w:t>in these issues as part of its ongoing trade and development dialogue with AMS.</w:t>
      </w:r>
      <w:r w:rsidR="00B5543A" w:rsidRPr="000A1D51">
        <w:t xml:space="preserve"> The development of an Australian agriculture sector strategy for engagement in the ASEAN agriculture sector, together with clear targeted outcomes, could facilitate more coordinated and efficient </w:t>
      </w:r>
      <w:r w:rsidR="002F20C7" w:rsidRPr="000A1D51">
        <w:t>support for ASEAN agriculture sector development.</w:t>
      </w:r>
    </w:p>
    <w:p w14:paraId="7118062F" w14:textId="77777777" w:rsidR="00FC6195" w:rsidRPr="000A1D51" w:rsidRDefault="009F01D6" w:rsidP="00596A45">
      <w:pPr>
        <w:pStyle w:val="Heading2"/>
        <w:rPr>
          <w:lang w:val="en-AU"/>
        </w:rPr>
      </w:pPr>
      <w:bookmarkStart w:id="51" w:name="_Toc24884116"/>
      <w:bookmarkStart w:id="52" w:name="_Toc31820118"/>
      <w:bookmarkEnd w:id="48"/>
      <w:r w:rsidRPr="000A1D51">
        <w:rPr>
          <w:lang w:val="en-AU"/>
        </w:rPr>
        <w:t>Partnership</w:t>
      </w:r>
      <w:bookmarkEnd w:id="51"/>
      <w:bookmarkEnd w:id="52"/>
      <w:r w:rsidRPr="000A1D51">
        <w:rPr>
          <w:lang w:val="en-AU"/>
        </w:rPr>
        <w:t xml:space="preserve"> </w:t>
      </w:r>
      <w:bookmarkStart w:id="53" w:name="_Toc21417457"/>
    </w:p>
    <w:bookmarkEnd w:id="53"/>
    <w:p w14:paraId="6A388DF9" w14:textId="621DA3E2" w:rsidR="00FC6195" w:rsidRPr="000A1D51" w:rsidRDefault="00FC6195" w:rsidP="00855187">
      <w:pPr>
        <w:pStyle w:val="ListParagraph"/>
      </w:pPr>
      <w:r w:rsidRPr="000A1D51">
        <w:t>AADCP II’s partnership approach works at two levels</w:t>
      </w:r>
      <w:r w:rsidR="00797428" w:rsidRPr="000A1D51">
        <w:t xml:space="preserve"> </w:t>
      </w:r>
      <w:r w:rsidRPr="000A1D51">
        <w:t>- the wider program level and specific projects. At the program-wide level, Australia’s support (financial and human resources) is integrated into ASEC operations and implementation systems. At the project level, Australia’s support directly addresses specific priorities and issues identified by ASEC at the sector, cross-cutting and corporate levels.  AADCP II only supports projects initiated by ASEC</w:t>
      </w:r>
      <w:r w:rsidR="000755FE" w:rsidRPr="000A1D51">
        <w:t xml:space="preserve">: it </w:t>
      </w:r>
      <w:r w:rsidRPr="000A1D51">
        <w:t>do</w:t>
      </w:r>
      <w:r w:rsidR="002F20C7" w:rsidRPr="000A1D51">
        <w:t>es</w:t>
      </w:r>
      <w:r w:rsidRPr="000A1D51">
        <w:t xml:space="preserve">n’t have a ‘formal’ role in project implementation.    </w:t>
      </w:r>
    </w:p>
    <w:p w14:paraId="16AB7A74" w14:textId="77777777" w:rsidR="00FC6195" w:rsidRPr="000A1D51" w:rsidRDefault="00FC6195" w:rsidP="00855187">
      <w:pPr>
        <w:pStyle w:val="ListParagraph"/>
      </w:pPr>
      <w:r w:rsidRPr="000A1D51">
        <w:t xml:space="preserve">AADCP II’s unique partnership modality is integral to how the program operates. The partnership approach cannot be considered in isolation and has therefore been discussed throughout the report, for instance, how the modality is supporting ongoing relevance of AADCP II’s work to Australia and ASEAN where both ASEAN (demand-led approach serving the AEC) and Australia (through a DFAT-funded embedded Program Director and high-level diplomacy from DFAT-ASEAN mission advancing the AIP, </w:t>
      </w:r>
      <w:r w:rsidR="00E0776D" w:rsidRPr="000A1D51">
        <w:t>A</w:t>
      </w:r>
      <w:r w:rsidRPr="000A1D51">
        <w:t xml:space="preserve">FPWP) are engaged in decision-making regarding sectors and individual projects that AADCP II fund. </w:t>
      </w:r>
    </w:p>
    <w:p w14:paraId="4B856452" w14:textId="77777777" w:rsidR="00FC6195" w:rsidRPr="000A1D51" w:rsidRDefault="00FC6195" w:rsidP="00855187">
      <w:pPr>
        <w:pStyle w:val="ListParagraph"/>
      </w:pPr>
      <w:r w:rsidRPr="000A1D51">
        <w:t>DFAT’s framework for Value for Money includes the 4Es- Effectiveness, Economy, Efficiency and Equity which are underpinned by eight principles</w:t>
      </w:r>
      <w:r w:rsidRPr="000A1D51">
        <w:rPr>
          <w:rStyle w:val="FootnoteReference"/>
          <w:rFonts w:cs="Calibri"/>
          <w:color w:val="000000"/>
        </w:rPr>
        <w:footnoteReference w:id="32"/>
      </w:r>
      <w:r w:rsidRPr="000A1D51">
        <w:t xml:space="preserve"> (it should be noted that not all principles apply to every program). Further to the 4Es, DFAT’s internal reporting through the Aid Quality Checks also provide a rubric for assessing program </w:t>
      </w:r>
      <w:r w:rsidRPr="000A1D51">
        <w:lastRenderedPageBreak/>
        <w:t xml:space="preserve">effectiveness and efficiency. Based on these criteria, overall, the partnership approach on AADCP II demonstrates value for money. These are discussed in more detail below. </w:t>
      </w:r>
    </w:p>
    <w:p w14:paraId="57666FC2" w14:textId="77777777" w:rsidR="00FC6195" w:rsidRPr="000A1D51" w:rsidRDefault="00FC6195" w:rsidP="00FC6195">
      <w:pPr>
        <w:spacing w:after="200" w:line="276" w:lineRule="auto"/>
        <w:rPr>
          <w:rFonts w:ascii="Calibri" w:hAnsi="Calibri" w:cs="Calibri"/>
          <w:b/>
          <w:bCs/>
          <w:color w:val="000000"/>
          <w:sz w:val="22"/>
          <w:szCs w:val="22"/>
        </w:rPr>
      </w:pPr>
      <w:r w:rsidRPr="000A1D51">
        <w:rPr>
          <w:rFonts w:ascii="Calibri" w:hAnsi="Calibri" w:cs="Calibri"/>
          <w:b/>
          <w:bCs/>
          <w:color w:val="000000"/>
          <w:sz w:val="22"/>
          <w:szCs w:val="22"/>
        </w:rPr>
        <w:t>Effectiveness-</w:t>
      </w:r>
      <w:r w:rsidRPr="000A1D51">
        <w:rPr>
          <w:rFonts w:ascii="Calibri" w:hAnsi="Calibri" w:cs="Calibri"/>
          <w:b/>
          <w:bCs/>
          <w:color w:val="000000"/>
        </w:rPr>
        <w:t xml:space="preserve"> </w:t>
      </w:r>
      <w:r w:rsidRPr="000A1D51">
        <w:rPr>
          <w:rFonts w:ascii="Calibri" w:hAnsi="Calibri" w:cs="Calibri"/>
          <w:b/>
          <w:bCs/>
          <w:color w:val="000000"/>
          <w:sz w:val="22"/>
          <w:szCs w:val="22"/>
        </w:rPr>
        <w:t>Did AADCP II strengthen ASEAN-Australia relationship and promote partner priorities?</w:t>
      </w:r>
    </w:p>
    <w:p w14:paraId="0FDA5ABE" w14:textId="77777777" w:rsidR="00FC6195" w:rsidRPr="000A1D51" w:rsidRDefault="00FC6195" w:rsidP="00855187">
      <w:pPr>
        <w:pStyle w:val="ListParagraph"/>
      </w:pPr>
      <w:r w:rsidRPr="000A1D51">
        <w:t>From a strategic perspective, the ASEAN-Australia relationship was noted to be strong by Australian counterparts, with AADCP II providing Australia high-level access to ASEAN and ASEC and opportunities for ongoing dialogue on areas of mutual interest. The DFAT-ASEAN Mission strongly acknowledged ASEAN’s centrality for advancing development objectives in the region and underscored the importance of strengthening ASEC capacity through AADCP II</w:t>
      </w:r>
      <w:r w:rsidR="00797428" w:rsidRPr="000A1D51">
        <w:t>.</w:t>
      </w:r>
      <w:r w:rsidRPr="000A1D51">
        <w:t xml:space="preserve"> Moreover, several ASEC discussants </w:t>
      </w:r>
      <w:r w:rsidR="008954A1" w:rsidRPr="000A1D51">
        <w:t>identified</w:t>
      </w:r>
      <w:r w:rsidRPr="000A1D51">
        <w:t xml:space="preserve"> AADCP II </w:t>
      </w:r>
      <w:r w:rsidR="008954A1" w:rsidRPr="000A1D51">
        <w:t>as</w:t>
      </w:r>
      <w:r w:rsidRPr="000A1D51">
        <w:t xml:space="preserve"> one of their preferred dialogue partner</w:t>
      </w:r>
      <w:r w:rsidR="00797428" w:rsidRPr="000A1D51">
        <w:t xml:space="preserve"> program</w:t>
      </w:r>
      <w:r w:rsidRPr="000A1D51">
        <w:t>s</w:t>
      </w:r>
      <w:r w:rsidRPr="000A1D51">
        <w:rPr>
          <w:rStyle w:val="FootnoteReference"/>
        </w:rPr>
        <w:footnoteReference w:id="33"/>
      </w:r>
      <w:r w:rsidRPr="000A1D51">
        <w:t xml:space="preserve"> owing to the program’s demand-led and flexible nature. This strong commitment from both stakeholders is evident in their exclusive ongoing engagement in high-profile, sensitive areas such as connectivity and related infrastructure work.  </w:t>
      </w:r>
    </w:p>
    <w:p w14:paraId="46D7E8C4" w14:textId="2624F204" w:rsidR="00FC6195" w:rsidRPr="000A1D51" w:rsidRDefault="00FC6195" w:rsidP="00855187">
      <w:pPr>
        <w:pStyle w:val="ListParagraph"/>
      </w:pPr>
      <w:r w:rsidRPr="000A1D51">
        <w:t xml:space="preserve">As discussed earlier in the report, AADCP II’s work has been highly relevant to both ASEAN and Australia, to the extent that the program was sometimes seen by ASEAN as synonymous with Australian support. </w:t>
      </w:r>
      <w:r w:rsidR="00384175" w:rsidRPr="000A1D51">
        <w:t>D</w:t>
      </w:r>
      <w:r w:rsidR="00665153" w:rsidRPr="000A1D51">
        <w:t xml:space="preserve">iscussions with </w:t>
      </w:r>
      <w:r w:rsidRPr="000A1D51">
        <w:t>DFAT-Canberra</w:t>
      </w:r>
      <w:r w:rsidR="00384175" w:rsidRPr="000A1D51">
        <w:t xml:space="preserve"> indicated</w:t>
      </w:r>
      <w:r w:rsidR="00665153" w:rsidRPr="000A1D51">
        <w:t xml:space="preserve"> that while they</w:t>
      </w:r>
      <w:r w:rsidRPr="000A1D51">
        <w:t xml:space="preserve"> had a high-level understanding of the program’s influence, they weren’t fully aware of how Australia could leverage AADCP II to </w:t>
      </w:r>
      <w:r w:rsidR="00A94CFD" w:rsidRPr="000A1D51">
        <w:t xml:space="preserve">promote </w:t>
      </w:r>
      <w:r w:rsidR="00C94544" w:rsidRPr="000A1D51">
        <w:t xml:space="preserve">its </w:t>
      </w:r>
      <w:r w:rsidRPr="000A1D51">
        <w:t xml:space="preserve">wider interests in the region. A more targeted and sharper focus on communication from the DFAT-ASEAN Mission in Jakarta would be valuable in highlighting both the formal and informal channels of AADCP II influence to colleagues back in Australia. Further, to promote a greater Australian whole-of-government approach, the DFAT Mission could use the strong AADCP II platform and partnership with ASEAN to </w:t>
      </w:r>
      <w:r w:rsidR="00C94544" w:rsidRPr="000A1D51">
        <w:t xml:space="preserve">promote </w:t>
      </w:r>
      <w:r w:rsidRPr="000A1D51">
        <w:t xml:space="preserve">Australia’s other regional, bilateral and WoG agency initiatives relevant to ASEAN priorities.  </w:t>
      </w:r>
    </w:p>
    <w:p w14:paraId="64097474" w14:textId="77777777" w:rsidR="00FC6195" w:rsidRPr="000A1D51" w:rsidRDefault="00FC6195" w:rsidP="00FC6195">
      <w:pPr>
        <w:rPr>
          <w:rFonts w:ascii="Calibri" w:hAnsi="Calibri" w:cs="Calibri"/>
          <w:b/>
          <w:bCs/>
          <w:color w:val="000000"/>
          <w:sz w:val="22"/>
          <w:szCs w:val="22"/>
        </w:rPr>
      </w:pPr>
      <w:r w:rsidRPr="000A1D51">
        <w:rPr>
          <w:rFonts w:ascii="Calibri" w:hAnsi="Calibri" w:cs="Calibri"/>
          <w:b/>
          <w:bCs/>
          <w:color w:val="000000"/>
          <w:sz w:val="22"/>
          <w:szCs w:val="22"/>
        </w:rPr>
        <w:t>Economy -Was the program cost-conscious?</w:t>
      </w:r>
    </w:p>
    <w:p w14:paraId="59C56A65" w14:textId="77777777" w:rsidR="00FC6195" w:rsidRPr="000A1D51" w:rsidRDefault="00FC6195" w:rsidP="00855187">
      <w:pPr>
        <w:pStyle w:val="ListParagraph"/>
      </w:pPr>
      <w:r w:rsidRPr="000A1D51">
        <w:t xml:space="preserve">As noted earlier in the report, the program has been cost conscious by using competitive selection processes when selecting partners and contractors. AADCP II generally follows ASEC’s procurement processes with supplemental steps, such as the use of project-specific </w:t>
      </w:r>
      <w:r w:rsidR="004C1476" w:rsidRPr="000A1D51">
        <w:t>technical assessment panels (</w:t>
      </w:r>
      <w:r w:rsidRPr="000A1D51">
        <w:t>TAPs</w:t>
      </w:r>
      <w:r w:rsidR="004C1476" w:rsidRPr="000A1D51">
        <w:t>)</w:t>
      </w:r>
      <w:r w:rsidRPr="000A1D51">
        <w:t>, to assess the quality and suitability of the technical project proposals prior to a financial review which was noted by Deloitte</w:t>
      </w:r>
      <w:r w:rsidR="00D20B49" w:rsidRPr="000A1D51">
        <w:rPr>
          <w:rStyle w:val="FootnoteReference"/>
        </w:rPr>
        <w:footnoteReference w:id="34"/>
      </w:r>
      <w:r w:rsidRPr="000A1D51">
        <w:t xml:space="preserve"> to be good practice. Further, ASEC staff remarked that for the most part, ASEC had access to high-quality consultants through AADCP II and the program’s tender process was fair and transparent which they used as a benchmark with other partners. </w:t>
      </w:r>
    </w:p>
    <w:p w14:paraId="058F7FE2" w14:textId="77777777" w:rsidR="00E11825" w:rsidRPr="000A1D51" w:rsidRDefault="00E11825" w:rsidP="00855187">
      <w:pPr>
        <w:pStyle w:val="ListParagraph"/>
      </w:pPr>
      <w:r w:rsidRPr="000A1D51">
        <w:t xml:space="preserve">The program </w:t>
      </w:r>
      <w:r w:rsidR="008141D3" w:rsidRPr="000A1D51">
        <w:t xml:space="preserve">advocates and promotes for ASEC to use </w:t>
      </w:r>
      <w:r w:rsidR="00160937" w:rsidRPr="000A1D51">
        <w:t>transparent and equitable basis of payment in AADCP II contracting</w:t>
      </w:r>
      <w:r w:rsidR="00EB7CB9" w:rsidRPr="000A1D51">
        <w:t xml:space="preserve">, including drafting </w:t>
      </w:r>
      <w:r w:rsidR="00A04E15" w:rsidRPr="000A1D51">
        <w:t>contract clauses</w:t>
      </w:r>
      <w:r w:rsidR="00FF7359" w:rsidRPr="000A1D51">
        <w:t xml:space="preserve"> </w:t>
      </w:r>
      <w:r w:rsidR="00795EA5" w:rsidRPr="000A1D51">
        <w:t>as a risk mitigation strategy</w:t>
      </w:r>
      <w:r w:rsidR="00390771" w:rsidRPr="000A1D51">
        <w:t xml:space="preserve"> which aren’t always agreed to by ASEC</w:t>
      </w:r>
      <w:r w:rsidR="004B749D" w:rsidRPr="000A1D51">
        <w:t xml:space="preserve">. </w:t>
      </w:r>
      <w:r w:rsidR="006F7E12" w:rsidRPr="000A1D51">
        <w:t xml:space="preserve">AADCP II uses </w:t>
      </w:r>
      <w:r w:rsidR="007919C1" w:rsidRPr="000A1D51">
        <w:t xml:space="preserve">reimbursable </w:t>
      </w:r>
      <w:r w:rsidR="007919C1" w:rsidRPr="000A1D51">
        <w:lastRenderedPageBreak/>
        <w:t xml:space="preserve">and </w:t>
      </w:r>
      <w:r w:rsidR="006F7E12" w:rsidRPr="000A1D51">
        <w:t>milestone payment</w:t>
      </w:r>
      <w:r w:rsidR="00FA66A0" w:rsidRPr="000A1D51">
        <w:t xml:space="preserve"> terms</w:t>
      </w:r>
      <w:r w:rsidR="006F7E12" w:rsidRPr="000A1D51">
        <w:t xml:space="preserve">, for example, </w:t>
      </w:r>
      <w:r w:rsidR="007901DC" w:rsidRPr="000A1D51">
        <w:t>to avoid opaque payment structures</w:t>
      </w:r>
      <w:r w:rsidR="00636E3C" w:rsidRPr="000A1D51">
        <w:t xml:space="preserve">, </w:t>
      </w:r>
      <w:r w:rsidR="00FA66A0" w:rsidRPr="000A1D51">
        <w:t>and</w:t>
      </w:r>
      <w:r w:rsidR="00636E3C" w:rsidRPr="000A1D51">
        <w:t xml:space="preserve"> ensure Australia is paying for </w:t>
      </w:r>
      <w:r w:rsidR="007919C1" w:rsidRPr="000A1D51">
        <w:t>work completed</w:t>
      </w:r>
      <w:r w:rsidR="00D96EBE" w:rsidRPr="000A1D51">
        <w:t xml:space="preserve">, rather than work planned and budgeted for which may not get delivered. </w:t>
      </w:r>
      <w:r w:rsidR="00E6387C" w:rsidRPr="000A1D51">
        <w:t xml:space="preserve">Some ASEC proponents also noted the value of using transparent payment terms </w:t>
      </w:r>
      <w:r w:rsidR="00F607BF" w:rsidRPr="000A1D51">
        <w:t>like milestone payments.</w:t>
      </w:r>
      <w:r w:rsidR="007919C1" w:rsidRPr="000A1D51">
        <w:t xml:space="preserve"> </w:t>
      </w:r>
      <w:r w:rsidR="00A04E15" w:rsidRPr="000A1D51">
        <w:t xml:space="preserve"> </w:t>
      </w:r>
    </w:p>
    <w:p w14:paraId="6D29B6BF" w14:textId="77777777" w:rsidR="00FC6195" w:rsidRPr="000A1D51" w:rsidRDefault="00FC6195" w:rsidP="00FC6195">
      <w:pPr>
        <w:spacing w:after="200" w:line="276" w:lineRule="auto"/>
        <w:rPr>
          <w:rFonts w:ascii="Calibri" w:hAnsi="Calibri" w:cs="Calibri"/>
          <w:b/>
          <w:bCs/>
          <w:color w:val="000000"/>
          <w:sz w:val="22"/>
          <w:szCs w:val="22"/>
        </w:rPr>
      </w:pPr>
      <w:r w:rsidRPr="000A1D51">
        <w:rPr>
          <w:rFonts w:ascii="Calibri" w:hAnsi="Calibri" w:cs="Calibri"/>
          <w:b/>
          <w:bCs/>
          <w:color w:val="000000"/>
          <w:sz w:val="22"/>
          <w:szCs w:val="22"/>
        </w:rPr>
        <w:t xml:space="preserve">Efficiency – Did the modality and governance arrangements maximize efficiency? </w:t>
      </w:r>
    </w:p>
    <w:p w14:paraId="7454BFAF" w14:textId="31520A9D" w:rsidR="00FC6195" w:rsidRPr="000A1D51" w:rsidRDefault="00FC6195" w:rsidP="00855187">
      <w:pPr>
        <w:pStyle w:val="ListParagraph"/>
      </w:pPr>
      <w:r w:rsidRPr="000A1D51">
        <w:t>Key aspects of AADCP II’s governance arrangements include the Program Management Team (PMT) and the Joint Planning Review Committee (JPRC). Several discussants from ASEC highlighted the benefits of AADCP II’s JPRC mechanism, as being efficient (when compared to ASEC’s CPR process</w:t>
      </w:r>
      <w:r w:rsidR="00E966BF" w:rsidRPr="000A1D51">
        <w:rPr>
          <w:rStyle w:val="FootnoteReference"/>
        </w:rPr>
        <w:footnoteReference w:id="35"/>
      </w:r>
      <w:r w:rsidRPr="000A1D51">
        <w:t xml:space="preserve">) in approving reviewing and approving project proposals, noting that lessons from JPRC were shared with other dialogue partners as a benchmark of good governance. Similarly, the DFAT-ASEAN mission reiterated their direct involvement in the governance of AADCP II as a unique model of development cooperation that contributed to a more seamless working relationship with ASEAN. </w:t>
      </w:r>
    </w:p>
    <w:p w14:paraId="724A97FA" w14:textId="77777777" w:rsidR="00FC6195" w:rsidRPr="000A1D51" w:rsidRDefault="00FC6195" w:rsidP="00855187">
      <w:pPr>
        <w:pStyle w:val="ListParagraph"/>
      </w:pPr>
      <w:r w:rsidRPr="000A1D51">
        <w:t>While this has largely been a</w:t>
      </w:r>
      <w:r w:rsidR="002F20C7" w:rsidRPr="000A1D51">
        <w:t xml:space="preserve"> largely </w:t>
      </w:r>
      <w:r w:rsidRPr="000A1D51">
        <w:t xml:space="preserve">efficient modality from </w:t>
      </w:r>
      <w:r w:rsidR="002F20C7" w:rsidRPr="000A1D51">
        <w:t>the</w:t>
      </w:r>
      <w:r w:rsidRPr="000A1D51">
        <w:t xml:space="preserve"> Australian government perspective, discussions with AADCP II staff highlighted some operational challenges in using ASEC systems which didn’t always meet the program’s unique needs, for instance with procurement and contracting arrangements.  </w:t>
      </w:r>
    </w:p>
    <w:p w14:paraId="7209F70F" w14:textId="127E5828" w:rsidR="00FC6195" w:rsidRPr="000A1D51" w:rsidRDefault="00FC6195" w:rsidP="00855187">
      <w:pPr>
        <w:pStyle w:val="ListParagraph"/>
      </w:pPr>
      <w:r w:rsidRPr="000A1D51">
        <w:t>Some ASEC staff also remarked that AADCP II imposed relatively higher costs on ASEC (compared to other Dialogue Partners</w:t>
      </w:r>
      <w:r w:rsidR="00AF5C43" w:rsidRPr="000A1D51">
        <w:t>)</w:t>
      </w:r>
      <w:r w:rsidRPr="000A1D51">
        <w:t xml:space="preserve"> by diverting scar</w:t>
      </w:r>
      <w:r w:rsidR="00AF5C43" w:rsidRPr="000A1D51">
        <w:t>c</w:t>
      </w:r>
      <w:r w:rsidRPr="000A1D51">
        <w:t>e ASEC human resources to developing AADCP II project proposals and implementing AADCP II projects</w:t>
      </w:r>
      <w:r w:rsidRPr="000A1D51">
        <w:rPr>
          <w:rStyle w:val="FootnoteReference"/>
          <w:rFonts w:cs="Calibri"/>
          <w:color w:val="000000"/>
        </w:rPr>
        <w:footnoteReference w:id="36"/>
      </w:r>
      <w:r w:rsidRPr="000A1D51">
        <w:t xml:space="preserve">. Dialogue Partners, such as European Union, Germany and Japan work with sectoral bodies/working groups to identify priorities and lead on proposal development, and then use sectoral </w:t>
      </w:r>
      <w:r w:rsidR="006F21F9" w:rsidRPr="000A1D51">
        <w:t>institutions (</w:t>
      </w:r>
      <w:r w:rsidR="00962657" w:rsidRPr="000A1D51">
        <w:t>including AMS institutions</w:t>
      </w:r>
      <w:r w:rsidR="006F21F9" w:rsidRPr="000A1D51">
        <w:t xml:space="preserve">) </w:t>
      </w:r>
      <w:r w:rsidRPr="000A1D51">
        <w:t>to help implement activities. Most ASEC staff consulted during this review, expressed their ownership of AADCP II projects, noting that AADCP II funded activities directly supported advancing the AEC Blueprint. An interesting comment from one DP was that, from the outside, their proposal development process seemed more efficient but offered less ownership to ASEAN when compared to AADCP II’s approach. AADCP II discussants offered a similar observation, noting ASEC to have greater ownership in the overall project delivery when ASEC Desk Officers took a more proactive role in developing project proposals</w:t>
      </w:r>
      <w:bookmarkStart w:id="54" w:name="_Hlk23993601"/>
      <w:r w:rsidRPr="000A1D51">
        <w:t>.</w:t>
      </w:r>
    </w:p>
    <w:p w14:paraId="7E356A88" w14:textId="2CE892F8" w:rsidR="00596A45" w:rsidRPr="000A1D51" w:rsidRDefault="00FC6195" w:rsidP="00596A45">
      <w:pPr>
        <w:pStyle w:val="ListParagraph"/>
      </w:pPr>
      <w:r w:rsidRPr="000A1D51">
        <w:t>It should be noted, that from an ASEAN perspective, support with proposal development is desirable and an area of need given their capacity constraints. However, it may be argued that small gains in efficiency may require forgoing ASEC ownership and sustainability, to some extent, which in the broader ASEAN-Australia partnership would not be desirable</w:t>
      </w:r>
      <w:bookmarkEnd w:id="54"/>
      <w:r w:rsidRPr="000A1D51">
        <w:t xml:space="preserve">. As previously noted in the Efficiency section, this needs to be carefully considered and the use of targeted flexible resources to support </w:t>
      </w:r>
      <w:r w:rsidRPr="000A1D51">
        <w:lastRenderedPageBreak/>
        <w:t xml:space="preserve">ASEC Desk Officers with proposal development, monitored to ensure it is reinforcing Australia’s support in a way that does not undermine ASEAN ownership.  </w:t>
      </w:r>
    </w:p>
    <w:p w14:paraId="6244EBD9" w14:textId="77777777" w:rsidR="00596A45" w:rsidRPr="000A1D51" w:rsidRDefault="00596A45" w:rsidP="00596A45"/>
    <w:p w14:paraId="0918DB32" w14:textId="77777777" w:rsidR="00FC6195" w:rsidRPr="000A1D51" w:rsidRDefault="00FC6195" w:rsidP="00FC6195">
      <w:pPr>
        <w:spacing w:after="200" w:line="276" w:lineRule="auto"/>
        <w:ind w:left="426" w:hanging="66"/>
        <w:rPr>
          <w:rFonts w:ascii="Calibri" w:hAnsi="Calibri" w:cs="Calibri"/>
          <w:color w:val="000000"/>
          <w:sz w:val="22"/>
          <w:szCs w:val="22"/>
        </w:rPr>
      </w:pPr>
      <w:r w:rsidRPr="000A1D51">
        <w:rPr>
          <w:rFonts w:ascii="Calibri" w:hAnsi="Calibri" w:cs="Calibri"/>
          <w:b/>
          <w:bCs/>
          <w:color w:val="000000"/>
          <w:sz w:val="22"/>
          <w:szCs w:val="22"/>
        </w:rPr>
        <w:t xml:space="preserve">Efficiency – were </w:t>
      </w:r>
      <w:r w:rsidR="00147AAA" w:rsidRPr="000A1D51">
        <w:rPr>
          <w:rFonts w:ascii="Calibri" w:hAnsi="Calibri" w:cs="Calibri"/>
          <w:b/>
          <w:bCs/>
          <w:color w:val="000000"/>
          <w:sz w:val="22"/>
          <w:szCs w:val="22"/>
        </w:rPr>
        <w:t xml:space="preserve">ASEAN and Australian </w:t>
      </w:r>
      <w:r w:rsidRPr="000A1D51">
        <w:rPr>
          <w:rFonts w:ascii="Calibri" w:hAnsi="Calibri" w:cs="Calibri"/>
          <w:b/>
          <w:bCs/>
          <w:color w:val="000000"/>
          <w:sz w:val="22"/>
          <w:szCs w:val="22"/>
        </w:rPr>
        <w:t>staffing levels appropriate with clear roles and responsibilities?</w:t>
      </w:r>
    </w:p>
    <w:p w14:paraId="199DCE34" w14:textId="77777777" w:rsidR="00FC6195" w:rsidRPr="000A1D51" w:rsidRDefault="00FC6195" w:rsidP="00855187">
      <w:pPr>
        <w:pStyle w:val="ListParagraph"/>
      </w:pPr>
      <w:r w:rsidRPr="000A1D51">
        <w:t xml:space="preserve">Interviews with ASEC and ASEAN stakeholders stressed AADCP II’s contributions to ASEC capacity building, for instance in corporate affairs and operations, as a core comparative advantage of the program, and emphasized the strength of this aspect of the partnership model. Furthermore, it was noted that there is demand for additional capacity building support for ASEC Desk Officers’ with project management and ASEAN Sectoral Bodies </w:t>
      </w:r>
      <w:r w:rsidR="00304437" w:rsidRPr="000A1D51">
        <w:t xml:space="preserve">(SB) </w:t>
      </w:r>
      <w:r w:rsidRPr="000A1D51">
        <w:t>and Desk Officers with project proposal development.</w:t>
      </w:r>
    </w:p>
    <w:p w14:paraId="55FC6DD7" w14:textId="7318BF75" w:rsidR="00FC6195" w:rsidRPr="000A1D51" w:rsidRDefault="00FC6195" w:rsidP="00855187">
      <w:pPr>
        <w:pStyle w:val="ListParagraph"/>
      </w:pPr>
      <w:r w:rsidRPr="000A1D51">
        <w:t>The record with partnership at the project level has been mixed. AADCP II’s model requires ASEC Divisions to drive the design and implementation of projects which can sometimes delay implementation depending on ASEAN Desk Officers’ ongoing commitments with SB/WG meetings and activities. AADCP II observers noted that roles and responsibilities of different levels of ASEC desk officers in relation to project m</w:t>
      </w:r>
      <w:r w:rsidR="00953243">
        <w:t>anagement was sometimes unclear</w:t>
      </w:r>
      <w:r w:rsidRPr="000A1D51">
        <w:t>. Several AADCP II discussants also noted a lack of clarity in the division of roles and responsibilities between ASEC Desk Officers and the PPMSU, at project implementation, which could be a combination of the program’s partnership approach, ASEC not diffe</w:t>
      </w:r>
      <w:r w:rsidR="00CE251C" w:rsidRPr="000A1D51">
        <w:t>re</w:t>
      </w:r>
      <w:r w:rsidRPr="000A1D51">
        <w:t xml:space="preserve">ntiating AADCP II from other DPs, and other DPs taking a more hands-on approach to project development and implementation. </w:t>
      </w:r>
    </w:p>
    <w:p w14:paraId="500EBFD9" w14:textId="0CD044C7" w:rsidR="00FC6195" w:rsidRPr="000A1D51" w:rsidRDefault="00FC6195" w:rsidP="00855187">
      <w:pPr>
        <w:pStyle w:val="ListParagraph"/>
      </w:pPr>
      <w:r w:rsidRPr="000A1D51">
        <w:t>AADCP II’s ‘workstream programming approach’ is helping to address some of these issues and aiming to build more awareness and commitment from Sectoral Bodies</w:t>
      </w:r>
      <w:r w:rsidR="005A0776" w:rsidRPr="000A1D51">
        <w:t xml:space="preserve"> </w:t>
      </w:r>
      <w:r w:rsidR="00304437" w:rsidRPr="000A1D51">
        <w:t xml:space="preserve">(SB) </w:t>
      </w:r>
      <w:r w:rsidRPr="000A1D51">
        <w:t>and Working Groups</w:t>
      </w:r>
      <w:r w:rsidR="005A0776" w:rsidRPr="000A1D51">
        <w:t xml:space="preserve"> (WG)</w:t>
      </w:r>
      <w:r w:rsidRPr="000A1D51">
        <w:t xml:space="preserve">. This is being done </w:t>
      </w:r>
      <w:r w:rsidR="001657D8" w:rsidRPr="000A1D51">
        <w:t xml:space="preserve">through </w:t>
      </w:r>
      <w:r w:rsidRPr="000A1D51">
        <w:t xml:space="preserve">AADCP II undertaking more deliberate programming with ASEC Divisions that are receptive and exploring ways to enhance engagement with </w:t>
      </w:r>
      <w:r w:rsidR="00CE251C" w:rsidRPr="000A1D51">
        <w:t>SB</w:t>
      </w:r>
      <w:r w:rsidR="005A0776" w:rsidRPr="000A1D51">
        <w:t xml:space="preserve"> and WG</w:t>
      </w:r>
      <w:r w:rsidRPr="000A1D51">
        <w:t>. The program continues to explore opportunities to attend more SB meetings which will help to develop stronger relationships</w:t>
      </w:r>
      <w:r w:rsidR="003A243D" w:rsidRPr="000A1D51">
        <w:t>, however</w:t>
      </w:r>
      <w:r w:rsidR="00ED14EB" w:rsidRPr="000A1D51">
        <w:t xml:space="preserve">, the extent to which this is possible </w:t>
      </w:r>
      <w:r w:rsidR="00625545" w:rsidRPr="000A1D51">
        <w:t>may be</w:t>
      </w:r>
      <w:r w:rsidR="00ED14EB" w:rsidRPr="000A1D51">
        <w:t xml:space="preserve"> constrained by AADCP II’s structural dependence on ASEC</w:t>
      </w:r>
      <w:r w:rsidRPr="000A1D51">
        <w:t xml:space="preserve">. Discussions with other DPs reiterated the importance of working with SBs, with one DP remarking </w:t>
      </w:r>
      <w:r w:rsidRPr="000A1D51">
        <w:rPr>
          <w:i/>
          <w:iCs/>
        </w:rPr>
        <w:t>‘the real ASEAN happens in Sectoral Bodies.’</w:t>
      </w:r>
      <w:r w:rsidRPr="000A1D51">
        <w:t xml:space="preserve"> </w:t>
      </w:r>
      <w:r w:rsidR="00D8033F" w:rsidRPr="000A1D51">
        <w:t>This aspect of the model should be considered for the next phase of the program</w:t>
      </w:r>
      <w:r w:rsidR="008B4DC5" w:rsidRPr="000A1D51">
        <w:t xml:space="preserve"> and its value</w:t>
      </w:r>
      <w:r w:rsidR="00D8033F" w:rsidRPr="000A1D51">
        <w:t xml:space="preserve"> </w:t>
      </w:r>
      <w:r w:rsidR="008B4DC5" w:rsidRPr="000A1D51">
        <w:t xml:space="preserve">will </w:t>
      </w:r>
      <w:r w:rsidR="00D8033F" w:rsidRPr="000A1D51">
        <w:t xml:space="preserve">depend on the </w:t>
      </w:r>
      <w:r w:rsidR="008B4DC5" w:rsidRPr="000A1D51">
        <w:t>main objective</w:t>
      </w:r>
      <w:r w:rsidR="00D8033F" w:rsidRPr="000A1D51">
        <w:t xml:space="preserve"> of </w:t>
      </w:r>
      <w:r w:rsidR="008954F6" w:rsidRPr="000A1D51">
        <w:t xml:space="preserve">the </w:t>
      </w:r>
      <w:r w:rsidR="00857B99" w:rsidRPr="000A1D51">
        <w:t xml:space="preserve">future </w:t>
      </w:r>
      <w:r w:rsidR="008954F6" w:rsidRPr="000A1D51">
        <w:t>program/partnership</w:t>
      </w:r>
      <w:r w:rsidR="00D8033F" w:rsidRPr="000A1D51">
        <w:t>.</w:t>
      </w:r>
      <w:r w:rsidR="008B4DC5" w:rsidRPr="000A1D51">
        <w:t xml:space="preserve"> For instance, if the objective is</w:t>
      </w:r>
      <w:r w:rsidR="001D72AE" w:rsidRPr="000A1D51">
        <w:t xml:space="preserve"> to </w:t>
      </w:r>
      <w:r w:rsidR="009B7C85" w:rsidRPr="000A1D51">
        <w:t>continue</w:t>
      </w:r>
      <w:r w:rsidR="008B4DC5" w:rsidRPr="000A1D51">
        <w:t xml:space="preserve"> </w:t>
      </w:r>
      <w:r w:rsidR="001D72AE" w:rsidRPr="000A1D51">
        <w:t xml:space="preserve">to nurture the </w:t>
      </w:r>
      <w:r w:rsidR="008B4DC5" w:rsidRPr="000A1D51">
        <w:t>ASEAN-Australia relationship</w:t>
      </w:r>
      <w:r w:rsidR="00122319" w:rsidRPr="000A1D51">
        <w:t>, gaining partnership dividends</w:t>
      </w:r>
      <w:r w:rsidR="008B4DC5" w:rsidRPr="000A1D51">
        <w:t xml:space="preserve"> and promote sustainability, then this model will provide value.</w:t>
      </w:r>
      <w:r w:rsidR="00CC7539" w:rsidRPr="000A1D51">
        <w:t xml:space="preserve"> However, if the next phase of the program seeks to undertake more traditional development work, then using ASEC systems</w:t>
      </w:r>
      <w:r w:rsidR="002D3B9A" w:rsidRPr="000A1D51">
        <w:t xml:space="preserve"> </w:t>
      </w:r>
      <w:r w:rsidR="00857B99" w:rsidRPr="000A1D51">
        <w:t xml:space="preserve">may </w:t>
      </w:r>
      <w:r w:rsidR="00D72BEE" w:rsidRPr="000A1D51">
        <w:t xml:space="preserve">be limiting in terms of driving the development agenda, outcomes and reporting. </w:t>
      </w:r>
      <w:r w:rsidR="008B4DC5" w:rsidRPr="000A1D51">
        <w:t xml:space="preserve">  </w:t>
      </w:r>
      <w:r w:rsidR="00D8033F" w:rsidRPr="000A1D51">
        <w:t xml:space="preserve"> </w:t>
      </w:r>
    </w:p>
    <w:p w14:paraId="60E2D381" w14:textId="5A4651C2" w:rsidR="00FC6195" w:rsidRPr="000A1D51" w:rsidRDefault="00FC6195" w:rsidP="00855187">
      <w:pPr>
        <w:pStyle w:val="ListParagraph"/>
        <w:rPr>
          <w:rFonts w:ascii="Calibri" w:hAnsi="Calibri" w:cs="Calibri"/>
          <w:b/>
          <w:bCs/>
          <w:color w:val="000000"/>
        </w:rPr>
      </w:pPr>
      <w:r w:rsidRPr="000A1D51">
        <w:rPr>
          <w:rFonts w:ascii="Calibri" w:hAnsi="Calibri" w:cs="Calibri"/>
          <w:b/>
          <w:bCs/>
          <w:color w:val="000000"/>
        </w:rPr>
        <w:t>DFAT-funded Program Director and PPMSU-</w:t>
      </w:r>
      <w:r w:rsidRPr="000A1D51">
        <w:rPr>
          <w:rStyle w:val="ListParagraphChar"/>
        </w:rPr>
        <w:t xml:space="preserve"> An Australian </w:t>
      </w:r>
      <w:r w:rsidR="00473E64" w:rsidRPr="000A1D51">
        <w:rPr>
          <w:rStyle w:val="ListParagraphChar"/>
        </w:rPr>
        <w:t>official</w:t>
      </w:r>
      <w:r w:rsidRPr="000A1D51">
        <w:rPr>
          <w:rStyle w:val="ListParagraphChar"/>
        </w:rPr>
        <w:t xml:space="preserve"> as Program Director, embedded within ASEC, is a unique feature of AADCP II and different to other Dialogue Partners. The Program Director provides Australia greater access to ASEC officials, enhancing visibility of the program within ASEAN while offering additional risk assurance to Australia. The position also gives ASEAN direct access to the Australian </w:t>
      </w:r>
      <w:r w:rsidRPr="000A1D51">
        <w:rPr>
          <w:rStyle w:val="ListParagraphChar"/>
        </w:rPr>
        <w:lastRenderedPageBreak/>
        <w:t>government, and the DFAT-ASEAN Mission noted that ASEC staff felt comfortable approaching the Program Director with sensitive and high priority issues knowing that they were talking to the Australian government directly, and that the issues would be handled appropriately. Several ASEC discussants highlighted the valuable support PPMSU provided them, and that it was both the structure of the PPMSU and individuals on the team that worked well.</w:t>
      </w:r>
      <w:r w:rsidRPr="000A1D51">
        <w:rPr>
          <w:rFonts w:ascii="Calibri" w:hAnsi="Calibri" w:cs="Calibri"/>
          <w:color w:val="000000"/>
        </w:rPr>
        <w:t xml:space="preserve"> </w:t>
      </w:r>
    </w:p>
    <w:p w14:paraId="78D8D660" w14:textId="77777777" w:rsidR="00FC6195" w:rsidRPr="000A1D51" w:rsidRDefault="00FC6195" w:rsidP="00FC6195">
      <w:pPr>
        <w:spacing w:after="200" w:line="276" w:lineRule="auto"/>
        <w:rPr>
          <w:rFonts w:ascii="Calibri" w:hAnsi="Calibri" w:cs="Calibri"/>
          <w:b/>
          <w:bCs/>
          <w:color w:val="000000"/>
          <w:sz w:val="22"/>
          <w:szCs w:val="22"/>
        </w:rPr>
      </w:pPr>
      <w:r w:rsidRPr="000A1D51">
        <w:rPr>
          <w:rFonts w:ascii="Calibri" w:hAnsi="Calibri" w:cs="Calibri"/>
          <w:b/>
          <w:bCs/>
          <w:color w:val="000000"/>
          <w:sz w:val="22"/>
          <w:szCs w:val="22"/>
        </w:rPr>
        <w:t xml:space="preserve">Equity- AADCP II and ASEAN work transparently to facilitate dialogue about investment? </w:t>
      </w:r>
    </w:p>
    <w:p w14:paraId="31A50AE6" w14:textId="107B6BF6" w:rsidR="002F20C7" w:rsidRPr="000A1D51" w:rsidRDefault="00FC6195" w:rsidP="007867C9">
      <w:pPr>
        <w:pStyle w:val="ListParagraph"/>
      </w:pPr>
      <w:r w:rsidRPr="000A1D51">
        <w:t>The program model has certain inherent risks and challenges (program level: operational-procurement, contracting and project level- proposal development, implementation, monitoring, etc</w:t>
      </w:r>
      <w:r w:rsidR="00A94CFD" w:rsidRPr="000A1D51">
        <w:t>.</w:t>
      </w:r>
      <w:r w:rsidRPr="000A1D51">
        <w:t>), which are being discussed at multiple levels within ASEAN and Australia and actively managed. Discussions through the PMT, JPRC and when required, one-on-one discussions between the Australian Ambassador and Ambassadors from Member States help facilitate an open and honest dialogue about the program between partners.  Senior officials from DFAT-ASEAN Mission noted that ASEC also felt comfortable approaching the AADCP II Program Director to discuss any</w:t>
      </w:r>
      <w:r w:rsidR="00953243">
        <w:t xml:space="preserve"> high-level sensitive</w:t>
      </w:r>
      <w:r w:rsidRPr="000A1D51">
        <w:t xml:space="preserve"> issues. </w:t>
      </w:r>
    </w:p>
    <w:p w14:paraId="4A6BB9D0" w14:textId="77777777" w:rsidR="00FC6195" w:rsidRPr="000A1D51" w:rsidRDefault="00FC6195" w:rsidP="00FC6195">
      <w:pPr>
        <w:rPr>
          <w:rFonts w:ascii="Calibri" w:hAnsi="Calibri" w:cs="Calibri"/>
          <w:b/>
          <w:color w:val="000000"/>
          <w:sz w:val="22"/>
          <w:szCs w:val="22"/>
        </w:rPr>
      </w:pPr>
      <w:r w:rsidRPr="000A1D51">
        <w:rPr>
          <w:rFonts w:ascii="Calibri" w:hAnsi="Calibri" w:cs="Calibri"/>
          <w:b/>
          <w:color w:val="000000"/>
          <w:sz w:val="22"/>
          <w:szCs w:val="22"/>
        </w:rPr>
        <w:t>Is AADCP II’s partnership approach sustainable?</w:t>
      </w:r>
    </w:p>
    <w:p w14:paraId="21C42EDD" w14:textId="77777777" w:rsidR="00FC6195" w:rsidRPr="000A1D51" w:rsidRDefault="00FC6195" w:rsidP="00855187">
      <w:pPr>
        <w:pStyle w:val="ListParagraph"/>
      </w:pPr>
      <w:r w:rsidRPr="000A1D51">
        <w:t xml:space="preserve">Sustainability is a key consideration of the AADCP II partnership modality. Under the previous phase, AADCP, the program was managed by an external Managing Contractor, increasing operations costs by working through parallel systems to ASEC. Discussions presented earlier in this report show strong evidence of ownership and commitment of the overall program from ASEC. AADCP II’s demand-driven nature and its focus on building ASEC capacity by funding targeted positions reinforces sustainability of program efforts. </w:t>
      </w:r>
      <w:r w:rsidR="00EA5A69" w:rsidRPr="000A1D51">
        <w:t xml:space="preserve">Most </w:t>
      </w:r>
      <w:r w:rsidRPr="000A1D51">
        <w:t xml:space="preserve">Desk Officers supported by AADCP II are funded under the proviso that these positions are regularized within ASEC systems in the long run. This approach has been taken on board by ASEC who see the value of AADCP II-supported staff but also recognize them as ASEC employees. AADCP II’s approach of supporting ASEC Desk Officers to develop project proposals is another way of enhancing ASEC capability which ultimately reinforces sustainability.       </w:t>
      </w:r>
    </w:p>
    <w:p w14:paraId="7E46A701" w14:textId="77777777" w:rsidR="00FC6195" w:rsidRPr="000A1D51" w:rsidRDefault="00FC6195" w:rsidP="00855187">
      <w:pPr>
        <w:pStyle w:val="ListParagraph"/>
      </w:pPr>
      <w:r w:rsidRPr="000A1D51">
        <w:t xml:space="preserve">AADCP II’s ‘workstream programming approach’ is helping to reduce small one-off project requests and aiming to build more awareness and commitment from </w:t>
      </w:r>
      <w:r w:rsidR="00CE251C" w:rsidRPr="000A1D51">
        <w:t>SB</w:t>
      </w:r>
      <w:r w:rsidR="005A0776" w:rsidRPr="000A1D51">
        <w:t xml:space="preserve"> and WG</w:t>
      </w:r>
      <w:r w:rsidRPr="000A1D51">
        <w:t xml:space="preserve">. Thorough focused programming with the more receptive ASEC Divisions, AADCP II is exploring ways to enhance engagement with </w:t>
      </w:r>
      <w:r w:rsidR="00B01981" w:rsidRPr="000A1D51">
        <w:t>SBs</w:t>
      </w:r>
      <w:r w:rsidRPr="000A1D51">
        <w:t xml:space="preserve"> and </w:t>
      </w:r>
      <w:r w:rsidR="00B01981" w:rsidRPr="000A1D51">
        <w:t xml:space="preserve">WGs and </w:t>
      </w:r>
      <w:r w:rsidRPr="000A1D51">
        <w:t xml:space="preserve">continues to explore opportunities to attend more SB meetings and develop stronger relationships. </w:t>
      </w:r>
    </w:p>
    <w:p w14:paraId="7781BF94" w14:textId="77777777" w:rsidR="009F01D6" w:rsidRPr="000A1D51" w:rsidRDefault="005915B8" w:rsidP="009F01D6">
      <w:pPr>
        <w:pStyle w:val="Heading2"/>
        <w:rPr>
          <w:lang w:val="en-AU"/>
        </w:rPr>
      </w:pPr>
      <w:bookmarkStart w:id="55" w:name="_Toc24884117"/>
      <w:bookmarkStart w:id="56" w:name="_Toc31820119"/>
      <w:r w:rsidRPr="000A1D51">
        <w:rPr>
          <w:lang w:val="en-AU"/>
        </w:rPr>
        <w:t>Monitoring and Evaluation</w:t>
      </w:r>
      <w:bookmarkEnd w:id="55"/>
      <w:bookmarkEnd w:id="56"/>
    </w:p>
    <w:p w14:paraId="479F9876" w14:textId="77777777" w:rsidR="000B2030" w:rsidRPr="000A1D51" w:rsidRDefault="00AA0FC0" w:rsidP="000B2030">
      <w:pPr>
        <w:pStyle w:val="ListParagraph"/>
        <w:rPr>
          <w:lang w:val="en-AU"/>
        </w:rPr>
      </w:pPr>
      <w:r w:rsidRPr="000A1D51">
        <w:rPr>
          <w:lang w:val="en-AU"/>
        </w:rPr>
        <w:t xml:space="preserve">Overall, the current program logic </w:t>
      </w:r>
      <w:r w:rsidR="009E6174" w:rsidRPr="000A1D51">
        <w:rPr>
          <w:lang w:val="en-AU"/>
        </w:rPr>
        <w:t xml:space="preserve">is a fair representation of the partnership modality / facility model that AADCP II </w:t>
      </w:r>
      <w:r w:rsidR="00F05557" w:rsidRPr="000A1D51">
        <w:rPr>
          <w:lang w:val="en-AU"/>
        </w:rPr>
        <w:t xml:space="preserve">uses. Based on DFAT’s grouping of facilities, AADCP II can be classified as </w:t>
      </w:r>
      <w:r w:rsidR="00680591" w:rsidRPr="000A1D51">
        <w:rPr>
          <w:lang w:val="en-AU"/>
        </w:rPr>
        <w:t>a Development Facility</w:t>
      </w:r>
      <w:r w:rsidR="00680591" w:rsidRPr="000A1D51">
        <w:rPr>
          <w:rStyle w:val="FootnoteReference"/>
          <w:lang w:val="en-AU"/>
        </w:rPr>
        <w:footnoteReference w:id="37"/>
      </w:r>
      <w:r w:rsidR="004D7A2D" w:rsidRPr="000A1D51">
        <w:rPr>
          <w:lang w:val="en-AU"/>
        </w:rPr>
        <w:t>.</w:t>
      </w:r>
      <w:r w:rsidR="00680591" w:rsidRPr="000A1D51">
        <w:rPr>
          <w:lang w:val="en-AU"/>
        </w:rPr>
        <w:t xml:space="preserve"> </w:t>
      </w:r>
      <w:r w:rsidR="008C6943" w:rsidRPr="000A1D51">
        <w:rPr>
          <w:lang w:val="en-AU"/>
        </w:rPr>
        <w:t>T</w:t>
      </w:r>
      <w:r w:rsidR="004D7A2D" w:rsidRPr="000A1D51">
        <w:rPr>
          <w:lang w:val="en-AU"/>
        </w:rPr>
        <w:t>he review team recommend</w:t>
      </w:r>
      <w:r w:rsidR="005163EA" w:rsidRPr="000A1D51">
        <w:rPr>
          <w:lang w:val="en-AU"/>
        </w:rPr>
        <w:t>s</w:t>
      </w:r>
      <w:r w:rsidR="004D7A2D" w:rsidRPr="000A1D51">
        <w:rPr>
          <w:lang w:val="en-AU"/>
        </w:rPr>
        <w:t xml:space="preserve"> some changes </w:t>
      </w:r>
      <w:r w:rsidR="004D7A2D" w:rsidRPr="000A1D51">
        <w:rPr>
          <w:lang w:val="en-AU"/>
        </w:rPr>
        <w:lastRenderedPageBreak/>
        <w:t>to the current program logic to better align it to DFAT’s latest guidance on facilities and program logics.</w:t>
      </w:r>
      <w:r w:rsidR="00745462" w:rsidRPr="000A1D51">
        <w:rPr>
          <w:lang w:val="en-AU"/>
        </w:rPr>
        <w:t xml:space="preserve"> Detai</w:t>
      </w:r>
      <w:r w:rsidR="005163EA" w:rsidRPr="000A1D51">
        <w:rPr>
          <w:lang w:val="en-AU"/>
        </w:rPr>
        <w:t>ls are included</w:t>
      </w:r>
      <w:r w:rsidR="00745462" w:rsidRPr="000A1D51">
        <w:rPr>
          <w:lang w:val="en-AU"/>
        </w:rPr>
        <w:t xml:space="preserve"> in Annex 5: MEL Review</w:t>
      </w:r>
      <w:r w:rsidR="00BF34FC" w:rsidRPr="000A1D51">
        <w:rPr>
          <w:lang w:val="en-AU"/>
        </w:rPr>
        <w:t xml:space="preserve"> and summarised below</w:t>
      </w:r>
      <w:r w:rsidR="00745462" w:rsidRPr="000A1D51">
        <w:rPr>
          <w:lang w:val="en-AU"/>
        </w:rPr>
        <w:t>.</w:t>
      </w:r>
    </w:p>
    <w:p w14:paraId="50A8BEE8" w14:textId="77777777" w:rsidR="00035BB6" w:rsidRPr="000A1D51" w:rsidRDefault="00035BB6" w:rsidP="00035BB6">
      <w:pPr>
        <w:pStyle w:val="ListParagraph"/>
        <w:rPr>
          <w:i/>
          <w:iCs/>
          <w:lang w:val="en-AU"/>
        </w:rPr>
      </w:pPr>
      <w:r w:rsidRPr="000A1D51">
        <w:t xml:space="preserve">To better capture program stakeholders in addition to ‘ASEAN Bodies’, it is recommended that End of Program Outcome 1 (EOPO1): is rephrased as: </w:t>
      </w:r>
      <w:r w:rsidRPr="000A1D51">
        <w:rPr>
          <w:i/>
          <w:iCs/>
        </w:rPr>
        <w:t xml:space="preserve">ASEAN decision makers are more effectively able to support economic integration. </w:t>
      </w:r>
      <w:r w:rsidRPr="000A1D51">
        <w:t>Further,</w:t>
      </w:r>
      <w:r w:rsidRPr="000A1D51">
        <w:rPr>
          <w:i/>
          <w:iCs/>
        </w:rPr>
        <w:t xml:space="preserve"> </w:t>
      </w:r>
      <w:r w:rsidRPr="000A1D51">
        <w:t xml:space="preserve">based on discussions with the AADCP II program team, it is suggested that the existing EOPO2 is amended to: </w:t>
      </w:r>
      <w:r w:rsidRPr="000A1D51">
        <w:rPr>
          <w:i/>
          <w:iCs/>
        </w:rPr>
        <w:t xml:space="preserve">'Enhanced Political Engagement’ </w:t>
      </w:r>
      <w:r w:rsidRPr="000A1D51">
        <w:t xml:space="preserve">instead of ‘Political Engagement’ to highlight an end state as is required by DFAT standards for program logics. It is also recommended that Intermediate Outcome 1 under EOPO2 is revised to say - </w:t>
      </w:r>
      <w:r w:rsidRPr="000A1D51">
        <w:rPr>
          <w:i/>
          <w:iCs/>
          <w:lang w:val="en-AU"/>
        </w:rPr>
        <w:t xml:space="preserve">Maintain &amp; improve the Australia – ASEAN partnership via better strategic selection and design of projects &amp; their reception at political / diplomatic level- </w:t>
      </w:r>
      <w:r w:rsidRPr="000A1D51">
        <w:t xml:space="preserve">This will help reflect that both Project selection and quality are important measures of effectiveness, and not just outputs. </w:t>
      </w:r>
    </w:p>
    <w:p w14:paraId="74B0B487" w14:textId="77777777" w:rsidR="00CB01F2" w:rsidRPr="000A1D51" w:rsidRDefault="00745462" w:rsidP="00855187">
      <w:pPr>
        <w:pStyle w:val="ListParagraph"/>
        <w:rPr>
          <w:lang w:val="en-AU"/>
        </w:rPr>
      </w:pPr>
      <w:r w:rsidRPr="000A1D51">
        <w:rPr>
          <w:lang w:val="en-AU"/>
        </w:rPr>
        <w:t xml:space="preserve">The current M&amp;E Framework used by AADCP II is a pragmatic approach and fit-for-purpose given the </w:t>
      </w:r>
      <w:r w:rsidR="008F4045" w:rsidRPr="000A1D51">
        <w:rPr>
          <w:lang w:val="en-AU"/>
        </w:rPr>
        <w:t xml:space="preserve">program’s </w:t>
      </w:r>
      <w:r w:rsidRPr="000A1D51">
        <w:rPr>
          <w:lang w:val="en-AU"/>
        </w:rPr>
        <w:t>partnership modality.</w:t>
      </w:r>
      <w:r w:rsidR="00EC532A" w:rsidRPr="000A1D51">
        <w:rPr>
          <w:lang w:val="en-AU"/>
        </w:rPr>
        <w:t xml:space="preserve"> </w:t>
      </w:r>
      <w:r w:rsidR="000D1A0B" w:rsidRPr="000A1D51">
        <w:rPr>
          <w:lang w:val="en-AU"/>
        </w:rPr>
        <w:t>For instance, t</w:t>
      </w:r>
      <w:r w:rsidR="00EC532A" w:rsidRPr="000A1D51">
        <w:rPr>
          <w:lang w:val="en-AU"/>
        </w:rPr>
        <w:t xml:space="preserve">o </w:t>
      </w:r>
      <w:r w:rsidR="00BE1199" w:rsidRPr="000A1D51">
        <w:rPr>
          <w:lang w:val="en-AU"/>
        </w:rPr>
        <w:t>assess</w:t>
      </w:r>
      <w:r w:rsidR="00EC532A" w:rsidRPr="000A1D51">
        <w:rPr>
          <w:lang w:val="en-AU"/>
        </w:rPr>
        <w:t xml:space="preserve"> progress on </w:t>
      </w:r>
      <w:r w:rsidR="005163EA" w:rsidRPr="000A1D51">
        <w:rPr>
          <w:lang w:val="en-AU"/>
        </w:rPr>
        <w:t xml:space="preserve">AADCP II funded </w:t>
      </w:r>
      <w:r w:rsidR="00EC532A" w:rsidRPr="000A1D51">
        <w:rPr>
          <w:lang w:val="en-AU"/>
        </w:rPr>
        <w:t>projects funded, the program relies heavily on data from ASEC and ASEAN sectoral bodies/working groups which it supplements</w:t>
      </w:r>
      <w:r w:rsidRPr="000A1D51">
        <w:rPr>
          <w:lang w:val="en-AU"/>
        </w:rPr>
        <w:t xml:space="preserve"> </w:t>
      </w:r>
      <w:r w:rsidR="00EC532A" w:rsidRPr="000A1D51">
        <w:rPr>
          <w:lang w:val="en-AU"/>
        </w:rPr>
        <w:t>with additional program-level monitoring reports.</w:t>
      </w:r>
      <w:r w:rsidR="00355119" w:rsidRPr="000A1D51">
        <w:rPr>
          <w:lang w:val="en-AU"/>
        </w:rPr>
        <w:t xml:space="preserve"> A lot of the data</w:t>
      </w:r>
      <w:r w:rsidR="00464418" w:rsidRPr="000A1D51">
        <w:rPr>
          <w:lang w:val="en-AU"/>
        </w:rPr>
        <w:t xml:space="preserve"> an</w:t>
      </w:r>
      <w:r w:rsidR="005C2B9B" w:rsidRPr="000A1D51">
        <w:rPr>
          <w:lang w:val="en-AU"/>
        </w:rPr>
        <w:t>d</w:t>
      </w:r>
      <w:r w:rsidR="00464418" w:rsidRPr="000A1D51">
        <w:rPr>
          <w:lang w:val="en-AU"/>
        </w:rPr>
        <w:t xml:space="preserve"> evidence used for program reporting is ‘informal’ data</w:t>
      </w:r>
      <w:r w:rsidR="007C6D27" w:rsidRPr="000A1D51">
        <w:rPr>
          <w:lang w:val="en-AU"/>
        </w:rPr>
        <w:t xml:space="preserve"> about the program’s influence, contribution, </w:t>
      </w:r>
      <w:r w:rsidR="00B764FA" w:rsidRPr="000A1D51">
        <w:rPr>
          <w:lang w:val="en-AU"/>
        </w:rPr>
        <w:t xml:space="preserve">which are </w:t>
      </w:r>
      <w:r w:rsidR="007C6D27" w:rsidRPr="000A1D51">
        <w:rPr>
          <w:lang w:val="en-AU"/>
        </w:rPr>
        <w:t xml:space="preserve">collected through </w:t>
      </w:r>
      <w:r w:rsidR="00884DDA" w:rsidRPr="000A1D51">
        <w:rPr>
          <w:lang w:val="en-AU"/>
        </w:rPr>
        <w:t>ASEAN websites, high-level ASEAN meetings and speeches where the program</w:t>
      </w:r>
      <w:r w:rsidR="005C2B9B" w:rsidRPr="000A1D51">
        <w:rPr>
          <w:lang w:val="en-AU"/>
        </w:rPr>
        <w:t>’s contribution</w:t>
      </w:r>
      <w:r w:rsidR="00884DDA" w:rsidRPr="000A1D51">
        <w:rPr>
          <w:lang w:val="en-AU"/>
        </w:rPr>
        <w:t xml:space="preserve"> is </w:t>
      </w:r>
      <w:r w:rsidR="005C2B9B" w:rsidRPr="000A1D51">
        <w:rPr>
          <w:lang w:val="en-AU"/>
        </w:rPr>
        <w:t>acknowledged</w:t>
      </w:r>
      <w:r w:rsidR="00B764FA" w:rsidRPr="000A1D51">
        <w:rPr>
          <w:lang w:val="en-AU"/>
        </w:rPr>
        <w:t>.</w:t>
      </w:r>
      <w:r w:rsidR="005C2B9B" w:rsidRPr="000A1D51">
        <w:rPr>
          <w:lang w:val="en-AU"/>
        </w:rPr>
        <w:t xml:space="preserve"> </w:t>
      </w:r>
      <w:r w:rsidR="00EC532A" w:rsidRPr="000A1D51">
        <w:rPr>
          <w:lang w:val="en-AU"/>
        </w:rPr>
        <w:t xml:space="preserve">It should be noted that given this </w:t>
      </w:r>
      <w:r w:rsidR="00B764FA" w:rsidRPr="000A1D51">
        <w:rPr>
          <w:lang w:val="en-AU"/>
        </w:rPr>
        <w:t>limitation</w:t>
      </w:r>
      <w:r w:rsidR="00EC532A" w:rsidRPr="000A1D51">
        <w:rPr>
          <w:lang w:val="en-AU"/>
        </w:rPr>
        <w:t>, the strength of evidence</w:t>
      </w:r>
      <w:r w:rsidR="00BF00DD" w:rsidRPr="000A1D51">
        <w:rPr>
          <w:rStyle w:val="FootnoteReference"/>
          <w:lang w:val="en-AU"/>
        </w:rPr>
        <w:footnoteReference w:id="38"/>
      </w:r>
      <w:r w:rsidR="00C56766" w:rsidRPr="000A1D51">
        <w:rPr>
          <w:lang w:val="en-AU"/>
        </w:rPr>
        <w:t xml:space="preserve"> in </w:t>
      </w:r>
      <w:r w:rsidR="00901F3A" w:rsidRPr="000A1D51">
        <w:rPr>
          <w:lang w:val="en-AU"/>
        </w:rPr>
        <w:t>most cases will be</w:t>
      </w:r>
      <w:r w:rsidR="00C56766" w:rsidRPr="000A1D51">
        <w:rPr>
          <w:lang w:val="en-AU"/>
        </w:rPr>
        <w:t xml:space="preserve"> moderate</w:t>
      </w:r>
      <w:r w:rsidR="00901F3A" w:rsidRPr="000A1D51">
        <w:rPr>
          <w:lang w:val="en-AU"/>
        </w:rPr>
        <w:t>, and in some instances, low</w:t>
      </w:r>
      <w:r w:rsidR="00C56766" w:rsidRPr="000A1D51">
        <w:rPr>
          <w:lang w:val="en-AU"/>
        </w:rPr>
        <w:t>. The program aims for a moderate strength of evidence by triangulating data from various sources</w:t>
      </w:r>
      <w:r w:rsidR="0047629A" w:rsidRPr="000A1D51">
        <w:rPr>
          <w:lang w:val="en-AU"/>
        </w:rPr>
        <w:t xml:space="preserve">, including deep-dive case studies on select, priority projects and independent reviews such as this one. </w:t>
      </w:r>
      <w:r w:rsidR="003B3F95" w:rsidRPr="000A1D51">
        <w:rPr>
          <w:lang w:val="en-AU"/>
        </w:rPr>
        <w:t xml:space="preserve">This approach should continue. </w:t>
      </w:r>
    </w:p>
    <w:p w14:paraId="3A0A8E9D" w14:textId="1CEDB6F4" w:rsidR="0013798C" w:rsidRPr="000A1D51" w:rsidRDefault="00CB196D" w:rsidP="00745462">
      <w:pPr>
        <w:pStyle w:val="ListParagraph"/>
        <w:rPr>
          <w:lang w:val="en-AU"/>
        </w:rPr>
      </w:pPr>
      <w:r w:rsidRPr="000A1D51">
        <w:rPr>
          <w:rFonts w:ascii="Calibri" w:hAnsi="Calibri" w:cs="Calibri"/>
          <w:color w:val="000000"/>
        </w:rPr>
        <w:t xml:space="preserve">Given this unique modality, it is important </w:t>
      </w:r>
      <w:r w:rsidR="005163EA" w:rsidRPr="000A1D51">
        <w:rPr>
          <w:rFonts w:ascii="Calibri" w:hAnsi="Calibri" w:cs="Calibri"/>
          <w:color w:val="000000"/>
        </w:rPr>
        <w:t>that</w:t>
      </w:r>
      <w:r w:rsidRPr="000A1D51">
        <w:rPr>
          <w:rFonts w:ascii="Calibri" w:hAnsi="Calibri" w:cs="Calibri"/>
          <w:color w:val="000000"/>
        </w:rPr>
        <w:t xml:space="preserve"> the program continue to identify options to strengthen ASEC M&amp;E systems </w:t>
      </w:r>
      <w:r w:rsidR="002F446C" w:rsidRPr="000A1D51">
        <w:rPr>
          <w:rFonts w:ascii="Calibri" w:hAnsi="Calibri" w:cs="Calibri"/>
          <w:color w:val="000000"/>
        </w:rPr>
        <w:t xml:space="preserve">that </w:t>
      </w:r>
      <w:r w:rsidR="00600EF3" w:rsidRPr="000A1D51">
        <w:rPr>
          <w:rFonts w:ascii="Calibri" w:hAnsi="Calibri" w:cs="Calibri"/>
          <w:color w:val="000000"/>
        </w:rPr>
        <w:t>could</w:t>
      </w:r>
      <w:r w:rsidR="002F446C" w:rsidRPr="000A1D51">
        <w:rPr>
          <w:rFonts w:ascii="Calibri" w:hAnsi="Calibri" w:cs="Calibri"/>
          <w:color w:val="000000"/>
        </w:rPr>
        <w:t xml:space="preserve"> in turn </w:t>
      </w:r>
      <w:r w:rsidR="006F1ABF" w:rsidRPr="000A1D51">
        <w:rPr>
          <w:rFonts w:ascii="Calibri" w:hAnsi="Calibri" w:cs="Calibri"/>
          <w:color w:val="000000"/>
        </w:rPr>
        <w:t>provide AADCP II better access to data</w:t>
      </w:r>
      <w:r w:rsidR="00662BED" w:rsidRPr="000A1D51" w:rsidDel="00662BED">
        <w:rPr>
          <w:rFonts w:ascii="Calibri" w:hAnsi="Calibri" w:cs="Calibri"/>
          <w:color w:val="000000"/>
        </w:rPr>
        <w:t xml:space="preserve"> </w:t>
      </w:r>
      <w:r w:rsidRPr="000A1D51">
        <w:rPr>
          <w:rFonts w:ascii="Calibri" w:hAnsi="Calibri" w:cs="Calibri"/>
          <w:color w:val="000000"/>
        </w:rPr>
        <w:t>(</w:t>
      </w:r>
      <w:r w:rsidR="00C4699F" w:rsidRPr="000A1D51">
        <w:rPr>
          <w:rFonts w:ascii="Calibri" w:hAnsi="Calibri" w:cs="Calibri"/>
          <w:color w:val="000000"/>
        </w:rPr>
        <w:t>e.g. drawing</w:t>
      </w:r>
      <w:r w:rsidR="00182A57" w:rsidRPr="000A1D51">
        <w:rPr>
          <w:rFonts w:ascii="Calibri" w:hAnsi="Calibri" w:cs="Calibri"/>
          <w:color w:val="000000"/>
        </w:rPr>
        <w:t xml:space="preserve"> lessons</w:t>
      </w:r>
      <w:r w:rsidRPr="000A1D51">
        <w:rPr>
          <w:rFonts w:ascii="Calibri" w:hAnsi="Calibri" w:cs="Calibri"/>
          <w:color w:val="000000"/>
        </w:rPr>
        <w:t xml:space="preserve"> from MPAC and IAI experiences). </w:t>
      </w:r>
      <w:r w:rsidR="00CB01F2" w:rsidRPr="000A1D51">
        <w:rPr>
          <w:lang w:val="en-AU"/>
        </w:rPr>
        <w:t xml:space="preserve">The review team </w:t>
      </w:r>
      <w:r w:rsidR="00901438" w:rsidRPr="000A1D51">
        <w:rPr>
          <w:lang w:val="en-AU"/>
        </w:rPr>
        <w:t>includes</w:t>
      </w:r>
      <w:r w:rsidR="00CB01F2" w:rsidRPr="000A1D51">
        <w:rPr>
          <w:lang w:val="en-AU"/>
        </w:rPr>
        <w:t xml:space="preserve"> some suggestions for strengthening the M&amp;E and reporting</w:t>
      </w:r>
      <w:r w:rsidR="00901438" w:rsidRPr="000A1D51">
        <w:rPr>
          <w:lang w:val="en-AU"/>
        </w:rPr>
        <w:t xml:space="preserve"> </w:t>
      </w:r>
      <w:r w:rsidR="00CB01F2" w:rsidRPr="000A1D51">
        <w:rPr>
          <w:lang w:val="en-AU"/>
        </w:rPr>
        <w:t xml:space="preserve">in Annex 5. </w:t>
      </w:r>
    </w:p>
    <w:p w14:paraId="420DE258" w14:textId="77777777" w:rsidR="009F01D6" w:rsidRPr="000A1D51" w:rsidRDefault="009F01D6" w:rsidP="009F01D6">
      <w:pPr>
        <w:pStyle w:val="Heading2"/>
        <w:rPr>
          <w:lang w:val="en-AU"/>
        </w:rPr>
      </w:pPr>
      <w:bookmarkStart w:id="57" w:name="_Toc24884118"/>
      <w:bookmarkStart w:id="58" w:name="_Toc31820120"/>
      <w:r w:rsidRPr="000A1D51">
        <w:rPr>
          <w:lang w:val="en-AU"/>
        </w:rPr>
        <w:t>Gender</w:t>
      </w:r>
      <w:bookmarkEnd w:id="57"/>
      <w:bookmarkEnd w:id="58"/>
    </w:p>
    <w:p w14:paraId="29B1247C" w14:textId="77777777" w:rsidR="0013798C" w:rsidRPr="000A1D51" w:rsidRDefault="0013798C" w:rsidP="0013798C">
      <w:pPr>
        <w:spacing w:after="200" w:line="276" w:lineRule="auto"/>
        <w:rPr>
          <w:rFonts w:ascii="Calibri" w:hAnsi="Calibri" w:cs="Calibri"/>
          <w:b/>
          <w:color w:val="000000"/>
          <w:sz w:val="22"/>
          <w:szCs w:val="22"/>
        </w:rPr>
      </w:pPr>
      <w:bookmarkStart w:id="59" w:name="_Toc21417459"/>
      <w:r w:rsidRPr="000A1D51">
        <w:rPr>
          <w:rFonts w:ascii="Calibri" w:hAnsi="Calibri" w:cs="Calibri"/>
          <w:b/>
          <w:color w:val="000000"/>
          <w:sz w:val="22"/>
          <w:szCs w:val="22"/>
        </w:rPr>
        <w:t xml:space="preserve">AADCP II </w:t>
      </w:r>
      <w:r w:rsidR="00450C1E" w:rsidRPr="000A1D51">
        <w:rPr>
          <w:rFonts w:ascii="Calibri" w:hAnsi="Calibri" w:cs="Calibri"/>
          <w:b/>
          <w:color w:val="000000"/>
          <w:sz w:val="22"/>
          <w:szCs w:val="22"/>
        </w:rPr>
        <w:t>has struggled</w:t>
      </w:r>
      <w:r w:rsidRPr="000A1D51">
        <w:rPr>
          <w:rFonts w:ascii="Calibri" w:hAnsi="Calibri" w:cs="Calibri"/>
          <w:b/>
          <w:color w:val="000000"/>
          <w:sz w:val="22"/>
          <w:szCs w:val="22"/>
        </w:rPr>
        <w:t xml:space="preserve"> to address gender and socially inclusive issues </w:t>
      </w:r>
      <w:bookmarkEnd w:id="59"/>
    </w:p>
    <w:p w14:paraId="0BD16CB6" w14:textId="76C6666C" w:rsidR="0013798C" w:rsidRPr="000A1D51" w:rsidRDefault="0013798C" w:rsidP="00855187">
      <w:pPr>
        <w:pStyle w:val="ListParagraph"/>
      </w:pPr>
      <w:r w:rsidRPr="000A1D51">
        <w:t xml:space="preserve">The positioning of ‘gender’ under ASEAN’s socio-cultural pillar has to some </w:t>
      </w:r>
      <w:r w:rsidR="00E52724" w:rsidRPr="000A1D51">
        <w:t xml:space="preserve">extent </w:t>
      </w:r>
      <w:r w:rsidR="00C878D6" w:rsidRPr="000A1D51">
        <w:t>create</w:t>
      </w:r>
      <w:r w:rsidR="00E52724" w:rsidRPr="000A1D51">
        <w:t>d</w:t>
      </w:r>
      <w:r w:rsidR="00C878D6" w:rsidRPr="000A1D51">
        <w:t xml:space="preserve"> challenges for </w:t>
      </w:r>
      <w:r w:rsidRPr="000A1D51">
        <w:t xml:space="preserve">AADCP II’s work in gender mainstreaming or gender-targeted projects as the program’s work primarily falls under the Economic pillar. </w:t>
      </w:r>
      <w:r w:rsidR="001D5955" w:rsidRPr="000A1D51">
        <w:t xml:space="preserve">Further, a general lack of interest </w:t>
      </w:r>
      <w:r w:rsidR="00D54219" w:rsidRPr="000A1D51">
        <w:t xml:space="preserve">and understanding among AEC desks and SBs on the economic benefits of GESI impedes AADCP II’s ability to </w:t>
      </w:r>
      <w:r w:rsidR="00A76A64" w:rsidRPr="000A1D51">
        <w:t xml:space="preserve">meaningfully engage ASEAN in this area. </w:t>
      </w:r>
      <w:r w:rsidR="00C33DA5" w:rsidRPr="000A1D51">
        <w:t>The program</w:t>
      </w:r>
      <w:r w:rsidRPr="000A1D51">
        <w:t xml:space="preserve"> team and DFAT noted the importance of trying to identify champions within ASEC to advocate for gender equality within the sectors AADCP II works in. Previously, AADCP II engaged with DFAT’s Regional Gender Adviser for guidance and </w:t>
      </w:r>
      <w:r w:rsidRPr="000A1D51">
        <w:lastRenderedPageBreak/>
        <w:t xml:space="preserve">support on specific gender-related issues, however that position has been vacant for some time. </w:t>
      </w:r>
    </w:p>
    <w:p w14:paraId="7C44366A" w14:textId="6B518F47" w:rsidR="0013798C" w:rsidRPr="000A1D51" w:rsidRDefault="0013798C" w:rsidP="00855187">
      <w:pPr>
        <w:pStyle w:val="ListParagraph"/>
      </w:pPr>
      <w:r w:rsidRPr="000A1D51">
        <w:t xml:space="preserve">It is therefore not surprising that </w:t>
      </w:r>
      <w:r w:rsidR="00E50318" w:rsidRPr="000A1D51">
        <w:t xml:space="preserve">project level </w:t>
      </w:r>
      <w:r w:rsidRPr="000A1D51">
        <w:t xml:space="preserve">results have been mixed. No </w:t>
      </w:r>
      <w:r w:rsidR="00AC6384" w:rsidRPr="000A1D51">
        <w:t xml:space="preserve">formal </w:t>
      </w:r>
      <w:r w:rsidRPr="000A1D51">
        <w:t xml:space="preserve">overall </w:t>
      </w:r>
      <w:r w:rsidR="00E27B9D" w:rsidRPr="000A1D51">
        <w:t>GESI</w:t>
      </w:r>
      <w:r w:rsidR="00C01CDD" w:rsidRPr="000A1D51">
        <w:t xml:space="preserve"> </w:t>
      </w:r>
      <w:r w:rsidRPr="000A1D51">
        <w:t xml:space="preserve">strategy </w:t>
      </w:r>
      <w:r w:rsidR="00AC6384" w:rsidRPr="000A1D51">
        <w:t>was</w:t>
      </w:r>
      <w:r w:rsidRPr="000A1D51">
        <w:t xml:space="preserve"> developed</w:t>
      </w:r>
      <w:r w:rsidR="00147DFC">
        <w:t>.</w:t>
      </w:r>
      <w:r w:rsidRPr="000A1D51">
        <w:t xml:space="preserve"> </w:t>
      </w:r>
      <w:r w:rsidR="00421055" w:rsidRPr="000A1D51">
        <w:t>Nevertheless,</w:t>
      </w:r>
      <w:r w:rsidR="00E27B9D" w:rsidRPr="000A1D51">
        <w:t xml:space="preserve"> </w:t>
      </w:r>
      <w:r w:rsidRPr="000A1D51">
        <w:t xml:space="preserve">all proposals </w:t>
      </w:r>
      <w:r w:rsidR="00421055" w:rsidRPr="000A1D51">
        <w:t xml:space="preserve">were </w:t>
      </w:r>
      <w:r w:rsidRPr="000A1D51">
        <w:t xml:space="preserve">required to include a section on </w:t>
      </w:r>
      <w:r w:rsidR="00E27B9D" w:rsidRPr="000A1D51">
        <w:t>GESI</w:t>
      </w:r>
      <w:r w:rsidRPr="000A1D51">
        <w:t xml:space="preserve">, </w:t>
      </w:r>
      <w:r w:rsidR="00D067F4" w:rsidRPr="000A1D51">
        <w:t>efforts were made to ensure GESI issues in tender documents, and attempts were made to monitor the results of these outcomes.</w:t>
      </w:r>
      <w:r w:rsidR="00421055" w:rsidRPr="000A1D51">
        <w:t xml:space="preserve"> However,</w:t>
      </w:r>
      <w:r w:rsidR="00D067F4" w:rsidRPr="000A1D51">
        <w:t xml:space="preserve"> </w:t>
      </w:r>
      <w:r w:rsidRPr="000A1D51">
        <w:t xml:space="preserve">the quality of the gender analysis </w:t>
      </w:r>
      <w:r w:rsidR="00421055" w:rsidRPr="000A1D51">
        <w:t xml:space="preserve">was </w:t>
      </w:r>
      <w:r w:rsidRPr="000A1D51">
        <w:t>mixed and often perfunctory</w:t>
      </w:r>
      <w:r w:rsidR="00421055" w:rsidRPr="000A1D51">
        <w:t>, and AADCP II capacity to follow on implementation was limited</w:t>
      </w:r>
      <w:r w:rsidR="003F1DDF" w:rsidRPr="000A1D51">
        <w:t xml:space="preserve"> owing to the modality</w:t>
      </w:r>
      <w:r w:rsidRPr="000A1D51">
        <w:t>. Most noted little substantive mainstreaming of gender issues in supported interventions.</w:t>
      </w:r>
      <w:r w:rsidR="00C01CDD" w:rsidRPr="000A1D51">
        <w:t xml:space="preserve"> Again, limited awareness of the issues and potential benefits from more substantive consideration of gender issues appears to remain an important constraint.</w:t>
      </w:r>
    </w:p>
    <w:p w14:paraId="5FE87877" w14:textId="4194CCFE" w:rsidR="0013798C" w:rsidRPr="000A1D51" w:rsidRDefault="00F63F6D" w:rsidP="00855187">
      <w:pPr>
        <w:pStyle w:val="ListParagraph"/>
      </w:pPr>
      <w:r w:rsidRPr="000A1D51">
        <w:t>However, s</w:t>
      </w:r>
      <w:r w:rsidR="0013798C" w:rsidRPr="000A1D51">
        <w:t xml:space="preserve">everal discussants argued that ongoing engagement with Australia (and other development partners) on gender issues is </w:t>
      </w:r>
      <w:r w:rsidR="001101BA" w:rsidRPr="000A1D51">
        <w:t xml:space="preserve">beginning </w:t>
      </w:r>
      <w:r w:rsidR="0013798C" w:rsidRPr="000A1D51">
        <w:t>to</w:t>
      </w:r>
      <w:r w:rsidR="001101BA" w:rsidRPr="000A1D51">
        <w:t xml:space="preserve"> help</w:t>
      </w:r>
      <w:r w:rsidR="0013798C" w:rsidRPr="000A1D51">
        <w:t xml:space="preserve"> build understanding of the importance of the issue and to develop awareness of practical measures that could be taken to achieve higher and/or more equitable benefits via a greater focus on gender issues. The LIB-SI representative articulated this point particularly clearly. </w:t>
      </w:r>
    </w:p>
    <w:p w14:paraId="74626616" w14:textId="7E4783E1" w:rsidR="0013798C" w:rsidRPr="000A1D51" w:rsidRDefault="0013798C" w:rsidP="00855187">
      <w:pPr>
        <w:pStyle w:val="ListParagraph"/>
      </w:pPr>
      <w:r w:rsidRPr="000A1D51">
        <w:t xml:space="preserve">Where gender issues have been addressed, continuity and/or follow-up has been </w:t>
      </w:r>
      <w:r w:rsidR="00C33DA5" w:rsidRPr="000A1D51">
        <w:t xml:space="preserve">an </w:t>
      </w:r>
      <w:r w:rsidRPr="000A1D51">
        <w:t>issue. One example, the report “ASEAN Consumer Protection: Essential actions towards a single market”, included a Chapter 6 on concrete suggestions for addressing gender issues in consumer protection, but “The ASEAN High Level Principles for Consumer Protection (AHLP)”, approved in 2017 to provide direction for a broad framework on consumer protection for ASEAN, does not include any principles related to gender.</w:t>
      </w:r>
      <w:r w:rsidR="001101BA" w:rsidRPr="000A1D51">
        <w:t xml:space="preserve"> </w:t>
      </w:r>
      <w:r w:rsidRPr="000A1D51">
        <w:t xml:space="preserve">Given that women are </w:t>
      </w:r>
      <w:r w:rsidR="00891EE1" w:rsidRPr="000A1D51">
        <w:t xml:space="preserve">often </w:t>
      </w:r>
      <w:r w:rsidRPr="000A1D51">
        <w:t>particularly impacted by consumer issues, this may have been a missed opportunity for ASEAN to provide more concrete guidance in an important gender issue.</w:t>
      </w:r>
      <w:r w:rsidR="00F63F6D" w:rsidRPr="000A1D51">
        <w:t xml:space="preserve"> </w:t>
      </w:r>
      <w:r w:rsidR="001101BA" w:rsidRPr="000A1D51">
        <w:t xml:space="preserve">The establishment of </w:t>
      </w:r>
      <w:r w:rsidR="007867C9" w:rsidRPr="000A1D51">
        <w:t xml:space="preserve">effective </w:t>
      </w:r>
      <w:r w:rsidR="001101BA" w:rsidRPr="000A1D51">
        <w:t xml:space="preserve">gender focal points within ASEC divisions might help in ensuring greater continuity on gender issues.  </w:t>
      </w:r>
    </w:p>
    <w:p w14:paraId="7DF359AB" w14:textId="77777777" w:rsidR="0013798C" w:rsidRPr="000A1D51" w:rsidRDefault="0013798C" w:rsidP="00855187">
      <w:pPr>
        <w:pStyle w:val="ListParagraph"/>
      </w:pPr>
      <w:r w:rsidRPr="000A1D51">
        <w:t xml:space="preserve">Other development partners noted that they were also looking for solutions to more substantively engage on gender equality considerations in their ASEAN projects.  </w:t>
      </w:r>
    </w:p>
    <w:p w14:paraId="7BC3E2BD" w14:textId="77777777" w:rsidR="00545138" w:rsidRPr="000A1D51" w:rsidRDefault="00545138" w:rsidP="00545138">
      <w:pPr>
        <w:pStyle w:val="Heading1"/>
      </w:pPr>
      <w:bookmarkStart w:id="60" w:name="_Toc529360154"/>
      <w:bookmarkStart w:id="61" w:name="_Toc533181398"/>
      <w:bookmarkStart w:id="62" w:name="_Toc24884119"/>
      <w:bookmarkStart w:id="63" w:name="_Toc31820121"/>
      <w:r w:rsidRPr="000A1D51">
        <w:t>Conclusions</w:t>
      </w:r>
      <w:r w:rsidR="00DD1C11" w:rsidRPr="000A1D51">
        <w:t xml:space="preserve"> </w:t>
      </w:r>
      <w:r w:rsidRPr="000A1D51">
        <w:t>and Recommendations</w:t>
      </w:r>
      <w:bookmarkEnd w:id="60"/>
      <w:bookmarkEnd w:id="61"/>
      <w:bookmarkEnd w:id="62"/>
      <w:bookmarkEnd w:id="63"/>
    </w:p>
    <w:p w14:paraId="24DE62F9" w14:textId="77777777" w:rsidR="007C1E31" w:rsidRPr="000A1D51" w:rsidRDefault="007C1E31" w:rsidP="007C1E31">
      <w:pPr>
        <w:pStyle w:val="Heading2"/>
        <w:rPr>
          <w:lang w:val="en-AU"/>
        </w:rPr>
      </w:pPr>
      <w:bookmarkStart w:id="64" w:name="_Toc24884120"/>
      <w:bookmarkStart w:id="65" w:name="_Toc31820122"/>
      <w:r w:rsidRPr="000A1D51">
        <w:rPr>
          <w:lang w:val="en-AU"/>
        </w:rPr>
        <w:t xml:space="preserve">General </w:t>
      </w:r>
      <w:r w:rsidR="00105B75" w:rsidRPr="000A1D51">
        <w:rPr>
          <w:lang w:val="en-AU"/>
        </w:rPr>
        <w:t>Conclusions</w:t>
      </w:r>
      <w:bookmarkEnd w:id="64"/>
      <w:bookmarkEnd w:id="65"/>
    </w:p>
    <w:p w14:paraId="0287BD1B" w14:textId="77777777" w:rsidR="00423F4A" w:rsidRPr="000A1D51" w:rsidRDefault="007F2A5B" w:rsidP="00E50318">
      <w:pPr>
        <w:pStyle w:val="ListParagraph"/>
      </w:pPr>
      <w:r w:rsidRPr="000A1D51">
        <w:t xml:space="preserve">AADCP II has succeeded in delivering substantive </w:t>
      </w:r>
      <w:r w:rsidR="00105B75" w:rsidRPr="000A1D51">
        <w:t xml:space="preserve">and relevant </w:t>
      </w:r>
      <w:r w:rsidRPr="000A1D51">
        <w:t>results</w:t>
      </w:r>
      <w:r w:rsidR="006E115F" w:rsidRPr="000A1D51">
        <w:t xml:space="preserve"> directly linked to both ASEAN and Australian priorities in a cost-effective manner. Strong ownership of activities and progress in building ASEC capacity should ensure that core AADCP II results are sustainable.</w:t>
      </w:r>
      <w:r w:rsidR="00BD29DC" w:rsidRPr="000A1D51">
        <w:t xml:space="preserve"> </w:t>
      </w:r>
    </w:p>
    <w:p w14:paraId="2C6E75B3" w14:textId="77777777" w:rsidR="00423F4A" w:rsidRPr="000A1D51" w:rsidRDefault="00423F4A" w:rsidP="00E50318">
      <w:pPr>
        <w:pStyle w:val="ListParagraph"/>
      </w:pPr>
      <w:r w:rsidRPr="000A1D51">
        <w:t>The location of DFAT staff responsible for AADCP II implementation in Jakarta has facilitated the building of close relationships with both ASEC and ASEAN Permanent Missions in Jakarta. This has helped in addressing implementation bottlenecks.</w:t>
      </w:r>
    </w:p>
    <w:p w14:paraId="24A6130C" w14:textId="05F80358" w:rsidR="005B3B26" w:rsidRPr="000A1D51" w:rsidRDefault="005B3B26" w:rsidP="00CF61C5">
      <w:pPr>
        <w:pStyle w:val="ListParagraph"/>
      </w:pPr>
      <w:r w:rsidRPr="000A1D51">
        <w:t xml:space="preserve">After supporting mostly ad hoc initiatives, AADCP II is </w:t>
      </w:r>
      <w:r w:rsidR="008F58F0" w:rsidRPr="000A1D51">
        <w:t xml:space="preserve">now </w:t>
      </w:r>
      <w:r w:rsidRPr="000A1D51">
        <w:t>provid</w:t>
      </w:r>
      <w:r w:rsidR="008F58F0" w:rsidRPr="000A1D51">
        <w:t>ing more of</w:t>
      </w:r>
      <w:r w:rsidRPr="000A1D51">
        <w:t xml:space="preserve"> the focused and strategic support needed for the </w:t>
      </w:r>
      <w:r w:rsidR="008F58F0" w:rsidRPr="000A1D51">
        <w:t xml:space="preserve">substantive </w:t>
      </w:r>
      <w:r w:rsidRPr="000A1D51">
        <w:t>institutional changes</w:t>
      </w:r>
      <w:r w:rsidR="00CD2354" w:rsidRPr="000A1D51">
        <w:t xml:space="preserve"> (e.g. </w:t>
      </w:r>
      <w:r w:rsidR="00CD2354" w:rsidRPr="000A1D51">
        <w:lastRenderedPageBreak/>
        <w:t>concrete agreements on standards and connectivity strategies</w:t>
      </w:r>
      <w:r w:rsidRPr="000A1D51">
        <w:t xml:space="preserve"> that </w:t>
      </w:r>
      <w:r w:rsidR="00CD2354" w:rsidRPr="000A1D51">
        <w:t xml:space="preserve">are expected to contribute to </w:t>
      </w:r>
      <w:r w:rsidRPr="000A1D51">
        <w:t>sustain</w:t>
      </w:r>
      <w:r w:rsidR="00CD2354" w:rsidRPr="000A1D51">
        <w:t>ed</w:t>
      </w:r>
      <w:r w:rsidRPr="000A1D51">
        <w:t xml:space="preserve"> expanded regional trade and investment.</w:t>
      </w:r>
    </w:p>
    <w:p w14:paraId="123574A0" w14:textId="77777777" w:rsidR="007C1E31" w:rsidRPr="000A1D51" w:rsidRDefault="007C1E31" w:rsidP="00CF61C5">
      <w:pPr>
        <w:pStyle w:val="ListParagraph"/>
      </w:pPr>
      <w:r w:rsidRPr="000A1D51">
        <w:t>The following characteristic</w:t>
      </w:r>
      <w:r w:rsidR="009116BB" w:rsidRPr="000A1D51">
        <w:t>s</w:t>
      </w:r>
      <w:r w:rsidRPr="000A1D51">
        <w:t xml:space="preserve"> make AADCP unique relative to other development programs supporting ASEC.</w:t>
      </w:r>
    </w:p>
    <w:p w14:paraId="27C7D99F" w14:textId="77777777" w:rsidR="005B3B26" w:rsidRPr="000A1D51" w:rsidRDefault="005B3B26" w:rsidP="00E34B36">
      <w:pPr>
        <w:pStyle w:val="Bullet0"/>
        <w:numPr>
          <w:ilvl w:val="0"/>
          <w:numId w:val="62"/>
        </w:numPr>
      </w:pPr>
      <w:r w:rsidRPr="000A1D51">
        <w:t>The degree to which AADCP II</w:t>
      </w:r>
      <w:r w:rsidR="007C1E31" w:rsidRPr="000A1D51">
        <w:t xml:space="preserve"> is embedded into the ASEAN Secretariat (ASEC) systems. </w:t>
      </w:r>
    </w:p>
    <w:p w14:paraId="38F464C8" w14:textId="77777777" w:rsidR="00BE7DDE" w:rsidRPr="000A1D51" w:rsidRDefault="005B3B26" w:rsidP="00FD562F">
      <w:pPr>
        <w:pStyle w:val="Bullet0"/>
      </w:pPr>
      <w:r w:rsidRPr="000A1D51">
        <w:t>The program</w:t>
      </w:r>
      <w:r w:rsidR="007C1E31" w:rsidRPr="000A1D51">
        <w:t xml:space="preserve"> is seen as a</w:t>
      </w:r>
      <w:r w:rsidR="003F03F2" w:rsidRPr="000A1D51">
        <w:t>n ASEAN-Australian</w:t>
      </w:r>
      <w:r w:rsidR="007C1E31" w:rsidRPr="000A1D51">
        <w:t xml:space="preserve"> partnership</w:t>
      </w:r>
      <w:r w:rsidR="003F03F2" w:rsidRPr="000A1D51">
        <w:t xml:space="preserve"> targeted at achieving shared priorities related to </w:t>
      </w:r>
      <w:r w:rsidR="00BE7DDE" w:rsidRPr="000A1D51">
        <w:t>implementation of regional economic integration</w:t>
      </w:r>
      <w:r w:rsidR="007C1E31" w:rsidRPr="000A1D51">
        <w:t xml:space="preserve">. </w:t>
      </w:r>
    </w:p>
    <w:p w14:paraId="12CB1318" w14:textId="77777777" w:rsidR="007C1E31" w:rsidRPr="000A1D51" w:rsidRDefault="002B220C" w:rsidP="00FD562F">
      <w:pPr>
        <w:pStyle w:val="Bullet0"/>
      </w:pPr>
      <w:r w:rsidRPr="000A1D51">
        <w:t xml:space="preserve">The extent to which </w:t>
      </w:r>
      <w:r w:rsidR="007C1E31" w:rsidRPr="000A1D51">
        <w:t xml:space="preserve">ASEC </w:t>
      </w:r>
      <w:r w:rsidR="005B3B26" w:rsidRPr="000A1D51">
        <w:t xml:space="preserve">is </w:t>
      </w:r>
      <w:r w:rsidR="007C1E31" w:rsidRPr="000A1D51">
        <w:t>driv</w:t>
      </w:r>
      <w:r w:rsidR="005B3B26" w:rsidRPr="000A1D51">
        <w:t>ing</w:t>
      </w:r>
      <w:r w:rsidR="007C1E31" w:rsidRPr="000A1D51">
        <w:t xml:space="preserve"> the planning, prioritisation and implementation of projects with the support of DFAT.</w:t>
      </w:r>
    </w:p>
    <w:p w14:paraId="13A8294F" w14:textId="77777777" w:rsidR="007C1E31" w:rsidRPr="000A1D51" w:rsidRDefault="007C1E31" w:rsidP="00FD562F">
      <w:pPr>
        <w:pStyle w:val="Bullet0"/>
      </w:pPr>
      <w:r w:rsidRPr="000A1D51">
        <w:t>The high degree of program visibility within ASEC and ASEAN, and the benefits that this provides in terms of Australian-ASEAN engagement.</w:t>
      </w:r>
    </w:p>
    <w:p w14:paraId="354567E8" w14:textId="77777777" w:rsidR="007C1E31" w:rsidRPr="000A1D51" w:rsidRDefault="005B3B26" w:rsidP="00FD562F">
      <w:pPr>
        <w:pStyle w:val="Bullet0"/>
      </w:pPr>
      <w:r w:rsidRPr="000A1D51">
        <w:t>The extent to which the program has been able to p</w:t>
      </w:r>
      <w:r w:rsidR="007C1E31" w:rsidRPr="000A1D51">
        <w:t xml:space="preserve">romote cross-pillar collaboration within ASEC (e.g. under the connectivity program). </w:t>
      </w:r>
    </w:p>
    <w:p w14:paraId="42B00F90" w14:textId="77777777" w:rsidR="001E7867" w:rsidRPr="000A1D51" w:rsidRDefault="001E7867" w:rsidP="00E50318">
      <w:pPr>
        <w:pStyle w:val="ListParagraph"/>
      </w:pPr>
      <w:r w:rsidRPr="000A1D51">
        <w:t>The main areas for improvement in designing follow-up support would be to</w:t>
      </w:r>
      <w:r w:rsidR="00164071" w:rsidRPr="000A1D51">
        <w:t>: (i)</w:t>
      </w:r>
      <w:r w:rsidRPr="000A1D51">
        <w:t xml:space="preserve"> explore options to support more rapid development of quality project proposals</w:t>
      </w:r>
      <w:r w:rsidR="00164071" w:rsidRPr="000A1D51">
        <w:t>;</w:t>
      </w:r>
      <w:r w:rsidR="000840D0" w:rsidRPr="000A1D51">
        <w:t xml:space="preserve"> </w:t>
      </w:r>
      <w:r w:rsidR="00164071" w:rsidRPr="000A1D51">
        <w:t>(ii)</w:t>
      </w:r>
      <w:r w:rsidR="000840D0" w:rsidRPr="000A1D51">
        <w:t xml:space="preserve"> strengthen the evidence base of expected </w:t>
      </w:r>
      <w:r w:rsidR="00E02029" w:rsidRPr="000A1D51">
        <w:t xml:space="preserve">level and distribution of </w:t>
      </w:r>
      <w:r w:rsidR="000840D0" w:rsidRPr="000A1D51">
        <w:t>impacts of</w:t>
      </w:r>
      <w:r w:rsidR="00E02029" w:rsidRPr="000A1D51">
        <w:t xml:space="preserve"> economic integration initiatives</w:t>
      </w:r>
      <w:r w:rsidR="00164071" w:rsidRPr="000A1D51">
        <w:t xml:space="preserve">; (iii) </w:t>
      </w:r>
      <w:r w:rsidR="00E02029" w:rsidRPr="000A1D51">
        <w:t xml:space="preserve">strengthen </w:t>
      </w:r>
      <w:r w:rsidR="00B00003" w:rsidRPr="000A1D51">
        <w:t xml:space="preserve">M&amp;E and </w:t>
      </w:r>
      <w:r w:rsidR="00E02029" w:rsidRPr="000A1D51">
        <w:t>results reporting, and</w:t>
      </w:r>
      <w:r w:rsidR="00164071" w:rsidRPr="000A1D51">
        <w:t>; (iv)</w:t>
      </w:r>
      <w:r w:rsidR="00E02029" w:rsidRPr="000A1D51">
        <w:t xml:space="preserve"> better address cross-cutting issues such as gender and social inclusion</w:t>
      </w:r>
      <w:r w:rsidR="00B01981" w:rsidRPr="000A1D51">
        <w:t>.</w:t>
      </w:r>
    </w:p>
    <w:p w14:paraId="7751F0CF" w14:textId="77777777" w:rsidR="00586E99" w:rsidRPr="000A1D51" w:rsidRDefault="00586E99" w:rsidP="00586E99">
      <w:pPr>
        <w:pStyle w:val="Heading2"/>
        <w:rPr>
          <w:lang w:val="en-AU"/>
        </w:rPr>
      </w:pPr>
      <w:bookmarkStart w:id="66" w:name="_Toc24884121"/>
      <w:bookmarkStart w:id="67" w:name="_Toc31820123"/>
      <w:r w:rsidRPr="000A1D51">
        <w:rPr>
          <w:lang w:val="en-AU"/>
        </w:rPr>
        <w:t xml:space="preserve">Conclusions on </w:t>
      </w:r>
      <w:r w:rsidR="00DD1C11" w:rsidRPr="000A1D51">
        <w:rPr>
          <w:lang w:val="en-AU"/>
        </w:rPr>
        <w:t>Partnership modality</w:t>
      </w:r>
      <w:bookmarkEnd w:id="66"/>
      <w:bookmarkEnd w:id="67"/>
      <w:r w:rsidR="00DD1C11" w:rsidRPr="000A1D51">
        <w:rPr>
          <w:lang w:val="en-AU"/>
        </w:rPr>
        <w:t xml:space="preserve"> </w:t>
      </w:r>
    </w:p>
    <w:p w14:paraId="1D902BD0" w14:textId="77777777" w:rsidR="00FC6195" w:rsidRPr="000A1D51" w:rsidRDefault="00FC6195" w:rsidP="00E50318">
      <w:pPr>
        <w:pStyle w:val="ListParagraph"/>
      </w:pPr>
      <w:r w:rsidRPr="000A1D51">
        <w:t xml:space="preserve">Overall, the AADCP II partnership approach demonstrates value for money. Working through ASEC systems has reinforced a strong AADCP II brand recognition within ASEAN. The Program has been effective in strengthening the partnership and trust between the two stakeholders which is allowing Australia to continue its high-level engagement with ASEAN on priority areas such as connectivity and infrastructure. </w:t>
      </w:r>
    </w:p>
    <w:p w14:paraId="3EED92B8" w14:textId="77777777" w:rsidR="00FA217E" w:rsidRPr="000A1D51" w:rsidRDefault="00FC6195" w:rsidP="00FA217E">
      <w:pPr>
        <w:pStyle w:val="ListParagraph"/>
      </w:pPr>
      <w:r w:rsidRPr="000A1D51">
        <w:t>This mature partnership facilitates ASEAN and Australia to collaborate on areas of mutual interest and address program risks and approach sensitive issues appropriately.</w:t>
      </w:r>
    </w:p>
    <w:p w14:paraId="3B22739D" w14:textId="77777777" w:rsidR="00FC6195" w:rsidRPr="000A1D51" w:rsidRDefault="00FC6195" w:rsidP="00282B34">
      <w:pPr>
        <w:pStyle w:val="ListParagraph"/>
      </w:pPr>
      <w:r w:rsidRPr="000A1D51">
        <w:t>Owing to the demand-led approach, AADCP II enjoys a very strong brand recognition within ASEAN. However, this may be reducing Australia’s ability to raise its regional profile more widely.</w:t>
      </w:r>
      <w:r w:rsidR="00FA217E" w:rsidRPr="000A1D51">
        <w:t xml:space="preserve"> </w:t>
      </w:r>
      <w:r w:rsidR="00291E9A" w:rsidRPr="000A1D51">
        <w:rPr>
          <w:lang w:val="en-AU"/>
        </w:rPr>
        <w:t xml:space="preserve">As a result of ASEAN’s strong ownership of AADCP II, the program enjoys a strong brand recognition in ASEAN and is often seen as synonymous with Australian </w:t>
      </w:r>
      <w:r w:rsidR="00363EC7" w:rsidRPr="000A1D51">
        <w:rPr>
          <w:lang w:val="en-AU"/>
        </w:rPr>
        <w:t xml:space="preserve">regional </w:t>
      </w:r>
      <w:r w:rsidR="00291E9A" w:rsidRPr="000A1D51">
        <w:rPr>
          <w:lang w:val="en-AU"/>
        </w:rPr>
        <w:t xml:space="preserve">support </w:t>
      </w:r>
      <w:r w:rsidR="003F00E7" w:rsidRPr="000A1D51">
        <w:rPr>
          <w:lang w:val="en-AU"/>
        </w:rPr>
        <w:t xml:space="preserve">which </w:t>
      </w:r>
      <w:r w:rsidR="00291E9A" w:rsidRPr="000A1D51">
        <w:rPr>
          <w:lang w:val="en-AU"/>
        </w:rPr>
        <w:t xml:space="preserve">has, to some extent, diminished the opportunity for Australia to raise its regional profile. Discussions with the DFAT- ASEAN Mission indicated that </w:t>
      </w:r>
      <w:r w:rsidR="00291E9A" w:rsidRPr="000A1D51">
        <w:t>ASEAN Ambassadors don’t necessarily explore support elsewhere with Australia, as they currently receive wide-ranging support through AADCP II, and the program, at first glance, seems to have a comprehensive coverage under the Economic pillar. ASEAN Ambassadors</w:t>
      </w:r>
      <w:r w:rsidR="00363EC7" w:rsidRPr="000A1D51">
        <w:t xml:space="preserve"> in Jakarta</w:t>
      </w:r>
      <w:r w:rsidR="00291E9A" w:rsidRPr="000A1D51">
        <w:t xml:space="preserve"> also noted that they weren’t fully aware of other Australian regional and bilateral support </w:t>
      </w:r>
      <w:r w:rsidR="00363EC7" w:rsidRPr="000A1D51">
        <w:t xml:space="preserve">programs </w:t>
      </w:r>
      <w:r w:rsidR="00291E9A" w:rsidRPr="000A1D51">
        <w:t>available to them. While this demonstrates</w:t>
      </w:r>
      <w:r w:rsidR="000A3974" w:rsidRPr="000A1D51">
        <w:t xml:space="preserve"> value in </w:t>
      </w:r>
      <w:r w:rsidR="00291E9A" w:rsidRPr="000A1D51">
        <w:t xml:space="preserve">the AADCP II approach, it also suggests a need for Australia to </w:t>
      </w:r>
      <w:r w:rsidR="00291E9A" w:rsidRPr="000A1D51">
        <w:lastRenderedPageBreak/>
        <w:t xml:space="preserve">be more proactive in their internal and external communication channels to ensure ASEAN stakeholders are aware of Australia’s broader </w:t>
      </w:r>
      <w:r w:rsidR="00363EC7" w:rsidRPr="000A1D51">
        <w:t>development programs</w:t>
      </w:r>
      <w:r w:rsidR="00291E9A" w:rsidRPr="000A1D51">
        <w:t xml:space="preserve">.  </w:t>
      </w:r>
    </w:p>
    <w:p w14:paraId="33BA0E8D" w14:textId="16A50430" w:rsidR="002F20C7" w:rsidRPr="000A1D51" w:rsidRDefault="00FC6195" w:rsidP="002F20C7">
      <w:pPr>
        <w:pStyle w:val="ListParagraph"/>
      </w:pPr>
      <w:r w:rsidRPr="000A1D51">
        <w:t>The program model has certain inherent risks and challenges (program level: operational-procurement, contracting and project level- proposal development, implementation, monitoring, etc</w:t>
      </w:r>
      <w:r w:rsidR="00D27619" w:rsidRPr="000A1D51">
        <w:t>.</w:t>
      </w:r>
      <w:r w:rsidRPr="000A1D51">
        <w:t xml:space="preserve">), which </w:t>
      </w:r>
      <w:r w:rsidR="00C24B40" w:rsidRPr="000A1D51">
        <w:t>are</w:t>
      </w:r>
      <w:r w:rsidRPr="000A1D51">
        <w:t xml:space="preserve"> largely being addressed. </w:t>
      </w:r>
      <w:r w:rsidR="00487665" w:rsidRPr="000A1D51">
        <w:t>Other challenges include AADCP II’s ability to drive monitoring and evaluation of its activities and engag</w:t>
      </w:r>
      <w:r w:rsidR="009F09C4" w:rsidRPr="000A1D51">
        <w:t>e</w:t>
      </w:r>
      <w:r w:rsidR="00487665" w:rsidRPr="000A1D51">
        <w:t xml:space="preserve"> with ASEAN on GESI.</w:t>
      </w:r>
    </w:p>
    <w:p w14:paraId="4AD51E71" w14:textId="77777777" w:rsidR="00E83B1C" w:rsidRPr="000A1D51" w:rsidRDefault="00E83B1C" w:rsidP="002F20C7">
      <w:pPr>
        <w:pStyle w:val="ListParagraph"/>
      </w:pPr>
      <w:r w:rsidRPr="000A1D51">
        <w:t>One of the limitations of this model i</w:t>
      </w:r>
      <w:r w:rsidR="00DC37DA" w:rsidRPr="000A1D51">
        <w:t xml:space="preserve">s </w:t>
      </w:r>
      <w:r w:rsidR="00454034" w:rsidRPr="000A1D51">
        <w:t xml:space="preserve">that </w:t>
      </w:r>
      <w:r w:rsidR="00DC37DA" w:rsidRPr="000A1D51">
        <w:t>the demand-led nature</w:t>
      </w:r>
      <w:r w:rsidR="00454034" w:rsidRPr="000A1D51">
        <w:t xml:space="preserve"> of AADCP II may not fully align with</w:t>
      </w:r>
      <w:r w:rsidR="009C1C8A" w:rsidRPr="000A1D51">
        <w:t xml:space="preserve"> Australia’s priorities</w:t>
      </w:r>
      <w:r w:rsidR="00D57A51" w:rsidRPr="000A1D51">
        <w:t xml:space="preserve"> which is being addressed</w:t>
      </w:r>
      <w:r w:rsidR="00917DC5" w:rsidRPr="000A1D51">
        <w:t xml:space="preserve"> </w:t>
      </w:r>
      <w:r w:rsidR="00931FE5" w:rsidRPr="000A1D51">
        <w:t>through</w:t>
      </w:r>
      <w:r w:rsidR="00917DC5" w:rsidRPr="000A1D51">
        <w:t xml:space="preserve"> </w:t>
      </w:r>
      <w:r w:rsidR="00332EB5" w:rsidRPr="000A1D51">
        <w:t>DFAT</w:t>
      </w:r>
      <w:r w:rsidR="005430ED" w:rsidRPr="000A1D51">
        <w:t>’s</w:t>
      </w:r>
      <w:r w:rsidR="00332EB5" w:rsidRPr="000A1D51">
        <w:t xml:space="preserve"> and the AADCP II Project Director</w:t>
      </w:r>
      <w:r w:rsidR="006C51D8" w:rsidRPr="000A1D51">
        <w:t xml:space="preserve">’s active involvement in </w:t>
      </w:r>
      <w:r w:rsidR="007154C7" w:rsidRPr="000A1D51">
        <w:t>shaping</w:t>
      </w:r>
      <w:r w:rsidR="00662C73" w:rsidRPr="000A1D51">
        <w:t xml:space="preserve"> the program </w:t>
      </w:r>
      <w:r w:rsidR="00A35FFF" w:rsidRPr="000A1D51">
        <w:t>by targeting</w:t>
      </w:r>
      <w:r w:rsidR="00662C73" w:rsidRPr="000A1D51">
        <w:t xml:space="preserve"> project selection. </w:t>
      </w:r>
      <w:r w:rsidR="0071467A" w:rsidRPr="000A1D51">
        <w:t xml:space="preserve"> </w:t>
      </w:r>
      <w:r w:rsidR="00332EB5" w:rsidRPr="000A1D51">
        <w:t xml:space="preserve">  </w:t>
      </w:r>
      <w:r w:rsidR="00B97EF7" w:rsidRPr="000A1D51">
        <w:t xml:space="preserve"> </w:t>
      </w:r>
      <w:r w:rsidR="00D57A51" w:rsidRPr="000A1D51">
        <w:t xml:space="preserve"> </w:t>
      </w:r>
      <w:r w:rsidR="00DC37DA" w:rsidRPr="000A1D51">
        <w:t xml:space="preserve"> </w:t>
      </w:r>
    </w:p>
    <w:p w14:paraId="6CFDA1DA" w14:textId="77777777" w:rsidR="00586E99" w:rsidRPr="000A1D51" w:rsidRDefault="00586E99" w:rsidP="00586E99">
      <w:pPr>
        <w:pStyle w:val="Heading2"/>
        <w:rPr>
          <w:lang w:val="en-AU"/>
        </w:rPr>
      </w:pPr>
      <w:bookmarkStart w:id="68" w:name="_Toc24884122"/>
      <w:bookmarkStart w:id="69" w:name="_Toc31820124"/>
      <w:r w:rsidRPr="000A1D51">
        <w:rPr>
          <w:lang w:val="en-AU"/>
        </w:rPr>
        <w:t>Recommendations</w:t>
      </w:r>
      <w:bookmarkEnd w:id="68"/>
      <w:bookmarkEnd w:id="69"/>
    </w:p>
    <w:p w14:paraId="1B6392D5" w14:textId="259C665E" w:rsidR="00087B44" w:rsidRPr="000A1D51" w:rsidRDefault="00586E99" w:rsidP="009C386D">
      <w:pPr>
        <w:pStyle w:val="Heading3"/>
      </w:pPr>
      <w:bookmarkStart w:id="70" w:name="_Toc21417461"/>
      <w:bookmarkStart w:id="71" w:name="_Toc24884123"/>
      <w:bookmarkStart w:id="72" w:name="_Toc31820125"/>
      <w:r w:rsidRPr="000A1D51">
        <w:t>Ongoing implementation</w:t>
      </w:r>
      <w:bookmarkEnd w:id="70"/>
      <w:bookmarkEnd w:id="71"/>
      <w:bookmarkEnd w:id="72"/>
    </w:p>
    <w:p w14:paraId="7C0FEDCD" w14:textId="77777777" w:rsidR="007A79A6" w:rsidRPr="000A1D51" w:rsidRDefault="007A79A6" w:rsidP="007A79A6">
      <w:pPr>
        <w:pStyle w:val="BodyText"/>
        <w:rPr>
          <w:lang w:eastAsia="zh-CN"/>
        </w:rPr>
      </w:pPr>
    </w:p>
    <w:p w14:paraId="3F2F279A" w14:textId="07EC9D37" w:rsidR="00087B44" w:rsidRPr="000A1D51" w:rsidRDefault="00CD358F" w:rsidP="004A4086">
      <w:pPr>
        <w:pStyle w:val="Heading4"/>
        <w:numPr>
          <w:ilvl w:val="0"/>
          <w:numId w:val="73"/>
        </w:numPr>
      </w:pPr>
      <w:r w:rsidRPr="000A1D51">
        <w:t>Sustaining momentum</w:t>
      </w:r>
    </w:p>
    <w:p w14:paraId="2F6138EA" w14:textId="4E0F61FE" w:rsidR="00CD358F" w:rsidRPr="000A1D51" w:rsidRDefault="009C448D" w:rsidP="00C24B40">
      <w:pPr>
        <w:pStyle w:val="ListParagraph"/>
      </w:pPr>
      <w:r w:rsidRPr="000A1D51">
        <w:rPr>
          <w:b/>
          <w:bCs/>
        </w:rPr>
        <w:t>DFAT and PMT.</w:t>
      </w:r>
      <w:r w:rsidRPr="000A1D51">
        <w:t xml:space="preserve"> </w:t>
      </w:r>
      <w:r w:rsidR="00CD358F" w:rsidRPr="000A1D51">
        <w:t>A key challenge for the remaining program phase will be designing support that can be expected to generate substantive impact over a limited time frame</w:t>
      </w:r>
      <w:r w:rsidR="003E115D" w:rsidRPr="000A1D51">
        <w:t xml:space="preserve"> of the remaining program duration. </w:t>
      </w:r>
      <w:r w:rsidR="00195DFD" w:rsidRPr="000A1D51">
        <w:t>Projects</w:t>
      </w:r>
      <w:r w:rsidR="005A6BB5" w:rsidRPr="000A1D51">
        <w:t xml:space="preserve"> could be designed in a phased manner with future support dependent on mobilizing additional support (from either a follow-up phase o</w:t>
      </w:r>
      <w:r w:rsidR="00817EA7" w:rsidRPr="000A1D51">
        <w:t>r</w:t>
      </w:r>
      <w:r w:rsidR="005A6BB5" w:rsidRPr="000A1D51">
        <w:t xml:space="preserve"> from alternative sources).</w:t>
      </w:r>
    </w:p>
    <w:p w14:paraId="3FD142C6" w14:textId="62FC126D" w:rsidR="000B2932" w:rsidRPr="000A1D51" w:rsidRDefault="00EC34E1" w:rsidP="00C24B40">
      <w:pPr>
        <w:pStyle w:val="ListParagraph"/>
      </w:pPr>
      <w:r w:rsidRPr="000A1D51">
        <w:rPr>
          <w:b/>
          <w:bCs/>
        </w:rPr>
        <w:t>PMT</w:t>
      </w:r>
      <w:r w:rsidRPr="000A1D51">
        <w:t xml:space="preserve"> to c</w:t>
      </w:r>
      <w:r w:rsidR="000B2932" w:rsidRPr="000A1D51">
        <w:t>ontinue explor</w:t>
      </w:r>
      <w:r w:rsidR="00223956" w:rsidRPr="000A1D51">
        <w:t>ing</w:t>
      </w:r>
      <w:r w:rsidR="000B2932" w:rsidRPr="000A1D51">
        <w:t xml:space="preserve"> opportunities to engage with ASEC divisions to assess medium-term development needs (linked to ASEAN sector plans and results targets) and to develop concrete proposals to meet these needs that could be supported under a </w:t>
      </w:r>
      <w:r w:rsidR="00817EA7" w:rsidRPr="000A1D51">
        <w:t xml:space="preserve">possible </w:t>
      </w:r>
      <w:r w:rsidR="000B2932" w:rsidRPr="000A1D51">
        <w:t>follow-</w:t>
      </w:r>
      <w:r w:rsidR="00817EA7" w:rsidRPr="000A1D51">
        <w:t>up</w:t>
      </w:r>
      <w:r w:rsidR="000B2932" w:rsidRPr="000A1D51">
        <w:t xml:space="preserve"> project and for </w:t>
      </w:r>
      <w:r w:rsidR="00223956" w:rsidRPr="000A1D51">
        <w:t xml:space="preserve">possible </w:t>
      </w:r>
      <w:r w:rsidR="000B2932" w:rsidRPr="000A1D51">
        <w:t>approval with the overall program.</w:t>
      </w:r>
    </w:p>
    <w:p w14:paraId="0124C69B" w14:textId="1EE2DAD7" w:rsidR="00087B44" w:rsidRPr="000A1D51" w:rsidRDefault="004F295E" w:rsidP="004A4086">
      <w:pPr>
        <w:pStyle w:val="Heading4"/>
      </w:pPr>
      <w:r w:rsidRPr="000A1D51">
        <w:t>Gender</w:t>
      </w:r>
    </w:p>
    <w:p w14:paraId="72406948" w14:textId="7C161B53" w:rsidR="007A79A6" w:rsidRPr="000A1D51" w:rsidRDefault="003D0203" w:rsidP="00223956">
      <w:pPr>
        <w:pStyle w:val="ListParagraph"/>
      </w:pPr>
      <w:r w:rsidRPr="000A1D51">
        <w:rPr>
          <w:b/>
          <w:bCs/>
          <w:iCs/>
        </w:rPr>
        <w:t>DFAT</w:t>
      </w:r>
      <w:r w:rsidR="00164071" w:rsidRPr="000A1D51">
        <w:rPr>
          <w:b/>
          <w:bCs/>
          <w:iCs/>
        </w:rPr>
        <w:t xml:space="preserve"> and </w:t>
      </w:r>
      <w:r w:rsidR="00EC34E1" w:rsidRPr="000A1D51">
        <w:rPr>
          <w:b/>
          <w:bCs/>
          <w:iCs/>
        </w:rPr>
        <w:t>PMT</w:t>
      </w:r>
      <w:r w:rsidR="00EC34E1" w:rsidRPr="000A1D51">
        <w:rPr>
          <w:iCs/>
        </w:rPr>
        <w:t xml:space="preserve"> to </w:t>
      </w:r>
      <w:r w:rsidR="00332EAD" w:rsidRPr="000A1D51">
        <w:rPr>
          <w:iCs/>
        </w:rPr>
        <w:t>source GESI expertise</w:t>
      </w:r>
      <w:r w:rsidR="001463E6" w:rsidRPr="000A1D51">
        <w:rPr>
          <w:iCs/>
        </w:rPr>
        <w:t>,</w:t>
      </w:r>
      <w:r w:rsidR="00332EAD" w:rsidRPr="000A1D51">
        <w:rPr>
          <w:iCs/>
        </w:rPr>
        <w:t xml:space="preserve"> </w:t>
      </w:r>
      <w:r w:rsidR="001463E6" w:rsidRPr="000A1D51">
        <w:rPr>
          <w:iCs/>
        </w:rPr>
        <w:t xml:space="preserve">on an as needed basis, </w:t>
      </w:r>
      <w:r w:rsidR="00FC6400" w:rsidRPr="000A1D51">
        <w:rPr>
          <w:iCs/>
        </w:rPr>
        <w:t xml:space="preserve">for example, </w:t>
      </w:r>
      <w:r w:rsidR="00332EAD" w:rsidRPr="000A1D51">
        <w:rPr>
          <w:iCs/>
        </w:rPr>
        <w:t>to</w:t>
      </w:r>
      <w:r w:rsidR="004F295E" w:rsidRPr="000A1D51">
        <w:rPr>
          <w:iCs/>
        </w:rPr>
        <w:t xml:space="preserve"> undertake </w:t>
      </w:r>
      <w:r w:rsidR="00FC6400" w:rsidRPr="000A1D51">
        <w:rPr>
          <w:iCs/>
        </w:rPr>
        <w:t xml:space="preserve">sector-specific </w:t>
      </w:r>
      <w:r w:rsidR="004F295E" w:rsidRPr="000A1D51">
        <w:rPr>
          <w:iCs/>
        </w:rPr>
        <w:t xml:space="preserve">gender analysis and identify expected and/or potential gender opportunities in AADCP II’s work. </w:t>
      </w:r>
      <w:r w:rsidR="006A2583" w:rsidRPr="000A1D51">
        <w:rPr>
          <w:iCs/>
        </w:rPr>
        <w:t xml:space="preserve">A GESI </w:t>
      </w:r>
      <w:r w:rsidR="004F295E" w:rsidRPr="000A1D51">
        <w:rPr>
          <w:iCs/>
        </w:rPr>
        <w:t>adviser could also help peer review funding proposals and activity designs. The Adviser could also assess the level of impact in at least two of the three main areas where AADCP II has provided support</w:t>
      </w:r>
      <w:r w:rsidR="00A806B0" w:rsidRPr="000A1D51">
        <w:rPr>
          <w:iCs/>
        </w:rPr>
        <w:t xml:space="preserve"> -</w:t>
      </w:r>
      <w:r w:rsidR="004F295E" w:rsidRPr="000A1D51">
        <w:rPr>
          <w:iCs/>
        </w:rPr>
        <w:t xml:space="preserve"> and provide concrete recommendations on what more could be done to economically empower women and children in these areas</w:t>
      </w:r>
      <w:r w:rsidR="00A806B0" w:rsidRPr="000A1D51">
        <w:rPr>
          <w:iCs/>
        </w:rPr>
        <w:t xml:space="preserve"> --</w:t>
      </w:r>
      <w:r w:rsidR="004F295E" w:rsidRPr="000A1D51">
        <w:rPr>
          <w:iCs/>
        </w:rPr>
        <w:t xml:space="preserve"> particularly </w:t>
      </w:r>
      <w:r w:rsidR="00A806B0" w:rsidRPr="000A1D51">
        <w:rPr>
          <w:iCs/>
        </w:rPr>
        <w:t>during</w:t>
      </w:r>
      <w:r w:rsidR="004F295E" w:rsidRPr="000A1D51">
        <w:rPr>
          <w:iCs/>
        </w:rPr>
        <w:t xml:space="preserve"> the next phase of the program.</w:t>
      </w:r>
      <w:r w:rsidR="00601C10" w:rsidRPr="000A1D51">
        <w:rPr>
          <w:iCs/>
        </w:rPr>
        <w:t xml:space="preserve"> </w:t>
      </w:r>
      <w:r w:rsidR="00CD78BB" w:rsidRPr="000A1D51">
        <w:rPr>
          <w:iCs/>
        </w:rPr>
        <w:t xml:space="preserve">Currently, </w:t>
      </w:r>
      <w:r w:rsidR="00601C10" w:rsidRPr="000A1D51">
        <w:rPr>
          <w:iCs/>
        </w:rPr>
        <w:t xml:space="preserve">AADCP II </w:t>
      </w:r>
      <w:r w:rsidR="00FC6400" w:rsidRPr="000A1D51">
        <w:rPr>
          <w:iCs/>
        </w:rPr>
        <w:t>has access to</w:t>
      </w:r>
      <w:r w:rsidR="00DE3015" w:rsidRPr="000A1D51">
        <w:rPr>
          <w:iCs/>
        </w:rPr>
        <w:t xml:space="preserve"> GESI and M&amp;E </w:t>
      </w:r>
      <w:r w:rsidR="00FC6400" w:rsidRPr="000A1D51">
        <w:rPr>
          <w:iCs/>
        </w:rPr>
        <w:t xml:space="preserve">expertise </w:t>
      </w:r>
      <w:r w:rsidR="00DE3015" w:rsidRPr="000A1D51">
        <w:rPr>
          <w:iCs/>
        </w:rPr>
        <w:t xml:space="preserve">from its </w:t>
      </w:r>
      <w:r w:rsidR="00EF6603" w:rsidRPr="000A1D51">
        <w:rPr>
          <w:iCs/>
        </w:rPr>
        <w:t>ongoing</w:t>
      </w:r>
      <w:r w:rsidR="00DE3015" w:rsidRPr="000A1D51">
        <w:rPr>
          <w:iCs/>
        </w:rPr>
        <w:t xml:space="preserve"> </w:t>
      </w:r>
      <w:r w:rsidR="008F0FB6" w:rsidRPr="000A1D51">
        <w:rPr>
          <w:iCs/>
        </w:rPr>
        <w:t xml:space="preserve">engagement with Clear Horizon, </w:t>
      </w:r>
      <w:r w:rsidR="00487665" w:rsidRPr="000A1D51">
        <w:rPr>
          <w:iCs/>
        </w:rPr>
        <w:t>which should continue</w:t>
      </w:r>
      <w:r w:rsidR="00763CCD" w:rsidRPr="000A1D51">
        <w:rPr>
          <w:iCs/>
        </w:rPr>
        <w:t>.</w:t>
      </w:r>
      <w:r w:rsidR="00FC6400" w:rsidRPr="000A1D51">
        <w:rPr>
          <w:iCs/>
        </w:rPr>
        <w:t xml:space="preserve"> This combination of technical support coupled with additional targeted GESI expertise should enable the program to better target GESI work.</w:t>
      </w:r>
    </w:p>
    <w:p w14:paraId="14002DD9" w14:textId="15C76EAD" w:rsidR="00087B44" w:rsidRPr="000A1D51" w:rsidRDefault="00FC6195" w:rsidP="004A4086">
      <w:pPr>
        <w:pStyle w:val="Heading4"/>
      </w:pPr>
      <w:r w:rsidRPr="000A1D51">
        <w:t>Communications</w:t>
      </w:r>
    </w:p>
    <w:p w14:paraId="1E1CD45D" w14:textId="7AE3E61F" w:rsidR="00FC6195" w:rsidRPr="000A1D51" w:rsidRDefault="00FC6195" w:rsidP="00C24B40">
      <w:pPr>
        <w:pStyle w:val="ListParagraph"/>
      </w:pPr>
      <w:r w:rsidRPr="000A1D51">
        <w:rPr>
          <w:b/>
        </w:rPr>
        <w:t>DFAT-ASEAN Mission</w:t>
      </w:r>
      <w:r w:rsidRPr="000A1D51">
        <w:rPr>
          <w:bCs/>
        </w:rPr>
        <w:t xml:space="preserve"> to consider ways to sharpen both internal and external communication about AADCP II’s </w:t>
      </w:r>
      <w:r w:rsidR="005D326B" w:rsidRPr="000A1D51">
        <w:rPr>
          <w:bCs/>
        </w:rPr>
        <w:t xml:space="preserve">support, outcomes and </w:t>
      </w:r>
      <w:r w:rsidRPr="000A1D51">
        <w:rPr>
          <w:bCs/>
        </w:rPr>
        <w:t>modality.</w:t>
      </w:r>
      <w:r w:rsidR="005D326B" w:rsidRPr="000A1D51">
        <w:rPr>
          <w:bCs/>
        </w:rPr>
        <w:t xml:space="preserve"> In addition to program level information, it will be particularly important to</w:t>
      </w:r>
      <w:r w:rsidR="00402250" w:rsidRPr="000A1D51">
        <w:rPr>
          <w:bCs/>
        </w:rPr>
        <w:t xml:space="preserve"> strengthen the</w:t>
      </w:r>
      <w:r w:rsidR="005D326B" w:rsidRPr="000A1D51">
        <w:rPr>
          <w:bCs/>
        </w:rPr>
        <w:t xml:space="preserve"> </w:t>
      </w:r>
      <w:r w:rsidR="005D326B" w:rsidRPr="000A1D51">
        <w:rPr>
          <w:bCs/>
        </w:rPr>
        <w:lastRenderedPageBreak/>
        <w:t>compil</w:t>
      </w:r>
      <w:r w:rsidR="00402250" w:rsidRPr="000A1D51">
        <w:rPr>
          <w:bCs/>
        </w:rPr>
        <w:t>ation</w:t>
      </w:r>
      <w:r w:rsidR="005D326B" w:rsidRPr="000A1D51">
        <w:rPr>
          <w:bCs/>
        </w:rPr>
        <w:t xml:space="preserve"> </w:t>
      </w:r>
      <w:r w:rsidR="00402250" w:rsidRPr="000A1D51">
        <w:rPr>
          <w:bCs/>
        </w:rPr>
        <w:t xml:space="preserve">of evidence </w:t>
      </w:r>
      <w:r w:rsidR="005D326B" w:rsidRPr="000A1D51">
        <w:rPr>
          <w:bCs/>
        </w:rPr>
        <w:t>and disseminat</w:t>
      </w:r>
      <w:r w:rsidR="00402250" w:rsidRPr="000A1D51">
        <w:rPr>
          <w:bCs/>
        </w:rPr>
        <w:t>ion</w:t>
      </w:r>
      <w:r w:rsidR="005D326B" w:rsidRPr="000A1D51">
        <w:rPr>
          <w:bCs/>
        </w:rPr>
        <w:t xml:space="preserve"> information on the expected level and distribution of costs and benefits of the </w:t>
      </w:r>
      <w:r w:rsidR="00402250" w:rsidRPr="000A1D51">
        <w:rPr>
          <w:bCs/>
        </w:rPr>
        <w:t xml:space="preserve">regional economic </w:t>
      </w:r>
      <w:r w:rsidR="005D326B" w:rsidRPr="000A1D51">
        <w:rPr>
          <w:bCs/>
        </w:rPr>
        <w:t>integration process.</w:t>
      </w:r>
    </w:p>
    <w:p w14:paraId="1BDE7698" w14:textId="282B7A1A" w:rsidR="00087B44" w:rsidRPr="000A1D51" w:rsidRDefault="004F295E" w:rsidP="004A4086">
      <w:pPr>
        <w:pStyle w:val="Heading4"/>
      </w:pPr>
      <w:r w:rsidRPr="000A1D51">
        <w:t>M</w:t>
      </w:r>
      <w:r w:rsidR="00087B44" w:rsidRPr="000A1D51">
        <w:t xml:space="preserve">onitoring and </w:t>
      </w:r>
      <w:r w:rsidRPr="000A1D51">
        <w:t>E</w:t>
      </w:r>
      <w:r w:rsidR="00087B44" w:rsidRPr="000A1D51">
        <w:t>valuation</w:t>
      </w:r>
      <w:r w:rsidRPr="000A1D51">
        <w:t xml:space="preserve"> </w:t>
      </w:r>
    </w:p>
    <w:p w14:paraId="530BC1A3" w14:textId="65EBA324" w:rsidR="004F295E" w:rsidRPr="000A1D51" w:rsidRDefault="00EC34E1" w:rsidP="00C24B40">
      <w:pPr>
        <w:pStyle w:val="ListParagraph"/>
      </w:pPr>
      <w:r w:rsidRPr="000A1D51">
        <w:rPr>
          <w:b/>
        </w:rPr>
        <w:t>DFAT-ASEAN Mission and PMT</w:t>
      </w:r>
      <w:r w:rsidRPr="000A1D51">
        <w:rPr>
          <w:bCs/>
        </w:rPr>
        <w:t xml:space="preserve"> </w:t>
      </w:r>
      <w:r w:rsidRPr="000A1D51">
        <w:t>to c</w:t>
      </w:r>
      <w:r w:rsidR="004F295E" w:rsidRPr="000A1D51">
        <w:t xml:space="preserve">ontinue to review options to strengthen ASEC M&amp;E systems as part of efforts to strengthen the AADCP II M&amp;E systems (e.g. learning from MPAC and IAI experiences). </w:t>
      </w:r>
      <w:r w:rsidR="00C7299B" w:rsidRPr="000A1D51">
        <w:t xml:space="preserve">This </w:t>
      </w:r>
      <w:r w:rsidR="00DC0B50" w:rsidRPr="000A1D51">
        <w:t xml:space="preserve">provides </w:t>
      </w:r>
      <w:r w:rsidR="00D64E49" w:rsidRPr="000A1D51">
        <w:t>an</w:t>
      </w:r>
      <w:r w:rsidR="00C7299B" w:rsidRPr="000A1D51">
        <w:t xml:space="preserve"> opportunity to strengthen capacity in a practical manner that </w:t>
      </w:r>
      <w:r w:rsidR="00DC0B50" w:rsidRPr="000A1D51">
        <w:t xml:space="preserve">has </w:t>
      </w:r>
      <w:r w:rsidR="00C7299B" w:rsidRPr="000A1D51">
        <w:t xml:space="preserve">been valued by </w:t>
      </w:r>
      <w:r w:rsidR="00DC0B50" w:rsidRPr="000A1D51">
        <w:t xml:space="preserve">key </w:t>
      </w:r>
      <w:r w:rsidR="00C7299B" w:rsidRPr="000A1D51">
        <w:t xml:space="preserve">ASEC officers engaged with IAI and MPAC. </w:t>
      </w:r>
      <w:r w:rsidR="004F295E" w:rsidRPr="000A1D51">
        <w:t>Continue exploring options to develop case studies of the links between AADCP II supported activities, strengthened ASEC capacity, references in ASEAN planning meetings and documents to AADCP II supported activities, and/or adoption of recommendations or capacity building linked to AADCP II support.</w:t>
      </w:r>
      <w:r w:rsidR="009E756E" w:rsidRPr="000A1D51">
        <w:t xml:space="preserve"> </w:t>
      </w:r>
    </w:p>
    <w:p w14:paraId="0510597E" w14:textId="77777777" w:rsidR="00120DD1" w:rsidRPr="000A1D51" w:rsidRDefault="003D0203" w:rsidP="004A4086">
      <w:pPr>
        <w:pStyle w:val="Heading4"/>
      </w:pPr>
      <w:r w:rsidRPr="000A1D51">
        <w:t>Project design and implementation</w:t>
      </w:r>
      <w:r w:rsidR="004F295E" w:rsidRPr="000A1D51">
        <w:t xml:space="preserve">. </w:t>
      </w:r>
    </w:p>
    <w:p w14:paraId="5F45F0FE" w14:textId="77777777" w:rsidR="00120DD1" w:rsidRPr="000A1D51" w:rsidRDefault="00EC34E1" w:rsidP="00E34B36">
      <w:pPr>
        <w:pStyle w:val="ListParagraph"/>
      </w:pPr>
      <w:r w:rsidRPr="000A1D51">
        <w:rPr>
          <w:b/>
        </w:rPr>
        <w:t xml:space="preserve">PMT and ASEC </w:t>
      </w:r>
      <w:r w:rsidRPr="000A1D51">
        <w:t>to s</w:t>
      </w:r>
      <w:r w:rsidR="00120DD1" w:rsidRPr="000A1D51">
        <w:t>eek to clarify the division of roles and responsibilities between PPMSU and Desk Officers through the whole project initiation - implementation - monitoring - completion process</w:t>
      </w:r>
    </w:p>
    <w:p w14:paraId="193B1F49" w14:textId="77777777" w:rsidR="0077300D" w:rsidRPr="000A1D51" w:rsidRDefault="00EC34E1" w:rsidP="00E34B36">
      <w:pPr>
        <w:pStyle w:val="ListParagraph"/>
      </w:pPr>
      <w:r w:rsidRPr="000A1D51">
        <w:rPr>
          <w:b/>
        </w:rPr>
        <w:t>PMT and ASEC</w:t>
      </w:r>
      <w:r w:rsidRPr="000A1D51">
        <w:t xml:space="preserve"> to c</w:t>
      </w:r>
      <w:r w:rsidR="00EB56B3" w:rsidRPr="000A1D51">
        <w:t>ontinue</w:t>
      </w:r>
      <w:r w:rsidR="004F295E" w:rsidRPr="000A1D51">
        <w:t xml:space="preserve"> efforts</w:t>
      </w:r>
      <w:r w:rsidR="00EB56B3" w:rsidRPr="000A1D51">
        <w:t xml:space="preserve"> to r</w:t>
      </w:r>
      <w:r w:rsidR="0077300D" w:rsidRPr="000A1D51">
        <w:t xml:space="preserve">educe the number of ad hoc projects to reduce the time spent by processing and </w:t>
      </w:r>
      <w:r w:rsidR="003D0203" w:rsidRPr="000A1D51">
        <w:t>managing implementation of</w:t>
      </w:r>
      <w:r w:rsidR="0077300D" w:rsidRPr="000A1D51">
        <w:t xml:space="preserve"> small</w:t>
      </w:r>
      <w:r w:rsidR="003D0203" w:rsidRPr="000A1D51">
        <w:t xml:space="preserve">er, and/or less strategic </w:t>
      </w:r>
      <w:r w:rsidR="0077300D" w:rsidRPr="000A1D51">
        <w:t>activities</w:t>
      </w:r>
      <w:r w:rsidR="003D0203" w:rsidRPr="000A1D51">
        <w:t>.</w:t>
      </w:r>
    </w:p>
    <w:p w14:paraId="446F55DC" w14:textId="77C79C29" w:rsidR="009C386D" w:rsidRPr="000A1D51" w:rsidRDefault="00EC34E1" w:rsidP="00C5703B">
      <w:pPr>
        <w:pStyle w:val="ListParagraph"/>
      </w:pPr>
      <w:r w:rsidRPr="000A1D51">
        <w:rPr>
          <w:b/>
        </w:rPr>
        <w:t>DFAT and PMT</w:t>
      </w:r>
      <w:r w:rsidRPr="000A1D51">
        <w:t xml:space="preserve"> to explore scope </w:t>
      </w:r>
      <w:r w:rsidR="002957DB" w:rsidRPr="000A1D51">
        <w:t>to u</w:t>
      </w:r>
      <w:r w:rsidR="003D0203" w:rsidRPr="000A1D51">
        <w:t>se flexible funds to provide greater support to ASEC Desk Officers with proposal development</w:t>
      </w:r>
      <w:r w:rsidR="002957DB" w:rsidRPr="000A1D51">
        <w:t>.</w:t>
      </w:r>
    </w:p>
    <w:p w14:paraId="6E716B7F" w14:textId="7B5BC68C" w:rsidR="009C386D" w:rsidRPr="000A1D51" w:rsidRDefault="00586E99" w:rsidP="009C386D">
      <w:pPr>
        <w:pStyle w:val="Heading3"/>
      </w:pPr>
      <w:bookmarkStart w:id="73" w:name="_Toc21417462"/>
      <w:bookmarkStart w:id="74" w:name="_Toc24884124"/>
      <w:bookmarkStart w:id="75" w:name="_Toc31820126"/>
      <w:r w:rsidRPr="000A1D51">
        <w:t>Recommendations for follow-up support</w:t>
      </w:r>
      <w:bookmarkEnd w:id="73"/>
      <w:r w:rsidR="00F14009" w:rsidRPr="000A1D51">
        <w:rPr>
          <w:rStyle w:val="FootnoteReference"/>
        </w:rPr>
        <w:footnoteReference w:id="39"/>
      </w:r>
      <w:bookmarkEnd w:id="74"/>
      <w:bookmarkEnd w:id="75"/>
    </w:p>
    <w:p w14:paraId="0ADCD8BB" w14:textId="77777777" w:rsidR="00223956" w:rsidRPr="000A1D51" w:rsidRDefault="00223956" w:rsidP="00223956">
      <w:pPr>
        <w:pStyle w:val="BodyText"/>
        <w:rPr>
          <w:lang w:eastAsia="zh-CN"/>
        </w:rPr>
      </w:pPr>
    </w:p>
    <w:p w14:paraId="46340428" w14:textId="77777777" w:rsidR="002D7A79" w:rsidRPr="000A1D51" w:rsidRDefault="00586E99" w:rsidP="004A4086">
      <w:pPr>
        <w:pStyle w:val="Heading4"/>
        <w:numPr>
          <w:ilvl w:val="0"/>
          <w:numId w:val="74"/>
        </w:numPr>
      </w:pPr>
      <w:r w:rsidRPr="000A1D51">
        <w:t xml:space="preserve">Build on successes. </w:t>
      </w:r>
    </w:p>
    <w:p w14:paraId="549057D5" w14:textId="694C7F7C" w:rsidR="00586E99" w:rsidRPr="000A1D51" w:rsidRDefault="009E1D55" w:rsidP="00147AAA">
      <w:pPr>
        <w:pStyle w:val="ListParagraph"/>
      </w:pPr>
      <w:r w:rsidRPr="000A1D51">
        <w:rPr>
          <w:b/>
          <w:bCs/>
        </w:rPr>
        <w:t>DFAT</w:t>
      </w:r>
      <w:r w:rsidRPr="000A1D51">
        <w:t xml:space="preserve">. </w:t>
      </w:r>
      <w:r w:rsidR="00591B2E" w:rsidRPr="000A1D51">
        <w:t>B</w:t>
      </w:r>
      <w:r w:rsidR="00586E99" w:rsidRPr="000A1D51">
        <w:t xml:space="preserve">uild on </w:t>
      </w:r>
      <w:r w:rsidR="007A79A6" w:rsidRPr="000A1D51">
        <w:t>existing</w:t>
      </w:r>
      <w:r w:rsidR="00586E99" w:rsidRPr="000A1D51">
        <w:t xml:space="preserve"> momentum. </w:t>
      </w:r>
      <w:r w:rsidR="007A79A6" w:rsidRPr="000A1D51">
        <w:t>P</w:t>
      </w:r>
      <w:r w:rsidR="00586E99" w:rsidRPr="000A1D51">
        <w:t xml:space="preserve">otential benefits from continuing </w:t>
      </w:r>
      <w:r w:rsidR="007A79A6" w:rsidRPr="000A1D51">
        <w:t>engagement</w:t>
      </w:r>
      <w:r w:rsidR="00586E99" w:rsidRPr="000A1D51">
        <w:t xml:space="preserve"> include: (i) helping sustain strong regional development; (ii) reducing regional development gaps, and; (iii) strengthening economic and institutional relations and shared learning between ASEAN and Australia.</w:t>
      </w:r>
    </w:p>
    <w:p w14:paraId="40867666" w14:textId="557338C0" w:rsidR="00586E99" w:rsidRPr="000A1D51" w:rsidRDefault="00517599" w:rsidP="00E34B36">
      <w:pPr>
        <w:pStyle w:val="ListParagraph"/>
        <w:ind w:hanging="499"/>
      </w:pPr>
      <w:r w:rsidRPr="000A1D51">
        <w:rPr>
          <w:b/>
          <w:bCs/>
        </w:rPr>
        <w:t>DFAT</w:t>
      </w:r>
      <w:r w:rsidRPr="000A1D51">
        <w:rPr>
          <w:b/>
        </w:rPr>
        <w:t xml:space="preserve"> and </w:t>
      </w:r>
      <w:r w:rsidRPr="000A1D51">
        <w:rPr>
          <w:b/>
          <w:bCs/>
        </w:rPr>
        <w:t>PMT.</w:t>
      </w:r>
      <w:r w:rsidRPr="000A1D51">
        <w:t xml:space="preserve"> </w:t>
      </w:r>
      <w:r w:rsidR="00EB1074" w:rsidRPr="000A1D51">
        <w:t>S</w:t>
      </w:r>
      <w:r w:rsidR="00586E99" w:rsidRPr="000A1D51">
        <w:t>ustain existing momentum</w:t>
      </w:r>
      <w:r w:rsidR="00330ECC" w:rsidRPr="000A1D51">
        <w:t xml:space="preserve"> by starting early with the development of proposals for follow</w:t>
      </w:r>
      <w:r w:rsidR="005C0E8C" w:rsidRPr="000A1D51">
        <w:t>-up support</w:t>
      </w:r>
      <w:r w:rsidR="00586E99" w:rsidRPr="000A1D51">
        <w:t xml:space="preserve">. </w:t>
      </w:r>
      <w:r w:rsidR="000A6BC3" w:rsidRPr="000A1D51">
        <w:t>Consider planning for s</w:t>
      </w:r>
      <w:r w:rsidR="00EB1074" w:rsidRPr="000A1D51">
        <w:t>ome</w:t>
      </w:r>
      <w:r w:rsidR="00586E99" w:rsidRPr="000A1D51">
        <w:t xml:space="preserve"> overlap </w:t>
      </w:r>
      <w:r w:rsidR="005C0E8C" w:rsidRPr="000A1D51">
        <w:t xml:space="preserve">between </w:t>
      </w:r>
      <w:r w:rsidR="000A6BC3" w:rsidRPr="000A1D51">
        <w:t>AADCP II a</w:t>
      </w:r>
      <w:r w:rsidR="005C0E8C" w:rsidRPr="000A1D51">
        <w:t xml:space="preserve">nd </w:t>
      </w:r>
      <w:r w:rsidR="000A6BC3" w:rsidRPr="000A1D51">
        <w:t>proposed follow-up</w:t>
      </w:r>
      <w:r w:rsidR="005C0E8C" w:rsidRPr="000A1D51">
        <w:t xml:space="preserve"> project (or the use of AADCP II resources) to </w:t>
      </w:r>
      <w:r w:rsidR="00586E99" w:rsidRPr="000A1D51">
        <w:t>develop a pipeline of new projects to sustain momentum as AACDP II supported projects are finalized.</w:t>
      </w:r>
      <w:r w:rsidR="00330ECC" w:rsidRPr="000A1D51">
        <w:t xml:space="preserve"> </w:t>
      </w:r>
      <w:r w:rsidR="00330ECC" w:rsidRPr="000A1D51">
        <w:rPr>
          <w:lang w:val="en-AU"/>
        </w:rPr>
        <w:t xml:space="preserve">It might take a year to </w:t>
      </w:r>
      <w:r w:rsidR="000A6BC3" w:rsidRPr="000A1D51">
        <w:rPr>
          <w:lang w:val="en-AU"/>
        </w:rPr>
        <w:t xml:space="preserve">agree on and </w:t>
      </w:r>
      <w:r w:rsidR="00330ECC" w:rsidRPr="000A1D51">
        <w:rPr>
          <w:lang w:val="en-AU"/>
        </w:rPr>
        <w:t xml:space="preserve">develop quality proposals that </w:t>
      </w:r>
      <w:r w:rsidR="000A6BC3" w:rsidRPr="000A1D51">
        <w:rPr>
          <w:lang w:val="en-AU"/>
        </w:rPr>
        <w:t>would</w:t>
      </w:r>
      <w:r w:rsidR="00330ECC" w:rsidRPr="000A1D51">
        <w:rPr>
          <w:lang w:val="en-AU"/>
        </w:rPr>
        <w:t xml:space="preserve"> be </w:t>
      </w:r>
      <w:r w:rsidR="000A6BC3" w:rsidRPr="000A1D51">
        <w:rPr>
          <w:lang w:val="en-AU"/>
        </w:rPr>
        <w:t xml:space="preserve">ready to </w:t>
      </w:r>
      <w:r w:rsidR="00330ECC" w:rsidRPr="000A1D51">
        <w:rPr>
          <w:lang w:val="en-AU"/>
        </w:rPr>
        <w:t xml:space="preserve">fund soon after the start-up of the new support. </w:t>
      </w:r>
    </w:p>
    <w:p w14:paraId="40550E25" w14:textId="77777777" w:rsidR="00223956" w:rsidRPr="000A1D51" w:rsidRDefault="00223956" w:rsidP="00223956">
      <w:pPr>
        <w:pStyle w:val="ListParagraph"/>
        <w:numPr>
          <w:ilvl w:val="0"/>
          <w:numId w:val="0"/>
        </w:numPr>
        <w:ind w:left="357"/>
      </w:pPr>
    </w:p>
    <w:p w14:paraId="0178EFBD" w14:textId="77777777" w:rsidR="002D7A79" w:rsidRPr="000A1D51" w:rsidRDefault="002D7A79" w:rsidP="004A4086">
      <w:pPr>
        <w:pStyle w:val="Heading4"/>
      </w:pPr>
      <w:r w:rsidRPr="000A1D51">
        <w:t>Seek opportunities to provide greater f</w:t>
      </w:r>
      <w:r w:rsidR="00586E99" w:rsidRPr="000A1D51">
        <w:t xml:space="preserve">lexibility to respond to emerging </w:t>
      </w:r>
      <w:r w:rsidRPr="000A1D51">
        <w:t>needs</w:t>
      </w:r>
      <w:r w:rsidR="00586E99" w:rsidRPr="000A1D51">
        <w:t xml:space="preserve">. </w:t>
      </w:r>
    </w:p>
    <w:p w14:paraId="1791E07B" w14:textId="25EECB6B" w:rsidR="00DE047B" w:rsidRPr="000A1D51" w:rsidRDefault="00C0118A" w:rsidP="00E34B36">
      <w:pPr>
        <w:pStyle w:val="ListParagraph"/>
        <w:ind w:hanging="499"/>
      </w:pPr>
      <w:r w:rsidRPr="000A1D51">
        <w:rPr>
          <w:b/>
          <w:bCs/>
        </w:rPr>
        <w:lastRenderedPageBreak/>
        <w:t xml:space="preserve">DFAT and the </w:t>
      </w:r>
      <w:r w:rsidR="00DE622E" w:rsidRPr="000A1D51">
        <w:rPr>
          <w:b/>
          <w:bCs/>
        </w:rPr>
        <w:t>design</w:t>
      </w:r>
      <w:r w:rsidRPr="000A1D51">
        <w:rPr>
          <w:b/>
          <w:bCs/>
        </w:rPr>
        <w:t xml:space="preserve"> te</w:t>
      </w:r>
      <w:r w:rsidR="00DE622E" w:rsidRPr="000A1D51">
        <w:rPr>
          <w:b/>
          <w:bCs/>
        </w:rPr>
        <w:t>am</w:t>
      </w:r>
      <w:r w:rsidR="00DE622E" w:rsidRPr="000A1D51">
        <w:t xml:space="preserve"> could c</w:t>
      </w:r>
      <w:r w:rsidR="00586E99" w:rsidRPr="000A1D51">
        <w:t>onsider including a flexible component to provide Australia with some flexibility to: (i) help ASEC develop higher quality proposals</w:t>
      </w:r>
      <w:r w:rsidR="00F769A9" w:rsidRPr="000A1D51">
        <w:t xml:space="preserve">; </w:t>
      </w:r>
      <w:r w:rsidR="00586E99" w:rsidRPr="000A1D51">
        <w:t xml:space="preserve">(ii) to initiate support (linked to stated ASEAN objectives) that are aligned to Australia’s </w:t>
      </w:r>
      <w:r w:rsidR="00F51BE3" w:rsidRPr="000A1D51">
        <w:t xml:space="preserve">strategic priorities, </w:t>
      </w:r>
      <w:r w:rsidR="00586E99" w:rsidRPr="000A1D51">
        <w:t>comparative strengths and regional interests</w:t>
      </w:r>
      <w:r w:rsidR="00F769A9" w:rsidRPr="000A1D51">
        <w:t>; and/or (iii) to respond more flexibility to implementation gaps</w:t>
      </w:r>
      <w:r w:rsidR="00586E99" w:rsidRPr="000A1D51">
        <w:t xml:space="preserve">. </w:t>
      </w:r>
      <w:r w:rsidR="00F769A9" w:rsidRPr="000A1D51">
        <w:t xml:space="preserve"> </w:t>
      </w:r>
    </w:p>
    <w:p w14:paraId="525D98B7" w14:textId="2BA7709C" w:rsidR="00586E99" w:rsidRPr="000A1D51" w:rsidRDefault="00517599" w:rsidP="00E34B36">
      <w:pPr>
        <w:pStyle w:val="ListParagraph"/>
        <w:ind w:hanging="499"/>
      </w:pPr>
      <w:r w:rsidRPr="000A1D51">
        <w:rPr>
          <w:b/>
          <w:bCs/>
        </w:rPr>
        <w:t>DFAT</w:t>
      </w:r>
      <w:r w:rsidRPr="000A1D51">
        <w:t xml:space="preserve">. </w:t>
      </w:r>
      <w:r w:rsidR="00586E99" w:rsidRPr="000A1D51">
        <w:t xml:space="preserve">From Australia’s perspective, </w:t>
      </w:r>
      <w:r w:rsidR="0085590F" w:rsidRPr="000A1D51">
        <w:t xml:space="preserve">more flexible resources </w:t>
      </w:r>
      <w:r w:rsidR="00DE047B" w:rsidRPr="000A1D51">
        <w:t>might provide opportunities to</w:t>
      </w:r>
      <w:r w:rsidR="00586E99" w:rsidRPr="000A1D51">
        <w:t xml:space="preserve"> explor</w:t>
      </w:r>
      <w:r w:rsidR="00DE047B" w:rsidRPr="000A1D51">
        <w:t>e</w:t>
      </w:r>
      <w:r w:rsidR="00586E99" w:rsidRPr="000A1D51">
        <w:t xml:space="preserve"> ways to </w:t>
      </w:r>
      <w:r w:rsidR="00AE4863" w:rsidRPr="000A1D51">
        <w:t>strengthen links with other Australian funded initiatives (e.g. AECSP</w:t>
      </w:r>
      <w:r w:rsidR="00F51BE3" w:rsidRPr="000A1D51">
        <w:t>, the Southeast Asia Economic Governance and Infrastructure Facility</w:t>
      </w:r>
      <w:r w:rsidR="00AE4863" w:rsidRPr="000A1D51">
        <w:t xml:space="preserve">) and </w:t>
      </w:r>
      <w:r w:rsidR="00586E99" w:rsidRPr="000A1D51">
        <w:t xml:space="preserve">expand to </w:t>
      </w:r>
      <w:r w:rsidR="00654907" w:rsidRPr="000A1D51">
        <w:t xml:space="preserve">better </w:t>
      </w:r>
      <w:r w:rsidR="002D7A79" w:rsidRPr="000A1D51">
        <w:t>address cross</w:t>
      </w:r>
      <w:r w:rsidR="00EA4ADA" w:rsidRPr="000A1D51">
        <w:t>-cutting concern</w:t>
      </w:r>
      <w:r w:rsidR="00DE047B" w:rsidRPr="000A1D51">
        <w:t>s (including gender)</w:t>
      </w:r>
      <w:r w:rsidR="00EA4ADA" w:rsidRPr="000A1D51">
        <w:t>,</w:t>
      </w:r>
      <w:r w:rsidR="00586E99" w:rsidRPr="000A1D51">
        <w:t xml:space="preserve"> and broaden the scope of </w:t>
      </w:r>
      <w:r w:rsidR="00AE4863" w:rsidRPr="000A1D51">
        <w:t>support</w:t>
      </w:r>
      <w:r w:rsidR="00586E99" w:rsidRPr="000A1D51">
        <w:t xml:space="preserve"> to encompass other areas </w:t>
      </w:r>
      <w:r w:rsidR="00AE4863" w:rsidRPr="000A1D51">
        <w:t>where Australia has comparative strengths that are directly</w:t>
      </w:r>
      <w:r w:rsidR="00DE047B" w:rsidRPr="000A1D51">
        <w:t xml:space="preserve"> linked to </w:t>
      </w:r>
      <w:r w:rsidR="00AE4863" w:rsidRPr="000A1D51">
        <w:t xml:space="preserve">ASEAN economic integration </w:t>
      </w:r>
      <w:r w:rsidR="0085590F" w:rsidRPr="000A1D51">
        <w:t xml:space="preserve">(e.g., </w:t>
      </w:r>
      <w:r w:rsidR="00AE4863" w:rsidRPr="000A1D51">
        <w:t>the ASEAN Connectivity agenda).</w:t>
      </w:r>
      <w:r w:rsidR="00586E99" w:rsidRPr="000A1D51">
        <w:t xml:space="preserve"> </w:t>
      </w:r>
    </w:p>
    <w:p w14:paraId="6BB87523" w14:textId="5197D95A" w:rsidR="00586E99" w:rsidRPr="000A1D51" w:rsidRDefault="00517599" w:rsidP="00E34B36">
      <w:pPr>
        <w:pStyle w:val="ListParagraph"/>
        <w:ind w:hanging="499"/>
        <w:rPr>
          <w:b/>
        </w:rPr>
      </w:pPr>
      <w:r w:rsidRPr="000A1D51">
        <w:rPr>
          <w:b/>
        </w:rPr>
        <w:t xml:space="preserve">DFAT. </w:t>
      </w:r>
      <w:r w:rsidR="005B546F" w:rsidRPr="000A1D51">
        <w:t>Continue to encourage programmatic approaches.</w:t>
      </w:r>
      <w:r w:rsidR="005B546F" w:rsidRPr="000A1D51">
        <w:rPr>
          <w:b/>
        </w:rPr>
        <w:t xml:space="preserve"> </w:t>
      </w:r>
      <w:r w:rsidR="00586E99" w:rsidRPr="000A1D51">
        <w:t>While some ad hoc activities are likely to be needed to develop and/or test new ideas and initiatives, the norm when working with ASEC in a sector (or on cross-cutting issues) should be to build capacity (which implies a need for sustained medium-term programmatic support).</w:t>
      </w:r>
      <w:r w:rsidR="005B546F" w:rsidRPr="000A1D51">
        <w:t xml:space="preserve"> </w:t>
      </w:r>
      <w:r w:rsidR="007275F4" w:rsidRPr="000A1D51">
        <w:t xml:space="preserve"> </w:t>
      </w:r>
    </w:p>
    <w:p w14:paraId="1E72C158" w14:textId="20F8E590" w:rsidR="00586E99" w:rsidRPr="000A1D51" w:rsidRDefault="00517599" w:rsidP="00E34B36">
      <w:pPr>
        <w:pStyle w:val="ListParagraph"/>
        <w:ind w:hanging="499"/>
      </w:pPr>
      <w:r w:rsidRPr="000A1D51">
        <w:rPr>
          <w:b/>
        </w:rPr>
        <w:t xml:space="preserve">DFAT. </w:t>
      </w:r>
      <w:r w:rsidR="00313115" w:rsidRPr="000A1D51">
        <w:rPr>
          <w:bCs/>
        </w:rPr>
        <w:t xml:space="preserve">Continue efforts to </w:t>
      </w:r>
      <w:r w:rsidR="00D27619" w:rsidRPr="000A1D51">
        <w:rPr>
          <w:bCs/>
        </w:rPr>
        <w:t>achieve</w:t>
      </w:r>
      <w:r w:rsidR="00313115" w:rsidRPr="000A1D51">
        <w:rPr>
          <w:bCs/>
        </w:rPr>
        <w:t xml:space="preserve"> better </w:t>
      </w:r>
      <w:r w:rsidR="007F63B6" w:rsidRPr="000A1D51">
        <w:rPr>
          <w:bCs/>
        </w:rPr>
        <w:t>complementarity</w:t>
      </w:r>
      <w:r w:rsidR="00586E99" w:rsidRPr="000A1D51">
        <w:t xml:space="preserve"> </w:t>
      </w:r>
      <w:r w:rsidR="007F63B6" w:rsidRPr="000A1D51">
        <w:t xml:space="preserve">and </w:t>
      </w:r>
      <w:r w:rsidR="007F63B6" w:rsidRPr="000A1D51">
        <w:rPr>
          <w:bCs/>
        </w:rPr>
        <w:t>linkages</w:t>
      </w:r>
      <w:r w:rsidR="007F63B6" w:rsidRPr="000A1D51">
        <w:t xml:space="preserve"> </w:t>
      </w:r>
      <w:r w:rsidR="00586E99" w:rsidRPr="000A1D51">
        <w:t xml:space="preserve">between Australia’s regional and bilateral programs in the region. Australia should </w:t>
      </w:r>
      <w:r w:rsidR="00DE34EE" w:rsidRPr="000A1D51">
        <w:t xml:space="preserve">continue to </w:t>
      </w:r>
      <w:r w:rsidR="00586E99" w:rsidRPr="000A1D51">
        <w:t xml:space="preserve">explore ways to </w:t>
      </w:r>
      <w:r w:rsidR="00DE34EE" w:rsidRPr="000A1D51">
        <w:t xml:space="preserve">better </w:t>
      </w:r>
      <w:r w:rsidR="00586E99" w:rsidRPr="000A1D51">
        <w:t xml:space="preserve">highlight and communicate to ASEAN and AMS its other regional/bilateral programs </w:t>
      </w:r>
      <w:r w:rsidR="007F63B6" w:rsidRPr="000A1D51">
        <w:t>to</w:t>
      </w:r>
      <w:r w:rsidR="00586E99" w:rsidRPr="000A1D51">
        <w:t xml:space="preserve"> </w:t>
      </w:r>
      <w:r w:rsidR="00F369BD" w:rsidRPr="000A1D51">
        <w:t>facilitate</w:t>
      </w:r>
      <w:r w:rsidR="00586E99" w:rsidRPr="000A1D51">
        <w:t xml:space="preserve"> a more coordinated and holistic package of support to ASEAN.</w:t>
      </w:r>
      <w:r w:rsidR="003C33CE" w:rsidRPr="000A1D51">
        <w:rPr>
          <w:rStyle w:val="FootnoteReference"/>
          <w:rFonts w:cs="Calibri"/>
          <w:color w:val="000000"/>
        </w:rPr>
        <w:footnoteReference w:id="40"/>
      </w:r>
      <w:r w:rsidR="00586E99" w:rsidRPr="000A1D51">
        <w:t xml:space="preserve"> </w:t>
      </w:r>
      <w:r w:rsidR="00104078" w:rsidRPr="000A1D51">
        <w:t xml:space="preserve">Several new DFAT </w:t>
      </w:r>
      <w:r w:rsidR="001D565E" w:rsidRPr="000A1D51">
        <w:t xml:space="preserve">regional (Southeast Asian) and sub-regional (e.g. Mekong) </w:t>
      </w:r>
      <w:r w:rsidR="00104078" w:rsidRPr="000A1D51">
        <w:t xml:space="preserve">support programs are currently being </w:t>
      </w:r>
      <w:r w:rsidR="00204CC2" w:rsidRPr="000A1D51">
        <w:t>scoped and designed</w:t>
      </w:r>
      <w:r w:rsidR="001D565E" w:rsidRPr="000A1D51">
        <w:t>,</w:t>
      </w:r>
      <w:r w:rsidR="00204CC2" w:rsidRPr="000A1D51">
        <w:t xml:space="preserve"> </w:t>
      </w:r>
      <w:r w:rsidR="00104078" w:rsidRPr="000A1D51">
        <w:t xml:space="preserve">and may provide an opportunity to develop more effective </w:t>
      </w:r>
      <w:r w:rsidR="001B3993" w:rsidRPr="000A1D51">
        <w:t>coordination mechanisms.</w:t>
      </w:r>
      <w:r w:rsidR="001D565E" w:rsidRPr="000A1D51">
        <w:t xml:space="preserve"> Likewise</w:t>
      </w:r>
      <w:r w:rsidR="00DA626B" w:rsidRPr="000A1D51">
        <w:t>,</w:t>
      </w:r>
      <w:r w:rsidR="001D565E" w:rsidRPr="000A1D51">
        <w:t xml:space="preserve"> a flexible component could help </w:t>
      </w:r>
      <w:r w:rsidR="00AF7F1E" w:rsidRPr="000A1D51">
        <w:t>facilitate greater engagement between related programs</w:t>
      </w:r>
      <w:r w:rsidR="001D565E" w:rsidRPr="000A1D51">
        <w:t>.</w:t>
      </w:r>
      <w:r w:rsidR="00F369BD" w:rsidRPr="000A1D51">
        <w:t xml:space="preserve"> This could help AADCP II to better leverage the contributions of other Australian programs.</w:t>
      </w:r>
    </w:p>
    <w:p w14:paraId="337009BD" w14:textId="078B77F8" w:rsidR="00586E99" w:rsidRPr="000A1D51" w:rsidRDefault="00517599" w:rsidP="00E34B36">
      <w:pPr>
        <w:pStyle w:val="ListParagraph"/>
        <w:ind w:hanging="499"/>
      </w:pPr>
      <w:r w:rsidRPr="000A1D51">
        <w:rPr>
          <w:b/>
        </w:rPr>
        <w:t xml:space="preserve">DFAT and design team. </w:t>
      </w:r>
      <w:r w:rsidR="00586E99" w:rsidRPr="000A1D51">
        <w:t>Consider more flexibility in designing IAI support</w:t>
      </w:r>
      <w:r w:rsidR="00586E99" w:rsidRPr="000A1D51">
        <w:rPr>
          <w:bCs/>
        </w:rPr>
        <w:t>.</w:t>
      </w:r>
      <w:r w:rsidR="00586E99" w:rsidRPr="000A1D51">
        <w:t xml:space="preserve"> Suggestions made to the team included </w:t>
      </w:r>
      <w:r w:rsidR="008D4BAD" w:rsidRPr="000A1D51">
        <w:t>making more use of</w:t>
      </w:r>
      <w:r w:rsidR="00586E99" w:rsidRPr="000A1D51">
        <w:t xml:space="preserve"> AADCP II to fund: (i) national projects to pilot innovations with the aim of mobilizing bilateral support; and (ii) non-IAI countries engagement with IAI projects to facilitate sharing of experiences. The pros and cons of these recommendations may become more apparent following the ongoing IAI review.</w:t>
      </w:r>
    </w:p>
    <w:p w14:paraId="6C32570C" w14:textId="77777777" w:rsidR="00586E99" w:rsidRPr="000A1D51" w:rsidRDefault="00586E99" w:rsidP="004A4086">
      <w:pPr>
        <w:pStyle w:val="Heading4"/>
      </w:pPr>
      <w:bookmarkStart w:id="76" w:name="_Toc21417463"/>
      <w:r w:rsidRPr="000A1D51">
        <w:t>Consider sector wide approach to planning Australian support for ASEAN.</w:t>
      </w:r>
      <w:bookmarkEnd w:id="76"/>
    </w:p>
    <w:p w14:paraId="62425AD2" w14:textId="77777777" w:rsidR="00586E99" w:rsidRPr="000A1D51" w:rsidRDefault="00586E99" w:rsidP="00E34B36">
      <w:pPr>
        <w:pStyle w:val="ListParagraph"/>
        <w:ind w:hanging="499"/>
      </w:pPr>
      <w:r w:rsidRPr="000A1D51">
        <w:rPr>
          <w:b/>
          <w:bCs/>
        </w:rPr>
        <w:t>DFAT</w:t>
      </w:r>
      <w:r w:rsidRPr="000A1D51">
        <w:t xml:space="preserve"> might want to consider developing sector strategies and/or annual work plans for engagement with ASEAN in priority sectors. The aim would be to </w:t>
      </w:r>
      <w:r w:rsidR="0058324F" w:rsidRPr="000A1D51">
        <w:t xml:space="preserve">build on the </w:t>
      </w:r>
      <w:r w:rsidR="00293A09" w:rsidRPr="000A1D51">
        <w:t xml:space="preserve">Plan of </w:t>
      </w:r>
      <w:hyperlink r:id="rId24" w:history="1">
        <w:r w:rsidR="0058324F" w:rsidRPr="000A1D51">
          <w:rPr>
            <w:rStyle w:val="Hyperlink"/>
            <w:rFonts w:ascii="Calibri" w:hAnsi="Calibri" w:cs="Calibri"/>
            <w:sz w:val="22"/>
            <w:szCs w:val="22"/>
          </w:rPr>
          <w:t>Action to Implement the ASEAN-Australian Strategic Partnership (2020-2024)</w:t>
        </w:r>
      </w:hyperlink>
      <w:r w:rsidR="0058324F" w:rsidRPr="000A1D51">
        <w:t xml:space="preserve"> to </w:t>
      </w:r>
      <w:r w:rsidRPr="000A1D51">
        <w:t>identify ASEAN priority needs that matched with Australian comparative strengths and/or strategic interests in ASEAN</w:t>
      </w:r>
      <w:r w:rsidR="0058324F" w:rsidRPr="000A1D51">
        <w:t xml:space="preserve"> and identify </w:t>
      </w:r>
      <w:r w:rsidRPr="000A1D51">
        <w:t xml:space="preserve">what Australian development assistance program (e.g. AADCP II, AECSP, ERIA or bilateral programs) was most </w:t>
      </w:r>
      <w:r w:rsidRPr="000A1D51">
        <w:lastRenderedPageBreak/>
        <w:t>appropriate for addressing these priorities.</w:t>
      </w:r>
      <w:r w:rsidR="00634336" w:rsidRPr="000A1D51">
        <w:rPr>
          <w:rStyle w:val="FootnoteReference"/>
          <w:rFonts w:cs="Calibri"/>
          <w:color w:val="000000"/>
        </w:rPr>
        <w:footnoteReference w:id="41"/>
      </w:r>
      <w:r w:rsidR="00EB74BC" w:rsidRPr="000A1D51">
        <w:t xml:space="preserve"> The plan</w:t>
      </w:r>
      <w:r w:rsidR="00293A09" w:rsidRPr="000A1D51">
        <w:t xml:space="preserve"> of action</w:t>
      </w:r>
      <w:r w:rsidR="00EB74BC" w:rsidRPr="000A1D51">
        <w:t xml:space="preserve"> </w:t>
      </w:r>
      <w:r w:rsidR="007D3232" w:rsidRPr="000A1D51">
        <w:t>already provides guidance on suggested tools in some areas.</w:t>
      </w:r>
    </w:p>
    <w:p w14:paraId="66B316BB" w14:textId="07FAFDD3" w:rsidR="00C01ECE" w:rsidRPr="000A1D51" w:rsidRDefault="00517599" w:rsidP="00F369BD">
      <w:pPr>
        <w:pStyle w:val="ListParagraph"/>
        <w:ind w:hanging="499"/>
      </w:pPr>
      <w:r w:rsidRPr="000A1D51">
        <w:rPr>
          <w:b/>
          <w:bCs/>
        </w:rPr>
        <w:t>DFAT</w:t>
      </w:r>
      <w:r w:rsidRPr="000A1D51">
        <w:t xml:space="preserve">. </w:t>
      </w:r>
      <w:r w:rsidR="00C01ECE" w:rsidRPr="000A1D51">
        <w:t>A sector wide approach may also provide Australia greater leverage in policy dialogue on sensitive issues such as GESI where the levels of commitment to action may vary between Australia and AMS.</w:t>
      </w:r>
      <w:r w:rsidR="00065E3E" w:rsidRPr="000A1D51">
        <w:t xml:space="preserve"> And the services of a full-time regional GESI advisor focusing on integration issues might be more efficiently spread over </w:t>
      </w:r>
      <w:r w:rsidR="00C57C09" w:rsidRPr="000A1D51">
        <w:t>a mix of regional initiatives, especially if this was complemented by targeted GESI resources in follow-up program to address program specific GESI opportunities.</w:t>
      </w:r>
    </w:p>
    <w:p w14:paraId="7F7BFEBD" w14:textId="7C57FE8C" w:rsidR="0076524D" w:rsidRPr="000A1D51" w:rsidRDefault="004A4086" w:rsidP="004A4086">
      <w:pPr>
        <w:pStyle w:val="Heading4"/>
      </w:pPr>
      <w:r w:rsidRPr="000A1D51">
        <w:t>Gender and social inclusion (GESI)</w:t>
      </w:r>
    </w:p>
    <w:p w14:paraId="52E88DB3" w14:textId="756E00A1" w:rsidR="0076524D" w:rsidRPr="000A1D51" w:rsidRDefault="00BC55B1" w:rsidP="009A6B8D">
      <w:pPr>
        <w:pStyle w:val="ListParagraph"/>
        <w:ind w:hanging="499"/>
      </w:pPr>
      <w:r w:rsidRPr="000A1D51">
        <w:rPr>
          <w:b/>
          <w:bCs/>
        </w:rPr>
        <w:t xml:space="preserve">DFAT </w:t>
      </w:r>
      <w:r w:rsidRPr="000A1D51">
        <w:t>should e</w:t>
      </w:r>
      <w:r w:rsidR="0076524D" w:rsidRPr="000A1D51">
        <w:t xml:space="preserve">nsure that the design team includes GESI expertise to </w:t>
      </w:r>
      <w:r w:rsidRPr="000A1D51">
        <w:t xml:space="preserve">explore all </w:t>
      </w:r>
      <w:r w:rsidR="008137E0" w:rsidRPr="000A1D51">
        <w:t xml:space="preserve">feasible </w:t>
      </w:r>
      <w:r w:rsidRPr="000A1D51">
        <w:t>options</w:t>
      </w:r>
      <w:r w:rsidR="00F35EAE" w:rsidRPr="000A1D51">
        <w:t xml:space="preserve">, including the possible need for </w:t>
      </w:r>
      <w:r w:rsidR="0051373A" w:rsidRPr="000A1D51">
        <w:t>an ongoing</w:t>
      </w:r>
      <w:r w:rsidR="00F35EAE" w:rsidRPr="000A1D51">
        <w:t xml:space="preserve"> GESI advisor,</w:t>
      </w:r>
      <w:r w:rsidRPr="000A1D51">
        <w:t xml:space="preserve"> for more systematically addressing GESI issues in program activities. </w:t>
      </w:r>
      <w:r w:rsidR="00F35EAE" w:rsidRPr="000A1D51">
        <w:t xml:space="preserve">The most appropriate approach will depend on the scope of follow-up support and decisions about </w:t>
      </w:r>
      <w:r w:rsidR="008137E0" w:rsidRPr="000A1D51">
        <w:t>possible linkages with other regional program initiatives.</w:t>
      </w:r>
    </w:p>
    <w:p w14:paraId="3E90DB60" w14:textId="48FD6086" w:rsidR="00F94A6A" w:rsidRPr="000A1D51" w:rsidRDefault="00F94A6A">
      <w:pPr>
        <w:pStyle w:val="ListParagraph"/>
        <w:ind w:hanging="499"/>
        <w:rPr>
          <w:b/>
          <w:bCs/>
          <w:iCs/>
          <w:lang w:val="en-AU"/>
        </w:rPr>
      </w:pPr>
      <w:r w:rsidRPr="000A1D51">
        <w:rPr>
          <w:b/>
          <w:bCs/>
          <w:iCs/>
          <w:lang w:val="en-AU"/>
        </w:rPr>
        <w:t xml:space="preserve">DFAT, ASEC and the design team </w:t>
      </w:r>
      <w:r w:rsidRPr="000A1D51">
        <w:rPr>
          <w:iCs/>
          <w:lang w:val="en-AU"/>
        </w:rPr>
        <w:t>could explore options to ensure more attention is given to more systematically incorporating GESI as a cross-cutting (and cross-pillar) issue. Success in addressing cross-cutting issues under the connectivity work stream may provide useful models. Requiring more systematic reporting on implementation of GESI initiatives in all projects might also help.</w:t>
      </w:r>
      <w:r w:rsidRPr="000A1D51">
        <w:rPr>
          <w:i/>
          <w:iCs/>
          <w:lang w:val="en-AU"/>
        </w:rPr>
        <w:t> </w:t>
      </w:r>
    </w:p>
    <w:p w14:paraId="5752C076" w14:textId="56CD33B9" w:rsidR="00D163F3" w:rsidRPr="000A1D51" w:rsidRDefault="00361437" w:rsidP="004A4086">
      <w:pPr>
        <w:pStyle w:val="Heading4"/>
      </w:pPr>
      <w:r w:rsidRPr="000A1D51">
        <w:t>M</w:t>
      </w:r>
      <w:r w:rsidR="00D163F3" w:rsidRPr="000A1D51">
        <w:t>onitoring and Evaluation</w:t>
      </w:r>
    </w:p>
    <w:p w14:paraId="563CD96D" w14:textId="257807F4" w:rsidR="00361437" w:rsidRPr="000A1D51" w:rsidRDefault="00361437" w:rsidP="00111867">
      <w:pPr>
        <w:pStyle w:val="ListParagraph"/>
        <w:ind w:hanging="499"/>
        <w:rPr>
          <w:b/>
          <w:bCs/>
          <w:iCs/>
          <w:lang w:val="en-AU"/>
        </w:rPr>
      </w:pPr>
      <w:r w:rsidRPr="000A1D51">
        <w:rPr>
          <w:b/>
          <w:bCs/>
          <w:iCs/>
          <w:lang w:val="en-AU"/>
        </w:rPr>
        <w:t xml:space="preserve"> DFAT ASEC and the design team. </w:t>
      </w:r>
      <w:r w:rsidR="002E1971" w:rsidRPr="000A1D51">
        <w:t xml:space="preserve">Any follow up support should explore avenues for leveraging </w:t>
      </w:r>
      <w:r w:rsidR="004A1F51" w:rsidRPr="000A1D51">
        <w:t xml:space="preserve">ASEC’s increasing interest in M&amp;E of outcomes and impacts </w:t>
      </w:r>
      <w:r w:rsidR="002E1971" w:rsidRPr="000A1D51">
        <w:t xml:space="preserve">and consider the value </w:t>
      </w:r>
      <w:r w:rsidR="00956982" w:rsidRPr="000A1D51">
        <w:t>of</w:t>
      </w:r>
      <w:r w:rsidR="002E1971" w:rsidRPr="000A1D51">
        <w:t xml:space="preserve"> </w:t>
      </w:r>
      <w:r w:rsidR="004A1F51" w:rsidRPr="000A1D51">
        <w:t>providing additional</w:t>
      </w:r>
      <w:r w:rsidR="002E1971" w:rsidRPr="000A1D51">
        <w:t xml:space="preserve"> M&amp;E resources within the program.</w:t>
      </w:r>
    </w:p>
    <w:p w14:paraId="5F389134" w14:textId="77777777" w:rsidR="00D163F3" w:rsidRPr="000A1D51" w:rsidRDefault="004803D2" w:rsidP="004A4086">
      <w:pPr>
        <w:pStyle w:val="Heading4"/>
      </w:pPr>
      <w:r w:rsidRPr="000A1D51">
        <w:t>C</w:t>
      </w:r>
      <w:r w:rsidR="0076524D" w:rsidRPr="000A1D51">
        <w:t>ommunications and information dissemination</w:t>
      </w:r>
      <w:r w:rsidR="00CF6BB5" w:rsidRPr="000A1D51">
        <w:t xml:space="preserve">. </w:t>
      </w:r>
    </w:p>
    <w:p w14:paraId="52D54C8C" w14:textId="4B73D245" w:rsidR="00E70B9F" w:rsidRPr="000A1D51" w:rsidRDefault="00A7302B" w:rsidP="00313115">
      <w:pPr>
        <w:pStyle w:val="ListParagraph"/>
        <w:ind w:hanging="499"/>
      </w:pPr>
      <w:r w:rsidRPr="000A1D51">
        <w:rPr>
          <w:b/>
          <w:bCs/>
        </w:rPr>
        <w:t>DFAT and the design team</w:t>
      </w:r>
      <w:r w:rsidRPr="000A1D51">
        <w:t xml:space="preserve"> should </w:t>
      </w:r>
      <w:r w:rsidR="00061A0A" w:rsidRPr="000A1D51">
        <w:t>include</w:t>
      </w:r>
      <w:r w:rsidR="00E70B9F" w:rsidRPr="000A1D51">
        <w:t xml:space="preserve"> a communication strategy</w:t>
      </w:r>
      <w:r w:rsidR="00061A0A" w:rsidRPr="000A1D51">
        <w:t xml:space="preserve"> in the new program design,</w:t>
      </w:r>
      <w:r w:rsidR="00E70B9F" w:rsidRPr="000A1D51">
        <w:t xml:space="preserve"> and </w:t>
      </w:r>
      <w:r w:rsidR="00061A0A" w:rsidRPr="000A1D51">
        <w:t>budget</w:t>
      </w:r>
      <w:r w:rsidR="00E70B9F" w:rsidRPr="000A1D51">
        <w:t xml:space="preserve"> for </w:t>
      </w:r>
      <w:r w:rsidR="00061A0A" w:rsidRPr="000A1D51">
        <w:t>provi</w:t>
      </w:r>
      <w:r w:rsidR="004A4086" w:rsidRPr="000A1D51">
        <w:t>ding</w:t>
      </w:r>
      <w:r w:rsidR="00061A0A" w:rsidRPr="000A1D51">
        <w:t xml:space="preserve"> communications services</w:t>
      </w:r>
      <w:r w:rsidR="00E70B9F" w:rsidRPr="000A1D51">
        <w:t xml:space="preserve"> </w:t>
      </w:r>
      <w:r w:rsidR="00867FEB" w:rsidRPr="000A1D51">
        <w:t>(</w:t>
      </w:r>
      <w:r w:rsidR="008137E0" w:rsidRPr="000A1D51">
        <w:t xml:space="preserve">either </w:t>
      </w:r>
      <w:r w:rsidR="00867FEB" w:rsidRPr="000A1D51">
        <w:t xml:space="preserve">individual experts or from a communications service provider) </w:t>
      </w:r>
      <w:r w:rsidR="00E70B9F" w:rsidRPr="000A1D51">
        <w:t xml:space="preserve">in any follow-up support. </w:t>
      </w:r>
      <w:r w:rsidR="00061A0A" w:rsidRPr="000A1D51">
        <w:t xml:space="preserve"> </w:t>
      </w:r>
    </w:p>
    <w:p w14:paraId="3B45B8C4" w14:textId="3402B1C5" w:rsidR="00D163F3" w:rsidRPr="000A1D51" w:rsidRDefault="0076524D" w:rsidP="004A4086">
      <w:pPr>
        <w:pStyle w:val="Heading4"/>
      </w:pPr>
      <w:r w:rsidRPr="000A1D51">
        <w:t>Broader stakeholder engagement</w:t>
      </w:r>
    </w:p>
    <w:p w14:paraId="5BE68347" w14:textId="18276B22" w:rsidR="00DC7FB6" w:rsidRPr="000A1D51" w:rsidRDefault="00C44FE4" w:rsidP="00313115">
      <w:pPr>
        <w:pStyle w:val="ListParagraph"/>
        <w:ind w:hanging="499"/>
      </w:pPr>
      <w:r w:rsidRPr="000A1D51">
        <w:rPr>
          <w:b/>
          <w:bCs/>
        </w:rPr>
        <w:t>DFAT and the design team</w:t>
      </w:r>
      <w:r w:rsidRPr="000A1D51">
        <w:t xml:space="preserve"> should c</w:t>
      </w:r>
      <w:r w:rsidR="00DC7FB6" w:rsidRPr="000A1D51">
        <w:t>onsider</w:t>
      </w:r>
      <w:r w:rsidRPr="000A1D51">
        <w:t xml:space="preserve"> options </w:t>
      </w:r>
      <w:r w:rsidR="00DC7FB6" w:rsidRPr="000A1D51">
        <w:t xml:space="preserve">to develop </w:t>
      </w:r>
      <w:r w:rsidR="00613511" w:rsidRPr="000A1D51">
        <w:t>strategies for more direct engagement with business and worker representative to better understand and address some of the practical bottlenecks and concerns regarding increased economic integration</w:t>
      </w:r>
      <w:r w:rsidRPr="000A1D51">
        <w:t>, and with regional media to</w:t>
      </w:r>
      <w:r w:rsidR="00A3469D" w:rsidRPr="000A1D51">
        <w:t xml:space="preserve"> better engage with the broader public.</w:t>
      </w:r>
    </w:p>
    <w:p w14:paraId="07BAC54E" w14:textId="77777777" w:rsidR="002F20C7" w:rsidRPr="000A1D51" w:rsidRDefault="002F20C7" w:rsidP="00EB56B3">
      <w:pPr>
        <w:pStyle w:val="Heading1"/>
        <w:sectPr w:rsidR="002F20C7" w:rsidRPr="000A1D51" w:rsidSect="00256C71">
          <w:pgSz w:w="11907" w:h="16840" w:code="9"/>
          <w:pgMar w:top="2268" w:right="1871" w:bottom="907" w:left="1871" w:header="851" w:footer="454" w:gutter="0"/>
          <w:pgNumType w:start="1"/>
          <w:cols w:space="720"/>
          <w:docGrid w:linePitch="272"/>
        </w:sectPr>
      </w:pPr>
      <w:bookmarkStart w:id="77" w:name="_Toc533181402"/>
    </w:p>
    <w:p w14:paraId="232FF962" w14:textId="77777777" w:rsidR="00EB56B3" w:rsidRPr="000A1D51" w:rsidRDefault="00AF44E8" w:rsidP="00EB56B3">
      <w:pPr>
        <w:pStyle w:val="Heading1"/>
      </w:pPr>
      <w:bookmarkStart w:id="78" w:name="_Toc24884125"/>
      <w:bookmarkStart w:id="79" w:name="_Toc31820127"/>
      <w:r w:rsidRPr="000A1D51">
        <w:lastRenderedPageBreak/>
        <w:t>Appendix</w:t>
      </w:r>
      <w:r w:rsidR="00215F36" w:rsidRPr="000A1D51">
        <w:t xml:space="preserve"> 1. </w:t>
      </w:r>
      <w:bookmarkEnd w:id="77"/>
      <w:r w:rsidR="00D07892" w:rsidRPr="000A1D51">
        <w:t xml:space="preserve">Review </w:t>
      </w:r>
      <w:r w:rsidR="00473659" w:rsidRPr="000A1D51">
        <w:t xml:space="preserve">Team Leader </w:t>
      </w:r>
      <w:r w:rsidR="00D07892" w:rsidRPr="000A1D51">
        <w:t>Terms of Reference</w:t>
      </w:r>
      <w:bookmarkEnd w:id="78"/>
      <w:bookmarkEnd w:id="79"/>
    </w:p>
    <w:p w14:paraId="027EF959" w14:textId="77777777" w:rsidR="00EB56B3" w:rsidRPr="000A1D51" w:rsidRDefault="00EB56B3" w:rsidP="00EB56B3">
      <w:pPr>
        <w:pStyle w:val="BodyText"/>
      </w:pPr>
    </w:p>
    <w:p w14:paraId="5C308F84" w14:textId="77777777" w:rsidR="00527EFB" w:rsidRPr="000A1D51" w:rsidRDefault="00527EFB" w:rsidP="00527EFB">
      <w:pPr>
        <w:jc w:val="center"/>
        <w:rPr>
          <w:b/>
        </w:rPr>
      </w:pPr>
      <w:r w:rsidRPr="000A1D51">
        <w:rPr>
          <w:b/>
        </w:rPr>
        <w:t>INDEPENDENT REVIEW OF THE ASEAN-AUSTRALIA DEVELOPMENT COOPERATION PROGRAM PHASE II (AADCP II)</w:t>
      </w:r>
    </w:p>
    <w:p w14:paraId="4DFEA009" w14:textId="77777777" w:rsidR="00527EFB" w:rsidRPr="000A1D51" w:rsidRDefault="00527EFB" w:rsidP="005834CC">
      <w:pPr>
        <w:spacing w:before="120" w:after="120"/>
        <w:rPr>
          <w:b/>
        </w:rPr>
      </w:pPr>
    </w:p>
    <w:p w14:paraId="3C4E4506" w14:textId="77777777" w:rsidR="00527EFB" w:rsidRPr="000A1D51" w:rsidRDefault="00527EFB" w:rsidP="00AB449D">
      <w:pPr>
        <w:pStyle w:val="ListParagraph"/>
        <w:numPr>
          <w:ilvl w:val="0"/>
          <w:numId w:val="33"/>
        </w:numPr>
        <w:spacing w:before="120" w:line="240" w:lineRule="auto"/>
        <w:rPr>
          <w:b/>
          <w:bCs/>
        </w:rPr>
      </w:pPr>
      <w:r w:rsidRPr="000A1D51">
        <w:rPr>
          <w:b/>
          <w:bCs/>
        </w:rPr>
        <w:t>Background</w:t>
      </w:r>
    </w:p>
    <w:p w14:paraId="21BAC329" w14:textId="77777777" w:rsidR="00527EFB" w:rsidRPr="000A1D51" w:rsidRDefault="00527EFB" w:rsidP="00AB449D">
      <w:pPr>
        <w:pStyle w:val="ListParagraph"/>
        <w:numPr>
          <w:ilvl w:val="0"/>
          <w:numId w:val="39"/>
        </w:numPr>
        <w:spacing w:before="120" w:line="240" w:lineRule="auto"/>
      </w:pPr>
      <w:r w:rsidRPr="000A1D51">
        <w:t>The ASEAN-Australia Development Cooperation Program Phase II (AADCP II) is the latest in a series of economic-</w:t>
      </w:r>
      <w:r w:rsidR="00E44C87" w:rsidRPr="000A1D51">
        <w:t>focused</w:t>
      </w:r>
      <w:r w:rsidRPr="000A1D51">
        <w:t xml:space="preserve"> programs of support by the Australian Government to ASEAN dating back to the 1970s. It builds on the approach of the first phase, which concluded in June 2008.</w:t>
      </w:r>
    </w:p>
    <w:p w14:paraId="14DDB66B" w14:textId="77777777" w:rsidR="00527EFB" w:rsidRPr="000A1D51" w:rsidRDefault="00527EFB" w:rsidP="00AB449D">
      <w:pPr>
        <w:pStyle w:val="ListParagraph"/>
        <w:numPr>
          <w:ilvl w:val="0"/>
          <w:numId w:val="39"/>
        </w:numPr>
        <w:spacing w:before="120" w:line="240" w:lineRule="auto"/>
      </w:pPr>
      <w:r w:rsidRPr="000A1D51">
        <w:t xml:space="preserve">Australia’s Cooperation Arrangement with the ASEAN Secretariat (ASEC) for AADCP II, valued at up to AUD57 million, was signed in June 2009 and will expire in December 2021 (noting that in April 2019, the program was extended within its existing financial envelope from December 2019 until December 2021). </w:t>
      </w:r>
    </w:p>
    <w:p w14:paraId="18ABD508" w14:textId="77777777" w:rsidR="00527EFB" w:rsidRPr="000A1D51" w:rsidRDefault="00527EFB" w:rsidP="00AB449D">
      <w:pPr>
        <w:pStyle w:val="ListParagraph"/>
        <w:numPr>
          <w:ilvl w:val="0"/>
          <w:numId w:val="39"/>
        </w:numPr>
        <w:spacing w:before="120" w:line="240" w:lineRule="auto"/>
      </w:pPr>
      <w:r w:rsidRPr="000A1D51">
        <w:t>The overall objective of AADCP II is to support ASEAN to implement its economic integration policies and priorities in line with the ASEAN Economic Community (AEC).</w:t>
      </w:r>
      <w:r w:rsidR="00EB56B3" w:rsidRPr="000A1D51">
        <w:t xml:space="preserve"> </w:t>
      </w:r>
      <w:r w:rsidRPr="000A1D51">
        <w:t xml:space="preserve">The components of the program are intended to: </w:t>
      </w:r>
    </w:p>
    <w:p w14:paraId="13184330" w14:textId="77777777" w:rsidR="00527EFB" w:rsidRPr="000A1D51" w:rsidRDefault="00527EFB" w:rsidP="00AB449D">
      <w:pPr>
        <w:pStyle w:val="ListParagraph"/>
        <w:numPr>
          <w:ilvl w:val="1"/>
          <w:numId w:val="31"/>
        </w:numPr>
        <w:spacing w:before="120" w:line="240" w:lineRule="auto"/>
      </w:pPr>
      <w:r w:rsidRPr="000A1D51">
        <w:t>strengthen ASEC’s institutional capacity to facilitate and support ASEAN integration and community building efforts (Component 1)</w:t>
      </w:r>
    </w:p>
    <w:p w14:paraId="24D65385" w14:textId="77777777" w:rsidR="00527EFB" w:rsidRPr="000A1D51" w:rsidRDefault="00527EFB" w:rsidP="00AB449D">
      <w:pPr>
        <w:pStyle w:val="ListParagraph"/>
        <w:numPr>
          <w:ilvl w:val="1"/>
          <w:numId w:val="31"/>
        </w:numPr>
        <w:spacing w:before="120" w:line="240" w:lineRule="auto"/>
      </w:pPr>
      <w:r w:rsidRPr="000A1D51">
        <w:t xml:space="preserve">support movement towards the AEC through the provision of timely and high quality economic research and policy advice (Component 2a) </w:t>
      </w:r>
    </w:p>
    <w:p w14:paraId="4D4EC8F1" w14:textId="77777777" w:rsidR="00527EFB" w:rsidRPr="000A1D51" w:rsidRDefault="00527EFB" w:rsidP="00AB449D">
      <w:pPr>
        <w:pStyle w:val="ListParagraph"/>
        <w:numPr>
          <w:ilvl w:val="1"/>
          <w:numId w:val="31"/>
        </w:numPr>
        <w:spacing w:before="120" w:line="240" w:lineRule="auto"/>
      </w:pPr>
      <w:r w:rsidRPr="000A1D51">
        <w:t>support for regional mechanisms and capacity for the implementation of selected AEC Blueprint activities at the national level (Component 2b).</w:t>
      </w:r>
    </w:p>
    <w:p w14:paraId="627FA528" w14:textId="77777777" w:rsidR="00527EFB" w:rsidRPr="000A1D51" w:rsidRDefault="00527EFB" w:rsidP="005834CC">
      <w:pPr>
        <w:pStyle w:val="ListParagraph"/>
        <w:spacing w:before="120" w:line="240" w:lineRule="auto"/>
      </w:pPr>
      <w:r w:rsidRPr="000A1D51">
        <w:t>Following a recommendation in a 2014 Independent Review, the Program has organised its reporting around four key result areas:</w:t>
      </w:r>
    </w:p>
    <w:p w14:paraId="55EFE70A" w14:textId="77777777" w:rsidR="00527EFB" w:rsidRPr="000A1D51" w:rsidRDefault="00527EFB" w:rsidP="00AB449D">
      <w:pPr>
        <w:pStyle w:val="ListParagraph"/>
        <w:numPr>
          <w:ilvl w:val="0"/>
          <w:numId w:val="40"/>
        </w:numPr>
        <w:spacing w:before="120" w:line="240" w:lineRule="auto"/>
      </w:pPr>
      <w:r w:rsidRPr="000A1D51">
        <w:t>a better knowledge and evidence base exists for regional policy making and regulation for AEC;</w:t>
      </w:r>
    </w:p>
    <w:p w14:paraId="6F7F5FF8" w14:textId="77777777" w:rsidR="00527EFB" w:rsidRPr="000A1D51" w:rsidRDefault="00527EFB" w:rsidP="00AB449D">
      <w:pPr>
        <w:pStyle w:val="ListParagraph"/>
        <w:numPr>
          <w:ilvl w:val="0"/>
          <w:numId w:val="40"/>
        </w:numPr>
        <w:spacing w:before="120" w:line="240" w:lineRule="auto"/>
      </w:pPr>
      <w:r w:rsidRPr="000A1D51">
        <w:t>appropriate norms and standards are established for AEC to progress;</w:t>
      </w:r>
    </w:p>
    <w:p w14:paraId="0491982C" w14:textId="77777777" w:rsidR="00527EFB" w:rsidRPr="000A1D51" w:rsidRDefault="00527EFB" w:rsidP="00AB449D">
      <w:pPr>
        <w:pStyle w:val="ListParagraph"/>
        <w:numPr>
          <w:ilvl w:val="0"/>
          <w:numId w:val="40"/>
        </w:numPr>
        <w:spacing w:before="120" w:line="240" w:lineRule="auto"/>
      </w:pPr>
      <w:r w:rsidRPr="000A1D51">
        <w:t>stakeholders are better aware of the concepts, benefits and opportunities involved in AEC</w:t>
      </w:r>
    </w:p>
    <w:p w14:paraId="608772D3" w14:textId="77777777" w:rsidR="00527EFB" w:rsidRPr="000A1D51" w:rsidRDefault="00527EFB" w:rsidP="00AB449D">
      <w:pPr>
        <w:pStyle w:val="ListParagraph"/>
        <w:numPr>
          <w:ilvl w:val="0"/>
          <w:numId w:val="40"/>
        </w:numPr>
        <w:spacing w:before="120" w:line="240" w:lineRule="auto"/>
      </w:pPr>
      <w:r w:rsidRPr="000A1D51">
        <w:t>ASEC better able to support AEC process.</w:t>
      </w:r>
    </w:p>
    <w:p w14:paraId="474CF440" w14:textId="77777777" w:rsidR="00527EFB" w:rsidRPr="000A1D51" w:rsidRDefault="00527EFB" w:rsidP="005834CC">
      <w:pPr>
        <w:pStyle w:val="ListParagraph"/>
        <w:spacing w:before="120" w:line="240" w:lineRule="auto"/>
      </w:pPr>
      <w:r w:rsidRPr="000A1D51">
        <w:t xml:space="preserve">AADCP II supports a range of projects identified, prioritised and programmed on a rolling basis through an ad-referendum approval process by the Joint Planning and Review Committee (JPRC), consisting of the ambassador-level Committee of Permanent Representatives to ASEAN (CPR) and Australia’s Ambassador to ASEAN. The JPRC meets annually to review and approve a Rolling Prioritisation Plan (RPP) and to review the progress of projects being implemented. </w:t>
      </w:r>
    </w:p>
    <w:p w14:paraId="6E430ECB" w14:textId="77777777" w:rsidR="00527EFB" w:rsidRPr="000A1D51" w:rsidRDefault="00527EFB" w:rsidP="005834CC">
      <w:pPr>
        <w:pStyle w:val="ListParagraph"/>
        <w:spacing w:before="120" w:line="240" w:lineRule="auto"/>
      </w:pPr>
      <w:r w:rsidRPr="000A1D51">
        <w:t xml:space="preserve">The sectors the program works in are determined through this process. They currently consist of Connectivity, “Narrowing the Development Gap” through the Initiative for ASEAN Integration (IAI - a cross-sectoral agenda focussed on Cambodia, Lao PDR, </w:t>
      </w:r>
      <w:r w:rsidRPr="000A1D51">
        <w:lastRenderedPageBreak/>
        <w:t xml:space="preserve">Myanmar and Vietnam), agriculture, consumer protection, tourism, energy, investment and ASEC corporate strengthening. </w:t>
      </w:r>
    </w:p>
    <w:p w14:paraId="1D9B6FE5" w14:textId="77777777" w:rsidR="00527EFB" w:rsidRPr="000A1D51" w:rsidRDefault="00527EFB" w:rsidP="005834CC">
      <w:pPr>
        <w:pStyle w:val="ListParagraph"/>
        <w:spacing w:before="120" w:line="240" w:lineRule="auto"/>
      </w:pPr>
      <w:r w:rsidRPr="000A1D51">
        <w:t xml:space="preserve">The program has a strong emphasis on partnership between Australia and ASEAN. A number of basic principles underlie this approach: </w:t>
      </w:r>
    </w:p>
    <w:p w14:paraId="6F205844" w14:textId="77777777" w:rsidR="00527EFB" w:rsidRPr="000A1D51" w:rsidRDefault="00527EFB" w:rsidP="00AB449D">
      <w:pPr>
        <w:pStyle w:val="ListParagraph"/>
        <w:numPr>
          <w:ilvl w:val="1"/>
          <w:numId w:val="36"/>
        </w:numPr>
        <w:spacing w:before="120" w:line="240" w:lineRule="auto"/>
      </w:pPr>
      <w:r w:rsidRPr="000A1D51">
        <w:t>Activities (“projects”) supported by the program are identified by ASEAN sectoral bodies and ASEC and are processed through an iterative and cooperative project proposal process;</w:t>
      </w:r>
    </w:p>
    <w:p w14:paraId="46E70BC2" w14:textId="77777777" w:rsidR="00527EFB" w:rsidRPr="000A1D51" w:rsidRDefault="00527EFB" w:rsidP="00AB449D">
      <w:pPr>
        <w:pStyle w:val="ListParagraph"/>
        <w:numPr>
          <w:ilvl w:val="1"/>
          <w:numId w:val="36"/>
        </w:numPr>
        <w:spacing w:before="120" w:line="240" w:lineRule="auto"/>
      </w:pPr>
      <w:r w:rsidRPr="000A1D51">
        <w:t>The program, with some agreed modifications, adheres to ASEC management system, including financial management, human resources and contracting;</w:t>
      </w:r>
    </w:p>
    <w:p w14:paraId="28BAF06A" w14:textId="77777777" w:rsidR="00527EFB" w:rsidRPr="000A1D51" w:rsidRDefault="00527EFB" w:rsidP="00AB449D">
      <w:pPr>
        <w:pStyle w:val="ListParagraph"/>
        <w:numPr>
          <w:ilvl w:val="1"/>
          <w:numId w:val="36"/>
        </w:numPr>
        <w:spacing w:before="120" w:line="240" w:lineRule="auto"/>
      </w:pPr>
      <w:r w:rsidRPr="000A1D51">
        <w:t xml:space="preserve">A Program Management Team (PMT), consisting of a Director from the AEC; the Assistant Director of ASEC Programme Cooperation &amp; Project Management Division (PCPMD); and the Australian Government Program Director, oversee the programming, design, implementation, monitoring and review of AADCP II resources. The AADCP II Program Planning and Monitoring Support Unit (PPMSU) provides support to the PMT and assists ASEC in the day-to-day management of AADCP II projects.  </w:t>
      </w:r>
    </w:p>
    <w:p w14:paraId="26A5CB4E" w14:textId="77777777" w:rsidR="00527EFB" w:rsidRPr="000A1D51" w:rsidRDefault="00527EFB" w:rsidP="00AB449D">
      <w:pPr>
        <w:pStyle w:val="ListParagraph"/>
        <w:numPr>
          <w:ilvl w:val="1"/>
          <w:numId w:val="36"/>
        </w:numPr>
        <w:spacing w:before="120" w:line="240" w:lineRule="auto"/>
      </w:pPr>
      <w:r w:rsidRPr="000A1D51">
        <w:t>Overall coordination and routine operations of the program are the responsibility of the Australian Government Program Director and PPMSU staff, who are contracted by ASEC.</w:t>
      </w:r>
    </w:p>
    <w:p w14:paraId="41753D09" w14:textId="77777777" w:rsidR="00527EFB" w:rsidRPr="000A1D51" w:rsidRDefault="00527EFB" w:rsidP="005834CC">
      <w:pPr>
        <w:pStyle w:val="ListParagraph"/>
        <w:spacing w:before="120" w:line="240" w:lineRule="auto"/>
      </w:pPr>
      <w:r w:rsidRPr="000A1D51">
        <w:t xml:space="preserve">Independent Reviews of AADCP II were conducted annually from 2010-2015. The 2015 review recommended that further annual reviews were not required, subject to certain reporting improvements. </w:t>
      </w:r>
    </w:p>
    <w:p w14:paraId="49B369F8" w14:textId="77777777" w:rsidR="00527EFB" w:rsidRPr="000A1D51" w:rsidRDefault="00527EFB" w:rsidP="005834CC">
      <w:pPr>
        <w:pStyle w:val="ListParagraph"/>
        <w:spacing w:before="120" w:line="240" w:lineRule="auto"/>
      </w:pPr>
      <w:r w:rsidRPr="000A1D51">
        <w:t xml:space="preserve">In 2017, AADCP II conducted an independent rapid review of its monitoring and evaluation arrangements. The review endorsed the arrangements in place, while making a number of recommendations, including a new theory of change and consideration of a new outcome regarding the contribution of AADCP II to the broader ASEAN-Australia relationship. </w:t>
      </w:r>
    </w:p>
    <w:p w14:paraId="02F537EC" w14:textId="77777777" w:rsidR="00527EFB" w:rsidRPr="000A1D51" w:rsidRDefault="00527EFB" w:rsidP="00AB449D">
      <w:pPr>
        <w:pStyle w:val="ListParagraph"/>
        <w:numPr>
          <w:ilvl w:val="0"/>
          <w:numId w:val="33"/>
        </w:numPr>
        <w:spacing w:before="120" w:line="240" w:lineRule="auto"/>
        <w:rPr>
          <w:b/>
          <w:bCs/>
        </w:rPr>
      </w:pPr>
      <w:r w:rsidRPr="000A1D51">
        <w:rPr>
          <w:b/>
          <w:bCs/>
        </w:rPr>
        <w:t>Purpose and Audience</w:t>
      </w:r>
    </w:p>
    <w:p w14:paraId="146F10A2" w14:textId="77777777" w:rsidR="00527EFB" w:rsidRPr="000A1D51" w:rsidRDefault="00527EFB" w:rsidP="005834CC">
      <w:pPr>
        <w:pStyle w:val="ListParagraph"/>
        <w:spacing w:before="120" w:line="240" w:lineRule="auto"/>
      </w:pPr>
      <w:r w:rsidRPr="000A1D51">
        <w:t>The primary purpose of this 2019 independent review is to enhance and better explain AADCP II performance and accountabilities, to strengthen knowledge of the context in which AADCP II operates, and the opportunities and challenges presented within this context, and to contribute to the design of the new program.</w:t>
      </w:r>
    </w:p>
    <w:p w14:paraId="03DDDDAA" w14:textId="77777777" w:rsidR="00527EFB" w:rsidRPr="000A1D51" w:rsidRDefault="00527EFB" w:rsidP="005834CC">
      <w:pPr>
        <w:pStyle w:val="ListParagraph"/>
        <w:spacing w:before="120" w:line="240" w:lineRule="auto"/>
      </w:pPr>
      <w:r w:rsidRPr="000A1D51">
        <w:t>DFAT will be the primary users of the review findings and recommendations. DFAT will share the final review report with ASEAN and, subject to standard approvals, publish it on the DFAT website.</w:t>
      </w:r>
    </w:p>
    <w:p w14:paraId="718D7FD2" w14:textId="77777777" w:rsidR="00527EFB" w:rsidRPr="000A1D51" w:rsidRDefault="00527EFB" w:rsidP="005834CC">
      <w:pPr>
        <w:pStyle w:val="ListParagraph"/>
        <w:spacing w:before="120" w:line="240" w:lineRule="auto"/>
      </w:pPr>
      <w:r w:rsidRPr="000A1D51">
        <w:t>The review will assess and provide recommendations regarding AADCP II’s performance, including but not limited to the quality criteria of the Australian Aid Program, particularly effectiveness (including M&amp;E), efficiency, and gender equality.</w:t>
      </w:r>
    </w:p>
    <w:p w14:paraId="5C6D9CEA" w14:textId="77777777" w:rsidR="00527EFB" w:rsidRPr="000A1D51" w:rsidRDefault="00527EFB" w:rsidP="005834CC">
      <w:pPr>
        <w:pStyle w:val="ListParagraph"/>
        <w:spacing w:before="120" w:line="240" w:lineRule="auto"/>
      </w:pPr>
      <w:r w:rsidRPr="000A1D51">
        <w:t>Key evaluation questions (KEQ) for the review are:</w:t>
      </w:r>
    </w:p>
    <w:p w14:paraId="7429A023" w14:textId="77777777" w:rsidR="00527EFB" w:rsidRPr="000A1D51" w:rsidRDefault="00527EFB" w:rsidP="00AB449D">
      <w:pPr>
        <w:pStyle w:val="ListParagraph"/>
        <w:numPr>
          <w:ilvl w:val="0"/>
          <w:numId w:val="37"/>
        </w:numPr>
        <w:spacing w:before="120" w:line="240" w:lineRule="auto"/>
      </w:pPr>
      <w:r w:rsidRPr="000A1D51">
        <w:t>KEQ1: How relevant is the approach and pipeline of AADCPII relative to ASEAN Economic Blueprint and the Australian Foreign Policy White Paper?</w:t>
      </w:r>
    </w:p>
    <w:p w14:paraId="7BF14477" w14:textId="77777777" w:rsidR="00527EFB" w:rsidRPr="000A1D51" w:rsidRDefault="00527EFB" w:rsidP="00AB449D">
      <w:pPr>
        <w:pStyle w:val="ListParagraph"/>
        <w:numPr>
          <w:ilvl w:val="0"/>
          <w:numId w:val="37"/>
        </w:numPr>
        <w:spacing w:before="120" w:line="240" w:lineRule="auto"/>
      </w:pPr>
      <w:r w:rsidRPr="000A1D51">
        <w:lastRenderedPageBreak/>
        <w:t xml:space="preserve">KEQ2: To what extent has AADCPII been effective in achieving its stated outcomes? </w:t>
      </w:r>
    </w:p>
    <w:p w14:paraId="71DC7CD8" w14:textId="77777777" w:rsidR="00527EFB" w:rsidRPr="000A1D51" w:rsidRDefault="00527EFB" w:rsidP="00AB449D">
      <w:pPr>
        <w:pStyle w:val="ListParagraph"/>
        <w:numPr>
          <w:ilvl w:val="0"/>
          <w:numId w:val="37"/>
        </w:numPr>
        <w:spacing w:before="120" w:line="240" w:lineRule="auto"/>
      </w:pPr>
      <w:r w:rsidRPr="000A1D51">
        <w:t>KEQ3: To what extent has AADCPII been efficient in its use of resources?</w:t>
      </w:r>
    </w:p>
    <w:p w14:paraId="32AE4ECD" w14:textId="77777777" w:rsidR="00527EFB" w:rsidRPr="000A1D51" w:rsidRDefault="00527EFB" w:rsidP="00AB449D">
      <w:pPr>
        <w:pStyle w:val="ListParagraph"/>
        <w:numPr>
          <w:ilvl w:val="0"/>
          <w:numId w:val="37"/>
        </w:numPr>
        <w:spacing w:before="120" w:line="240" w:lineRule="auto"/>
      </w:pPr>
      <w:r w:rsidRPr="000A1D51">
        <w:t xml:space="preserve">KEQ4: How has the AADCPII partnership approach been able to demonstrate value for money? </w:t>
      </w:r>
    </w:p>
    <w:p w14:paraId="6411CA57" w14:textId="77777777" w:rsidR="00527EFB" w:rsidRPr="000A1D51" w:rsidRDefault="00527EFB" w:rsidP="00AB449D">
      <w:pPr>
        <w:pStyle w:val="ListParagraph"/>
        <w:numPr>
          <w:ilvl w:val="0"/>
          <w:numId w:val="37"/>
        </w:numPr>
        <w:spacing w:before="120" w:line="240" w:lineRule="auto"/>
      </w:pPr>
      <w:r w:rsidRPr="000A1D51">
        <w:t>KEQ5: To what extent is the AADCPII partnership approach with ASEAN a sustainable mechanism?</w:t>
      </w:r>
    </w:p>
    <w:p w14:paraId="198C4A78" w14:textId="77777777" w:rsidR="00527EFB" w:rsidRPr="000A1D51" w:rsidRDefault="00527EFB" w:rsidP="00AB449D">
      <w:pPr>
        <w:pStyle w:val="ListParagraph"/>
        <w:numPr>
          <w:ilvl w:val="0"/>
          <w:numId w:val="37"/>
        </w:numPr>
        <w:spacing w:before="120" w:line="240" w:lineRule="auto"/>
      </w:pPr>
      <w:r w:rsidRPr="000A1D51">
        <w:t xml:space="preserve">KEQ6: To what extent has AADCPII been able to address gender and socially inclusive issues within the ASEAN Secretariat / pipeline of work? </w:t>
      </w:r>
    </w:p>
    <w:p w14:paraId="36118F6C" w14:textId="77777777" w:rsidR="00527EFB" w:rsidRPr="000A1D51" w:rsidRDefault="00527EFB" w:rsidP="00AB449D">
      <w:pPr>
        <w:pStyle w:val="ListParagraph"/>
        <w:numPr>
          <w:ilvl w:val="0"/>
          <w:numId w:val="37"/>
        </w:numPr>
        <w:spacing w:before="120" w:line="240" w:lineRule="auto"/>
      </w:pPr>
      <w:r w:rsidRPr="000A1D51">
        <w:t>KEQ7: What lessons and recommendations are able to be drawn for (i) AADCPII’s remaining timeframe and (ii) AADCPII’s successor program?</w:t>
      </w:r>
    </w:p>
    <w:p w14:paraId="5AB7F40E" w14:textId="77777777" w:rsidR="00527EFB" w:rsidRPr="000A1D51" w:rsidRDefault="00527EFB" w:rsidP="00AB449D">
      <w:pPr>
        <w:pStyle w:val="ListParagraph"/>
        <w:numPr>
          <w:ilvl w:val="0"/>
          <w:numId w:val="33"/>
        </w:numPr>
        <w:spacing w:before="120" w:line="240" w:lineRule="auto"/>
        <w:rPr>
          <w:b/>
          <w:bCs/>
        </w:rPr>
      </w:pPr>
      <w:r w:rsidRPr="000A1D51">
        <w:rPr>
          <w:b/>
          <w:bCs/>
        </w:rPr>
        <w:t>Review Process and Timeframes</w:t>
      </w:r>
    </w:p>
    <w:p w14:paraId="5E1AA469" w14:textId="77777777" w:rsidR="00527EFB" w:rsidRPr="000A1D51" w:rsidRDefault="00527EFB" w:rsidP="00AB449D">
      <w:pPr>
        <w:pStyle w:val="ListParagraph"/>
        <w:numPr>
          <w:ilvl w:val="0"/>
          <w:numId w:val="34"/>
        </w:numPr>
        <w:spacing w:before="120" w:line="240" w:lineRule="auto"/>
        <w:rPr>
          <w:b/>
        </w:rPr>
      </w:pPr>
      <w:r w:rsidRPr="000A1D51">
        <w:t xml:space="preserve">The review will consist of a desk review, a case study on the program’s partnership approach (to be conducted by the M&amp;E adviser – separately engaged) and interviews with key stakeholders. A proposed list of stakeholders to be consulted is available in Annex B. This list should be finalised by the Review Adviser as part of the Review Plan. </w:t>
      </w:r>
    </w:p>
    <w:p w14:paraId="3F223C7E" w14:textId="77777777" w:rsidR="00527EFB" w:rsidRPr="000A1D51" w:rsidRDefault="00527EFB" w:rsidP="00AB449D">
      <w:pPr>
        <w:pStyle w:val="ListParagraph"/>
        <w:numPr>
          <w:ilvl w:val="0"/>
          <w:numId w:val="34"/>
        </w:numPr>
        <w:spacing w:before="120" w:line="240" w:lineRule="auto"/>
        <w:rPr>
          <w:b/>
        </w:rPr>
      </w:pPr>
      <w:r w:rsidRPr="000A1D51">
        <w:t>The review is planned over August to November 2019 (subject to the consultant’s availability).</w:t>
      </w:r>
    </w:p>
    <w:p w14:paraId="1F777A47" w14:textId="77777777" w:rsidR="00EB56B3" w:rsidRPr="000A1D51" w:rsidRDefault="00527EFB" w:rsidP="00AB449D">
      <w:pPr>
        <w:pStyle w:val="ListParagraph"/>
        <w:numPr>
          <w:ilvl w:val="0"/>
          <w:numId w:val="34"/>
        </w:numPr>
        <w:spacing w:before="120" w:line="240" w:lineRule="auto"/>
        <w:rPr>
          <w:b/>
        </w:rPr>
      </w:pPr>
      <w:r w:rsidRPr="000A1D51">
        <w:t>The total review period of up to 30 working days for the Team Leader includes time for desk review, development of a review plan, in-country missions (to be approved by DFAT following discussion with the Review Adviser), presentation of Aide Memoire and preparation of review reports.</w:t>
      </w:r>
    </w:p>
    <w:p w14:paraId="459ABABA" w14:textId="77777777" w:rsidR="00527EFB" w:rsidRPr="000A1D51" w:rsidRDefault="00527EFB" w:rsidP="00AB449D">
      <w:pPr>
        <w:pStyle w:val="ListParagraph"/>
        <w:numPr>
          <w:ilvl w:val="0"/>
          <w:numId w:val="33"/>
        </w:numPr>
        <w:spacing w:before="120" w:line="240" w:lineRule="auto"/>
        <w:rPr>
          <w:b/>
          <w:bCs/>
        </w:rPr>
      </w:pPr>
      <w:r w:rsidRPr="000A1D51">
        <w:rPr>
          <w:b/>
          <w:bCs/>
        </w:rPr>
        <w:t>Reporting and Output Requirements</w:t>
      </w:r>
    </w:p>
    <w:p w14:paraId="5BFA4F9B" w14:textId="77777777" w:rsidR="00527EFB" w:rsidRPr="000A1D51" w:rsidRDefault="00527EFB" w:rsidP="00AB449D">
      <w:pPr>
        <w:pStyle w:val="ListParagraph"/>
        <w:numPr>
          <w:ilvl w:val="0"/>
          <w:numId w:val="34"/>
        </w:numPr>
        <w:spacing w:before="120" w:line="240" w:lineRule="auto"/>
      </w:pPr>
      <w:r w:rsidRPr="000A1D51">
        <w:rPr>
          <w:b/>
        </w:rPr>
        <w:t xml:space="preserve">Review Plan </w:t>
      </w:r>
      <w:r w:rsidRPr="000A1D51">
        <w:t>of</w:t>
      </w:r>
      <w:r w:rsidRPr="000A1D51">
        <w:rPr>
          <w:b/>
        </w:rPr>
        <w:t xml:space="preserve"> </w:t>
      </w:r>
      <w:r w:rsidRPr="000A1D51">
        <w:t>no more than seven pages will outline the scope and methodology of the review. It will include the methodology for assessing program outcomes; the process for information collection and analysis, including tools such as questionnaires and/or detailed questions to be asked during the consultations; identification of any challenges anticipated in achieving the review objectives; allocation of tasks; key timelines; consultation schedules identifying key stakeholders to be consulted and the purpose of consultations; and other activities to be undertaken (as necessary). The Review Plan will be submitted electronically to DFAT one week prior to the initial meeting with DFAT in Jakarta.</w:t>
      </w:r>
    </w:p>
    <w:p w14:paraId="2CCCC593" w14:textId="77777777" w:rsidR="00527EFB" w:rsidRPr="000A1D51" w:rsidRDefault="00527EFB" w:rsidP="00AB449D">
      <w:pPr>
        <w:pStyle w:val="ListParagraph"/>
        <w:numPr>
          <w:ilvl w:val="0"/>
          <w:numId w:val="34"/>
        </w:numPr>
        <w:spacing w:before="120" w:line="240" w:lineRule="auto"/>
      </w:pPr>
      <w:r w:rsidRPr="000A1D51">
        <w:rPr>
          <w:b/>
        </w:rPr>
        <w:t xml:space="preserve">Aide Memoire </w:t>
      </w:r>
      <w:r w:rsidRPr="000A1D51">
        <w:t>of</w:t>
      </w:r>
      <w:r w:rsidRPr="000A1D51">
        <w:rPr>
          <w:b/>
        </w:rPr>
        <w:t xml:space="preserve"> </w:t>
      </w:r>
      <w:r w:rsidRPr="000A1D51">
        <w:t>no more than 5 pages on key findings during the mission, to be prepared in dot-points based on DFAT’s Aide Memoire template (See Annex B). The team will have approximately two days to work on the Aide Memoire, and the Review Adviser will present it to DFAT either in person or through a videoconference (e.g., Skype, Facetime) upon the Review Adviser’s arrival to her or his country of residence.</w:t>
      </w:r>
    </w:p>
    <w:p w14:paraId="46C47131" w14:textId="77777777" w:rsidR="00527EFB" w:rsidRPr="000A1D51" w:rsidRDefault="00527EFB" w:rsidP="00AB449D">
      <w:pPr>
        <w:pStyle w:val="ListParagraph"/>
        <w:numPr>
          <w:ilvl w:val="0"/>
          <w:numId w:val="34"/>
        </w:numPr>
        <w:spacing w:before="120" w:line="240" w:lineRule="auto"/>
      </w:pPr>
      <w:r w:rsidRPr="000A1D51">
        <w:rPr>
          <w:b/>
        </w:rPr>
        <w:t>First Draft Report of the Independent Review</w:t>
      </w:r>
      <w:r w:rsidRPr="000A1D51">
        <w:t xml:space="preserve"> of no more than 25 pages, excluding annexes, should be submitted electronically to DFAT for comments within two weeks of the end of the in-country mission. The review report must meet DFAT’s Monitoring and Evaluation Standards for Evaluation Reports, and should be a brief, </w:t>
      </w:r>
      <w:r w:rsidRPr="000A1D51">
        <w:lastRenderedPageBreak/>
        <w:t xml:space="preserve">clear and cogent summary of the review outcomes, addressing at least the Review Scope and Key Questions set out a Part C above, providing a balanced analysis of relevant issues and recommendations for improvement. </w:t>
      </w:r>
    </w:p>
    <w:p w14:paraId="79374801" w14:textId="77777777" w:rsidR="00527EFB" w:rsidRPr="000A1D51" w:rsidRDefault="00527EFB" w:rsidP="00AB449D">
      <w:pPr>
        <w:pStyle w:val="ListParagraph"/>
        <w:numPr>
          <w:ilvl w:val="0"/>
          <w:numId w:val="34"/>
        </w:numPr>
        <w:spacing w:before="120" w:line="240" w:lineRule="auto"/>
      </w:pPr>
      <w:r w:rsidRPr="000A1D51">
        <w:rPr>
          <w:b/>
        </w:rPr>
        <w:t>Final Report of the Independent Review</w:t>
      </w:r>
      <w:r w:rsidRPr="000A1D51">
        <w:t xml:space="preserve"> of no more than 25 pages excluding annexes, should be submitted electronically to DFAT within two weeks after receiving DFAT comments.</w:t>
      </w:r>
    </w:p>
    <w:p w14:paraId="58D23B15" w14:textId="77777777" w:rsidR="00527EFB" w:rsidRPr="000A1D51" w:rsidRDefault="00527EFB" w:rsidP="00AB449D">
      <w:pPr>
        <w:pStyle w:val="ListParagraph"/>
        <w:numPr>
          <w:ilvl w:val="0"/>
          <w:numId w:val="33"/>
        </w:numPr>
        <w:spacing w:before="120" w:line="240" w:lineRule="auto"/>
        <w:rPr>
          <w:b/>
          <w:bCs/>
        </w:rPr>
      </w:pPr>
      <w:r w:rsidRPr="000A1D51">
        <w:rPr>
          <w:b/>
          <w:bCs/>
        </w:rPr>
        <w:t>Team Composition and Role</w:t>
      </w:r>
    </w:p>
    <w:p w14:paraId="1431840D" w14:textId="77777777" w:rsidR="00527EFB" w:rsidRPr="000A1D51" w:rsidRDefault="00527EFB" w:rsidP="00AB449D">
      <w:pPr>
        <w:pStyle w:val="ListParagraph"/>
        <w:numPr>
          <w:ilvl w:val="0"/>
          <w:numId w:val="35"/>
        </w:numPr>
        <w:spacing w:before="120" w:line="240" w:lineRule="auto"/>
      </w:pPr>
      <w:r w:rsidRPr="000A1D51">
        <w:t>The Independent Review will be led by a Team Leader who has the following qualifications:</w:t>
      </w:r>
    </w:p>
    <w:p w14:paraId="4AA39E05" w14:textId="77777777" w:rsidR="00527EFB" w:rsidRPr="000A1D51" w:rsidRDefault="00527EFB" w:rsidP="00E34B36">
      <w:pPr>
        <w:pStyle w:val="Bullet0"/>
      </w:pPr>
      <w:r w:rsidRPr="000A1D51">
        <w:t>Strong understanding and experience on economic growth; private sector development, regulatory reform and regional cooperation is highly required.</w:t>
      </w:r>
    </w:p>
    <w:p w14:paraId="01F2019C" w14:textId="77777777" w:rsidR="00527EFB" w:rsidRPr="000A1D51" w:rsidRDefault="00527EFB" w:rsidP="00E34B36">
      <w:pPr>
        <w:pStyle w:val="Bullet0"/>
      </w:pPr>
      <w:r w:rsidRPr="000A1D51">
        <w:t>Sound knowledge of DFAT and ASEAN policies.</w:t>
      </w:r>
    </w:p>
    <w:p w14:paraId="3C345E57" w14:textId="77777777" w:rsidR="00527EFB" w:rsidRPr="000A1D51" w:rsidRDefault="00527EFB" w:rsidP="00E34B36">
      <w:pPr>
        <w:pStyle w:val="Bullet0"/>
      </w:pPr>
      <w:r w:rsidRPr="000A1D51">
        <w:t>Strong analytical and problem solving skill, experience in gathering and interpreting data and writing constructive reports.</w:t>
      </w:r>
    </w:p>
    <w:p w14:paraId="401410F1" w14:textId="77777777" w:rsidR="00527EFB" w:rsidRPr="000A1D51" w:rsidRDefault="00527EFB" w:rsidP="00E34B36">
      <w:pPr>
        <w:pStyle w:val="Bullet0"/>
      </w:pPr>
      <w:r w:rsidRPr="000A1D51">
        <w:t>High level stakeholder engagement and communication skills.</w:t>
      </w:r>
    </w:p>
    <w:p w14:paraId="5CDAB628" w14:textId="77777777" w:rsidR="00527EFB" w:rsidRPr="000A1D51" w:rsidRDefault="00527EFB" w:rsidP="00E34B36">
      <w:pPr>
        <w:pStyle w:val="Bullet0"/>
      </w:pPr>
      <w:r w:rsidRPr="000A1D51">
        <w:t>Experience in managing a program review or evaluation is desirable.</w:t>
      </w:r>
    </w:p>
    <w:p w14:paraId="4D8AF6BF" w14:textId="77777777" w:rsidR="00527EFB" w:rsidRPr="000A1D51" w:rsidRDefault="00527EFB" w:rsidP="00AB449D">
      <w:pPr>
        <w:pStyle w:val="ListParagraph"/>
        <w:numPr>
          <w:ilvl w:val="0"/>
          <w:numId w:val="35"/>
        </w:numPr>
        <w:spacing w:before="120" w:line="240" w:lineRule="auto"/>
      </w:pPr>
      <w:r w:rsidRPr="000A1D51">
        <w:t>The Review Adviser may be accompanied by M&amp;E and gender advisers (to be contracted separately) and a representative from DFAT (ASEAN Mission) and/or the PPMSU.</w:t>
      </w:r>
    </w:p>
    <w:p w14:paraId="6728CB89" w14:textId="77777777" w:rsidR="00527EFB" w:rsidRPr="000A1D51" w:rsidRDefault="00527EFB" w:rsidP="00AB449D">
      <w:pPr>
        <w:pStyle w:val="ListParagraph"/>
        <w:numPr>
          <w:ilvl w:val="0"/>
          <w:numId w:val="35"/>
        </w:numPr>
        <w:spacing w:before="120" w:line="240" w:lineRule="auto"/>
      </w:pPr>
      <w:r w:rsidRPr="000A1D51">
        <w:t>The Review Adviser is responsible for developing the overall review approach and methodology, delivering a quality review report and effectively utilising the expertise of the team members in meeting the ToR.</w:t>
      </w:r>
    </w:p>
    <w:p w14:paraId="231531EB" w14:textId="77777777" w:rsidR="00527EFB" w:rsidRPr="000A1D51" w:rsidRDefault="00527EFB" w:rsidP="00AB449D">
      <w:pPr>
        <w:pStyle w:val="ListParagraph"/>
        <w:numPr>
          <w:ilvl w:val="0"/>
          <w:numId w:val="35"/>
        </w:numPr>
        <w:spacing w:before="120" w:line="240" w:lineRule="auto"/>
      </w:pPr>
      <w:r w:rsidRPr="000A1D51">
        <w:t>The M&amp;E Adviser is responsible for refining the existing program’s M&amp;E and Learning Framework (MELF) including the Program Logic and conducting a case study on the program’s partnership approach.</w:t>
      </w:r>
    </w:p>
    <w:p w14:paraId="7F28D477" w14:textId="77777777" w:rsidR="00527EFB" w:rsidRPr="000A1D51" w:rsidRDefault="00527EFB" w:rsidP="00AB449D">
      <w:pPr>
        <w:pStyle w:val="ListParagraph"/>
        <w:numPr>
          <w:ilvl w:val="0"/>
          <w:numId w:val="35"/>
        </w:numPr>
        <w:spacing w:before="120" w:line="240" w:lineRule="auto"/>
      </w:pPr>
      <w:r w:rsidRPr="000A1D51">
        <w:t xml:space="preserve">The Gender Adviser is responsible for providing assessment on how gender equality can be better incorporated into the program. </w:t>
      </w:r>
    </w:p>
    <w:p w14:paraId="5C6BE01A" w14:textId="77777777" w:rsidR="00527EFB" w:rsidRPr="000A1D51" w:rsidRDefault="00527EFB" w:rsidP="00AB449D">
      <w:pPr>
        <w:pStyle w:val="ListParagraph"/>
        <w:numPr>
          <w:ilvl w:val="0"/>
          <w:numId w:val="33"/>
        </w:numPr>
        <w:spacing w:before="120" w:line="240" w:lineRule="auto"/>
        <w:rPr>
          <w:b/>
          <w:bCs/>
        </w:rPr>
      </w:pPr>
      <w:r w:rsidRPr="000A1D51">
        <w:rPr>
          <w:b/>
          <w:bCs/>
        </w:rPr>
        <w:t>Attachments</w:t>
      </w:r>
    </w:p>
    <w:p w14:paraId="31811D7D" w14:textId="77777777" w:rsidR="00527EFB" w:rsidRPr="000A1D51" w:rsidRDefault="00527EFB" w:rsidP="005834CC">
      <w:pPr>
        <w:pStyle w:val="ListParagraph"/>
        <w:numPr>
          <w:ilvl w:val="0"/>
          <w:numId w:val="29"/>
        </w:numPr>
        <w:spacing w:before="120" w:line="240" w:lineRule="auto"/>
      </w:pPr>
      <w:r w:rsidRPr="000A1D51">
        <w:t>List of case studies under AADCP II’s independent reviews and List of proposed consultations.</w:t>
      </w:r>
    </w:p>
    <w:p w14:paraId="4155084C" w14:textId="77777777" w:rsidR="00527EFB" w:rsidRPr="000A1D51" w:rsidRDefault="00527EFB" w:rsidP="005834CC">
      <w:pPr>
        <w:pStyle w:val="ListParagraph"/>
        <w:numPr>
          <w:ilvl w:val="0"/>
          <w:numId w:val="29"/>
        </w:numPr>
        <w:spacing w:before="120" w:line="240" w:lineRule="auto"/>
      </w:pPr>
      <w:r w:rsidRPr="000A1D51">
        <w:t>DFAT’s Aide Memoire outline.</w:t>
      </w:r>
    </w:p>
    <w:p w14:paraId="762C14D0" w14:textId="77777777" w:rsidR="00527EFB" w:rsidRPr="000A1D51" w:rsidRDefault="00527EFB" w:rsidP="00AB449D">
      <w:pPr>
        <w:pStyle w:val="ListParagraph"/>
        <w:numPr>
          <w:ilvl w:val="0"/>
          <w:numId w:val="33"/>
        </w:numPr>
        <w:spacing w:before="120" w:line="240" w:lineRule="auto"/>
        <w:rPr>
          <w:b/>
          <w:bCs/>
        </w:rPr>
      </w:pPr>
      <w:r w:rsidRPr="000A1D51">
        <w:rPr>
          <w:b/>
          <w:bCs/>
        </w:rPr>
        <w:t xml:space="preserve">List of Key Documents for Desk Review </w:t>
      </w:r>
    </w:p>
    <w:p w14:paraId="14275B2A" w14:textId="77777777" w:rsidR="00527EFB" w:rsidRPr="000A1D51" w:rsidRDefault="00527EFB" w:rsidP="005834CC">
      <w:pPr>
        <w:pStyle w:val="ListParagraph"/>
        <w:numPr>
          <w:ilvl w:val="0"/>
          <w:numId w:val="28"/>
        </w:numPr>
        <w:spacing w:before="120" w:line="240" w:lineRule="auto"/>
      </w:pPr>
      <w:r w:rsidRPr="000A1D51">
        <w:t>AADCP II Design and M&amp;E documents</w:t>
      </w:r>
    </w:p>
    <w:p w14:paraId="44E10771" w14:textId="77777777" w:rsidR="00527EFB" w:rsidRPr="000A1D51" w:rsidRDefault="00527EFB" w:rsidP="005834CC">
      <w:pPr>
        <w:pStyle w:val="ListParagraph"/>
        <w:numPr>
          <w:ilvl w:val="0"/>
          <w:numId w:val="28"/>
        </w:numPr>
        <w:spacing w:before="120" w:line="240" w:lineRule="auto"/>
      </w:pPr>
      <w:r w:rsidRPr="000A1D51">
        <w:t>AADCP II Memorandum of Understanding (MOU) and Cooperation Arrangement (CA)</w:t>
      </w:r>
    </w:p>
    <w:p w14:paraId="07E741D6" w14:textId="77777777" w:rsidR="00527EFB" w:rsidRPr="000A1D51" w:rsidRDefault="00527EFB" w:rsidP="005834CC">
      <w:pPr>
        <w:pStyle w:val="ListParagraph"/>
        <w:numPr>
          <w:ilvl w:val="0"/>
          <w:numId w:val="28"/>
        </w:numPr>
        <w:spacing w:before="120" w:line="240" w:lineRule="auto"/>
      </w:pPr>
      <w:r w:rsidRPr="000A1D51">
        <w:t>Relevant planning documents including the 2019 Rolling Prioritisation Plan</w:t>
      </w:r>
    </w:p>
    <w:p w14:paraId="4DD562AB" w14:textId="77777777" w:rsidR="00527EFB" w:rsidRPr="000A1D51" w:rsidRDefault="00527EFB" w:rsidP="005834CC">
      <w:pPr>
        <w:pStyle w:val="ListParagraph"/>
        <w:numPr>
          <w:ilvl w:val="0"/>
          <w:numId w:val="28"/>
        </w:numPr>
        <w:spacing w:before="120" w:line="240" w:lineRule="auto"/>
      </w:pPr>
      <w:r w:rsidRPr="000A1D51">
        <w:t>2018 Aid Quality Check (AQC) for AADCP II</w:t>
      </w:r>
    </w:p>
    <w:p w14:paraId="0E370F3E" w14:textId="77777777" w:rsidR="00527EFB" w:rsidRPr="000A1D51" w:rsidRDefault="00527EFB" w:rsidP="005834CC">
      <w:pPr>
        <w:pStyle w:val="ListParagraph"/>
        <w:numPr>
          <w:ilvl w:val="0"/>
          <w:numId w:val="28"/>
        </w:numPr>
        <w:spacing w:before="120" w:line="240" w:lineRule="auto"/>
      </w:pPr>
      <w:r w:rsidRPr="000A1D51">
        <w:t>2018 Independent Review of the AADCP II Monitoring and Evaluation Framework</w:t>
      </w:r>
    </w:p>
    <w:p w14:paraId="71507E2F" w14:textId="77777777" w:rsidR="00527EFB" w:rsidRPr="000A1D51" w:rsidRDefault="00527EFB" w:rsidP="005834CC">
      <w:pPr>
        <w:pStyle w:val="ListParagraph"/>
        <w:numPr>
          <w:ilvl w:val="0"/>
          <w:numId w:val="28"/>
        </w:numPr>
        <w:spacing w:before="120" w:line="240" w:lineRule="auto"/>
      </w:pPr>
      <w:r w:rsidRPr="000A1D51">
        <w:lastRenderedPageBreak/>
        <w:t>2019 AADCP II Program Breakdown and Fact Sheets</w:t>
      </w:r>
    </w:p>
    <w:p w14:paraId="3805C7E9" w14:textId="77777777" w:rsidR="00527EFB" w:rsidRPr="000A1D51" w:rsidRDefault="00527EFB" w:rsidP="005834CC">
      <w:pPr>
        <w:pStyle w:val="ListParagraph"/>
        <w:numPr>
          <w:ilvl w:val="0"/>
          <w:numId w:val="28"/>
        </w:numPr>
        <w:spacing w:before="120" w:line="240" w:lineRule="auto"/>
      </w:pPr>
      <w:r w:rsidRPr="000A1D51">
        <w:t>DFAT 2018 Public Financial Management Report on ASEAN Programs</w:t>
      </w:r>
    </w:p>
    <w:p w14:paraId="50D312C8" w14:textId="77777777" w:rsidR="00527EFB" w:rsidRPr="000A1D51" w:rsidRDefault="00527EFB" w:rsidP="005834CC">
      <w:pPr>
        <w:pStyle w:val="ListParagraph"/>
        <w:numPr>
          <w:ilvl w:val="0"/>
          <w:numId w:val="28"/>
        </w:numPr>
        <w:spacing w:before="120" w:line="240" w:lineRule="auto"/>
      </w:pPr>
      <w:r w:rsidRPr="000A1D51">
        <w:t>2015 AADCP II Independent Review</w:t>
      </w:r>
    </w:p>
    <w:p w14:paraId="4C845407" w14:textId="77777777" w:rsidR="00527EFB" w:rsidRPr="000A1D51" w:rsidRDefault="00527EFB" w:rsidP="005834CC">
      <w:pPr>
        <w:pStyle w:val="ListParagraph"/>
        <w:numPr>
          <w:ilvl w:val="0"/>
          <w:numId w:val="28"/>
        </w:numPr>
        <w:spacing w:before="120" w:line="240" w:lineRule="auto"/>
      </w:pPr>
      <w:r w:rsidRPr="000A1D51">
        <w:t>ASEAN Secretariat Financial Rules and Procedures</w:t>
      </w:r>
    </w:p>
    <w:p w14:paraId="0B98746D" w14:textId="77777777" w:rsidR="00527EFB" w:rsidRPr="000A1D51" w:rsidRDefault="00527EFB" w:rsidP="005834CC">
      <w:pPr>
        <w:pStyle w:val="ListParagraph"/>
        <w:numPr>
          <w:ilvl w:val="0"/>
          <w:numId w:val="28"/>
        </w:numPr>
        <w:spacing w:before="120" w:line="240" w:lineRule="auto"/>
      </w:pPr>
      <w:r w:rsidRPr="000A1D51">
        <w:t>ASEAN Secretariat Staff Regulations</w:t>
      </w:r>
    </w:p>
    <w:p w14:paraId="72B731F1" w14:textId="77777777" w:rsidR="00527EFB" w:rsidRPr="000A1D51" w:rsidRDefault="00527EFB" w:rsidP="005834CC">
      <w:pPr>
        <w:pStyle w:val="ListParagraph"/>
        <w:numPr>
          <w:ilvl w:val="0"/>
          <w:numId w:val="28"/>
        </w:numPr>
        <w:spacing w:before="120" w:line="240" w:lineRule="auto"/>
      </w:pPr>
      <w:r w:rsidRPr="000A1D51">
        <w:t xml:space="preserve">AADCP II Project Management Guide </w:t>
      </w:r>
    </w:p>
    <w:p w14:paraId="7903DB2A" w14:textId="77777777" w:rsidR="00527EFB" w:rsidRPr="000A1D51" w:rsidRDefault="00527EFB" w:rsidP="005834CC">
      <w:pPr>
        <w:pStyle w:val="ListParagraph"/>
        <w:numPr>
          <w:ilvl w:val="0"/>
          <w:numId w:val="28"/>
        </w:numPr>
        <w:spacing w:before="120" w:line="240" w:lineRule="auto"/>
      </w:pPr>
      <w:r w:rsidRPr="000A1D51">
        <w:t>Relevant DFAT strategic documents for Australian Aid, including:</w:t>
      </w:r>
    </w:p>
    <w:p w14:paraId="23FBDAC3" w14:textId="77777777" w:rsidR="00527EFB" w:rsidRPr="000A1D51" w:rsidRDefault="00527EFB" w:rsidP="00AB449D">
      <w:pPr>
        <w:pStyle w:val="ListParagraph"/>
        <w:numPr>
          <w:ilvl w:val="1"/>
          <w:numId w:val="41"/>
        </w:numPr>
        <w:spacing w:before="120" w:line="240" w:lineRule="auto"/>
      </w:pPr>
      <w:r w:rsidRPr="000A1D51">
        <w:t>Strategy for Aid for Trade Investments (July 2015)</w:t>
      </w:r>
    </w:p>
    <w:p w14:paraId="1004321A" w14:textId="77777777" w:rsidR="00527EFB" w:rsidRPr="000A1D51" w:rsidRDefault="00527EFB" w:rsidP="00AB449D">
      <w:pPr>
        <w:pStyle w:val="ListParagraph"/>
        <w:numPr>
          <w:ilvl w:val="1"/>
          <w:numId w:val="41"/>
        </w:numPr>
        <w:spacing w:before="120" w:line="240" w:lineRule="auto"/>
      </w:pPr>
      <w:r w:rsidRPr="000A1D51">
        <w:t>Gender equality and women’s empowerment strategy (February 2016)</w:t>
      </w:r>
    </w:p>
    <w:p w14:paraId="0C02B8F6" w14:textId="77777777" w:rsidR="00527EFB" w:rsidRPr="000A1D51" w:rsidRDefault="00527EFB" w:rsidP="00AB449D">
      <w:pPr>
        <w:pStyle w:val="ListParagraph"/>
        <w:numPr>
          <w:ilvl w:val="1"/>
          <w:numId w:val="41"/>
        </w:numPr>
        <w:spacing w:before="120" w:line="240" w:lineRule="auto"/>
      </w:pPr>
      <w:r w:rsidRPr="000A1D51">
        <w:t>Development for All 2015-2020: Strategy for strengthening disability-inclusive development in Australia's aid program (May 2015)</w:t>
      </w:r>
    </w:p>
    <w:p w14:paraId="5F7E5A9B" w14:textId="77777777" w:rsidR="00527EFB" w:rsidRPr="000A1D51" w:rsidRDefault="00527EFB" w:rsidP="00AB449D">
      <w:pPr>
        <w:pStyle w:val="ListParagraph"/>
        <w:numPr>
          <w:ilvl w:val="1"/>
          <w:numId w:val="41"/>
        </w:numPr>
        <w:spacing w:before="120" w:line="240" w:lineRule="auto"/>
      </w:pPr>
      <w:r w:rsidRPr="000A1D51">
        <w:t>Strategy for Australia’s Aid Investments in Private Sector Development (October 2015)</w:t>
      </w:r>
    </w:p>
    <w:p w14:paraId="0D66D0B7" w14:textId="77777777" w:rsidR="00527EFB" w:rsidRPr="000A1D51" w:rsidRDefault="00527EFB" w:rsidP="00AB449D">
      <w:pPr>
        <w:pStyle w:val="ListParagraph"/>
        <w:numPr>
          <w:ilvl w:val="1"/>
          <w:numId w:val="41"/>
        </w:numPr>
        <w:spacing w:before="120" w:line="240" w:lineRule="auto"/>
      </w:pPr>
      <w:r w:rsidRPr="000A1D51">
        <w:t>Strategy for Investments in Economic Infrastructure (July 2015)</w:t>
      </w:r>
    </w:p>
    <w:p w14:paraId="3C61BF3E" w14:textId="77777777" w:rsidR="00527EFB" w:rsidRPr="000A1D51" w:rsidRDefault="00527EFB" w:rsidP="00AB449D">
      <w:pPr>
        <w:pStyle w:val="ListParagraph"/>
        <w:numPr>
          <w:ilvl w:val="1"/>
          <w:numId w:val="41"/>
        </w:numPr>
        <w:spacing w:before="120" w:line="240" w:lineRule="auto"/>
      </w:pPr>
      <w:r w:rsidRPr="000A1D51">
        <w:t>Effective Governance Strategy for Australia’s Aid Investments (March 2015)</w:t>
      </w:r>
    </w:p>
    <w:p w14:paraId="0CF2814C" w14:textId="77777777" w:rsidR="00527EFB" w:rsidRPr="000A1D51" w:rsidRDefault="00527EFB" w:rsidP="005834CC">
      <w:pPr>
        <w:pStyle w:val="ListParagraph"/>
        <w:numPr>
          <w:ilvl w:val="0"/>
          <w:numId w:val="28"/>
        </w:numPr>
        <w:spacing w:before="120" w:line="240" w:lineRule="auto"/>
      </w:pPr>
      <w:r w:rsidRPr="000A1D51">
        <w:t>DFAT’s M&amp;E Standards (see Standard 5 – Independent Evaluation Plan and Standard 6 – Independent Evaluation Report)</w:t>
      </w:r>
    </w:p>
    <w:p w14:paraId="4E56F6EF" w14:textId="77777777" w:rsidR="00527EFB" w:rsidRPr="000A1D51" w:rsidRDefault="00527EFB" w:rsidP="005834CC">
      <w:pPr>
        <w:pStyle w:val="ListParagraph"/>
        <w:numPr>
          <w:ilvl w:val="0"/>
          <w:numId w:val="28"/>
        </w:numPr>
        <w:spacing w:before="120" w:line="240" w:lineRule="auto"/>
      </w:pPr>
      <w:r w:rsidRPr="000A1D51">
        <w:t>ASEAN Mission Equality and Inclusion Strategy</w:t>
      </w:r>
    </w:p>
    <w:p w14:paraId="794BFCBF" w14:textId="77777777" w:rsidR="00527EFB" w:rsidRPr="000A1D51" w:rsidRDefault="00527EFB" w:rsidP="005834CC">
      <w:pPr>
        <w:pStyle w:val="ListParagraph"/>
        <w:numPr>
          <w:ilvl w:val="0"/>
          <w:numId w:val="28"/>
        </w:numPr>
        <w:spacing w:before="120" w:line="240" w:lineRule="auto"/>
      </w:pPr>
      <w:r w:rsidRPr="000A1D51">
        <w:t xml:space="preserve">Key reports available from selected projects </w:t>
      </w:r>
    </w:p>
    <w:p w14:paraId="732C27FD" w14:textId="77777777" w:rsidR="00AF44E8" w:rsidRPr="000A1D51" w:rsidRDefault="00AF44E8" w:rsidP="005834CC">
      <w:pPr>
        <w:pStyle w:val="Heading1"/>
        <w:spacing w:before="120"/>
        <w:rPr>
          <w:lang w:val="en-AU"/>
        </w:rPr>
        <w:sectPr w:rsidR="00AF44E8" w:rsidRPr="000A1D51" w:rsidSect="00A32F56">
          <w:pgSz w:w="11907" w:h="16840" w:code="9"/>
          <w:pgMar w:top="2268" w:right="1871" w:bottom="907" w:left="1871" w:header="851" w:footer="454" w:gutter="0"/>
          <w:cols w:space="720"/>
          <w:docGrid w:linePitch="272"/>
        </w:sectPr>
      </w:pPr>
    </w:p>
    <w:p w14:paraId="000717D0" w14:textId="77777777" w:rsidR="00AF44E8" w:rsidRPr="000A1D51" w:rsidRDefault="00AF44E8" w:rsidP="00AF44E8">
      <w:pPr>
        <w:pStyle w:val="Heading1"/>
        <w:rPr>
          <w:lang w:val="en-AU"/>
        </w:rPr>
      </w:pPr>
      <w:bookmarkStart w:id="80" w:name="_Toc24884126"/>
      <w:bookmarkStart w:id="81" w:name="_Toc31820128"/>
      <w:r w:rsidRPr="000A1D51">
        <w:rPr>
          <w:lang w:val="en-AU"/>
        </w:rPr>
        <w:lastRenderedPageBreak/>
        <w:t xml:space="preserve">Appendix 2: </w:t>
      </w:r>
      <w:r w:rsidR="00D07892" w:rsidRPr="000A1D51">
        <w:rPr>
          <w:lang w:val="en-AU"/>
        </w:rPr>
        <w:t>People/Agencies Consulted</w:t>
      </w:r>
      <w:bookmarkEnd w:id="80"/>
      <w:bookmarkEnd w:id="81"/>
    </w:p>
    <w:tbl>
      <w:tblPr>
        <w:tblpPr w:leftFromText="180" w:rightFromText="180" w:vertAnchor="text"/>
        <w:tblW w:w="8921" w:type="dxa"/>
        <w:tblCellMar>
          <w:left w:w="0" w:type="dxa"/>
          <w:right w:w="0" w:type="dxa"/>
        </w:tblCellMar>
        <w:tblLook w:val="04A0" w:firstRow="1" w:lastRow="0" w:firstColumn="1" w:lastColumn="0" w:noHBand="0" w:noVBand="1"/>
      </w:tblPr>
      <w:tblGrid>
        <w:gridCol w:w="1699"/>
        <w:gridCol w:w="1410"/>
        <w:gridCol w:w="5812"/>
      </w:tblGrid>
      <w:tr w:rsidR="00AF44E8" w:rsidRPr="000A1D51" w14:paraId="5DB0F852" w14:textId="77777777" w:rsidTr="00AF44E8">
        <w:trPr>
          <w:trHeight w:val="586"/>
        </w:trPr>
        <w:tc>
          <w:tcPr>
            <w:tcW w:w="1699"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0" w:type="dxa"/>
              <w:left w:w="108" w:type="dxa"/>
              <w:bottom w:w="0" w:type="dxa"/>
              <w:right w:w="108" w:type="dxa"/>
            </w:tcMar>
            <w:vAlign w:val="center"/>
            <w:hideMark/>
          </w:tcPr>
          <w:p w14:paraId="2B2946A1" w14:textId="77777777" w:rsidR="00AF44E8" w:rsidRPr="000A1D51" w:rsidRDefault="00AF44E8" w:rsidP="00AF44E8">
            <w:pPr>
              <w:pStyle w:val="NoSpacing"/>
            </w:pPr>
            <w:r w:rsidRPr="000A1D51">
              <w:t>Date</w:t>
            </w:r>
          </w:p>
        </w:tc>
        <w:tc>
          <w:tcPr>
            <w:tcW w:w="1410" w:type="dxa"/>
            <w:tcBorders>
              <w:top w:val="single" w:sz="8" w:space="0" w:color="000000"/>
              <w:left w:val="nil"/>
              <w:bottom w:val="single" w:sz="8" w:space="0" w:color="000000"/>
              <w:right w:val="single" w:sz="8" w:space="0" w:color="000000"/>
            </w:tcBorders>
            <w:shd w:val="clear" w:color="auto" w:fill="B6DDE8" w:themeFill="accent5" w:themeFillTint="66"/>
            <w:vAlign w:val="center"/>
            <w:hideMark/>
          </w:tcPr>
          <w:p w14:paraId="69874D94" w14:textId="77777777" w:rsidR="00AF44E8" w:rsidRPr="000A1D51" w:rsidRDefault="00AF44E8" w:rsidP="00AF44E8">
            <w:pPr>
              <w:pStyle w:val="NoSpacing"/>
              <w:ind w:right="126"/>
              <w:jc w:val="right"/>
            </w:pPr>
            <w:r w:rsidRPr="000A1D51">
              <w:t>Time </w:t>
            </w:r>
          </w:p>
        </w:tc>
        <w:tc>
          <w:tcPr>
            <w:tcW w:w="5812" w:type="dxa"/>
            <w:tcBorders>
              <w:top w:val="single" w:sz="8" w:space="0" w:color="000000"/>
              <w:left w:val="nil"/>
              <w:bottom w:val="single" w:sz="8" w:space="0" w:color="000000"/>
              <w:right w:val="single" w:sz="8" w:space="0" w:color="000000"/>
            </w:tcBorders>
            <w:shd w:val="clear" w:color="auto" w:fill="B6DDE8" w:themeFill="accent5" w:themeFillTint="66"/>
            <w:vAlign w:val="center"/>
            <w:hideMark/>
          </w:tcPr>
          <w:p w14:paraId="06B80BFF" w14:textId="77777777" w:rsidR="00AF44E8" w:rsidRPr="000A1D51" w:rsidRDefault="00AF44E8" w:rsidP="00AF44E8">
            <w:pPr>
              <w:pStyle w:val="NoSpacing"/>
              <w:ind w:left="142" w:firstLine="2"/>
            </w:pPr>
            <w:r w:rsidRPr="000A1D51">
              <w:t>Name </w:t>
            </w:r>
          </w:p>
        </w:tc>
      </w:tr>
      <w:tr w:rsidR="00AF44E8" w:rsidRPr="000A1D51" w14:paraId="3D24FECE" w14:textId="77777777" w:rsidTr="00AF44E8">
        <w:trPr>
          <w:trHeight w:val="650"/>
        </w:trPr>
        <w:tc>
          <w:tcPr>
            <w:tcW w:w="169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3354F4" w14:textId="77777777" w:rsidR="00AF44E8" w:rsidRPr="000A1D51" w:rsidRDefault="00AF44E8" w:rsidP="00AF44E8">
            <w:pPr>
              <w:pStyle w:val="NoSpacing"/>
            </w:pPr>
            <w:r w:rsidRPr="000A1D51">
              <w:t>Friday</w:t>
            </w:r>
          </w:p>
          <w:p w14:paraId="714EF572" w14:textId="77777777" w:rsidR="00AF44E8" w:rsidRPr="000A1D51" w:rsidRDefault="00AF44E8" w:rsidP="00AF44E8">
            <w:pPr>
              <w:pStyle w:val="NoSpacing"/>
            </w:pPr>
            <w:r w:rsidRPr="000A1D51">
              <w:t>20 September</w:t>
            </w:r>
          </w:p>
        </w:tc>
        <w:tc>
          <w:tcPr>
            <w:tcW w:w="1410" w:type="dxa"/>
            <w:tcBorders>
              <w:top w:val="nil"/>
              <w:left w:val="nil"/>
              <w:bottom w:val="single" w:sz="8" w:space="0" w:color="000000"/>
              <w:right w:val="single" w:sz="8" w:space="0" w:color="000000"/>
            </w:tcBorders>
            <w:vAlign w:val="center"/>
            <w:hideMark/>
          </w:tcPr>
          <w:p w14:paraId="7D2B0A53" w14:textId="77777777" w:rsidR="00AF44E8" w:rsidRPr="000A1D51" w:rsidRDefault="00AF44E8" w:rsidP="00AF44E8">
            <w:pPr>
              <w:pStyle w:val="NoSpacing"/>
              <w:ind w:right="126"/>
              <w:jc w:val="right"/>
            </w:pPr>
            <w:r w:rsidRPr="000A1D51">
              <w:t>15:00 – 16:00</w:t>
            </w:r>
          </w:p>
        </w:tc>
        <w:tc>
          <w:tcPr>
            <w:tcW w:w="5812" w:type="dxa"/>
            <w:tcBorders>
              <w:top w:val="nil"/>
              <w:left w:val="nil"/>
              <w:bottom w:val="single" w:sz="8" w:space="0" w:color="000000"/>
              <w:right w:val="single" w:sz="8" w:space="0" w:color="000000"/>
            </w:tcBorders>
            <w:vAlign w:val="center"/>
            <w:hideMark/>
          </w:tcPr>
          <w:p w14:paraId="7738125A" w14:textId="5973E9B5" w:rsidR="00AF44E8" w:rsidRPr="000A1D51" w:rsidRDefault="00AF44E8" w:rsidP="00DE2D1E">
            <w:pPr>
              <w:pStyle w:val="NoSpacing"/>
              <w:ind w:left="142" w:firstLine="2"/>
            </w:pPr>
            <w:r w:rsidRPr="000A1D51">
              <w:t>Department of Agriculture, Bangkok Post</w:t>
            </w:r>
          </w:p>
        </w:tc>
      </w:tr>
      <w:tr w:rsidR="00AF44E8" w:rsidRPr="000A1D51" w14:paraId="0886EED4" w14:textId="77777777" w:rsidTr="00AF44E8">
        <w:trPr>
          <w:trHeight w:val="545"/>
        </w:trPr>
        <w:tc>
          <w:tcPr>
            <w:tcW w:w="0" w:type="auto"/>
            <w:vMerge/>
            <w:tcBorders>
              <w:top w:val="nil"/>
              <w:left w:val="single" w:sz="8" w:space="0" w:color="000000"/>
              <w:bottom w:val="single" w:sz="8" w:space="0" w:color="000000"/>
              <w:right w:val="single" w:sz="8" w:space="0" w:color="000000"/>
            </w:tcBorders>
            <w:vAlign w:val="center"/>
            <w:hideMark/>
          </w:tcPr>
          <w:p w14:paraId="4F500545"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4BE6F923" w14:textId="77777777" w:rsidR="00AF44E8" w:rsidRPr="000A1D51" w:rsidRDefault="00AF44E8" w:rsidP="00AF44E8">
            <w:pPr>
              <w:pStyle w:val="NoSpacing"/>
              <w:ind w:right="126"/>
              <w:jc w:val="right"/>
            </w:pPr>
            <w:r w:rsidRPr="000A1D51">
              <w:t>16:00 – 17:00</w:t>
            </w:r>
          </w:p>
        </w:tc>
        <w:tc>
          <w:tcPr>
            <w:tcW w:w="5812" w:type="dxa"/>
            <w:tcBorders>
              <w:top w:val="nil"/>
              <w:left w:val="nil"/>
              <w:bottom w:val="single" w:sz="8" w:space="0" w:color="000000"/>
              <w:right w:val="single" w:sz="8" w:space="0" w:color="000000"/>
            </w:tcBorders>
            <w:vAlign w:val="center"/>
            <w:hideMark/>
          </w:tcPr>
          <w:p w14:paraId="76F0A215" w14:textId="222892E3" w:rsidR="00AF44E8" w:rsidRPr="000A1D51" w:rsidRDefault="00AF44E8" w:rsidP="00DE2D1E">
            <w:pPr>
              <w:pStyle w:val="NoSpacing"/>
              <w:ind w:left="142" w:firstLine="2"/>
            </w:pPr>
            <w:r w:rsidRPr="000A1D51">
              <w:t>ASEAN Mission, Bangkok Post</w:t>
            </w:r>
          </w:p>
        </w:tc>
      </w:tr>
      <w:tr w:rsidR="00AF44E8" w:rsidRPr="000A1D51" w14:paraId="2B52C54E" w14:textId="77777777" w:rsidTr="00AF44E8">
        <w:trPr>
          <w:trHeight w:val="397"/>
        </w:trPr>
        <w:tc>
          <w:tcPr>
            <w:tcW w:w="0" w:type="auto"/>
            <w:vMerge w:val="restart"/>
            <w:tcBorders>
              <w:top w:val="nil"/>
              <w:left w:val="single" w:sz="8" w:space="0" w:color="000000"/>
              <w:bottom w:val="single" w:sz="8" w:space="0" w:color="000000"/>
              <w:right w:val="single" w:sz="8" w:space="0" w:color="000000"/>
            </w:tcBorders>
            <w:vAlign w:val="center"/>
            <w:hideMark/>
          </w:tcPr>
          <w:p w14:paraId="3B84DD69" w14:textId="77777777" w:rsidR="00AF44E8" w:rsidRPr="000A1D51" w:rsidRDefault="00AF44E8" w:rsidP="00AF44E8">
            <w:pPr>
              <w:pStyle w:val="NoSpacing"/>
            </w:pPr>
            <w:r w:rsidRPr="000A1D51">
              <w:t>Wednesday</w:t>
            </w:r>
          </w:p>
          <w:p w14:paraId="732EC6EE" w14:textId="77777777" w:rsidR="00AF44E8" w:rsidRPr="000A1D51" w:rsidRDefault="00AF44E8" w:rsidP="00AF44E8">
            <w:pPr>
              <w:pStyle w:val="NoSpacing"/>
            </w:pPr>
            <w:r w:rsidRPr="000A1D51">
              <w:t>25 September</w:t>
            </w:r>
          </w:p>
        </w:tc>
        <w:tc>
          <w:tcPr>
            <w:tcW w:w="1410" w:type="dxa"/>
            <w:tcBorders>
              <w:top w:val="nil"/>
              <w:left w:val="nil"/>
              <w:bottom w:val="single" w:sz="8" w:space="0" w:color="000000"/>
              <w:right w:val="single" w:sz="8" w:space="0" w:color="000000"/>
            </w:tcBorders>
            <w:vAlign w:val="center"/>
            <w:hideMark/>
          </w:tcPr>
          <w:p w14:paraId="649284BB" w14:textId="77777777" w:rsidR="00AF44E8" w:rsidRPr="000A1D51" w:rsidRDefault="00AF44E8" w:rsidP="00AF44E8">
            <w:pPr>
              <w:pStyle w:val="NoSpacing"/>
              <w:ind w:right="126"/>
              <w:jc w:val="right"/>
            </w:pPr>
            <w:r w:rsidRPr="000A1D51">
              <w:t>9.00 -10.00</w:t>
            </w:r>
          </w:p>
        </w:tc>
        <w:tc>
          <w:tcPr>
            <w:tcW w:w="5812" w:type="dxa"/>
            <w:tcBorders>
              <w:top w:val="nil"/>
              <w:left w:val="nil"/>
              <w:bottom w:val="single" w:sz="8" w:space="0" w:color="000000"/>
              <w:right w:val="single" w:sz="8" w:space="0" w:color="000000"/>
            </w:tcBorders>
            <w:vAlign w:val="center"/>
            <w:hideMark/>
          </w:tcPr>
          <w:p w14:paraId="63FAE5E7" w14:textId="1C56E7DC" w:rsidR="00AF44E8" w:rsidRPr="000A1D51" w:rsidRDefault="00AF44E8" w:rsidP="00AF44E8">
            <w:pPr>
              <w:pStyle w:val="NoSpacing"/>
              <w:ind w:left="142" w:firstLine="2"/>
            </w:pPr>
            <w:r w:rsidRPr="000A1D51">
              <w:t xml:space="preserve">Briefing for </w:t>
            </w:r>
            <w:r w:rsidR="00DE2D1E">
              <w:t>M&amp;E consultant</w:t>
            </w:r>
          </w:p>
        </w:tc>
      </w:tr>
      <w:tr w:rsidR="00AF44E8" w:rsidRPr="000A1D51" w14:paraId="02AF1E0B" w14:textId="77777777" w:rsidTr="00AF44E8">
        <w:trPr>
          <w:trHeight w:val="844"/>
        </w:trPr>
        <w:tc>
          <w:tcPr>
            <w:tcW w:w="0" w:type="auto"/>
            <w:vMerge/>
            <w:tcBorders>
              <w:top w:val="nil"/>
              <w:left w:val="single" w:sz="8" w:space="0" w:color="000000"/>
              <w:bottom w:val="single" w:sz="8" w:space="0" w:color="000000"/>
              <w:right w:val="single" w:sz="8" w:space="0" w:color="000000"/>
            </w:tcBorders>
            <w:vAlign w:val="center"/>
            <w:hideMark/>
          </w:tcPr>
          <w:p w14:paraId="21681AE1"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31DBDF8A" w14:textId="77777777" w:rsidR="00AF44E8" w:rsidRPr="000A1D51" w:rsidRDefault="00AF44E8" w:rsidP="00AF44E8">
            <w:pPr>
              <w:pStyle w:val="NoSpacing"/>
              <w:ind w:right="126"/>
              <w:jc w:val="right"/>
            </w:pPr>
            <w:r w:rsidRPr="000A1D51">
              <w:t>10.15 – 11.15</w:t>
            </w:r>
          </w:p>
        </w:tc>
        <w:tc>
          <w:tcPr>
            <w:tcW w:w="5812" w:type="dxa"/>
            <w:tcBorders>
              <w:top w:val="nil"/>
              <w:left w:val="nil"/>
              <w:bottom w:val="single" w:sz="8" w:space="0" w:color="000000"/>
              <w:right w:val="single" w:sz="8" w:space="0" w:color="000000"/>
            </w:tcBorders>
            <w:vAlign w:val="center"/>
            <w:hideMark/>
          </w:tcPr>
          <w:p w14:paraId="4756AAAB" w14:textId="77777777" w:rsidR="00AF44E8" w:rsidRPr="000A1D51" w:rsidRDefault="00AF44E8" w:rsidP="00AF44E8">
            <w:pPr>
              <w:pStyle w:val="NoSpacing"/>
              <w:ind w:left="142" w:firstLine="2"/>
            </w:pPr>
            <w:r w:rsidRPr="000A1D51">
              <w:t>Finance and Budget Division</w:t>
            </w:r>
          </w:p>
          <w:p w14:paraId="62DE3BF5" w14:textId="77777777" w:rsidR="00AF44E8" w:rsidRPr="000A1D51" w:rsidRDefault="00AF44E8" w:rsidP="00AF44E8">
            <w:pPr>
              <w:pStyle w:val="NoSpacing"/>
              <w:ind w:left="142" w:firstLine="2"/>
            </w:pPr>
          </w:p>
        </w:tc>
      </w:tr>
      <w:tr w:rsidR="00AF44E8" w:rsidRPr="000A1D51" w14:paraId="603030D5" w14:textId="77777777" w:rsidTr="00AF44E8">
        <w:trPr>
          <w:trHeight w:val="844"/>
        </w:trPr>
        <w:tc>
          <w:tcPr>
            <w:tcW w:w="0" w:type="auto"/>
            <w:vMerge/>
            <w:tcBorders>
              <w:top w:val="nil"/>
              <w:left w:val="single" w:sz="8" w:space="0" w:color="000000"/>
              <w:bottom w:val="single" w:sz="8" w:space="0" w:color="000000"/>
              <w:right w:val="single" w:sz="8" w:space="0" w:color="000000"/>
            </w:tcBorders>
            <w:vAlign w:val="center"/>
            <w:hideMark/>
          </w:tcPr>
          <w:p w14:paraId="13203F06"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571E9768" w14:textId="77777777" w:rsidR="00AF44E8" w:rsidRPr="000A1D51" w:rsidRDefault="00AF44E8" w:rsidP="00AF44E8">
            <w:pPr>
              <w:pStyle w:val="NoSpacing"/>
              <w:ind w:right="126"/>
              <w:jc w:val="right"/>
            </w:pPr>
            <w:r w:rsidRPr="000A1D51">
              <w:t>11.20 -12.30</w:t>
            </w:r>
          </w:p>
        </w:tc>
        <w:tc>
          <w:tcPr>
            <w:tcW w:w="5812" w:type="dxa"/>
            <w:tcBorders>
              <w:top w:val="nil"/>
              <w:left w:val="nil"/>
              <w:bottom w:val="single" w:sz="8" w:space="0" w:color="000000"/>
              <w:right w:val="single" w:sz="8" w:space="0" w:color="000000"/>
            </w:tcBorders>
            <w:vAlign w:val="center"/>
            <w:hideMark/>
          </w:tcPr>
          <w:p w14:paraId="53C8980B" w14:textId="77777777" w:rsidR="00AF44E8" w:rsidRPr="000A1D51" w:rsidRDefault="00AF44E8" w:rsidP="00AF44E8">
            <w:pPr>
              <w:pStyle w:val="NoSpacing"/>
              <w:ind w:left="142" w:firstLine="2"/>
            </w:pPr>
            <w:r w:rsidRPr="000A1D51">
              <w:t>Legal Services &amp; Agreements Directorate</w:t>
            </w:r>
          </w:p>
          <w:p w14:paraId="517DBFB4" w14:textId="77777777" w:rsidR="00AF44E8" w:rsidRPr="000A1D51" w:rsidRDefault="00AF44E8" w:rsidP="00AF44E8">
            <w:pPr>
              <w:pStyle w:val="NoSpacing"/>
              <w:ind w:left="142" w:firstLine="2"/>
            </w:pPr>
          </w:p>
        </w:tc>
      </w:tr>
      <w:tr w:rsidR="00AF44E8" w:rsidRPr="000A1D51" w14:paraId="1D25BF4D" w14:textId="77777777" w:rsidTr="00AF44E8">
        <w:trPr>
          <w:trHeight w:val="362"/>
        </w:trPr>
        <w:tc>
          <w:tcPr>
            <w:tcW w:w="0" w:type="auto"/>
            <w:vMerge/>
            <w:tcBorders>
              <w:top w:val="nil"/>
              <w:left w:val="single" w:sz="8" w:space="0" w:color="000000"/>
              <w:bottom w:val="single" w:sz="8" w:space="0" w:color="000000"/>
              <w:right w:val="single" w:sz="8" w:space="0" w:color="000000"/>
            </w:tcBorders>
            <w:vAlign w:val="center"/>
            <w:hideMark/>
          </w:tcPr>
          <w:p w14:paraId="33CE506B"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0CEFE813" w14:textId="77777777" w:rsidR="00AF44E8" w:rsidRPr="000A1D51" w:rsidRDefault="00AF44E8" w:rsidP="00AF44E8">
            <w:pPr>
              <w:pStyle w:val="NoSpacing"/>
              <w:ind w:right="126"/>
              <w:jc w:val="right"/>
            </w:pPr>
            <w:r w:rsidRPr="000A1D51">
              <w:t>12.45 – 14.00</w:t>
            </w:r>
          </w:p>
        </w:tc>
        <w:tc>
          <w:tcPr>
            <w:tcW w:w="5812" w:type="dxa"/>
            <w:tcBorders>
              <w:top w:val="nil"/>
              <w:left w:val="nil"/>
              <w:bottom w:val="single" w:sz="8" w:space="0" w:color="000000"/>
              <w:right w:val="single" w:sz="8" w:space="0" w:color="000000"/>
            </w:tcBorders>
            <w:vAlign w:val="center"/>
            <w:hideMark/>
          </w:tcPr>
          <w:p w14:paraId="6AA6D427" w14:textId="2E3B6352" w:rsidR="00AF44E8" w:rsidRPr="000A1D51" w:rsidRDefault="00AF44E8" w:rsidP="00AF44E8">
            <w:pPr>
              <w:pStyle w:val="NoSpacing"/>
              <w:ind w:left="142" w:firstLine="2"/>
            </w:pPr>
            <w:r w:rsidRPr="000A1D51">
              <w:t>EU ARISE PLUS</w:t>
            </w:r>
          </w:p>
        </w:tc>
      </w:tr>
      <w:tr w:rsidR="00AF44E8" w:rsidRPr="000A1D51" w14:paraId="53D35541" w14:textId="77777777" w:rsidTr="00AF44E8">
        <w:trPr>
          <w:trHeight w:val="284"/>
        </w:trPr>
        <w:tc>
          <w:tcPr>
            <w:tcW w:w="0" w:type="auto"/>
            <w:vMerge/>
            <w:tcBorders>
              <w:top w:val="nil"/>
              <w:left w:val="single" w:sz="8" w:space="0" w:color="000000"/>
              <w:bottom w:val="single" w:sz="8" w:space="0" w:color="000000"/>
              <w:right w:val="single" w:sz="8" w:space="0" w:color="000000"/>
            </w:tcBorders>
            <w:vAlign w:val="center"/>
            <w:hideMark/>
          </w:tcPr>
          <w:p w14:paraId="4C28AC5D"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4F6938E3" w14:textId="77777777" w:rsidR="00AF44E8" w:rsidRPr="000A1D51" w:rsidRDefault="00AF44E8" w:rsidP="00AF44E8">
            <w:pPr>
              <w:pStyle w:val="NoSpacing"/>
              <w:ind w:right="126"/>
              <w:jc w:val="right"/>
            </w:pPr>
            <w:r w:rsidRPr="000A1D51">
              <w:t>14.00 -14.50</w:t>
            </w:r>
          </w:p>
        </w:tc>
        <w:tc>
          <w:tcPr>
            <w:tcW w:w="5812" w:type="dxa"/>
            <w:tcBorders>
              <w:top w:val="nil"/>
              <w:left w:val="nil"/>
              <w:bottom w:val="single" w:sz="8" w:space="0" w:color="000000"/>
              <w:right w:val="single" w:sz="8" w:space="0" w:color="000000"/>
            </w:tcBorders>
            <w:vAlign w:val="center"/>
            <w:hideMark/>
          </w:tcPr>
          <w:p w14:paraId="12B832C9" w14:textId="4CE4DCAE" w:rsidR="00AF44E8" w:rsidRPr="000A1D51" w:rsidRDefault="00AF44E8" w:rsidP="00AF44E8">
            <w:pPr>
              <w:pStyle w:val="NoSpacing"/>
              <w:ind w:left="142" w:firstLine="2"/>
            </w:pPr>
            <w:r w:rsidRPr="000A1D51">
              <w:t>Contracts Officer</w:t>
            </w:r>
          </w:p>
          <w:p w14:paraId="3F810616" w14:textId="77777777" w:rsidR="00AF44E8" w:rsidRPr="000A1D51" w:rsidRDefault="00AF44E8" w:rsidP="00AF44E8">
            <w:pPr>
              <w:pStyle w:val="NoSpacing"/>
              <w:ind w:left="142" w:firstLine="2"/>
            </w:pPr>
          </w:p>
        </w:tc>
      </w:tr>
      <w:tr w:rsidR="00AF44E8" w:rsidRPr="000A1D51" w14:paraId="71A66E9A" w14:textId="77777777" w:rsidTr="00AF44E8">
        <w:trPr>
          <w:trHeight w:val="416"/>
        </w:trPr>
        <w:tc>
          <w:tcPr>
            <w:tcW w:w="0" w:type="auto"/>
            <w:vMerge/>
            <w:tcBorders>
              <w:top w:val="nil"/>
              <w:left w:val="single" w:sz="8" w:space="0" w:color="000000"/>
              <w:bottom w:val="single" w:sz="8" w:space="0" w:color="000000"/>
              <w:right w:val="single" w:sz="8" w:space="0" w:color="000000"/>
            </w:tcBorders>
            <w:vAlign w:val="center"/>
            <w:hideMark/>
          </w:tcPr>
          <w:p w14:paraId="6D7A8197"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0FCA7C0A" w14:textId="77777777" w:rsidR="00AF44E8" w:rsidRPr="000A1D51" w:rsidRDefault="00AF44E8" w:rsidP="00AF44E8">
            <w:pPr>
              <w:pStyle w:val="NoSpacing"/>
              <w:ind w:right="126"/>
              <w:jc w:val="right"/>
            </w:pPr>
            <w:r w:rsidRPr="000A1D51">
              <w:t>15.00 – 16.00</w:t>
            </w:r>
          </w:p>
        </w:tc>
        <w:tc>
          <w:tcPr>
            <w:tcW w:w="5812" w:type="dxa"/>
            <w:tcBorders>
              <w:top w:val="nil"/>
              <w:left w:val="nil"/>
              <w:bottom w:val="single" w:sz="8" w:space="0" w:color="000000"/>
              <w:right w:val="single" w:sz="8" w:space="0" w:color="000000"/>
            </w:tcBorders>
            <w:vAlign w:val="center"/>
            <w:hideMark/>
          </w:tcPr>
          <w:p w14:paraId="66053A9C" w14:textId="0FD6F611" w:rsidR="00AF44E8" w:rsidRPr="000A1D51" w:rsidRDefault="00AF44E8" w:rsidP="00DE2D1E">
            <w:pPr>
              <w:pStyle w:val="NoSpacing"/>
              <w:ind w:left="142" w:firstLine="2"/>
            </w:pPr>
            <w:r w:rsidRPr="000A1D51">
              <w:t>Corporate Affairs</w:t>
            </w:r>
          </w:p>
        </w:tc>
      </w:tr>
      <w:tr w:rsidR="00AF44E8" w:rsidRPr="000A1D51" w14:paraId="299838EB" w14:textId="77777777" w:rsidTr="00AF44E8">
        <w:trPr>
          <w:trHeight w:val="678"/>
        </w:trPr>
        <w:tc>
          <w:tcPr>
            <w:tcW w:w="0" w:type="auto"/>
            <w:vMerge/>
            <w:tcBorders>
              <w:top w:val="nil"/>
              <w:left w:val="single" w:sz="8" w:space="0" w:color="000000"/>
              <w:bottom w:val="single" w:sz="8" w:space="0" w:color="000000"/>
              <w:right w:val="single" w:sz="8" w:space="0" w:color="000000"/>
            </w:tcBorders>
            <w:vAlign w:val="center"/>
            <w:hideMark/>
          </w:tcPr>
          <w:p w14:paraId="18EDF46C"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7BC68B0D" w14:textId="77777777" w:rsidR="00AF44E8" w:rsidRPr="000A1D51" w:rsidRDefault="00AF44E8" w:rsidP="00AF44E8">
            <w:pPr>
              <w:pStyle w:val="NoSpacing"/>
              <w:ind w:right="126"/>
              <w:jc w:val="right"/>
            </w:pPr>
            <w:r w:rsidRPr="000A1D51">
              <w:t>16.30 – 17.30</w:t>
            </w:r>
          </w:p>
        </w:tc>
        <w:tc>
          <w:tcPr>
            <w:tcW w:w="5812" w:type="dxa"/>
            <w:tcBorders>
              <w:top w:val="nil"/>
              <w:left w:val="nil"/>
              <w:bottom w:val="single" w:sz="8" w:space="0" w:color="000000"/>
              <w:right w:val="single" w:sz="8" w:space="0" w:color="000000"/>
            </w:tcBorders>
            <w:vAlign w:val="center"/>
            <w:hideMark/>
          </w:tcPr>
          <w:p w14:paraId="21E6AD6F" w14:textId="577160B2" w:rsidR="00AF44E8" w:rsidRPr="000A1D51" w:rsidRDefault="00AF44E8" w:rsidP="00B578C7">
            <w:pPr>
              <w:pStyle w:val="NoSpacing"/>
              <w:ind w:left="142" w:firstLine="2"/>
            </w:pPr>
            <w:r w:rsidRPr="000A1D51">
              <w:t xml:space="preserve">ERIA </w:t>
            </w:r>
          </w:p>
        </w:tc>
      </w:tr>
      <w:tr w:rsidR="00AF44E8" w:rsidRPr="000A1D51" w14:paraId="7C3431EE" w14:textId="77777777" w:rsidTr="00AF44E8">
        <w:trPr>
          <w:trHeight w:val="556"/>
        </w:trPr>
        <w:tc>
          <w:tcPr>
            <w:tcW w:w="0" w:type="auto"/>
            <w:vMerge w:val="restart"/>
            <w:tcBorders>
              <w:top w:val="nil"/>
              <w:left w:val="single" w:sz="8" w:space="0" w:color="000000"/>
              <w:bottom w:val="single" w:sz="8" w:space="0" w:color="000000"/>
              <w:right w:val="single" w:sz="8" w:space="0" w:color="000000"/>
            </w:tcBorders>
            <w:vAlign w:val="center"/>
            <w:hideMark/>
          </w:tcPr>
          <w:p w14:paraId="4FCC4EAF" w14:textId="77777777" w:rsidR="00AF44E8" w:rsidRPr="000A1D51" w:rsidRDefault="00AF44E8" w:rsidP="00AF44E8">
            <w:pPr>
              <w:pStyle w:val="NoSpacing"/>
            </w:pPr>
            <w:r w:rsidRPr="000A1D51">
              <w:t>Thursday</w:t>
            </w:r>
          </w:p>
          <w:p w14:paraId="6BF37C11" w14:textId="77777777" w:rsidR="00AF44E8" w:rsidRPr="000A1D51" w:rsidRDefault="00AF44E8" w:rsidP="00AF44E8">
            <w:pPr>
              <w:pStyle w:val="NoSpacing"/>
            </w:pPr>
            <w:r w:rsidRPr="000A1D51">
              <w:t>26 September </w:t>
            </w:r>
          </w:p>
        </w:tc>
        <w:tc>
          <w:tcPr>
            <w:tcW w:w="1410" w:type="dxa"/>
            <w:tcBorders>
              <w:top w:val="nil"/>
              <w:left w:val="nil"/>
              <w:bottom w:val="single" w:sz="8" w:space="0" w:color="000000"/>
              <w:right w:val="single" w:sz="8" w:space="0" w:color="000000"/>
            </w:tcBorders>
            <w:vAlign w:val="center"/>
            <w:hideMark/>
          </w:tcPr>
          <w:p w14:paraId="76EB98F9" w14:textId="77777777" w:rsidR="00AF44E8" w:rsidRPr="000A1D51" w:rsidRDefault="00AF44E8" w:rsidP="00AF44E8">
            <w:pPr>
              <w:pStyle w:val="NoSpacing"/>
              <w:ind w:right="126"/>
            </w:pPr>
            <w:r w:rsidRPr="000A1D51">
              <w:t> </w:t>
            </w:r>
          </w:p>
          <w:p w14:paraId="475891F3" w14:textId="77777777" w:rsidR="00AF44E8" w:rsidRPr="000A1D51" w:rsidRDefault="00AF44E8" w:rsidP="00AF44E8">
            <w:pPr>
              <w:pStyle w:val="NoSpacing"/>
              <w:ind w:right="126"/>
            </w:pPr>
            <w:r w:rsidRPr="000A1D51">
              <w:t>9.00 – 10.00</w:t>
            </w:r>
          </w:p>
          <w:p w14:paraId="2BE3FD1B" w14:textId="77777777" w:rsidR="00AF44E8" w:rsidRPr="000A1D51" w:rsidRDefault="00AF44E8" w:rsidP="00AF44E8">
            <w:pPr>
              <w:pStyle w:val="NoSpacing"/>
              <w:ind w:right="126"/>
            </w:pPr>
          </w:p>
        </w:tc>
        <w:tc>
          <w:tcPr>
            <w:tcW w:w="5812" w:type="dxa"/>
            <w:tcBorders>
              <w:top w:val="nil"/>
              <w:left w:val="nil"/>
              <w:bottom w:val="single" w:sz="8" w:space="0" w:color="000000"/>
              <w:right w:val="single" w:sz="8" w:space="0" w:color="000000"/>
            </w:tcBorders>
            <w:vAlign w:val="center"/>
            <w:hideMark/>
          </w:tcPr>
          <w:p w14:paraId="6471C8E0" w14:textId="04F5A91D" w:rsidR="00AF44E8" w:rsidRPr="000A1D51" w:rsidRDefault="00AF44E8" w:rsidP="00DE2D1E">
            <w:pPr>
              <w:pStyle w:val="NoSpacing"/>
            </w:pPr>
            <w:r w:rsidRPr="000A1D51">
              <w:t xml:space="preserve">  IAI Division</w:t>
            </w:r>
          </w:p>
        </w:tc>
      </w:tr>
      <w:tr w:rsidR="00AF44E8" w:rsidRPr="000A1D51" w14:paraId="428EECC2" w14:textId="77777777" w:rsidTr="00AF44E8">
        <w:trPr>
          <w:trHeight w:val="586"/>
        </w:trPr>
        <w:tc>
          <w:tcPr>
            <w:tcW w:w="0" w:type="auto"/>
            <w:vMerge/>
            <w:tcBorders>
              <w:top w:val="nil"/>
              <w:left w:val="single" w:sz="8" w:space="0" w:color="000000"/>
              <w:bottom w:val="single" w:sz="8" w:space="0" w:color="000000"/>
              <w:right w:val="single" w:sz="8" w:space="0" w:color="000000"/>
            </w:tcBorders>
            <w:vAlign w:val="center"/>
            <w:hideMark/>
          </w:tcPr>
          <w:p w14:paraId="796C81A0" w14:textId="77777777" w:rsidR="00AF44E8" w:rsidRPr="000A1D51" w:rsidRDefault="00AF44E8" w:rsidP="00AF44E8">
            <w:pPr>
              <w:pStyle w:val="NoSpacing"/>
            </w:pPr>
          </w:p>
        </w:tc>
        <w:tc>
          <w:tcPr>
            <w:tcW w:w="1410" w:type="dxa"/>
            <w:tcBorders>
              <w:top w:val="single" w:sz="8" w:space="0" w:color="000000"/>
              <w:left w:val="nil"/>
              <w:bottom w:val="single" w:sz="8" w:space="0" w:color="000000"/>
              <w:right w:val="single" w:sz="8" w:space="0" w:color="000000"/>
            </w:tcBorders>
            <w:vAlign w:val="center"/>
            <w:hideMark/>
          </w:tcPr>
          <w:p w14:paraId="52B5D53A" w14:textId="77777777" w:rsidR="00AF44E8" w:rsidRPr="000A1D51" w:rsidRDefault="00AF44E8" w:rsidP="00AF44E8">
            <w:pPr>
              <w:pStyle w:val="NoSpacing"/>
              <w:ind w:right="126"/>
              <w:jc w:val="right"/>
            </w:pPr>
            <w:r w:rsidRPr="000A1D51">
              <w:t>10.00 – 11.00</w:t>
            </w:r>
          </w:p>
        </w:tc>
        <w:tc>
          <w:tcPr>
            <w:tcW w:w="5812" w:type="dxa"/>
            <w:tcBorders>
              <w:top w:val="single" w:sz="8" w:space="0" w:color="000000"/>
              <w:left w:val="nil"/>
              <w:bottom w:val="single" w:sz="8" w:space="0" w:color="000000"/>
              <w:right w:val="single" w:sz="8" w:space="0" w:color="000000"/>
            </w:tcBorders>
            <w:vAlign w:val="center"/>
            <w:hideMark/>
          </w:tcPr>
          <w:p w14:paraId="24C206E3" w14:textId="17516E5F" w:rsidR="00AF44E8" w:rsidRPr="000A1D51" w:rsidRDefault="00AF44E8" w:rsidP="00AA42F4">
            <w:pPr>
              <w:pStyle w:val="NoSpacing"/>
              <w:ind w:left="142" w:firstLine="2"/>
            </w:pPr>
            <w:r w:rsidRPr="000A1D51">
              <w:t>ASEAN Connectivity Division.  </w:t>
            </w:r>
          </w:p>
        </w:tc>
      </w:tr>
      <w:tr w:rsidR="00AF44E8" w:rsidRPr="000A1D51" w14:paraId="226F2357" w14:textId="77777777" w:rsidTr="00AF44E8">
        <w:trPr>
          <w:trHeight w:val="586"/>
        </w:trPr>
        <w:tc>
          <w:tcPr>
            <w:tcW w:w="0" w:type="auto"/>
            <w:vMerge/>
            <w:tcBorders>
              <w:top w:val="nil"/>
              <w:left w:val="single" w:sz="8" w:space="0" w:color="000000"/>
              <w:bottom w:val="single" w:sz="8" w:space="0" w:color="000000"/>
              <w:right w:val="single" w:sz="8" w:space="0" w:color="000000"/>
            </w:tcBorders>
            <w:vAlign w:val="center"/>
            <w:hideMark/>
          </w:tcPr>
          <w:p w14:paraId="001DB475"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0EA0A826" w14:textId="77777777" w:rsidR="00AF44E8" w:rsidRPr="000A1D51" w:rsidRDefault="00AF44E8" w:rsidP="00AF44E8">
            <w:pPr>
              <w:pStyle w:val="NoSpacing"/>
              <w:ind w:right="126"/>
              <w:jc w:val="right"/>
            </w:pPr>
            <w:r w:rsidRPr="000A1D51">
              <w:t>11.00 – 12.00</w:t>
            </w:r>
          </w:p>
        </w:tc>
        <w:tc>
          <w:tcPr>
            <w:tcW w:w="5812" w:type="dxa"/>
            <w:tcBorders>
              <w:top w:val="nil"/>
              <w:left w:val="nil"/>
              <w:bottom w:val="single" w:sz="8" w:space="0" w:color="000000"/>
              <w:right w:val="single" w:sz="8" w:space="0" w:color="000000"/>
            </w:tcBorders>
            <w:vAlign w:val="center"/>
            <w:hideMark/>
          </w:tcPr>
          <w:p w14:paraId="445F83C3" w14:textId="04AB136F" w:rsidR="00AF44E8" w:rsidRPr="000A1D51" w:rsidRDefault="00AF44E8" w:rsidP="00AF44E8">
            <w:pPr>
              <w:pStyle w:val="NoSpacing"/>
              <w:ind w:left="142" w:firstLine="2"/>
            </w:pPr>
          </w:p>
          <w:p w14:paraId="1F4E9C66" w14:textId="77777777" w:rsidR="00AF44E8" w:rsidRPr="000A1D51" w:rsidRDefault="00AF44E8" w:rsidP="00AF44E8">
            <w:pPr>
              <w:pStyle w:val="NoSpacing"/>
              <w:ind w:left="142" w:firstLine="2"/>
            </w:pPr>
            <w:r w:rsidRPr="000A1D51">
              <w:t>Program Management Team (PMT).  </w:t>
            </w:r>
          </w:p>
          <w:p w14:paraId="25D2C8D4" w14:textId="2BD28485" w:rsidR="00AF44E8" w:rsidRPr="000A1D51" w:rsidRDefault="00AF44E8" w:rsidP="00AF44E8">
            <w:pPr>
              <w:pStyle w:val="NoSpacing"/>
              <w:ind w:left="142" w:firstLine="2"/>
            </w:pPr>
          </w:p>
        </w:tc>
      </w:tr>
      <w:tr w:rsidR="00AF44E8" w:rsidRPr="000A1D51" w14:paraId="0DC07FBD" w14:textId="77777777" w:rsidTr="00AF44E8">
        <w:trPr>
          <w:trHeight w:val="586"/>
        </w:trPr>
        <w:tc>
          <w:tcPr>
            <w:tcW w:w="0" w:type="auto"/>
            <w:vMerge/>
            <w:tcBorders>
              <w:top w:val="nil"/>
              <w:left w:val="single" w:sz="8" w:space="0" w:color="000000"/>
              <w:bottom w:val="single" w:sz="8" w:space="0" w:color="000000"/>
              <w:right w:val="single" w:sz="8" w:space="0" w:color="000000"/>
            </w:tcBorders>
            <w:vAlign w:val="center"/>
            <w:hideMark/>
          </w:tcPr>
          <w:p w14:paraId="1CAB8E89"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7C87CDA5" w14:textId="77777777" w:rsidR="00AF44E8" w:rsidRPr="000A1D51" w:rsidRDefault="00AF44E8" w:rsidP="00AF44E8">
            <w:pPr>
              <w:pStyle w:val="NoSpacing"/>
              <w:ind w:right="126"/>
              <w:jc w:val="right"/>
            </w:pPr>
            <w:r w:rsidRPr="000A1D51">
              <w:t>12.10 – 13.00</w:t>
            </w:r>
          </w:p>
        </w:tc>
        <w:tc>
          <w:tcPr>
            <w:tcW w:w="5812" w:type="dxa"/>
            <w:tcBorders>
              <w:top w:val="nil"/>
              <w:left w:val="nil"/>
              <w:bottom w:val="single" w:sz="8" w:space="0" w:color="000000"/>
              <w:right w:val="single" w:sz="8" w:space="0" w:color="000000"/>
            </w:tcBorders>
            <w:vAlign w:val="center"/>
            <w:hideMark/>
          </w:tcPr>
          <w:p w14:paraId="00E935C5" w14:textId="088CFF18" w:rsidR="00AF44E8" w:rsidRPr="000A1D51" w:rsidRDefault="00AF44E8" w:rsidP="00AF44E8">
            <w:pPr>
              <w:pStyle w:val="NoSpacing"/>
              <w:ind w:left="142" w:firstLine="2"/>
            </w:pPr>
            <w:r w:rsidRPr="000A1D51">
              <w:t>Finance Officer</w:t>
            </w:r>
          </w:p>
        </w:tc>
      </w:tr>
      <w:tr w:rsidR="00AF44E8" w:rsidRPr="000A1D51" w14:paraId="316ACCE7" w14:textId="77777777" w:rsidTr="00AF44E8">
        <w:trPr>
          <w:trHeight w:val="678"/>
        </w:trPr>
        <w:tc>
          <w:tcPr>
            <w:tcW w:w="0" w:type="auto"/>
            <w:vMerge/>
            <w:tcBorders>
              <w:top w:val="nil"/>
              <w:left w:val="single" w:sz="8" w:space="0" w:color="000000"/>
              <w:bottom w:val="single" w:sz="8" w:space="0" w:color="000000"/>
              <w:right w:val="single" w:sz="8" w:space="0" w:color="000000"/>
            </w:tcBorders>
            <w:vAlign w:val="center"/>
            <w:hideMark/>
          </w:tcPr>
          <w:p w14:paraId="2CF13FD8"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3E2AF9B4" w14:textId="77777777" w:rsidR="00AF44E8" w:rsidRPr="000A1D51" w:rsidRDefault="00AF44E8" w:rsidP="00AF44E8">
            <w:pPr>
              <w:pStyle w:val="NoSpacing"/>
              <w:ind w:right="126"/>
              <w:jc w:val="right"/>
            </w:pPr>
            <w:r w:rsidRPr="000A1D51">
              <w:t>14.00 – 15.00</w:t>
            </w:r>
          </w:p>
        </w:tc>
        <w:tc>
          <w:tcPr>
            <w:tcW w:w="5812" w:type="dxa"/>
            <w:tcBorders>
              <w:top w:val="nil"/>
              <w:left w:val="nil"/>
              <w:bottom w:val="single" w:sz="8" w:space="0" w:color="000000"/>
              <w:right w:val="single" w:sz="8" w:space="0" w:color="000000"/>
            </w:tcBorders>
            <w:vAlign w:val="center"/>
            <w:hideMark/>
          </w:tcPr>
          <w:p w14:paraId="11BA4160" w14:textId="080030E5" w:rsidR="00AF44E8" w:rsidRPr="000A1D51" w:rsidRDefault="00AF44E8" w:rsidP="00DE2D1E">
            <w:pPr>
              <w:pStyle w:val="NoSpacing"/>
              <w:ind w:left="142" w:firstLine="2"/>
            </w:pPr>
            <w:r w:rsidRPr="000A1D51">
              <w:t xml:space="preserve">Myanmar </w:t>
            </w:r>
            <w:r w:rsidR="00DE2D1E">
              <w:t xml:space="preserve">Mission </w:t>
            </w:r>
            <w:r w:rsidRPr="000A1D51">
              <w:t xml:space="preserve">to ASEAN. </w:t>
            </w:r>
          </w:p>
        </w:tc>
      </w:tr>
      <w:tr w:rsidR="00AF44E8" w:rsidRPr="000A1D51" w14:paraId="4318D201" w14:textId="77777777" w:rsidTr="00AF44E8">
        <w:trPr>
          <w:trHeight w:val="586"/>
        </w:trPr>
        <w:tc>
          <w:tcPr>
            <w:tcW w:w="0" w:type="auto"/>
            <w:vMerge/>
            <w:tcBorders>
              <w:top w:val="nil"/>
              <w:left w:val="single" w:sz="8" w:space="0" w:color="000000"/>
              <w:bottom w:val="single" w:sz="8" w:space="0" w:color="000000"/>
              <w:right w:val="single" w:sz="8" w:space="0" w:color="000000"/>
            </w:tcBorders>
            <w:vAlign w:val="center"/>
            <w:hideMark/>
          </w:tcPr>
          <w:p w14:paraId="69438944"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5EF5DD41" w14:textId="77777777" w:rsidR="00AF44E8" w:rsidRPr="000A1D51" w:rsidRDefault="00AF44E8" w:rsidP="00AF44E8">
            <w:pPr>
              <w:pStyle w:val="NoSpacing"/>
              <w:ind w:right="126"/>
              <w:jc w:val="right"/>
            </w:pPr>
            <w:r w:rsidRPr="000A1D51">
              <w:t>15.30 – 16.30</w:t>
            </w:r>
          </w:p>
        </w:tc>
        <w:tc>
          <w:tcPr>
            <w:tcW w:w="5812" w:type="dxa"/>
            <w:tcBorders>
              <w:top w:val="nil"/>
              <w:left w:val="nil"/>
              <w:bottom w:val="single" w:sz="8" w:space="0" w:color="000000"/>
              <w:right w:val="single" w:sz="8" w:space="0" w:color="000000"/>
            </w:tcBorders>
            <w:vAlign w:val="center"/>
            <w:hideMark/>
          </w:tcPr>
          <w:p w14:paraId="1935E181" w14:textId="0A569320" w:rsidR="00AF44E8" w:rsidRPr="000A1D51" w:rsidRDefault="00AF44E8" w:rsidP="00DE2D1E">
            <w:pPr>
              <w:pStyle w:val="NoSpacing"/>
              <w:ind w:left="142" w:firstLine="2"/>
            </w:pPr>
            <w:r w:rsidRPr="000A1D51">
              <w:t>GIZ ASEC Strengthening Project</w:t>
            </w:r>
          </w:p>
        </w:tc>
      </w:tr>
      <w:tr w:rsidR="00AF44E8" w:rsidRPr="000A1D51" w14:paraId="3D819916" w14:textId="77777777" w:rsidTr="00AF44E8">
        <w:trPr>
          <w:trHeight w:val="586"/>
        </w:trPr>
        <w:tc>
          <w:tcPr>
            <w:tcW w:w="0" w:type="auto"/>
            <w:vMerge/>
            <w:tcBorders>
              <w:top w:val="nil"/>
              <w:left w:val="single" w:sz="8" w:space="0" w:color="000000"/>
              <w:bottom w:val="single" w:sz="8" w:space="0" w:color="000000"/>
              <w:right w:val="single" w:sz="8" w:space="0" w:color="000000"/>
            </w:tcBorders>
            <w:vAlign w:val="center"/>
            <w:hideMark/>
          </w:tcPr>
          <w:p w14:paraId="2A3D366C"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095DA0B5" w14:textId="77777777" w:rsidR="00AF44E8" w:rsidRPr="000A1D51" w:rsidRDefault="00AF44E8" w:rsidP="00AF44E8">
            <w:pPr>
              <w:pStyle w:val="NoSpacing"/>
              <w:ind w:right="126"/>
              <w:jc w:val="right"/>
            </w:pPr>
            <w:r w:rsidRPr="000A1D51">
              <w:t>16.45 – 17.15</w:t>
            </w:r>
          </w:p>
        </w:tc>
        <w:tc>
          <w:tcPr>
            <w:tcW w:w="5812" w:type="dxa"/>
            <w:tcBorders>
              <w:top w:val="nil"/>
              <w:left w:val="nil"/>
              <w:bottom w:val="single" w:sz="8" w:space="0" w:color="000000"/>
              <w:right w:val="single" w:sz="8" w:space="0" w:color="000000"/>
            </w:tcBorders>
            <w:vAlign w:val="center"/>
            <w:hideMark/>
          </w:tcPr>
          <w:p w14:paraId="67EB0091" w14:textId="7988B1CC" w:rsidR="00AF44E8" w:rsidRPr="000A1D51" w:rsidRDefault="00AF44E8" w:rsidP="00AA42F4">
            <w:pPr>
              <w:pStyle w:val="NoSpacing"/>
              <w:ind w:left="142" w:firstLine="2"/>
            </w:pPr>
            <w:r w:rsidRPr="000A1D51">
              <w:t>PCPMD</w:t>
            </w:r>
          </w:p>
        </w:tc>
      </w:tr>
      <w:tr w:rsidR="00AF44E8" w:rsidRPr="000A1D51" w14:paraId="40B2FC0C" w14:textId="77777777" w:rsidTr="00AF44E8">
        <w:trPr>
          <w:trHeight w:val="586"/>
        </w:trPr>
        <w:tc>
          <w:tcPr>
            <w:tcW w:w="169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DAB5BD" w14:textId="77777777" w:rsidR="00AF44E8" w:rsidRPr="000A1D51" w:rsidRDefault="00AF44E8" w:rsidP="00AF44E8">
            <w:pPr>
              <w:pStyle w:val="NoSpacing"/>
            </w:pPr>
            <w:r w:rsidRPr="000A1D51">
              <w:t>Friday 27 September</w:t>
            </w:r>
          </w:p>
        </w:tc>
        <w:tc>
          <w:tcPr>
            <w:tcW w:w="1410" w:type="dxa"/>
            <w:tcBorders>
              <w:top w:val="nil"/>
              <w:left w:val="nil"/>
              <w:bottom w:val="single" w:sz="8" w:space="0" w:color="000000"/>
              <w:right w:val="single" w:sz="8" w:space="0" w:color="000000"/>
            </w:tcBorders>
            <w:vAlign w:val="center"/>
            <w:hideMark/>
          </w:tcPr>
          <w:p w14:paraId="747AD7D8" w14:textId="77777777" w:rsidR="00AF44E8" w:rsidRPr="000A1D51" w:rsidRDefault="00AF44E8" w:rsidP="00AF44E8">
            <w:pPr>
              <w:pStyle w:val="NoSpacing"/>
              <w:ind w:right="126"/>
              <w:jc w:val="right"/>
            </w:pPr>
            <w:r w:rsidRPr="000A1D51">
              <w:t>8.30– 9.30</w:t>
            </w:r>
          </w:p>
        </w:tc>
        <w:tc>
          <w:tcPr>
            <w:tcW w:w="5812" w:type="dxa"/>
            <w:tcBorders>
              <w:top w:val="nil"/>
              <w:left w:val="nil"/>
              <w:bottom w:val="single" w:sz="8" w:space="0" w:color="000000"/>
              <w:right w:val="single" w:sz="8" w:space="0" w:color="000000"/>
            </w:tcBorders>
            <w:vAlign w:val="center"/>
            <w:hideMark/>
          </w:tcPr>
          <w:p w14:paraId="27B75E8D" w14:textId="67A8D512" w:rsidR="00AF44E8" w:rsidRPr="000A1D51" w:rsidRDefault="00AF44E8" w:rsidP="00DE2D1E">
            <w:pPr>
              <w:pStyle w:val="NoSpacing"/>
              <w:ind w:left="142" w:firstLine="2"/>
            </w:pPr>
            <w:r w:rsidRPr="000A1D51">
              <w:t>Telecon with ASEAN Regional Section (ARS), DFAT Canberra</w:t>
            </w:r>
          </w:p>
        </w:tc>
      </w:tr>
      <w:tr w:rsidR="00AF44E8" w:rsidRPr="000A1D51" w14:paraId="64802479" w14:textId="77777777" w:rsidTr="00AF44E8">
        <w:trPr>
          <w:trHeight w:val="597"/>
        </w:trPr>
        <w:tc>
          <w:tcPr>
            <w:tcW w:w="0" w:type="auto"/>
            <w:vMerge/>
            <w:tcBorders>
              <w:top w:val="nil"/>
              <w:left w:val="single" w:sz="8" w:space="0" w:color="000000"/>
              <w:bottom w:val="single" w:sz="8" w:space="0" w:color="000000"/>
              <w:right w:val="single" w:sz="8" w:space="0" w:color="000000"/>
            </w:tcBorders>
            <w:vAlign w:val="center"/>
            <w:hideMark/>
          </w:tcPr>
          <w:p w14:paraId="2D7C345F"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10F1FC74" w14:textId="77777777" w:rsidR="00AF44E8" w:rsidRPr="000A1D51" w:rsidRDefault="00AF44E8" w:rsidP="00AF44E8">
            <w:pPr>
              <w:pStyle w:val="NoSpacing"/>
              <w:ind w:right="126"/>
              <w:jc w:val="right"/>
            </w:pPr>
            <w:r w:rsidRPr="000A1D51">
              <w:t>9.30– 10.30</w:t>
            </w:r>
          </w:p>
        </w:tc>
        <w:tc>
          <w:tcPr>
            <w:tcW w:w="5812" w:type="dxa"/>
            <w:tcBorders>
              <w:top w:val="nil"/>
              <w:left w:val="nil"/>
              <w:bottom w:val="single" w:sz="8" w:space="0" w:color="000000"/>
              <w:right w:val="single" w:sz="8" w:space="0" w:color="000000"/>
            </w:tcBorders>
            <w:vAlign w:val="center"/>
            <w:hideMark/>
          </w:tcPr>
          <w:p w14:paraId="2E6E9CBF" w14:textId="77777777" w:rsidR="00AF44E8" w:rsidRPr="000A1D51" w:rsidRDefault="00AF44E8" w:rsidP="00AF44E8">
            <w:pPr>
              <w:pStyle w:val="NoSpacing"/>
              <w:ind w:left="142" w:firstLine="2"/>
            </w:pPr>
            <w:r w:rsidRPr="000A1D51">
              <w:t>Roundtable Meeting with ASEAN Permanent Mission and DFAT</w:t>
            </w:r>
          </w:p>
        </w:tc>
      </w:tr>
      <w:tr w:rsidR="00AF44E8" w:rsidRPr="000A1D51" w14:paraId="2DE49F83" w14:textId="77777777" w:rsidTr="00AF44E8">
        <w:trPr>
          <w:trHeight w:val="538"/>
        </w:trPr>
        <w:tc>
          <w:tcPr>
            <w:tcW w:w="0" w:type="auto"/>
            <w:vMerge/>
            <w:tcBorders>
              <w:top w:val="nil"/>
              <w:left w:val="single" w:sz="8" w:space="0" w:color="000000"/>
              <w:bottom w:val="single" w:sz="8" w:space="0" w:color="000000"/>
              <w:right w:val="single" w:sz="8" w:space="0" w:color="000000"/>
            </w:tcBorders>
            <w:vAlign w:val="center"/>
            <w:hideMark/>
          </w:tcPr>
          <w:p w14:paraId="2304350A"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73737681" w14:textId="77777777" w:rsidR="00AF44E8" w:rsidRPr="000A1D51" w:rsidRDefault="00AF44E8" w:rsidP="00AF44E8">
            <w:pPr>
              <w:pStyle w:val="NoSpacing"/>
              <w:ind w:right="126"/>
              <w:jc w:val="right"/>
            </w:pPr>
            <w:r w:rsidRPr="000A1D51">
              <w:t>11.00 – 12.00</w:t>
            </w:r>
          </w:p>
        </w:tc>
        <w:tc>
          <w:tcPr>
            <w:tcW w:w="5812" w:type="dxa"/>
            <w:tcBorders>
              <w:top w:val="nil"/>
              <w:left w:val="nil"/>
              <w:bottom w:val="single" w:sz="8" w:space="0" w:color="000000"/>
              <w:right w:val="single" w:sz="8" w:space="0" w:color="000000"/>
            </w:tcBorders>
            <w:vAlign w:val="center"/>
            <w:hideMark/>
          </w:tcPr>
          <w:p w14:paraId="2F9623B5" w14:textId="68BDA05B" w:rsidR="00AF44E8" w:rsidRPr="000A1D51" w:rsidRDefault="00AF44E8" w:rsidP="00DE2D1E">
            <w:pPr>
              <w:pStyle w:val="NoSpacing"/>
              <w:ind w:left="142" w:firstLine="2"/>
            </w:pPr>
            <w:r w:rsidRPr="000A1D51">
              <w:t xml:space="preserve">Meeting with </w:t>
            </w:r>
            <w:r w:rsidR="00DE2D1E">
              <w:t>Australian Mission to ASEAN</w:t>
            </w:r>
          </w:p>
        </w:tc>
      </w:tr>
      <w:tr w:rsidR="00AF44E8" w:rsidRPr="000A1D51" w14:paraId="52D5D2A9" w14:textId="77777777" w:rsidTr="00AF44E8">
        <w:trPr>
          <w:trHeight w:val="586"/>
        </w:trPr>
        <w:tc>
          <w:tcPr>
            <w:tcW w:w="0" w:type="auto"/>
            <w:vMerge/>
            <w:tcBorders>
              <w:top w:val="nil"/>
              <w:left w:val="single" w:sz="8" w:space="0" w:color="000000"/>
              <w:bottom w:val="single" w:sz="8" w:space="0" w:color="000000"/>
              <w:right w:val="single" w:sz="8" w:space="0" w:color="000000"/>
            </w:tcBorders>
            <w:vAlign w:val="center"/>
            <w:hideMark/>
          </w:tcPr>
          <w:p w14:paraId="36C82661"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37751D26" w14:textId="77777777" w:rsidR="00AF44E8" w:rsidRPr="000A1D51" w:rsidRDefault="00AF44E8" w:rsidP="00AF44E8">
            <w:pPr>
              <w:pStyle w:val="NoSpacing"/>
              <w:ind w:right="126"/>
              <w:jc w:val="right"/>
            </w:pPr>
            <w:r w:rsidRPr="000A1D51">
              <w:t>13.00 – 17.00</w:t>
            </w:r>
          </w:p>
        </w:tc>
        <w:tc>
          <w:tcPr>
            <w:tcW w:w="5812" w:type="dxa"/>
            <w:tcBorders>
              <w:top w:val="nil"/>
              <w:left w:val="nil"/>
              <w:bottom w:val="single" w:sz="8" w:space="0" w:color="000000"/>
              <w:right w:val="single" w:sz="8" w:space="0" w:color="000000"/>
            </w:tcBorders>
            <w:vAlign w:val="center"/>
            <w:hideMark/>
          </w:tcPr>
          <w:p w14:paraId="22EC0057" w14:textId="77777777" w:rsidR="00AF44E8" w:rsidRPr="000A1D51" w:rsidRDefault="00AF44E8" w:rsidP="00AF44E8">
            <w:pPr>
              <w:pStyle w:val="NoSpacing"/>
              <w:ind w:left="142" w:firstLine="2"/>
            </w:pPr>
            <w:r w:rsidRPr="000A1D51">
              <w:t>PPMSU</w:t>
            </w:r>
          </w:p>
        </w:tc>
      </w:tr>
      <w:tr w:rsidR="00AF44E8" w:rsidRPr="000A1D51" w14:paraId="5EE10BFB" w14:textId="77777777" w:rsidTr="00AF44E8">
        <w:trPr>
          <w:trHeight w:val="586"/>
        </w:trPr>
        <w:tc>
          <w:tcPr>
            <w:tcW w:w="0" w:type="auto"/>
            <w:vMerge w:val="restart"/>
            <w:tcBorders>
              <w:top w:val="nil"/>
              <w:left w:val="single" w:sz="8" w:space="0" w:color="000000"/>
              <w:bottom w:val="single" w:sz="8" w:space="0" w:color="000000"/>
              <w:right w:val="single" w:sz="8" w:space="0" w:color="000000"/>
            </w:tcBorders>
            <w:vAlign w:val="center"/>
            <w:hideMark/>
          </w:tcPr>
          <w:p w14:paraId="6FFF7B0D" w14:textId="77777777" w:rsidR="00AF44E8" w:rsidRPr="000A1D51" w:rsidRDefault="00AF44E8" w:rsidP="00AF44E8">
            <w:pPr>
              <w:pStyle w:val="NoSpacing"/>
            </w:pPr>
            <w:r w:rsidRPr="000A1D51">
              <w:t>Monday</w:t>
            </w:r>
          </w:p>
          <w:p w14:paraId="3720A3E0" w14:textId="77777777" w:rsidR="00AF44E8" w:rsidRPr="000A1D51" w:rsidRDefault="00AF44E8" w:rsidP="00AF44E8">
            <w:pPr>
              <w:pStyle w:val="NoSpacing"/>
            </w:pPr>
            <w:r w:rsidRPr="000A1D51">
              <w:t>30 September</w:t>
            </w:r>
          </w:p>
        </w:tc>
        <w:tc>
          <w:tcPr>
            <w:tcW w:w="1410" w:type="dxa"/>
            <w:tcBorders>
              <w:top w:val="nil"/>
              <w:left w:val="nil"/>
              <w:bottom w:val="single" w:sz="8" w:space="0" w:color="000000"/>
              <w:right w:val="single" w:sz="8" w:space="0" w:color="000000"/>
            </w:tcBorders>
            <w:vAlign w:val="center"/>
            <w:hideMark/>
          </w:tcPr>
          <w:p w14:paraId="7A3B8F7B" w14:textId="77777777" w:rsidR="00AF44E8" w:rsidRPr="000A1D51" w:rsidRDefault="00AF44E8" w:rsidP="00AF44E8">
            <w:pPr>
              <w:pStyle w:val="NoSpacing"/>
              <w:ind w:right="126"/>
              <w:jc w:val="right"/>
            </w:pPr>
            <w:r w:rsidRPr="000A1D51">
              <w:t>9.00 -10.00</w:t>
            </w:r>
          </w:p>
        </w:tc>
        <w:tc>
          <w:tcPr>
            <w:tcW w:w="5812" w:type="dxa"/>
            <w:tcBorders>
              <w:top w:val="nil"/>
              <w:left w:val="nil"/>
              <w:bottom w:val="single" w:sz="8" w:space="0" w:color="000000"/>
              <w:right w:val="single" w:sz="8" w:space="0" w:color="000000"/>
            </w:tcBorders>
            <w:vAlign w:val="center"/>
            <w:hideMark/>
          </w:tcPr>
          <w:p w14:paraId="59FC49FC" w14:textId="1A276288" w:rsidR="00AF44E8" w:rsidRPr="000A1D51" w:rsidRDefault="00AF44E8" w:rsidP="00AF44E8">
            <w:pPr>
              <w:pStyle w:val="NoSpacing"/>
              <w:ind w:left="142" w:firstLine="2"/>
            </w:pPr>
            <w:r w:rsidRPr="000A1D51">
              <w:t xml:space="preserve"> HAPUA Secretariat – Indonesia</w:t>
            </w:r>
          </w:p>
          <w:p w14:paraId="3EAF1C64" w14:textId="77777777" w:rsidR="00AF44E8" w:rsidRPr="000A1D51" w:rsidRDefault="00AF44E8" w:rsidP="00AF44E8">
            <w:pPr>
              <w:pStyle w:val="NoSpacing"/>
              <w:ind w:left="142" w:firstLine="2"/>
            </w:pPr>
          </w:p>
        </w:tc>
      </w:tr>
      <w:tr w:rsidR="00AF44E8" w:rsidRPr="000A1D51" w14:paraId="61D0C7B5" w14:textId="77777777" w:rsidTr="00AF44E8">
        <w:trPr>
          <w:trHeight w:val="453"/>
        </w:trPr>
        <w:tc>
          <w:tcPr>
            <w:tcW w:w="0" w:type="auto"/>
            <w:vMerge/>
            <w:tcBorders>
              <w:top w:val="nil"/>
              <w:left w:val="single" w:sz="8" w:space="0" w:color="000000"/>
              <w:bottom w:val="single" w:sz="8" w:space="0" w:color="000000"/>
              <w:right w:val="single" w:sz="8" w:space="0" w:color="000000"/>
            </w:tcBorders>
            <w:vAlign w:val="center"/>
            <w:hideMark/>
          </w:tcPr>
          <w:p w14:paraId="7A958C59"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56362F50" w14:textId="77777777" w:rsidR="00AF44E8" w:rsidRPr="000A1D51" w:rsidRDefault="00AF44E8" w:rsidP="00AF44E8">
            <w:pPr>
              <w:pStyle w:val="NoSpacing"/>
              <w:ind w:right="126"/>
              <w:jc w:val="right"/>
            </w:pPr>
            <w:r w:rsidRPr="000A1D51">
              <w:t>11.15 – 12.00</w:t>
            </w:r>
          </w:p>
        </w:tc>
        <w:tc>
          <w:tcPr>
            <w:tcW w:w="5812" w:type="dxa"/>
            <w:tcBorders>
              <w:top w:val="nil"/>
              <w:left w:val="nil"/>
              <w:bottom w:val="single" w:sz="8" w:space="0" w:color="000000"/>
              <w:right w:val="single" w:sz="8" w:space="0" w:color="000000"/>
            </w:tcBorders>
            <w:vAlign w:val="center"/>
            <w:hideMark/>
          </w:tcPr>
          <w:p w14:paraId="65149624" w14:textId="77777777" w:rsidR="00AF44E8" w:rsidRPr="000A1D51" w:rsidRDefault="00AF44E8" w:rsidP="00AF44E8">
            <w:pPr>
              <w:pStyle w:val="NoSpacing"/>
              <w:ind w:left="142" w:firstLine="2"/>
            </w:pPr>
            <w:r w:rsidRPr="000A1D51">
              <w:t>Services &amp; Investment Division</w:t>
            </w:r>
          </w:p>
        </w:tc>
      </w:tr>
      <w:tr w:rsidR="00AF44E8" w:rsidRPr="000A1D51" w14:paraId="4D1A3CB0" w14:textId="77777777" w:rsidTr="00AF44E8">
        <w:trPr>
          <w:trHeight w:val="586"/>
        </w:trPr>
        <w:tc>
          <w:tcPr>
            <w:tcW w:w="0" w:type="auto"/>
            <w:vMerge/>
            <w:tcBorders>
              <w:top w:val="nil"/>
              <w:left w:val="single" w:sz="8" w:space="0" w:color="000000"/>
              <w:bottom w:val="single" w:sz="8" w:space="0" w:color="000000"/>
              <w:right w:val="single" w:sz="8" w:space="0" w:color="000000"/>
            </w:tcBorders>
            <w:vAlign w:val="center"/>
            <w:hideMark/>
          </w:tcPr>
          <w:p w14:paraId="218A426C"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5022F0A4" w14:textId="77777777" w:rsidR="00AF44E8" w:rsidRPr="000A1D51" w:rsidRDefault="00AF44E8" w:rsidP="00AF44E8">
            <w:pPr>
              <w:pStyle w:val="NoSpacing"/>
              <w:ind w:right="126"/>
              <w:jc w:val="right"/>
            </w:pPr>
            <w:r w:rsidRPr="000A1D51">
              <w:t>13.30 – 14.30</w:t>
            </w:r>
          </w:p>
        </w:tc>
        <w:tc>
          <w:tcPr>
            <w:tcW w:w="5812" w:type="dxa"/>
            <w:tcBorders>
              <w:top w:val="nil"/>
              <w:left w:val="nil"/>
              <w:bottom w:val="single" w:sz="8" w:space="0" w:color="000000"/>
              <w:right w:val="single" w:sz="8" w:space="0" w:color="000000"/>
            </w:tcBorders>
            <w:vAlign w:val="center"/>
            <w:hideMark/>
          </w:tcPr>
          <w:p w14:paraId="6776A163" w14:textId="29258128" w:rsidR="00AF44E8" w:rsidRPr="000A1D51" w:rsidRDefault="00AF44E8" w:rsidP="00AF44E8">
            <w:pPr>
              <w:pStyle w:val="NoSpacing"/>
              <w:ind w:left="142" w:firstLine="2"/>
            </w:pPr>
            <w:r w:rsidRPr="000A1D51">
              <w:t>Food, Agriculture &amp; Forestry Division</w:t>
            </w:r>
          </w:p>
        </w:tc>
      </w:tr>
      <w:tr w:rsidR="00AF44E8" w:rsidRPr="000A1D51" w14:paraId="68AC362E" w14:textId="77777777" w:rsidTr="00AF44E8">
        <w:trPr>
          <w:trHeight w:val="586"/>
        </w:trPr>
        <w:tc>
          <w:tcPr>
            <w:tcW w:w="0" w:type="auto"/>
            <w:vMerge/>
            <w:tcBorders>
              <w:top w:val="nil"/>
              <w:left w:val="single" w:sz="8" w:space="0" w:color="000000"/>
              <w:bottom w:val="single" w:sz="8" w:space="0" w:color="000000"/>
              <w:right w:val="single" w:sz="8" w:space="0" w:color="000000"/>
            </w:tcBorders>
            <w:vAlign w:val="center"/>
            <w:hideMark/>
          </w:tcPr>
          <w:p w14:paraId="02971118"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7877816F" w14:textId="77777777" w:rsidR="00AF44E8" w:rsidRPr="000A1D51" w:rsidRDefault="00AF44E8" w:rsidP="00AF44E8">
            <w:pPr>
              <w:pStyle w:val="NoSpacing"/>
              <w:ind w:right="126"/>
              <w:jc w:val="right"/>
            </w:pPr>
            <w:r w:rsidRPr="000A1D51">
              <w:t>15.00 – 16.00</w:t>
            </w:r>
          </w:p>
        </w:tc>
        <w:tc>
          <w:tcPr>
            <w:tcW w:w="5812" w:type="dxa"/>
            <w:tcBorders>
              <w:top w:val="nil"/>
              <w:left w:val="nil"/>
              <w:bottom w:val="single" w:sz="8" w:space="0" w:color="000000"/>
              <w:right w:val="single" w:sz="8" w:space="0" w:color="000000"/>
            </w:tcBorders>
            <w:vAlign w:val="center"/>
            <w:hideMark/>
          </w:tcPr>
          <w:p w14:paraId="1BAD769D" w14:textId="04134C44" w:rsidR="00AF44E8" w:rsidRPr="000A1D51" w:rsidRDefault="00AF44E8" w:rsidP="00DE2D1E">
            <w:pPr>
              <w:pStyle w:val="NoSpacing"/>
              <w:ind w:left="142" w:firstLine="2"/>
            </w:pPr>
            <w:r w:rsidRPr="000A1D51">
              <w:t>GIZ ASEAN Agri-Trade and ASEAN SME</w:t>
            </w:r>
          </w:p>
        </w:tc>
      </w:tr>
      <w:tr w:rsidR="00AF44E8" w:rsidRPr="000A1D51" w14:paraId="2D5E2CC6" w14:textId="77777777" w:rsidTr="00AF44E8">
        <w:trPr>
          <w:trHeight w:val="586"/>
        </w:trPr>
        <w:tc>
          <w:tcPr>
            <w:tcW w:w="0" w:type="auto"/>
            <w:vMerge/>
            <w:tcBorders>
              <w:top w:val="nil"/>
              <w:left w:val="single" w:sz="8" w:space="0" w:color="000000"/>
              <w:bottom w:val="single" w:sz="8" w:space="0" w:color="000000"/>
              <w:right w:val="single" w:sz="8" w:space="0" w:color="000000"/>
            </w:tcBorders>
            <w:vAlign w:val="center"/>
            <w:hideMark/>
          </w:tcPr>
          <w:p w14:paraId="31A7780D"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00B54F70" w14:textId="77777777" w:rsidR="00AF44E8" w:rsidRPr="000A1D51" w:rsidRDefault="00AF44E8" w:rsidP="00AF44E8">
            <w:pPr>
              <w:pStyle w:val="NoSpacing"/>
              <w:ind w:right="126"/>
              <w:jc w:val="right"/>
            </w:pPr>
            <w:r w:rsidRPr="000A1D51">
              <w:t>16.00 – 17.00</w:t>
            </w:r>
          </w:p>
        </w:tc>
        <w:tc>
          <w:tcPr>
            <w:tcW w:w="5812" w:type="dxa"/>
            <w:tcBorders>
              <w:top w:val="nil"/>
              <w:left w:val="nil"/>
              <w:bottom w:val="single" w:sz="8" w:space="0" w:color="000000"/>
              <w:right w:val="single" w:sz="8" w:space="0" w:color="000000"/>
            </w:tcBorders>
            <w:vAlign w:val="center"/>
            <w:hideMark/>
          </w:tcPr>
          <w:p w14:paraId="46B51E74" w14:textId="4CE2B017" w:rsidR="00AF44E8" w:rsidRPr="000A1D51" w:rsidRDefault="00AF44E8" w:rsidP="00AF44E8">
            <w:pPr>
              <w:pStyle w:val="NoSpacing"/>
              <w:ind w:left="142" w:firstLine="2"/>
            </w:pPr>
            <w:r w:rsidRPr="000A1D51">
              <w:t>Japan-ASEAN Integration Fund Management Team (JMT)}.</w:t>
            </w:r>
          </w:p>
        </w:tc>
      </w:tr>
      <w:tr w:rsidR="00AF44E8" w:rsidRPr="000A1D51" w14:paraId="01B6185D" w14:textId="77777777" w:rsidTr="00AF44E8">
        <w:trPr>
          <w:trHeight w:val="586"/>
        </w:trPr>
        <w:tc>
          <w:tcPr>
            <w:tcW w:w="169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E864B3" w14:textId="77777777" w:rsidR="00AF44E8" w:rsidRPr="000A1D51" w:rsidRDefault="00AF44E8" w:rsidP="00AF44E8">
            <w:pPr>
              <w:pStyle w:val="NoSpacing"/>
            </w:pPr>
            <w:r w:rsidRPr="000A1D51">
              <w:t>Tuesday</w:t>
            </w:r>
          </w:p>
          <w:p w14:paraId="3E6BE66B" w14:textId="77777777" w:rsidR="00AF44E8" w:rsidRPr="000A1D51" w:rsidRDefault="00AF44E8" w:rsidP="00AF44E8">
            <w:pPr>
              <w:pStyle w:val="NoSpacing"/>
            </w:pPr>
            <w:r w:rsidRPr="000A1D51">
              <w:t>1 October </w:t>
            </w:r>
          </w:p>
        </w:tc>
        <w:tc>
          <w:tcPr>
            <w:tcW w:w="1410" w:type="dxa"/>
            <w:tcBorders>
              <w:top w:val="nil"/>
              <w:left w:val="nil"/>
              <w:bottom w:val="single" w:sz="8" w:space="0" w:color="000000"/>
              <w:right w:val="single" w:sz="8" w:space="0" w:color="000000"/>
            </w:tcBorders>
            <w:vAlign w:val="center"/>
            <w:hideMark/>
          </w:tcPr>
          <w:p w14:paraId="4C7363F9" w14:textId="77777777" w:rsidR="00AF44E8" w:rsidRPr="000A1D51" w:rsidRDefault="00AF44E8" w:rsidP="00AF44E8">
            <w:pPr>
              <w:pStyle w:val="NoSpacing"/>
              <w:ind w:right="126"/>
              <w:jc w:val="right"/>
            </w:pPr>
            <w:r w:rsidRPr="000A1D51">
              <w:t>09.00 -10.00</w:t>
            </w:r>
          </w:p>
        </w:tc>
        <w:tc>
          <w:tcPr>
            <w:tcW w:w="5812" w:type="dxa"/>
            <w:tcBorders>
              <w:top w:val="nil"/>
              <w:left w:val="nil"/>
              <w:bottom w:val="single" w:sz="8" w:space="0" w:color="000000"/>
              <w:right w:val="single" w:sz="8" w:space="0" w:color="000000"/>
            </w:tcBorders>
            <w:vAlign w:val="center"/>
            <w:hideMark/>
          </w:tcPr>
          <w:p w14:paraId="01CF1DC7" w14:textId="2153FC37" w:rsidR="00AF44E8" w:rsidRPr="000A1D51" w:rsidRDefault="00AF44E8" w:rsidP="00AF44E8">
            <w:pPr>
              <w:pStyle w:val="NoSpacing"/>
              <w:ind w:left="142" w:firstLine="2"/>
            </w:pPr>
            <w:r w:rsidRPr="000A1D51">
              <w:t xml:space="preserve">Energy &amp; Minerals Division. </w:t>
            </w:r>
          </w:p>
        </w:tc>
      </w:tr>
      <w:tr w:rsidR="00AF44E8" w:rsidRPr="000A1D51" w14:paraId="5F69F6CA" w14:textId="77777777" w:rsidTr="00AF44E8">
        <w:trPr>
          <w:trHeight w:val="586"/>
        </w:trPr>
        <w:tc>
          <w:tcPr>
            <w:tcW w:w="0" w:type="auto"/>
            <w:vMerge/>
            <w:tcBorders>
              <w:top w:val="nil"/>
              <w:left w:val="single" w:sz="8" w:space="0" w:color="000000"/>
              <w:bottom w:val="single" w:sz="8" w:space="0" w:color="000000"/>
              <w:right w:val="single" w:sz="8" w:space="0" w:color="000000"/>
            </w:tcBorders>
            <w:vAlign w:val="center"/>
            <w:hideMark/>
          </w:tcPr>
          <w:p w14:paraId="41D15CB0"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17DD9F8E" w14:textId="77777777" w:rsidR="00AF44E8" w:rsidRPr="000A1D51" w:rsidRDefault="00AF44E8" w:rsidP="00AF44E8">
            <w:pPr>
              <w:pStyle w:val="NoSpacing"/>
              <w:ind w:right="126"/>
              <w:jc w:val="right"/>
            </w:pPr>
            <w:r w:rsidRPr="000A1D51">
              <w:t>14.00 – 15.00</w:t>
            </w:r>
          </w:p>
        </w:tc>
        <w:tc>
          <w:tcPr>
            <w:tcW w:w="5812" w:type="dxa"/>
            <w:tcBorders>
              <w:top w:val="nil"/>
              <w:left w:val="nil"/>
              <w:bottom w:val="single" w:sz="8" w:space="0" w:color="000000"/>
              <w:right w:val="single" w:sz="8" w:space="0" w:color="000000"/>
            </w:tcBorders>
            <w:vAlign w:val="center"/>
            <w:hideMark/>
          </w:tcPr>
          <w:p w14:paraId="00FF5B9B" w14:textId="77777777" w:rsidR="00AF44E8" w:rsidRPr="000A1D51" w:rsidRDefault="00AF44E8" w:rsidP="00AF44E8">
            <w:pPr>
              <w:pStyle w:val="NoSpacing"/>
              <w:ind w:left="142" w:firstLine="2"/>
            </w:pPr>
            <w:r w:rsidRPr="000A1D51">
              <w:t xml:space="preserve">Competition, Consumer Protection &amp; IPR Division. </w:t>
            </w:r>
          </w:p>
        </w:tc>
      </w:tr>
      <w:tr w:rsidR="00AF44E8" w:rsidRPr="000A1D51" w14:paraId="5608494A" w14:textId="77777777" w:rsidTr="00AF44E8">
        <w:trPr>
          <w:trHeight w:val="783"/>
        </w:trPr>
        <w:tc>
          <w:tcPr>
            <w:tcW w:w="0" w:type="auto"/>
            <w:vMerge/>
            <w:tcBorders>
              <w:top w:val="nil"/>
              <w:left w:val="single" w:sz="8" w:space="0" w:color="000000"/>
              <w:bottom w:val="single" w:sz="8" w:space="0" w:color="000000"/>
              <w:right w:val="single" w:sz="8" w:space="0" w:color="000000"/>
            </w:tcBorders>
            <w:vAlign w:val="center"/>
            <w:hideMark/>
          </w:tcPr>
          <w:p w14:paraId="7F2D8709"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10A25FE8" w14:textId="77777777" w:rsidR="00AF44E8" w:rsidRPr="000A1D51" w:rsidRDefault="00AF44E8" w:rsidP="00AF44E8">
            <w:pPr>
              <w:pStyle w:val="NoSpacing"/>
              <w:ind w:right="126"/>
              <w:jc w:val="right"/>
            </w:pPr>
            <w:r w:rsidRPr="000A1D51">
              <w:t>14.00 – 15.00- cancelled</w:t>
            </w:r>
          </w:p>
        </w:tc>
        <w:tc>
          <w:tcPr>
            <w:tcW w:w="5812" w:type="dxa"/>
            <w:tcBorders>
              <w:top w:val="nil"/>
              <w:left w:val="nil"/>
              <w:bottom w:val="single" w:sz="8" w:space="0" w:color="000000"/>
              <w:right w:val="single" w:sz="8" w:space="0" w:color="000000"/>
            </w:tcBorders>
            <w:vAlign w:val="center"/>
            <w:hideMark/>
          </w:tcPr>
          <w:p w14:paraId="4045EFAB" w14:textId="5D860902" w:rsidR="00AF44E8" w:rsidRPr="000A1D51" w:rsidRDefault="00AF44E8" w:rsidP="00AF44E8">
            <w:pPr>
              <w:pStyle w:val="NoSpacing"/>
              <w:ind w:left="142" w:firstLine="2"/>
            </w:pPr>
            <w:r w:rsidRPr="000A1D51">
              <w:t>ASEAN-USAID Inclusive Growth in ASEAN through Innovation, Trade, and E-Commerce (ASEAN-USAID IGNITE)</w:t>
            </w:r>
          </w:p>
        </w:tc>
      </w:tr>
      <w:tr w:rsidR="00AF44E8" w:rsidRPr="000A1D51" w14:paraId="05310E56" w14:textId="77777777" w:rsidTr="00AF44E8">
        <w:trPr>
          <w:trHeight w:val="586"/>
        </w:trPr>
        <w:tc>
          <w:tcPr>
            <w:tcW w:w="0" w:type="auto"/>
            <w:vMerge/>
            <w:tcBorders>
              <w:top w:val="nil"/>
              <w:left w:val="single" w:sz="8" w:space="0" w:color="000000"/>
              <w:bottom w:val="single" w:sz="8" w:space="0" w:color="000000"/>
              <w:right w:val="single" w:sz="8" w:space="0" w:color="000000"/>
            </w:tcBorders>
            <w:vAlign w:val="center"/>
            <w:hideMark/>
          </w:tcPr>
          <w:p w14:paraId="16F07161"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hideMark/>
          </w:tcPr>
          <w:p w14:paraId="213A5362" w14:textId="77777777" w:rsidR="00AF44E8" w:rsidRPr="000A1D51" w:rsidRDefault="00AF44E8" w:rsidP="00AF44E8">
            <w:pPr>
              <w:pStyle w:val="NoSpacing"/>
              <w:ind w:right="126"/>
              <w:jc w:val="right"/>
            </w:pPr>
            <w:r w:rsidRPr="000A1D51">
              <w:t>15.30 – 16.30</w:t>
            </w:r>
          </w:p>
        </w:tc>
        <w:tc>
          <w:tcPr>
            <w:tcW w:w="5812" w:type="dxa"/>
            <w:tcBorders>
              <w:top w:val="nil"/>
              <w:left w:val="nil"/>
              <w:bottom w:val="single" w:sz="8" w:space="0" w:color="000000"/>
              <w:right w:val="single" w:sz="8" w:space="0" w:color="000000"/>
            </w:tcBorders>
            <w:vAlign w:val="center"/>
            <w:hideMark/>
          </w:tcPr>
          <w:p w14:paraId="559D9278" w14:textId="65D6BBD9" w:rsidR="00AF44E8" w:rsidRPr="000A1D51" w:rsidRDefault="00AF44E8" w:rsidP="00AF44E8">
            <w:pPr>
              <w:pStyle w:val="NoSpacing"/>
              <w:ind w:left="142" w:firstLine="2"/>
            </w:pPr>
            <w:r w:rsidRPr="000A1D51">
              <w:t>EU-ARISE PLUS</w:t>
            </w:r>
          </w:p>
          <w:p w14:paraId="1908E475" w14:textId="77777777" w:rsidR="00AF44E8" w:rsidRPr="000A1D51" w:rsidRDefault="00AF44E8" w:rsidP="00AF44E8">
            <w:pPr>
              <w:pStyle w:val="NoSpacing"/>
              <w:ind w:left="142" w:firstLine="2"/>
            </w:pPr>
          </w:p>
        </w:tc>
      </w:tr>
      <w:tr w:rsidR="00AF44E8" w:rsidRPr="000A1D51" w14:paraId="125A1441" w14:textId="77777777" w:rsidTr="00AF44E8">
        <w:trPr>
          <w:trHeight w:val="586"/>
        </w:trPr>
        <w:tc>
          <w:tcPr>
            <w:tcW w:w="1699" w:type="dxa"/>
            <w:vMerge w:val="restart"/>
            <w:tcBorders>
              <w:top w:val="nil"/>
              <w:left w:val="single" w:sz="8" w:space="0" w:color="000000"/>
              <w:right w:val="single" w:sz="8" w:space="0" w:color="000000"/>
            </w:tcBorders>
            <w:tcMar>
              <w:top w:w="0" w:type="dxa"/>
              <w:left w:w="108" w:type="dxa"/>
              <w:bottom w:w="0" w:type="dxa"/>
              <w:right w:w="108" w:type="dxa"/>
            </w:tcMar>
            <w:vAlign w:val="center"/>
            <w:hideMark/>
          </w:tcPr>
          <w:p w14:paraId="45FFA4B3" w14:textId="77777777" w:rsidR="00AF44E8" w:rsidRPr="000A1D51" w:rsidRDefault="00AF44E8" w:rsidP="00AF44E8">
            <w:pPr>
              <w:pStyle w:val="NoSpacing"/>
            </w:pPr>
            <w:r w:rsidRPr="000A1D51">
              <w:t>Wednesday</w:t>
            </w:r>
          </w:p>
          <w:p w14:paraId="7B5E4E5A" w14:textId="77777777" w:rsidR="00AF44E8" w:rsidRPr="000A1D51" w:rsidRDefault="00AF44E8" w:rsidP="00AF44E8">
            <w:pPr>
              <w:pStyle w:val="NoSpacing"/>
            </w:pPr>
            <w:r w:rsidRPr="000A1D51">
              <w:t>2 October</w:t>
            </w:r>
          </w:p>
        </w:tc>
        <w:tc>
          <w:tcPr>
            <w:tcW w:w="1410" w:type="dxa"/>
            <w:tcBorders>
              <w:top w:val="nil"/>
              <w:left w:val="nil"/>
              <w:bottom w:val="single" w:sz="8" w:space="0" w:color="000000"/>
              <w:right w:val="single" w:sz="8" w:space="0" w:color="000000"/>
            </w:tcBorders>
            <w:vAlign w:val="center"/>
            <w:hideMark/>
          </w:tcPr>
          <w:p w14:paraId="6BF0BF0A" w14:textId="77777777" w:rsidR="00AF44E8" w:rsidRPr="000A1D51" w:rsidRDefault="00AF44E8" w:rsidP="00AF44E8">
            <w:pPr>
              <w:pStyle w:val="NoSpacing"/>
              <w:ind w:right="126"/>
              <w:jc w:val="right"/>
            </w:pPr>
            <w:r w:rsidRPr="000A1D51">
              <w:t>09.30-10.30</w:t>
            </w:r>
          </w:p>
        </w:tc>
        <w:tc>
          <w:tcPr>
            <w:tcW w:w="5812" w:type="dxa"/>
            <w:tcBorders>
              <w:top w:val="nil"/>
              <w:left w:val="nil"/>
              <w:bottom w:val="single" w:sz="8" w:space="0" w:color="000000"/>
              <w:right w:val="single" w:sz="8" w:space="0" w:color="000000"/>
            </w:tcBorders>
            <w:vAlign w:val="center"/>
            <w:hideMark/>
          </w:tcPr>
          <w:p w14:paraId="0DDDD5A7" w14:textId="4EB02699" w:rsidR="00AF44E8" w:rsidRPr="000A1D51" w:rsidRDefault="00AF44E8" w:rsidP="00DE2D1E">
            <w:pPr>
              <w:pStyle w:val="NoSpacing"/>
              <w:ind w:left="142" w:firstLine="2"/>
            </w:pPr>
            <w:r w:rsidRPr="000A1D51">
              <w:t xml:space="preserve">Indonesia rep for LIB-SI </w:t>
            </w:r>
          </w:p>
        </w:tc>
      </w:tr>
      <w:tr w:rsidR="00AF44E8" w:rsidRPr="000A1D51" w14:paraId="6A22F4F4" w14:textId="77777777" w:rsidTr="00AF44E8">
        <w:trPr>
          <w:trHeight w:val="586"/>
        </w:trPr>
        <w:tc>
          <w:tcPr>
            <w:tcW w:w="1699"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14:paraId="24C7B803" w14:textId="77777777" w:rsidR="00AF44E8" w:rsidRPr="000A1D51" w:rsidRDefault="00AF44E8" w:rsidP="00AF44E8">
            <w:pPr>
              <w:pStyle w:val="NoSpacing"/>
            </w:pPr>
          </w:p>
        </w:tc>
        <w:tc>
          <w:tcPr>
            <w:tcW w:w="1410" w:type="dxa"/>
            <w:tcBorders>
              <w:top w:val="nil"/>
              <w:left w:val="nil"/>
              <w:bottom w:val="single" w:sz="8" w:space="0" w:color="000000"/>
              <w:right w:val="single" w:sz="8" w:space="0" w:color="000000"/>
            </w:tcBorders>
            <w:vAlign w:val="center"/>
          </w:tcPr>
          <w:p w14:paraId="1CEB1FFC" w14:textId="77777777" w:rsidR="00AF44E8" w:rsidRPr="000A1D51" w:rsidRDefault="00AF44E8" w:rsidP="00AF44E8">
            <w:pPr>
              <w:pStyle w:val="NoSpacing"/>
              <w:ind w:right="126"/>
              <w:jc w:val="right"/>
            </w:pPr>
            <w:r w:rsidRPr="000A1D51">
              <w:t>11.00-16.00</w:t>
            </w:r>
          </w:p>
        </w:tc>
        <w:tc>
          <w:tcPr>
            <w:tcW w:w="5812" w:type="dxa"/>
            <w:tcBorders>
              <w:top w:val="nil"/>
              <w:left w:val="nil"/>
              <w:bottom w:val="single" w:sz="8" w:space="0" w:color="000000"/>
              <w:right w:val="single" w:sz="8" w:space="0" w:color="000000"/>
            </w:tcBorders>
            <w:vAlign w:val="center"/>
          </w:tcPr>
          <w:p w14:paraId="0336D8AC" w14:textId="77777777" w:rsidR="00AF44E8" w:rsidRPr="000A1D51" w:rsidRDefault="00AF44E8" w:rsidP="00AF44E8">
            <w:pPr>
              <w:pStyle w:val="NoSpacing"/>
              <w:ind w:left="142" w:firstLine="2"/>
            </w:pPr>
            <w:r w:rsidRPr="000A1D51">
              <w:t xml:space="preserve">Attending the IAI Workshop as an observer </w:t>
            </w:r>
          </w:p>
        </w:tc>
      </w:tr>
      <w:tr w:rsidR="00AF44E8" w:rsidRPr="000A1D51" w14:paraId="678875BA" w14:textId="77777777" w:rsidTr="00AF44E8">
        <w:trPr>
          <w:trHeight w:val="586"/>
        </w:trPr>
        <w:tc>
          <w:tcPr>
            <w:tcW w:w="1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1C36DE" w14:textId="77777777" w:rsidR="00AF44E8" w:rsidRPr="000A1D51" w:rsidRDefault="00AF44E8" w:rsidP="00AF44E8">
            <w:pPr>
              <w:pStyle w:val="NoSpacing"/>
            </w:pPr>
            <w:r w:rsidRPr="000A1D51">
              <w:t>Thursday 3 October</w:t>
            </w:r>
          </w:p>
        </w:tc>
        <w:tc>
          <w:tcPr>
            <w:tcW w:w="1410" w:type="dxa"/>
            <w:tcBorders>
              <w:top w:val="nil"/>
              <w:left w:val="nil"/>
              <w:bottom w:val="single" w:sz="8" w:space="0" w:color="000000"/>
              <w:right w:val="single" w:sz="8" w:space="0" w:color="000000"/>
            </w:tcBorders>
            <w:vAlign w:val="center"/>
            <w:hideMark/>
          </w:tcPr>
          <w:p w14:paraId="0771C7A8" w14:textId="77777777" w:rsidR="00AF44E8" w:rsidRPr="000A1D51" w:rsidRDefault="00AF44E8" w:rsidP="00AF44E8">
            <w:pPr>
              <w:pStyle w:val="NoSpacing"/>
              <w:ind w:right="126"/>
              <w:jc w:val="right"/>
            </w:pPr>
            <w:r w:rsidRPr="000A1D51">
              <w:t>07.30-08.30</w:t>
            </w:r>
          </w:p>
        </w:tc>
        <w:tc>
          <w:tcPr>
            <w:tcW w:w="5812" w:type="dxa"/>
            <w:tcBorders>
              <w:top w:val="nil"/>
              <w:left w:val="nil"/>
              <w:bottom w:val="single" w:sz="8" w:space="0" w:color="000000"/>
              <w:right w:val="single" w:sz="8" w:space="0" w:color="000000"/>
            </w:tcBorders>
            <w:vAlign w:val="center"/>
            <w:hideMark/>
          </w:tcPr>
          <w:p w14:paraId="330525D0" w14:textId="5A0A67DE" w:rsidR="00AF44E8" w:rsidRPr="000A1D51" w:rsidRDefault="00AF44E8" w:rsidP="00DE2D1E">
            <w:pPr>
              <w:pStyle w:val="NoSpacing"/>
              <w:ind w:left="142" w:firstLine="2"/>
            </w:pPr>
            <w:r w:rsidRPr="000A1D51">
              <w:t xml:space="preserve">Debrief with </w:t>
            </w:r>
            <w:r w:rsidR="00DE2D1E">
              <w:t>Australian Mission to ASEAN</w:t>
            </w:r>
            <w:r w:rsidRPr="000A1D51">
              <w:t xml:space="preserve"> </w:t>
            </w:r>
          </w:p>
        </w:tc>
      </w:tr>
    </w:tbl>
    <w:p w14:paraId="79194040" w14:textId="77777777" w:rsidR="00AF44E8" w:rsidRPr="000A1D51" w:rsidRDefault="00AF44E8" w:rsidP="00AF44E8">
      <w:pPr>
        <w:pStyle w:val="BodyText"/>
        <w:rPr>
          <w:lang w:val="en-AU"/>
        </w:rPr>
        <w:sectPr w:rsidR="00AF44E8" w:rsidRPr="000A1D51" w:rsidSect="00AF6403">
          <w:headerReference w:type="default" r:id="rId25"/>
          <w:footerReference w:type="default" r:id="rId26"/>
          <w:headerReference w:type="first" r:id="rId27"/>
          <w:footerReference w:type="first" r:id="rId28"/>
          <w:pgSz w:w="11907" w:h="16840" w:code="9"/>
          <w:pgMar w:top="2268" w:right="1871" w:bottom="907" w:left="1871" w:header="851" w:footer="454" w:gutter="0"/>
          <w:cols w:space="720"/>
          <w:docGrid w:linePitch="272"/>
        </w:sectPr>
      </w:pPr>
    </w:p>
    <w:p w14:paraId="58C2D5BA" w14:textId="77777777" w:rsidR="00D07892" w:rsidRPr="000A1D51" w:rsidRDefault="00AF44E8" w:rsidP="00D07892">
      <w:pPr>
        <w:pStyle w:val="Heading1"/>
        <w:rPr>
          <w:lang w:val="en-AU"/>
        </w:rPr>
      </w:pPr>
      <w:bookmarkStart w:id="82" w:name="_Toc24884127"/>
      <w:bookmarkStart w:id="83" w:name="_Toc31820129"/>
      <w:r w:rsidRPr="000A1D51">
        <w:rPr>
          <w:lang w:val="en-AU"/>
        </w:rPr>
        <w:lastRenderedPageBreak/>
        <w:t xml:space="preserve">Appendix 3: </w:t>
      </w:r>
      <w:r w:rsidR="00D07892" w:rsidRPr="000A1D51">
        <w:rPr>
          <w:lang w:val="en-AU"/>
        </w:rPr>
        <w:t>Review Timeline</w:t>
      </w:r>
      <w:bookmarkEnd w:id="82"/>
      <w:bookmarkEnd w:id="83"/>
    </w:p>
    <w:p w14:paraId="458E31C9" w14:textId="77777777" w:rsidR="00212D4B" w:rsidRPr="000A1D51" w:rsidRDefault="00212D4B" w:rsidP="00432193">
      <w:pPr>
        <w:rPr>
          <w:rFonts w:asciiTheme="minorHAnsi" w:hAnsiTheme="minorHAnsi" w:cstheme="minorHAnsi"/>
          <w:b/>
          <w:bCs/>
        </w:rPr>
      </w:pPr>
      <w:bookmarkStart w:id="84" w:name="_Toc19020166"/>
      <w:r w:rsidRPr="000A1D51">
        <w:rPr>
          <w:rFonts w:asciiTheme="minorHAnsi" w:hAnsiTheme="minorHAnsi" w:cstheme="minorHAnsi"/>
          <w:b/>
          <w:bCs/>
        </w:rPr>
        <w:t>Review Timeframes and Milestones</w:t>
      </w:r>
      <w:bookmarkEnd w:id="84"/>
    </w:p>
    <w:tbl>
      <w:tblPr>
        <w:tblStyle w:val="LightShading-Accent1"/>
        <w:tblW w:w="8398" w:type="dxa"/>
        <w:tblInd w:w="-34" w:type="dxa"/>
        <w:tblLook w:val="04A0" w:firstRow="1" w:lastRow="0" w:firstColumn="1" w:lastColumn="0" w:noHBand="0" w:noVBand="1"/>
      </w:tblPr>
      <w:tblGrid>
        <w:gridCol w:w="5421"/>
        <w:gridCol w:w="1417"/>
        <w:gridCol w:w="1560"/>
      </w:tblGrid>
      <w:tr w:rsidR="00212D4B" w:rsidRPr="000A1D51" w14:paraId="03A1786D" w14:textId="77777777" w:rsidTr="00632A57">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000" w:firstRow="0" w:lastRow="0" w:firstColumn="1" w:lastColumn="0" w:oddVBand="0" w:evenVBand="0" w:oddHBand="0" w:evenHBand="0" w:firstRowFirstColumn="0" w:firstRowLastColumn="0" w:lastRowFirstColumn="0" w:lastRowLastColumn="0"/>
            <w:tcW w:w="5421" w:type="dxa"/>
            <w:shd w:val="clear" w:color="auto" w:fill="B6DDE8" w:themeFill="accent5" w:themeFillTint="66"/>
            <w:hideMark/>
          </w:tcPr>
          <w:p w14:paraId="7B18D777" w14:textId="77777777" w:rsidR="00212D4B" w:rsidRPr="000A1D51" w:rsidRDefault="00212D4B" w:rsidP="00430CC6">
            <w:pPr>
              <w:spacing w:before="120" w:after="120" w:line="276" w:lineRule="auto"/>
              <w:rPr>
                <w:rFonts w:asciiTheme="minorHAnsi" w:hAnsiTheme="minorHAnsi" w:cstheme="minorHAnsi"/>
                <w:b w:val="0"/>
                <w:color w:val="000000" w:themeColor="text1"/>
                <w:sz w:val="21"/>
                <w:szCs w:val="21"/>
              </w:rPr>
            </w:pPr>
            <w:r w:rsidRPr="000A1D51">
              <w:rPr>
                <w:rFonts w:asciiTheme="minorHAnsi" w:hAnsiTheme="minorHAnsi" w:cstheme="minorHAnsi"/>
                <w:b w:val="0"/>
                <w:color w:val="000000" w:themeColor="text1"/>
                <w:sz w:val="21"/>
                <w:szCs w:val="21"/>
              </w:rPr>
              <w:t>Task</w:t>
            </w:r>
          </w:p>
        </w:tc>
        <w:tc>
          <w:tcPr>
            <w:tcW w:w="1417" w:type="dxa"/>
            <w:shd w:val="clear" w:color="auto" w:fill="B6DDE8" w:themeFill="accent5" w:themeFillTint="66"/>
            <w:hideMark/>
          </w:tcPr>
          <w:p w14:paraId="030EDC35" w14:textId="77777777" w:rsidR="00212D4B" w:rsidRPr="000A1D51" w:rsidRDefault="00212D4B" w:rsidP="00430CC6">
            <w:pPr>
              <w:spacing w:before="120" w:after="120" w:line="276"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1"/>
                <w:szCs w:val="21"/>
              </w:rPr>
            </w:pPr>
            <w:r w:rsidRPr="000A1D51">
              <w:rPr>
                <w:rFonts w:asciiTheme="minorHAnsi" w:hAnsiTheme="minorHAnsi" w:cstheme="minorHAnsi"/>
                <w:b w:val="0"/>
                <w:color w:val="000000" w:themeColor="text1"/>
                <w:sz w:val="21"/>
                <w:szCs w:val="21"/>
              </w:rPr>
              <w:t>Start</w:t>
            </w:r>
          </w:p>
        </w:tc>
        <w:tc>
          <w:tcPr>
            <w:tcW w:w="1560" w:type="dxa"/>
            <w:shd w:val="clear" w:color="auto" w:fill="B6DDE8" w:themeFill="accent5" w:themeFillTint="66"/>
            <w:hideMark/>
          </w:tcPr>
          <w:p w14:paraId="6C2286FD" w14:textId="77777777" w:rsidR="00212D4B" w:rsidRPr="000A1D51" w:rsidRDefault="00212D4B" w:rsidP="00430CC6">
            <w:pPr>
              <w:spacing w:before="120" w:after="120" w:line="276"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21"/>
                <w:szCs w:val="21"/>
              </w:rPr>
            </w:pPr>
            <w:r w:rsidRPr="000A1D51">
              <w:rPr>
                <w:rFonts w:asciiTheme="minorHAnsi" w:hAnsiTheme="minorHAnsi" w:cstheme="minorHAnsi"/>
                <w:b w:val="0"/>
                <w:color w:val="000000" w:themeColor="text1"/>
                <w:sz w:val="21"/>
                <w:szCs w:val="21"/>
              </w:rPr>
              <w:t>Finish</w:t>
            </w:r>
          </w:p>
        </w:tc>
      </w:tr>
      <w:tr w:rsidR="00212D4B" w:rsidRPr="000A1D51" w14:paraId="69A1CABD" w14:textId="77777777" w:rsidTr="00632A57">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5421" w:type="dxa"/>
          </w:tcPr>
          <w:p w14:paraId="64958FFD" w14:textId="77777777" w:rsidR="00212D4B" w:rsidRPr="000A1D51" w:rsidRDefault="00212D4B" w:rsidP="00430CC6">
            <w:pPr>
              <w:spacing w:before="120" w:after="120" w:line="276" w:lineRule="auto"/>
              <w:rPr>
                <w:rFonts w:asciiTheme="minorHAnsi" w:hAnsiTheme="minorHAnsi" w:cstheme="minorHAnsi"/>
                <w:b w:val="0"/>
                <w:color w:val="000000" w:themeColor="text1"/>
                <w:sz w:val="21"/>
                <w:szCs w:val="21"/>
              </w:rPr>
            </w:pPr>
            <w:r w:rsidRPr="000A1D51">
              <w:rPr>
                <w:rFonts w:asciiTheme="minorHAnsi" w:hAnsiTheme="minorHAnsi" w:cstheme="minorHAnsi"/>
                <w:b w:val="0"/>
                <w:color w:val="000000" w:themeColor="text1"/>
                <w:sz w:val="21"/>
                <w:szCs w:val="21"/>
              </w:rPr>
              <w:t>Desk Review &amp; Appraisal and Team Meeting</w:t>
            </w:r>
          </w:p>
        </w:tc>
        <w:tc>
          <w:tcPr>
            <w:tcW w:w="1417" w:type="dxa"/>
          </w:tcPr>
          <w:p w14:paraId="58C1C50F" w14:textId="77777777" w:rsidR="00212D4B" w:rsidRPr="000A1D51" w:rsidRDefault="00212D4B" w:rsidP="00430CC6">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2/9/19</w:t>
            </w:r>
          </w:p>
        </w:tc>
        <w:tc>
          <w:tcPr>
            <w:tcW w:w="1560" w:type="dxa"/>
          </w:tcPr>
          <w:p w14:paraId="1CB1BCB9" w14:textId="77777777" w:rsidR="00212D4B" w:rsidRPr="000A1D51" w:rsidRDefault="00212D4B" w:rsidP="00430CC6">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10/09/19</w:t>
            </w:r>
          </w:p>
        </w:tc>
      </w:tr>
      <w:tr w:rsidR="00212D4B" w:rsidRPr="000A1D51" w14:paraId="017AFE3E" w14:textId="77777777" w:rsidTr="00632A57">
        <w:trPr>
          <w:trHeight w:val="586"/>
        </w:trPr>
        <w:tc>
          <w:tcPr>
            <w:cnfStyle w:val="001000000000" w:firstRow="0" w:lastRow="0" w:firstColumn="1" w:lastColumn="0" w:oddVBand="0" w:evenVBand="0" w:oddHBand="0" w:evenHBand="0" w:firstRowFirstColumn="0" w:firstRowLastColumn="0" w:lastRowFirstColumn="0" w:lastRowLastColumn="0"/>
            <w:tcW w:w="5421" w:type="dxa"/>
            <w:hideMark/>
          </w:tcPr>
          <w:p w14:paraId="7EEBA413" w14:textId="77777777" w:rsidR="00212D4B" w:rsidRPr="000A1D51" w:rsidRDefault="00212D4B" w:rsidP="00430CC6">
            <w:pPr>
              <w:spacing w:before="120" w:after="120" w:line="276" w:lineRule="auto"/>
              <w:rPr>
                <w:rFonts w:asciiTheme="minorHAnsi" w:hAnsiTheme="minorHAnsi" w:cstheme="minorHAnsi"/>
                <w:b w:val="0"/>
                <w:color w:val="000000" w:themeColor="text1"/>
                <w:sz w:val="21"/>
                <w:szCs w:val="21"/>
              </w:rPr>
            </w:pPr>
            <w:r w:rsidRPr="000A1D51">
              <w:rPr>
                <w:rFonts w:asciiTheme="minorHAnsi" w:hAnsiTheme="minorHAnsi" w:cstheme="minorHAnsi"/>
                <w:b w:val="0"/>
                <w:color w:val="000000" w:themeColor="text1"/>
                <w:sz w:val="21"/>
                <w:szCs w:val="21"/>
              </w:rPr>
              <w:t>Draft Review Plan</w:t>
            </w:r>
          </w:p>
        </w:tc>
        <w:tc>
          <w:tcPr>
            <w:tcW w:w="1417" w:type="dxa"/>
            <w:hideMark/>
          </w:tcPr>
          <w:p w14:paraId="310270ED" w14:textId="77777777" w:rsidR="00212D4B" w:rsidRPr="000A1D51" w:rsidRDefault="00212D4B" w:rsidP="00430CC6">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7/</w:t>
            </w:r>
            <w:r w:rsidR="00632A57" w:rsidRPr="000A1D51">
              <w:rPr>
                <w:rFonts w:asciiTheme="minorHAnsi" w:hAnsiTheme="minorHAnsi" w:cstheme="minorHAnsi"/>
                <w:bCs/>
                <w:color w:val="000000" w:themeColor="text1"/>
                <w:sz w:val="21"/>
                <w:szCs w:val="21"/>
              </w:rPr>
              <w:t>9</w:t>
            </w:r>
            <w:r w:rsidRPr="000A1D51">
              <w:rPr>
                <w:rFonts w:asciiTheme="minorHAnsi" w:hAnsiTheme="minorHAnsi" w:cstheme="minorHAnsi"/>
                <w:bCs/>
                <w:color w:val="000000" w:themeColor="text1"/>
                <w:sz w:val="21"/>
                <w:szCs w:val="21"/>
              </w:rPr>
              <w:t>/19</w:t>
            </w:r>
          </w:p>
        </w:tc>
        <w:tc>
          <w:tcPr>
            <w:tcW w:w="1560" w:type="dxa"/>
            <w:hideMark/>
          </w:tcPr>
          <w:p w14:paraId="45B31009" w14:textId="77777777" w:rsidR="00212D4B" w:rsidRPr="000A1D51" w:rsidRDefault="00212D4B" w:rsidP="00430CC6">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10/</w:t>
            </w:r>
            <w:r w:rsidR="00632A57" w:rsidRPr="000A1D51">
              <w:rPr>
                <w:rFonts w:asciiTheme="minorHAnsi" w:hAnsiTheme="minorHAnsi" w:cstheme="minorHAnsi"/>
                <w:bCs/>
                <w:color w:val="000000" w:themeColor="text1"/>
                <w:sz w:val="21"/>
                <w:szCs w:val="21"/>
              </w:rPr>
              <w:t>9</w:t>
            </w:r>
            <w:r w:rsidRPr="000A1D51">
              <w:rPr>
                <w:rFonts w:asciiTheme="minorHAnsi" w:hAnsiTheme="minorHAnsi" w:cstheme="minorHAnsi"/>
                <w:bCs/>
                <w:color w:val="000000" w:themeColor="text1"/>
                <w:sz w:val="21"/>
                <w:szCs w:val="21"/>
              </w:rPr>
              <w:t>/19</w:t>
            </w:r>
          </w:p>
        </w:tc>
      </w:tr>
      <w:tr w:rsidR="00212D4B" w:rsidRPr="000A1D51" w14:paraId="386339C9" w14:textId="77777777" w:rsidTr="00632A57">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421" w:type="dxa"/>
          </w:tcPr>
          <w:p w14:paraId="6678433F" w14:textId="77777777" w:rsidR="00212D4B" w:rsidRPr="000A1D51" w:rsidRDefault="00212D4B" w:rsidP="00430CC6">
            <w:pPr>
              <w:spacing w:before="120" w:after="120" w:line="276" w:lineRule="auto"/>
              <w:rPr>
                <w:rFonts w:asciiTheme="minorHAnsi" w:hAnsiTheme="minorHAnsi" w:cstheme="minorHAnsi"/>
                <w:b w:val="0"/>
                <w:color w:val="000000" w:themeColor="text1"/>
                <w:sz w:val="21"/>
                <w:szCs w:val="21"/>
              </w:rPr>
            </w:pPr>
            <w:r w:rsidRPr="000A1D51">
              <w:rPr>
                <w:rFonts w:asciiTheme="minorHAnsi" w:hAnsiTheme="minorHAnsi" w:cstheme="minorHAnsi"/>
                <w:b w:val="0"/>
                <w:color w:val="000000" w:themeColor="text1"/>
                <w:sz w:val="21"/>
                <w:szCs w:val="21"/>
              </w:rPr>
              <w:t xml:space="preserve">Discuss with DFAT </w:t>
            </w:r>
            <w:r w:rsidR="00632A57" w:rsidRPr="000A1D51">
              <w:rPr>
                <w:rFonts w:asciiTheme="minorHAnsi" w:hAnsiTheme="minorHAnsi" w:cstheme="minorHAnsi"/>
                <w:b w:val="0"/>
                <w:color w:val="000000" w:themeColor="text1"/>
                <w:sz w:val="21"/>
                <w:szCs w:val="21"/>
              </w:rPr>
              <w:t>Bangkok r</w:t>
            </w:r>
            <w:r w:rsidRPr="000A1D51">
              <w:rPr>
                <w:rFonts w:asciiTheme="minorHAnsi" w:hAnsiTheme="minorHAnsi" w:cstheme="minorHAnsi"/>
                <w:b w:val="0"/>
                <w:color w:val="000000" w:themeColor="text1"/>
                <w:sz w:val="21"/>
                <w:szCs w:val="21"/>
              </w:rPr>
              <w:t>egional office</w:t>
            </w:r>
          </w:p>
        </w:tc>
        <w:tc>
          <w:tcPr>
            <w:tcW w:w="1417" w:type="dxa"/>
          </w:tcPr>
          <w:p w14:paraId="2EB8C6F8" w14:textId="77777777" w:rsidR="00212D4B" w:rsidRPr="000A1D51" w:rsidRDefault="00212D4B" w:rsidP="00430CC6">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2</w:t>
            </w:r>
            <w:r w:rsidR="00632A57" w:rsidRPr="000A1D51">
              <w:rPr>
                <w:rFonts w:asciiTheme="minorHAnsi" w:hAnsiTheme="minorHAnsi" w:cstheme="minorHAnsi"/>
                <w:bCs/>
                <w:color w:val="000000" w:themeColor="text1"/>
                <w:sz w:val="21"/>
                <w:szCs w:val="21"/>
              </w:rPr>
              <w:t>2</w:t>
            </w:r>
            <w:r w:rsidRPr="000A1D51">
              <w:rPr>
                <w:rFonts w:asciiTheme="minorHAnsi" w:hAnsiTheme="minorHAnsi" w:cstheme="minorHAnsi"/>
                <w:bCs/>
                <w:color w:val="000000" w:themeColor="text1"/>
                <w:sz w:val="21"/>
                <w:szCs w:val="21"/>
              </w:rPr>
              <w:t>/9/19</w:t>
            </w:r>
          </w:p>
        </w:tc>
        <w:tc>
          <w:tcPr>
            <w:tcW w:w="1560" w:type="dxa"/>
          </w:tcPr>
          <w:p w14:paraId="01B5D96F" w14:textId="77777777" w:rsidR="00212D4B" w:rsidRPr="000A1D51" w:rsidRDefault="00212D4B" w:rsidP="00430CC6">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2</w:t>
            </w:r>
            <w:r w:rsidR="00632A57" w:rsidRPr="000A1D51">
              <w:rPr>
                <w:rFonts w:asciiTheme="minorHAnsi" w:hAnsiTheme="minorHAnsi" w:cstheme="minorHAnsi"/>
                <w:bCs/>
                <w:color w:val="000000" w:themeColor="text1"/>
                <w:sz w:val="21"/>
                <w:szCs w:val="21"/>
              </w:rPr>
              <w:t>2</w:t>
            </w:r>
            <w:r w:rsidRPr="000A1D51">
              <w:rPr>
                <w:rFonts w:asciiTheme="minorHAnsi" w:hAnsiTheme="minorHAnsi" w:cstheme="minorHAnsi"/>
                <w:bCs/>
                <w:color w:val="000000" w:themeColor="text1"/>
                <w:sz w:val="21"/>
                <w:szCs w:val="21"/>
              </w:rPr>
              <w:t>/9/19</w:t>
            </w:r>
          </w:p>
        </w:tc>
      </w:tr>
      <w:tr w:rsidR="00212D4B" w:rsidRPr="000A1D51" w14:paraId="73BBF94A" w14:textId="77777777" w:rsidTr="00632A57">
        <w:trPr>
          <w:trHeight w:val="541"/>
        </w:trPr>
        <w:tc>
          <w:tcPr>
            <w:cnfStyle w:val="001000000000" w:firstRow="0" w:lastRow="0" w:firstColumn="1" w:lastColumn="0" w:oddVBand="0" w:evenVBand="0" w:oddHBand="0" w:evenHBand="0" w:firstRowFirstColumn="0" w:firstRowLastColumn="0" w:lastRowFirstColumn="0" w:lastRowLastColumn="0"/>
            <w:tcW w:w="5421" w:type="dxa"/>
          </w:tcPr>
          <w:p w14:paraId="51ACB248" w14:textId="77777777" w:rsidR="00212D4B" w:rsidRPr="000A1D51" w:rsidRDefault="00212D4B" w:rsidP="00430CC6">
            <w:pPr>
              <w:spacing w:before="120" w:after="120" w:line="276" w:lineRule="auto"/>
              <w:rPr>
                <w:rFonts w:asciiTheme="minorHAnsi" w:hAnsiTheme="minorHAnsi" w:cstheme="minorHAnsi"/>
                <w:b w:val="0"/>
                <w:color w:val="000000" w:themeColor="text1"/>
                <w:sz w:val="21"/>
                <w:szCs w:val="21"/>
              </w:rPr>
            </w:pPr>
            <w:r w:rsidRPr="000A1D51">
              <w:rPr>
                <w:rFonts w:asciiTheme="minorHAnsi" w:hAnsiTheme="minorHAnsi" w:cstheme="minorHAnsi"/>
                <w:b w:val="0"/>
                <w:color w:val="000000" w:themeColor="text1"/>
                <w:sz w:val="21"/>
                <w:szCs w:val="21"/>
              </w:rPr>
              <w:t>Indonesia consultations (including travel)</w:t>
            </w:r>
          </w:p>
        </w:tc>
        <w:tc>
          <w:tcPr>
            <w:tcW w:w="1417" w:type="dxa"/>
          </w:tcPr>
          <w:p w14:paraId="694051F7" w14:textId="77777777" w:rsidR="00212D4B" w:rsidRPr="000A1D51" w:rsidRDefault="00212D4B" w:rsidP="00430CC6">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 xml:space="preserve"> 25/09/19</w:t>
            </w:r>
          </w:p>
        </w:tc>
        <w:tc>
          <w:tcPr>
            <w:tcW w:w="1560" w:type="dxa"/>
          </w:tcPr>
          <w:p w14:paraId="63955A74" w14:textId="77777777" w:rsidR="00212D4B" w:rsidRPr="000A1D51" w:rsidRDefault="00632A57" w:rsidP="00430CC6">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3</w:t>
            </w:r>
            <w:r w:rsidR="00212D4B" w:rsidRPr="000A1D51">
              <w:rPr>
                <w:rFonts w:asciiTheme="minorHAnsi" w:hAnsiTheme="minorHAnsi" w:cstheme="minorHAnsi"/>
                <w:bCs/>
                <w:color w:val="000000" w:themeColor="text1"/>
                <w:sz w:val="21"/>
                <w:szCs w:val="21"/>
              </w:rPr>
              <w:t>/10/19</w:t>
            </w:r>
          </w:p>
        </w:tc>
      </w:tr>
      <w:tr w:rsidR="00212D4B" w:rsidRPr="000A1D51" w14:paraId="55870839" w14:textId="77777777" w:rsidTr="00632A57">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421" w:type="dxa"/>
            <w:hideMark/>
          </w:tcPr>
          <w:p w14:paraId="0D579455" w14:textId="77777777" w:rsidR="00212D4B" w:rsidRPr="000A1D51" w:rsidRDefault="00212D4B" w:rsidP="00430CC6">
            <w:pPr>
              <w:spacing w:before="120" w:after="120" w:line="276" w:lineRule="auto"/>
              <w:rPr>
                <w:rFonts w:asciiTheme="minorHAnsi" w:hAnsiTheme="minorHAnsi" w:cstheme="minorHAnsi"/>
                <w:b w:val="0"/>
                <w:color w:val="000000" w:themeColor="text1"/>
                <w:sz w:val="21"/>
                <w:szCs w:val="21"/>
              </w:rPr>
            </w:pPr>
            <w:r w:rsidRPr="000A1D51">
              <w:rPr>
                <w:rFonts w:asciiTheme="minorHAnsi" w:hAnsiTheme="minorHAnsi" w:cstheme="minorHAnsi"/>
                <w:b w:val="0"/>
                <w:color w:val="000000" w:themeColor="text1"/>
                <w:sz w:val="21"/>
                <w:szCs w:val="21"/>
              </w:rPr>
              <w:t xml:space="preserve">Follow-up phone meetings </w:t>
            </w:r>
          </w:p>
        </w:tc>
        <w:tc>
          <w:tcPr>
            <w:tcW w:w="1417" w:type="dxa"/>
            <w:hideMark/>
          </w:tcPr>
          <w:p w14:paraId="73E22B83" w14:textId="77777777" w:rsidR="00212D4B" w:rsidRPr="000A1D51" w:rsidRDefault="00212D4B" w:rsidP="00430CC6">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3/10/19</w:t>
            </w:r>
          </w:p>
        </w:tc>
        <w:tc>
          <w:tcPr>
            <w:tcW w:w="1560" w:type="dxa"/>
            <w:hideMark/>
          </w:tcPr>
          <w:p w14:paraId="46AC27FE" w14:textId="77777777" w:rsidR="00212D4B" w:rsidRPr="000A1D51" w:rsidRDefault="00212D4B" w:rsidP="00430CC6">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8/10/19</w:t>
            </w:r>
          </w:p>
        </w:tc>
      </w:tr>
      <w:tr w:rsidR="00430CC6" w:rsidRPr="000A1D51" w14:paraId="432A82E8" w14:textId="77777777" w:rsidTr="00632A57">
        <w:trPr>
          <w:trHeight w:val="293"/>
        </w:trPr>
        <w:tc>
          <w:tcPr>
            <w:cnfStyle w:val="001000000000" w:firstRow="0" w:lastRow="0" w:firstColumn="1" w:lastColumn="0" w:oddVBand="0" w:evenVBand="0" w:oddHBand="0" w:evenHBand="0" w:firstRowFirstColumn="0" w:firstRowLastColumn="0" w:lastRowFirstColumn="0" w:lastRowLastColumn="0"/>
            <w:tcW w:w="5421" w:type="dxa"/>
          </w:tcPr>
          <w:p w14:paraId="38536174" w14:textId="77777777" w:rsidR="00430CC6" w:rsidRPr="000A1D51" w:rsidRDefault="00430CC6" w:rsidP="00430CC6">
            <w:pPr>
              <w:spacing w:before="120" w:after="120" w:line="276" w:lineRule="auto"/>
              <w:rPr>
                <w:rFonts w:asciiTheme="minorHAnsi" w:hAnsiTheme="minorHAnsi" w:cstheme="minorHAnsi"/>
                <w:b w:val="0"/>
                <w:color w:val="000000" w:themeColor="text1"/>
                <w:sz w:val="21"/>
                <w:szCs w:val="21"/>
              </w:rPr>
            </w:pPr>
            <w:r w:rsidRPr="000A1D51">
              <w:rPr>
                <w:rFonts w:asciiTheme="minorHAnsi" w:hAnsiTheme="minorHAnsi" w:cstheme="minorHAnsi"/>
                <w:b w:val="0"/>
                <w:color w:val="000000" w:themeColor="text1"/>
                <w:sz w:val="21"/>
                <w:szCs w:val="21"/>
              </w:rPr>
              <w:t xml:space="preserve">Draft and Present Aide Memoire </w:t>
            </w:r>
          </w:p>
        </w:tc>
        <w:tc>
          <w:tcPr>
            <w:tcW w:w="1417" w:type="dxa"/>
          </w:tcPr>
          <w:p w14:paraId="71CE6472" w14:textId="77777777" w:rsidR="00430CC6" w:rsidRPr="000A1D51" w:rsidRDefault="00430CC6" w:rsidP="00430CC6">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Franklin Gothic Book" w:hAnsi="Franklin Gothic Book" w:cstheme="majorHAnsi"/>
                <w:bCs/>
                <w:color w:val="000000" w:themeColor="text1"/>
                <w:sz w:val="21"/>
                <w:szCs w:val="21"/>
              </w:rPr>
              <w:t>3/10/19</w:t>
            </w:r>
          </w:p>
        </w:tc>
        <w:tc>
          <w:tcPr>
            <w:tcW w:w="1560" w:type="dxa"/>
          </w:tcPr>
          <w:p w14:paraId="15F06A4B" w14:textId="77777777" w:rsidR="00430CC6" w:rsidRPr="000A1D51" w:rsidRDefault="00430CC6" w:rsidP="00430CC6">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Franklin Gothic Book" w:hAnsi="Franklin Gothic Book" w:cstheme="majorHAnsi"/>
                <w:bCs/>
                <w:color w:val="000000" w:themeColor="text1"/>
                <w:sz w:val="21"/>
                <w:szCs w:val="21"/>
              </w:rPr>
              <w:t>8/10/19</w:t>
            </w:r>
          </w:p>
        </w:tc>
      </w:tr>
      <w:tr w:rsidR="00430CC6" w:rsidRPr="000A1D51" w14:paraId="2D7A1E70" w14:textId="77777777" w:rsidTr="00632A57">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5421" w:type="dxa"/>
          </w:tcPr>
          <w:p w14:paraId="50ECD8F2" w14:textId="77777777" w:rsidR="00430CC6" w:rsidRPr="000A1D51" w:rsidRDefault="00430CC6" w:rsidP="00430CC6">
            <w:pPr>
              <w:spacing w:before="120" w:after="120" w:line="276" w:lineRule="auto"/>
              <w:rPr>
                <w:rFonts w:asciiTheme="minorHAnsi" w:hAnsiTheme="minorHAnsi" w:cstheme="minorHAnsi"/>
                <w:b w:val="0"/>
                <w:color w:val="000000" w:themeColor="text1"/>
                <w:sz w:val="21"/>
                <w:szCs w:val="21"/>
              </w:rPr>
            </w:pPr>
            <w:r w:rsidRPr="000A1D51">
              <w:rPr>
                <w:rFonts w:asciiTheme="minorHAnsi" w:hAnsiTheme="minorHAnsi" w:cstheme="minorHAnsi"/>
                <w:b w:val="0"/>
                <w:color w:val="000000" w:themeColor="text1"/>
                <w:sz w:val="21"/>
                <w:szCs w:val="21"/>
              </w:rPr>
              <w:t>DFAT Feedback on Aide Memoire</w:t>
            </w:r>
          </w:p>
        </w:tc>
        <w:tc>
          <w:tcPr>
            <w:tcW w:w="1417" w:type="dxa"/>
          </w:tcPr>
          <w:p w14:paraId="294B8D83" w14:textId="77777777" w:rsidR="00430CC6" w:rsidRPr="000A1D51" w:rsidRDefault="00430CC6" w:rsidP="00430CC6">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Franklin Gothic Book" w:hAnsi="Franklin Gothic Book" w:cstheme="majorHAnsi"/>
                <w:bCs/>
                <w:color w:val="000000" w:themeColor="text1"/>
                <w:sz w:val="21"/>
                <w:szCs w:val="21"/>
              </w:rPr>
              <w:t xml:space="preserve"> 8/10/19</w:t>
            </w:r>
          </w:p>
        </w:tc>
        <w:tc>
          <w:tcPr>
            <w:tcW w:w="1560" w:type="dxa"/>
          </w:tcPr>
          <w:p w14:paraId="5280AD03" w14:textId="77777777" w:rsidR="00430CC6" w:rsidRPr="000A1D51" w:rsidRDefault="00430CC6" w:rsidP="00430CC6">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Franklin Gothic Book" w:hAnsi="Franklin Gothic Book" w:cstheme="majorHAnsi"/>
                <w:bCs/>
                <w:color w:val="000000" w:themeColor="text1"/>
                <w:sz w:val="21"/>
                <w:szCs w:val="21"/>
              </w:rPr>
              <w:t xml:space="preserve"> 22/10/19</w:t>
            </w:r>
          </w:p>
        </w:tc>
      </w:tr>
      <w:tr w:rsidR="00212D4B" w:rsidRPr="000A1D51" w14:paraId="543BE71A" w14:textId="77777777" w:rsidTr="00632A57">
        <w:trPr>
          <w:trHeight w:val="237"/>
        </w:trPr>
        <w:tc>
          <w:tcPr>
            <w:cnfStyle w:val="001000000000" w:firstRow="0" w:lastRow="0" w:firstColumn="1" w:lastColumn="0" w:oddVBand="0" w:evenVBand="0" w:oddHBand="0" w:evenHBand="0" w:firstRowFirstColumn="0" w:firstRowLastColumn="0" w:lastRowFirstColumn="0" w:lastRowLastColumn="0"/>
            <w:tcW w:w="5421" w:type="dxa"/>
          </w:tcPr>
          <w:p w14:paraId="40EE7A11" w14:textId="77777777" w:rsidR="00212D4B" w:rsidRPr="000A1D51" w:rsidRDefault="00212D4B" w:rsidP="00430CC6">
            <w:pPr>
              <w:spacing w:before="120" w:after="120" w:line="276" w:lineRule="auto"/>
              <w:rPr>
                <w:rFonts w:asciiTheme="minorHAnsi" w:hAnsiTheme="minorHAnsi" w:cstheme="minorHAnsi"/>
                <w:b w:val="0"/>
                <w:color w:val="000000" w:themeColor="text1"/>
                <w:sz w:val="21"/>
                <w:szCs w:val="21"/>
              </w:rPr>
            </w:pPr>
            <w:r w:rsidRPr="000A1D51">
              <w:rPr>
                <w:rFonts w:asciiTheme="minorHAnsi" w:hAnsiTheme="minorHAnsi" w:cstheme="minorHAnsi"/>
                <w:b w:val="0"/>
                <w:color w:val="000000" w:themeColor="text1"/>
                <w:sz w:val="21"/>
                <w:szCs w:val="21"/>
              </w:rPr>
              <w:t>Finalize Aide Memoire</w:t>
            </w:r>
          </w:p>
        </w:tc>
        <w:tc>
          <w:tcPr>
            <w:tcW w:w="1417" w:type="dxa"/>
          </w:tcPr>
          <w:p w14:paraId="17CDADAD" w14:textId="77777777" w:rsidR="00212D4B" w:rsidRPr="000A1D51" w:rsidRDefault="00212D4B" w:rsidP="00430CC6">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22/10/19</w:t>
            </w:r>
          </w:p>
        </w:tc>
        <w:tc>
          <w:tcPr>
            <w:tcW w:w="1560" w:type="dxa"/>
          </w:tcPr>
          <w:p w14:paraId="488C94F9" w14:textId="77777777" w:rsidR="00212D4B" w:rsidRPr="000A1D51" w:rsidRDefault="00212D4B" w:rsidP="00430CC6">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25/10/19</w:t>
            </w:r>
          </w:p>
        </w:tc>
      </w:tr>
      <w:tr w:rsidR="00212D4B" w:rsidRPr="000A1D51" w14:paraId="1551AB53" w14:textId="77777777" w:rsidTr="00632A57">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5421" w:type="dxa"/>
          </w:tcPr>
          <w:p w14:paraId="191DB7B3" w14:textId="77777777" w:rsidR="00212D4B" w:rsidRPr="000A1D51" w:rsidRDefault="00212D4B" w:rsidP="00430CC6">
            <w:pPr>
              <w:spacing w:before="120" w:after="120" w:line="276" w:lineRule="auto"/>
              <w:rPr>
                <w:rFonts w:asciiTheme="minorHAnsi" w:hAnsiTheme="minorHAnsi" w:cstheme="minorHAnsi"/>
                <w:b w:val="0"/>
                <w:color w:val="000000" w:themeColor="text1"/>
                <w:sz w:val="21"/>
                <w:szCs w:val="21"/>
              </w:rPr>
            </w:pPr>
            <w:r w:rsidRPr="000A1D51">
              <w:rPr>
                <w:rFonts w:asciiTheme="minorHAnsi" w:hAnsiTheme="minorHAnsi" w:cstheme="minorHAnsi"/>
                <w:b w:val="0"/>
                <w:color w:val="000000" w:themeColor="text1"/>
                <w:sz w:val="21"/>
                <w:szCs w:val="21"/>
              </w:rPr>
              <w:t>Online research and draft Review Report</w:t>
            </w:r>
          </w:p>
        </w:tc>
        <w:tc>
          <w:tcPr>
            <w:tcW w:w="1417" w:type="dxa"/>
          </w:tcPr>
          <w:p w14:paraId="241D0D0B" w14:textId="77777777" w:rsidR="00212D4B" w:rsidRPr="000A1D51" w:rsidRDefault="00212D4B" w:rsidP="00430CC6">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 xml:space="preserve"> 22/10/19</w:t>
            </w:r>
          </w:p>
        </w:tc>
        <w:tc>
          <w:tcPr>
            <w:tcW w:w="1560" w:type="dxa"/>
          </w:tcPr>
          <w:p w14:paraId="098A2F9F" w14:textId="77777777" w:rsidR="00212D4B" w:rsidRPr="000A1D51" w:rsidRDefault="00212D4B" w:rsidP="00430CC6">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 xml:space="preserve"> 22/11/19</w:t>
            </w:r>
          </w:p>
        </w:tc>
      </w:tr>
      <w:tr w:rsidR="00632A57" w:rsidRPr="000A1D51" w14:paraId="62647580" w14:textId="77777777" w:rsidTr="00632A57">
        <w:trPr>
          <w:trHeight w:val="237"/>
        </w:trPr>
        <w:tc>
          <w:tcPr>
            <w:cnfStyle w:val="001000000000" w:firstRow="0" w:lastRow="0" w:firstColumn="1" w:lastColumn="0" w:oddVBand="0" w:evenVBand="0" w:oddHBand="0" w:evenHBand="0" w:firstRowFirstColumn="0" w:firstRowLastColumn="0" w:lastRowFirstColumn="0" w:lastRowLastColumn="0"/>
            <w:tcW w:w="5421" w:type="dxa"/>
          </w:tcPr>
          <w:p w14:paraId="79264A58" w14:textId="77777777" w:rsidR="00632A57" w:rsidRPr="000A1D51" w:rsidRDefault="00632A57" w:rsidP="00430CC6">
            <w:pPr>
              <w:spacing w:before="120" w:after="120" w:line="276" w:lineRule="auto"/>
              <w:rPr>
                <w:rFonts w:asciiTheme="minorHAnsi" w:hAnsiTheme="minorHAnsi" w:cstheme="minorHAnsi"/>
                <w:b w:val="0"/>
                <w:color w:val="000000" w:themeColor="text1"/>
                <w:sz w:val="21"/>
                <w:szCs w:val="21"/>
              </w:rPr>
            </w:pPr>
            <w:r w:rsidRPr="000A1D51">
              <w:rPr>
                <w:rFonts w:asciiTheme="minorHAnsi" w:hAnsiTheme="minorHAnsi" w:cstheme="minorHAnsi"/>
                <w:b w:val="0"/>
                <w:color w:val="000000" w:themeColor="text1"/>
                <w:sz w:val="21"/>
                <w:szCs w:val="21"/>
              </w:rPr>
              <w:t>Submit draft report</w:t>
            </w:r>
          </w:p>
        </w:tc>
        <w:tc>
          <w:tcPr>
            <w:tcW w:w="1417" w:type="dxa"/>
          </w:tcPr>
          <w:p w14:paraId="4CFEFED7" w14:textId="77777777" w:rsidR="00632A57" w:rsidRPr="000A1D51" w:rsidRDefault="00632A57" w:rsidP="00430CC6">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22/11/19</w:t>
            </w:r>
          </w:p>
        </w:tc>
        <w:tc>
          <w:tcPr>
            <w:tcW w:w="1560" w:type="dxa"/>
          </w:tcPr>
          <w:p w14:paraId="6D835518" w14:textId="77777777" w:rsidR="00632A57" w:rsidRPr="000A1D51" w:rsidRDefault="00632A57" w:rsidP="00430CC6">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22/11/19</w:t>
            </w:r>
          </w:p>
        </w:tc>
      </w:tr>
      <w:tr w:rsidR="00212D4B" w:rsidRPr="000A1D51" w14:paraId="2DD829AD" w14:textId="77777777" w:rsidTr="00632A57">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5421" w:type="dxa"/>
          </w:tcPr>
          <w:p w14:paraId="42FC8C09" w14:textId="77777777" w:rsidR="00212D4B" w:rsidRPr="000A1D51" w:rsidRDefault="00212D4B" w:rsidP="00430CC6">
            <w:pPr>
              <w:spacing w:before="120" w:after="120" w:line="276" w:lineRule="auto"/>
              <w:rPr>
                <w:rFonts w:asciiTheme="minorHAnsi" w:hAnsiTheme="minorHAnsi" w:cstheme="minorHAnsi"/>
                <w:b w:val="0"/>
                <w:color w:val="000000" w:themeColor="text1"/>
                <w:sz w:val="21"/>
                <w:szCs w:val="21"/>
              </w:rPr>
            </w:pPr>
            <w:r w:rsidRPr="000A1D51">
              <w:rPr>
                <w:rFonts w:asciiTheme="minorHAnsi" w:hAnsiTheme="minorHAnsi" w:cstheme="minorHAnsi"/>
                <w:b w:val="0"/>
                <w:color w:val="000000" w:themeColor="text1"/>
                <w:sz w:val="21"/>
                <w:szCs w:val="21"/>
              </w:rPr>
              <w:t>DFAT Feedback on Review Report</w:t>
            </w:r>
          </w:p>
        </w:tc>
        <w:tc>
          <w:tcPr>
            <w:tcW w:w="1417" w:type="dxa"/>
          </w:tcPr>
          <w:p w14:paraId="6D951B9E" w14:textId="77777777" w:rsidR="00212D4B" w:rsidRPr="000A1D51" w:rsidRDefault="00212D4B" w:rsidP="00430CC6">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22/11/19</w:t>
            </w:r>
          </w:p>
        </w:tc>
        <w:tc>
          <w:tcPr>
            <w:tcW w:w="1560" w:type="dxa"/>
          </w:tcPr>
          <w:p w14:paraId="0C518140" w14:textId="77777777" w:rsidR="00212D4B" w:rsidRPr="000A1D51" w:rsidRDefault="00212D4B" w:rsidP="00430CC6">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6/12/19</w:t>
            </w:r>
          </w:p>
        </w:tc>
      </w:tr>
      <w:tr w:rsidR="00212D4B" w:rsidRPr="000A1D51" w14:paraId="765E7324" w14:textId="77777777" w:rsidTr="00632A57">
        <w:trPr>
          <w:trHeight w:val="321"/>
        </w:trPr>
        <w:tc>
          <w:tcPr>
            <w:cnfStyle w:val="001000000000" w:firstRow="0" w:lastRow="0" w:firstColumn="1" w:lastColumn="0" w:oddVBand="0" w:evenVBand="0" w:oddHBand="0" w:evenHBand="0" w:firstRowFirstColumn="0" w:firstRowLastColumn="0" w:lastRowFirstColumn="0" w:lastRowLastColumn="0"/>
            <w:tcW w:w="5421" w:type="dxa"/>
            <w:hideMark/>
          </w:tcPr>
          <w:p w14:paraId="58C398E1" w14:textId="77777777" w:rsidR="00212D4B" w:rsidRPr="000A1D51" w:rsidRDefault="00212D4B" w:rsidP="00430CC6">
            <w:pPr>
              <w:spacing w:before="120" w:after="120" w:line="276" w:lineRule="auto"/>
              <w:rPr>
                <w:rFonts w:asciiTheme="minorHAnsi" w:hAnsiTheme="minorHAnsi" w:cstheme="minorHAnsi"/>
                <w:b w:val="0"/>
                <w:color w:val="000000" w:themeColor="text1"/>
                <w:sz w:val="21"/>
                <w:szCs w:val="21"/>
              </w:rPr>
            </w:pPr>
            <w:r w:rsidRPr="000A1D51">
              <w:rPr>
                <w:rFonts w:asciiTheme="minorHAnsi" w:hAnsiTheme="minorHAnsi" w:cstheme="minorHAnsi"/>
                <w:b w:val="0"/>
                <w:color w:val="000000" w:themeColor="text1"/>
                <w:sz w:val="21"/>
                <w:szCs w:val="21"/>
              </w:rPr>
              <w:t>Finalize Review Report</w:t>
            </w:r>
          </w:p>
        </w:tc>
        <w:tc>
          <w:tcPr>
            <w:tcW w:w="1417" w:type="dxa"/>
            <w:hideMark/>
          </w:tcPr>
          <w:p w14:paraId="62CCD111" w14:textId="77777777" w:rsidR="00212D4B" w:rsidRPr="000A1D51" w:rsidRDefault="00212D4B" w:rsidP="00430CC6">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 xml:space="preserve"> 7/1</w:t>
            </w:r>
            <w:r w:rsidR="00632A57" w:rsidRPr="000A1D51">
              <w:rPr>
                <w:rFonts w:asciiTheme="minorHAnsi" w:hAnsiTheme="minorHAnsi" w:cstheme="minorHAnsi"/>
                <w:bCs/>
                <w:color w:val="000000" w:themeColor="text1"/>
                <w:sz w:val="21"/>
                <w:szCs w:val="21"/>
              </w:rPr>
              <w:t>2</w:t>
            </w:r>
            <w:r w:rsidRPr="000A1D51">
              <w:rPr>
                <w:rFonts w:asciiTheme="minorHAnsi" w:hAnsiTheme="minorHAnsi" w:cstheme="minorHAnsi"/>
                <w:bCs/>
                <w:color w:val="000000" w:themeColor="text1"/>
                <w:sz w:val="21"/>
                <w:szCs w:val="21"/>
              </w:rPr>
              <w:t>/19</w:t>
            </w:r>
          </w:p>
        </w:tc>
        <w:tc>
          <w:tcPr>
            <w:tcW w:w="1560" w:type="dxa"/>
            <w:hideMark/>
          </w:tcPr>
          <w:p w14:paraId="667D7781" w14:textId="77777777" w:rsidR="00212D4B" w:rsidRPr="000A1D51" w:rsidRDefault="00212D4B" w:rsidP="00430CC6">
            <w:pPr>
              <w:spacing w:before="120" w:after="120"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1"/>
                <w:szCs w:val="21"/>
              </w:rPr>
            </w:pPr>
            <w:r w:rsidRPr="000A1D51">
              <w:rPr>
                <w:rFonts w:asciiTheme="minorHAnsi" w:hAnsiTheme="minorHAnsi" w:cstheme="minorHAnsi"/>
                <w:bCs/>
                <w:color w:val="000000" w:themeColor="text1"/>
                <w:sz w:val="21"/>
                <w:szCs w:val="21"/>
              </w:rPr>
              <w:t xml:space="preserve"> 14/12/19</w:t>
            </w:r>
          </w:p>
        </w:tc>
      </w:tr>
    </w:tbl>
    <w:p w14:paraId="20741FC5" w14:textId="77777777" w:rsidR="00212D4B" w:rsidRPr="000A1D51" w:rsidRDefault="00212D4B" w:rsidP="00212D4B"/>
    <w:p w14:paraId="21F38D6D" w14:textId="77777777" w:rsidR="00212D4B" w:rsidRPr="000A1D51" w:rsidRDefault="00212D4B" w:rsidP="00212D4B">
      <w:pPr>
        <w:pStyle w:val="BodyText"/>
        <w:rPr>
          <w:lang w:val="en-AU"/>
        </w:rPr>
      </w:pPr>
    </w:p>
    <w:p w14:paraId="178565AB" w14:textId="77777777" w:rsidR="00AF44E8" w:rsidRPr="000A1D51" w:rsidRDefault="00AF44E8">
      <w:pPr>
        <w:spacing w:after="200" w:line="276" w:lineRule="auto"/>
        <w:rPr>
          <w:rFonts w:ascii="Helvetica" w:hAnsi="Helvetica" w:cs="Arial"/>
          <w:color w:val="007FAD"/>
          <w:spacing w:val="-10"/>
          <w:kern w:val="28"/>
          <w:sz w:val="28"/>
          <w:szCs w:val="28"/>
          <w:lang w:val="en-AU"/>
        </w:rPr>
      </w:pPr>
      <w:r w:rsidRPr="000A1D51">
        <w:rPr>
          <w:lang w:val="en-AU"/>
        </w:rPr>
        <w:br w:type="page"/>
      </w:r>
    </w:p>
    <w:p w14:paraId="739A0724" w14:textId="66DCF88C" w:rsidR="00D07892" w:rsidRPr="000A1D51" w:rsidRDefault="00AF44E8" w:rsidP="00D07892">
      <w:pPr>
        <w:pStyle w:val="Heading1"/>
        <w:rPr>
          <w:lang w:val="en-AU"/>
        </w:rPr>
      </w:pPr>
      <w:bookmarkStart w:id="85" w:name="_Toc24884128"/>
      <w:bookmarkStart w:id="86" w:name="_Toc31820130"/>
      <w:r w:rsidRPr="000A1D51">
        <w:rPr>
          <w:lang w:val="en-AU"/>
        </w:rPr>
        <w:lastRenderedPageBreak/>
        <w:t xml:space="preserve">Appendix 4: </w:t>
      </w:r>
      <w:r w:rsidR="00D07892" w:rsidRPr="000A1D51">
        <w:rPr>
          <w:lang w:val="en-AU"/>
        </w:rPr>
        <w:t xml:space="preserve">Case Study on </w:t>
      </w:r>
      <w:r w:rsidR="00825C28" w:rsidRPr="000A1D51">
        <w:rPr>
          <w:lang w:val="en-AU"/>
        </w:rPr>
        <w:t xml:space="preserve">the AADCP II </w:t>
      </w:r>
      <w:r w:rsidR="00D07892" w:rsidRPr="000A1D51">
        <w:rPr>
          <w:lang w:val="en-AU"/>
        </w:rPr>
        <w:t>Partnership</w:t>
      </w:r>
      <w:r w:rsidR="00825C28" w:rsidRPr="000A1D51">
        <w:rPr>
          <w:lang w:val="en-AU"/>
        </w:rPr>
        <w:t xml:space="preserve"> Approach</w:t>
      </w:r>
      <w:bookmarkEnd w:id="85"/>
      <w:bookmarkEnd w:id="86"/>
    </w:p>
    <w:p w14:paraId="7710EEDB" w14:textId="0A60700C" w:rsidR="000016C9" w:rsidRPr="000A1D51" w:rsidRDefault="000016C9" w:rsidP="00E0508E">
      <w:pPr>
        <w:pStyle w:val="Heading2"/>
        <w:keepLines/>
        <w:numPr>
          <w:ilvl w:val="1"/>
          <w:numId w:val="47"/>
        </w:numPr>
        <w:spacing w:before="0" w:after="220"/>
        <w:rPr>
          <w:lang w:val="en-AU"/>
        </w:rPr>
      </w:pPr>
      <w:bookmarkStart w:id="87" w:name="_Toc24884129"/>
      <w:bookmarkStart w:id="88" w:name="_Toc31820131"/>
      <w:r w:rsidRPr="000A1D51">
        <w:rPr>
          <w:lang w:val="en-AU"/>
        </w:rPr>
        <w:t>Describe AADCP II’s partnership approach</w:t>
      </w:r>
      <w:bookmarkEnd w:id="87"/>
      <w:bookmarkEnd w:id="88"/>
    </w:p>
    <w:p w14:paraId="5FA82E49" w14:textId="152371CC" w:rsidR="000016C9" w:rsidRPr="000A1D51" w:rsidRDefault="000016C9" w:rsidP="000016C9">
      <w:pPr>
        <w:jc w:val="both"/>
        <w:rPr>
          <w:rFonts w:asciiTheme="minorHAnsi" w:eastAsiaTheme="minorHAnsi" w:hAnsiTheme="minorHAnsi" w:cstheme="minorHAnsi"/>
          <w:b/>
          <w:iCs/>
          <w:sz w:val="22"/>
          <w:szCs w:val="22"/>
        </w:rPr>
      </w:pPr>
      <w:r w:rsidRPr="000A1D51">
        <w:rPr>
          <w:rFonts w:asciiTheme="minorHAnsi" w:eastAsiaTheme="minorHAnsi" w:hAnsiTheme="minorHAnsi" w:cstheme="minorHAnsi"/>
          <w:sz w:val="22"/>
          <w:szCs w:val="22"/>
        </w:rPr>
        <w:t xml:space="preserve">AADCP II is an 11-year $57m partnership with ASEAN to support implementation of the AEC and deepen regional economic integration, with the aim of supporting inclusive economic growth in the region. The program is implemented as a ‘grant’ to the ASEC, and responsive to ASEAN demand. An Australian </w:t>
      </w:r>
      <w:r w:rsidR="00407816" w:rsidRPr="000A1D51">
        <w:rPr>
          <w:rFonts w:asciiTheme="minorHAnsi" w:eastAsiaTheme="minorHAnsi" w:hAnsiTheme="minorHAnsi" w:cstheme="minorHAnsi"/>
          <w:sz w:val="22"/>
          <w:szCs w:val="22"/>
        </w:rPr>
        <w:t>official</w:t>
      </w:r>
      <w:r w:rsidRPr="000A1D51">
        <w:rPr>
          <w:rFonts w:asciiTheme="minorHAnsi" w:eastAsiaTheme="minorHAnsi" w:hAnsiTheme="minorHAnsi" w:cstheme="minorHAnsi"/>
          <w:sz w:val="22"/>
          <w:szCs w:val="22"/>
        </w:rPr>
        <w:t xml:space="preserve"> serves as Program Director and has oversight of AADCP II through the Program Management Team (PMT) and through Australia’s Head of Mission’s (HOM) seat on the JPRC. AADCP II is co-located with the ASEAN Secretariat (ASEC). </w:t>
      </w:r>
    </w:p>
    <w:p w14:paraId="5204818E" w14:textId="0BD14F71" w:rsidR="000016C9" w:rsidRPr="000A1D51" w:rsidRDefault="000016C9" w:rsidP="000016C9">
      <w:pPr>
        <w:jc w:val="both"/>
        <w:rPr>
          <w:rFonts w:asciiTheme="minorHAnsi" w:eastAsiaTheme="minorHAnsi" w:hAnsiTheme="minorHAnsi" w:cstheme="minorHAnsi"/>
          <w:b/>
          <w:iCs/>
          <w:sz w:val="22"/>
          <w:szCs w:val="22"/>
        </w:rPr>
      </w:pPr>
    </w:p>
    <w:p w14:paraId="11EB1907" w14:textId="4C3F01B1" w:rsidR="000016C9" w:rsidRPr="000A1D51" w:rsidRDefault="000016C9" w:rsidP="000016C9">
      <w:pPr>
        <w:jc w:val="both"/>
        <w:rPr>
          <w:rFonts w:asciiTheme="minorHAnsi" w:eastAsiaTheme="minorHAnsi" w:hAnsiTheme="minorHAnsi" w:cstheme="minorHAnsi"/>
          <w:sz w:val="22"/>
          <w:szCs w:val="22"/>
        </w:rPr>
      </w:pPr>
      <w:r w:rsidRPr="000A1D51">
        <w:rPr>
          <w:rFonts w:asciiTheme="minorHAnsi" w:eastAsiaTheme="minorHAnsi" w:hAnsiTheme="minorHAnsi" w:cstheme="minorHAnsi"/>
          <w:sz w:val="22"/>
          <w:szCs w:val="22"/>
        </w:rPr>
        <w:t>The program funds a portfolio of projects across three components: 1) strengthening ASEC's institutional capacity to facilitate and support ASEAN regional economic integration, 2) supporting movement towards the AEC through provision of timely and high quality economic research and policy advice; 3) supporting regional mechanisms and the implementation of selected AEC Blueprint activities at the national level. AADCP II only implements projects initiated by ASEAN Sectoral Bodies/Working Groups through ASEC. Further, AADCP II uses ASEC's operational systems, including HR, finance, legal and procurement. AADCP II applies additional financial management risk mitigation measures to ASEC processes which include enhanced procurement processes, an annual external audit of program funds and funding of ASEC Technical Officer positions for Project Trust Funds and Legal/Contracts.</w:t>
      </w:r>
    </w:p>
    <w:p w14:paraId="032BDF5D" w14:textId="2830C29D" w:rsidR="000016C9" w:rsidRPr="000A1D51" w:rsidRDefault="000016C9" w:rsidP="000016C9">
      <w:pPr>
        <w:rPr>
          <w:b/>
          <w:bCs/>
          <w:lang w:val="en-AU"/>
        </w:rPr>
      </w:pPr>
    </w:p>
    <w:p w14:paraId="4524A0A4" w14:textId="71A6B64E" w:rsidR="000016C9" w:rsidRPr="000A1D51" w:rsidRDefault="000016C9" w:rsidP="00E0508E">
      <w:pPr>
        <w:pStyle w:val="Heading2"/>
        <w:keepLines/>
        <w:numPr>
          <w:ilvl w:val="1"/>
          <w:numId w:val="47"/>
        </w:numPr>
        <w:spacing w:before="0" w:after="220"/>
        <w:rPr>
          <w:lang w:val="en-AU"/>
        </w:rPr>
      </w:pPr>
      <w:bookmarkStart w:id="89" w:name="_Toc24884130"/>
      <w:bookmarkStart w:id="90" w:name="_Toc31820132"/>
      <w:r w:rsidRPr="000A1D51">
        <w:rPr>
          <w:lang w:val="en-AU"/>
        </w:rPr>
        <w:t>What was the purpose of the partnership? Were principles of the partnership or a shared vision (expected outcome, etc) articulated from the outset?</w:t>
      </w:r>
      <w:bookmarkEnd w:id="89"/>
      <w:bookmarkEnd w:id="90"/>
    </w:p>
    <w:p w14:paraId="293393B7" w14:textId="695385B6" w:rsidR="000016C9" w:rsidRPr="000A1D51" w:rsidRDefault="000016C9" w:rsidP="001D4B88">
      <w:pPr>
        <w:jc w:val="both"/>
        <w:rPr>
          <w:rFonts w:asciiTheme="minorHAnsi" w:eastAsiaTheme="minorHAnsi" w:hAnsiTheme="minorHAnsi" w:cstheme="minorHAnsi"/>
          <w:sz w:val="22"/>
          <w:szCs w:val="22"/>
        </w:rPr>
      </w:pPr>
      <w:r w:rsidRPr="000A1D51">
        <w:rPr>
          <w:rFonts w:asciiTheme="minorHAnsi" w:eastAsiaTheme="minorHAnsi" w:hAnsiTheme="minorHAnsi" w:cstheme="minorHAnsi"/>
          <w:sz w:val="22"/>
          <w:szCs w:val="22"/>
        </w:rPr>
        <w:t xml:space="preserve">AADCP II is a long-term partnership between ASEAN and the Australian government that works at two key levels- the wider program level and on specific projects. At the program-wide level, Australia’s support (financial and human resources) is integrated into ASEC operations and implementation systems. At the project level, Australia supports specific priorities identified by ASEC at the sector, cross-cutting and corporate levels. As AADCP II only funds projects initiated by ASEC, the program doesn’t have a ‘formal’ role in project initiation and implementation. There are two key points of relationships within the partnership - high-level diplomatic relationship between Australia and ASEAN and working-level or implementation-level association between the AADCP II program and ASEC, and to a lesser extent between the program and ASEAN Sectoral Bodies/Working Groups (WGs/SBs). </w:t>
      </w:r>
    </w:p>
    <w:p w14:paraId="3AB69FAF" w14:textId="443D8509" w:rsidR="000016C9" w:rsidRPr="000A1D51" w:rsidRDefault="000016C9" w:rsidP="000016C9">
      <w:pPr>
        <w:pStyle w:val="Tablebullet"/>
        <w:numPr>
          <w:ilvl w:val="0"/>
          <w:numId w:val="0"/>
        </w:numPr>
        <w:jc w:val="both"/>
        <w:rPr>
          <w:rFonts w:asciiTheme="minorHAnsi" w:hAnsiTheme="minorHAnsi" w:cstheme="minorHAnsi"/>
          <w:sz w:val="22"/>
        </w:rPr>
      </w:pPr>
    </w:p>
    <w:p w14:paraId="0B18CC00" w14:textId="12D76D9C" w:rsidR="000016C9" w:rsidRPr="000A1D51" w:rsidRDefault="000016C9" w:rsidP="000016C9">
      <w:pPr>
        <w:spacing w:after="60"/>
        <w:jc w:val="both"/>
        <w:rPr>
          <w:rFonts w:asciiTheme="minorHAnsi" w:eastAsiaTheme="minorEastAsia" w:hAnsiTheme="minorHAnsi" w:cstheme="minorHAnsi"/>
          <w:i/>
          <w:iCs/>
          <w:color w:val="000000" w:themeColor="text1"/>
          <w:sz w:val="22"/>
          <w:szCs w:val="22"/>
          <w:lang w:val="en-AU" w:eastAsia="en-AU"/>
        </w:rPr>
      </w:pPr>
      <w:r w:rsidRPr="000A1D51">
        <w:rPr>
          <w:rFonts w:asciiTheme="minorHAnsi" w:hAnsiTheme="minorHAnsi" w:cstheme="minorHAnsi"/>
          <w:b/>
          <w:bCs/>
          <w:sz w:val="22"/>
        </w:rPr>
        <w:t>AADCP II Cooperation Agreement.</w:t>
      </w:r>
      <w:r w:rsidRPr="000A1D51">
        <w:rPr>
          <w:rFonts w:asciiTheme="minorHAnsi" w:hAnsiTheme="minorHAnsi" w:cstheme="minorHAnsi"/>
          <w:sz w:val="22"/>
        </w:rPr>
        <w:t xml:space="preserve"> As outlined in the Cooperation Arrangement of June 2009 between ASEAN and the Australian Government, the Program’s overall objective is to </w:t>
      </w:r>
      <w:r w:rsidRPr="000A1D51">
        <w:rPr>
          <w:rFonts w:asciiTheme="minorHAnsi" w:hAnsiTheme="minorHAnsi" w:cstheme="minorHAnsi"/>
          <w:b/>
          <w:bCs/>
          <w:sz w:val="22"/>
        </w:rPr>
        <w:t xml:space="preserve">support ASEAN implement its economic agenda in line with the ASEAN Economic Blueprint (AEC). </w:t>
      </w:r>
      <w:r w:rsidRPr="000A1D51">
        <w:rPr>
          <w:rFonts w:asciiTheme="minorHAnsi" w:hAnsiTheme="minorHAnsi" w:cstheme="minorHAnsi"/>
          <w:sz w:val="22"/>
        </w:rPr>
        <w:t>As discussed in the Final AADCP II design document,</w:t>
      </w:r>
      <w:r w:rsidRPr="000A1D51">
        <w:rPr>
          <w:rFonts w:asciiTheme="minorHAnsi" w:hAnsiTheme="minorHAnsi" w:cstheme="minorHAnsi"/>
          <w:b/>
          <w:bCs/>
          <w:sz w:val="22"/>
        </w:rPr>
        <w:t xml:space="preserve"> </w:t>
      </w:r>
      <w:r w:rsidRPr="000A1D51">
        <w:rPr>
          <w:rFonts w:asciiTheme="minorHAnsi" w:hAnsiTheme="minorHAnsi" w:cstheme="minorHAnsi"/>
          <w:sz w:val="22"/>
        </w:rPr>
        <w:t xml:space="preserve">a key consideration for AADCP II is to also ensure </w:t>
      </w:r>
      <w:r w:rsidRPr="000A1D51">
        <w:rPr>
          <w:rFonts w:asciiTheme="minorHAnsi" w:eastAsiaTheme="minorEastAsia" w:hAnsiTheme="minorHAnsi" w:cstheme="minorHAnsi"/>
          <w:i/>
          <w:iCs/>
          <w:color w:val="000000" w:themeColor="text1"/>
          <w:sz w:val="22"/>
          <w:szCs w:val="22"/>
          <w:lang w:val="en-AU" w:eastAsia="en-AU"/>
        </w:rPr>
        <w:t xml:space="preserve">Australia’s national interests are directly served by supporting economic growth and more equitable development in the ASEAN region, and by engaging in partnerships with regional policy making and coordination bodies. </w:t>
      </w:r>
    </w:p>
    <w:p w14:paraId="5156E428" w14:textId="6D94AC2C" w:rsidR="000016C9" w:rsidRPr="000A1D51" w:rsidRDefault="000016C9" w:rsidP="000016C9">
      <w:pPr>
        <w:pStyle w:val="Tablebullet"/>
        <w:numPr>
          <w:ilvl w:val="0"/>
          <w:numId w:val="0"/>
        </w:numPr>
        <w:jc w:val="both"/>
        <w:rPr>
          <w:rFonts w:asciiTheme="minorHAnsi" w:hAnsiTheme="minorHAnsi" w:cstheme="minorHAnsi"/>
          <w:b/>
          <w:bCs/>
          <w:sz w:val="22"/>
        </w:rPr>
      </w:pPr>
    </w:p>
    <w:p w14:paraId="0D7BA94D" w14:textId="7CA99566" w:rsidR="000016C9" w:rsidRPr="000A1D51" w:rsidRDefault="000016C9" w:rsidP="000016C9">
      <w:pPr>
        <w:pStyle w:val="Tablebullet"/>
        <w:numPr>
          <w:ilvl w:val="0"/>
          <w:numId w:val="0"/>
        </w:numPr>
        <w:jc w:val="both"/>
        <w:rPr>
          <w:rFonts w:asciiTheme="minorHAnsi" w:hAnsiTheme="minorHAnsi" w:cstheme="minorHAnsi"/>
          <w:sz w:val="22"/>
        </w:rPr>
      </w:pPr>
      <w:r w:rsidRPr="000A1D51">
        <w:rPr>
          <w:rFonts w:asciiTheme="minorHAnsi" w:hAnsiTheme="minorHAnsi" w:cstheme="minorHAnsi"/>
          <w:sz w:val="22"/>
        </w:rPr>
        <w:t xml:space="preserve">It was evident from discussions with the DFAT-ASEAN Mission and ASEC that there is broad understanding and consensus on the high-level objectives of the partnership between </w:t>
      </w:r>
      <w:r w:rsidRPr="000A1D51">
        <w:rPr>
          <w:rFonts w:asciiTheme="minorHAnsi" w:hAnsiTheme="minorHAnsi" w:cstheme="minorHAnsi"/>
          <w:sz w:val="22"/>
        </w:rPr>
        <w:lastRenderedPageBreak/>
        <w:t xml:space="preserve">ASEAN and the Australian government- to support ASEAN implement its economic agenda in line with the ASEAN Economic Blueprint (AEC). However, discussions with the AADCP II program team highlighted that </w:t>
      </w:r>
      <w:r w:rsidRPr="000A1D51">
        <w:rPr>
          <w:rFonts w:asciiTheme="minorHAnsi" w:hAnsiTheme="minorHAnsi" w:cstheme="minorHAnsi"/>
          <w:b/>
          <w:bCs/>
          <w:sz w:val="22"/>
        </w:rPr>
        <w:t>principles of the partnership, or ‘ways of working’ at the project implementation level could have been better articulated in the cooperation agreement and program design</w:t>
      </w:r>
      <w:r w:rsidRPr="000A1D51">
        <w:rPr>
          <w:rFonts w:asciiTheme="minorHAnsi" w:hAnsiTheme="minorHAnsi" w:cstheme="minorHAnsi"/>
          <w:sz w:val="22"/>
        </w:rPr>
        <w:t xml:space="preserve">. For instance, PPMSU staff highlighted that the division of roles and responsibilities between ASEC Desk Officers and the PPMSU was unclear at times due to a combination of </w:t>
      </w:r>
      <w:r w:rsidR="003E5A59" w:rsidRPr="000A1D51">
        <w:rPr>
          <w:rFonts w:asciiTheme="minorHAnsi" w:hAnsiTheme="minorHAnsi" w:cstheme="minorHAnsi"/>
          <w:sz w:val="22"/>
        </w:rPr>
        <w:t>factors</w:t>
      </w:r>
      <w:r w:rsidRPr="000A1D51">
        <w:rPr>
          <w:rFonts w:asciiTheme="minorHAnsi" w:hAnsiTheme="minorHAnsi" w:cstheme="minorHAnsi"/>
          <w:sz w:val="22"/>
        </w:rPr>
        <w:t xml:space="preserve">: the joint-partnership model adopted by the program, ASEC desk officers’ limited availability and capability to initiate and drive project implementation; ASEC not differentiating AADCP II from other Dialogue Partner (DP) programs; and other DPs using different models of delivery to AADCP II- DPs leading project initiation and implementation. </w:t>
      </w:r>
    </w:p>
    <w:p w14:paraId="5C1AAF7C" w14:textId="10D57221" w:rsidR="000016C9" w:rsidRPr="000A1D51" w:rsidRDefault="000016C9" w:rsidP="000016C9">
      <w:pPr>
        <w:pStyle w:val="Tablebullet"/>
        <w:numPr>
          <w:ilvl w:val="0"/>
          <w:numId w:val="0"/>
        </w:numPr>
        <w:jc w:val="both"/>
        <w:rPr>
          <w:rFonts w:asciiTheme="minorHAnsi" w:hAnsiTheme="minorHAnsi" w:cstheme="minorHAnsi"/>
          <w:sz w:val="22"/>
        </w:rPr>
      </w:pPr>
    </w:p>
    <w:p w14:paraId="06CB10F3" w14:textId="22556A02" w:rsidR="000016C9" w:rsidRPr="000A1D51" w:rsidRDefault="000016C9" w:rsidP="000016C9">
      <w:pPr>
        <w:pStyle w:val="Tablebullet"/>
        <w:numPr>
          <w:ilvl w:val="0"/>
          <w:numId w:val="0"/>
        </w:numPr>
        <w:jc w:val="both"/>
        <w:rPr>
          <w:rFonts w:asciiTheme="minorHAnsi" w:hAnsiTheme="minorHAnsi" w:cstheme="minorHAnsi"/>
          <w:sz w:val="22"/>
          <w:lang w:eastAsia="en-GB"/>
        </w:rPr>
      </w:pPr>
      <w:r w:rsidRPr="000A1D51">
        <w:rPr>
          <w:rFonts w:asciiTheme="minorHAnsi" w:hAnsiTheme="minorHAnsi" w:cstheme="minorHAnsi"/>
          <w:b/>
          <w:bCs/>
          <w:sz w:val="22"/>
          <w:lang w:eastAsia="en-GB"/>
        </w:rPr>
        <w:t>DFAT-Canberra.</w:t>
      </w:r>
      <w:r w:rsidRPr="000A1D51">
        <w:rPr>
          <w:rFonts w:asciiTheme="minorHAnsi" w:hAnsiTheme="minorHAnsi" w:cstheme="minorHAnsi"/>
          <w:sz w:val="22"/>
          <w:lang w:eastAsia="en-GB"/>
        </w:rPr>
        <w:t xml:space="preserve"> Discussions with DFAT-Canberra indicated that AADCP II is largely perceived as a demand-led, reactive program that limited opportunities for Australia to directly influence the development agenda (e.g. challenges with raising the profile of gender) by many in Canberra, including senior staff. While the criticism on gender was acknowledged by program staff (a limitation of the partnership model), the AADCP II Program Director and senior DFAT-ASEAN Mission officials reiterated </w:t>
      </w:r>
      <w:r w:rsidRPr="000A1D51">
        <w:rPr>
          <w:rFonts w:asciiTheme="minorHAnsi" w:eastAsiaTheme="minorHAnsi" w:hAnsiTheme="minorHAnsi" w:cstheme="minorHAnsi"/>
          <w:sz w:val="22"/>
        </w:rPr>
        <w:t xml:space="preserve">Australia’s strong and active role in shaping AADCP II’s work through the PMT and the JPRC process in addition to </w:t>
      </w:r>
      <w:r w:rsidRPr="000A1D51">
        <w:rPr>
          <w:rFonts w:asciiTheme="minorHAnsi" w:hAnsiTheme="minorHAnsi" w:cstheme="minorHAnsi"/>
          <w:sz w:val="22"/>
          <w:lang w:eastAsia="en-GB"/>
        </w:rPr>
        <w:t xml:space="preserve">high-level diplomacy from the DFAT Mission including Australia’s Ambassador to ASEAN. This perhaps suggests a gap in Canberra’s understanding of what levers and avenues are available to Australia through AADCP II for prosecuting Australia’s wider interests in the region. Given that DFAT-Canberra are not involved in the day-to-day oversight of the program, it is not </w:t>
      </w:r>
      <w:r w:rsidR="003E5A59" w:rsidRPr="000A1D51">
        <w:rPr>
          <w:rFonts w:asciiTheme="minorHAnsi" w:hAnsiTheme="minorHAnsi" w:cstheme="minorHAnsi"/>
          <w:sz w:val="22"/>
          <w:lang w:eastAsia="en-GB"/>
        </w:rPr>
        <w:t xml:space="preserve">surprising </w:t>
      </w:r>
      <w:r w:rsidRPr="000A1D51">
        <w:rPr>
          <w:rFonts w:asciiTheme="minorHAnsi" w:hAnsiTheme="minorHAnsi" w:cstheme="minorHAnsi"/>
          <w:sz w:val="22"/>
          <w:lang w:eastAsia="en-GB"/>
        </w:rPr>
        <w:t>that they may</w:t>
      </w:r>
      <w:r w:rsidRPr="000A1D51">
        <w:rPr>
          <w:rFonts w:asciiTheme="minorHAnsi" w:hAnsiTheme="minorHAnsi" w:cstheme="minorHAnsi"/>
          <w:sz w:val="22"/>
        </w:rPr>
        <w:t xml:space="preserve"> not full</w:t>
      </w:r>
      <w:r w:rsidR="003F6D40" w:rsidRPr="000A1D51">
        <w:rPr>
          <w:rFonts w:asciiTheme="minorHAnsi" w:hAnsiTheme="minorHAnsi" w:cstheme="minorHAnsi"/>
          <w:sz w:val="22"/>
        </w:rPr>
        <w:t>y</w:t>
      </w:r>
      <w:r w:rsidRPr="000A1D51">
        <w:rPr>
          <w:rFonts w:asciiTheme="minorHAnsi" w:hAnsiTheme="minorHAnsi" w:cstheme="minorHAnsi"/>
          <w:sz w:val="22"/>
        </w:rPr>
        <w:t xml:space="preserve"> appreciat</w:t>
      </w:r>
      <w:r w:rsidR="003F6D40" w:rsidRPr="000A1D51">
        <w:rPr>
          <w:rFonts w:asciiTheme="minorHAnsi" w:hAnsiTheme="minorHAnsi" w:cstheme="minorHAnsi"/>
          <w:sz w:val="22"/>
        </w:rPr>
        <w:t>e</w:t>
      </w:r>
      <w:r w:rsidRPr="000A1D51">
        <w:rPr>
          <w:rFonts w:asciiTheme="minorHAnsi" w:hAnsiTheme="minorHAnsi" w:cstheme="minorHAnsi"/>
          <w:sz w:val="22"/>
        </w:rPr>
        <w:t xml:space="preserve"> the intricacies of the modality</w:t>
      </w:r>
      <w:r w:rsidRPr="000A1D51">
        <w:rPr>
          <w:rFonts w:asciiTheme="minorHAnsi" w:hAnsiTheme="minorHAnsi" w:cstheme="minorHAnsi"/>
          <w:sz w:val="22"/>
          <w:lang w:eastAsia="en-GB"/>
        </w:rPr>
        <w:t xml:space="preserve">. </w:t>
      </w:r>
    </w:p>
    <w:p w14:paraId="7843C320" w14:textId="4031E4E4" w:rsidR="000016C9" w:rsidRPr="000A1D51" w:rsidRDefault="000016C9" w:rsidP="00E0508E">
      <w:pPr>
        <w:pStyle w:val="Heading2"/>
        <w:keepLines/>
        <w:numPr>
          <w:ilvl w:val="1"/>
          <w:numId w:val="47"/>
        </w:numPr>
        <w:spacing w:before="0" w:after="220"/>
        <w:rPr>
          <w:lang w:val="en-AU"/>
        </w:rPr>
      </w:pPr>
      <w:bookmarkStart w:id="91" w:name="_Toc24884131"/>
      <w:bookmarkStart w:id="92" w:name="_Toc31820133"/>
      <w:r w:rsidRPr="000A1D51">
        <w:rPr>
          <w:lang w:val="en-AU"/>
        </w:rPr>
        <w:t>What worked well in this partnership modality?</w:t>
      </w:r>
      <w:bookmarkEnd w:id="91"/>
      <w:bookmarkEnd w:id="92"/>
    </w:p>
    <w:p w14:paraId="5AA195CA" w14:textId="05C9A4FF" w:rsidR="000016C9" w:rsidRPr="000A1D51" w:rsidRDefault="000016C9" w:rsidP="000016C9">
      <w:pPr>
        <w:pStyle w:val="Tablebullet"/>
        <w:numPr>
          <w:ilvl w:val="0"/>
          <w:numId w:val="0"/>
        </w:numPr>
        <w:rPr>
          <w:rFonts w:asciiTheme="minorHAnsi" w:hAnsiTheme="minorHAnsi" w:cstheme="minorHAnsi"/>
          <w:b/>
          <w:iCs/>
          <w:sz w:val="22"/>
          <w:lang w:eastAsia="en-GB"/>
        </w:rPr>
      </w:pPr>
      <w:r w:rsidRPr="000A1D51">
        <w:rPr>
          <w:rFonts w:asciiTheme="minorHAnsi" w:hAnsiTheme="minorHAnsi" w:cstheme="minorHAnsi"/>
          <w:sz w:val="22"/>
          <w:lang w:eastAsia="en-GB"/>
        </w:rPr>
        <w:t xml:space="preserve">The partnership modality is working well on multiple fronts and benefitting both Australia and ASEAN. The modality on the whole offers value for money to Australia. </w:t>
      </w:r>
    </w:p>
    <w:p w14:paraId="03FC4745" w14:textId="23CB7486" w:rsidR="000016C9" w:rsidRPr="000A1D51" w:rsidRDefault="000016C9" w:rsidP="000016C9">
      <w:pPr>
        <w:pStyle w:val="Tablebullet"/>
        <w:numPr>
          <w:ilvl w:val="0"/>
          <w:numId w:val="0"/>
        </w:numPr>
        <w:rPr>
          <w:rFonts w:asciiTheme="minorHAnsi" w:hAnsiTheme="minorHAnsi" w:cstheme="minorHAnsi"/>
          <w:b/>
          <w:iCs/>
          <w:sz w:val="22"/>
          <w:lang w:eastAsia="en-GB"/>
        </w:rPr>
      </w:pPr>
    </w:p>
    <w:p w14:paraId="0046D03A" w14:textId="14BDF8DB" w:rsidR="000016C9" w:rsidRPr="000A1D51" w:rsidRDefault="000016C9" w:rsidP="000016C9">
      <w:pPr>
        <w:pStyle w:val="Tablebullet"/>
        <w:numPr>
          <w:ilvl w:val="0"/>
          <w:numId w:val="0"/>
        </w:numPr>
        <w:jc w:val="both"/>
        <w:rPr>
          <w:rFonts w:asciiTheme="minorHAnsi" w:hAnsiTheme="minorHAnsi" w:cstheme="minorHAnsi"/>
          <w:b/>
          <w:bCs/>
          <w:sz w:val="22"/>
          <w:lang w:eastAsia="en-GB"/>
        </w:rPr>
      </w:pPr>
      <w:r w:rsidRPr="000A1D51">
        <w:rPr>
          <w:rFonts w:asciiTheme="minorHAnsi" w:hAnsiTheme="minorHAnsi" w:cstheme="minorHAnsi"/>
          <w:b/>
          <w:bCs/>
          <w:sz w:val="22"/>
          <w:lang w:eastAsia="en-GB"/>
        </w:rPr>
        <w:t xml:space="preserve">Strong Australia-ASEAN partnership leading to more relevant projects and ASEAN ownership. </w:t>
      </w:r>
      <w:r w:rsidRPr="000A1D51">
        <w:rPr>
          <w:rFonts w:asciiTheme="minorHAnsi" w:hAnsiTheme="minorHAnsi" w:cstheme="minorHAnsi"/>
          <w:sz w:val="22"/>
        </w:rPr>
        <w:t xml:space="preserve">The partnership has been effective in </w:t>
      </w:r>
      <w:r w:rsidRPr="000A1D51">
        <w:rPr>
          <w:rFonts w:asciiTheme="minorHAnsi" w:hAnsiTheme="minorHAnsi" w:cstheme="minorHAnsi"/>
          <w:b/>
          <w:bCs/>
          <w:sz w:val="22"/>
        </w:rPr>
        <w:t>advancing both the AEC and the Australian Foreign Policy White Paper Objectives in the region</w:t>
      </w:r>
      <w:r w:rsidRPr="000A1D51">
        <w:rPr>
          <w:rFonts w:asciiTheme="minorHAnsi" w:hAnsiTheme="minorHAnsi" w:cstheme="minorHAnsi"/>
          <w:sz w:val="22"/>
        </w:rPr>
        <w:t>. Through interviews, key Australian and ASEAN stakeholders confirmed that this unique partnership modality has supported implementation of the AEC Blueprint priorities with ASEAN Sectoral Bodies initiating projects that align to their AEC Blueprint commitments. This ensure</w:t>
      </w:r>
      <w:r w:rsidR="00D43CC8" w:rsidRPr="000A1D51">
        <w:rPr>
          <w:rFonts w:asciiTheme="minorHAnsi" w:hAnsiTheme="minorHAnsi" w:cstheme="minorHAnsi"/>
          <w:sz w:val="22"/>
        </w:rPr>
        <w:t>s</w:t>
      </w:r>
      <w:r w:rsidRPr="000A1D51">
        <w:rPr>
          <w:rFonts w:asciiTheme="minorHAnsi" w:hAnsiTheme="minorHAnsi" w:cstheme="minorHAnsi"/>
          <w:sz w:val="22"/>
        </w:rPr>
        <w:t xml:space="preserve"> that projects funded by AADCP II are of </w:t>
      </w:r>
      <w:r w:rsidRPr="000A1D51">
        <w:rPr>
          <w:rFonts w:asciiTheme="minorHAnsi" w:hAnsiTheme="minorHAnsi" w:cstheme="minorHAnsi"/>
          <w:b/>
          <w:bCs/>
          <w:sz w:val="22"/>
        </w:rPr>
        <w:t>high significance and relevance to ASEAN which in turn strengthen</w:t>
      </w:r>
      <w:r w:rsidR="00D43CC8" w:rsidRPr="000A1D51">
        <w:rPr>
          <w:rFonts w:asciiTheme="minorHAnsi" w:hAnsiTheme="minorHAnsi" w:cstheme="minorHAnsi"/>
          <w:b/>
          <w:bCs/>
          <w:sz w:val="22"/>
        </w:rPr>
        <w:t>s</w:t>
      </w:r>
      <w:r w:rsidRPr="000A1D51">
        <w:rPr>
          <w:rFonts w:asciiTheme="minorHAnsi" w:hAnsiTheme="minorHAnsi" w:cstheme="minorHAnsi"/>
          <w:b/>
          <w:bCs/>
          <w:sz w:val="22"/>
        </w:rPr>
        <w:t xml:space="preserve"> ownership, contributing to sustainability</w:t>
      </w:r>
      <w:r w:rsidRPr="000A1D51">
        <w:rPr>
          <w:rFonts w:asciiTheme="minorHAnsi" w:hAnsiTheme="minorHAnsi" w:cstheme="minorHAnsi"/>
          <w:sz w:val="22"/>
        </w:rPr>
        <w:t>. ASEC</w:t>
      </w:r>
      <w:r w:rsidRPr="000A1D51">
        <w:rPr>
          <w:rFonts w:asciiTheme="minorHAnsi" w:hAnsiTheme="minorHAnsi" w:cstheme="minorHAnsi"/>
          <w:b/>
          <w:bCs/>
          <w:sz w:val="22"/>
        </w:rPr>
        <w:t xml:space="preserve"> </w:t>
      </w:r>
      <w:r w:rsidRPr="000A1D51">
        <w:rPr>
          <w:rFonts w:asciiTheme="minorHAnsi" w:hAnsiTheme="minorHAnsi" w:cstheme="minorHAnsi"/>
          <w:sz w:val="22"/>
        </w:rPr>
        <w:t xml:space="preserve">officials further reiterated that having the </w:t>
      </w:r>
      <w:r w:rsidR="00D43CC8" w:rsidRPr="000A1D51">
        <w:rPr>
          <w:rFonts w:asciiTheme="minorHAnsi" w:hAnsiTheme="minorHAnsi" w:cstheme="minorHAnsi"/>
          <w:sz w:val="22"/>
        </w:rPr>
        <w:t xml:space="preserve">AADCP II </w:t>
      </w:r>
      <w:r w:rsidRPr="000A1D51">
        <w:rPr>
          <w:rFonts w:asciiTheme="minorHAnsi" w:hAnsiTheme="minorHAnsi" w:cstheme="minorHAnsi"/>
          <w:sz w:val="22"/>
        </w:rPr>
        <w:t xml:space="preserve">trust fund in ASEC builds their capacity which is further bolstered by the program’s funding of several Desk Officers (in finance, legal/contract), with the long-term aim of ASEC regularising these positions within ASEC systems. </w:t>
      </w:r>
    </w:p>
    <w:p w14:paraId="37AEF05A" w14:textId="57009B3C" w:rsidR="000016C9" w:rsidRPr="000A1D51" w:rsidRDefault="000016C9" w:rsidP="000016C9">
      <w:pPr>
        <w:pStyle w:val="Tablebullet"/>
        <w:numPr>
          <w:ilvl w:val="0"/>
          <w:numId w:val="0"/>
        </w:numPr>
        <w:ind w:left="341"/>
        <w:rPr>
          <w:rFonts w:asciiTheme="minorHAnsi" w:hAnsiTheme="minorHAnsi" w:cstheme="minorHAnsi"/>
          <w:sz w:val="22"/>
        </w:rPr>
      </w:pPr>
    </w:p>
    <w:p w14:paraId="4D4777C6" w14:textId="66A72AD4" w:rsidR="000016C9" w:rsidRPr="000A1D51" w:rsidRDefault="000016C9" w:rsidP="000016C9">
      <w:pPr>
        <w:pStyle w:val="Tablebullet"/>
        <w:numPr>
          <w:ilvl w:val="0"/>
          <w:numId w:val="0"/>
        </w:numPr>
        <w:jc w:val="both"/>
        <w:rPr>
          <w:rFonts w:asciiTheme="minorHAnsi" w:hAnsiTheme="minorHAnsi" w:cstheme="minorHAnsi"/>
          <w:sz w:val="22"/>
        </w:rPr>
      </w:pPr>
      <w:r w:rsidRPr="000A1D51">
        <w:rPr>
          <w:rFonts w:asciiTheme="minorHAnsi" w:hAnsiTheme="minorHAnsi" w:cstheme="minorHAnsi"/>
          <w:b/>
          <w:bCs/>
          <w:sz w:val="22"/>
        </w:rPr>
        <w:t>Broader diplomatic relationship.</w:t>
      </w:r>
      <w:r w:rsidRPr="000A1D51">
        <w:rPr>
          <w:rFonts w:asciiTheme="minorHAnsi" w:hAnsiTheme="minorHAnsi" w:cstheme="minorHAnsi"/>
          <w:sz w:val="22"/>
        </w:rPr>
        <w:t xml:space="preserve"> AADCP II has proven to</w:t>
      </w:r>
      <w:r w:rsidR="007A2343" w:rsidRPr="000A1D51">
        <w:rPr>
          <w:rFonts w:asciiTheme="minorHAnsi" w:hAnsiTheme="minorHAnsi" w:cstheme="minorHAnsi"/>
          <w:sz w:val="22"/>
        </w:rPr>
        <w:t xml:space="preserve"> also</w:t>
      </w:r>
      <w:r w:rsidRPr="000A1D51">
        <w:rPr>
          <w:rFonts w:asciiTheme="minorHAnsi" w:hAnsiTheme="minorHAnsi" w:cstheme="minorHAnsi"/>
          <w:sz w:val="22"/>
        </w:rPr>
        <w:t xml:space="preserve"> be a</w:t>
      </w:r>
      <w:r w:rsidR="007A2343" w:rsidRPr="000A1D51">
        <w:rPr>
          <w:rFonts w:asciiTheme="minorHAnsi" w:hAnsiTheme="minorHAnsi" w:cstheme="minorHAnsi"/>
          <w:sz w:val="22"/>
        </w:rPr>
        <w:t>n</w:t>
      </w:r>
      <w:r w:rsidRPr="000A1D51">
        <w:rPr>
          <w:rFonts w:asciiTheme="minorHAnsi" w:hAnsiTheme="minorHAnsi" w:cstheme="minorHAnsi"/>
          <w:sz w:val="22"/>
        </w:rPr>
        <w:t xml:space="preserve"> asset</w:t>
      </w:r>
      <w:r w:rsidR="007A2343" w:rsidRPr="000A1D51">
        <w:rPr>
          <w:rFonts w:asciiTheme="minorHAnsi" w:hAnsiTheme="minorHAnsi" w:cstheme="minorHAnsi"/>
          <w:sz w:val="22"/>
        </w:rPr>
        <w:t xml:space="preserve"> of broader value</w:t>
      </w:r>
      <w:r w:rsidRPr="000A1D51">
        <w:rPr>
          <w:rFonts w:asciiTheme="minorHAnsi" w:hAnsiTheme="minorHAnsi" w:cstheme="minorHAnsi"/>
          <w:sz w:val="22"/>
        </w:rPr>
        <w:t xml:space="preserve"> to Australia, strengthening the broader diplomatic relationship between ASEAN and Australia. </w:t>
      </w:r>
      <w:r w:rsidRPr="000A1D51">
        <w:rPr>
          <w:rFonts w:asciiTheme="minorHAnsi" w:eastAsiaTheme="minorHAnsi" w:hAnsiTheme="minorHAnsi" w:cstheme="minorHAnsi"/>
          <w:sz w:val="22"/>
        </w:rPr>
        <w:t>Through an embedded DFAT Program Director and ongoing high-level engagement by the ASEAN Mission in Jakarta, Australia has developed and nurtured a long and trusting partnership with ASEAN.</w:t>
      </w:r>
      <w:r w:rsidRPr="000A1D51">
        <w:rPr>
          <w:rFonts w:asciiTheme="minorHAnsi" w:hAnsiTheme="minorHAnsi" w:cstheme="minorHAnsi"/>
          <w:sz w:val="22"/>
        </w:rPr>
        <w:t xml:space="preserve"> The program has been recognised by ASEAN leaders and in various ASEAN and AMS fora, which is helping Australia facilitate broader dialogue with ASEAN on areas of strategic importance to Australia. This is helping</w:t>
      </w:r>
      <w:r w:rsidRPr="000A1D51">
        <w:rPr>
          <w:rFonts w:asciiTheme="minorHAnsi" w:eastAsiaTheme="minorHAnsi" w:hAnsiTheme="minorHAnsi" w:cstheme="minorHAnsi"/>
          <w:sz w:val="22"/>
        </w:rPr>
        <w:t xml:space="preserve"> DFAT </w:t>
      </w:r>
      <w:r w:rsidRPr="000A1D51">
        <w:rPr>
          <w:rFonts w:asciiTheme="minorHAnsi" w:eastAsiaTheme="minorHAnsi" w:hAnsiTheme="minorHAnsi" w:cstheme="minorHAnsi"/>
          <w:b/>
          <w:bCs/>
          <w:sz w:val="22"/>
        </w:rPr>
        <w:t>prosecute Australia’s security and economic priorities across</w:t>
      </w:r>
      <w:r w:rsidRPr="000A1D51">
        <w:rPr>
          <w:rFonts w:asciiTheme="minorHAnsi" w:eastAsiaTheme="minorHAnsi" w:hAnsiTheme="minorHAnsi" w:cstheme="minorHAnsi"/>
          <w:sz w:val="22"/>
        </w:rPr>
        <w:t xml:space="preserve"> the region. </w:t>
      </w:r>
      <w:r w:rsidRPr="000A1D51">
        <w:rPr>
          <w:rFonts w:asciiTheme="minorHAnsi" w:hAnsiTheme="minorHAnsi" w:cstheme="minorHAnsi"/>
          <w:sz w:val="22"/>
          <w:lang w:eastAsia="en-GB"/>
        </w:rPr>
        <w:t xml:space="preserve">Owing to this unique </w:t>
      </w:r>
      <w:r w:rsidRPr="000A1D51">
        <w:rPr>
          <w:rFonts w:asciiTheme="minorHAnsi" w:hAnsiTheme="minorHAnsi" w:cstheme="minorHAnsi"/>
          <w:sz w:val="22"/>
          <w:lang w:eastAsia="en-GB"/>
        </w:rPr>
        <w:lastRenderedPageBreak/>
        <w:t>partnership model, AADCP II has successfully positioned itself as a ‘partner-of-choice’ to ASEAN with a strong brand recognition and some ASEC officials perceiving AADCP II to be synonymous with Australian support.</w:t>
      </w:r>
    </w:p>
    <w:p w14:paraId="49CACF4E" w14:textId="12CBEC94" w:rsidR="000016C9" w:rsidRPr="000A1D51" w:rsidRDefault="000016C9" w:rsidP="000016C9">
      <w:pPr>
        <w:pStyle w:val="Tablebullet"/>
        <w:numPr>
          <w:ilvl w:val="0"/>
          <w:numId w:val="0"/>
        </w:numPr>
        <w:jc w:val="both"/>
        <w:rPr>
          <w:rFonts w:asciiTheme="minorHAnsi" w:hAnsiTheme="minorHAnsi" w:cstheme="minorHAnsi"/>
          <w:sz w:val="22"/>
        </w:rPr>
      </w:pPr>
    </w:p>
    <w:p w14:paraId="047FBE27" w14:textId="43DC49F9" w:rsidR="000016C9" w:rsidRPr="000A1D51" w:rsidRDefault="000016C9" w:rsidP="000016C9">
      <w:pPr>
        <w:pStyle w:val="Tablebullet"/>
        <w:numPr>
          <w:ilvl w:val="0"/>
          <w:numId w:val="0"/>
        </w:numPr>
        <w:jc w:val="both"/>
        <w:rPr>
          <w:rFonts w:asciiTheme="minorHAnsi" w:hAnsiTheme="minorHAnsi" w:cstheme="minorHAnsi"/>
          <w:sz w:val="22"/>
        </w:rPr>
      </w:pPr>
      <w:r w:rsidRPr="000A1D51">
        <w:rPr>
          <w:rFonts w:asciiTheme="minorHAnsi" w:hAnsiTheme="minorHAnsi" w:cstheme="minorHAnsi"/>
          <w:sz w:val="22"/>
        </w:rPr>
        <w:t xml:space="preserve">Discussions with senior DFAT-ASEAN Mission officials highlighted the ‘trusted-partner’ status Australia holds with ASEAN which can be observed through ASEAN’s exclusive engagement with Australia on several high-profile, sensitive areas such as connectivity and infrastructure. Connectivity and infrastructure are areas of strategic interest for several other Dialogue Partners who are keen to engage with ASEAN in this area. Under the current arrangement, Australia has been </w:t>
      </w:r>
      <w:r w:rsidR="0018748A" w:rsidRPr="000A1D51">
        <w:rPr>
          <w:rFonts w:asciiTheme="minorHAnsi" w:hAnsiTheme="minorHAnsi" w:cstheme="minorHAnsi"/>
          <w:sz w:val="22"/>
        </w:rPr>
        <w:t xml:space="preserve">asked to support </w:t>
      </w:r>
      <w:r w:rsidRPr="000A1D51">
        <w:rPr>
          <w:rFonts w:asciiTheme="minorHAnsi" w:hAnsiTheme="minorHAnsi" w:cstheme="minorHAnsi"/>
          <w:sz w:val="22"/>
        </w:rPr>
        <w:t xml:space="preserve">all three sustainable infrastructure projects under MPAC 2020 (AADCP II supported the development of that strategy)- (i) sustainable urbanisation strategy (launched in 2018); (ii) the rolling pipeline of priority infrastructure projects; and (iii) the </w:t>
      </w:r>
      <w:r w:rsidR="0018748A" w:rsidRPr="000A1D51">
        <w:rPr>
          <w:rFonts w:asciiTheme="minorHAnsi" w:hAnsiTheme="minorHAnsi" w:cstheme="minorHAnsi"/>
          <w:sz w:val="22"/>
        </w:rPr>
        <w:t xml:space="preserve">ongoing </w:t>
      </w:r>
      <w:r w:rsidRPr="000A1D51">
        <w:rPr>
          <w:rFonts w:asciiTheme="minorHAnsi" w:hAnsiTheme="minorHAnsi" w:cstheme="minorHAnsi"/>
          <w:sz w:val="22"/>
        </w:rPr>
        <w:t xml:space="preserve">infrastructure productivity project. Moreover, Australia was the only dialogue partner invited to the launch of the Rolling Pipeline of Priority Infrastructure Projects in Bangkok, with the Australian Trade Minister in attendance with other ASEAN Ministers, signifying ASEAN’s strong relationship with Australia. </w:t>
      </w:r>
    </w:p>
    <w:p w14:paraId="33AE9757" w14:textId="750EB297" w:rsidR="000016C9" w:rsidRPr="000A1D51" w:rsidRDefault="000016C9" w:rsidP="000016C9">
      <w:pPr>
        <w:pStyle w:val="Tablebullet"/>
        <w:numPr>
          <w:ilvl w:val="0"/>
          <w:numId w:val="0"/>
        </w:numPr>
        <w:jc w:val="both"/>
        <w:rPr>
          <w:rFonts w:asciiTheme="minorHAnsi" w:hAnsiTheme="minorHAnsi" w:cstheme="minorHAnsi"/>
          <w:sz w:val="22"/>
        </w:rPr>
      </w:pPr>
    </w:p>
    <w:p w14:paraId="4BF0AEC9" w14:textId="2EA7F9FE" w:rsidR="000016C9" w:rsidRPr="000A1D51" w:rsidRDefault="000016C9" w:rsidP="000016C9">
      <w:pPr>
        <w:pStyle w:val="Tablebullet"/>
        <w:numPr>
          <w:ilvl w:val="0"/>
          <w:numId w:val="0"/>
        </w:numPr>
        <w:jc w:val="both"/>
        <w:rPr>
          <w:rFonts w:asciiTheme="minorHAnsi" w:hAnsiTheme="minorHAnsi" w:cstheme="minorHAnsi"/>
          <w:b/>
          <w:bCs/>
          <w:sz w:val="22"/>
        </w:rPr>
      </w:pPr>
      <w:r w:rsidRPr="000A1D51">
        <w:rPr>
          <w:rFonts w:asciiTheme="minorHAnsi" w:hAnsiTheme="minorHAnsi" w:cstheme="minorHAnsi"/>
          <w:b/>
          <w:bCs/>
          <w:sz w:val="22"/>
        </w:rPr>
        <w:t xml:space="preserve">AADCP II Program Director. </w:t>
      </w:r>
      <w:r w:rsidRPr="000A1D51">
        <w:rPr>
          <w:rFonts w:asciiTheme="minorHAnsi" w:hAnsiTheme="minorHAnsi" w:cstheme="minorHAnsi"/>
          <w:sz w:val="22"/>
        </w:rPr>
        <w:t xml:space="preserve">A unique feature of the AADCP II modality, different to other Dialogue Partners, is the DFAT-funded Program Director embedded within ASEC along with the program team (PPMSU). The embedding of the program within ASEC allows Australia high-level access and regular ‘face-time’ with senior ASEC officials which has proven to be valuable in building a trusted partnership. Similar opinions were offered by other Dialogue Partners, embedded within ASEC, who remarked that </w:t>
      </w:r>
      <w:r w:rsidRPr="000A1D51">
        <w:rPr>
          <w:rFonts w:asciiTheme="minorHAnsi" w:hAnsiTheme="minorHAnsi" w:cstheme="minorHAnsi"/>
          <w:i/>
          <w:iCs/>
          <w:sz w:val="22"/>
        </w:rPr>
        <w:t xml:space="preserve">‘programs not sitting </w:t>
      </w:r>
      <w:r w:rsidR="001F5FBE" w:rsidRPr="000A1D51">
        <w:rPr>
          <w:rFonts w:asciiTheme="minorHAnsi" w:hAnsiTheme="minorHAnsi" w:cstheme="minorHAnsi"/>
          <w:i/>
          <w:iCs/>
          <w:sz w:val="22"/>
        </w:rPr>
        <w:t xml:space="preserve">in </w:t>
      </w:r>
      <w:r w:rsidRPr="000A1D51">
        <w:rPr>
          <w:rFonts w:asciiTheme="minorHAnsi" w:hAnsiTheme="minorHAnsi" w:cstheme="minorHAnsi"/>
          <w:i/>
          <w:iCs/>
          <w:sz w:val="22"/>
        </w:rPr>
        <w:t xml:space="preserve">the Secretariat don’t enjoy the same level of access to ASEC as the rest of us.’ </w:t>
      </w:r>
      <w:r w:rsidRPr="000A1D51">
        <w:rPr>
          <w:rFonts w:asciiTheme="minorHAnsi" w:hAnsiTheme="minorHAnsi" w:cstheme="minorHAnsi"/>
          <w:sz w:val="22"/>
        </w:rPr>
        <w:t xml:space="preserve">The AADCP II Program Director, an Australian </w:t>
      </w:r>
      <w:r w:rsidR="00407816" w:rsidRPr="000A1D51">
        <w:rPr>
          <w:rFonts w:asciiTheme="minorHAnsi" w:hAnsiTheme="minorHAnsi" w:cstheme="minorHAnsi"/>
          <w:sz w:val="22"/>
        </w:rPr>
        <w:t>official</w:t>
      </w:r>
      <w:r w:rsidRPr="000A1D51">
        <w:rPr>
          <w:rFonts w:asciiTheme="minorHAnsi" w:hAnsiTheme="minorHAnsi" w:cstheme="minorHAnsi"/>
          <w:sz w:val="22"/>
        </w:rPr>
        <w:t>, also serves as a direct resource to ASEAN who are able to raise sensitive and high-priority issues with the P</w:t>
      </w:r>
      <w:r w:rsidR="001E20D1" w:rsidRPr="000A1D51">
        <w:rPr>
          <w:rFonts w:asciiTheme="minorHAnsi" w:hAnsiTheme="minorHAnsi" w:cstheme="minorHAnsi"/>
          <w:sz w:val="22"/>
        </w:rPr>
        <w:t xml:space="preserve">rogram </w:t>
      </w:r>
      <w:r w:rsidRPr="000A1D51">
        <w:rPr>
          <w:rFonts w:asciiTheme="minorHAnsi" w:hAnsiTheme="minorHAnsi" w:cstheme="minorHAnsi"/>
          <w:sz w:val="22"/>
        </w:rPr>
        <w:t>D</w:t>
      </w:r>
      <w:r w:rsidR="001E20D1" w:rsidRPr="000A1D51">
        <w:rPr>
          <w:rFonts w:asciiTheme="minorHAnsi" w:hAnsiTheme="minorHAnsi" w:cstheme="minorHAnsi"/>
          <w:sz w:val="22"/>
        </w:rPr>
        <w:t>irector</w:t>
      </w:r>
      <w:r w:rsidRPr="000A1D51">
        <w:rPr>
          <w:rFonts w:asciiTheme="minorHAnsi" w:hAnsiTheme="minorHAnsi" w:cstheme="minorHAnsi"/>
          <w:sz w:val="22"/>
        </w:rPr>
        <w:t xml:space="preserve"> knowing that they are communicating directly with the Australian government as opposed to through an externally contracted project director. This model has recently been replicated by the Chinese development partner who have secured approval from ASEAN to place a Chinese diplomat in ASEC</w:t>
      </w:r>
      <w:r w:rsidR="00584D89" w:rsidRPr="000A1D51">
        <w:rPr>
          <w:rStyle w:val="FootnoteReference"/>
          <w:rFonts w:cstheme="minorHAnsi"/>
        </w:rPr>
        <w:footnoteReference w:id="42"/>
      </w:r>
      <w:r w:rsidRPr="000A1D51">
        <w:rPr>
          <w:rFonts w:asciiTheme="minorHAnsi" w:hAnsiTheme="minorHAnsi" w:cstheme="minorHAnsi"/>
          <w:sz w:val="22"/>
        </w:rPr>
        <w:t xml:space="preserve">.    </w:t>
      </w:r>
    </w:p>
    <w:p w14:paraId="6B6E281D" w14:textId="7D2E4D93" w:rsidR="000016C9" w:rsidRPr="000A1D51" w:rsidRDefault="000016C9" w:rsidP="000016C9">
      <w:pPr>
        <w:rPr>
          <w:b/>
          <w:iCs/>
        </w:rPr>
      </w:pPr>
    </w:p>
    <w:p w14:paraId="7C05CB3B" w14:textId="1B078E24" w:rsidR="000016C9" w:rsidRPr="000A1D51" w:rsidRDefault="000016C9" w:rsidP="000016C9">
      <w:pPr>
        <w:pStyle w:val="Tablebullet"/>
        <w:numPr>
          <w:ilvl w:val="0"/>
          <w:numId w:val="0"/>
        </w:numPr>
        <w:jc w:val="both"/>
        <w:rPr>
          <w:rFonts w:asciiTheme="minorHAnsi" w:hAnsiTheme="minorHAnsi" w:cstheme="minorHAnsi"/>
          <w:sz w:val="22"/>
        </w:rPr>
      </w:pPr>
      <w:r w:rsidRPr="000A1D51">
        <w:rPr>
          <w:rFonts w:asciiTheme="minorHAnsi" w:hAnsiTheme="minorHAnsi" w:cstheme="minorHAnsi"/>
          <w:b/>
          <w:bCs/>
          <w:sz w:val="22"/>
        </w:rPr>
        <w:t>AADCP II as a benchmark.</w:t>
      </w:r>
      <w:r w:rsidRPr="000A1D51">
        <w:rPr>
          <w:rFonts w:asciiTheme="minorHAnsi" w:hAnsiTheme="minorHAnsi" w:cstheme="minorHAnsi"/>
          <w:sz w:val="22"/>
        </w:rPr>
        <w:t xml:space="preserve"> Several ASEC officials noted during discussions that they use AADCP II as a benchmark for support with other Dialogue Partners. ASEAN reiterated the flexible nature of AADCP II and that individual staff and the structure of PPMSU were working well with ASEC colleagues. Further, the program’s unique operational mechanisms were noted to be efficient. These include: (i) the JPRC process which is faster than ASEC’s CPR mechanism; transparent financial management procedures, including milestone payments and the use of supplemental procurement processes (note: some ASEC staff remarked that they didn’t fully understand the supplemental procurement processes and would benefit from clarity around that). It was also suggested, by a senior ASEC staff, that other Dialogue Partners have perceived the benefits of using the JPRC process and the trust fund model, like AADCP II, and some (Korea, Japan and China) have now put trust funds in ASEC which was welcomed by ASEAN. Further, China has established a program management team and ASEC is using the AADCP II PMT as a standard for that process. </w:t>
      </w:r>
    </w:p>
    <w:p w14:paraId="05528974" w14:textId="0BE4B527" w:rsidR="000016C9" w:rsidRPr="000A1D51" w:rsidRDefault="000016C9" w:rsidP="000016C9">
      <w:pPr>
        <w:ind w:left="360" w:hanging="360"/>
        <w:rPr>
          <w:rFonts w:eastAsiaTheme="minorHAnsi"/>
        </w:rPr>
      </w:pPr>
    </w:p>
    <w:p w14:paraId="4A6FD3B9" w14:textId="600643E0" w:rsidR="000016C9" w:rsidRPr="000A1D51" w:rsidRDefault="000016C9" w:rsidP="000016C9">
      <w:pPr>
        <w:ind w:left="360" w:hanging="360"/>
        <w:rPr>
          <w:rFonts w:asciiTheme="minorHAnsi" w:eastAsiaTheme="minorEastAsia" w:hAnsiTheme="minorHAnsi" w:cstheme="minorHAnsi"/>
          <w:b/>
          <w:bCs/>
          <w:color w:val="000000" w:themeColor="text1"/>
          <w:sz w:val="22"/>
          <w:szCs w:val="22"/>
          <w:lang w:val="en-AU"/>
        </w:rPr>
      </w:pPr>
      <w:r w:rsidRPr="000A1D51">
        <w:rPr>
          <w:rFonts w:asciiTheme="minorHAnsi" w:eastAsiaTheme="minorEastAsia" w:hAnsiTheme="minorHAnsi" w:cstheme="minorHAnsi"/>
          <w:b/>
          <w:bCs/>
          <w:color w:val="000000" w:themeColor="text1"/>
          <w:sz w:val="22"/>
          <w:szCs w:val="22"/>
          <w:lang w:val="en-AU"/>
        </w:rPr>
        <w:t>Efficient Modality</w:t>
      </w:r>
    </w:p>
    <w:p w14:paraId="3F1A3CF8" w14:textId="209429DA" w:rsidR="000016C9" w:rsidRPr="000A1D51" w:rsidRDefault="000016C9" w:rsidP="000016C9">
      <w:pPr>
        <w:pStyle w:val="Tablebullet"/>
        <w:numPr>
          <w:ilvl w:val="0"/>
          <w:numId w:val="0"/>
        </w:numPr>
        <w:jc w:val="both"/>
        <w:rPr>
          <w:rFonts w:asciiTheme="minorHAnsi" w:hAnsiTheme="minorHAnsi" w:cstheme="minorHAnsi"/>
          <w:b/>
          <w:iCs/>
          <w:sz w:val="22"/>
        </w:rPr>
      </w:pPr>
      <w:r w:rsidRPr="000A1D51">
        <w:rPr>
          <w:rFonts w:asciiTheme="minorHAnsi" w:hAnsiTheme="minorHAnsi" w:cstheme="minorHAnsi"/>
          <w:sz w:val="22"/>
        </w:rPr>
        <w:lastRenderedPageBreak/>
        <w:t>Compared to a traditional Managing Contractor model,</w:t>
      </w:r>
      <w:r w:rsidRPr="000A1D51">
        <w:rPr>
          <w:rFonts w:asciiTheme="minorHAnsi" w:hAnsiTheme="minorHAnsi" w:cstheme="minorHAnsi"/>
          <w:b/>
          <w:bCs/>
          <w:sz w:val="22"/>
        </w:rPr>
        <w:t xml:space="preserve"> </w:t>
      </w:r>
      <w:r w:rsidRPr="000A1D51">
        <w:rPr>
          <w:rFonts w:asciiTheme="minorHAnsi" w:hAnsiTheme="minorHAnsi" w:cstheme="minorHAnsi"/>
          <w:sz w:val="22"/>
        </w:rPr>
        <w:t xml:space="preserve">the program model of using ASEC operations reduces overhead costs significantly and enhances efficiency. It was noted in the latest DFAT-AQC 2018-19, that AADCP II has maximised outcomes from the available time and resources and that it delivers projects at a much lower administrative cost than expected- the program has spent $5.91m on management/staffing through to June 2019. According to the AADCP II Cooperation Agreement, the total program costs of $57 million is split into $40 million for projects and $17 million for management/staffing costs (less than 30% of total program funds). The Program’s funding of ASEC desk staff who function as both AADCP II technical staff and ASEC corporate staff, allows the program to further leverage ASEAN resources at no additional overhead costs. </w:t>
      </w:r>
    </w:p>
    <w:p w14:paraId="6CA1CAFC" w14:textId="6F16459E" w:rsidR="000016C9" w:rsidRPr="000A1D51" w:rsidRDefault="000016C9" w:rsidP="000016C9">
      <w:pPr>
        <w:pStyle w:val="Tablebullet"/>
        <w:numPr>
          <w:ilvl w:val="0"/>
          <w:numId w:val="0"/>
        </w:numPr>
        <w:jc w:val="both"/>
        <w:rPr>
          <w:rFonts w:asciiTheme="minorHAnsi" w:hAnsiTheme="minorHAnsi" w:cstheme="minorHAnsi"/>
          <w:sz w:val="22"/>
        </w:rPr>
      </w:pPr>
    </w:p>
    <w:p w14:paraId="15F51E09" w14:textId="54966175" w:rsidR="000016C9" w:rsidRPr="000A1D51" w:rsidRDefault="000016C9" w:rsidP="000016C9">
      <w:pPr>
        <w:pStyle w:val="Tablebullet"/>
        <w:numPr>
          <w:ilvl w:val="0"/>
          <w:numId w:val="0"/>
        </w:numPr>
        <w:jc w:val="both"/>
        <w:rPr>
          <w:rFonts w:asciiTheme="minorHAnsi" w:hAnsiTheme="minorHAnsi" w:cstheme="minorHAnsi"/>
          <w:sz w:val="22"/>
        </w:rPr>
      </w:pPr>
      <w:r w:rsidRPr="000A1D51">
        <w:rPr>
          <w:rFonts w:asciiTheme="minorHAnsi" w:hAnsiTheme="minorHAnsi" w:cstheme="minorHAnsi"/>
          <w:b/>
          <w:bCs/>
          <w:sz w:val="22"/>
        </w:rPr>
        <w:t>Risk Management.</w:t>
      </w:r>
      <w:r w:rsidRPr="000A1D51">
        <w:rPr>
          <w:rFonts w:asciiTheme="minorHAnsi" w:hAnsiTheme="minorHAnsi" w:cstheme="minorHAnsi"/>
          <w:sz w:val="22"/>
        </w:rPr>
        <w:t xml:space="preserve"> The program model has inherent risks, which are largely being managed appropriately (risks not currently mitigated are discussed in the section below</w:t>
      </w:r>
      <w:r w:rsidRPr="000A1D51">
        <w:t>)</w:t>
      </w:r>
      <w:r w:rsidRPr="000A1D51">
        <w:rPr>
          <w:rFonts w:asciiTheme="minorHAnsi" w:hAnsiTheme="minorHAnsi" w:cstheme="minorHAnsi"/>
          <w:sz w:val="22"/>
        </w:rPr>
        <w:t>. Risks are also managed at multiple levels, depending on the nature of the issue. For instance, risks are actively tracked and managed by the Program Director and PPMSU staff for ongoing day-to-day issues; the JPRC governance platform also provides opportunities for the Program Director and the Australian Ambassador to raise certain issues and policies with senior AMS officials; and moreover, given the strong ASEAN-Australia partnership and Australia’s membership on the JPRC, provides a strong platform for the Australian Ambassador to discuss high-level sensitive issues</w:t>
      </w:r>
      <w:r w:rsidR="00D8585C" w:rsidRPr="000A1D51">
        <w:rPr>
          <w:rFonts w:asciiTheme="minorHAnsi" w:hAnsiTheme="minorHAnsi" w:cstheme="minorHAnsi"/>
          <w:sz w:val="22"/>
        </w:rPr>
        <w:t>,</w:t>
      </w:r>
      <w:r w:rsidRPr="000A1D51">
        <w:rPr>
          <w:rFonts w:asciiTheme="minorHAnsi" w:hAnsiTheme="minorHAnsi" w:cstheme="minorHAnsi"/>
          <w:sz w:val="22"/>
        </w:rPr>
        <w:t xml:space="preserve"> one-on-one</w:t>
      </w:r>
      <w:r w:rsidR="00D8585C" w:rsidRPr="000A1D51">
        <w:rPr>
          <w:rFonts w:asciiTheme="minorHAnsi" w:hAnsiTheme="minorHAnsi" w:cstheme="minorHAnsi"/>
          <w:sz w:val="22"/>
        </w:rPr>
        <w:t>,</w:t>
      </w:r>
      <w:r w:rsidRPr="000A1D51">
        <w:rPr>
          <w:rFonts w:asciiTheme="minorHAnsi" w:hAnsiTheme="minorHAnsi" w:cstheme="minorHAnsi"/>
          <w:sz w:val="22"/>
        </w:rPr>
        <w:t xml:space="preserve"> with other AMS Ambassadors as and when required.</w:t>
      </w:r>
    </w:p>
    <w:p w14:paraId="778DF5BD" w14:textId="2825B2FA" w:rsidR="000016C9" w:rsidRPr="000A1D51" w:rsidRDefault="000016C9" w:rsidP="000016C9">
      <w:pPr>
        <w:pStyle w:val="Tablebullet"/>
        <w:numPr>
          <w:ilvl w:val="0"/>
          <w:numId w:val="0"/>
        </w:numPr>
        <w:jc w:val="both"/>
        <w:rPr>
          <w:rFonts w:asciiTheme="minorHAnsi" w:hAnsiTheme="minorHAnsi" w:cstheme="minorHAnsi"/>
          <w:sz w:val="22"/>
        </w:rPr>
      </w:pPr>
    </w:p>
    <w:p w14:paraId="1C1955E3" w14:textId="494FE2C2" w:rsidR="000016C9" w:rsidRPr="000A1D51" w:rsidRDefault="000016C9" w:rsidP="00E0508E">
      <w:pPr>
        <w:pStyle w:val="Heading2"/>
        <w:keepLines/>
        <w:numPr>
          <w:ilvl w:val="1"/>
          <w:numId w:val="47"/>
        </w:numPr>
        <w:spacing w:before="0" w:after="220"/>
        <w:rPr>
          <w:lang w:val="en-AU"/>
        </w:rPr>
      </w:pPr>
      <w:bookmarkStart w:id="93" w:name="_Toc24884132"/>
      <w:bookmarkStart w:id="94" w:name="_Toc31820134"/>
      <w:r w:rsidRPr="000A1D51">
        <w:rPr>
          <w:lang w:val="en-AU"/>
        </w:rPr>
        <w:t>What were some challenges and how were they addressed?</w:t>
      </w:r>
      <w:bookmarkEnd w:id="93"/>
      <w:bookmarkEnd w:id="94"/>
    </w:p>
    <w:p w14:paraId="1300B39E" w14:textId="256906D7" w:rsidR="000016C9" w:rsidRPr="000A1D51" w:rsidRDefault="000016C9" w:rsidP="000016C9">
      <w:pPr>
        <w:jc w:val="both"/>
        <w:rPr>
          <w:rFonts w:asciiTheme="minorHAnsi" w:eastAsiaTheme="minorEastAsia" w:hAnsiTheme="minorHAnsi" w:cstheme="minorHAnsi"/>
          <w:color w:val="000000" w:themeColor="text1"/>
          <w:sz w:val="22"/>
          <w:szCs w:val="22"/>
          <w:lang w:val="en-AU" w:eastAsia="en-AU"/>
        </w:rPr>
      </w:pPr>
      <w:r w:rsidRPr="000A1D51">
        <w:rPr>
          <w:rFonts w:asciiTheme="minorHAnsi" w:eastAsiaTheme="minorEastAsia" w:hAnsiTheme="minorHAnsi" w:cstheme="minorHAnsi"/>
          <w:color w:val="000000" w:themeColor="text1"/>
          <w:sz w:val="22"/>
          <w:szCs w:val="22"/>
          <w:lang w:val="en-AU" w:eastAsia="en-AU"/>
        </w:rPr>
        <w:t xml:space="preserve">While the partnership modality used by AADCP II has offered both ASEAN and Australia benefits such as a strong ASEAN-Australia association leading to more relevant, effective and efficient programming, </w:t>
      </w:r>
      <w:r w:rsidR="00521BEE" w:rsidRPr="000A1D51">
        <w:rPr>
          <w:rFonts w:asciiTheme="minorHAnsi" w:eastAsiaTheme="minorEastAsia" w:hAnsiTheme="minorHAnsi" w:cstheme="minorHAnsi"/>
          <w:color w:val="000000" w:themeColor="text1"/>
          <w:sz w:val="22"/>
          <w:szCs w:val="22"/>
          <w:lang w:val="en-AU" w:eastAsia="en-AU"/>
        </w:rPr>
        <w:t>some</w:t>
      </w:r>
      <w:r w:rsidRPr="000A1D51">
        <w:rPr>
          <w:rFonts w:asciiTheme="minorHAnsi" w:eastAsiaTheme="minorEastAsia" w:hAnsiTheme="minorHAnsi" w:cstheme="minorHAnsi"/>
          <w:color w:val="000000" w:themeColor="text1"/>
          <w:sz w:val="22"/>
          <w:szCs w:val="22"/>
          <w:lang w:val="en-AU" w:eastAsia="en-AU"/>
        </w:rPr>
        <w:t xml:space="preserve"> challenges, inherent to the modality, were identified through discussions with ASEC senior officials, AADCP II program staff and DFAT. These are discussed below.</w:t>
      </w:r>
    </w:p>
    <w:p w14:paraId="1CF7792F" w14:textId="49382A71" w:rsidR="000016C9" w:rsidRPr="000A1D51" w:rsidRDefault="000016C9" w:rsidP="000016C9">
      <w:pPr>
        <w:jc w:val="both"/>
        <w:rPr>
          <w:rFonts w:asciiTheme="minorHAnsi" w:eastAsiaTheme="minorEastAsia" w:hAnsiTheme="minorHAnsi" w:cstheme="minorHAnsi"/>
          <w:color w:val="000000" w:themeColor="text1"/>
          <w:sz w:val="22"/>
          <w:szCs w:val="22"/>
          <w:lang w:val="en-AU" w:eastAsia="en-AU"/>
        </w:rPr>
      </w:pPr>
    </w:p>
    <w:p w14:paraId="5CF0D02C" w14:textId="28D1B543" w:rsidR="000016C9" w:rsidRPr="000A1D51" w:rsidRDefault="000016C9" w:rsidP="000016C9">
      <w:pPr>
        <w:jc w:val="both"/>
        <w:rPr>
          <w:rFonts w:asciiTheme="minorHAnsi" w:eastAsiaTheme="minorEastAsia" w:hAnsiTheme="minorHAnsi" w:cstheme="minorHAnsi"/>
          <w:b/>
          <w:bCs/>
          <w:color w:val="000000" w:themeColor="text1"/>
          <w:sz w:val="22"/>
          <w:szCs w:val="22"/>
          <w:lang w:val="en-AU" w:eastAsia="en-AU"/>
        </w:rPr>
      </w:pPr>
      <w:r w:rsidRPr="000A1D51">
        <w:rPr>
          <w:rFonts w:asciiTheme="minorHAnsi" w:eastAsiaTheme="minorEastAsia" w:hAnsiTheme="minorHAnsi" w:cstheme="minorHAnsi"/>
          <w:b/>
          <w:bCs/>
          <w:color w:val="000000" w:themeColor="text1"/>
          <w:sz w:val="22"/>
          <w:szCs w:val="22"/>
          <w:lang w:val="en-AU" w:eastAsia="en-AU"/>
        </w:rPr>
        <w:t>Program-level</w:t>
      </w:r>
    </w:p>
    <w:p w14:paraId="1D6F087F" w14:textId="4BB63D54" w:rsidR="000016C9" w:rsidRPr="000A1D51" w:rsidRDefault="000016C9" w:rsidP="000016C9">
      <w:pPr>
        <w:pStyle w:val="bullettable"/>
        <w:spacing w:line="276" w:lineRule="auto"/>
        <w:rPr>
          <w:lang w:val="en-AU"/>
        </w:rPr>
      </w:pPr>
      <w:r w:rsidRPr="000A1D51">
        <w:rPr>
          <w:b/>
          <w:bCs/>
          <w:lang w:val="en-AU"/>
        </w:rPr>
        <w:t xml:space="preserve">ASEC systems. </w:t>
      </w:r>
      <w:r w:rsidRPr="000A1D51">
        <w:rPr>
          <w:lang w:val="en-AU"/>
        </w:rPr>
        <w:t xml:space="preserve">Discussions with AADCP II staff have highlighted certain challenges with ASEC operations systems, including human resources, procurement, administration and contracting. It was noted that these systems </w:t>
      </w:r>
      <w:r w:rsidRPr="000A1D51">
        <w:rPr>
          <w:i/>
          <w:iCs/>
          <w:lang w:val="en-AU"/>
        </w:rPr>
        <w:t xml:space="preserve">‘can be rigid and inconsistent’ </w:t>
      </w:r>
      <w:r w:rsidRPr="000A1D51">
        <w:rPr>
          <w:lang w:val="en-AU"/>
        </w:rPr>
        <w:t xml:space="preserve">and not always able to support the program’s unique needs, for instance with procurement and contracting. </w:t>
      </w:r>
    </w:p>
    <w:p w14:paraId="47A5A1D0" w14:textId="562A5B5D" w:rsidR="000016C9" w:rsidRPr="000A1D51" w:rsidRDefault="000016C9" w:rsidP="000016C9">
      <w:pPr>
        <w:pStyle w:val="bullettable"/>
        <w:spacing w:line="276" w:lineRule="auto"/>
        <w:rPr>
          <w:lang w:val="en-AU"/>
        </w:rPr>
      </w:pPr>
      <w:r w:rsidRPr="000A1D51">
        <w:rPr>
          <w:b/>
          <w:bCs/>
          <w:lang w:val="en-AU"/>
        </w:rPr>
        <w:t>With no legal and contractual arrangement in project implementation</w:t>
      </w:r>
      <w:r w:rsidRPr="000A1D51">
        <w:rPr>
          <w:lang w:val="en-AU"/>
        </w:rPr>
        <w:t xml:space="preserve">, AADCP II has limited authority to manage contracts and projects. Under the current model, the program does not have any contractual and performance oversight of subcontractors to deliver projects funded by the program and is often put at a disadvantage if an issue arises between AADCP II and the sub-contractor. This can also limit the ability of the program to effectively quality assure program products. </w:t>
      </w:r>
    </w:p>
    <w:p w14:paraId="383D92D0" w14:textId="0F6BCDC1" w:rsidR="000016C9" w:rsidRPr="000A1D51" w:rsidRDefault="000016C9" w:rsidP="000016C9">
      <w:pPr>
        <w:pStyle w:val="bullettable"/>
        <w:spacing w:line="276" w:lineRule="auto"/>
        <w:rPr>
          <w:lang w:val="en-AU"/>
        </w:rPr>
      </w:pPr>
      <w:r w:rsidRPr="000A1D51">
        <w:rPr>
          <w:lang w:val="en-AU"/>
        </w:rPr>
        <w:t xml:space="preserve">The current model </w:t>
      </w:r>
      <w:r w:rsidRPr="000A1D51">
        <w:rPr>
          <w:b/>
          <w:bCs/>
          <w:lang w:val="en-AU"/>
        </w:rPr>
        <w:t xml:space="preserve">restricts AADCP II </w:t>
      </w:r>
      <w:r w:rsidR="003876CC" w:rsidRPr="000A1D51">
        <w:rPr>
          <w:b/>
          <w:bCs/>
          <w:lang w:val="en-AU"/>
        </w:rPr>
        <w:t xml:space="preserve">involvement </w:t>
      </w:r>
      <w:r w:rsidRPr="000A1D51">
        <w:rPr>
          <w:b/>
          <w:bCs/>
          <w:lang w:val="en-AU"/>
        </w:rPr>
        <w:t xml:space="preserve">to the </w:t>
      </w:r>
      <w:r w:rsidR="003876CC" w:rsidRPr="000A1D51">
        <w:rPr>
          <w:b/>
          <w:bCs/>
          <w:lang w:val="en-AU"/>
        </w:rPr>
        <w:t xml:space="preserve">AEC </w:t>
      </w:r>
      <w:r w:rsidRPr="000A1D51">
        <w:rPr>
          <w:b/>
          <w:bCs/>
          <w:lang w:val="en-AU"/>
        </w:rPr>
        <w:t>Economic pillar</w:t>
      </w:r>
      <w:r w:rsidRPr="000A1D51">
        <w:rPr>
          <w:lang w:val="en-AU"/>
        </w:rPr>
        <w:t xml:space="preserve"> and precludes the program from </w:t>
      </w:r>
      <w:r w:rsidR="00824EE8" w:rsidRPr="000A1D51">
        <w:rPr>
          <w:lang w:val="en-AU"/>
        </w:rPr>
        <w:t xml:space="preserve">directly </w:t>
      </w:r>
      <w:r w:rsidRPr="000A1D51">
        <w:rPr>
          <w:lang w:val="en-AU"/>
        </w:rPr>
        <w:t>engaging with other areas of ASEAN, such as the Socio-</w:t>
      </w:r>
      <w:r w:rsidR="00C358E3" w:rsidRPr="000A1D51">
        <w:rPr>
          <w:lang w:val="en-AU"/>
        </w:rPr>
        <w:t>Cultural</w:t>
      </w:r>
      <w:r w:rsidRPr="000A1D51">
        <w:rPr>
          <w:lang w:val="en-AU"/>
        </w:rPr>
        <w:t xml:space="preserve"> pillar </w:t>
      </w:r>
      <w:r w:rsidR="003876CC" w:rsidRPr="000A1D51">
        <w:rPr>
          <w:lang w:val="en-AU"/>
        </w:rPr>
        <w:t>responsible for</w:t>
      </w:r>
      <w:r w:rsidRPr="000A1D51">
        <w:rPr>
          <w:lang w:val="en-AU"/>
        </w:rPr>
        <w:t xml:space="preserve"> gender. While working through one pillar can help focus program efforts, it can also limit Australia’s ability to engage with ASEAN more broadly to respond to emerging priorities. The current arrangement also limits </w:t>
      </w:r>
      <w:r w:rsidRPr="000A1D51">
        <w:rPr>
          <w:lang w:val="en-AU"/>
        </w:rPr>
        <w:lastRenderedPageBreak/>
        <w:t xml:space="preserve">Australia from linking AADCP II’s work with other areas where Australia has a proven track record (such as TVET) </w:t>
      </w:r>
      <w:r w:rsidR="005406AB" w:rsidRPr="000A1D51">
        <w:rPr>
          <w:lang w:val="en-AU"/>
        </w:rPr>
        <w:t xml:space="preserve">that </w:t>
      </w:r>
      <w:r w:rsidRPr="000A1D51">
        <w:rPr>
          <w:lang w:val="en-AU"/>
        </w:rPr>
        <w:t>also contributes to promoting economic and inclusive growth in ASEAN. This is an area that should be explored by the design team</w:t>
      </w:r>
      <w:r w:rsidR="007A1605" w:rsidRPr="000A1D51">
        <w:rPr>
          <w:lang w:val="en-AU"/>
        </w:rPr>
        <w:t>, (and/or by DFAT and ASEAN when developing the TOR for the design team)</w:t>
      </w:r>
      <w:r w:rsidRPr="000A1D51">
        <w:rPr>
          <w:lang w:val="en-AU"/>
        </w:rPr>
        <w:t xml:space="preserve">.  </w:t>
      </w:r>
      <w:r w:rsidRPr="000A1D51">
        <w:rPr>
          <w:rFonts w:ascii="Calibri" w:hAnsi="Calibri" w:cs="Calibri"/>
          <w:sz w:val="22"/>
        </w:rPr>
        <w:t xml:space="preserve"> </w:t>
      </w:r>
      <w:r w:rsidRPr="000A1D51">
        <w:rPr>
          <w:lang w:val="en-AU"/>
        </w:rPr>
        <w:t xml:space="preserve"> </w:t>
      </w:r>
    </w:p>
    <w:p w14:paraId="2D35FEC5" w14:textId="55B2B8DD" w:rsidR="000016C9" w:rsidRPr="000A1D51" w:rsidRDefault="000016C9" w:rsidP="000016C9">
      <w:pPr>
        <w:pStyle w:val="bullettable"/>
        <w:spacing w:line="276" w:lineRule="auto"/>
        <w:rPr>
          <w:lang w:val="en-AU"/>
        </w:rPr>
      </w:pPr>
      <w:r w:rsidRPr="000A1D51">
        <w:rPr>
          <w:b/>
          <w:bCs/>
          <w:lang w:val="en-AU"/>
        </w:rPr>
        <w:t>ASEAN branding</w:t>
      </w:r>
      <w:r w:rsidR="00C5703B">
        <w:rPr>
          <w:b/>
          <w:bCs/>
          <w:lang w:val="en-AU"/>
        </w:rPr>
        <w:t xml:space="preserve">. </w:t>
      </w:r>
      <w:r w:rsidRPr="000A1D51">
        <w:rPr>
          <w:lang w:val="en-AU"/>
        </w:rPr>
        <w:t>Discussions with DFAT-ASEAN Mission however, noted that while, Australia may not</w:t>
      </w:r>
      <w:r w:rsidR="00824EE8" w:rsidRPr="000A1D51">
        <w:rPr>
          <w:lang w:val="en-AU"/>
        </w:rPr>
        <w:t xml:space="preserve"> always</w:t>
      </w:r>
      <w:r w:rsidRPr="000A1D51">
        <w:rPr>
          <w:lang w:val="en-AU"/>
        </w:rPr>
        <w:t xml:space="preserve"> have its logo on program products, Australia receives </w:t>
      </w:r>
      <w:r w:rsidR="00824EE8" w:rsidRPr="000A1D51">
        <w:rPr>
          <w:lang w:val="en-AU"/>
        </w:rPr>
        <w:t>considerable</w:t>
      </w:r>
      <w:r w:rsidRPr="000A1D51">
        <w:rPr>
          <w:lang w:val="en-AU"/>
        </w:rPr>
        <w:t xml:space="preserve"> </w:t>
      </w:r>
      <w:r w:rsidR="00824EE8" w:rsidRPr="000A1D51">
        <w:rPr>
          <w:lang w:val="en-AU"/>
        </w:rPr>
        <w:t xml:space="preserve">direct and </w:t>
      </w:r>
      <w:r w:rsidRPr="000A1D51">
        <w:rPr>
          <w:lang w:val="en-AU"/>
        </w:rPr>
        <w:t xml:space="preserve">indirect credit and acknowledgement from ASEAN for supporting key initiatives and agreeing for ASEAN to launch products as theirs in international platforms. </w:t>
      </w:r>
    </w:p>
    <w:p w14:paraId="0B7B90CE" w14:textId="2633F468" w:rsidR="000016C9" w:rsidRPr="000A1D51" w:rsidRDefault="000016C9" w:rsidP="000016C9">
      <w:pPr>
        <w:pStyle w:val="bullettable"/>
        <w:spacing w:line="276" w:lineRule="auto"/>
        <w:rPr>
          <w:lang w:val="en-AU"/>
        </w:rPr>
      </w:pPr>
      <w:r w:rsidRPr="000A1D51">
        <w:rPr>
          <w:b/>
          <w:bCs/>
          <w:lang w:val="en-AU"/>
        </w:rPr>
        <w:t>Strong AADCP II Brand Recognition.</w:t>
      </w:r>
      <w:r w:rsidRPr="000A1D51">
        <w:rPr>
          <w:lang w:val="en-AU"/>
        </w:rPr>
        <w:t xml:space="preserve"> As a result of ASEAN’s strong ownership of AADCP II, the program also enjoys a strong brand recognition in ASEAN and is often seen as synonymous with Australian support (perhaps due to the program being demand-led and also embedded within ASEC). This has, to some extent, diminished the opportunity for Australia to raise its regional profile. Discussions with the DFAT- ASEAN Mission indicated that </w:t>
      </w:r>
      <w:r w:rsidRPr="000A1D51">
        <w:t>ASEAN Ambassadors don’t necessarily explore support elsewhere with Australia, as they currently receive wide-rang</w:t>
      </w:r>
      <w:r w:rsidR="00BB29F9" w:rsidRPr="000A1D51">
        <w:t>ing</w:t>
      </w:r>
      <w:r w:rsidRPr="000A1D51">
        <w:t xml:space="preserve"> support through AADCP II</w:t>
      </w:r>
      <w:r w:rsidR="007C562B" w:rsidRPr="000A1D51">
        <w:t>,</w:t>
      </w:r>
      <w:r w:rsidRPr="000A1D51">
        <w:t xml:space="preserve"> and the program, at first glance, seems to have a comprehensive coverage under the Economic pillar. ASEAN Ambassadors also noted that they weren’t fully </w:t>
      </w:r>
      <w:r w:rsidR="009010F7" w:rsidRPr="000A1D51">
        <w:t>aware of</w:t>
      </w:r>
      <w:r w:rsidRPr="000A1D51">
        <w:t xml:space="preserve"> other </w:t>
      </w:r>
      <w:r w:rsidR="009010F7" w:rsidRPr="000A1D51">
        <w:t xml:space="preserve">Australian </w:t>
      </w:r>
      <w:r w:rsidRPr="000A1D51">
        <w:t xml:space="preserve">regional and bilateral support available to them. While this demonstrates success of the AADCP II approach, it also </w:t>
      </w:r>
      <w:r w:rsidR="003326DF" w:rsidRPr="000A1D51">
        <w:t xml:space="preserve">suggests </w:t>
      </w:r>
      <w:r w:rsidR="00BB2BD5" w:rsidRPr="000A1D51">
        <w:t>a need for</w:t>
      </w:r>
      <w:r w:rsidR="00F05EBB" w:rsidRPr="000A1D51">
        <w:t xml:space="preserve"> </w:t>
      </w:r>
      <w:r w:rsidRPr="000A1D51">
        <w:t xml:space="preserve">Australia to be more proactive in their internal and external communication channels to ensure ASEAN stakeholders are aware of Australia’s broader support.  </w:t>
      </w:r>
    </w:p>
    <w:p w14:paraId="1E6EDC05" w14:textId="32340217" w:rsidR="000016C9" w:rsidRPr="000A1D51" w:rsidRDefault="000016C9" w:rsidP="000016C9">
      <w:pPr>
        <w:jc w:val="both"/>
        <w:rPr>
          <w:rFonts w:asciiTheme="minorHAnsi" w:eastAsiaTheme="minorEastAsia" w:hAnsiTheme="minorHAnsi" w:cstheme="minorHAnsi"/>
          <w:b/>
          <w:bCs/>
          <w:color w:val="000000" w:themeColor="text1"/>
          <w:sz w:val="22"/>
          <w:szCs w:val="22"/>
          <w:lang w:val="en-AU" w:eastAsia="en-AU"/>
        </w:rPr>
      </w:pPr>
      <w:r w:rsidRPr="000A1D51">
        <w:rPr>
          <w:rFonts w:asciiTheme="minorHAnsi" w:eastAsiaTheme="minorEastAsia" w:hAnsiTheme="minorHAnsi" w:cstheme="minorHAnsi"/>
          <w:b/>
          <w:bCs/>
          <w:color w:val="000000" w:themeColor="text1"/>
          <w:sz w:val="22"/>
          <w:szCs w:val="22"/>
          <w:lang w:val="en-AU" w:eastAsia="en-AU"/>
        </w:rPr>
        <w:t xml:space="preserve">Project-level </w:t>
      </w:r>
    </w:p>
    <w:p w14:paraId="1DFB739A" w14:textId="5898F40E" w:rsidR="000016C9" w:rsidRPr="000A1D51" w:rsidRDefault="000016C9" w:rsidP="000016C9">
      <w:pPr>
        <w:pStyle w:val="bullettable"/>
        <w:spacing w:line="276" w:lineRule="auto"/>
        <w:rPr>
          <w:lang w:val="en-AU"/>
        </w:rPr>
      </w:pPr>
      <w:r w:rsidRPr="000A1D51">
        <w:rPr>
          <w:b/>
          <w:bCs/>
          <w:lang w:val="en-AU"/>
        </w:rPr>
        <w:t>The record with partnership at the project level has been mixed</w:t>
      </w:r>
      <w:r w:rsidRPr="000A1D51">
        <w:rPr>
          <w:lang w:val="en-AU"/>
        </w:rPr>
        <w:t xml:space="preserve">. Effective partnership on AADCP II requires the relevant ASEC Division to drive the design and implementation of project activities and to quality assure outputs. </w:t>
      </w:r>
    </w:p>
    <w:p w14:paraId="528E8EDF" w14:textId="4C5E6A11" w:rsidR="000016C9" w:rsidRPr="000A1D51" w:rsidRDefault="000016C9" w:rsidP="000016C9">
      <w:pPr>
        <w:pStyle w:val="bullettable"/>
        <w:spacing w:line="276" w:lineRule="auto"/>
        <w:rPr>
          <w:lang w:val="en-AU"/>
        </w:rPr>
      </w:pPr>
      <w:r w:rsidRPr="000A1D51">
        <w:rPr>
          <w:rFonts w:eastAsiaTheme="minorEastAsia"/>
          <w:lang w:val="en-AU" w:eastAsia="en-AU"/>
        </w:rPr>
        <w:t xml:space="preserve">Another challenge with AADCP II’s modality is that ASEAN sectoral bodies and working groups rarely engage with AADCP II as the program does not have a formal position in the identification and section of projects it funds. This is different to other Dialogue Partners who work closely with sectoral bodies to develop project proposals themselves, such as EU Arise Plus. Some ASEC discussants noted a preference for EU ARISE Plus over AADCP II, so they don’t have to develop the project proposals themselves. </w:t>
      </w:r>
    </w:p>
    <w:p w14:paraId="420BD621" w14:textId="789D1442" w:rsidR="000016C9" w:rsidRPr="000A1D51" w:rsidRDefault="000016C9" w:rsidP="000016C9">
      <w:pPr>
        <w:pStyle w:val="bullettable"/>
        <w:spacing w:line="276" w:lineRule="auto"/>
        <w:rPr>
          <w:lang w:val="en-AU"/>
        </w:rPr>
      </w:pPr>
      <w:r w:rsidRPr="000A1D51">
        <w:rPr>
          <w:b/>
          <w:bCs/>
          <w:lang w:val="en-AU"/>
        </w:rPr>
        <w:t>Lack of Clarity over roles and responsibilities-</w:t>
      </w:r>
      <w:r w:rsidRPr="000A1D51">
        <w:rPr>
          <w:rFonts w:eastAsiaTheme="minorEastAsia" w:cstheme="minorHAnsi"/>
          <w:b/>
          <w:bCs/>
          <w:color w:val="000000" w:themeColor="text1"/>
          <w:sz w:val="22"/>
          <w:lang w:val="en-AU" w:eastAsia="en-AU"/>
        </w:rPr>
        <w:t xml:space="preserve"> </w:t>
      </w:r>
      <w:r w:rsidR="00074C39" w:rsidRPr="000A1D51">
        <w:rPr>
          <w:rFonts w:eastAsiaTheme="minorEastAsia" w:cstheme="minorHAnsi"/>
          <w:color w:val="000000" w:themeColor="text1"/>
          <w:sz w:val="22"/>
          <w:lang w:val="en-AU" w:eastAsia="en-AU"/>
        </w:rPr>
        <w:t xml:space="preserve">Discussions with PPMSU </w:t>
      </w:r>
      <w:r w:rsidR="002A65BC" w:rsidRPr="000A1D51">
        <w:rPr>
          <w:rFonts w:eastAsiaTheme="minorEastAsia" w:cstheme="minorHAnsi"/>
          <w:color w:val="000000" w:themeColor="text1"/>
          <w:sz w:val="22"/>
          <w:lang w:val="en-AU" w:eastAsia="en-AU"/>
        </w:rPr>
        <w:t xml:space="preserve">highlighted </w:t>
      </w:r>
      <w:r w:rsidR="00074C39" w:rsidRPr="000A1D51">
        <w:rPr>
          <w:rFonts w:eastAsiaTheme="minorEastAsia" w:cstheme="minorHAnsi"/>
          <w:color w:val="000000" w:themeColor="text1"/>
          <w:sz w:val="22"/>
          <w:lang w:val="en-AU" w:eastAsia="en-AU"/>
        </w:rPr>
        <w:t>that</w:t>
      </w:r>
      <w:r w:rsidR="00074C39" w:rsidRPr="000A1D51">
        <w:rPr>
          <w:rFonts w:eastAsiaTheme="minorEastAsia" w:cstheme="minorHAnsi"/>
          <w:b/>
          <w:bCs/>
          <w:color w:val="000000" w:themeColor="text1"/>
          <w:sz w:val="22"/>
          <w:lang w:val="en-AU" w:eastAsia="en-AU"/>
        </w:rPr>
        <w:t xml:space="preserve">, </w:t>
      </w:r>
      <w:r w:rsidR="00074C39" w:rsidRPr="000A1D51">
        <w:t>a</w:t>
      </w:r>
      <w:r w:rsidRPr="000A1D51">
        <w:t>t project initiation and implementation, there is lack of clarity in the division of roles and responsibilities between ASEC Desk Officers and AADCP II</w:t>
      </w:r>
    </w:p>
    <w:p w14:paraId="5B229703" w14:textId="4FA3AE20" w:rsidR="000016C9" w:rsidRPr="000A1D51" w:rsidRDefault="000016C9" w:rsidP="000016C9">
      <w:pPr>
        <w:pStyle w:val="bullettable"/>
        <w:numPr>
          <w:ilvl w:val="1"/>
          <w:numId w:val="24"/>
        </w:numPr>
        <w:spacing w:line="276" w:lineRule="auto"/>
        <w:rPr>
          <w:lang w:val="en-AU"/>
        </w:rPr>
      </w:pPr>
      <w:r w:rsidRPr="000A1D51">
        <w:t>Similar</w:t>
      </w:r>
      <w:r w:rsidR="004B6EA9" w:rsidRPr="000A1D51">
        <w:t>ly</w:t>
      </w:r>
      <w:r w:rsidRPr="000A1D51">
        <w:t>,</w:t>
      </w:r>
      <w:r w:rsidRPr="000A1D51">
        <w:rPr>
          <w:b/>
          <w:bCs/>
        </w:rPr>
        <w:t xml:space="preserve"> ASEC Desk Officers</w:t>
      </w:r>
      <w:r w:rsidRPr="000A1D51">
        <w:t xml:space="preserve"> funded by </w:t>
      </w:r>
      <w:r w:rsidR="00E70BD1" w:rsidRPr="000A1D51">
        <w:t>the program</w:t>
      </w:r>
      <w:r w:rsidRPr="000A1D51">
        <w:t xml:space="preserve"> have noted that while their position functioned well for the most part, there were some operational challenges. A key challenge being that they were unsure whether to regard themselves as ASEC employee or AADCP II project staff. </w:t>
      </w:r>
    </w:p>
    <w:p w14:paraId="590844ED" w14:textId="56489823" w:rsidR="000016C9" w:rsidRPr="000A1D51" w:rsidRDefault="000016C9" w:rsidP="000016C9">
      <w:pPr>
        <w:pStyle w:val="bullettable"/>
        <w:spacing w:line="276" w:lineRule="auto"/>
        <w:rPr>
          <w:lang w:val="en-AU"/>
        </w:rPr>
      </w:pPr>
      <w:r w:rsidRPr="000A1D51">
        <w:rPr>
          <w:b/>
          <w:bCs/>
          <w:lang w:val="en-AU"/>
        </w:rPr>
        <w:t>M&amp;E</w:t>
      </w:r>
      <w:r w:rsidRPr="000A1D51">
        <w:rPr>
          <w:lang w:val="en-AU"/>
        </w:rPr>
        <w:t xml:space="preserve">- AADCP II’s demand-led partnership model operates as a ‘responsive facility’ and relies on ASEC systems to implement and monitor programs.. </w:t>
      </w:r>
      <w:r w:rsidR="00C925DE" w:rsidRPr="000A1D51">
        <w:rPr>
          <w:lang w:val="en-AU"/>
        </w:rPr>
        <w:t>A key lesson from the program indicates that a</w:t>
      </w:r>
      <w:r w:rsidR="00B034A6" w:rsidRPr="000A1D51">
        <w:rPr>
          <w:lang w:val="en-AU"/>
        </w:rPr>
        <w:t>d hoc projects</w:t>
      </w:r>
      <w:r w:rsidR="00C925DE" w:rsidRPr="000A1D51">
        <w:rPr>
          <w:lang w:val="en-AU"/>
        </w:rPr>
        <w:t>, once they are completed, are</w:t>
      </w:r>
      <w:r w:rsidR="00B034A6" w:rsidRPr="000A1D51">
        <w:rPr>
          <w:lang w:val="en-AU"/>
        </w:rPr>
        <w:t xml:space="preserve"> difficult to track </w:t>
      </w:r>
      <w:r w:rsidR="00095FE3" w:rsidRPr="000A1D51">
        <w:rPr>
          <w:lang w:val="en-AU"/>
        </w:rPr>
        <w:lastRenderedPageBreak/>
        <w:t>for</w:t>
      </w:r>
      <w:r w:rsidR="00C8481D" w:rsidRPr="000A1D51">
        <w:rPr>
          <w:lang w:val="en-AU"/>
        </w:rPr>
        <w:t xml:space="preserve"> outcomes</w:t>
      </w:r>
      <w:r w:rsidR="00AD5256" w:rsidRPr="000A1D51">
        <w:rPr>
          <w:lang w:val="en-AU"/>
        </w:rPr>
        <w:t xml:space="preserve"> or impact</w:t>
      </w:r>
      <w:r w:rsidR="00C8481D" w:rsidRPr="000A1D51">
        <w:rPr>
          <w:lang w:val="en-AU"/>
        </w:rPr>
        <w:t xml:space="preserve">. </w:t>
      </w:r>
      <w:r w:rsidR="00095FE3" w:rsidRPr="000A1D51">
        <w:rPr>
          <w:lang w:val="en-AU"/>
        </w:rPr>
        <w:t xml:space="preserve">Ongoing or follow-up projects </w:t>
      </w:r>
      <w:r w:rsidR="00D330A9" w:rsidRPr="000A1D51">
        <w:rPr>
          <w:lang w:val="en-AU"/>
        </w:rPr>
        <w:t xml:space="preserve">allow the program to track outputs and outcomes over a longer </w:t>
      </w:r>
      <w:r w:rsidR="00BA573A" w:rsidRPr="000A1D51">
        <w:rPr>
          <w:lang w:val="en-AU"/>
        </w:rPr>
        <w:t>period</w:t>
      </w:r>
      <w:r w:rsidR="00D330A9" w:rsidRPr="000A1D51">
        <w:rPr>
          <w:lang w:val="en-AU"/>
        </w:rPr>
        <w:t xml:space="preserve"> which</w:t>
      </w:r>
      <w:r w:rsidR="006A02E1" w:rsidRPr="000A1D51">
        <w:rPr>
          <w:lang w:val="en-AU"/>
        </w:rPr>
        <w:t xml:space="preserve"> is </w:t>
      </w:r>
      <w:r w:rsidR="00571BA2" w:rsidRPr="000A1D51">
        <w:rPr>
          <w:lang w:val="en-AU"/>
        </w:rPr>
        <w:t xml:space="preserve">necessary in order to </w:t>
      </w:r>
      <w:r w:rsidR="00EE6013" w:rsidRPr="000A1D51">
        <w:rPr>
          <w:lang w:val="en-AU"/>
        </w:rPr>
        <w:t>realise</w:t>
      </w:r>
      <w:r w:rsidR="00571BA2" w:rsidRPr="000A1D51">
        <w:rPr>
          <w:lang w:val="en-AU"/>
        </w:rPr>
        <w:t xml:space="preserve"> outcomes. </w:t>
      </w:r>
      <w:r w:rsidR="00C925DE" w:rsidRPr="000A1D51">
        <w:rPr>
          <w:lang w:val="en-AU"/>
        </w:rPr>
        <w:t xml:space="preserve"> </w:t>
      </w:r>
      <w:r w:rsidRPr="000A1D51">
        <w:t xml:space="preserve">Discussions with AADCP II staff have </w:t>
      </w:r>
      <w:r w:rsidR="00EE6013" w:rsidRPr="000A1D51">
        <w:t xml:space="preserve">also </w:t>
      </w:r>
      <w:r w:rsidRPr="000A1D51">
        <w:t xml:space="preserve">noted an increased interest in M&amp;E with ASEC putting a stronger emphasis on outcome and impact in its improved AEC M&amp;E framework. The program should explore opportunities to take advantage of this and identify entry points for greater M&amp;E engagement with ASEAN. </w:t>
      </w:r>
    </w:p>
    <w:p w14:paraId="2D491516" w14:textId="6E413358" w:rsidR="000016C9" w:rsidRPr="000A1D51" w:rsidRDefault="000016C9" w:rsidP="000016C9">
      <w:pPr>
        <w:pStyle w:val="bullettable"/>
        <w:spacing w:line="276" w:lineRule="auto"/>
        <w:rPr>
          <w:lang w:val="en-AU"/>
        </w:rPr>
      </w:pPr>
      <w:r w:rsidRPr="000A1D51">
        <w:rPr>
          <w:b/>
          <w:bCs/>
        </w:rPr>
        <w:t>Gender-</w:t>
      </w:r>
      <w:r w:rsidRPr="000A1D51">
        <w:t xml:space="preserve"> AADCP II was not designed with specific gender outcomes in mind, particularly as it takes an ASEAN-led approach. Given that the program’s work primarily falls under the Economic Pillar while gender is positioned under the Socio-Cultural Pillar, AADCP II has found it challenging to advocate for and incorporate gender considerations into project proposals. Discussions with ASEAN Permanent Mission representatives also highlighted a lack of understanding of potential gender outcomes of projects funded by AADCP II and remarked that ‘AADCP II should help ASEAN think through the gendered aspects of our work’.  AADCP II program team and DFAT acknowledged the importance of trying to identify champions within ASEC to advocate for gender equality within the sectors AADCP II works in. Previously, AADCP II engaged with DFAT’s Regional Gender Adviser for guidance and support on specific gender-related issues, however that position has been vacant for some time. </w:t>
      </w:r>
      <w:r w:rsidR="00D05C1A" w:rsidRPr="000A1D51">
        <w:t xml:space="preserve">AADCP II is now sourcing gender advice from Clear Horizon and this should continue on the current program. </w:t>
      </w:r>
    </w:p>
    <w:p w14:paraId="67BAB06D" w14:textId="12463122" w:rsidR="000016C9" w:rsidRPr="000A1D51" w:rsidRDefault="000016C9" w:rsidP="000016C9">
      <w:pPr>
        <w:rPr>
          <w:rFonts w:asciiTheme="minorHAnsi" w:eastAsia="SimSun" w:hAnsiTheme="minorHAnsi" w:cstheme="minorHAnsi"/>
          <w:b/>
          <w:bCs/>
          <w:color w:val="1F497D" w:themeColor="text2"/>
          <w:sz w:val="22"/>
          <w:szCs w:val="22"/>
          <w:lang w:val="en-AU"/>
        </w:rPr>
      </w:pPr>
    </w:p>
    <w:p w14:paraId="000F31B9" w14:textId="4E59B6D6" w:rsidR="000016C9" w:rsidRPr="000A1D51" w:rsidRDefault="000016C9" w:rsidP="00E0508E">
      <w:pPr>
        <w:pStyle w:val="Heading2"/>
        <w:keepLines/>
        <w:numPr>
          <w:ilvl w:val="1"/>
          <w:numId w:val="47"/>
        </w:numPr>
        <w:spacing w:before="0" w:after="220"/>
        <w:rPr>
          <w:rFonts w:eastAsia="SimSun"/>
          <w:lang w:val="en-AU"/>
        </w:rPr>
      </w:pPr>
      <w:bookmarkStart w:id="95" w:name="_Toc24884133"/>
      <w:bookmarkStart w:id="96" w:name="_Toc31820135"/>
      <w:r w:rsidRPr="000A1D51">
        <w:rPr>
          <w:rFonts w:eastAsia="SimSun"/>
          <w:lang w:val="en-AU"/>
        </w:rPr>
        <w:t>What approaches do other dialogue partners use with ASEAN? What works well, what doesn’t and why?</w:t>
      </w:r>
      <w:bookmarkEnd w:id="95"/>
      <w:bookmarkEnd w:id="96"/>
      <w:r w:rsidRPr="000A1D51">
        <w:rPr>
          <w:rFonts w:eastAsia="SimSun"/>
          <w:lang w:val="en-AU"/>
        </w:rPr>
        <w:t xml:space="preserve"> </w:t>
      </w:r>
    </w:p>
    <w:p w14:paraId="61F33DCD" w14:textId="6A7BCC90" w:rsidR="000016C9" w:rsidRPr="000A1D51" w:rsidRDefault="000016C9" w:rsidP="000016C9">
      <w:pPr>
        <w:jc w:val="both"/>
        <w:rPr>
          <w:rFonts w:asciiTheme="minorHAnsi" w:eastAsia="SimSun" w:hAnsiTheme="minorHAnsi" w:cstheme="minorHAnsi"/>
          <w:sz w:val="22"/>
          <w:szCs w:val="22"/>
          <w:lang w:val="en-AU"/>
        </w:rPr>
      </w:pPr>
      <w:r w:rsidRPr="000A1D51">
        <w:rPr>
          <w:rFonts w:asciiTheme="minorHAnsi" w:eastAsia="SimSun" w:hAnsiTheme="minorHAnsi" w:cstheme="minorHAnsi"/>
          <w:sz w:val="22"/>
          <w:szCs w:val="22"/>
          <w:lang w:val="en-AU"/>
        </w:rPr>
        <w:t>The case study also looked at program approaches used by other Dialogue Partners working with ASEAN and through ASEC, in particular the approaches used by the EU Arise Plus programme and the GIZ programs</w:t>
      </w:r>
      <w:r w:rsidRPr="000A1D51">
        <w:rPr>
          <w:rStyle w:val="FootnoteReference"/>
          <w:rFonts w:eastAsia="SimSun" w:cstheme="minorHAnsi"/>
          <w:lang w:val="en-AU"/>
        </w:rPr>
        <w:footnoteReference w:id="43"/>
      </w:r>
      <w:r w:rsidRPr="000A1D51">
        <w:rPr>
          <w:rFonts w:asciiTheme="minorHAnsi" w:eastAsia="SimSun" w:hAnsiTheme="minorHAnsi" w:cstheme="minorHAnsi"/>
          <w:sz w:val="22"/>
          <w:szCs w:val="22"/>
          <w:lang w:val="en-AU"/>
        </w:rPr>
        <w:t xml:space="preserve">. Dialogue Partners working with ASEC include Australia, the European Union, GIZ, USAID, Japan, China, Korea, Russia and India. </w:t>
      </w:r>
    </w:p>
    <w:p w14:paraId="4B96D922" w14:textId="2A63A9B3" w:rsidR="000016C9" w:rsidRPr="000A1D51" w:rsidRDefault="000016C9" w:rsidP="000016C9">
      <w:pPr>
        <w:jc w:val="both"/>
        <w:rPr>
          <w:rFonts w:asciiTheme="minorHAnsi" w:eastAsia="SimSun" w:hAnsiTheme="minorHAnsi" w:cstheme="minorHAnsi"/>
          <w:sz w:val="22"/>
          <w:szCs w:val="22"/>
          <w:lang w:val="en-AU"/>
        </w:rPr>
      </w:pPr>
    </w:p>
    <w:p w14:paraId="7514D7E6" w14:textId="648A77E9" w:rsidR="000016C9" w:rsidRPr="000A1D51" w:rsidRDefault="000016C9" w:rsidP="000016C9">
      <w:pPr>
        <w:jc w:val="both"/>
        <w:rPr>
          <w:rFonts w:asciiTheme="minorHAnsi" w:eastAsia="SimSun" w:hAnsiTheme="minorHAnsi" w:cstheme="minorHAnsi"/>
          <w:sz w:val="22"/>
        </w:rPr>
      </w:pPr>
      <w:r w:rsidRPr="000A1D51">
        <w:rPr>
          <w:rFonts w:asciiTheme="minorHAnsi" w:eastAsia="SimSun" w:hAnsiTheme="minorHAnsi" w:cstheme="minorHAnsi"/>
          <w:sz w:val="22"/>
          <w:szCs w:val="22"/>
          <w:lang w:val="en-AU"/>
        </w:rPr>
        <w:t xml:space="preserve">Partners such as Korea, Japan, China, India and Russia have trust funds with ASEC and closely follow ASEC processes and guidelines for appraising and approving projects. Their project proposals are approved individually as they are not multi-year programs with MoUs. </w:t>
      </w:r>
      <w:r w:rsidRPr="000A1D51">
        <w:rPr>
          <w:rFonts w:asciiTheme="minorHAnsi" w:eastAsia="SimSun" w:hAnsiTheme="minorHAnsi" w:cstheme="minorHAnsi"/>
          <w:sz w:val="22"/>
        </w:rPr>
        <w:t>Multi-year initiatives like AADCP II, EU-ARISE Plus program, and GIZ programs have long-term MoUs that outline the intention for the duration of the program- ‘</w:t>
      </w:r>
      <w:r w:rsidRPr="000A1D51">
        <w:rPr>
          <w:rFonts w:asciiTheme="minorHAnsi" w:eastAsia="SimSun" w:hAnsiTheme="minorHAnsi" w:cstheme="minorHAnsi"/>
          <w:i/>
          <w:iCs/>
          <w:sz w:val="22"/>
        </w:rPr>
        <w:t>what they will fund; what they won’t fund</w:t>
      </w:r>
      <w:r w:rsidRPr="000A1D51">
        <w:rPr>
          <w:rFonts w:asciiTheme="minorHAnsi" w:eastAsia="SimSun" w:hAnsiTheme="minorHAnsi" w:cstheme="minorHAnsi"/>
          <w:sz w:val="22"/>
        </w:rPr>
        <w:t xml:space="preserve">, </w:t>
      </w:r>
      <w:r w:rsidRPr="000A1D51">
        <w:rPr>
          <w:rFonts w:asciiTheme="minorHAnsi" w:eastAsia="SimSun" w:hAnsiTheme="minorHAnsi" w:cstheme="minorHAnsi"/>
          <w:i/>
          <w:iCs/>
          <w:sz w:val="22"/>
        </w:rPr>
        <w:t xml:space="preserve">and they follow their own or adapted procurement processes’. </w:t>
      </w:r>
    </w:p>
    <w:p w14:paraId="3BAB77A2" w14:textId="2F2715BD" w:rsidR="000016C9" w:rsidRPr="000A1D51" w:rsidRDefault="000016C9" w:rsidP="000016C9">
      <w:pPr>
        <w:jc w:val="both"/>
        <w:rPr>
          <w:rFonts w:asciiTheme="minorHAnsi" w:eastAsia="SimSun" w:hAnsiTheme="minorHAnsi" w:cstheme="minorHAnsi"/>
          <w:sz w:val="22"/>
        </w:rPr>
      </w:pPr>
    </w:p>
    <w:p w14:paraId="3C195D0A" w14:textId="4E0FA386" w:rsidR="000016C9" w:rsidRPr="000A1D51" w:rsidRDefault="000016C9" w:rsidP="000016C9">
      <w:pPr>
        <w:jc w:val="both"/>
        <w:rPr>
          <w:rFonts w:asciiTheme="minorHAnsi" w:eastAsia="SimSun" w:hAnsiTheme="minorHAnsi" w:cstheme="minorHAnsi"/>
          <w:sz w:val="22"/>
          <w:szCs w:val="22"/>
          <w:lang w:val="en-AU"/>
        </w:rPr>
      </w:pPr>
      <w:r w:rsidRPr="000A1D51">
        <w:rPr>
          <w:rFonts w:asciiTheme="minorHAnsi" w:eastAsia="SimSun" w:hAnsiTheme="minorHAnsi" w:cstheme="minorHAnsi"/>
          <w:sz w:val="22"/>
          <w:szCs w:val="22"/>
          <w:lang w:val="en-AU"/>
        </w:rPr>
        <w:t xml:space="preserve">Senior ASEC officials noted that the EU and the US use the model employed under AADCP I where funds are held by the DPs and implementation is also managed by them. Benefits of this model was noted to be less time commitments for ASEAN and no operational requirements (procurement, HR, contracting). Some ASEC discussants noted that this model can sometimes lead to less commitment from ASEAN as they are not taking a ‘hands-on’ </w:t>
      </w:r>
      <w:r w:rsidRPr="000A1D51">
        <w:rPr>
          <w:rFonts w:asciiTheme="minorHAnsi" w:eastAsia="SimSun" w:hAnsiTheme="minorHAnsi" w:cstheme="minorHAnsi"/>
          <w:sz w:val="22"/>
          <w:szCs w:val="22"/>
          <w:lang w:val="en-AU"/>
        </w:rPr>
        <w:lastRenderedPageBreak/>
        <w:t xml:space="preserve">approach, while others remarked that it doesn’t necessarily reduce ownership as EU, for example, works closely with the SBs/WGs to develop project proposals and work plans. </w:t>
      </w:r>
    </w:p>
    <w:p w14:paraId="341324A5" w14:textId="4CB5A93A" w:rsidR="000016C9" w:rsidRPr="000A1D51" w:rsidRDefault="000016C9" w:rsidP="000016C9">
      <w:pPr>
        <w:jc w:val="both"/>
        <w:rPr>
          <w:rFonts w:asciiTheme="minorHAnsi" w:eastAsia="SimSun" w:hAnsiTheme="minorHAnsi" w:cstheme="minorHAnsi"/>
          <w:sz w:val="22"/>
          <w:szCs w:val="22"/>
          <w:lang w:val="en-AU"/>
        </w:rPr>
      </w:pPr>
      <w:r w:rsidRPr="000A1D51">
        <w:rPr>
          <w:rFonts w:asciiTheme="minorHAnsi" w:eastAsia="SimSun" w:hAnsiTheme="minorHAnsi" w:cstheme="minorHAnsi"/>
          <w:i/>
          <w:iCs/>
          <w:sz w:val="22"/>
        </w:rPr>
        <w:t xml:space="preserve"> </w:t>
      </w:r>
    </w:p>
    <w:p w14:paraId="5D71A9E0" w14:textId="292EED6C" w:rsidR="000016C9" w:rsidRPr="000A1D51" w:rsidRDefault="000016C9" w:rsidP="000016C9">
      <w:pPr>
        <w:rPr>
          <w:rFonts w:asciiTheme="minorHAnsi" w:eastAsia="SimSun" w:hAnsiTheme="minorHAnsi" w:cstheme="minorHAnsi"/>
          <w:b/>
          <w:bCs/>
          <w:sz w:val="22"/>
          <w:szCs w:val="22"/>
          <w:lang w:val="en-AU"/>
        </w:rPr>
      </w:pPr>
      <w:r w:rsidRPr="000A1D51">
        <w:rPr>
          <w:rFonts w:asciiTheme="minorHAnsi" w:eastAsia="SimSun" w:hAnsiTheme="minorHAnsi" w:cstheme="minorHAnsi"/>
          <w:b/>
          <w:bCs/>
          <w:sz w:val="22"/>
          <w:szCs w:val="22"/>
          <w:lang w:val="en-AU"/>
        </w:rPr>
        <w:t>EU Arise</w:t>
      </w:r>
      <w:r w:rsidR="00EA1B3F" w:rsidRPr="000A1D51">
        <w:rPr>
          <w:rFonts w:asciiTheme="minorHAnsi" w:eastAsia="SimSun" w:hAnsiTheme="minorHAnsi" w:cstheme="minorHAnsi"/>
          <w:b/>
          <w:bCs/>
          <w:sz w:val="22"/>
          <w:szCs w:val="22"/>
          <w:lang w:val="en-AU"/>
        </w:rPr>
        <w:t xml:space="preserve"> Plus</w:t>
      </w:r>
    </w:p>
    <w:p w14:paraId="6C8EF1B4" w14:textId="31F8093A" w:rsidR="000016C9" w:rsidRPr="000A1D51" w:rsidRDefault="000016C9" w:rsidP="000016C9">
      <w:pPr>
        <w:jc w:val="both"/>
        <w:rPr>
          <w:rFonts w:asciiTheme="minorHAnsi" w:eastAsia="SimSun" w:hAnsiTheme="minorHAnsi" w:cstheme="minorHAnsi"/>
          <w:sz w:val="22"/>
          <w:szCs w:val="22"/>
          <w:lang w:val="en-AU"/>
        </w:rPr>
      </w:pPr>
      <w:r w:rsidRPr="000A1D51">
        <w:rPr>
          <w:rFonts w:asciiTheme="minorHAnsi" w:eastAsia="SimSun" w:hAnsiTheme="minorHAnsi" w:cstheme="minorHAnsi"/>
          <w:sz w:val="22"/>
          <w:szCs w:val="22"/>
          <w:lang w:val="en-AU"/>
        </w:rPr>
        <w:t xml:space="preserve">ARISE Plus (2017 to 2022) is a five-year program designed to extend the EU’s commitment to support the ASEAN region in trade facilitation. ARISE Plus builds on the efforts and success of its previous phase, ARISE. ARISE Plus includes four main components i) trade facilitation and transparency ii) standards and conformity assessment in particular healthcare and agro-based products iii) customs, transport and ACTS and iv) ASEAN economic integration monitoring and statistics. </w:t>
      </w:r>
      <w:r w:rsidRPr="000A1D51">
        <w:rPr>
          <w:rFonts w:asciiTheme="minorHAnsi" w:eastAsia="SimSun" w:hAnsiTheme="minorHAnsi" w:cstheme="minorHAnsi"/>
          <w:i/>
          <w:iCs/>
          <w:sz w:val="22"/>
          <w:szCs w:val="22"/>
          <w:lang w:val="en-AU"/>
        </w:rPr>
        <w:t>The technical assistance extended by ARISE Plus and its built-in demand driven feature will further support greater economic integration in ASEAN through the implementation of the ASEAN Economic Community Blueprint (AECB) 2025 and strengthen the institutional capacity of the ASEAN Secretariat and its sectoral bodies. ARISE Plus for the next four years will continue to strengthen the bond between EU and ASEAN through trade related technical assistance provided to the region and will indirectly contribute to the desire and collective will of a sustained economic growth of the ASEAN charter</w:t>
      </w:r>
      <w:r w:rsidRPr="000A1D51">
        <w:rPr>
          <w:rStyle w:val="FootnoteReference"/>
          <w:rFonts w:asciiTheme="minorHAnsi" w:eastAsia="SimSun" w:hAnsiTheme="minorHAnsi" w:cstheme="minorHAnsi"/>
          <w:i/>
          <w:iCs/>
          <w:sz w:val="22"/>
          <w:szCs w:val="22"/>
          <w:lang w:val="en-AU"/>
        </w:rPr>
        <w:footnoteReference w:id="44"/>
      </w:r>
      <w:r w:rsidRPr="000A1D51">
        <w:rPr>
          <w:rFonts w:asciiTheme="minorHAnsi" w:eastAsia="SimSun" w:hAnsiTheme="minorHAnsi" w:cstheme="minorHAnsi"/>
          <w:i/>
          <w:iCs/>
          <w:sz w:val="22"/>
          <w:szCs w:val="22"/>
          <w:lang w:val="en-AU"/>
        </w:rPr>
        <w:t>.</w:t>
      </w:r>
    </w:p>
    <w:p w14:paraId="42DB85D8" w14:textId="1386D4DC" w:rsidR="000016C9" w:rsidRPr="000A1D51" w:rsidRDefault="000016C9" w:rsidP="000016C9">
      <w:pPr>
        <w:rPr>
          <w:rFonts w:asciiTheme="minorHAnsi" w:eastAsia="SimSun" w:hAnsiTheme="minorHAnsi" w:cstheme="minorHAnsi"/>
          <w:b/>
          <w:bCs/>
          <w:sz w:val="22"/>
          <w:szCs w:val="22"/>
          <w:lang w:val="en-AU"/>
        </w:rPr>
      </w:pPr>
    </w:p>
    <w:p w14:paraId="7AAA8841" w14:textId="2CF50089" w:rsidR="000016C9" w:rsidRPr="000A1D51" w:rsidRDefault="000016C9" w:rsidP="000016C9">
      <w:pPr>
        <w:jc w:val="both"/>
        <w:rPr>
          <w:rFonts w:asciiTheme="minorHAnsi" w:eastAsia="SimSun" w:hAnsiTheme="minorHAnsi" w:cstheme="minorHAnsi"/>
          <w:sz w:val="22"/>
          <w:szCs w:val="22"/>
          <w:lang w:val="en-AU"/>
        </w:rPr>
      </w:pPr>
      <w:r w:rsidRPr="000A1D51">
        <w:rPr>
          <w:rFonts w:asciiTheme="minorHAnsi" w:eastAsia="SimSun" w:hAnsiTheme="minorHAnsi" w:cstheme="minorHAnsi"/>
          <w:sz w:val="22"/>
          <w:szCs w:val="22"/>
          <w:lang w:val="en-AU"/>
        </w:rPr>
        <w:t xml:space="preserve">The program has a regional component guided by the AEC and several other bilateral programs sitting under it. ARISE Plus uses a managing contractor model - the regional program is implemented by a French contractor, Aets, while the bilateral programs are managed by other contractors. The regional program is co-located within ASEC and the program structure includes a Team Leader, and four long-term technical experts in charge of leading the four technical streams. </w:t>
      </w:r>
    </w:p>
    <w:p w14:paraId="7B3A2F2E" w14:textId="4E225146" w:rsidR="000016C9" w:rsidRPr="000A1D51" w:rsidRDefault="000016C9" w:rsidP="000016C9">
      <w:pPr>
        <w:jc w:val="both"/>
        <w:rPr>
          <w:rFonts w:asciiTheme="minorHAnsi" w:eastAsia="SimSun" w:hAnsiTheme="minorHAnsi" w:cstheme="minorHAnsi"/>
          <w:sz w:val="22"/>
          <w:szCs w:val="22"/>
          <w:lang w:val="en-AU"/>
        </w:rPr>
      </w:pPr>
    </w:p>
    <w:p w14:paraId="0230E470" w14:textId="2DB2B772" w:rsidR="000016C9" w:rsidRPr="000A1D51" w:rsidRDefault="000016C9" w:rsidP="000016C9">
      <w:pPr>
        <w:jc w:val="both"/>
        <w:rPr>
          <w:rFonts w:asciiTheme="minorHAnsi" w:eastAsia="SimSun" w:hAnsiTheme="minorHAnsi" w:cstheme="minorHAnsi"/>
          <w:i/>
          <w:iCs/>
          <w:sz w:val="22"/>
          <w:szCs w:val="22"/>
          <w:lang w:val="en-AU"/>
        </w:rPr>
      </w:pPr>
      <w:r w:rsidRPr="000A1D51">
        <w:rPr>
          <w:rFonts w:asciiTheme="minorHAnsi" w:eastAsia="SimSun" w:hAnsiTheme="minorHAnsi" w:cstheme="minorHAnsi"/>
          <w:sz w:val="22"/>
          <w:szCs w:val="22"/>
          <w:lang w:val="en-AU"/>
        </w:rPr>
        <w:t xml:space="preserve">Key differences between the AADCP II model, and the approach taken by ARISE Plus are two-fold. At the program level, ARISE plus does not use ASEC operations systems and manages their own funds, administration, procurement and contracting. During discussions with ARISE Plus, they noted </w:t>
      </w:r>
      <w:r w:rsidRPr="000A1D51">
        <w:rPr>
          <w:rFonts w:asciiTheme="minorHAnsi" w:eastAsia="SimSun" w:hAnsiTheme="minorHAnsi" w:cstheme="minorHAnsi"/>
          <w:i/>
          <w:iCs/>
          <w:sz w:val="22"/>
          <w:szCs w:val="22"/>
          <w:lang w:val="en-AU"/>
        </w:rPr>
        <w:t>‘because we manage implementation and operations, we are able to react very quickly to ad hoc demands and change in situation in ASEAN’.</w:t>
      </w:r>
    </w:p>
    <w:p w14:paraId="28B83F62" w14:textId="3C345C9E" w:rsidR="000016C9" w:rsidRPr="000A1D51" w:rsidRDefault="000016C9" w:rsidP="000016C9">
      <w:pPr>
        <w:jc w:val="both"/>
        <w:rPr>
          <w:rFonts w:asciiTheme="minorHAnsi" w:eastAsia="SimSun" w:hAnsiTheme="minorHAnsi" w:cstheme="minorHAnsi"/>
          <w:sz w:val="22"/>
          <w:szCs w:val="22"/>
          <w:lang w:val="en-AU"/>
        </w:rPr>
      </w:pPr>
    </w:p>
    <w:p w14:paraId="3F6449E7" w14:textId="743ECBAF" w:rsidR="000016C9" w:rsidRPr="000A1D51" w:rsidRDefault="000016C9" w:rsidP="000016C9">
      <w:pPr>
        <w:jc w:val="both"/>
        <w:rPr>
          <w:rFonts w:asciiTheme="minorHAnsi" w:eastAsia="SimSun" w:hAnsiTheme="minorHAnsi" w:cstheme="minorHAnsi"/>
          <w:sz w:val="22"/>
          <w:szCs w:val="22"/>
          <w:lang w:val="en-AU"/>
        </w:rPr>
      </w:pPr>
      <w:r w:rsidRPr="000A1D51">
        <w:rPr>
          <w:rFonts w:asciiTheme="minorHAnsi" w:eastAsia="SimSun" w:hAnsiTheme="minorHAnsi" w:cstheme="minorHAnsi"/>
          <w:sz w:val="22"/>
          <w:szCs w:val="22"/>
          <w:lang w:val="en-AU"/>
        </w:rPr>
        <w:t xml:space="preserve">At the project level, a key difference between ARISE Plus and AADCP II is the way project proposals are developed. ARISE Plus engages directly with ASEAN Sectoral Bodies/Working groups and leads the development of project proposals. ARISE Plus also have in-house technical experts who lead on project planning and proposal development and are able to program activities for over a long period. ARISE Plus program noted </w:t>
      </w:r>
      <w:r w:rsidRPr="000A1D51">
        <w:rPr>
          <w:rFonts w:asciiTheme="minorHAnsi" w:eastAsia="SimSun" w:hAnsiTheme="minorHAnsi" w:cstheme="minorHAnsi"/>
          <w:i/>
          <w:iCs/>
          <w:sz w:val="22"/>
          <w:szCs w:val="22"/>
          <w:lang w:val="en-AU"/>
        </w:rPr>
        <w:t xml:space="preserve">‘we </w:t>
      </w:r>
      <w:r w:rsidRPr="000A1D51">
        <w:rPr>
          <w:rFonts w:asciiTheme="minorHAnsi" w:eastAsiaTheme="minorHAnsi" w:hAnsiTheme="minorHAnsi" w:cstheme="minorHAnsi"/>
          <w:i/>
          <w:iCs/>
          <w:sz w:val="22"/>
          <w:szCs w:val="22"/>
        </w:rPr>
        <w:t>agree with ASEAN the priority areas using our knowledge of sectoral working groups</w:t>
      </w:r>
      <w:r w:rsidRPr="000A1D51">
        <w:rPr>
          <w:rFonts w:asciiTheme="minorHAnsi" w:eastAsia="SimSun" w:hAnsiTheme="minorHAnsi" w:cstheme="minorHAnsi"/>
          <w:i/>
          <w:iCs/>
          <w:sz w:val="22"/>
          <w:szCs w:val="22"/>
          <w:lang w:val="en-AU"/>
        </w:rPr>
        <w:t xml:space="preserve">. We </w:t>
      </w:r>
      <w:r w:rsidRPr="000A1D51">
        <w:rPr>
          <w:rFonts w:asciiTheme="minorHAnsi" w:eastAsiaTheme="minorHAnsi" w:hAnsiTheme="minorHAnsi" w:cstheme="minorHAnsi"/>
          <w:i/>
          <w:iCs/>
          <w:sz w:val="22"/>
          <w:szCs w:val="22"/>
        </w:rPr>
        <w:t>allow six months to consult on the plan and participate in sectoral working groups and present plans to them. We don’t sit in the closed sessions, but otherwise participate in working group meetings. This is how we build their trust- influence their direction, shape their work plans. We are really well integrated into the fabric of ASEAN and the Secretariat.’</w:t>
      </w:r>
    </w:p>
    <w:p w14:paraId="0573EF59" w14:textId="2818FBED" w:rsidR="000016C9" w:rsidRPr="000A1D51" w:rsidRDefault="000016C9" w:rsidP="000016C9">
      <w:pPr>
        <w:jc w:val="both"/>
        <w:rPr>
          <w:rFonts w:asciiTheme="minorHAnsi" w:eastAsia="SimSun" w:hAnsiTheme="minorHAnsi" w:cstheme="minorHAnsi"/>
          <w:sz w:val="22"/>
          <w:szCs w:val="22"/>
          <w:lang w:val="en-AU"/>
        </w:rPr>
      </w:pPr>
    </w:p>
    <w:p w14:paraId="4BB1E74C" w14:textId="79D621E4" w:rsidR="000016C9" w:rsidRPr="000A1D51" w:rsidRDefault="000016C9" w:rsidP="000016C9">
      <w:pPr>
        <w:jc w:val="both"/>
        <w:rPr>
          <w:rFonts w:asciiTheme="minorHAnsi" w:eastAsiaTheme="minorHAnsi" w:hAnsiTheme="minorHAnsi" w:cstheme="minorHAnsi"/>
          <w:sz w:val="22"/>
          <w:szCs w:val="22"/>
        </w:rPr>
      </w:pPr>
      <w:r w:rsidRPr="000A1D51">
        <w:rPr>
          <w:rFonts w:asciiTheme="minorHAnsi" w:eastAsia="SimSun" w:hAnsiTheme="minorHAnsi" w:cstheme="minorHAnsi"/>
          <w:sz w:val="22"/>
          <w:szCs w:val="22"/>
          <w:lang w:val="en-AU"/>
        </w:rPr>
        <w:t>When talking to ASEC staff about ARISE Plus, they remarked that ARISE Plus has long-term work plans and ASEAN have on-going projects identified with them, whereas AADCP II projects tend to be more one-off with some exceptions.</w:t>
      </w:r>
      <w:r w:rsidRPr="000A1D51">
        <w:rPr>
          <w:rFonts w:asciiTheme="minorHAnsi" w:eastAsiaTheme="minorHAnsi" w:hAnsiTheme="minorHAnsi" w:cstheme="minorHAnsi"/>
          <w:sz w:val="22"/>
          <w:szCs w:val="22"/>
        </w:rPr>
        <w:t xml:space="preserve">   </w:t>
      </w:r>
    </w:p>
    <w:p w14:paraId="030330C5" w14:textId="26DF1FDD" w:rsidR="003A2DCA" w:rsidRPr="000A1D51" w:rsidRDefault="003A2DCA" w:rsidP="000016C9">
      <w:pPr>
        <w:jc w:val="both"/>
        <w:rPr>
          <w:rFonts w:asciiTheme="minorHAnsi" w:eastAsiaTheme="minorHAnsi" w:hAnsiTheme="minorHAnsi" w:cstheme="minorHAnsi"/>
          <w:sz w:val="22"/>
          <w:szCs w:val="22"/>
        </w:rPr>
      </w:pPr>
    </w:p>
    <w:p w14:paraId="2C72A718" w14:textId="2D9B8CD1" w:rsidR="003A2DCA" w:rsidRPr="000A1D51" w:rsidRDefault="00BF3618" w:rsidP="000016C9">
      <w:pPr>
        <w:jc w:val="both"/>
        <w:rPr>
          <w:rFonts w:asciiTheme="minorHAnsi" w:eastAsiaTheme="minorHAnsi" w:hAnsiTheme="minorHAnsi" w:cstheme="minorHAnsi"/>
          <w:b/>
          <w:bCs/>
          <w:sz w:val="22"/>
          <w:szCs w:val="22"/>
        </w:rPr>
      </w:pPr>
      <w:r w:rsidRPr="000A1D51">
        <w:rPr>
          <w:rFonts w:asciiTheme="minorHAnsi" w:eastAsiaTheme="minorHAnsi" w:hAnsiTheme="minorHAnsi" w:cstheme="minorHAnsi"/>
          <w:b/>
          <w:bCs/>
          <w:sz w:val="22"/>
          <w:szCs w:val="22"/>
        </w:rPr>
        <w:t>GIZ programs</w:t>
      </w:r>
    </w:p>
    <w:p w14:paraId="45812008" w14:textId="219BCD58" w:rsidR="00057345" w:rsidRPr="000A1D51" w:rsidRDefault="007E7483" w:rsidP="000016C9">
      <w:pPr>
        <w:jc w:val="both"/>
        <w:rPr>
          <w:rFonts w:asciiTheme="minorHAnsi" w:eastAsia="SimSun" w:hAnsiTheme="minorHAnsi" w:cstheme="minorHAnsi"/>
          <w:sz w:val="22"/>
          <w:szCs w:val="22"/>
          <w:lang w:val="en-AU"/>
        </w:rPr>
      </w:pPr>
      <w:r w:rsidRPr="000A1D51">
        <w:rPr>
          <w:rFonts w:asciiTheme="minorHAnsi" w:eastAsia="SimSun" w:hAnsiTheme="minorHAnsi" w:cstheme="minorHAnsi"/>
          <w:sz w:val="22"/>
          <w:szCs w:val="22"/>
          <w:lang w:val="en-AU"/>
        </w:rPr>
        <w:t>Germany</w:t>
      </w:r>
      <w:r w:rsidR="00FD7BC0" w:rsidRPr="000A1D51">
        <w:rPr>
          <w:rFonts w:asciiTheme="minorHAnsi" w:eastAsia="SimSun" w:hAnsiTheme="minorHAnsi" w:cstheme="minorHAnsi"/>
          <w:sz w:val="22"/>
          <w:szCs w:val="22"/>
          <w:lang w:val="en-AU"/>
        </w:rPr>
        <w:t xml:space="preserve"> funds </w:t>
      </w:r>
      <w:r w:rsidR="006C57EC" w:rsidRPr="000A1D51">
        <w:rPr>
          <w:rFonts w:asciiTheme="minorHAnsi" w:eastAsia="SimSun" w:hAnsiTheme="minorHAnsi" w:cstheme="minorHAnsi"/>
          <w:sz w:val="22"/>
          <w:szCs w:val="22"/>
          <w:lang w:val="en-AU"/>
        </w:rPr>
        <w:t xml:space="preserve">various </w:t>
      </w:r>
      <w:r w:rsidR="00912F46" w:rsidRPr="000A1D51">
        <w:rPr>
          <w:rFonts w:asciiTheme="minorHAnsi" w:eastAsia="SimSun" w:hAnsiTheme="minorHAnsi" w:cstheme="minorHAnsi"/>
          <w:sz w:val="22"/>
          <w:szCs w:val="22"/>
          <w:lang w:val="en-AU"/>
        </w:rPr>
        <w:t xml:space="preserve">development </w:t>
      </w:r>
      <w:r w:rsidR="006C57EC" w:rsidRPr="000A1D51">
        <w:rPr>
          <w:rFonts w:asciiTheme="minorHAnsi" w:eastAsia="SimSun" w:hAnsiTheme="minorHAnsi" w:cstheme="minorHAnsi"/>
          <w:sz w:val="22"/>
          <w:szCs w:val="22"/>
          <w:lang w:val="en-AU"/>
        </w:rPr>
        <w:t xml:space="preserve">programs with ASEAN through its implementing entity, GIZ. </w:t>
      </w:r>
      <w:r w:rsidR="00FE3FE5" w:rsidRPr="000A1D51">
        <w:rPr>
          <w:rFonts w:asciiTheme="minorHAnsi" w:eastAsia="SimSun" w:hAnsiTheme="minorHAnsi" w:cstheme="minorHAnsi"/>
          <w:sz w:val="22"/>
          <w:szCs w:val="22"/>
          <w:lang w:val="en-AU"/>
        </w:rPr>
        <w:t xml:space="preserve">Discussions were </w:t>
      </w:r>
      <w:r w:rsidR="00A45CB4" w:rsidRPr="000A1D51">
        <w:rPr>
          <w:rFonts w:asciiTheme="minorHAnsi" w:eastAsia="SimSun" w:hAnsiTheme="minorHAnsi" w:cstheme="minorHAnsi"/>
          <w:sz w:val="22"/>
          <w:szCs w:val="22"/>
          <w:lang w:val="en-AU"/>
        </w:rPr>
        <w:t xml:space="preserve">held </w:t>
      </w:r>
      <w:r w:rsidR="00FE3FE5" w:rsidRPr="000A1D51">
        <w:rPr>
          <w:rFonts w:asciiTheme="minorHAnsi" w:eastAsia="SimSun" w:hAnsiTheme="minorHAnsi" w:cstheme="minorHAnsi"/>
          <w:sz w:val="22"/>
          <w:szCs w:val="22"/>
          <w:lang w:val="en-AU"/>
        </w:rPr>
        <w:t xml:space="preserve">with two programs- the ASEC Strengthening Program and </w:t>
      </w:r>
      <w:r w:rsidR="008625DB" w:rsidRPr="000A1D51">
        <w:rPr>
          <w:rFonts w:asciiTheme="minorHAnsi" w:eastAsia="SimSun" w:hAnsiTheme="minorHAnsi" w:cstheme="minorHAnsi"/>
          <w:sz w:val="22"/>
          <w:szCs w:val="22"/>
          <w:lang w:val="en-AU"/>
        </w:rPr>
        <w:t xml:space="preserve">the </w:t>
      </w:r>
      <w:r w:rsidR="005266F1" w:rsidRPr="000A1D51">
        <w:rPr>
          <w:rFonts w:asciiTheme="minorHAnsi" w:eastAsia="SimSun" w:hAnsiTheme="minorHAnsi" w:cstheme="minorHAnsi"/>
          <w:sz w:val="22"/>
          <w:szCs w:val="22"/>
          <w:lang w:val="en-AU"/>
        </w:rPr>
        <w:t xml:space="preserve">GIZ ASEAN Agri-Trade and ASEAN SME </w:t>
      </w:r>
      <w:r w:rsidR="006B788F" w:rsidRPr="000A1D51">
        <w:rPr>
          <w:rFonts w:asciiTheme="minorHAnsi" w:eastAsia="SimSun" w:hAnsiTheme="minorHAnsi" w:cstheme="minorHAnsi"/>
          <w:sz w:val="22"/>
          <w:szCs w:val="22"/>
          <w:lang w:val="en-AU"/>
        </w:rPr>
        <w:t>P</w:t>
      </w:r>
      <w:r w:rsidR="005266F1" w:rsidRPr="000A1D51">
        <w:rPr>
          <w:rFonts w:asciiTheme="minorHAnsi" w:eastAsia="SimSun" w:hAnsiTheme="minorHAnsi" w:cstheme="minorHAnsi"/>
          <w:sz w:val="22"/>
          <w:szCs w:val="22"/>
          <w:lang w:val="en-AU"/>
        </w:rPr>
        <w:t>rogram.</w:t>
      </w:r>
      <w:r w:rsidR="00DD3C28" w:rsidRPr="000A1D51">
        <w:rPr>
          <w:rFonts w:asciiTheme="minorHAnsi" w:eastAsia="SimSun" w:hAnsiTheme="minorHAnsi" w:cstheme="minorHAnsi"/>
          <w:sz w:val="22"/>
          <w:szCs w:val="22"/>
          <w:lang w:val="en-AU"/>
        </w:rPr>
        <w:t xml:space="preserve"> Both programs are co-located with ASEC in the Heritage building</w:t>
      </w:r>
      <w:r w:rsidR="00D65AA5" w:rsidRPr="000A1D51">
        <w:rPr>
          <w:rFonts w:asciiTheme="minorHAnsi" w:eastAsia="SimSun" w:hAnsiTheme="minorHAnsi" w:cstheme="minorHAnsi"/>
          <w:sz w:val="22"/>
          <w:szCs w:val="22"/>
          <w:lang w:val="en-AU"/>
        </w:rPr>
        <w:t xml:space="preserve"> and manage their own operations including </w:t>
      </w:r>
      <w:r w:rsidR="00D57B18" w:rsidRPr="000A1D51">
        <w:rPr>
          <w:rFonts w:asciiTheme="minorHAnsi" w:eastAsia="SimSun" w:hAnsiTheme="minorHAnsi" w:cstheme="minorHAnsi"/>
          <w:sz w:val="22"/>
          <w:szCs w:val="22"/>
          <w:lang w:val="en-AU"/>
        </w:rPr>
        <w:t>budget</w:t>
      </w:r>
      <w:r w:rsidR="000D7507" w:rsidRPr="000A1D51">
        <w:rPr>
          <w:rFonts w:asciiTheme="minorHAnsi" w:eastAsia="SimSun" w:hAnsiTheme="minorHAnsi" w:cstheme="minorHAnsi"/>
          <w:sz w:val="22"/>
          <w:szCs w:val="22"/>
          <w:lang w:val="en-AU"/>
        </w:rPr>
        <w:t xml:space="preserve"> and project implementation</w:t>
      </w:r>
      <w:r w:rsidR="00DD3C28" w:rsidRPr="000A1D51">
        <w:rPr>
          <w:rFonts w:asciiTheme="minorHAnsi" w:eastAsia="SimSun" w:hAnsiTheme="minorHAnsi" w:cstheme="minorHAnsi"/>
          <w:sz w:val="22"/>
          <w:szCs w:val="22"/>
          <w:lang w:val="en-AU"/>
        </w:rPr>
        <w:t xml:space="preserve">. </w:t>
      </w:r>
    </w:p>
    <w:p w14:paraId="05B6BB5C" w14:textId="71215A45" w:rsidR="00057345" w:rsidRPr="000A1D51" w:rsidRDefault="00057345" w:rsidP="000016C9">
      <w:pPr>
        <w:jc w:val="both"/>
        <w:rPr>
          <w:rFonts w:asciiTheme="minorHAnsi" w:eastAsia="SimSun" w:hAnsiTheme="minorHAnsi" w:cstheme="minorHAnsi"/>
          <w:sz w:val="22"/>
          <w:szCs w:val="22"/>
          <w:lang w:val="en-AU"/>
        </w:rPr>
      </w:pPr>
    </w:p>
    <w:p w14:paraId="4E3E73D7" w14:textId="2B309EF9" w:rsidR="00B37D42" w:rsidRPr="000A1D51" w:rsidRDefault="00B37B1F" w:rsidP="000016C9">
      <w:pPr>
        <w:jc w:val="both"/>
        <w:rPr>
          <w:rFonts w:asciiTheme="minorHAnsi" w:eastAsia="SimSun" w:hAnsiTheme="minorHAnsi" w:cstheme="minorHAnsi"/>
          <w:sz w:val="22"/>
          <w:szCs w:val="22"/>
          <w:lang w:val="en-AU"/>
        </w:rPr>
      </w:pPr>
      <w:r w:rsidRPr="000A1D51">
        <w:rPr>
          <w:rFonts w:asciiTheme="minorHAnsi" w:eastAsia="SimSun" w:hAnsiTheme="minorHAnsi" w:cstheme="minorHAnsi"/>
          <w:sz w:val="22"/>
          <w:szCs w:val="22"/>
          <w:lang w:val="en-AU"/>
        </w:rPr>
        <w:t>The program</w:t>
      </w:r>
      <w:r w:rsidR="006F1D22" w:rsidRPr="000A1D51">
        <w:rPr>
          <w:rFonts w:asciiTheme="minorHAnsi" w:eastAsia="SimSun" w:hAnsiTheme="minorHAnsi" w:cstheme="minorHAnsi"/>
          <w:sz w:val="22"/>
          <w:szCs w:val="22"/>
          <w:lang w:val="en-AU"/>
        </w:rPr>
        <w:t xml:space="preserve">s </w:t>
      </w:r>
      <w:r w:rsidR="007B2A1D" w:rsidRPr="000A1D51">
        <w:rPr>
          <w:rFonts w:asciiTheme="minorHAnsi" w:eastAsia="SimSun" w:hAnsiTheme="minorHAnsi" w:cstheme="minorHAnsi"/>
          <w:sz w:val="22"/>
          <w:szCs w:val="22"/>
          <w:lang w:val="en-AU"/>
        </w:rPr>
        <w:t xml:space="preserve">are demand-driven and receive requests from ASEC but use </w:t>
      </w:r>
      <w:r w:rsidR="00CF539E" w:rsidRPr="000A1D51">
        <w:rPr>
          <w:rFonts w:asciiTheme="minorHAnsi" w:eastAsia="SimSun" w:hAnsiTheme="minorHAnsi" w:cstheme="minorHAnsi"/>
          <w:sz w:val="22"/>
          <w:szCs w:val="22"/>
          <w:lang w:val="en-AU"/>
        </w:rPr>
        <w:t xml:space="preserve">internal </w:t>
      </w:r>
      <w:r w:rsidR="007B2A1D" w:rsidRPr="000A1D51">
        <w:rPr>
          <w:rFonts w:asciiTheme="minorHAnsi" w:eastAsia="SimSun" w:hAnsiTheme="minorHAnsi" w:cstheme="minorHAnsi"/>
          <w:sz w:val="22"/>
          <w:szCs w:val="22"/>
          <w:lang w:val="en-AU"/>
        </w:rPr>
        <w:t xml:space="preserve">GIZ procurement </w:t>
      </w:r>
      <w:r w:rsidR="00CF539E" w:rsidRPr="000A1D51">
        <w:rPr>
          <w:rFonts w:asciiTheme="minorHAnsi" w:eastAsia="SimSun" w:hAnsiTheme="minorHAnsi" w:cstheme="minorHAnsi"/>
          <w:sz w:val="22"/>
          <w:szCs w:val="22"/>
          <w:lang w:val="en-AU"/>
        </w:rPr>
        <w:t xml:space="preserve">systems </w:t>
      </w:r>
      <w:r w:rsidR="003E75F6" w:rsidRPr="000A1D51">
        <w:rPr>
          <w:rFonts w:asciiTheme="minorHAnsi" w:eastAsia="SimSun" w:hAnsiTheme="minorHAnsi" w:cstheme="minorHAnsi"/>
          <w:sz w:val="22"/>
          <w:szCs w:val="22"/>
          <w:lang w:val="en-AU"/>
        </w:rPr>
        <w:t xml:space="preserve">for recruitment and contracting. </w:t>
      </w:r>
      <w:r w:rsidR="008968A3" w:rsidRPr="000A1D51">
        <w:rPr>
          <w:rFonts w:asciiTheme="minorHAnsi" w:eastAsia="SimSun" w:hAnsiTheme="minorHAnsi" w:cstheme="minorHAnsi"/>
          <w:sz w:val="22"/>
          <w:szCs w:val="22"/>
          <w:lang w:val="en-AU"/>
        </w:rPr>
        <w:t>While the ASEAN Agri-Trade and ASEAN SME Program does not use a trust fund model, it allocates p</w:t>
      </w:r>
      <w:r w:rsidR="005B19ED" w:rsidRPr="000A1D51">
        <w:rPr>
          <w:rFonts w:asciiTheme="minorHAnsi" w:eastAsia="SimSun" w:hAnsiTheme="minorHAnsi" w:cstheme="minorHAnsi"/>
          <w:sz w:val="22"/>
          <w:szCs w:val="22"/>
          <w:lang w:val="en-AU"/>
        </w:rPr>
        <w:t>roject</w:t>
      </w:r>
      <w:r w:rsidR="008968A3" w:rsidRPr="000A1D51">
        <w:rPr>
          <w:rFonts w:asciiTheme="minorHAnsi" w:eastAsia="SimSun" w:hAnsiTheme="minorHAnsi" w:cstheme="minorHAnsi"/>
          <w:sz w:val="22"/>
          <w:szCs w:val="22"/>
          <w:lang w:val="en-AU"/>
        </w:rPr>
        <w:t xml:space="preserve">/activity-specific funds </w:t>
      </w:r>
      <w:r w:rsidR="00C82928" w:rsidRPr="000A1D51">
        <w:rPr>
          <w:rFonts w:asciiTheme="minorHAnsi" w:eastAsia="SimSun" w:hAnsiTheme="minorHAnsi" w:cstheme="minorHAnsi"/>
          <w:sz w:val="22"/>
          <w:szCs w:val="22"/>
          <w:lang w:val="en-AU"/>
        </w:rPr>
        <w:t xml:space="preserve">that are then available </w:t>
      </w:r>
      <w:r w:rsidR="001C0284" w:rsidRPr="000A1D51">
        <w:rPr>
          <w:rFonts w:asciiTheme="minorHAnsi" w:eastAsia="SimSun" w:hAnsiTheme="minorHAnsi" w:cstheme="minorHAnsi"/>
          <w:sz w:val="22"/>
          <w:szCs w:val="22"/>
          <w:lang w:val="en-AU"/>
        </w:rPr>
        <w:t>for</w:t>
      </w:r>
      <w:r w:rsidR="000C0DD3" w:rsidRPr="000A1D51">
        <w:rPr>
          <w:rFonts w:asciiTheme="minorHAnsi" w:eastAsia="SimSun" w:hAnsiTheme="minorHAnsi" w:cstheme="minorHAnsi"/>
          <w:sz w:val="22"/>
          <w:szCs w:val="22"/>
          <w:lang w:val="en-AU"/>
        </w:rPr>
        <w:t xml:space="preserve"> ASEAN</w:t>
      </w:r>
      <w:r w:rsidR="001C0284" w:rsidRPr="000A1D51">
        <w:rPr>
          <w:rFonts w:asciiTheme="minorHAnsi" w:eastAsia="SimSun" w:hAnsiTheme="minorHAnsi" w:cstheme="minorHAnsi"/>
          <w:sz w:val="22"/>
          <w:szCs w:val="22"/>
          <w:lang w:val="en-AU"/>
        </w:rPr>
        <w:t xml:space="preserve"> support</w:t>
      </w:r>
      <w:r w:rsidR="000C0DD3" w:rsidRPr="000A1D51">
        <w:rPr>
          <w:rFonts w:asciiTheme="minorHAnsi" w:eastAsia="SimSun" w:hAnsiTheme="minorHAnsi" w:cstheme="minorHAnsi"/>
          <w:sz w:val="22"/>
          <w:szCs w:val="22"/>
          <w:lang w:val="en-AU"/>
        </w:rPr>
        <w:t>.</w:t>
      </w:r>
      <w:r w:rsidR="006766E9" w:rsidRPr="000A1D51">
        <w:rPr>
          <w:rFonts w:asciiTheme="minorHAnsi" w:eastAsia="SimSun" w:hAnsiTheme="minorHAnsi" w:cstheme="minorHAnsi"/>
          <w:sz w:val="22"/>
          <w:szCs w:val="22"/>
          <w:lang w:val="en-AU"/>
        </w:rPr>
        <w:t xml:space="preserve"> </w:t>
      </w:r>
      <w:r w:rsidR="00AE7F87" w:rsidRPr="000A1D51">
        <w:rPr>
          <w:rFonts w:asciiTheme="minorHAnsi" w:eastAsia="SimSun" w:hAnsiTheme="minorHAnsi" w:cstheme="minorHAnsi"/>
          <w:sz w:val="22"/>
          <w:szCs w:val="22"/>
          <w:lang w:val="en-AU"/>
        </w:rPr>
        <w:t xml:space="preserve">At the AMS-level, the program </w:t>
      </w:r>
      <w:r w:rsidR="00D70CEC" w:rsidRPr="000A1D51">
        <w:rPr>
          <w:rFonts w:asciiTheme="minorHAnsi" w:eastAsia="SimSun" w:hAnsiTheme="minorHAnsi" w:cstheme="minorHAnsi"/>
          <w:sz w:val="22"/>
          <w:szCs w:val="22"/>
          <w:lang w:val="en-AU"/>
        </w:rPr>
        <w:t xml:space="preserve">agrees on activities with </w:t>
      </w:r>
      <w:r w:rsidR="008A4C90" w:rsidRPr="000A1D51">
        <w:rPr>
          <w:rFonts w:asciiTheme="minorHAnsi" w:eastAsia="SimSun" w:hAnsiTheme="minorHAnsi" w:cstheme="minorHAnsi"/>
          <w:sz w:val="22"/>
          <w:szCs w:val="22"/>
          <w:lang w:val="en-AU"/>
        </w:rPr>
        <w:t xml:space="preserve">member states and then allocates funding accordingly.  </w:t>
      </w:r>
    </w:p>
    <w:p w14:paraId="4CEEDA84" w14:textId="034F6E5C" w:rsidR="006D0ADA" w:rsidRPr="000A1D51" w:rsidRDefault="006D0ADA" w:rsidP="000016C9">
      <w:pPr>
        <w:jc w:val="both"/>
        <w:rPr>
          <w:rFonts w:asciiTheme="minorHAnsi" w:eastAsia="SimSun" w:hAnsiTheme="minorHAnsi" w:cstheme="minorHAnsi"/>
          <w:sz w:val="22"/>
          <w:szCs w:val="22"/>
          <w:lang w:val="en-AU"/>
        </w:rPr>
      </w:pPr>
    </w:p>
    <w:p w14:paraId="0241EAE0" w14:textId="529153A6" w:rsidR="00E525AD" w:rsidRPr="000A1D51" w:rsidRDefault="006D0ADA" w:rsidP="000016C9">
      <w:pPr>
        <w:jc w:val="both"/>
        <w:rPr>
          <w:rFonts w:asciiTheme="minorHAnsi" w:eastAsia="SimSun" w:hAnsiTheme="minorHAnsi" w:cstheme="minorHAnsi"/>
          <w:sz w:val="22"/>
          <w:szCs w:val="22"/>
          <w:lang w:val="en-AU"/>
        </w:rPr>
      </w:pPr>
      <w:r w:rsidRPr="000A1D51">
        <w:rPr>
          <w:rFonts w:asciiTheme="minorHAnsi" w:eastAsia="SimSun" w:hAnsiTheme="minorHAnsi" w:cstheme="minorHAnsi"/>
          <w:sz w:val="22"/>
          <w:szCs w:val="22"/>
          <w:lang w:val="en-AU"/>
        </w:rPr>
        <w:t xml:space="preserve">The GIZ ASEAN Agri-Trade and ASEAN SME Program has both a regional </w:t>
      </w:r>
      <w:r w:rsidR="00E91AC6" w:rsidRPr="000A1D51">
        <w:rPr>
          <w:rFonts w:asciiTheme="minorHAnsi" w:eastAsia="SimSun" w:hAnsiTheme="minorHAnsi" w:cstheme="minorHAnsi"/>
          <w:sz w:val="22"/>
          <w:szCs w:val="22"/>
          <w:lang w:val="en-AU"/>
        </w:rPr>
        <w:t xml:space="preserve">(working group/sectoral bodies) </w:t>
      </w:r>
      <w:r w:rsidRPr="000A1D51">
        <w:rPr>
          <w:rFonts w:asciiTheme="minorHAnsi" w:eastAsia="SimSun" w:hAnsiTheme="minorHAnsi" w:cstheme="minorHAnsi"/>
          <w:sz w:val="22"/>
          <w:szCs w:val="22"/>
          <w:lang w:val="en-AU"/>
        </w:rPr>
        <w:t>and national comp</w:t>
      </w:r>
      <w:r w:rsidR="00E14C45" w:rsidRPr="000A1D51">
        <w:rPr>
          <w:rFonts w:asciiTheme="minorHAnsi" w:eastAsia="SimSun" w:hAnsiTheme="minorHAnsi" w:cstheme="minorHAnsi"/>
          <w:sz w:val="22"/>
          <w:szCs w:val="22"/>
          <w:lang w:val="en-AU"/>
        </w:rPr>
        <w:t xml:space="preserve">onent </w:t>
      </w:r>
      <w:r w:rsidR="007603B6" w:rsidRPr="000A1D51">
        <w:rPr>
          <w:rFonts w:asciiTheme="minorHAnsi" w:eastAsia="SimSun" w:hAnsiTheme="minorHAnsi" w:cstheme="minorHAnsi"/>
          <w:sz w:val="22"/>
          <w:szCs w:val="22"/>
          <w:lang w:val="en-AU"/>
        </w:rPr>
        <w:t xml:space="preserve">and </w:t>
      </w:r>
      <w:r w:rsidR="0096227C" w:rsidRPr="000A1D51">
        <w:rPr>
          <w:rFonts w:asciiTheme="minorHAnsi" w:eastAsia="SimSun" w:hAnsiTheme="minorHAnsi" w:cstheme="minorHAnsi"/>
          <w:sz w:val="22"/>
          <w:szCs w:val="22"/>
          <w:lang w:val="en-AU"/>
        </w:rPr>
        <w:t>work</w:t>
      </w:r>
      <w:r w:rsidR="007932D2" w:rsidRPr="000A1D51">
        <w:rPr>
          <w:rFonts w:asciiTheme="minorHAnsi" w:eastAsia="SimSun" w:hAnsiTheme="minorHAnsi" w:cstheme="minorHAnsi"/>
          <w:sz w:val="22"/>
          <w:szCs w:val="22"/>
          <w:lang w:val="en-AU"/>
        </w:rPr>
        <w:t>s</w:t>
      </w:r>
      <w:r w:rsidR="00E14C45" w:rsidRPr="000A1D51">
        <w:rPr>
          <w:rFonts w:asciiTheme="minorHAnsi" w:eastAsia="SimSun" w:hAnsiTheme="minorHAnsi" w:cstheme="minorHAnsi"/>
          <w:sz w:val="22"/>
          <w:szCs w:val="22"/>
          <w:lang w:val="en-AU"/>
        </w:rPr>
        <w:t xml:space="preserve"> with selected countries</w:t>
      </w:r>
      <w:r w:rsidR="000E6994" w:rsidRPr="000A1D51">
        <w:rPr>
          <w:rFonts w:asciiTheme="minorHAnsi" w:eastAsia="SimSun" w:hAnsiTheme="minorHAnsi" w:cstheme="minorHAnsi"/>
          <w:sz w:val="22"/>
          <w:szCs w:val="22"/>
          <w:lang w:val="en-AU"/>
        </w:rPr>
        <w:t xml:space="preserve">, which </w:t>
      </w:r>
      <w:r w:rsidR="005915A2" w:rsidRPr="000A1D51">
        <w:rPr>
          <w:rFonts w:asciiTheme="minorHAnsi" w:eastAsia="SimSun" w:hAnsiTheme="minorHAnsi" w:cstheme="minorHAnsi"/>
          <w:sz w:val="22"/>
          <w:szCs w:val="22"/>
          <w:lang w:val="en-AU"/>
        </w:rPr>
        <w:t>is different to</w:t>
      </w:r>
      <w:r w:rsidR="000E6994" w:rsidRPr="000A1D51">
        <w:rPr>
          <w:rFonts w:asciiTheme="minorHAnsi" w:eastAsia="SimSun" w:hAnsiTheme="minorHAnsi" w:cstheme="minorHAnsi"/>
          <w:sz w:val="22"/>
          <w:szCs w:val="22"/>
          <w:lang w:val="en-AU"/>
        </w:rPr>
        <w:t xml:space="preserve"> the AADCP II model</w:t>
      </w:r>
      <w:r w:rsidR="00E14C45" w:rsidRPr="000A1D51">
        <w:rPr>
          <w:rFonts w:asciiTheme="minorHAnsi" w:eastAsia="SimSun" w:hAnsiTheme="minorHAnsi" w:cstheme="minorHAnsi"/>
          <w:sz w:val="22"/>
          <w:szCs w:val="22"/>
          <w:lang w:val="en-AU"/>
        </w:rPr>
        <w:t xml:space="preserve">. </w:t>
      </w:r>
      <w:r w:rsidR="003E410B" w:rsidRPr="000A1D51">
        <w:rPr>
          <w:rFonts w:asciiTheme="minorHAnsi" w:eastAsia="SimSun" w:hAnsiTheme="minorHAnsi" w:cstheme="minorHAnsi"/>
          <w:sz w:val="22"/>
          <w:szCs w:val="22"/>
          <w:lang w:val="en-AU"/>
        </w:rPr>
        <w:t>The</w:t>
      </w:r>
      <w:r w:rsidR="007932D2" w:rsidRPr="000A1D51">
        <w:rPr>
          <w:rFonts w:asciiTheme="minorHAnsi" w:eastAsia="SimSun" w:hAnsiTheme="minorHAnsi" w:cstheme="minorHAnsi"/>
          <w:sz w:val="22"/>
          <w:szCs w:val="22"/>
          <w:lang w:val="en-AU"/>
        </w:rPr>
        <w:t xml:space="preserve"> program</w:t>
      </w:r>
      <w:r w:rsidR="003E410B" w:rsidRPr="000A1D51">
        <w:rPr>
          <w:rFonts w:asciiTheme="minorHAnsi" w:eastAsia="SimSun" w:hAnsiTheme="minorHAnsi" w:cstheme="minorHAnsi"/>
          <w:sz w:val="22"/>
          <w:szCs w:val="22"/>
          <w:lang w:val="en-AU"/>
        </w:rPr>
        <w:t xml:space="preserve"> </w:t>
      </w:r>
      <w:r w:rsidR="0096227C" w:rsidRPr="000A1D51">
        <w:rPr>
          <w:rFonts w:asciiTheme="minorHAnsi" w:eastAsia="SimSun" w:hAnsiTheme="minorHAnsi" w:cstheme="minorHAnsi"/>
          <w:sz w:val="22"/>
          <w:szCs w:val="22"/>
          <w:lang w:val="en-AU"/>
        </w:rPr>
        <w:t>produce</w:t>
      </w:r>
      <w:r w:rsidR="007932D2" w:rsidRPr="000A1D51">
        <w:rPr>
          <w:rFonts w:asciiTheme="minorHAnsi" w:eastAsia="SimSun" w:hAnsiTheme="minorHAnsi" w:cstheme="minorHAnsi"/>
          <w:sz w:val="22"/>
          <w:szCs w:val="22"/>
          <w:lang w:val="en-AU"/>
        </w:rPr>
        <w:t>s</w:t>
      </w:r>
      <w:r w:rsidR="0096227C" w:rsidRPr="000A1D51">
        <w:rPr>
          <w:rFonts w:asciiTheme="minorHAnsi" w:eastAsia="SimSun" w:hAnsiTheme="minorHAnsi" w:cstheme="minorHAnsi"/>
          <w:sz w:val="22"/>
          <w:szCs w:val="22"/>
          <w:lang w:val="en-AU"/>
        </w:rPr>
        <w:t xml:space="preserve"> </w:t>
      </w:r>
      <w:r w:rsidR="007932D2" w:rsidRPr="000A1D51">
        <w:rPr>
          <w:rFonts w:asciiTheme="minorHAnsi" w:eastAsia="SimSun" w:hAnsiTheme="minorHAnsi" w:cstheme="minorHAnsi"/>
          <w:sz w:val="22"/>
          <w:szCs w:val="22"/>
          <w:lang w:val="en-AU"/>
        </w:rPr>
        <w:t>products</w:t>
      </w:r>
      <w:r w:rsidR="0096227C" w:rsidRPr="000A1D51">
        <w:rPr>
          <w:rFonts w:asciiTheme="minorHAnsi" w:eastAsia="SimSun" w:hAnsiTheme="minorHAnsi" w:cstheme="minorHAnsi"/>
          <w:sz w:val="22"/>
          <w:szCs w:val="22"/>
          <w:lang w:val="en-AU"/>
        </w:rPr>
        <w:t xml:space="preserve"> at the regional level </w:t>
      </w:r>
      <w:r w:rsidR="00127DEA" w:rsidRPr="000A1D51">
        <w:rPr>
          <w:rFonts w:asciiTheme="minorHAnsi" w:eastAsia="SimSun" w:hAnsiTheme="minorHAnsi" w:cstheme="minorHAnsi"/>
          <w:sz w:val="22"/>
          <w:szCs w:val="22"/>
          <w:lang w:val="en-AU"/>
        </w:rPr>
        <w:t xml:space="preserve">and then </w:t>
      </w:r>
      <w:r w:rsidR="00CD7E11" w:rsidRPr="000A1D51">
        <w:rPr>
          <w:rFonts w:asciiTheme="minorHAnsi" w:eastAsia="SimSun" w:hAnsiTheme="minorHAnsi" w:cstheme="minorHAnsi"/>
          <w:sz w:val="22"/>
          <w:szCs w:val="22"/>
          <w:lang w:val="en-AU"/>
        </w:rPr>
        <w:t>support</w:t>
      </w:r>
      <w:r w:rsidR="00F82D11" w:rsidRPr="000A1D51">
        <w:rPr>
          <w:rFonts w:asciiTheme="minorHAnsi" w:eastAsia="SimSun" w:hAnsiTheme="minorHAnsi" w:cstheme="minorHAnsi"/>
          <w:sz w:val="22"/>
          <w:szCs w:val="22"/>
          <w:lang w:val="en-AU"/>
        </w:rPr>
        <w:t>s</w:t>
      </w:r>
      <w:r w:rsidR="00CD7E11" w:rsidRPr="000A1D51">
        <w:rPr>
          <w:rFonts w:asciiTheme="minorHAnsi" w:eastAsia="SimSun" w:hAnsiTheme="minorHAnsi" w:cstheme="minorHAnsi"/>
          <w:sz w:val="22"/>
          <w:szCs w:val="22"/>
          <w:lang w:val="en-AU"/>
        </w:rPr>
        <w:t xml:space="preserve"> </w:t>
      </w:r>
      <w:r w:rsidR="00127DEA" w:rsidRPr="000A1D51">
        <w:rPr>
          <w:rFonts w:asciiTheme="minorHAnsi" w:eastAsia="SimSun" w:hAnsiTheme="minorHAnsi" w:cstheme="minorHAnsi"/>
          <w:sz w:val="22"/>
          <w:szCs w:val="22"/>
          <w:lang w:val="en-AU"/>
        </w:rPr>
        <w:t xml:space="preserve">implementation </w:t>
      </w:r>
      <w:r w:rsidR="00CD7E11" w:rsidRPr="000A1D51">
        <w:rPr>
          <w:rFonts w:asciiTheme="minorHAnsi" w:eastAsia="SimSun" w:hAnsiTheme="minorHAnsi" w:cstheme="minorHAnsi"/>
          <w:sz w:val="22"/>
          <w:szCs w:val="22"/>
          <w:lang w:val="en-AU"/>
        </w:rPr>
        <w:t>with</w:t>
      </w:r>
      <w:r w:rsidR="00127DEA" w:rsidRPr="000A1D51">
        <w:rPr>
          <w:rFonts w:asciiTheme="minorHAnsi" w:eastAsia="SimSun" w:hAnsiTheme="minorHAnsi" w:cstheme="minorHAnsi"/>
          <w:sz w:val="22"/>
          <w:szCs w:val="22"/>
          <w:lang w:val="en-AU"/>
        </w:rPr>
        <w:t xml:space="preserve"> </w:t>
      </w:r>
      <w:r w:rsidR="0096227C" w:rsidRPr="000A1D51">
        <w:rPr>
          <w:rFonts w:asciiTheme="minorHAnsi" w:eastAsia="SimSun" w:hAnsiTheme="minorHAnsi" w:cstheme="minorHAnsi"/>
          <w:sz w:val="22"/>
          <w:szCs w:val="22"/>
          <w:lang w:val="en-AU"/>
        </w:rPr>
        <w:t>Member State</w:t>
      </w:r>
      <w:r w:rsidR="005B0378" w:rsidRPr="000A1D51">
        <w:rPr>
          <w:rFonts w:asciiTheme="minorHAnsi" w:eastAsia="SimSun" w:hAnsiTheme="minorHAnsi" w:cstheme="minorHAnsi"/>
          <w:sz w:val="22"/>
          <w:szCs w:val="22"/>
          <w:lang w:val="en-AU"/>
        </w:rPr>
        <w:t>s</w:t>
      </w:r>
      <w:r w:rsidR="0096227C" w:rsidRPr="000A1D51">
        <w:rPr>
          <w:rFonts w:asciiTheme="minorHAnsi" w:eastAsia="SimSun" w:hAnsiTheme="minorHAnsi" w:cstheme="minorHAnsi"/>
          <w:sz w:val="22"/>
          <w:szCs w:val="22"/>
          <w:lang w:val="en-AU"/>
        </w:rPr>
        <w:t xml:space="preserve"> </w:t>
      </w:r>
      <w:r w:rsidR="005B0378" w:rsidRPr="000A1D51">
        <w:rPr>
          <w:rFonts w:asciiTheme="minorHAnsi" w:eastAsia="SimSun" w:hAnsiTheme="minorHAnsi" w:cstheme="minorHAnsi"/>
          <w:sz w:val="22"/>
          <w:szCs w:val="22"/>
          <w:lang w:val="en-AU"/>
        </w:rPr>
        <w:t>including Cambodia, Laos, Myanmar</w:t>
      </w:r>
      <w:r w:rsidR="00ED5713" w:rsidRPr="000A1D51">
        <w:rPr>
          <w:rFonts w:asciiTheme="minorHAnsi" w:eastAsia="SimSun" w:hAnsiTheme="minorHAnsi" w:cstheme="minorHAnsi"/>
          <w:sz w:val="22"/>
          <w:szCs w:val="22"/>
          <w:lang w:val="en-AU"/>
        </w:rPr>
        <w:t>, Vietnam, Indonesia and the Philippines</w:t>
      </w:r>
      <w:r w:rsidR="0096227C" w:rsidRPr="000A1D51">
        <w:rPr>
          <w:rFonts w:asciiTheme="minorHAnsi" w:eastAsia="SimSun" w:hAnsiTheme="minorHAnsi" w:cstheme="minorHAnsi"/>
          <w:sz w:val="22"/>
          <w:szCs w:val="22"/>
          <w:lang w:val="en-AU"/>
        </w:rPr>
        <w:t xml:space="preserve">. </w:t>
      </w:r>
      <w:r w:rsidR="009E3420" w:rsidRPr="000A1D51">
        <w:rPr>
          <w:rFonts w:asciiTheme="minorHAnsi" w:eastAsia="SimSun" w:hAnsiTheme="minorHAnsi" w:cstheme="minorHAnsi"/>
          <w:sz w:val="22"/>
          <w:szCs w:val="22"/>
          <w:lang w:val="en-AU"/>
        </w:rPr>
        <w:t xml:space="preserve">The program </w:t>
      </w:r>
      <w:r w:rsidR="005B0E77" w:rsidRPr="000A1D51">
        <w:rPr>
          <w:rFonts w:asciiTheme="minorHAnsi" w:eastAsia="SimSun" w:hAnsiTheme="minorHAnsi" w:cstheme="minorHAnsi"/>
          <w:sz w:val="22"/>
          <w:szCs w:val="22"/>
          <w:lang w:val="en-AU"/>
        </w:rPr>
        <w:t xml:space="preserve">further </w:t>
      </w:r>
      <w:r w:rsidR="009E3420" w:rsidRPr="000A1D51">
        <w:rPr>
          <w:rFonts w:asciiTheme="minorHAnsi" w:eastAsia="SimSun" w:hAnsiTheme="minorHAnsi" w:cstheme="minorHAnsi"/>
          <w:sz w:val="22"/>
          <w:szCs w:val="22"/>
          <w:lang w:val="en-AU"/>
        </w:rPr>
        <w:t>remarked that</w:t>
      </w:r>
      <w:r w:rsidR="00E525AD" w:rsidRPr="000A1D51">
        <w:rPr>
          <w:rFonts w:asciiTheme="minorHAnsi" w:eastAsia="SimSun" w:hAnsiTheme="minorHAnsi" w:cstheme="minorHAnsi"/>
          <w:sz w:val="22"/>
          <w:szCs w:val="22"/>
          <w:lang w:val="en-AU"/>
        </w:rPr>
        <w:t xml:space="preserve"> AMS </w:t>
      </w:r>
      <w:r w:rsidR="00F2527D" w:rsidRPr="000A1D51">
        <w:rPr>
          <w:rFonts w:asciiTheme="minorHAnsi" w:eastAsia="SimSun" w:hAnsiTheme="minorHAnsi" w:cstheme="minorHAnsi"/>
          <w:sz w:val="22"/>
          <w:szCs w:val="22"/>
          <w:lang w:val="en-AU"/>
        </w:rPr>
        <w:t xml:space="preserve">highly </w:t>
      </w:r>
      <w:r w:rsidR="00E525AD" w:rsidRPr="000A1D51">
        <w:rPr>
          <w:rFonts w:asciiTheme="minorHAnsi" w:eastAsia="SimSun" w:hAnsiTheme="minorHAnsi" w:cstheme="minorHAnsi"/>
          <w:sz w:val="22"/>
          <w:szCs w:val="22"/>
          <w:lang w:val="en-AU"/>
        </w:rPr>
        <w:t>appreciate</w:t>
      </w:r>
      <w:r w:rsidR="00262100" w:rsidRPr="000A1D51">
        <w:rPr>
          <w:rFonts w:asciiTheme="minorHAnsi" w:eastAsia="SimSun" w:hAnsiTheme="minorHAnsi" w:cstheme="minorHAnsi"/>
          <w:sz w:val="22"/>
          <w:szCs w:val="22"/>
          <w:lang w:val="en-AU"/>
        </w:rPr>
        <w:t>d</w:t>
      </w:r>
      <w:r w:rsidR="00E525AD" w:rsidRPr="000A1D51">
        <w:rPr>
          <w:rFonts w:asciiTheme="minorHAnsi" w:eastAsia="SimSun" w:hAnsiTheme="minorHAnsi" w:cstheme="minorHAnsi"/>
          <w:sz w:val="22"/>
          <w:szCs w:val="22"/>
          <w:lang w:val="en-AU"/>
        </w:rPr>
        <w:t xml:space="preserve"> </w:t>
      </w:r>
      <w:r w:rsidR="00F2527D" w:rsidRPr="000A1D51">
        <w:rPr>
          <w:rFonts w:asciiTheme="minorHAnsi" w:eastAsia="SimSun" w:hAnsiTheme="minorHAnsi" w:cstheme="minorHAnsi"/>
          <w:sz w:val="22"/>
          <w:szCs w:val="22"/>
          <w:lang w:val="en-AU"/>
        </w:rPr>
        <w:t>th</w:t>
      </w:r>
      <w:r w:rsidR="009E3420" w:rsidRPr="000A1D51">
        <w:rPr>
          <w:rFonts w:asciiTheme="minorHAnsi" w:eastAsia="SimSun" w:hAnsiTheme="minorHAnsi" w:cstheme="minorHAnsi"/>
          <w:sz w:val="22"/>
          <w:szCs w:val="22"/>
          <w:lang w:val="en-AU"/>
        </w:rPr>
        <w:t>e</w:t>
      </w:r>
      <w:r w:rsidR="00F2527D" w:rsidRPr="000A1D51">
        <w:rPr>
          <w:rFonts w:asciiTheme="minorHAnsi" w:eastAsia="SimSun" w:hAnsiTheme="minorHAnsi" w:cstheme="minorHAnsi"/>
          <w:sz w:val="22"/>
          <w:szCs w:val="22"/>
          <w:lang w:val="en-AU"/>
        </w:rPr>
        <w:t xml:space="preserve"> support</w:t>
      </w:r>
      <w:r w:rsidR="009E3420" w:rsidRPr="000A1D51">
        <w:rPr>
          <w:rFonts w:asciiTheme="minorHAnsi" w:eastAsia="SimSun" w:hAnsiTheme="minorHAnsi" w:cstheme="minorHAnsi"/>
          <w:sz w:val="22"/>
          <w:szCs w:val="22"/>
          <w:lang w:val="en-AU"/>
        </w:rPr>
        <w:t xml:space="preserve"> with national-level </w:t>
      </w:r>
      <w:r w:rsidR="00436FB4" w:rsidRPr="000A1D51">
        <w:rPr>
          <w:rFonts w:asciiTheme="minorHAnsi" w:eastAsia="SimSun" w:hAnsiTheme="minorHAnsi" w:cstheme="minorHAnsi"/>
          <w:sz w:val="22"/>
          <w:szCs w:val="22"/>
          <w:lang w:val="en-AU"/>
        </w:rPr>
        <w:t xml:space="preserve">implementation, noting </w:t>
      </w:r>
      <w:r w:rsidR="00436FB4" w:rsidRPr="000A1D51">
        <w:rPr>
          <w:rFonts w:asciiTheme="minorHAnsi" w:eastAsia="SimSun" w:hAnsiTheme="minorHAnsi" w:cstheme="minorHAnsi"/>
          <w:i/>
          <w:iCs/>
          <w:sz w:val="22"/>
          <w:szCs w:val="22"/>
          <w:lang w:val="en-AU"/>
        </w:rPr>
        <w:t>‘</w:t>
      </w:r>
      <w:r w:rsidR="00E525AD" w:rsidRPr="000A1D51">
        <w:rPr>
          <w:rFonts w:asciiTheme="minorHAnsi" w:eastAsia="SimSun" w:hAnsiTheme="minorHAnsi" w:cstheme="minorHAnsi"/>
          <w:i/>
          <w:iCs/>
          <w:sz w:val="22"/>
          <w:szCs w:val="22"/>
          <w:lang w:val="en-AU"/>
        </w:rPr>
        <w:t>AMS are relieved for th</w:t>
      </w:r>
      <w:r w:rsidR="00262100" w:rsidRPr="000A1D51">
        <w:rPr>
          <w:rFonts w:asciiTheme="minorHAnsi" w:eastAsia="SimSun" w:hAnsiTheme="minorHAnsi" w:cstheme="minorHAnsi"/>
          <w:i/>
          <w:iCs/>
          <w:sz w:val="22"/>
          <w:szCs w:val="22"/>
          <w:lang w:val="en-AU"/>
        </w:rPr>
        <w:t>is</w:t>
      </w:r>
      <w:r w:rsidR="00E525AD" w:rsidRPr="000A1D51">
        <w:rPr>
          <w:rFonts w:asciiTheme="minorHAnsi" w:eastAsia="SimSun" w:hAnsiTheme="minorHAnsi" w:cstheme="minorHAnsi"/>
          <w:i/>
          <w:iCs/>
          <w:sz w:val="22"/>
          <w:szCs w:val="22"/>
          <w:lang w:val="en-AU"/>
        </w:rPr>
        <w:t xml:space="preserve"> support</w:t>
      </w:r>
      <w:r w:rsidR="00436FB4" w:rsidRPr="000A1D51">
        <w:rPr>
          <w:rFonts w:asciiTheme="minorHAnsi" w:eastAsia="SimSun" w:hAnsiTheme="minorHAnsi" w:cstheme="minorHAnsi"/>
          <w:i/>
          <w:iCs/>
          <w:sz w:val="22"/>
          <w:szCs w:val="22"/>
          <w:lang w:val="en-AU"/>
        </w:rPr>
        <w:t>.’</w:t>
      </w:r>
      <w:r w:rsidR="00E525AD" w:rsidRPr="000A1D51">
        <w:rPr>
          <w:rFonts w:asciiTheme="minorHAnsi" w:eastAsia="SimSun" w:hAnsiTheme="minorHAnsi" w:cstheme="minorHAnsi"/>
          <w:sz w:val="22"/>
          <w:szCs w:val="22"/>
          <w:lang w:val="en-AU"/>
        </w:rPr>
        <w:t xml:space="preserve"> </w:t>
      </w:r>
    </w:p>
    <w:p w14:paraId="35DC3C96" w14:textId="2A678A88" w:rsidR="008206BE" w:rsidRPr="000A1D51" w:rsidRDefault="008206BE" w:rsidP="000016C9">
      <w:pPr>
        <w:jc w:val="both"/>
        <w:rPr>
          <w:rFonts w:asciiTheme="minorHAnsi" w:eastAsia="SimSun" w:hAnsiTheme="minorHAnsi" w:cstheme="minorHAnsi"/>
          <w:sz w:val="22"/>
          <w:szCs w:val="22"/>
          <w:lang w:val="en-AU"/>
        </w:rPr>
      </w:pPr>
    </w:p>
    <w:p w14:paraId="2449978F" w14:textId="7009D115" w:rsidR="00F21C82" w:rsidRPr="00C5703B" w:rsidRDefault="009E7886" w:rsidP="00C5703B">
      <w:pPr>
        <w:jc w:val="both"/>
        <w:rPr>
          <w:rFonts w:asciiTheme="minorHAnsi" w:eastAsia="SimSun" w:hAnsiTheme="minorHAnsi" w:cstheme="minorHAnsi"/>
          <w:sz w:val="22"/>
          <w:szCs w:val="22"/>
          <w:lang w:val="en-AU"/>
        </w:rPr>
      </w:pPr>
      <w:r w:rsidRPr="000A1D51">
        <w:rPr>
          <w:rFonts w:asciiTheme="minorHAnsi" w:eastAsia="SimSun" w:hAnsiTheme="minorHAnsi" w:cstheme="minorHAnsi"/>
          <w:sz w:val="22"/>
          <w:szCs w:val="22"/>
          <w:lang w:val="en-AU"/>
        </w:rPr>
        <w:t>Similar to EU Arise, t</w:t>
      </w:r>
      <w:r w:rsidR="00C81938" w:rsidRPr="000A1D51">
        <w:rPr>
          <w:rFonts w:asciiTheme="minorHAnsi" w:eastAsia="SimSun" w:hAnsiTheme="minorHAnsi" w:cstheme="minorHAnsi"/>
          <w:sz w:val="22"/>
          <w:szCs w:val="22"/>
          <w:lang w:val="en-AU"/>
        </w:rPr>
        <w:t xml:space="preserve">he </w:t>
      </w:r>
      <w:r w:rsidRPr="000A1D51">
        <w:rPr>
          <w:rFonts w:asciiTheme="minorHAnsi" w:eastAsia="SimSun" w:hAnsiTheme="minorHAnsi" w:cstheme="minorHAnsi"/>
          <w:sz w:val="22"/>
          <w:szCs w:val="22"/>
          <w:lang w:val="en-AU"/>
        </w:rPr>
        <w:t>GIZ ASEAN Agri-Trade and ASEAN SME Program also leads on</w:t>
      </w:r>
      <w:r w:rsidR="00C81938" w:rsidRPr="000A1D51">
        <w:rPr>
          <w:rFonts w:asciiTheme="minorHAnsi" w:eastAsia="SimSun" w:hAnsiTheme="minorHAnsi" w:cstheme="minorHAnsi"/>
          <w:sz w:val="22"/>
          <w:szCs w:val="22"/>
          <w:lang w:val="en-AU"/>
        </w:rPr>
        <w:t xml:space="preserve"> </w:t>
      </w:r>
      <w:r w:rsidRPr="000A1D51">
        <w:rPr>
          <w:rFonts w:asciiTheme="minorHAnsi" w:eastAsia="SimSun" w:hAnsiTheme="minorHAnsi" w:cstheme="minorHAnsi"/>
          <w:sz w:val="22"/>
          <w:szCs w:val="22"/>
          <w:lang w:val="en-AU"/>
        </w:rPr>
        <w:t>project proposal development.</w:t>
      </w:r>
      <w:r w:rsidR="00385F4F" w:rsidRPr="000A1D51">
        <w:rPr>
          <w:rFonts w:asciiTheme="minorHAnsi" w:eastAsia="SimSun" w:hAnsiTheme="minorHAnsi" w:cstheme="minorHAnsi"/>
          <w:sz w:val="22"/>
          <w:szCs w:val="22"/>
          <w:lang w:val="en-AU"/>
        </w:rPr>
        <w:t xml:space="preserve"> </w:t>
      </w:r>
      <w:r w:rsidR="00EB00B1" w:rsidRPr="000A1D51">
        <w:rPr>
          <w:rFonts w:asciiTheme="minorHAnsi" w:eastAsia="SimSun" w:hAnsiTheme="minorHAnsi" w:cstheme="minorHAnsi"/>
          <w:sz w:val="22"/>
          <w:szCs w:val="22"/>
          <w:lang w:val="en-AU"/>
        </w:rPr>
        <w:t>German-ASEAN consultations are held annually where</w:t>
      </w:r>
      <w:r w:rsidR="00147FD5" w:rsidRPr="000A1D51">
        <w:rPr>
          <w:rFonts w:asciiTheme="minorHAnsi" w:eastAsia="SimSun" w:hAnsiTheme="minorHAnsi" w:cstheme="minorHAnsi"/>
          <w:sz w:val="22"/>
          <w:szCs w:val="22"/>
          <w:lang w:val="en-AU"/>
        </w:rPr>
        <w:t xml:space="preserve"> both Germany and ASEC identify projects and topics of interest</w:t>
      </w:r>
      <w:r w:rsidR="003B5064" w:rsidRPr="000A1D51">
        <w:rPr>
          <w:rFonts w:asciiTheme="minorHAnsi" w:eastAsia="SimSun" w:hAnsiTheme="minorHAnsi" w:cstheme="minorHAnsi"/>
          <w:sz w:val="22"/>
          <w:szCs w:val="22"/>
          <w:lang w:val="en-AU"/>
        </w:rPr>
        <w:t xml:space="preserve"> (</w:t>
      </w:r>
      <w:r w:rsidR="00EB00B1" w:rsidRPr="000A1D51">
        <w:rPr>
          <w:rFonts w:asciiTheme="minorHAnsi" w:eastAsia="SimSun" w:hAnsiTheme="minorHAnsi" w:cstheme="minorHAnsi"/>
          <w:sz w:val="22"/>
          <w:szCs w:val="22"/>
          <w:lang w:val="en-AU"/>
        </w:rPr>
        <w:t xml:space="preserve">ASEC </w:t>
      </w:r>
      <w:r w:rsidR="003B5064" w:rsidRPr="000A1D51">
        <w:rPr>
          <w:rFonts w:asciiTheme="minorHAnsi" w:eastAsia="SimSun" w:hAnsiTheme="minorHAnsi" w:cstheme="minorHAnsi"/>
          <w:sz w:val="22"/>
          <w:szCs w:val="22"/>
          <w:lang w:val="en-AU"/>
        </w:rPr>
        <w:t xml:space="preserve">receives </w:t>
      </w:r>
      <w:r w:rsidR="00EB00B1" w:rsidRPr="000A1D51">
        <w:rPr>
          <w:rFonts w:asciiTheme="minorHAnsi" w:eastAsia="SimSun" w:hAnsiTheme="minorHAnsi" w:cstheme="minorHAnsi"/>
          <w:sz w:val="22"/>
          <w:szCs w:val="22"/>
          <w:lang w:val="en-AU"/>
        </w:rPr>
        <w:t>re</w:t>
      </w:r>
      <w:r w:rsidR="003B5064" w:rsidRPr="000A1D51">
        <w:rPr>
          <w:rFonts w:asciiTheme="minorHAnsi" w:eastAsia="SimSun" w:hAnsiTheme="minorHAnsi" w:cstheme="minorHAnsi"/>
          <w:sz w:val="22"/>
          <w:szCs w:val="22"/>
          <w:lang w:val="en-AU"/>
        </w:rPr>
        <w:t>quests</w:t>
      </w:r>
      <w:r w:rsidR="00EB00B1" w:rsidRPr="000A1D51">
        <w:rPr>
          <w:rFonts w:asciiTheme="minorHAnsi" w:eastAsia="SimSun" w:hAnsiTheme="minorHAnsi" w:cstheme="minorHAnsi"/>
          <w:sz w:val="22"/>
          <w:szCs w:val="22"/>
          <w:lang w:val="en-AU"/>
        </w:rPr>
        <w:t xml:space="preserve"> from WGs or from the Member stat</w:t>
      </w:r>
      <w:r w:rsidR="003B5064" w:rsidRPr="000A1D51">
        <w:rPr>
          <w:rFonts w:asciiTheme="minorHAnsi" w:eastAsia="SimSun" w:hAnsiTheme="minorHAnsi" w:cstheme="minorHAnsi"/>
          <w:sz w:val="22"/>
          <w:szCs w:val="22"/>
          <w:lang w:val="en-AU"/>
        </w:rPr>
        <w:t xml:space="preserve">es, </w:t>
      </w:r>
      <w:r w:rsidR="00AF2AFF" w:rsidRPr="000A1D51">
        <w:rPr>
          <w:rFonts w:asciiTheme="minorHAnsi" w:eastAsia="SimSun" w:hAnsiTheme="minorHAnsi" w:cstheme="minorHAnsi"/>
          <w:sz w:val="22"/>
          <w:szCs w:val="22"/>
          <w:lang w:val="en-AU"/>
        </w:rPr>
        <w:t>and</w:t>
      </w:r>
      <w:r w:rsidR="003B5064" w:rsidRPr="000A1D51">
        <w:rPr>
          <w:rFonts w:asciiTheme="minorHAnsi" w:eastAsia="SimSun" w:hAnsiTheme="minorHAnsi" w:cstheme="minorHAnsi"/>
          <w:sz w:val="22"/>
          <w:szCs w:val="22"/>
          <w:lang w:val="en-AU"/>
        </w:rPr>
        <w:t xml:space="preserve"> some are follow-on/ongoing projects)</w:t>
      </w:r>
      <w:r w:rsidR="00EB00B1" w:rsidRPr="000A1D51">
        <w:rPr>
          <w:rFonts w:asciiTheme="minorHAnsi" w:eastAsia="SimSun" w:hAnsiTheme="minorHAnsi" w:cstheme="minorHAnsi"/>
          <w:sz w:val="22"/>
          <w:szCs w:val="22"/>
          <w:lang w:val="en-AU"/>
        </w:rPr>
        <w:t>. Requests from ASEC that don’t align with the German Ministry</w:t>
      </w:r>
      <w:r w:rsidR="00C875C0" w:rsidRPr="000A1D51">
        <w:rPr>
          <w:rFonts w:asciiTheme="minorHAnsi" w:eastAsia="SimSun" w:hAnsiTheme="minorHAnsi" w:cstheme="minorHAnsi"/>
          <w:sz w:val="22"/>
          <w:szCs w:val="22"/>
          <w:lang w:val="en-AU"/>
        </w:rPr>
        <w:t>’s priorities</w:t>
      </w:r>
      <w:r w:rsidR="00EB00B1" w:rsidRPr="000A1D51">
        <w:rPr>
          <w:rFonts w:asciiTheme="minorHAnsi" w:eastAsia="SimSun" w:hAnsiTheme="minorHAnsi" w:cstheme="minorHAnsi"/>
          <w:sz w:val="22"/>
          <w:szCs w:val="22"/>
          <w:lang w:val="en-AU"/>
        </w:rPr>
        <w:t xml:space="preserve"> </w:t>
      </w:r>
      <w:r w:rsidR="006B4508" w:rsidRPr="000A1D51">
        <w:rPr>
          <w:rFonts w:asciiTheme="minorHAnsi" w:eastAsia="SimSun" w:hAnsiTheme="minorHAnsi" w:cstheme="minorHAnsi"/>
          <w:sz w:val="22"/>
          <w:szCs w:val="22"/>
          <w:lang w:val="en-AU"/>
        </w:rPr>
        <w:t>are not</w:t>
      </w:r>
      <w:r w:rsidR="00EB00B1" w:rsidRPr="000A1D51">
        <w:rPr>
          <w:rFonts w:asciiTheme="minorHAnsi" w:eastAsia="SimSun" w:hAnsiTheme="minorHAnsi" w:cstheme="minorHAnsi"/>
          <w:sz w:val="22"/>
          <w:szCs w:val="22"/>
          <w:lang w:val="en-AU"/>
        </w:rPr>
        <w:t xml:space="preserve"> </w:t>
      </w:r>
      <w:r w:rsidR="009C3CA0" w:rsidRPr="000A1D51">
        <w:rPr>
          <w:rFonts w:asciiTheme="minorHAnsi" w:eastAsia="SimSun" w:hAnsiTheme="minorHAnsi" w:cstheme="minorHAnsi"/>
          <w:sz w:val="22"/>
          <w:szCs w:val="22"/>
          <w:lang w:val="en-AU"/>
        </w:rPr>
        <w:t>accepted</w:t>
      </w:r>
      <w:r w:rsidR="00EB00B1" w:rsidRPr="000A1D51">
        <w:rPr>
          <w:rFonts w:asciiTheme="minorHAnsi" w:eastAsia="SimSun" w:hAnsiTheme="minorHAnsi" w:cstheme="minorHAnsi"/>
          <w:sz w:val="22"/>
          <w:szCs w:val="22"/>
          <w:lang w:val="en-AU"/>
        </w:rPr>
        <w:t>.</w:t>
      </w:r>
      <w:r w:rsidR="00C875C0" w:rsidRPr="000A1D51">
        <w:rPr>
          <w:rFonts w:asciiTheme="minorHAnsi" w:eastAsia="SimSun" w:hAnsiTheme="minorHAnsi" w:cstheme="minorHAnsi"/>
          <w:sz w:val="22"/>
          <w:szCs w:val="22"/>
          <w:lang w:val="en-AU"/>
        </w:rPr>
        <w:t xml:space="preserve"> </w:t>
      </w:r>
      <w:r w:rsidR="009C3CA0" w:rsidRPr="000A1D51">
        <w:rPr>
          <w:rFonts w:asciiTheme="minorHAnsi" w:eastAsia="SimSun" w:hAnsiTheme="minorHAnsi" w:cstheme="minorHAnsi"/>
          <w:sz w:val="22"/>
          <w:szCs w:val="22"/>
          <w:lang w:val="en-AU"/>
        </w:rPr>
        <w:t xml:space="preserve">The program then </w:t>
      </w:r>
      <w:r w:rsidR="00420C78" w:rsidRPr="000A1D51">
        <w:rPr>
          <w:rFonts w:asciiTheme="minorHAnsi" w:eastAsia="SimSun" w:hAnsiTheme="minorHAnsi" w:cstheme="minorHAnsi"/>
          <w:sz w:val="22"/>
          <w:szCs w:val="22"/>
          <w:lang w:val="en-AU"/>
        </w:rPr>
        <w:t>conduct</w:t>
      </w:r>
      <w:r w:rsidR="009C3CA0" w:rsidRPr="000A1D51">
        <w:rPr>
          <w:rFonts w:asciiTheme="minorHAnsi" w:eastAsia="SimSun" w:hAnsiTheme="minorHAnsi" w:cstheme="minorHAnsi"/>
          <w:sz w:val="22"/>
          <w:szCs w:val="22"/>
          <w:lang w:val="en-AU"/>
        </w:rPr>
        <w:t>s</w:t>
      </w:r>
      <w:r w:rsidR="00420C78" w:rsidRPr="000A1D51">
        <w:rPr>
          <w:rFonts w:asciiTheme="minorHAnsi" w:eastAsia="SimSun" w:hAnsiTheme="minorHAnsi" w:cstheme="minorHAnsi"/>
          <w:sz w:val="22"/>
          <w:szCs w:val="22"/>
          <w:lang w:val="en-AU"/>
        </w:rPr>
        <w:t xml:space="preserve"> project appraisal missions</w:t>
      </w:r>
      <w:r w:rsidR="002402BB" w:rsidRPr="000A1D51">
        <w:rPr>
          <w:rFonts w:asciiTheme="minorHAnsi" w:eastAsia="SimSun" w:hAnsiTheme="minorHAnsi" w:cstheme="minorHAnsi"/>
          <w:sz w:val="22"/>
          <w:szCs w:val="22"/>
          <w:lang w:val="en-AU"/>
        </w:rPr>
        <w:t xml:space="preserve"> and works</w:t>
      </w:r>
      <w:r w:rsidR="00491FE3" w:rsidRPr="000A1D51">
        <w:rPr>
          <w:rFonts w:asciiTheme="minorHAnsi" w:eastAsia="SimSun" w:hAnsiTheme="minorHAnsi" w:cstheme="minorHAnsi"/>
          <w:sz w:val="22"/>
          <w:szCs w:val="22"/>
          <w:lang w:val="en-AU"/>
        </w:rPr>
        <w:t xml:space="preserve"> closely with ASEC, ASEAN Divisions</w:t>
      </w:r>
      <w:r w:rsidR="00191E6B" w:rsidRPr="000A1D51">
        <w:rPr>
          <w:rFonts w:asciiTheme="minorHAnsi" w:eastAsia="SimSun" w:hAnsiTheme="minorHAnsi" w:cstheme="minorHAnsi"/>
          <w:sz w:val="22"/>
          <w:szCs w:val="22"/>
          <w:lang w:val="en-AU"/>
        </w:rPr>
        <w:t>, WGs</w:t>
      </w:r>
      <w:r w:rsidR="00491FE3" w:rsidRPr="000A1D51">
        <w:rPr>
          <w:rFonts w:asciiTheme="minorHAnsi" w:eastAsia="SimSun" w:hAnsiTheme="minorHAnsi" w:cstheme="minorHAnsi"/>
          <w:sz w:val="22"/>
          <w:szCs w:val="22"/>
          <w:lang w:val="en-AU"/>
        </w:rPr>
        <w:t xml:space="preserve"> and AMS to </w:t>
      </w:r>
      <w:r w:rsidR="00D30DF9" w:rsidRPr="000A1D51">
        <w:rPr>
          <w:rFonts w:asciiTheme="minorHAnsi" w:eastAsia="SimSun" w:hAnsiTheme="minorHAnsi" w:cstheme="minorHAnsi"/>
          <w:sz w:val="22"/>
          <w:szCs w:val="22"/>
          <w:lang w:val="en-AU"/>
        </w:rPr>
        <w:t xml:space="preserve">further </w:t>
      </w:r>
      <w:r w:rsidR="00491FE3" w:rsidRPr="000A1D51">
        <w:rPr>
          <w:rFonts w:asciiTheme="minorHAnsi" w:eastAsia="SimSun" w:hAnsiTheme="minorHAnsi" w:cstheme="minorHAnsi"/>
          <w:sz w:val="22"/>
          <w:szCs w:val="22"/>
          <w:lang w:val="en-AU"/>
        </w:rPr>
        <w:t>scope</w:t>
      </w:r>
      <w:r w:rsidR="00106E9B" w:rsidRPr="000A1D51">
        <w:rPr>
          <w:rFonts w:asciiTheme="minorHAnsi" w:eastAsia="SimSun" w:hAnsiTheme="minorHAnsi" w:cstheme="minorHAnsi"/>
          <w:sz w:val="22"/>
          <w:szCs w:val="22"/>
          <w:lang w:val="en-AU"/>
        </w:rPr>
        <w:t xml:space="preserve"> a project concept and then develops the proposal in-house using program staff and sometimes external short-term consultants. </w:t>
      </w:r>
      <w:r w:rsidR="009F3D69" w:rsidRPr="000A1D51">
        <w:rPr>
          <w:rFonts w:asciiTheme="minorHAnsi" w:eastAsia="SimSun" w:hAnsiTheme="minorHAnsi" w:cstheme="minorHAnsi"/>
          <w:sz w:val="22"/>
          <w:szCs w:val="22"/>
          <w:lang w:val="en-AU"/>
        </w:rPr>
        <w:t>Discussants noted that ownership came from AMS, and it is important to ask AMS when developing projects proposals on what the</w:t>
      </w:r>
      <w:r w:rsidR="00C40E69" w:rsidRPr="000A1D51">
        <w:rPr>
          <w:rFonts w:asciiTheme="minorHAnsi" w:eastAsia="SimSun" w:hAnsiTheme="minorHAnsi" w:cstheme="minorHAnsi"/>
          <w:sz w:val="22"/>
          <w:szCs w:val="22"/>
          <w:lang w:val="en-AU"/>
        </w:rPr>
        <w:t>ir requirements were</w:t>
      </w:r>
      <w:r w:rsidR="009F3D69" w:rsidRPr="000A1D51">
        <w:rPr>
          <w:rFonts w:asciiTheme="minorHAnsi" w:eastAsia="SimSun" w:hAnsiTheme="minorHAnsi" w:cstheme="minorHAnsi"/>
          <w:sz w:val="22"/>
          <w:szCs w:val="22"/>
          <w:lang w:val="en-AU"/>
        </w:rPr>
        <w:t xml:space="preserve">. </w:t>
      </w:r>
      <w:r w:rsidR="004926A7" w:rsidRPr="000A1D51">
        <w:rPr>
          <w:rFonts w:asciiTheme="minorHAnsi" w:eastAsia="SimSun" w:hAnsiTheme="minorHAnsi" w:cstheme="minorHAnsi"/>
          <w:sz w:val="22"/>
          <w:szCs w:val="22"/>
          <w:lang w:val="en-AU"/>
        </w:rPr>
        <w:t>P</w:t>
      </w:r>
      <w:r w:rsidR="008A549E" w:rsidRPr="000A1D51">
        <w:rPr>
          <w:rFonts w:asciiTheme="minorHAnsi" w:eastAsia="SimSun" w:hAnsiTheme="minorHAnsi" w:cstheme="minorHAnsi"/>
          <w:sz w:val="22"/>
          <w:szCs w:val="22"/>
          <w:lang w:val="en-AU"/>
        </w:rPr>
        <w:t>roject propo</w:t>
      </w:r>
      <w:r w:rsidR="00846B16" w:rsidRPr="000A1D51">
        <w:rPr>
          <w:rFonts w:asciiTheme="minorHAnsi" w:eastAsia="SimSun" w:hAnsiTheme="minorHAnsi" w:cstheme="minorHAnsi"/>
          <w:sz w:val="22"/>
          <w:szCs w:val="22"/>
          <w:lang w:val="en-AU"/>
        </w:rPr>
        <w:t>s</w:t>
      </w:r>
      <w:r w:rsidR="008A549E" w:rsidRPr="000A1D51">
        <w:rPr>
          <w:rFonts w:asciiTheme="minorHAnsi" w:eastAsia="SimSun" w:hAnsiTheme="minorHAnsi" w:cstheme="minorHAnsi"/>
          <w:sz w:val="22"/>
          <w:szCs w:val="22"/>
          <w:lang w:val="en-AU"/>
        </w:rPr>
        <w:t>al</w:t>
      </w:r>
      <w:r w:rsidR="004926A7" w:rsidRPr="000A1D51">
        <w:rPr>
          <w:rFonts w:asciiTheme="minorHAnsi" w:eastAsia="SimSun" w:hAnsiTheme="minorHAnsi" w:cstheme="minorHAnsi"/>
          <w:sz w:val="22"/>
          <w:szCs w:val="22"/>
          <w:lang w:val="en-AU"/>
        </w:rPr>
        <w:t>s</w:t>
      </w:r>
      <w:r w:rsidR="006A5E05" w:rsidRPr="000A1D51">
        <w:rPr>
          <w:rFonts w:asciiTheme="minorHAnsi" w:eastAsia="SimSun" w:hAnsiTheme="minorHAnsi" w:cstheme="minorHAnsi"/>
          <w:sz w:val="22"/>
          <w:szCs w:val="22"/>
          <w:lang w:val="en-AU"/>
        </w:rPr>
        <w:t xml:space="preserve"> </w:t>
      </w:r>
      <w:r w:rsidR="004926A7" w:rsidRPr="000A1D51">
        <w:rPr>
          <w:rFonts w:asciiTheme="minorHAnsi" w:eastAsia="SimSun" w:hAnsiTheme="minorHAnsi" w:cstheme="minorHAnsi"/>
          <w:sz w:val="22"/>
          <w:szCs w:val="22"/>
          <w:lang w:val="en-AU"/>
        </w:rPr>
        <w:t>are</w:t>
      </w:r>
      <w:r w:rsidR="006A5E05" w:rsidRPr="000A1D51">
        <w:rPr>
          <w:rFonts w:asciiTheme="minorHAnsi" w:eastAsia="SimSun" w:hAnsiTheme="minorHAnsi" w:cstheme="minorHAnsi"/>
          <w:sz w:val="22"/>
          <w:szCs w:val="22"/>
          <w:lang w:val="en-AU"/>
        </w:rPr>
        <w:t xml:space="preserve"> then shared with th</w:t>
      </w:r>
      <w:r w:rsidR="00C163D7" w:rsidRPr="000A1D51">
        <w:rPr>
          <w:rFonts w:asciiTheme="minorHAnsi" w:eastAsia="SimSun" w:hAnsiTheme="minorHAnsi" w:cstheme="minorHAnsi"/>
          <w:sz w:val="22"/>
          <w:szCs w:val="22"/>
          <w:lang w:val="en-AU"/>
        </w:rPr>
        <w:t>e</w:t>
      </w:r>
      <w:r w:rsidR="006A5E05" w:rsidRPr="000A1D51">
        <w:rPr>
          <w:rFonts w:asciiTheme="minorHAnsi" w:eastAsia="SimSun" w:hAnsiTheme="minorHAnsi" w:cstheme="minorHAnsi"/>
          <w:sz w:val="22"/>
          <w:szCs w:val="22"/>
          <w:lang w:val="en-AU"/>
        </w:rPr>
        <w:t xml:space="preserve"> German Ministry for approval before </w:t>
      </w:r>
      <w:r w:rsidR="003E7298" w:rsidRPr="000A1D51">
        <w:rPr>
          <w:rFonts w:asciiTheme="minorHAnsi" w:eastAsia="SimSun" w:hAnsiTheme="minorHAnsi" w:cstheme="minorHAnsi"/>
          <w:sz w:val="22"/>
          <w:szCs w:val="22"/>
          <w:lang w:val="en-AU"/>
        </w:rPr>
        <w:t>sending</w:t>
      </w:r>
      <w:r w:rsidR="006A5E05" w:rsidRPr="000A1D51">
        <w:rPr>
          <w:rFonts w:asciiTheme="minorHAnsi" w:eastAsia="SimSun" w:hAnsiTheme="minorHAnsi" w:cstheme="minorHAnsi"/>
          <w:sz w:val="22"/>
          <w:szCs w:val="22"/>
          <w:lang w:val="en-AU"/>
        </w:rPr>
        <w:t xml:space="preserve"> </w:t>
      </w:r>
      <w:r w:rsidR="003E7298" w:rsidRPr="000A1D51">
        <w:rPr>
          <w:rFonts w:asciiTheme="minorHAnsi" w:eastAsia="SimSun" w:hAnsiTheme="minorHAnsi" w:cstheme="minorHAnsi"/>
          <w:sz w:val="22"/>
          <w:szCs w:val="22"/>
          <w:lang w:val="en-AU"/>
        </w:rPr>
        <w:t xml:space="preserve">to </w:t>
      </w:r>
      <w:r w:rsidR="006A5E05" w:rsidRPr="000A1D51">
        <w:rPr>
          <w:rFonts w:asciiTheme="minorHAnsi" w:eastAsia="SimSun" w:hAnsiTheme="minorHAnsi" w:cstheme="minorHAnsi"/>
          <w:sz w:val="22"/>
          <w:szCs w:val="22"/>
          <w:lang w:val="en-AU"/>
        </w:rPr>
        <w:t>ASEC</w:t>
      </w:r>
      <w:r w:rsidR="00DA44EB" w:rsidRPr="000A1D51">
        <w:rPr>
          <w:rFonts w:asciiTheme="minorHAnsi" w:eastAsia="SimSun" w:hAnsiTheme="minorHAnsi" w:cstheme="minorHAnsi"/>
          <w:sz w:val="22"/>
          <w:szCs w:val="22"/>
          <w:lang w:val="en-AU"/>
        </w:rPr>
        <w:t xml:space="preserve"> (the proposal is then put in ASEC format)</w:t>
      </w:r>
      <w:r w:rsidR="006A5E05" w:rsidRPr="000A1D51">
        <w:rPr>
          <w:rFonts w:asciiTheme="minorHAnsi" w:eastAsia="SimSun" w:hAnsiTheme="minorHAnsi" w:cstheme="minorHAnsi"/>
          <w:sz w:val="22"/>
          <w:szCs w:val="22"/>
          <w:lang w:val="en-AU"/>
        </w:rPr>
        <w:t xml:space="preserve">. </w:t>
      </w:r>
      <w:r w:rsidR="00BD61CA" w:rsidRPr="000A1D51">
        <w:rPr>
          <w:rFonts w:asciiTheme="minorHAnsi" w:eastAsia="SimSun" w:hAnsiTheme="minorHAnsi" w:cstheme="minorHAnsi"/>
          <w:sz w:val="22"/>
          <w:szCs w:val="22"/>
          <w:lang w:val="en-AU"/>
        </w:rPr>
        <w:t>On the ASEAN side, p</w:t>
      </w:r>
      <w:r w:rsidR="001F15ED" w:rsidRPr="000A1D51">
        <w:rPr>
          <w:rFonts w:asciiTheme="minorHAnsi" w:eastAsia="SimSun" w:hAnsiTheme="minorHAnsi" w:cstheme="minorHAnsi"/>
          <w:sz w:val="22"/>
          <w:szCs w:val="22"/>
          <w:lang w:val="en-AU"/>
        </w:rPr>
        <w:t xml:space="preserve">roposals are approved through the CPR process. </w:t>
      </w:r>
    </w:p>
    <w:p w14:paraId="03F084A9" w14:textId="65677BAB" w:rsidR="00A87E12" w:rsidRPr="000A1D51" w:rsidRDefault="00653AFE" w:rsidP="00E0508E">
      <w:pPr>
        <w:pStyle w:val="Heading2"/>
        <w:numPr>
          <w:ilvl w:val="1"/>
          <w:numId w:val="47"/>
        </w:numPr>
        <w:rPr>
          <w:rFonts w:eastAsia="SimSun"/>
          <w:lang w:val="en-AU"/>
        </w:rPr>
      </w:pPr>
      <w:bookmarkStart w:id="97" w:name="_Toc24884134"/>
      <w:bookmarkStart w:id="98" w:name="_Toc31820136"/>
      <w:r w:rsidRPr="000A1D51">
        <w:rPr>
          <w:rFonts w:eastAsia="SimSun"/>
          <w:lang w:val="en-AU"/>
        </w:rPr>
        <w:t>What are the key lessons of the AADCP II partnership approach</w:t>
      </w:r>
      <w:r w:rsidR="00A87E12" w:rsidRPr="000A1D51">
        <w:rPr>
          <w:rFonts w:eastAsia="SimSun"/>
          <w:lang w:val="en-AU"/>
        </w:rPr>
        <w:t>?</w:t>
      </w:r>
      <w:bookmarkEnd w:id="97"/>
      <w:bookmarkEnd w:id="98"/>
    </w:p>
    <w:p w14:paraId="3D1DF51A" w14:textId="2254AB0E" w:rsidR="00086709" w:rsidRPr="000A1D51" w:rsidRDefault="00E62862" w:rsidP="00F86F0D">
      <w:pPr>
        <w:pStyle w:val="bullettable"/>
        <w:spacing w:line="276" w:lineRule="auto"/>
        <w:rPr>
          <w:lang w:val="en-AU"/>
        </w:rPr>
      </w:pPr>
      <w:r w:rsidRPr="000A1D51">
        <w:rPr>
          <w:lang w:val="en-AU"/>
        </w:rPr>
        <w:t>The partnership approach</w:t>
      </w:r>
      <w:r w:rsidR="0021172D" w:rsidRPr="000A1D51">
        <w:rPr>
          <w:lang w:val="en-AU"/>
        </w:rPr>
        <w:t>, in particular th</w:t>
      </w:r>
      <w:r w:rsidR="00FC5265" w:rsidRPr="000A1D51">
        <w:rPr>
          <w:lang w:val="en-AU"/>
        </w:rPr>
        <w:t xml:space="preserve">e program’s </w:t>
      </w:r>
      <w:r w:rsidR="0021172D" w:rsidRPr="000A1D51">
        <w:rPr>
          <w:lang w:val="en-AU"/>
        </w:rPr>
        <w:t>responsiveness to ASEAN priorities,</w:t>
      </w:r>
      <w:r w:rsidRPr="000A1D51">
        <w:rPr>
          <w:lang w:val="en-AU"/>
        </w:rPr>
        <w:t xml:space="preserve"> has strengthened the broader ASEAN-Australia relationsh</w:t>
      </w:r>
      <w:r w:rsidR="005373B2" w:rsidRPr="000A1D51">
        <w:rPr>
          <w:lang w:val="en-AU"/>
        </w:rPr>
        <w:t>ip</w:t>
      </w:r>
      <w:r w:rsidR="00E96E9A" w:rsidRPr="000A1D51">
        <w:rPr>
          <w:lang w:val="en-AU"/>
        </w:rPr>
        <w:t xml:space="preserve"> and has </w:t>
      </w:r>
      <w:r w:rsidR="00C828FE" w:rsidRPr="000A1D51">
        <w:rPr>
          <w:lang w:val="en-AU"/>
        </w:rPr>
        <w:t>helped Australia</w:t>
      </w:r>
      <w:r w:rsidR="001273E8" w:rsidRPr="000A1D51">
        <w:rPr>
          <w:lang w:val="en-AU"/>
        </w:rPr>
        <w:t xml:space="preserve"> develop a high degree of trust and credibility with ASEAN</w:t>
      </w:r>
      <w:r w:rsidR="005373B2" w:rsidRPr="000A1D51">
        <w:rPr>
          <w:lang w:val="en-AU"/>
        </w:rPr>
        <w:t>.</w:t>
      </w:r>
    </w:p>
    <w:p w14:paraId="4150B8A4" w14:textId="045CBAB1" w:rsidR="00BA2945" w:rsidRPr="000A1D51" w:rsidRDefault="00F86F0D" w:rsidP="006A6570">
      <w:pPr>
        <w:pStyle w:val="bullettable"/>
        <w:spacing w:line="276" w:lineRule="auto"/>
        <w:rPr>
          <w:lang w:val="en-AU"/>
        </w:rPr>
      </w:pPr>
      <w:r w:rsidRPr="000A1D51">
        <w:rPr>
          <w:lang w:val="en-AU"/>
        </w:rPr>
        <w:t>This mature partnershi</w:t>
      </w:r>
      <w:r w:rsidR="00810A5B" w:rsidRPr="000A1D51">
        <w:rPr>
          <w:lang w:val="en-AU"/>
        </w:rPr>
        <w:t>p</w:t>
      </w:r>
      <w:r w:rsidRPr="000A1D51">
        <w:rPr>
          <w:lang w:val="en-AU"/>
        </w:rPr>
        <w:t xml:space="preserve"> facilitates ASEAN and Australia to collaborate on areas of mutual interest and address program risks and approach </w:t>
      </w:r>
      <w:r w:rsidR="00CB25AA" w:rsidRPr="000A1D51">
        <w:rPr>
          <w:lang w:val="en-AU"/>
        </w:rPr>
        <w:t>policy</w:t>
      </w:r>
      <w:r w:rsidRPr="000A1D51">
        <w:rPr>
          <w:lang w:val="en-AU"/>
        </w:rPr>
        <w:t xml:space="preserve"> issues appropriately</w:t>
      </w:r>
      <w:r w:rsidR="006A6570" w:rsidRPr="000A1D51">
        <w:rPr>
          <w:lang w:val="en-AU"/>
        </w:rPr>
        <w:t xml:space="preserve">. This link </w:t>
      </w:r>
      <w:r w:rsidR="00C52052" w:rsidRPr="000A1D51">
        <w:rPr>
          <w:lang w:val="en-AU"/>
        </w:rPr>
        <w:t xml:space="preserve">between trust and credibility </w:t>
      </w:r>
      <w:r w:rsidR="006A6570" w:rsidRPr="000A1D51">
        <w:rPr>
          <w:lang w:val="en-AU"/>
        </w:rPr>
        <w:t xml:space="preserve">was highlighted </w:t>
      </w:r>
      <w:r w:rsidR="00F629BC" w:rsidRPr="000A1D51">
        <w:rPr>
          <w:lang w:val="en-AU"/>
        </w:rPr>
        <w:t>in a study</w:t>
      </w:r>
      <w:r w:rsidR="003B0038" w:rsidRPr="000A1D51">
        <w:rPr>
          <w:lang w:val="en-AU"/>
        </w:rPr>
        <w:t xml:space="preserve"> by Susan Dawson</w:t>
      </w:r>
      <w:r w:rsidR="00A26D9D" w:rsidRPr="000A1D51">
        <w:rPr>
          <w:lang w:val="en-AU"/>
        </w:rPr>
        <w:t xml:space="preserve">, </w:t>
      </w:r>
      <w:r w:rsidR="00A26D9D" w:rsidRPr="000A1D51">
        <w:rPr>
          <w:i/>
          <w:iCs/>
          <w:lang w:val="en-AU"/>
        </w:rPr>
        <w:t>Discussion Paper: Design, Monitoring and Evaluation of Facilities</w:t>
      </w:r>
      <w:r w:rsidR="006A6570" w:rsidRPr="000A1D51">
        <w:rPr>
          <w:lang w:val="en-AU"/>
        </w:rPr>
        <w:t>, who remarked</w:t>
      </w:r>
      <w:r w:rsidR="000F425A" w:rsidRPr="000A1D51">
        <w:rPr>
          <w:lang w:val="en-AU"/>
        </w:rPr>
        <w:t xml:space="preserve"> </w:t>
      </w:r>
      <w:r w:rsidR="006A6570" w:rsidRPr="000A1D51">
        <w:rPr>
          <w:lang w:val="en-AU"/>
        </w:rPr>
        <w:t xml:space="preserve">that </w:t>
      </w:r>
      <w:r w:rsidR="00555EF6" w:rsidRPr="000A1D51">
        <w:rPr>
          <w:lang w:val="en-AU"/>
        </w:rPr>
        <w:t>the relationship</w:t>
      </w:r>
      <w:r w:rsidR="000F425A" w:rsidRPr="000A1D51">
        <w:rPr>
          <w:lang w:val="en-AU"/>
        </w:rPr>
        <w:t xml:space="preserve"> between</w:t>
      </w:r>
      <w:r w:rsidR="00CB0695" w:rsidRPr="000A1D51">
        <w:rPr>
          <w:lang w:val="en-AU"/>
        </w:rPr>
        <w:t xml:space="preserve"> trust </w:t>
      </w:r>
      <w:r w:rsidR="000F425A" w:rsidRPr="000A1D51">
        <w:rPr>
          <w:lang w:val="en-AU"/>
        </w:rPr>
        <w:t xml:space="preserve">and credibility and the capacity to influence partners </w:t>
      </w:r>
      <w:r w:rsidR="00747BB0" w:rsidRPr="000A1D51">
        <w:rPr>
          <w:lang w:val="en-AU"/>
        </w:rPr>
        <w:t>on policy matters</w:t>
      </w:r>
      <w:r w:rsidR="000F425A" w:rsidRPr="000A1D51">
        <w:rPr>
          <w:lang w:val="en-AU"/>
        </w:rPr>
        <w:t xml:space="preserve"> was </w:t>
      </w:r>
      <w:r w:rsidR="00E6036D" w:rsidRPr="000A1D51">
        <w:rPr>
          <w:lang w:val="en-AU"/>
        </w:rPr>
        <w:t>strong</w:t>
      </w:r>
      <w:r w:rsidR="00F321A8" w:rsidRPr="000A1D51">
        <w:rPr>
          <w:lang w:val="en-AU"/>
        </w:rPr>
        <w:t xml:space="preserve">. </w:t>
      </w:r>
      <w:r w:rsidR="0042130F" w:rsidRPr="000A1D51">
        <w:rPr>
          <w:lang w:val="en-AU"/>
        </w:rPr>
        <w:t xml:space="preserve">The paper reiterated </w:t>
      </w:r>
      <w:r w:rsidR="00CB2BD8" w:rsidRPr="000A1D51">
        <w:rPr>
          <w:lang w:val="en-AU"/>
        </w:rPr>
        <w:t xml:space="preserve">this to be more effective when partners </w:t>
      </w:r>
      <w:r w:rsidR="00DD48EE" w:rsidRPr="000A1D51">
        <w:rPr>
          <w:lang w:val="en-AU"/>
        </w:rPr>
        <w:t>create</w:t>
      </w:r>
      <w:r w:rsidR="00F9300C" w:rsidRPr="000A1D51">
        <w:rPr>
          <w:lang w:val="en-AU"/>
        </w:rPr>
        <w:t>d</w:t>
      </w:r>
      <w:r w:rsidR="00DD48EE" w:rsidRPr="000A1D51">
        <w:rPr>
          <w:lang w:val="en-AU"/>
        </w:rPr>
        <w:t xml:space="preserve"> demand for engagement</w:t>
      </w:r>
      <w:r w:rsidR="006701C9" w:rsidRPr="000A1D51">
        <w:rPr>
          <w:lang w:val="en-AU"/>
        </w:rPr>
        <w:t xml:space="preserve"> which represented good value for money</w:t>
      </w:r>
      <w:r w:rsidR="00DD48EE" w:rsidRPr="000A1D51">
        <w:rPr>
          <w:lang w:val="en-AU"/>
        </w:rPr>
        <w:t xml:space="preserve">, </w:t>
      </w:r>
      <w:r w:rsidR="003267AD" w:rsidRPr="000A1D51">
        <w:rPr>
          <w:lang w:val="en-AU"/>
        </w:rPr>
        <w:lastRenderedPageBreak/>
        <w:t xml:space="preserve">particularly </w:t>
      </w:r>
      <w:r w:rsidR="005B44E8" w:rsidRPr="000A1D51">
        <w:rPr>
          <w:lang w:val="en-AU"/>
        </w:rPr>
        <w:t xml:space="preserve">where Australia </w:t>
      </w:r>
      <w:r w:rsidR="002D030D" w:rsidRPr="000A1D51">
        <w:rPr>
          <w:lang w:val="en-AU"/>
        </w:rPr>
        <w:t xml:space="preserve">was part of a </w:t>
      </w:r>
      <w:r w:rsidR="00440C7C" w:rsidRPr="000A1D51">
        <w:rPr>
          <w:lang w:val="en-AU"/>
        </w:rPr>
        <w:t>broader</w:t>
      </w:r>
      <w:r w:rsidR="002D030D" w:rsidRPr="000A1D51">
        <w:rPr>
          <w:lang w:val="en-AU"/>
        </w:rPr>
        <w:t xml:space="preserve"> development </w:t>
      </w:r>
      <w:r w:rsidR="00440C7C" w:rsidRPr="000A1D51">
        <w:rPr>
          <w:lang w:val="en-AU"/>
        </w:rPr>
        <w:t>setting</w:t>
      </w:r>
      <w:r w:rsidR="002D030D" w:rsidRPr="000A1D51">
        <w:rPr>
          <w:lang w:val="en-AU"/>
        </w:rPr>
        <w:t xml:space="preserve">, </w:t>
      </w:r>
      <w:r w:rsidR="008B4B7C" w:rsidRPr="000A1D51">
        <w:rPr>
          <w:lang w:val="en-AU"/>
        </w:rPr>
        <w:t xml:space="preserve">akin to </w:t>
      </w:r>
      <w:r w:rsidR="009A15B7" w:rsidRPr="000A1D51">
        <w:rPr>
          <w:lang w:val="en-AU"/>
        </w:rPr>
        <w:t xml:space="preserve">the context in which </w:t>
      </w:r>
      <w:r w:rsidR="00DD48EE" w:rsidRPr="000A1D51">
        <w:rPr>
          <w:lang w:val="en-AU"/>
        </w:rPr>
        <w:t>AADCP II</w:t>
      </w:r>
      <w:r w:rsidR="009A15B7" w:rsidRPr="000A1D51">
        <w:rPr>
          <w:lang w:val="en-AU"/>
        </w:rPr>
        <w:t xml:space="preserve"> operates. </w:t>
      </w:r>
    </w:p>
    <w:p w14:paraId="50C84F62" w14:textId="22AE2264" w:rsidR="009773E4" w:rsidRPr="000A1D51" w:rsidRDefault="009773E4" w:rsidP="001866AB">
      <w:pPr>
        <w:pStyle w:val="bullettable"/>
        <w:spacing w:line="276" w:lineRule="auto"/>
        <w:rPr>
          <w:lang w:val="en-AU"/>
        </w:rPr>
      </w:pPr>
      <w:r w:rsidRPr="000A1D51">
        <w:rPr>
          <w:lang w:val="en-AU"/>
        </w:rPr>
        <w:t>The value of the AADCP II partnership</w:t>
      </w:r>
      <w:r w:rsidR="00605752" w:rsidRPr="000A1D51">
        <w:rPr>
          <w:lang w:val="en-AU"/>
        </w:rPr>
        <w:t xml:space="preserve">-facility modality </w:t>
      </w:r>
      <w:r w:rsidRPr="000A1D51">
        <w:rPr>
          <w:lang w:val="en-AU"/>
        </w:rPr>
        <w:t xml:space="preserve">depends on the </w:t>
      </w:r>
      <w:r w:rsidR="00925AA1" w:rsidRPr="000A1D51">
        <w:rPr>
          <w:lang w:val="en-AU"/>
        </w:rPr>
        <w:t xml:space="preserve">underlying reasons for </w:t>
      </w:r>
      <w:r w:rsidR="00605752" w:rsidRPr="000A1D51">
        <w:rPr>
          <w:lang w:val="en-AU"/>
        </w:rPr>
        <w:t>the partnership</w:t>
      </w:r>
      <w:r w:rsidR="001F3F27" w:rsidRPr="000A1D51">
        <w:rPr>
          <w:lang w:val="en-AU"/>
        </w:rPr>
        <w:t xml:space="preserve">. If </w:t>
      </w:r>
      <w:r w:rsidR="00791E18" w:rsidRPr="000A1D51">
        <w:rPr>
          <w:lang w:val="en-AU"/>
        </w:rPr>
        <w:t>being responsive to ASEAN</w:t>
      </w:r>
      <w:r w:rsidR="00165100" w:rsidRPr="000A1D51">
        <w:rPr>
          <w:lang w:val="en-AU"/>
        </w:rPr>
        <w:t xml:space="preserve"> </w:t>
      </w:r>
      <w:r w:rsidR="007F48B9" w:rsidRPr="000A1D51">
        <w:rPr>
          <w:lang w:val="en-AU"/>
        </w:rPr>
        <w:t>i</w:t>
      </w:r>
      <w:r w:rsidR="00165100" w:rsidRPr="000A1D51">
        <w:rPr>
          <w:lang w:val="en-AU"/>
        </w:rPr>
        <w:t>s seen as more important t</w:t>
      </w:r>
      <w:r w:rsidR="007F48B9" w:rsidRPr="000A1D51">
        <w:rPr>
          <w:lang w:val="en-AU"/>
        </w:rPr>
        <w:t>o</w:t>
      </w:r>
      <w:r w:rsidR="004D22B1" w:rsidRPr="000A1D51">
        <w:rPr>
          <w:lang w:val="en-AU"/>
        </w:rPr>
        <w:t xml:space="preserve"> maintaining a strong </w:t>
      </w:r>
      <w:r w:rsidR="002106DE" w:rsidRPr="000A1D51">
        <w:rPr>
          <w:lang w:val="en-AU"/>
        </w:rPr>
        <w:t xml:space="preserve">ongoing </w:t>
      </w:r>
      <w:r w:rsidR="004D22B1" w:rsidRPr="000A1D51">
        <w:rPr>
          <w:lang w:val="en-AU"/>
        </w:rPr>
        <w:t>ASEAN-Australia relationship</w:t>
      </w:r>
      <w:r w:rsidR="004A7649" w:rsidRPr="000A1D51">
        <w:rPr>
          <w:lang w:val="en-AU"/>
        </w:rPr>
        <w:t xml:space="preserve"> through projects that </w:t>
      </w:r>
      <w:r w:rsidR="0091790A" w:rsidRPr="000A1D51">
        <w:rPr>
          <w:lang w:val="en-AU"/>
        </w:rPr>
        <w:t xml:space="preserve">help </w:t>
      </w:r>
      <w:r w:rsidR="004A7649" w:rsidRPr="000A1D51">
        <w:rPr>
          <w:lang w:val="en-AU"/>
        </w:rPr>
        <w:t xml:space="preserve">advance both ASEAN and Australia’s priorities, then </w:t>
      </w:r>
      <w:r w:rsidR="00E63EAD" w:rsidRPr="000A1D51">
        <w:rPr>
          <w:lang w:val="en-AU"/>
        </w:rPr>
        <w:t>this modality wi</w:t>
      </w:r>
      <w:r w:rsidR="007D3602" w:rsidRPr="000A1D51">
        <w:rPr>
          <w:lang w:val="en-AU"/>
        </w:rPr>
        <w:t>ll continue to offer</w:t>
      </w:r>
      <w:r w:rsidR="008E0B55" w:rsidRPr="000A1D51">
        <w:rPr>
          <w:lang w:val="en-AU"/>
        </w:rPr>
        <w:t xml:space="preserve"> good value for money</w:t>
      </w:r>
      <w:r w:rsidR="00605752" w:rsidRPr="000A1D51">
        <w:rPr>
          <w:lang w:val="en-AU"/>
        </w:rPr>
        <w:t xml:space="preserve">. </w:t>
      </w:r>
      <w:r w:rsidR="004D5E90" w:rsidRPr="000A1D51">
        <w:rPr>
          <w:lang w:val="en-AU"/>
        </w:rPr>
        <w:t>If,</w:t>
      </w:r>
      <w:r w:rsidR="00ED0D6C" w:rsidRPr="000A1D51">
        <w:rPr>
          <w:lang w:val="en-AU"/>
        </w:rPr>
        <w:t xml:space="preserve"> however, Australia want to </w:t>
      </w:r>
      <w:r w:rsidR="00B322C9" w:rsidRPr="000A1D51">
        <w:rPr>
          <w:lang w:val="en-AU"/>
        </w:rPr>
        <w:t xml:space="preserve">be more engaged in </w:t>
      </w:r>
      <w:r w:rsidR="002A3622" w:rsidRPr="000A1D51">
        <w:rPr>
          <w:lang w:val="en-AU"/>
        </w:rPr>
        <w:t>setting</w:t>
      </w:r>
      <w:r w:rsidR="00583CF6" w:rsidRPr="000A1D51">
        <w:rPr>
          <w:lang w:val="en-AU"/>
        </w:rPr>
        <w:t xml:space="preserve"> the development agenda</w:t>
      </w:r>
      <w:r w:rsidR="00D05C1A" w:rsidRPr="000A1D51">
        <w:rPr>
          <w:lang w:val="en-AU"/>
        </w:rPr>
        <w:t xml:space="preserve"> and drive GESI and lead on M&amp;E of projects and activities it funds</w:t>
      </w:r>
      <w:r w:rsidR="00583CF6" w:rsidRPr="000A1D51">
        <w:rPr>
          <w:lang w:val="en-AU"/>
        </w:rPr>
        <w:t xml:space="preserve"> </w:t>
      </w:r>
      <w:r w:rsidR="00B322C9" w:rsidRPr="000A1D51">
        <w:rPr>
          <w:lang w:val="en-AU"/>
        </w:rPr>
        <w:t>through AADCP II, then a</w:t>
      </w:r>
      <w:r w:rsidR="00810A5B" w:rsidRPr="000A1D51">
        <w:rPr>
          <w:lang w:val="en-AU"/>
        </w:rPr>
        <w:t xml:space="preserve"> more traditional </w:t>
      </w:r>
      <w:r w:rsidR="00B322C9" w:rsidRPr="000A1D51">
        <w:rPr>
          <w:lang w:val="en-AU"/>
        </w:rPr>
        <w:t>program approach</w:t>
      </w:r>
      <w:r w:rsidR="00D05C1A" w:rsidRPr="000A1D51">
        <w:rPr>
          <w:lang w:val="en-AU"/>
        </w:rPr>
        <w:t xml:space="preserve"> </w:t>
      </w:r>
      <w:r w:rsidR="00B322C9" w:rsidRPr="000A1D51">
        <w:rPr>
          <w:lang w:val="en-AU"/>
        </w:rPr>
        <w:t>may be suitable</w:t>
      </w:r>
      <w:r w:rsidR="00D05C1A" w:rsidRPr="000A1D51">
        <w:rPr>
          <w:lang w:val="en-AU"/>
        </w:rPr>
        <w:t>.</w:t>
      </w:r>
      <w:r w:rsidR="002340C6" w:rsidRPr="000A1D51">
        <w:rPr>
          <w:lang w:val="en-AU"/>
        </w:rPr>
        <w:t xml:space="preserve"> </w:t>
      </w:r>
      <w:r w:rsidR="00D05C1A" w:rsidRPr="000A1D51">
        <w:rPr>
          <w:lang w:val="en-AU"/>
        </w:rPr>
        <w:t>For instance, certain elements of a traditional managing contractor-led program could be explored where M&amp;E responsibilities</w:t>
      </w:r>
      <w:r w:rsidR="00DD0513" w:rsidRPr="000A1D51">
        <w:rPr>
          <w:rStyle w:val="FootnoteReference"/>
          <w:lang w:val="en-AU"/>
        </w:rPr>
        <w:footnoteReference w:id="45"/>
      </w:r>
      <w:r w:rsidR="00D05C1A" w:rsidRPr="000A1D51">
        <w:rPr>
          <w:lang w:val="en-AU"/>
        </w:rPr>
        <w:t xml:space="preserve"> lie with the program (feasibility of this mixed modality would need to be discussed with ASEAN to ensure ASEAN ownership is not compromised). T</w:t>
      </w:r>
      <w:r w:rsidR="00391311" w:rsidRPr="000A1D51">
        <w:rPr>
          <w:lang w:val="en-AU"/>
        </w:rPr>
        <w:t xml:space="preserve">he program would still need to closely </w:t>
      </w:r>
      <w:r w:rsidR="00284FDA" w:rsidRPr="000A1D51">
        <w:rPr>
          <w:lang w:val="en-AU"/>
        </w:rPr>
        <w:t xml:space="preserve">engage </w:t>
      </w:r>
      <w:r w:rsidR="00391311" w:rsidRPr="000A1D51">
        <w:rPr>
          <w:lang w:val="en-AU"/>
        </w:rPr>
        <w:t xml:space="preserve">through </w:t>
      </w:r>
      <w:r w:rsidR="00EE3B3E" w:rsidRPr="000A1D51">
        <w:rPr>
          <w:lang w:val="en-AU"/>
        </w:rPr>
        <w:t xml:space="preserve">relevant </w:t>
      </w:r>
      <w:r w:rsidR="00391311" w:rsidRPr="000A1D51">
        <w:rPr>
          <w:lang w:val="en-AU"/>
        </w:rPr>
        <w:t xml:space="preserve">ASEAN </w:t>
      </w:r>
      <w:r w:rsidR="003A7231" w:rsidRPr="000A1D51">
        <w:rPr>
          <w:lang w:val="en-AU"/>
        </w:rPr>
        <w:t xml:space="preserve">sectoral bodies/working groups, such as </w:t>
      </w:r>
      <w:r w:rsidR="00DC183B" w:rsidRPr="000A1D51">
        <w:rPr>
          <w:lang w:val="en-AU"/>
        </w:rPr>
        <w:t xml:space="preserve">the </w:t>
      </w:r>
      <w:r w:rsidR="00B90A21" w:rsidRPr="000A1D51">
        <w:rPr>
          <w:lang w:val="en-AU"/>
        </w:rPr>
        <w:t xml:space="preserve">DFAT-funded </w:t>
      </w:r>
      <w:r w:rsidR="00DC183B" w:rsidRPr="000A1D51">
        <w:rPr>
          <w:lang w:val="en-AU"/>
        </w:rPr>
        <w:t>A</w:t>
      </w:r>
      <w:r w:rsidR="000341EE" w:rsidRPr="000A1D51">
        <w:rPr>
          <w:lang w:val="en-AU"/>
        </w:rPr>
        <w:t>SEAN-</w:t>
      </w:r>
      <w:r w:rsidR="00DC183B" w:rsidRPr="000A1D51">
        <w:rPr>
          <w:lang w:val="en-AU"/>
        </w:rPr>
        <w:t>ACT program</w:t>
      </w:r>
      <w:r w:rsidR="00C21471" w:rsidRPr="000A1D51">
        <w:rPr>
          <w:lang w:val="en-AU"/>
        </w:rPr>
        <w:t xml:space="preserve"> which works through the SOMTC</w:t>
      </w:r>
      <w:r w:rsidR="001B0915" w:rsidRPr="000A1D51">
        <w:rPr>
          <w:rStyle w:val="FootnoteReference"/>
          <w:lang w:val="en-AU"/>
        </w:rPr>
        <w:footnoteReference w:id="46"/>
      </w:r>
      <w:r w:rsidR="00B322C9" w:rsidRPr="000A1D51">
        <w:rPr>
          <w:lang w:val="en-AU"/>
        </w:rPr>
        <w:t xml:space="preserve">. </w:t>
      </w:r>
    </w:p>
    <w:p w14:paraId="2F9A3A58" w14:textId="7DC71B66" w:rsidR="009E11B0" w:rsidRPr="000A1D51" w:rsidRDefault="009E11B0" w:rsidP="009E11B0">
      <w:pPr>
        <w:pStyle w:val="bullettable"/>
        <w:spacing w:line="276" w:lineRule="auto"/>
        <w:rPr>
          <w:lang w:val="en-AU"/>
        </w:rPr>
      </w:pPr>
      <w:r w:rsidRPr="000A1D51">
        <w:rPr>
          <w:lang w:val="en-AU"/>
        </w:rPr>
        <w:t xml:space="preserve">The success of the AADCP II partnership approach is highly relational and requires dedicated engagement and high-level diplomacy from the Program Director and the DFAT-ASEAN Mission. To continue to nurture and fuel the partnership, a strong emphasis on ongoing engagement between ASEAN decision makers and the Program Director and the DFAT-ASEAN Mission will be critical. </w:t>
      </w:r>
    </w:p>
    <w:p w14:paraId="4ABD1058" w14:textId="63AA5617" w:rsidR="00F86F0D" w:rsidRPr="000A1D51" w:rsidRDefault="00F86F0D" w:rsidP="001866AB">
      <w:pPr>
        <w:pStyle w:val="bullettable"/>
        <w:spacing w:line="276" w:lineRule="auto"/>
        <w:rPr>
          <w:lang w:val="en-AU"/>
        </w:rPr>
      </w:pPr>
      <w:r w:rsidRPr="000A1D51">
        <w:rPr>
          <w:lang w:val="en-AU"/>
        </w:rPr>
        <w:t>Owing to the demand-led approach, AADCP II enjoys a very strong brand recognition within ASEAN. However, this has</w:t>
      </w:r>
      <w:r w:rsidR="003B7E55" w:rsidRPr="000A1D51">
        <w:rPr>
          <w:lang w:val="en-AU"/>
        </w:rPr>
        <w:t xml:space="preserve"> </w:t>
      </w:r>
      <w:r w:rsidRPr="000A1D51">
        <w:rPr>
          <w:lang w:val="en-AU"/>
        </w:rPr>
        <w:t>reduc</w:t>
      </w:r>
      <w:r w:rsidR="004E0842" w:rsidRPr="000A1D51">
        <w:rPr>
          <w:lang w:val="en-AU"/>
        </w:rPr>
        <w:t>ed</w:t>
      </w:r>
      <w:r w:rsidRPr="000A1D51">
        <w:rPr>
          <w:lang w:val="en-AU"/>
        </w:rPr>
        <w:t xml:space="preserve"> Australia’s ability to raise its regional profile </w:t>
      </w:r>
      <w:r w:rsidR="005829E1" w:rsidRPr="000A1D51">
        <w:rPr>
          <w:lang w:val="en-AU"/>
        </w:rPr>
        <w:t xml:space="preserve">with ASEAN and Member States </w:t>
      </w:r>
      <w:r w:rsidRPr="000A1D51">
        <w:rPr>
          <w:lang w:val="en-AU"/>
        </w:rPr>
        <w:t xml:space="preserve">more widely. The program and DFAT-ASEAN Mission </w:t>
      </w:r>
      <w:r w:rsidR="00CB272D" w:rsidRPr="000A1D51">
        <w:rPr>
          <w:lang w:val="en-AU"/>
        </w:rPr>
        <w:t xml:space="preserve">need </w:t>
      </w:r>
      <w:r w:rsidR="00013A81" w:rsidRPr="000A1D51">
        <w:rPr>
          <w:lang w:val="en-AU"/>
        </w:rPr>
        <w:t>engage</w:t>
      </w:r>
      <w:r w:rsidR="000351E1" w:rsidRPr="000A1D51">
        <w:rPr>
          <w:lang w:val="en-AU"/>
        </w:rPr>
        <w:t xml:space="preserve"> </w:t>
      </w:r>
      <w:r w:rsidR="00DA162C" w:rsidRPr="000A1D51">
        <w:rPr>
          <w:lang w:val="en-AU"/>
        </w:rPr>
        <w:t>more</w:t>
      </w:r>
      <w:r w:rsidR="00EE63E3" w:rsidRPr="000A1D51">
        <w:rPr>
          <w:lang w:val="en-AU"/>
        </w:rPr>
        <w:t xml:space="preserve"> proactive</w:t>
      </w:r>
      <w:r w:rsidR="00013A81" w:rsidRPr="000A1D51">
        <w:rPr>
          <w:lang w:val="en-AU"/>
        </w:rPr>
        <w:t>ly through their formal and informal communication channels</w:t>
      </w:r>
      <w:r w:rsidR="000351E1" w:rsidRPr="000A1D51">
        <w:rPr>
          <w:lang w:val="en-AU"/>
        </w:rPr>
        <w:t>,</w:t>
      </w:r>
      <w:r w:rsidR="00EE63E3" w:rsidRPr="000A1D51">
        <w:rPr>
          <w:lang w:val="en-AU"/>
        </w:rPr>
        <w:t xml:space="preserve"> ensuring </w:t>
      </w:r>
      <w:r w:rsidR="003A3603" w:rsidRPr="000A1D51">
        <w:rPr>
          <w:lang w:val="en-AU"/>
        </w:rPr>
        <w:t>th</w:t>
      </w:r>
      <w:r w:rsidR="004632C1" w:rsidRPr="000A1D51">
        <w:rPr>
          <w:lang w:val="en-AU"/>
        </w:rPr>
        <w:t>at</w:t>
      </w:r>
      <w:r w:rsidR="003A3603" w:rsidRPr="000A1D51">
        <w:rPr>
          <w:lang w:val="en-AU"/>
        </w:rPr>
        <w:t xml:space="preserve"> messaging </w:t>
      </w:r>
      <w:r w:rsidR="004632C1" w:rsidRPr="000A1D51">
        <w:rPr>
          <w:lang w:val="en-AU"/>
        </w:rPr>
        <w:t xml:space="preserve">about the program </w:t>
      </w:r>
      <w:r w:rsidR="003A3603" w:rsidRPr="000A1D51">
        <w:rPr>
          <w:lang w:val="en-AU"/>
        </w:rPr>
        <w:t>is</w:t>
      </w:r>
      <w:r w:rsidR="008941F8" w:rsidRPr="000A1D51">
        <w:rPr>
          <w:lang w:val="en-AU"/>
        </w:rPr>
        <w:t xml:space="preserve"> tailored </w:t>
      </w:r>
      <w:r w:rsidR="00A4685F" w:rsidRPr="000A1D51">
        <w:rPr>
          <w:lang w:val="en-AU"/>
        </w:rPr>
        <w:t xml:space="preserve">to the needs of </w:t>
      </w:r>
      <w:r w:rsidR="00F829B9" w:rsidRPr="000A1D51">
        <w:rPr>
          <w:lang w:val="en-AU"/>
        </w:rPr>
        <w:t xml:space="preserve">the </w:t>
      </w:r>
      <w:r w:rsidR="008941F8" w:rsidRPr="000A1D51">
        <w:rPr>
          <w:lang w:val="en-AU"/>
        </w:rPr>
        <w:t>different audiences</w:t>
      </w:r>
      <w:r w:rsidR="00A4685F" w:rsidRPr="000A1D51">
        <w:rPr>
          <w:lang w:val="en-AU"/>
        </w:rPr>
        <w:t>-ASEAN, AMS, DFAT-Canberra</w:t>
      </w:r>
      <w:r w:rsidR="008941F8" w:rsidRPr="000A1D51">
        <w:rPr>
          <w:lang w:val="en-AU"/>
        </w:rPr>
        <w:t xml:space="preserve">. </w:t>
      </w:r>
    </w:p>
    <w:p w14:paraId="5228D9A8" w14:textId="603D44C1" w:rsidR="00580176" w:rsidRPr="000A1D51" w:rsidRDefault="00580176" w:rsidP="00580176">
      <w:pPr>
        <w:pStyle w:val="bullettable"/>
        <w:spacing w:line="276" w:lineRule="auto"/>
        <w:rPr>
          <w:lang w:val="en-AU"/>
        </w:rPr>
      </w:pPr>
      <w:r w:rsidRPr="000A1D51">
        <w:rPr>
          <w:lang w:val="en-AU"/>
        </w:rPr>
        <w:t xml:space="preserve">Working through ASEC systems can reduce efficiency and delay processes to some extent, but it also helps build </w:t>
      </w:r>
      <w:r w:rsidR="003602A3" w:rsidRPr="000A1D51">
        <w:rPr>
          <w:lang w:val="en-AU"/>
        </w:rPr>
        <w:t xml:space="preserve">ASEAN </w:t>
      </w:r>
      <w:r w:rsidRPr="000A1D51">
        <w:rPr>
          <w:lang w:val="en-AU"/>
        </w:rPr>
        <w:t>ownership and capacity</w:t>
      </w:r>
      <w:r w:rsidR="00BA10BA" w:rsidRPr="000A1D51">
        <w:rPr>
          <w:lang w:val="en-AU"/>
        </w:rPr>
        <w:t>,</w:t>
      </w:r>
      <w:r w:rsidRPr="000A1D51">
        <w:rPr>
          <w:lang w:val="en-AU"/>
        </w:rPr>
        <w:t xml:space="preserve"> which </w:t>
      </w:r>
      <w:r w:rsidR="00BA10BA" w:rsidRPr="000A1D51">
        <w:rPr>
          <w:lang w:val="en-AU"/>
        </w:rPr>
        <w:t xml:space="preserve">not only </w:t>
      </w:r>
      <w:r w:rsidRPr="000A1D51">
        <w:rPr>
          <w:lang w:val="en-AU"/>
        </w:rPr>
        <w:t>contribute</w:t>
      </w:r>
      <w:r w:rsidR="00BA10BA" w:rsidRPr="000A1D51">
        <w:rPr>
          <w:lang w:val="en-AU"/>
        </w:rPr>
        <w:t>s to the partnership, but also</w:t>
      </w:r>
      <w:r w:rsidRPr="000A1D51">
        <w:rPr>
          <w:lang w:val="en-AU"/>
        </w:rPr>
        <w:t xml:space="preserve"> </w:t>
      </w:r>
      <w:r w:rsidR="00BE2BC9" w:rsidRPr="000A1D51">
        <w:rPr>
          <w:i/>
          <w:iCs/>
          <w:lang w:val="en-AU"/>
        </w:rPr>
        <w:t>enhances mutuality</w:t>
      </w:r>
      <w:r w:rsidR="00BE2BC9" w:rsidRPr="000A1D51">
        <w:rPr>
          <w:rStyle w:val="FootnoteReference"/>
          <w:i/>
          <w:iCs/>
          <w:lang w:val="en-AU"/>
        </w:rPr>
        <w:footnoteReference w:id="47"/>
      </w:r>
      <w:r w:rsidR="00BE2BC9" w:rsidRPr="000A1D51">
        <w:rPr>
          <w:lang w:val="en-AU"/>
        </w:rPr>
        <w:t xml:space="preserve"> and </w:t>
      </w:r>
      <w:r w:rsidR="00BA10BA" w:rsidRPr="000A1D51">
        <w:rPr>
          <w:lang w:val="en-AU"/>
        </w:rPr>
        <w:t>ensures</w:t>
      </w:r>
      <w:r w:rsidRPr="000A1D51">
        <w:rPr>
          <w:lang w:val="en-AU"/>
        </w:rPr>
        <w:t xml:space="preserve"> longer term sustainability</w:t>
      </w:r>
      <w:r w:rsidR="00D825C1" w:rsidRPr="000A1D51">
        <w:rPr>
          <w:lang w:val="en-AU"/>
        </w:rPr>
        <w:t xml:space="preserve">. </w:t>
      </w:r>
      <w:r w:rsidR="00F77B69" w:rsidRPr="000A1D51">
        <w:rPr>
          <w:lang w:val="en-AU"/>
        </w:rPr>
        <w:t>The Discussion Paper further highlight</w:t>
      </w:r>
      <w:r w:rsidR="00827AD8" w:rsidRPr="000A1D51">
        <w:rPr>
          <w:lang w:val="en-AU"/>
        </w:rPr>
        <w:t>s</w:t>
      </w:r>
      <w:r w:rsidR="00F77B69" w:rsidRPr="000A1D51">
        <w:rPr>
          <w:lang w:val="en-AU"/>
        </w:rPr>
        <w:t xml:space="preserve"> </w:t>
      </w:r>
      <w:r w:rsidR="006A1022" w:rsidRPr="000A1D51">
        <w:rPr>
          <w:lang w:val="en-AU"/>
        </w:rPr>
        <w:t xml:space="preserve">that the objective of partnerships </w:t>
      </w:r>
      <w:r w:rsidR="001407DD" w:rsidRPr="000A1D51">
        <w:rPr>
          <w:lang w:val="en-AU"/>
        </w:rPr>
        <w:t>is not often achieved if the facility is implemented by a Managing Contractor</w:t>
      </w:r>
      <w:r w:rsidR="00752010" w:rsidRPr="000A1D51">
        <w:rPr>
          <w:lang w:val="en-AU"/>
        </w:rPr>
        <w:t xml:space="preserve">, </w:t>
      </w:r>
      <w:r w:rsidR="00035535" w:rsidRPr="000A1D51">
        <w:rPr>
          <w:lang w:val="en-AU"/>
        </w:rPr>
        <w:t xml:space="preserve">but </w:t>
      </w:r>
      <w:r w:rsidR="00752010" w:rsidRPr="000A1D51">
        <w:rPr>
          <w:lang w:val="en-AU"/>
        </w:rPr>
        <w:t>rather</w:t>
      </w:r>
      <w:r w:rsidR="005D6A06" w:rsidRPr="000A1D51">
        <w:rPr>
          <w:lang w:val="en-AU"/>
        </w:rPr>
        <w:t xml:space="preserve"> </w:t>
      </w:r>
      <w:r w:rsidR="00752010" w:rsidRPr="000A1D51">
        <w:rPr>
          <w:lang w:val="en-AU"/>
        </w:rPr>
        <w:t xml:space="preserve">more successful in </w:t>
      </w:r>
      <w:r w:rsidR="00454FA8" w:rsidRPr="000A1D51">
        <w:rPr>
          <w:lang w:val="en-AU"/>
        </w:rPr>
        <w:t xml:space="preserve">a </w:t>
      </w:r>
      <w:r w:rsidR="00752010" w:rsidRPr="000A1D51">
        <w:rPr>
          <w:lang w:val="en-AU"/>
        </w:rPr>
        <w:t>government-to-government facilit</w:t>
      </w:r>
      <w:r w:rsidR="00454FA8" w:rsidRPr="000A1D51">
        <w:rPr>
          <w:lang w:val="en-AU"/>
        </w:rPr>
        <w:t>y arrangement</w:t>
      </w:r>
      <w:r w:rsidR="00752010" w:rsidRPr="000A1D51">
        <w:rPr>
          <w:lang w:val="en-AU"/>
        </w:rPr>
        <w:t xml:space="preserve">. </w:t>
      </w:r>
    </w:p>
    <w:p w14:paraId="0432EC22" w14:textId="1F183A6C" w:rsidR="00D244E5" w:rsidRPr="000A1D51" w:rsidRDefault="00663984" w:rsidP="004A0F14">
      <w:pPr>
        <w:pStyle w:val="bullettable"/>
        <w:spacing w:line="276" w:lineRule="auto"/>
        <w:rPr>
          <w:lang w:val="en-AU"/>
        </w:rPr>
      </w:pPr>
      <w:r w:rsidRPr="000A1D51">
        <w:rPr>
          <w:lang w:val="en-AU"/>
        </w:rPr>
        <w:t xml:space="preserve">Working only at the regional level </w:t>
      </w:r>
      <w:r w:rsidR="004B3205" w:rsidRPr="000A1D51">
        <w:rPr>
          <w:lang w:val="en-AU"/>
        </w:rPr>
        <w:t xml:space="preserve">can </w:t>
      </w:r>
      <w:r w:rsidRPr="000A1D51">
        <w:rPr>
          <w:lang w:val="en-AU"/>
        </w:rPr>
        <w:t>restrict AADCP II from understanding the impacts of its</w:t>
      </w:r>
      <w:r w:rsidR="002F2C95" w:rsidRPr="000A1D51">
        <w:rPr>
          <w:lang w:val="en-AU"/>
        </w:rPr>
        <w:t xml:space="preserve"> projects </w:t>
      </w:r>
      <w:r w:rsidRPr="000A1D51">
        <w:rPr>
          <w:lang w:val="en-AU"/>
        </w:rPr>
        <w:t xml:space="preserve">at the national level. </w:t>
      </w:r>
      <w:r w:rsidR="002F2C95" w:rsidRPr="000A1D51">
        <w:rPr>
          <w:lang w:val="en-AU"/>
        </w:rPr>
        <w:t>Programs such as EU Arise and GIZ ASEAN Agri-Trade and ASEAN SME Program</w:t>
      </w:r>
      <w:r w:rsidR="00D244E5" w:rsidRPr="000A1D51">
        <w:rPr>
          <w:lang w:val="en-AU"/>
        </w:rPr>
        <w:t xml:space="preserve"> are bridging that gap by engaging with Member States</w:t>
      </w:r>
      <w:r w:rsidR="00D24AC0" w:rsidRPr="000A1D51">
        <w:rPr>
          <w:lang w:val="en-AU"/>
        </w:rPr>
        <w:t xml:space="preserve"> </w:t>
      </w:r>
      <w:r w:rsidR="005947BE" w:rsidRPr="000A1D51">
        <w:rPr>
          <w:lang w:val="en-AU"/>
        </w:rPr>
        <w:t xml:space="preserve">and having longer-term work plans </w:t>
      </w:r>
      <w:r w:rsidR="00D24AC0" w:rsidRPr="000A1D51">
        <w:rPr>
          <w:lang w:val="en-AU"/>
        </w:rPr>
        <w:t>which</w:t>
      </w:r>
      <w:r w:rsidR="00F8614F" w:rsidRPr="000A1D51">
        <w:rPr>
          <w:lang w:val="en-AU"/>
        </w:rPr>
        <w:t xml:space="preserve"> </w:t>
      </w:r>
      <w:r w:rsidR="005947BE" w:rsidRPr="000A1D51">
        <w:rPr>
          <w:lang w:val="en-AU"/>
        </w:rPr>
        <w:t xml:space="preserve">can help </w:t>
      </w:r>
      <w:r w:rsidR="00F8614F" w:rsidRPr="000A1D51">
        <w:rPr>
          <w:lang w:val="en-AU"/>
        </w:rPr>
        <w:t>strengthen monitoring and reporting of program progress</w:t>
      </w:r>
      <w:r w:rsidR="00D244E5" w:rsidRPr="000A1D51">
        <w:rPr>
          <w:lang w:val="en-AU"/>
        </w:rPr>
        <w:t xml:space="preserve">. </w:t>
      </w:r>
    </w:p>
    <w:p w14:paraId="30998F9F" w14:textId="54B38286" w:rsidR="004A0F14" w:rsidRPr="000A1D51" w:rsidRDefault="004A0F14" w:rsidP="004A0F14">
      <w:pPr>
        <w:pStyle w:val="bullettable"/>
        <w:spacing w:line="276" w:lineRule="auto"/>
        <w:rPr>
          <w:lang w:val="en-AU"/>
        </w:rPr>
      </w:pPr>
      <w:r w:rsidRPr="000A1D51">
        <w:rPr>
          <w:lang w:val="en-AU"/>
        </w:rPr>
        <w:lastRenderedPageBreak/>
        <w:t xml:space="preserve">There’s a </w:t>
      </w:r>
      <w:r w:rsidR="00E476AE" w:rsidRPr="000A1D51">
        <w:rPr>
          <w:lang w:val="en-AU"/>
        </w:rPr>
        <w:t xml:space="preserve">fine </w:t>
      </w:r>
      <w:r w:rsidRPr="000A1D51">
        <w:rPr>
          <w:lang w:val="en-AU"/>
        </w:rPr>
        <w:t>balance</w:t>
      </w:r>
      <w:r w:rsidR="00E476AE" w:rsidRPr="000A1D51">
        <w:rPr>
          <w:lang w:val="en-AU"/>
        </w:rPr>
        <w:t xml:space="preserve"> between leading on project proposals (EU, GIZ model) </w:t>
      </w:r>
      <w:r w:rsidR="00A43D70" w:rsidRPr="000A1D51">
        <w:rPr>
          <w:lang w:val="en-AU"/>
        </w:rPr>
        <w:t>which can reduce ownership and sustainability</w:t>
      </w:r>
      <w:r w:rsidR="00224B58" w:rsidRPr="000A1D51">
        <w:rPr>
          <w:lang w:val="en-AU"/>
        </w:rPr>
        <w:t xml:space="preserve"> to some extent</w:t>
      </w:r>
      <w:r w:rsidR="00A43D70" w:rsidRPr="000A1D51">
        <w:rPr>
          <w:lang w:val="en-AU"/>
        </w:rPr>
        <w:t xml:space="preserve">, </w:t>
      </w:r>
      <w:r w:rsidR="002A51BB" w:rsidRPr="000A1D51">
        <w:rPr>
          <w:lang w:val="en-AU"/>
        </w:rPr>
        <w:t>to</w:t>
      </w:r>
      <w:r w:rsidR="00E476AE" w:rsidRPr="000A1D51">
        <w:rPr>
          <w:lang w:val="en-AU"/>
        </w:rPr>
        <w:t xml:space="preserve"> </w:t>
      </w:r>
      <w:r w:rsidR="00776204" w:rsidRPr="000A1D51">
        <w:rPr>
          <w:lang w:val="en-AU"/>
        </w:rPr>
        <w:t>letting</w:t>
      </w:r>
      <w:r w:rsidR="00C24F21" w:rsidRPr="000A1D51">
        <w:rPr>
          <w:lang w:val="en-AU"/>
        </w:rPr>
        <w:t xml:space="preserve"> ASEAN WGs develo</w:t>
      </w:r>
      <w:r w:rsidR="00595ED2" w:rsidRPr="000A1D51">
        <w:rPr>
          <w:lang w:val="en-AU"/>
        </w:rPr>
        <w:t>p</w:t>
      </w:r>
      <w:r w:rsidR="00C24F21" w:rsidRPr="000A1D51">
        <w:rPr>
          <w:lang w:val="en-AU"/>
        </w:rPr>
        <w:t xml:space="preserve"> their own proposals. </w:t>
      </w:r>
      <w:r w:rsidR="00FC3D35" w:rsidRPr="000A1D51">
        <w:rPr>
          <w:lang w:val="en-AU"/>
        </w:rPr>
        <w:t>AADCP II would benefit from</w:t>
      </w:r>
      <w:r w:rsidR="00CB299E" w:rsidRPr="000A1D51">
        <w:rPr>
          <w:lang w:val="en-AU"/>
        </w:rPr>
        <w:t xml:space="preserve"> supplementing their existing process by leading on select project proposals </w:t>
      </w:r>
      <w:r w:rsidR="005C1386" w:rsidRPr="000A1D51">
        <w:rPr>
          <w:lang w:val="en-AU"/>
        </w:rPr>
        <w:t xml:space="preserve">to ease the pressure from ASEAN. </w:t>
      </w:r>
      <w:r w:rsidR="00CB299E" w:rsidRPr="000A1D51">
        <w:rPr>
          <w:lang w:val="en-AU"/>
        </w:rPr>
        <w:t xml:space="preserve"> </w:t>
      </w:r>
      <w:r w:rsidRPr="000A1D51">
        <w:rPr>
          <w:lang w:val="en-AU"/>
        </w:rPr>
        <w:t xml:space="preserve"> </w:t>
      </w:r>
    </w:p>
    <w:p w14:paraId="0E27943E" w14:textId="1DF9D81C" w:rsidR="00580176" w:rsidRPr="000A1D51" w:rsidRDefault="00580176" w:rsidP="00580176">
      <w:pPr>
        <w:pStyle w:val="bullettable"/>
        <w:spacing w:line="276" w:lineRule="auto"/>
        <w:rPr>
          <w:lang w:val="en-AU"/>
        </w:rPr>
      </w:pPr>
      <w:r w:rsidRPr="000A1D51">
        <w:rPr>
          <w:lang w:val="en-AU"/>
        </w:rPr>
        <w:t xml:space="preserve">The operational and project-level challenges, including AADCP II not having any contractual arrangement with project implementers; lack of clarity over roles and responsibilities at project implementation are being </w:t>
      </w:r>
      <w:r w:rsidR="00E75436" w:rsidRPr="000A1D51">
        <w:rPr>
          <w:lang w:val="en-AU"/>
        </w:rPr>
        <w:t xml:space="preserve">actively </w:t>
      </w:r>
      <w:r w:rsidRPr="000A1D51">
        <w:rPr>
          <w:lang w:val="en-AU"/>
        </w:rPr>
        <w:t>managed by the program</w:t>
      </w:r>
      <w:r w:rsidR="004814F0" w:rsidRPr="000A1D51">
        <w:rPr>
          <w:lang w:val="en-AU"/>
        </w:rPr>
        <w:t xml:space="preserve"> team (Program Director and PPMSU)</w:t>
      </w:r>
      <w:r w:rsidRPr="000A1D51">
        <w:rPr>
          <w:lang w:val="en-AU"/>
        </w:rPr>
        <w:t xml:space="preserve">, </w:t>
      </w:r>
      <w:r w:rsidR="0021744F" w:rsidRPr="000A1D51">
        <w:rPr>
          <w:lang w:val="en-AU"/>
        </w:rPr>
        <w:t>but could potentially</w:t>
      </w:r>
      <w:r w:rsidRPr="000A1D51">
        <w:rPr>
          <w:lang w:val="en-AU"/>
        </w:rPr>
        <w:t xml:space="preserve"> expose Australia to </w:t>
      </w:r>
      <w:r w:rsidR="00426494" w:rsidRPr="000A1D51">
        <w:rPr>
          <w:lang w:val="en-AU"/>
        </w:rPr>
        <w:t>quality and/or re</w:t>
      </w:r>
      <w:r w:rsidR="00281CAF" w:rsidRPr="000A1D51">
        <w:rPr>
          <w:lang w:val="en-AU"/>
        </w:rPr>
        <w:t xml:space="preserve">putational </w:t>
      </w:r>
      <w:r w:rsidRPr="000A1D51">
        <w:rPr>
          <w:lang w:val="en-AU"/>
        </w:rPr>
        <w:t xml:space="preserve">risks down the track. These </w:t>
      </w:r>
      <w:r w:rsidR="009F4F68" w:rsidRPr="000A1D51">
        <w:rPr>
          <w:lang w:val="en-AU"/>
        </w:rPr>
        <w:t>challenges</w:t>
      </w:r>
      <w:r w:rsidR="00377013" w:rsidRPr="000A1D51">
        <w:rPr>
          <w:lang w:val="en-AU"/>
        </w:rPr>
        <w:t xml:space="preserve">, inherent to the partnership modality, </w:t>
      </w:r>
      <w:r w:rsidRPr="000A1D51">
        <w:rPr>
          <w:lang w:val="en-AU"/>
        </w:rPr>
        <w:t xml:space="preserve">should be considered by the design team for the </w:t>
      </w:r>
      <w:r w:rsidR="00DA3AAE" w:rsidRPr="000A1D51">
        <w:rPr>
          <w:lang w:val="en-AU"/>
        </w:rPr>
        <w:t xml:space="preserve">follow-on </w:t>
      </w:r>
      <w:r w:rsidRPr="000A1D51">
        <w:rPr>
          <w:lang w:val="en-AU"/>
        </w:rPr>
        <w:t>AADCP II</w:t>
      </w:r>
      <w:r w:rsidR="00392B5C" w:rsidRPr="000A1D51">
        <w:rPr>
          <w:lang w:val="en-AU"/>
        </w:rPr>
        <w:t xml:space="preserve"> </w:t>
      </w:r>
      <w:r w:rsidRPr="000A1D51">
        <w:rPr>
          <w:lang w:val="en-AU"/>
        </w:rPr>
        <w:t xml:space="preserve">program. </w:t>
      </w:r>
    </w:p>
    <w:p w14:paraId="1F6EBAF5" w14:textId="07460E16" w:rsidR="00B858E8" w:rsidRPr="000A1D51" w:rsidRDefault="00B858E8" w:rsidP="00B858E8">
      <w:pPr>
        <w:pStyle w:val="bullettable"/>
        <w:spacing w:line="276" w:lineRule="auto"/>
        <w:rPr>
          <w:lang w:val="en-AU"/>
        </w:rPr>
      </w:pPr>
      <w:r w:rsidRPr="000A1D51">
        <w:rPr>
          <w:lang w:val="en-AU"/>
        </w:rPr>
        <w:t xml:space="preserve">While the broader ASEAN-Australia relationship </w:t>
      </w:r>
      <w:r w:rsidR="00765199" w:rsidRPr="000A1D51">
        <w:rPr>
          <w:lang w:val="en-AU"/>
        </w:rPr>
        <w:t>remains robust</w:t>
      </w:r>
      <w:r w:rsidRPr="000A1D51">
        <w:rPr>
          <w:lang w:val="en-AU"/>
        </w:rPr>
        <w:t xml:space="preserve">, the program team (PPMSU) </w:t>
      </w:r>
      <w:r w:rsidR="0029440D" w:rsidRPr="000A1D51">
        <w:rPr>
          <w:lang w:val="en-AU"/>
        </w:rPr>
        <w:t xml:space="preserve">at times </w:t>
      </w:r>
      <w:r w:rsidRPr="000A1D51">
        <w:rPr>
          <w:lang w:val="en-AU"/>
        </w:rPr>
        <w:t>fe</w:t>
      </w:r>
      <w:r w:rsidR="00D979A7" w:rsidRPr="000A1D51">
        <w:rPr>
          <w:lang w:val="en-AU"/>
        </w:rPr>
        <w:t>el</w:t>
      </w:r>
      <w:r w:rsidRPr="000A1D51">
        <w:rPr>
          <w:lang w:val="en-AU"/>
        </w:rPr>
        <w:t xml:space="preserve"> that t</w:t>
      </w:r>
      <w:r w:rsidR="00444633" w:rsidRPr="000A1D51">
        <w:rPr>
          <w:lang w:val="en-AU"/>
        </w:rPr>
        <w:t>he partnership between PPMSU and ASEAN</w:t>
      </w:r>
      <w:r w:rsidRPr="000A1D51">
        <w:rPr>
          <w:lang w:val="en-AU"/>
        </w:rPr>
        <w:t xml:space="preserve"> </w:t>
      </w:r>
      <w:r w:rsidR="002F694F" w:rsidRPr="000A1D51">
        <w:rPr>
          <w:lang w:val="en-AU"/>
        </w:rPr>
        <w:t>i</w:t>
      </w:r>
      <w:r w:rsidR="00444633" w:rsidRPr="000A1D51">
        <w:rPr>
          <w:lang w:val="en-AU"/>
        </w:rPr>
        <w:t xml:space="preserve">s not </w:t>
      </w:r>
      <w:r w:rsidRPr="000A1D51">
        <w:rPr>
          <w:lang w:val="en-AU"/>
        </w:rPr>
        <w:t>a ‘genuine partnership’</w:t>
      </w:r>
      <w:r w:rsidR="00C57923" w:rsidRPr="000A1D51">
        <w:rPr>
          <w:lang w:val="en-AU"/>
        </w:rPr>
        <w:t xml:space="preserve">, </w:t>
      </w:r>
      <w:r w:rsidRPr="000A1D51">
        <w:rPr>
          <w:lang w:val="en-AU"/>
        </w:rPr>
        <w:t xml:space="preserve">likely because of </w:t>
      </w:r>
      <w:r w:rsidR="005060E6" w:rsidRPr="000A1D51">
        <w:rPr>
          <w:lang w:val="en-AU"/>
        </w:rPr>
        <w:t>AADCP II</w:t>
      </w:r>
      <w:r w:rsidRPr="000A1D51">
        <w:rPr>
          <w:lang w:val="en-AU"/>
        </w:rPr>
        <w:t xml:space="preserve"> having li</w:t>
      </w:r>
      <w:r w:rsidR="009423C6" w:rsidRPr="000A1D51">
        <w:rPr>
          <w:lang w:val="en-AU"/>
        </w:rPr>
        <w:t>mited</w:t>
      </w:r>
      <w:r w:rsidRPr="000A1D51">
        <w:rPr>
          <w:lang w:val="en-AU"/>
        </w:rPr>
        <w:t xml:space="preserve"> </w:t>
      </w:r>
      <w:r w:rsidR="00D57938" w:rsidRPr="000A1D51">
        <w:rPr>
          <w:lang w:val="en-AU"/>
        </w:rPr>
        <w:t xml:space="preserve">engagement in </w:t>
      </w:r>
      <w:r w:rsidR="00AD578E" w:rsidRPr="000A1D51">
        <w:rPr>
          <w:lang w:val="en-AU"/>
        </w:rPr>
        <w:t xml:space="preserve">contract management, </w:t>
      </w:r>
      <w:r w:rsidR="00D2224D" w:rsidRPr="000A1D51">
        <w:rPr>
          <w:lang w:val="en-AU"/>
        </w:rPr>
        <w:t xml:space="preserve">project </w:t>
      </w:r>
      <w:r w:rsidRPr="000A1D51">
        <w:rPr>
          <w:lang w:val="en-AU"/>
        </w:rPr>
        <w:t xml:space="preserve">implementation and </w:t>
      </w:r>
      <w:r w:rsidR="00D87CE3" w:rsidRPr="000A1D51">
        <w:rPr>
          <w:lang w:val="en-AU"/>
        </w:rPr>
        <w:t>progress</w:t>
      </w:r>
      <w:r w:rsidR="00D2224D" w:rsidRPr="000A1D51">
        <w:rPr>
          <w:lang w:val="en-AU"/>
        </w:rPr>
        <w:t xml:space="preserve"> tracking</w:t>
      </w:r>
      <w:r w:rsidR="00924DE4" w:rsidRPr="000A1D51">
        <w:rPr>
          <w:lang w:val="en-AU"/>
        </w:rPr>
        <w:t xml:space="preserve">. </w:t>
      </w:r>
      <w:r w:rsidR="00D87CE3" w:rsidRPr="000A1D51">
        <w:rPr>
          <w:lang w:val="en-AU"/>
        </w:rPr>
        <w:t xml:space="preserve"> </w:t>
      </w:r>
      <w:r w:rsidRPr="000A1D51">
        <w:rPr>
          <w:lang w:val="en-AU"/>
        </w:rPr>
        <w:t xml:space="preserve"> </w:t>
      </w:r>
    </w:p>
    <w:p w14:paraId="760717D3" w14:textId="2597159F" w:rsidR="00B858E8" w:rsidRPr="000A1D51" w:rsidRDefault="00B858E8" w:rsidP="00B858E8">
      <w:pPr>
        <w:pStyle w:val="bullettable"/>
        <w:numPr>
          <w:ilvl w:val="0"/>
          <w:numId w:val="0"/>
        </w:numPr>
        <w:spacing w:line="276" w:lineRule="auto"/>
        <w:rPr>
          <w:lang w:val="en-AU"/>
        </w:rPr>
      </w:pPr>
    </w:p>
    <w:p w14:paraId="0929FD28" w14:textId="30252E02" w:rsidR="00BF3618" w:rsidRPr="000A1D51" w:rsidRDefault="00BF3618" w:rsidP="000016C9">
      <w:pPr>
        <w:jc w:val="both"/>
        <w:rPr>
          <w:rFonts w:asciiTheme="minorHAnsi" w:eastAsia="SimSun" w:hAnsiTheme="minorHAnsi" w:cstheme="minorHAnsi"/>
          <w:sz w:val="22"/>
          <w:szCs w:val="22"/>
          <w:lang w:val="en-AU"/>
        </w:rPr>
      </w:pPr>
    </w:p>
    <w:p w14:paraId="2AE1929E" w14:textId="1D62D3E0" w:rsidR="000016C9" w:rsidRPr="000A1D51" w:rsidRDefault="000016C9" w:rsidP="000016C9">
      <w:pPr>
        <w:rPr>
          <w:rFonts w:asciiTheme="minorHAnsi" w:hAnsiTheme="minorHAnsi" w:cstheme="minorHAnsi"/>
          <w:sz w:val="22"/>
          <w:szCs w:val="22"/>
        </w:rPr>
      </w:pPr>
    </w:p>
    <w:p w14:paraId="2AC27BE2" w14:textId="77777777" w:rsidR="000016C9" w:rsidRPr="000A1D51" w:rsidRDefault="000016C9" w:rsidP="000016C9">
      <w:pPr>
        <w:pStyle w:val="BodyText"/>
        <w:rPr>
          <w:rFonts w:asciiTheme="minorHAnsi" w:hAnsiTheme="minorHAnsi" w:cstheme="minorHAnsi"/>
          <w:sz w:val="22"/>
          <w:szCs w:val="22"/>
          <w:lang w:val="en-AU"/>
        </w:rPr>
        <w:sectPr w:rsidR="000016C9" w:rsidRPr="000A1D51" w:rsidSect="00AF6403">
          <w:pgSz w:w="11907" w:h="16840" w:code="9"/>
          <w:pgMar w:top="2268" w:right="1871" w:bottom="907" w:left="1871" w:header="851" w:footer="454" w:gutter="0"/>
          <w:cols w:space="720"/>
          <w:docGrid w:linePitch="272"/>
        </w:sectPr>
      </w:pPr>
    </w:p>
    <w:p w14:paraId="021767B2" w14:textId="4B912991" w:rsidR="00796422" w:rsidRPr="000A1D51" w:rsidRDefault="00AF44E8" w:rsidP="00AB449D">
      <w:pPr>
        <w:pStyle w:val="Heading1"/>
        <w:rPr>
          <w:lang w:val="en-AU"/>
        </w:rPr>
      </w:pPr>
      <w:bookmarkStart w:id="99" w:name="_Toc24884135"/>
      <w:bookmarkStart w:id="100" w:name="_Toc31820137"/>
      <w:r w:rsidRPr="000A1D51">
        <w:rPr>
          <w:lang w:val="en-AU"/>
        </w:rPr>
        <w:lastRenderedPageBreak/>
        <w:t xml:space="preserve">Appendix 5: </w:t>
      </w:r>
      <w:r w:rsidR="00D07892" w:rsidRPr="000A1D51">
        <w:rPr>
          <w:lang w:val="en-AU"/>
        </w:rPr>
        <w:t>M&amp;E review</w:t>
      </w:r>
      <w:bookmarkEnd w:id="99"/>
      <w:bookmarkEnd w:id="100"/>
    </w:p>
    <w:p w14:paraId="56F1BBEE" w14:textId="15DE6A24" w:rsidR="00AB449D" w:rsidRPr="000A1D51" w:rsidRDefault="00AB449D" w:rsidP="00E0508E">
      <w:pPr>
        <w:numPr>
          <w:ilvl w:val="0"/>
          <w:numId w:val="48"/>
        </w:numPr>
        <w:spacing w:after="210" w:line="276" w:lineRule="auto"/>
        <w:rPr>
          <w:rFonts w:asciiTheme="minorHAnsi" w:hAnsiTheme="minorHAnsi" w:cstheme="minorHAnsi"/>
          <w:sz w:val="22"/>
          <w:szCs w:val="22"/>
        </w:rPr>
      </w:pPr>
      <w:r w:rsidRPr="000A1D51">
        <w:rPr>
          <w:rFonts w:asciiTheme="minorHAnsi" w:hAnsiTheme="minorHAnsi" w:cstheme="minorHAnsi"/>
          <w:sz w:val="22"/>
          <w:szCs w:val="22"/>
        </w:rPr>
        <w:t xml:space="preserve">AADCP II is an 11-year $57m partnership between Australia and ASEAN to support ASEAN implement the ASEAN Economic Community (AEC) and deepen regional economic integration. The program also serves as a significant asset in the broader diplomatic relationship between ASEAN and Australia. </w:t>
      </w:r>
    </w:p>
    <w:p w14:paraId="12C37002" w14:textId="16EB8277" w:rsidR="00AB449D" w:rsidRPr="000A1D51" w:rsidRDefault="00AB449D" w:rsidP="00E0508E">
      <w:pPr>
        <w:numPr>
          <w:ilvl w:val="0"/>
          <w:numId w:val="48"/>
        </w:numPr>
        <w:spacing w:after="210" w:line="276" w:lineRule="auto"/>
        <w:rPr>
          <w:rFonts w:asciiTheme="minorHAnsi" w:hAnsiTheme="minorHAnsi" w:cstheme="minorHAnsi"/>
          <w:sz w:val="22"/>
          <w:szCs w:val="22"/>
        </w:rPr>
      </w:pPr>
      <w:r w:rsidRPr="000A1D51">
        <w:rPr>
          <w:rFonts w:asciiTheme="minorHAnsi" w:hAnsiTheme="minorHAnsi" w:cstheme="minorHAnsi"/>
          <w:sz w:val="22"/>
          <w:szCs w:val="22"/>
        </w:rPr>
        <w:t xml:space="preserve">AADCP II uses ASEC’s operational systems for implementing the program, including HR, finance, legal, and procurement. While the program employs internal M&amp;E resources, it relies heavily on informal data / evidence related to AADCP II’s program influence and contribution to outcomes.  </w:t>
      </w:r>
    </w:p>
    <w:p w14:paraId="6EACBF56" w14:textId="0E34D3B9" w:rsidR="00AB449D" w:rsidRPr="000A1D51" w:rsidRDefault="00AB449D" w:rsidP="00E0508E">
      <w:pPr>
        <w:numPr>
          <w:ilvl w:val="0"/>
          <w:numId w:val="48"/>
        </w:numPr>
        <w:spacing w:after="210" w:line="276" w:lineRule="auto"/>
        <w:rPr>
          <w:rFonts w:asciiTheme="minorHAnsi" w:hAnsiTheme="minorHAnsi" w:cstheme="minorHAnsi"/>
          <w:b/>
          <w:bCs/>
          <w:sz w:val="22"/>
          <w:szCs w:val="22"/>
        </w:rPr>
      </w:pPr>
      <w:r w:rsidRPr="000A1D51">
        <w:rPr>
          <w:rFonts w:asciiTheme="minorHAnsi" w:hAnsiTheme="minorHAnsi" w:cstheme="minorHAnsi"/>
          <w:sz w:val="22"/>
          <w:szCs w:val="22"/>
        </w:rPr>
        <w:t xml:space="preserve">Even though AADCP II is not officially referred to as a facility, the program fundamentally functions as a grants facility that is responsive to ASEAN demand. To that effect, AADCP II only implements projects initiated by ASEAN Sectoral Bodies/Working Groups through ASEC. </w:t>
      </w:r>
    </w:p>
    <w:p w14:paraId="74353270" w14:textId="37B8D1FB" w:rsidR="00AB449D" w:rsidRPr="000A1D51" w:rsidRDefault="00AB449D" w:rsidP="00E0508E">
      <w:pPr>
        <w:numPr>
          <w:ilvl w:val="0"/>
          <w:numId w:val="48"/>
        </w:numPr>
        <w:spacing w:after="210" w:line="276" w:lineRule="auto"/>
        <w:rPr>
          <w:rFonts w:asciiTheme="minorHAnsi" w:hAnsiTheme="minorHAnsi" w:cstheme="minorHAnsi"/>
          <w:sz w:val="22"/>
          <w:szCs w:val="22"/>
        </w:rPr>
      </w:pPr>
      <w:r w:rsidRPr="000A1D51">
        <w:rPr>
          <w:rFonts w:asciiTheme="minorHAnsi" w:hAnsiTheme="minorHAnsi" w:cstheme="minorHAnsi"/>
          <w:b/>
          <w:bCs/>
          <w:sz w:val="22"/>
          <w:szCs w:val="22"/>
        </w:rPr>
        <w:t>MEL Review</w:t>
      </w:r>
      <w:r w:rsidRPr="000A1D51">
        <w:rPr>
          <w:rFonts w:asciiTheme="minorHAnsi" w:hAnsiTheme="minorHAnsi" w:cstheme="minorHAnsi"/>
          <w:sz w:val="22"/>
          <w:szCs w:val="22"/>
        </w:rPr>
        <w:t xml:space="preserve">- AADCP II engaged Clear Horizon in 2017 to undertake a review of its existing MELF and support with developing a Theory of Change (ToC). The review developed a draft ToC, a draft evidence matrix to support reporting (particularly for AQCs) and recommended certain refinements to its existing monitoring, evaluation and reporting tools to strengthen capturing the informal data and for reporting purposes. The outcome of that review was not formally adopted by DFAT as the proposed program logic was contested during the 2018 AQC moderation for lacking clarity around program logic. </w:t>
      </w:r>
    </w:p>
    <w:p w14:paraId="37DCD79E" w14:textId="6B396D72" w:rsidR="00AB449D" w:rsidRPr="000A1D51" w:rsidRDefault="00AB449D" w:rsidP="00E0508E">
      <w:pPr>
        <w:numPr>
          <w:ilvl w:val="0"/>
          <w:numId w:val="48"/>
        </w:numPr>
        <w:spacing w:after="210" w:line="276" w:lineRule="auto"/>
        <w:rPr>
          <w:rFonts w:asciiTheme="minorHAnsi" w:hAnsiTheme="minorHAnsi" w:cstheme="minorHAnsi"/>
          <w:sz w:val="22"/>
          <w:szCs w:val="22"/>
        </w:rPr>
      </w:pPr>
      <w:r w:rsidRPr="000A1D51">
        <w:rPr>
          <w:rFonts w:asciiTheme="minorHAnsi" w:hAnsiTheme="minorHAnsi" w:cstheme="minorHAnsi"/>
          <w:sz w:val="22"/>
          <w:szCs w:val="22"/>
        </w:rPr>
        <w:t xml:space="preserve">This current review takes into consideration the previous MEL review in 2017, discussions with the AADCP II program staff, current DFAT guidance on program logics, facilities and AQCs. The sections are broken down by Program Logic and M&amp;E. While overall, the program logic and MEL are found to be fit-for-purpose, some small changes are proposed for better alignment with DFAT’s latest guidance on program logic and facilities. These are discussed below.  </w:t>
      </w:r>
    </w:p>
    <w:p w14:paraId="2E4895A7" w14:textId="1528A63A" w:rsidR="00AB449D" w:rsidRPr="000A1D51" w:rsidRDefault="00AB449D" w:rsidP="00E0508E">
      <w:pPr>
        <w:pStyle w:val="Heading2"/>
        <w:keepLines/>
        <w:numPr>
          <w:ilvl w:val="1"/>
          <w:numId w:val="47"/>
        </w:numPr>
        <w:spacing w:before="0" w:after="220" w:line="276" w:lineRule="auto"/>
      </w:pPr>
      <w:bookmarkStart w:id="101" w:name="_Toc24884136"/>
      <w:bookmarkStart w:id="102" w:name="_Toc31820138"/>
      <w:r w:rsidRPr="000A1D51">
        <w:t>AADCP II Theory of Change (Program Logic)</w:t>
      </w:r>
      <w:bookmarkEnd w:id="101"/>
      <w:bookmarkEnd w:id="102"/>
    </w:p>
    <w:p w14:paraId="31A1E58F" w14:textId="14B3AC29" w:rsidR="00AB449D" w:rsidRPr="000A1D51" w:rsidRDefault="00AB449D" w:rsidP="00E0508E">
      <w:pPr>
        <w:numPr>
          <w:ilvl w:val="0"/>
          <w:numId w:val="48"/>
        </w:numPr>
        <w:spacing w:after="210" w:line="276" w:lineRule="auto"/>
        <w:rPr>
          <w:rFonts w:asciiTheme="minorHAnsi" w:hAnsiTheme="minorHAnsi" w:cstheme="minorHAnsi"/>
          <w:sz w:val="22"/>
          <w:szCs w:val="22"/>
        </w:rPr>
      </w:pPr>
      <w:r w:rsidRPr="000A1D51">
        <w:rPr>
          <w:rFonts w:asciiTheme="minorHAnsi" w:hAnsiTheme="minorHAnsi" w:cstheme="minorHAnsi"/>
          <w:sz w:val="22"/>
          <w:szCs w:val="22"/>
        </w:rPr>
        <w:t xml:space="preserve">Overall, the draft Theory of Change developed in 2017 provides a realistic representation of AADCP II. It should be noted that given the demand-driven, partnership/facility model that AADCP II uses, the program logic cannot articulate a straightforward ‘causal link’ between inputs-outputs-outcomes. The reasons for this are explained in the </w:t>
      </w:r>
      <w:r w:rsidRPr="000A1D51">
        <w:rPr>
          <w:rFonts w:asciiTheme="minorHAnsi" w:hAnsiTheme="minorHAnsi" w:cstheme="minorHAnsi"/>
          <w:i/>
          <w:iCs/>
          <w:sz w:val="22"/>
          <w:szCs w:val="22"/>
        </w:rPr>
        <w:t>DFAT Guidance Note: Facility Investments</w:t>
      </w:r>
      <w:r w:rsidRPr="000A1D51">
        <w:rPr>
          <w:rFonts w:asciiTheme="minorHAnsi" w:hAnsiTheme="minorHAnsi" w:cstheme="minorHAnsi"/>
          <w:sz w:val="22"/>
          <w:szCs w:val="22"/>
        </w:rPr>
        <w:t xml:space="preserve">, which highlight the following common elements of a facility: </w:t>
      </w:r>
    </w:p>
    <w:p w14:paraId="2AF07A23" w14:textId="79C95E65" w:rsidR="00AB449D" w:rsidRPr="000A1D51" w:rsidRDefault="00AB449D" w:rsidP="00892827">
      <w:pPr>
        <w:pStyle w:val="bullet"/>
        <w:rPr>
          <w:rFonts w:asciiTheme="minorHAnsi" w:hAnsiTheme="minorHAnsi" w:cstheme="minorHAnsi"/>
          <w:sz w:val="22"/>
          <w:szCs w:val="22"/>
        </w:rPr>
      </w:pPr>
      <w:r w:rsidRPr="000A1D51">
        <w:rPr>
          <w:rFonts w:asciiTheme="minorHAnsi" w:hAnsiTheme="minorHAnsi" w:cstheme="minorHAnsi"/>
          <w:sz w:val="22"/>
          <w:szCs w:val="22"/>
        </w:rPr>
        <w:t>While facilities should have clear end-of-program outcomes defined, they do not specify at the outset the activities and the outputs required to achieve them, which are done during implementation</w:t>
      </w:r>
    </w:p>
    <w:p w14:paraId="668A6CBA" w14:textId="3D3737BC" w:rsidR="00AB449D" w:rsidRPr="000A1D51" w:rsidRDefault="00AB449D" w:rsidP="00892827">
      <w:pPr>
        <w:pStyle w:val="bullet"/>
        <w:rPr>
          <w:rFonts w:asciiTheme="minorHAnsi" w:hAnsiTheme="minorHAnsi" w:cstheme="minorHAnsi"/>
          <w:sz w:val="22"/>
          <w:szCs w:val="22"/>
        </w:rPr>
      </w:pPr>
      <w:r w:rsidRPr="000A1D51">
        <w:rPr>
          <w:rFonts w:asciiTheme="minorHAnsi" w:hAnsiTheme="minorHAnsi" w:cstheme="minorHAnsi"/>
          <w:sz w:val="22"/>
          <w:szCs w:val="22"/>
        </w:rPr>
        <w:lastRenderedPageBreak/>
        <w:t xml:space="preserve">Reform pathways and strategies to achieve outcomes are not defined upfront and are developed during implementation. </w:t>
      </w:r>
    </w:p>
    <w:p w14:paraId="6779F781" w14:textId="6DF1E074" w:rsidR="00AB449D" w:rsidRPr="000A1D51" w:rsidRDefault="00AB449D" w:rsidP="00892827">
      <w:pPr>
        <w:pStyle w:val="bullet"/>
        <w:rPr>
          <w:rFonts w:asciiTheme="minorHAnsi" w:hAnsiTheme="minorHAnsi" w:cstheme="minorHAnsi"/>
          <w:sz w:val="22"/>
          <w:szCs w:val="22"/>
        </w:rPr>
      </w:pPr>
      <w:r w:rsidRPr="000A1D51">
        <w:rPr>
          <w:rFonts w:asciiTheme="minorHAnsi" w:hAnsiTheme="minorHAnsi" w:cstheme="minorHAnsi"/>
          <w:sz w:val="22"/>
          <w:szCs w:val="22"/>
        </w:rPr>
        <w:t>There is usually a large pool of unallocated funds which is designed/programmed during implementation. Investments may be planned from year to year to respond to changing needs</w:t>
      </w:r>
    </w:p>
    <w:p w14:paraId="4D190B32" w14:textId="733CA56B" w:rsidR="00AB449D" w:rsidRPr="000A1D51" w:rsidRDefault="00AB449D" w:rsidP="00892827">
      <w:pPr>
        <w:pStyle w:val="bullet"/>
        <w:rPr>
          <w:rFonts w:asciiTheme="minorHAnsi" w:hAnsiTheme="minorHAnsi" w:cstheme="minorHAnsi"/>
          <w:sz w:val="22"/>
          <w:szCs w:val="22"/>
        </w:rPr>
      </w:pPr>
      <w:r w:rsidRPr="000A1D51">
        <w:rPr>
          <w:rFonts w:asciiTheme="minorHAnsi" w:hAnsiTheme="minorHAnsi" w:cstheme="minorHAnsi"/>
          <w:sz w:val="22"/>
          <w:szCs w:val="22"/>
        </w:rPr>
        <w:t>DFAT aid investments do not always include the word facility in their title.</w:t>
      </w:r>
    </w:p>
    <w:p w14:paraId="54CF5641" w14:textId="1F6B31B3" w:rsidR="00AB449D" w:rsidRPr="000A1D51" w:rsidRDefault="00AB449D" w:rsidP="00AB449D">
      <w:pPr>
        <w:pStyle w:val="ListBullet"/>
        <w:numPr>
          <w:ilvl w:val="0"/>
          <w:numId w:val="0"/>
        </w:numPr>
        <w:rPr>
          <w:rFonts w:asciiTheme="minorHAnsi" w:hAnsiTheme="minorHAnsi" w:cstheme="minorHAnsi"/>
          <w:i/>
          <w:iCs/>
          <w:color w:val="auto"/>
          <w:sz w:val="22"/>
          <w:szCs w:val="22"/>
        </w:rPr>
      </w:pPr>
      <w:r w:rsidRPr="000A1D51">
        <w:rPr>
          <w:rFonts w:asciiTheme="minorHAnsi" w:hAnsiTheme="minorHAnsi" w:cstheme="minorHAnsi"/>
          <w:color w:val="auto"/>
          <w:sz w:val="22"/>
          <w:szCs w:val="22"/>
        </w:rPr>
        <w:t xml:space="preserve">The Guidance Note describes two different types of DFAT facilities- a development facility and an enabling facility. An enabling facility is primarily intended to provide administrative services to meet DFAT’s corporate needs and is typically implemented by a Managing Contractor. Based on its program features, AADCP II can be classified as a development facility- </w:t>
      </w:r>
      <w:r w:rsidRPr="000A1D51">
        <w:rPr>
          <w:rFonts w:asciiTheme="minorHAnsi" w:hAnsiTheme="minorHAnsi" w:cstheme="minorHAnsi"/>
          <w:i/>
          <w:iCs/>
          <w:color w:val="auto"/>
          <w:sz w:val="22"/>
          <w:szCs w:val="22"/>
        </w:rPr>
        <w:t xml:space="preserve">development facilities have clear high-level development outcomes, but do not specify at the outset how final program objectives will be met. Reform pathways are not defined and there is an ongoing ‘design load’ during its life. Facility managers work with DFAT to define the program’s direction and in managing policy dialogue. These facilities were created in a highly fluid context, with high level outcomes and sectoral focus, but few details on how we would deliver on our objectives, at the outset. Over time, facilities become more sharply focused. </w:t>
      </w:r>
    </w:p>
    <w:p w14:paraId="312CD454" w14:textId="6E5E64BC" w:rsidR="00AB449D" w:rsidRPr="000A1D51" w:rsidRDefault="00AB449D" w:rsidP="00E0508E">
      <w:pPr>
        <w:numPr>
          <w:ilvl w:val="0"/>
          <w:numId w:val="48"/>
        </w:numPr>
        <w:spacing w:after="210" w:line="276" w:lineRule="auto"/>
        <w:rPr>
          <w:rFonts w:asciiTheme="minorHAnsi" w:hAnsiTheme="minorHAnsi" w:cstheme="minorHAnsi"/>
          <w:sz w:val="22"/>
          <w:szCs w:val="22"/>
        </w:rPr>
      </w:pPr>
      <w:r w:rsidRPr="000A1D51">
        <w:rPr>
          <w:rFonts w:asciiTheme="minorHAnsi" w:hAnsiTheme="minorHAnsi" w:cstheme="minorHAnsi"/>
          <w:sz w:val="22"/>
          <w:szCs w:val="22"/>
        </w:rPr>
        <w:t xml:space="preserve">Following review of the existing draft program logic, some changes are proposed to further align it with DFAT’s latest guidance. </w:t>
      </w:r>
    </w:p>
    <w:p w14:paraId="1FDA76C1" w14:textId="070C7D04" w:rsidR="00AB449D" w:rsidRPr="000A1D51" w:rsidRDefault="00AB449D" w:rsidP="00FD562F">
      <w:pPr>
        <w:pStyle w:val="Bullet0"/>
      </w:pPr>
      <w:r w:rsidRPr="000A1D51">
        <w:t xml:space="preserve">Note DFAT’s latest guidance refers to Theory of Change as Program Logic. Suggest using this terminology. </w:t>
      </w:r>
    </w:p>
    <w:p w14:paraId="1B0A9498" w14:textId="0524B3C3" w:rsidR="00AB449D" w:rsidRPr="000A1D51" w:rsidRDefault="00AB449D" w:rsidP="00AB449D">
      <w:pPr>
        <w:pStyle w:val="ListBullet"/>
        <w:numPr>
          <w:ilvl w:val="0"/>
          <w:numId w:val="0"/>
        </w:numPr>
        <w:ind w:left="432"/>
        <w:rPr>
          <w:rFonts w:asciiTheme="minorHAnsi" w:hAnsiTheme="minorHAnsi" w:cstheme="minorHAnsi"/>
          <w:b/>
          <w:bCs/>
          <w:color w:val="auto"/>
          <w:sz w:val="22"/>
          <w:szCs w:val="22"/>
        </w:rPr>
      </w:pPr>
      <w:r w:rsidRPr="000A1D51">
        <w:rPr>
          <w:rFonts w:asciiTheme="minorHAnsi" w:hAnsiTheme="minorHAnsi" w:cstheme="minorHAnsi"/>
          <w:b/>
          <w:bCs/>
          <w:color w:val="auto"/>
          <w:sz w:val="22"/>
          <w:szCs w:val="22"/>
        </w:rPr>
        <w:t xml:space="preserve">Goal &amp; Objective </w:t>
      </w:r>
    </w:p>
    <w:p w14:paraId="7FF353D2" w14:textId="7A50526A" w:rsidR="00AB449D" w:rsidRPr="000A1D51" w:rsidRDefault="007174F8" w:rsidP="00AB449D">
      <w:pPr>
        <w:pStyle w:val="ListBullet2"/>
        <w:numPr>
          <w:ilvl w:val="1"/>
          <w:numId w:val="9"/>
        </w:numPr>
        <w:tabs>
          <w:tab w:val="clear" w:pos="284"/>
        </w:tabs>
        <w:spacing w:after="210" w:line="276" w:lineRule="auto"/>
        <w:ind w:left="864" w:hanging="432"/>
        <w:rPr>
          <w:rFonts w:asciiTheme="minorHAnsi" w:hAnsiTheme="minorHAnsi" w:cstheme="minorHAnsi"/>
          <w:i/>
          <w:iCs/>
          <w:sz w:val="22"/>
          <w:szCs w:val="22"/>
        </w:rPr>
      </w:pPr>
      <w:r w:rsidRPr="000A1D51">
        <w:rPr>
          <w:rFonts w:asciiTheme="minorHAnsi" w:hAnsiTheme="minorHAnsi" w:cstheme="minorHAnsi"/>
          <w:sz w:val="22"/>
          <w:szCs w:val="22"/>
        </w:rPr>
        <w:t>Suggest c</w:t>
      </w:r>
      <w:r w:rsidR="00AB449D" w:rsidRPr="000A1D51">
        <w:rPr>
          <w:rFonts w:asciiTheme="minorHAnsi" w:hAnsiTheme="minorHAnsi" w:cstheme="minorHAnsi"/>
          <w:sz w:val="22"/>
          <w:szCs w:val="22"/>
        </w:rPr>
        <w:t>hang</w:t>
      </w:r>
      <w:r w:rsidRPr="000A1D51">
        <w:rPr>
          <w:rFonts w:asciiTheme="minorHAnsi" w:hAnsiTheme="minorHAnsi" w:cstheme="minorHAnsi"/>
          <w:sz w:val="22"/>
          <w:szCs w:val="22"/>
        </w:rPr>
        <w:t>ing</w:t>
      </w:r>
      <w:r w:rsidR="00AB449D" w:rsidRPr="000A1D51">
        <w:rPr>
          <w:rFonts w:asciiTheme="minorHAnsi" w:hAnsiTheme="minorHAnsi" w:cstheme="minorHAnsi"/>
          <w:sz w:val="22"/>
          <w:szCs w:val="22"/>
        </w:rPr>
        <w:t xml:space="preserve"> Super Goal to</w:t>
      </w:r>
      <w:r w:rsidR="00AB449D" w:rsidRPr="000A1D51">
        <w:rPr>
          <w:rFonts w:asciiTheme="minorHAnsi" w:hAnsiTheme="minorHAnsi" w:cstheme="minorHAnsi"/>
          <w:b/>
          <w:bCs/>
          <w:sz w:val="22"/>
          <w:szCs w:val="22"/>
        </w:rPr>
        <w:t xml:space="preserve"> Goal</w:t>
      </w:r>
      <w:r w:rsidRPr="000A1D51">
        <w:rPr>
          <w:rFonts w:asciiTheme="minorHAnsi" w:hAnsiTheme="minorHAnsi" w:cstheme="minorHAnsi"/>
          <w:sz w:val="22"/>
          <w:szCs w:val="22"/>
        </w:rPr>
        <w:t xml:space="preserve"> </w:t>
      </w:r>
      <w:r w:rsidR="00AB449D" w:rsidRPr="000A1D51">
        <w:rPr>
          <w:rFonts w:asciiTheme="minorHAnsi" w:hAnsiTheme="minorHAnsi" w:cstheme="minorHAnsi"/>
          <w:sz w:val="22"/>
          <w:szCs w:val="22"/>
        </w:rPr>
        <w:t xml:space="preserve">- </w:t>
      </w:r>
      <w:r w:rsidR="00AB449D" w:rsidRPr="000A1D51">
        <w:rPr>
          <w:rFonts w:asciiTheme="minorHAnsi" w:hAnsiTheme="minorHAnsi" w:cstheme="minorHAnsi"/>
          <w:i/>
          <w:iCs/>
          <w:sz w:val="22"/>
          <w:szCs w:val="22"/>
        </w:rPr>
        <w:t>To promote economic and inclusive growth in ASEAN</w:t>
      </w:r>
      <w:r w:rsidR="00AA640D" w:rsidRPr="000A1D51">
        <w:rPr>
          <w:rFonts w:asciiTheme="minorHAnsi" w:hAnsiTheme="minorHAnsi" w:cstheme="minorHAnsi"/>
          <w:i/>
          <w:iCs/>
          <w:sz w:val="22"/>
          <w:szCs w:val="22"/>
        </w:rPr>
        <w:t xml:space="preserve">- </w:t>
      </w:r>
      <w:r w:rsidR="00AA640D" w:rsidRPr="000A1D51">
        <w:rPr>
          <w:rFonts w:asciiTheme="minorHAnsi" w:hAnsiTheme="minorHAnsi" w:cstheme="minorHAnsi"/>
          <w:sz w:val="22"/>
          <w:szCs w:val="22"/>
        </w:rPr>
        <w:t>to align with the latest DFAT guidance on program logics.</w:t>
      </w:r>
    </w:p>
    <w:p w14:paraId="34E39FDE" w14:textId="7676B6E6" w:rsidR="00AB449D" w:rsidRPr="000A1D51" w:rsidRDefault="00AB449D" w:rsidP="00AB449D">
      <w:pPr>
        <w:pStyle w:val="ListBullet2"/>
        <w:numPr>
          <w:ilvl w:val="0"/>
          <w:numId w:val="0"/>
        </w:numPr>
        <w:ind w:left="432"/>
        <w:rPr>
          <w:b/>
          <w:bCs/>
        </w:rPr>
      </w:pPr>
      <w:r w:rsidRPr="000A1D51">
        <w:rPr>
          <w:b/>
          <w:bCs/>
        </w:rPr>
        <w:t>End of Program Outcomes</w:t>
      </w:r>
    </w:p>
    <w:p w14:paraId="1B78D5CD" w14:textId="15BD2D50" w:rsidR="00AB449D" w:rsidRPr="000A1D51" w:rsidRDefault="00AB449D" w:rsidP="00AB449D">
      <w:pPr>
        <w:pStyle w:val="ListBullet2"/>
        <w:numPr>
          <w:ilvl w:val="1"/>
          <w:numId w:val="9"/>
        </w:numPr>
        <w:tabs>
          <w:tab w:val="clear" w:pos="284"/>
        </w:tabs>
        <w:spacing w:after="210" w:line="276" w:lineRule="auto"/>
        <w:ind w:left="864" w:hanging="432"/>
        <w:rPr>
          <w:rFonts w:asciiTheme="minorHAnsi" w:hAnsiTheme="minorHAnsi" w:cstheme="minorHAnsi"/>
          <w:sz w:val="22"/>
          <w:szCs w:val="22"/>
        </w:rPr>
      </w:pPr>
      <w:r w:rsidRPr="000A1D51">
        <w:rPr>
          <w:rFonts w:asciiTheme="minorHAnsi" w:hAnsiTheme="minorHAnsi" w:cstheme="minorHAnsi"/>
          <w:b/>
          <w:bCs/>
          <w:sz w:val="22"/>
          <w:szCs w:val="22"/>
        </w:rPr>
        <w:t>End of Program Outcome 1</w:t>
      </w:r>
      <w:r w:rsidR="000209B4" w:rsidRPr="000A1D51">
        <w:rPr>
          <w:rFonts w:asciiTheme="minorHAnsi" w:hAnsiTheme="minorHAnsi" w:cstheme="minorHAnsi"/>
          <w:b/>
          <w:bCs/>
          <w:sz w:val="22"/>
          <w:szCs w:val="22"/>
        </w:rPr>
        <w:t xml:space="preserve"> (EOPO1)</w:t>
      </w:r>
      <w:r w:rsidRPr="000A1D51">
        <w:rPr>
          <w:rFonts w:asciiTheme="minorHAnsi" w:hAnsiTheme="minorHAnsi" w:cstheme="minorHAnsi"/>
          <w:b/>
          <w:bCs/>
          <w:sz w:val="22"/>
          <w:szCs w:val="22"/>
        </w:rPr>
        <w:t>:</w:t>
      </w:r>
      <w:r w:rsidRPr="000A1D51">
        <w:rPr>
          <w:rFonts w:asciiTheme="minorHAnsi" w:hAnsiTheme="minorHAnsi" w:cstheme="minorHAnsi"/>
          <w:sz w:val="22"/>
          <w:szCs w:val="22"/>
        </w:rPr>
        <w:t xml:space="preserve"> </w:t>
      </w:r>
      <w:r w:rsidR="00D47153" w:rsidRPr="000A1D51">
        <w:rPr>
          <w:rFonts w:asciiTheme="minorHAnsi" w:hAnsiTheme="minorHAnsi" w:cstheme="minorHAnsi"/>
          <w:sz w:val="22"/>
          <w:szCs w:val="22"/>
        </w:rPr>
        <w:t>to</w:t>
      </w:r>
      <w:r w:rsidR="005732D4" w:rsidRPr="000A1D51">
        <w:rPr>
          <w:rFonts w:asciiTheme="minorHAnsi" w:hAnsiTheme="minorHAnsi" w:cstheme="minorHAnsi"/>
          <w:sz w:val="22"/>
          <w:szCs w:val="22"/>
        </w:rPr>
        <w:t xml:space="preserve"> </w:t>
      </w:r>
      <w:r w:rsidR="00D47153" w:rsidRPr="000A1D51">
        <w:rPr>
          <w:rFonts w:asciiTheme="minorHAnsi" w:hAnsiTheme="minorHAnsi" w:cstheme="minorHAnsi"/>
          <w:sz w:val="22"/>
          <w:szCs w:val="22"/>
        </w:rPr>
        <w:t xml:space="preserve">capture </w:t>
      </w:r>
      <w:r w:rsidR="005732D4" w:rsidRPr="000A1D51">
        <w:rPr>
          <w:rFonts w:asciiTheme="minorHAnsi" w:hAnsiTheme="minorHAnsi" w:cstheme="minorHAnsi"/>
          <w:sz w:val="22"/>
          <w:szCs w:val="22"/>
        </w:rPr>
        <w:t>program stakeholders in addition to</w:t>
      </w:r>
      <w:r w:rsidR="00DE7176" w:rsidRPr="000A1D51">
        <w:rPr>
          <w:rFonts w:asciiTheme="minorHAnsi" w:hAnsiTheme="minorHAnsi" w:cstheme="minorHAnsi"/>
          <w:sz w:val="22"/>
          <w:szCs w:val="22"/>
        </w:rPr>
        <w:t xml:space="preserve"> ‘ASEAN Bodies’, it</w:t>
      </w:r>
      <w:r w:rsidR="000209B4" w:rsidRPr="000A1D51">
        <w:rPr>
          <w:rFonts w:asciiTheme="minorHAnsi" w:hAnsiTheme="minorHAnsi" w:cstheme="minorHAnsi"/>
          <w:sz w:val="22"/>
          <w:szCs w:val="22"/>
        </w:rPr>
        <w:t xml:space="preserve"> is recommended that EOPO1</w:t>
      </w:r>
      <w:r w:rsidRPr="000A1D51">
        <w:rPr>
          <w:rFonts w:asciiTheme="minorHAnsi" w:hAnsiTheme="minorHAnsi" w:cstheme="minorHAnsi"/>
          <w:sz w:val="22"/>
          <w:szCs w:val="22"/>
        </w:rPr>
        <w:t xml:space="preserve"> could be rephrased as: </w:t>
      </w:r>
      <w:r w:rsidRPr="000A1D51">
        <w:rPr>
          <w:rFonts w:asciiTheme="minorHAnsi" w:hAnsiTheme="minorHAnsi"/>
          <w:i/>
          <w:sz w:val="22"/>
        </w:rPr>
        <w:t xml:space="preserve">ASEAN </w:t>
      </w:r>
      <w:r w:rsidR="00997E61" w:rsidRPr="000A1D51">
        <w:rPr>
          <w:rFonts w:asciiTheme="minorHAnsi" w:hAnsiTheme="minorHAnsi"/>
          <w:b/>
          <w:i/>
          <w:sz w:val="22"/>
        </w:rPr>
        <w:t>decision makers</w:t>
      </w:r>
      <w:r w:rsidRPr="000A1D51">
        <w:rPr>
          <w:rFonts w:asciiTheme="minorHAnsi" w:hAnsiTheme="minorHAnsi"/>
          <w:i/>
          <w:sz w:val="22"/>
        </w:rPr>
        <w:t xml:space="preserve"> are more effectively able to support economic integration</w:t>
      </w:r>
    </w:p>
    <w:p w14:paraId="05AEDE43" w14:textId="1960A01E" w:rsidR="004B783B" w:rsidRPr="000A1D51" w:rsidRDefault="00AB449D" w:rsidP="00AB449D">
      <w:pPr>
        <w:pStyle w:val="ListBullet2"/>
        <w:numPr>
          <w:ilvl w:val="1"/>
          <w:numId w:val="9"/>
        </w:numPr>
        <w:tabs>
          <w:tab w:val="clear" w:pos="284"/>
        </w:tabs>
        <w:spacing w:after="210" w:line="276" w:lineRule="auto"/>
        <w:ind w:left="864" w:hanging="432"/>
        <w:rPr>
          <w:rFonts w:asciiTheme="minorHAnsi" w:hAnsiTheme="minorHAnsi" w:cstheme="minorHAnsi"/>
          <w:sz w:val="22"/>
          <w:szCs w:val="22"/>
        </w:rPr>
      </w:pPr>
      <w:r w:rsidRPr="000A1D51">
        <w:rPr>
          <w:rFonts w:asciiTheme="minorHAnsi" w:hAnsiTheme="minorHAnsi" w:cstheme="minorHAnsi"/>
          <w:b/>
          <w:bCs/>
          <w:sz w:val="22"/>
          <w:szCs w:val="22"/>
        </w:rPr>
        <w:t>End of Program Outcome 2</w:t>
      </w:r>
      <w:r w:rsidR="00FA2ABE" w:rsidRPr="000A1D51">
        <w:rPr>
          <w:rFonts w:asciiTheme="minorHAnsi" w:hAnsiTheme="minorHAnsi" w:cstheme="minorHAnsi"/>
          <w:b/>
          <w:bCs/>
          <w:sz w:val="22"/>
          <w:szCs w:val="22"/>
        </w:rPr>
        <w:t xml:space="preserve"> (EOPO2)</w:t>
      </w:r>
      <w:r w:rsidRPr="000A1D51">
        <w:rPr>
          <w:rFonts w:asciiTheme="minorHAnsi" w:hAnsiTheme="minorHAnsi" w:cstheme="minorHAnsi"/>
          <w:b/>
          <w:bCs/>
          <w:sz w:val="22"/>
          <w:szCs w:val="22"/>
        </w:rPr>
        <w:t>:</w:t>
      </w:r>
      <w:r w:rsidRPr="000A1D51">
        <w:rPr>
          <w:rFonts w:asciiTheme="minorHAnsi" w:hAnsiTheme="minorHAnsi" w:cstheme="minorHAnsi"/>
          <w:sz w:val="22"/>
          <w:szCs w:val="22"/>
        </w:rPr>
        <w:t xml:space="preserve"> </w:t>
      </w:r>
      <w:r w:rsidR="00395BED" w:rsidRPr="000A1D51">
        <w:rPr>
          <w:rFonts w:asciiTheme="minorHAnsi" w:hAnsiTheme="minorHAnsi" w:cstheme="minorHAnsi"/>
          <w:sz w:val="22"/>
          <w:szCs w:val="22"/>
        </w:rPr>
        <w:t xml:space="preserve">It should be noted that because the existing draft program logic was not formally accepted by DFAT, the program will </w:t>
      </w:r>
      <w:r w:rsidR="0053237F" w:rsidRPr="000A1D51">
        <w:rPr>
          <w:rFonts w:asciiTheme="minorHAnsi" w:hAnsiTheme="minorHAnsi" w:cstheme="minorHAnsi"/>
          <w:sz w:val="22"/>
          <w:szCs w:val="22"/>
        </w:rPr>
        <w:t xml:space="preserve">need to </w:t>
      </w:r>
      <w:r w:rsidR="00041FE7" w:rsidRPr="000A1D51">
        <w:rPr>
          <w:rFonts w:asciiTheme="minorHAnsi" w:hAnsiTheme="minorHAnsi" w:cstheme="minorHAnsi"/>
          <w:sz w:val="22"/>
          <w:szCs w:val="22"/>
        </w:rPr>
        <w:t>confirm with the</w:t>
      </w:r>
      <w:r w:rsidR="0053237F" w:rsidRPr="000A1D51">
        <w:rPr>
          <w:rFonts w:asciiTheme="minorHAnsi" w:hAnsiTheme="minorHAnsi" w:cstheme="minorHAnsi"/>
          <w:sz w:val="22"/>
          <w:szCs w:val="22"/>
        </w:rPr>
        <w:t xml:space="preserve"> DFAT-ASEAN Mission </w:t>
      </w:r>
      <w:r w:rsidR="005B72B2" w:rsidRPr="000A1D51">
        <w:rPr>
          <w:rFonts w:asciiTheme="minorHAnsi" w:hAnsiTheme="minorHAnsi" w:cstheme="minorHAnsi"/>
          <w:sz w:val="22"/>
          <w:szCs w:val="22"/>
        </w:rPr>
        <w:t xml:space="preserve">that </w:t>
      </w:r>
      <w:r w:rsidR="00CF54D3" w:rsidRPr="000A1D51">
        <w:rPr>
          <w:rFonts w:asciiTheme="minorHAnsi" w:hAnsiTheme="minorHAnsi" w:cstheme="minorHAnsi"/>
          <w:sz w:val="22"/>
          <w:szCs w:val="22"/>
        </w:rPr>
        <w:t>EOPO</w:t>
      </w:r>
      <w:r w:rsidR="00041FE7" w:rsidRPr="000A1D51">
        <w:rPr>
          <w:rFonts w:asciiTheme="minorHAnsi" w:hAnsiTheme="minorHAnsi" w:cstheme="minorHAnsi"/>
          <w:sz w:val="22"/>
          <w:szCs w:val="22"/>
        </w:rPr>
        <w:t>2 adequately</w:t>
      </w:r>
      <w:r w:rsidR="00CF54D3" w:rsidRPr="000A1D51">
        <w:rPr>
          <w:rFonts w:asciiTheme="minorHAnsi" w:hAnsiTheme="minorHAnsi" w:cstheme="minorHAnsi"/>
          <w:sz w:val="22"/>
          <w:szCs w:val="22"/>
        </w:rPr>
        <w:t xml:space="preserve"> captures</w:t>
      </w:r>
      <w:r w:rsidR="004A1D08" w:rsidRPr="000A1D51">
        <w:rPr>
          <w:rFonts w:asciiTheme="minorHAnsi" w:hAnsiTheme="minorHAnsi" w:cstheme="minorHAnsi"/>
          <w:sz w:val="22"/>
          <w:szCs w:val="22"/>
        </w:rPr>
        <w:t xml:space="preserve"> the broader partnership </w:t>
      </w:r>
      <w:r w:rsidR="003F117F" w:rsidRPr="000A1D51">
        <w:rPr>
          <w:rFonts w:asciiTheme="minorHAnsi" w:hAnsiTheme="minorHAnsi" w:cstheme="minorHAnsi"/>
          <w:sz w:val="22"/>
          <w:szCs w:val="22"/>
        </w:rPr>
        <w:t>aspects</w:t>
      </w:r>
      <w:r w:rsidR="00C674A4" w:rsidRPr="000A1D51">
        <w:rPr>
          <w:rFonts w:asciiTheme="minorHAnsi" w:hAnsiTheme="minorHAnsi" w:cstheme="minorHAnsi"/>
          <w:sz w:val="22"/>
          <w:szCs w:val="22"/>
        </w:rPr>
        <w:t xml:space="preserve"> of the program</w:t>
      </w:r>
      <w:r w:rsidRPr="000A1D51">
        <w:rPr>
          <w:rFonts w:asciiTheme="minorHAnsi" w:hAnsiTheme="minorHAnsi" w:cstheme="minorHAnsi"/>
          <w:sz w:val="22"/>
          <w:szCs w:val="22"/>
        </w:rPr>
        <w:t xml:space="preserve">. </w:t>
      </w:r>
    </w:p>
    <w:p w14:paraId="20915A14" w14:textId="35F2BEAB" w:rsidR="00AB449D" w:rsidRPr="000A1D51" w:rsidRDefault="004B783B" w:rsidP="004B783B">
      <w:pPr>
        <w:pStyle w:val="ListBullet2"/>
        <w:numPr>
          <w:ilvl w:val="0"/>
          <w:numId w:val="0"/>
        </w:numPr>
        <w:tabs>
          <w:tab w:val="clear" w:pos="284"/>
        </w:tabs>
        <w:spacing w:after="210" w:line="276" w:lineRule="auto"/>
        <w:ind w:left="864"/>
        <w:rPr>
          <w:rFonts w:asciiTheme="minorHAnsi" w:hAnsiTheme="minorHAnsi" w:cstheme="minorHAnsi"/>
          <w:sz w:val="22"/>
          <w:szCs w:val="22"/>
        </w:rPr>
      </w:pPr>
      <w:r w:rsidRPr="000A1D51">
        <w:rPr>
          <w:rFonts w:asciiTheme="minorHAnsi" w:hAnsiTheme="minorHAnsi" w:cstheme="minorHAnsi"/>
          <w:sz w:val="22"/>
          <w:szCs w:val="22"/>
        </w:rPr>
        <w:t xml:space="preserve">As EOPO1, </w:t>
      </w:r>
      <w:r w:rsidR="00C674A4" w:rsidRPr="000A1D51">
        <w:rPr>
          <w:rFonts w:asciiTheme="minorHAnsi" w:hAnsiTheme="minorHAnsi" w:cstheme="minorHAnsi"/>
          <w:sz w:val="22"/>
          <w:szCs w:val="22"/>
        </w:rPr>
        <w:t>EOPO2</w:t>
      </w:r>
      <w:r w:rsidRPr="000A1D51">
        <w:rPr>
          <w:rFonts w:asciiTheme="minorHAnsi" w:hAnsiTheme="minorHAnsi" w:cstheme="minorHAnsi"/>
          <w:sz w:val="22"/>
          <w:szCs w:val="22"/>
        </w:rPr>
        <w:t xml:space="preserve"> should also describe an end state. </w:t>
      </w:r>
      <w:r w:rsidR="00AB449D" w:rsidRPr="000A1D51">
        <w:rPr>
          <w:rFonts w:asciiTheme="minorHAnsi" w:hAnsiTheme="minorHAnsi" w:cstheme="minorHAnsi"/>
          <w:sz w:val="22"/>
          <w:szCs w:val="22"/>
        </w:rPr>
        <w:t>Some suggestions</w:t>
      </w:r>
      <w:r w:rsidR="003F117F" w:rsidRPr="000A1D51">
        <w:rPr>
          <w:rFonts w:asciiTheme="minorHAnsi" w:hAnsiTheme="minorHAnsi" w:cstheme="minorHAnsi"/>
          <w:sz w:val="22"/>
          <w:szCs w:val="22"/>
        </w:rPr>
        <w:t xml:space="preserve"> below</w:t>
      </w:r>
      <w:r w:rsidR="00C674A4" w:rsidRPr="000A1D51">
        <w:rPr>
          <w:rFonts w:asciiTheme="minorHAnsi" w:hAnsiTheme="minorHAnsi" w:cstheme="minorHAnsi"/>
          <w:sz w:val="22"/>
          <w:szCs w:val="22"/>
        </w:rPr>
        <w:t xml:space="preserve"> to be discussed with DFAT</w:t>
      </w:r>
      <w:r w:rsidR="00AB449D" w:rsidRPr="000A1D51">
        <w:rPr>
          <w:rFonts w:asciiTheme="minorHAnsi" w:hAnsiTheme="minorHAnsi" w:cstheme="minorHAnsi"/>
          <w:sz w:val="22"/>
          <w:szCs w:val="22"/>
        </w:rPr>
        <w:t>:</w:t>
      </w:r>
    </w:p>
    <w:p w14:paraId="03396B6A" w14:textId="05C87935" w:rsidR="00AB449D" w:rsidRPr="000A1D51" w:rsidRDefault="00AB449D" w:rsidP="00E82AEB">
      <w:pPr>
        <w:pStyle w:val="ListBullet3"/>
        <w:numPr>
          <w:ilvl w:val="0"/>
          <w:numId w:val="0"/>
        </w:numPr>
        <w:tabs>
          <w:tab w:val="clear" w:pos="284"/>
          <w:tab w:val="clear" w:pos="567"/>
        </w:tabs>
        <w:spacing w:after="210" w:line="276" w:lineRule="auto"/>
        <w:ind w:left="1296"/>
        <w:rPr>
          <w:rFonts w:asciiTheme="minorHAnsi" w:hAnsiTheme="minorHAnsi"/>
          <w:sz w:val="22"/>
        </w:rPr>
      </w:pPr>
      <w:r w:rsidRPr="000A1D51">
        <w:rPr>
          <w:rFonts w:asciiTheme="minorHAnsi" w:hAnsiTheme="minorHAnsi" w:cstheme="minorHAnsi"/>
          <w:sz w:val="22"/>
          <w:szCs w:val="22"/>
        </w:rPr>
        <w:t xml:space="preserve">Based on the 3 primary End of Program Outcomes in the PAF- suggest rephrasing </w:t>
      </w:r>
      <w:r w:rsidR="00890028" w:rsidRPr="000A1D51">
        <w:rPr>
          <w:rFonts w:asciiTheme="minorHAnsi" w:hAnsiTheme="minorHAnsi" w:cstheme="minorHAnsi"/>
          <w:sz w:val="22"/>
          <w:szCs w:val="22"/>
        </w:rPr>
        <w:t>existing EOPO2</w:t>
      </w:r>
      <w:r w:rsidRPr="000A1D51">
        <w:rPr>
          <w:rFonts w:asciiTheme="minorHAnsi" w:hAnsiTheme="minorHAnsi" w:cstheme="minorHAnsi"/>
          <w:sz w:val="22"/>
          <w:szCs w:val="22"/>
        </w:rPr>
        <w:t xml:space="preserve"> to: </w:t>
      </w:r>
      <w:r w:rsidRPr="000A1D51">
        <w:rPr>
          <w:rFonts w:asciiTheme="minorHAnsi" w:hAnsiTheme="minorHAnsi" w:cstheme="minorHAnsi"/>
          <w:i/>
          <w:iCs/>
          <w:sz w:val="22"/>
          <w:szCs w:val="22"/>
        </w:rPr>
        <w:t>'</w:t>
      </w:r>
      <w:r w:rsidR="00296A23" w:rsidRPr="000A1D51">
        <w:rPr>
          <w:rFonts w:asciiTheme="minorHAnsi" w:hAnsiTheme="minorHAnsi" w:cstheme="minorHAnsi"/>
          <w:i/>
          <w:iCs/>
          <w:sz w:val="22"/>
          <w:szCs w:val="22"/>
        </w:rPr>
        <w:t xml:space="preserve">Enhanced </w:t>
      </w:r>
      <w:r w:rsidR="00054DDB" w:rsidRPr="000A1D51">
        <w:rPr>
          <w:rFonts w:asciiTheme="minorHAnsi" w:hAnsiTheme="minorHAnsi" w:cstheme="minorHAnsi"/>
          <w:i/>
          <w:iCs/>
          <w:sz w:val="22"/>
          <w:szCs w:val="22"/>
        </w:rPr>
        <w:t>Political Engagement’</w:t>
      </w:r>
      <w:r w:rsidR="00054DDB" w:rsidRPr="000A1D51">
        <w:rPr>
          <w:rFonts w:asciiTheme="minorHAnsi" w:hAnsiTheme="minorHAnsi"/>
          <w:i/>
          <w:sz w:val="22"/>
        </w:rPr>
        <w:t xml:space="preserve"> </w:t>
      </w:r>
      <w:r w:rsidRPr="000A1D51">
        <w:rPr>
          <w:rFonts w:asciiTheme="minorHAnsi" w:hAnsiTheme="minorHAnsi" w:cstheme="minorHAnsi"/>
          <w:sz w:val="22"/>
          <w:szCs w:val="22"/>
        </w:rPr>
        <w:t xml:space="preserve">instead of Political Engagement. </w:t>
      </w:r>
    </w:p>
    <w:p w14:paraId="7381BC52" w14:textId="1145BA75" w:rsidR="00E37AFD" w:rsidRPr="000A1D51" w:rsidRDefault="00E37AFD" w:rsidP="00E37AFD">
      <w:pPr>
        <w:pStyle w:val="ListBullet3"/>
        <w:numPr>
          <w:ilvl w:val="2"/>
          <w:numId w:val="15"/>
        </w:numPr>
        <w:tabs>
          <w:tab w:val="clear" w:pos="284"/>
          <w:tab w:val="clear" w:pos="567"/>
        </w:tabs>
        <w:spacing w:after="210" w:line="276" w:lineRule="auto"/>
        <w:ind w:left="1296" w:hanging="432"/>
        <w:rPr>
          <w:rFonts w:asciiTheme="minorHAnsi" w:hAnsiTheme="minorHAnsi" w:cstheme="minorHAnsi"/>
          <w:sz w:val="22"/>
          <w:szCs w:val="22"/>
        </w:rPr>
      </w:pPr>
      <w:r w:rsidRPr="000A1D51">
        <w:rPr>
          <w:rFonts w:asciiTheme="minorHAnsi" w:hAnsiTheme="minorHAnsi" w:cstheme="minorHAnsi"/>
          <w:sz w:val="22"/>
          <w:szCs w:val="22"/>
        </w:rPr>
        <w:lastRenderedPageBreak/>
        <w:t>Based on discussions between AADCP II and DFAT-ASEAN Mission, s</w:t>
      </w:r>
      <w:r w:rsidR="00AB449D" w:rsidRPr="000A1D51">
        <w:rPr>
          <w:rFonts w:asciiTheme="minorHAnsi" w:hAnsiTheme="minorHAnsi" w:cstheme="minorHAnsi"/>
          <w:sz w:val="22"/>
          <w:szCs w:val="22"/>
        </w:rPr>
        <w:t>uggest</w:t>
      </w:r>
      <w:r w:rsidRPr="000A1D51">
        <w:rPr>
          <w:rFonts w:asciiTheme="minorHAnsi" w:hAnsiTheme="minorHAnsi" w:cstheme="minorHAnsi"/>
          <w:sz w:val="22"/>
          <w:szCs w:val="22"/>
        </w:rPr>
        <w:t xml:space="preserve"> reviewing the </w:t>
      </w:r>
      <w:r w:rsidR="003C64B4" w:rsidRPr="000A1D51">
        <w:rPr>
          <w:rFonts w:asciiTheme="minorHAnsi" w:hAnsiTheme="minorHAnsi" w:cstheme="minorHAnsi"/>
          <w:sz w:val="22"/>
          <w:szCs w:val="22"/>
        </w:rPr>
        <w:t>‘</w:t>
      </w:r>
      <w:r w:rsidRPr="000A1D51">
        <w:rPr>
          <w:rFonts w:asciiTheme="minorHAnsi" w:hAnsiTheme="minorHAnsi" w:cstheme="minorHAnsi"/>
          <w:sz w:val="22"/>
          <w:szCs w:val="22"/>
        </w:rPr>
        <w:t>intermediate outcome</w:t>
      </w:r>
      <w:r w:rsidR="003C64B4" w:rsidRPr="000A1D51">
        <w:rPr>
          <w:rFonts w:asciiTheme="minorHAnsi" w:hAnsiTheme="minorHAnsi" w:cstheme="minorHAnsi"/>
          <w:sz w:val="22"/>
          <w:szCs w:val="22"/>
        </w:rPr>
        <w:t>’</w:t>
      </w:r>
      <w:r w:rsidRPr="000A1D51">
        <w:rPr>
          <w:rFonts w:asciiTheme="minorHAnsi" w:hAnsiTheme="minorHAnsi" w:cstheme="minorHAnsi"/>
          <w:sz w:val="22"/>
          <w:szCs w:val="22"/>
        </w:rPr>
        <w:t xml:space="preserve"> under EOPO2.</w:t>
      </w:r>
      <w:r w:rsidR="00AB449D" w:rsidRPr="000A1D51">
        <w:rPr>
          <w:rFonts w:asciiTheme="minorHAnsi" w:hAnsiTheme="minorHAnsi" w:cstheme="minorHAnsi"/>
          <w:sz w:val="22"/>
          <w:szCs w:val="22"/>
        </w:rPr>
        <w:t xml:space="preserve"> </w:t>
      </w:r>
      <w:r w:rsidR="000C701D" w:rsidRPr="000A1D51">
        <w:rPr>
          <w:rFonts w:asciiTheme="minorHAnsi" w:hAnsiTheme="minorHAnsi" w:cstheme="minorHAnsi"/>
          <w:sz w:val="22"/>
          <w:szCs w:val="22"/>
        </w:rPr>
        <w:t>S</w:t>
      </w:r>
      <w:r w:rsidRPr="000A1D51">
        <w:rPr>
          <w:rFonts w:asciiTheme="minorHAnsi" w:hAnsiTheme="minorHAnsi" w:cstheme="minorHAnsi"/>
          <w:sz w:val="22"/>
          <w:szCs w:val="22"/>
        </w:rPr>
        <w:t>uggestions below:</w:t>
      </w:r>
    </w:p>
    <w:p w14:paraId="53229C5C" w14:textId="3BA4E00D" w:rsidR="00015CFC" w:rsidRPr="000A1D51" w:rsidRDefault="00E37AFD" w:rsidP="00015CFC">
      <w:pPr>
        <w:pStyle w:val="ListBullet3"/>
        <w:numPr>
          <w:ilvl w:val="2"/>
          <w:numId w:val="15"/>
        </w:numPr>
        <w:spacing w:after="210" w:line="276" w:lineRule="auto"/>
        <w:ind w:left="1728" w:hanging="432"/>
        <w:rPr>
          <w:rFonts w:asciiTheme="minorHAnsi" w:hAnsiTheme="minorHAnsi" w:cstheme="minorHAnsi"/>
          <w:i/>
          <w:iCs/>
          <w:sz w:val="22"/>
          <w:szCs w:val="22"/>
          <w:lang w:val="en-AU"/>
        </w:rPr>
      </w:pPr>
      <w:r w:rsidRPr="000A1D51">
        <w:rPr>
          <w:rFonts w:asciiTheme="minorHAnsi" w:hAnsiTheme="minorHAnsi" w:cstheme="minorHAnsi"/>
          <w:sz w:val="22"/>
          <w:szCs w:val="22"/>
        </w:rPr>
        <w:t>Re</w:t>
      </w:r>
      <w:r w:rsidR="00721136" w:rsidRPr="000A1D51">
        <w:rPr>
          <w:rFonts w:asciiTheme="minorHAnsi" w:hAnsiTheme="minorHAnsi" w:cstheme="minorHAnsi"/>
          <w:sz w:val="22"/>
          <w:szCs w:val="22"/>
        </w:rPr>
        <w:t xml:space="preserve">fine Intermediate Outcome 1 under EOPO2 to: </w:t>
      </w:r>
      <w:r w:rsidR="00ED650C" w:rsidRPr="000A1D51">
        <w:rPr>
          <w:rFonts w:asciiTheme="minorHAnsi" w:hAnsiTheme="minorHAnsi"/>
          <w:i/>
          <w:sz w:val="22"/>
          <w:lang w:val="en-AU"/>
        </w:rPr>
        <w:t xml:space="preserve">Maintain &amp; improve the Australia – ASEAN partnership via better </w:t>
      </w:r>
      <w:r w:rsidR="00ED650C" w:rsidRPr="000A1D51">
        <w:rPr>
          <w:rFonts w:asciiTheme="minorHAnsi" w:hAnsiTheme="minorHAnsi" w:cstheme="minorHAnsi"/>
          <w:i/>
          <w:iCs/>
          <w:sz w:val="22"/>
          <w:szCs w:val="22"/>
          <w:lang w:val="en-AU"/>
        </w:rPr>
        <w:t xml:space="preserve">strategic </w:t>
      </w:r>
      <w:r w:rsidR="00ED650C" w:rsidRPr="000A1D51">
        <w:rPr>
          <w:rFonts w:asciiTheme="minorHAnsi" w:hAnsiTheme="minorHAnsi"/>
          <w:i/>
          <w:sz w:val="22"/>
          <w:lang w:val="en-AU"/>
        </w:rPr>
        <w:t xml:space="preserve">selection </w:t>
      </w:r>
      <w:r w:rsidR="00ED650C" w:rsidRPr="000A1D51">
        <w:rPr>
          <w:rFonts w:asciiTheme="minorHAnsi" w:hAnsiTheme="minorHAnsi" w:cstheme="minorHAnsi"/>
          <w:i/>
          <w:iCs/>
          <w:sz w:val="22"/>
          <w:szCs w:val="22"/>
          <w:lang w:val="en-AU"/>
        </w:rPr>
        <w:t xml:space="preserve">and design </w:t>
      </w:r>
      <w:r w:rsidR="00ED650C" w:rsidRPr="000A1D51">
        <w:rPr>
          <w:rFonts w:asciiTheme="minorHAnsi" w:hAnsiTheme="minorHAnsi"/>
          <w:i/>
          <w:sz w:val="22"/>
          <w:lang w:val="en-AU"/>
        </w:rPr>
        <w:t>of projects</w:t>
      </w:r>
      <w:r w:rsidR="00ED650C" w:rsidRPr="000A1D51">
        <w:rPr>
          <w:rFonts w:asciiTheme="minorHAnsi" w:hAnsiTheme="minorHAnsi" w:cstheme="minorHAnsi"/>
          <w:i/>
          <w:iCs/>
          <w:sz w:val="22"/>
          <w:szCs w:val="22"/>
          <w:lang w:val="en-AU"/>
        </w:rPr>
        <w:t xml:space="preserve"> &amp; their reception at political / diplomatic level</w:t>
      </w:r>
    </w:p>
    <w:p w14:paraId="71D557F3" w14:textId="2B8F04FC" w:rsidR="00AB449D" w:rsidRPr="000A1D51" w:rsidRDefault="00AB449D" w:rsidP="00E37AFD">
      <w:pPr>
        <w:pStyle w:val="ListBullet3"/>
        <w:numPr>
          <w:ilvl w:val="2"/>
          <w:numId w:val="15"/>
        </w:numPr>
        <w:tabs>
          <w:tab w:val="clear" w:pos="284"/>
          <w:tab w:val="clear" w:pos="567"/>
        </w:tabs>
        <w:spacing w:after="210" w:line="276" w:lineRule="auto"/>
        <w:ind w:left="1728" w:hanging="432"/>
        <w:rPr>
          <w:rFonts w:asciiTheme="minorHAnsi" w:hAnsiTheme="minorHAnsi" w:cstheme="minorHAnsi"/>
          <w:sz w:val="22"/>
          <w:szCs w:val="22"/>
        </w:rPr>
      </w:pPr>
      <w:r w:rsidRPr="000A1D51">
        <w:rPr>
          <w:rFonts w:asciiTheme="minorHAnsi" w:hAnsiTheme="minorHAnsi" w:cstheme="minorHAnsi"/>
          <w:sz w:val="22"/>
          <w:szCs w:val="22"/>
        </w:rPr>
        <w:t xml:space="preserve">This </w:t>
      </w:r>
      <w:r w:rsidR="00A42B40" w:rsidRPr="000A1D51">
        <w:rPr>
          <w:rFonts w:asciiTheme="minorHAnsi" w:hAnsiTheme="minorHAnsi" w:cstheme="minorHAnsi"/>
          <w:sz w:val="22"/>
          <w:szCs w:val="22"/>
        </w:rPr>
        <w:t>will help</w:t>
      </w:r>
      <w:r w:rsidRPr="000A1D51">
        <w:rPr>
          <w:rFonts w:asciiTheme="minorHAnsi" w:hAnsiTheme="minorHAnsi" w:cstheme="minorHAnsi"/>
          <w:sz w:val="22"/>
          <w:szCs w:val="22"/>
        </w:rPr>
        <w:t xml:space="preserve"> reflect that both Project selection and quality are important measures of effectiveness, and not just outputs. </w:t>
      </w:r>
    </w:p>
    <w:p w14:paraId="209C0003" w14:textId="5D88BA18" w:rsidR="000027DD" w:rsidRPr="000A1D51" w:rsidRDefault="00311EA5" w:rsidP="000027DD">
      <w:pPr>
        <w:pStyle w:val="ListBullet2"/>
        <w:rPr>
          <w:rFonts w:asciiTheme="minorHAnsi" w:hAnsiTheme="minorHAnsi" w:cstheme="minorHAnsi"/>
        </w:rPr>
      </w:pPr>
      <w:r w:rsidRPr="000A1D51">
        <w:rPr>
          <w:rFonts w:asciiTheme="minorHAnsi" w:hAnsiTheme="minorHAnsi" w:cstheme="minorHAnsi"/>
        </w:rPr>
        <w:t xml:space="preserve">It would also be useful to demonstrate in the program logic, the interplay between EOPO1 and EOPO2. </w:t>
      </w:r>
      <w:r w:rsidR="0017374C" w:rsidRPr="000A1D51">
        <w:rPr>
          <w:rFonts w:asciiTheme="minorHAnsi" w:hAnsiTheme="minorHAnsi" w:cstheme="minorHAnsi"/>
        </w:rPr>
        <w:t xml:space="preserve">For example, how are regional products, </w:t>
      </w:r>
      <w:r w:rsidR="00611E50" w:rsidRPr="000A1D51">
        <w:rPr>
          <w:rFonts w:asciiTheme="minorHAnsi" w:hAnsiTheme="minorHAnsi" w:cstheme="minorHAnsi"/>
        </w:rPr>
        <w:t>etc.</w:t>
      </w:r>
      <w:r w:rsidR="0017374C" w:rsidRPr="000A1D51">
        <w:rPr>
          <w:rFonts w:asciiTheme="minorHAnsi" w:hAnsiTheme="minorHAnsi" w:cstheme="minorHAnsi"/>
        </w:rPr>
        <w:t xml:space="preserve"> developed under EOPO1 used to </w:t>
      </w:r>
      <w:r w:rsidR="00D217D5" w:rsidRPr="000A1D51">
        <w:rPr>
          <w:rFonts w:asciiTheme="minorHAnsi" w:hAnsiTheme="minorHAnsi" w:cstheme="minorHAnsi"/>
        </w:rPr>
        <w:t>enhance Political Engagement/Partnership (EOPO2)</w:t>
      </w:r>
      <w:r w:rsidR="00D31FE0" w:rsidRPr="000A1D51">
        <w:rPr>
          <w:rFonts w:asciiTheme="minorHAnsi" w:hAnsiTheme="minorHAnsi" w:cstheme="minorHAnsi"/>
        </w:rPr>
        <w:t xml:space="preserve">. This could then be tracked by </w:t>
      </w:r>
      <w:r w:rsidR="0055661C" w:rsidRPr="000A1D51">
        <w:rPr>
          <w:rFonts w:asciiTheme="minorHAnsi" w:hAnsiTheme="minorHAnsi" w:cstheme="minorHAnsi"/>
        </w:rPr>
        <w:t>synthesizing the evidence on</w:t>
      </w:r>
      <w:r w:rsidR="006F5401" w:rsidRPr="000A1D51">
        <w:rPr>
          <w:rFonts w:asciiTheme="minorHAnsi" w:hAnsiTheme="minorHAnsi" w:cstheme="minorHAnsi"/>
        </w:rPr>
        <w:t>:</w:t>
      </w:r>
      <w:r w:rsidR="0055661C" w:rsidRPr="000A1D51">
        <w:rPr>
          <w:rFonts w:asciiTheme="minorHAnsi" w:hAnsiTheme="minorHAnsi" w:cstheme="minorHAnsi"/>
        </w:rPr>
        <w:t xml:space="preserve"> </w:t>
      </w:r>
      <w:r w:rsidR="00F40811" w:rsidRPr="000A1D51">
        <w:rPr>
          <w:rFonts w:asciiTheme="minorHAnsi" w:hAnsiTheme="minorHAnsi" w:cstheme="minorHAnsi"/>
        </w:rPr>
        <w:t xml:space="preserve">AADCP II funded program products launched at </w:t>
      </w:r>
      <w:r w:rsidR="005C6821" w:rsidRPr="000A1D51">
        <w:rPr>
          <w:rFonts w:asciiTheme="minorHAnsi" w:hAnsiTheme="minorHAnsi" w:cstheme="minorHAnsi"/>
        </w:rPr>
        <w:t>meetings; speeches highlighting</w:t>
      </w:r>
      <w:r w:rsidR="0097291B" w:rsidRPr="000A1D51">
        <w:rPr>
          <w:rFonts w:asciiTheme="minorHAnsi" w:hAnsiTheme="minorHAnsi" w:cstheme="minorHAnsi"/>
        </w:rPr>
        <w:t xml:space="preserve"> the value of the products and Australia’s contribution; DFAT-ASEAN Mission’s </w:t>
      </w:r>
      <w:r w:rsidR="00AA2277" w:rsidRPr="000A1D51">
        <w:rPr>
          <w:rFonts w:asciiTheme="minorHAnsi" w:hAnsiTheme="minorHAnsi" w:cstheme="minorHAnsi"/>
        </w:rPr>
        <w:t xml:space="preserve">use and </w:t>
      </w:r>
      <w:r w:rsidR="00117929" w:rsidRPr="000A1D51">
        <w:rPr>
          <w:rFonts w:asciiTheme="minorHAnsi" w:hAnsiTheme="minorHAnsi" w:cstheme="minorHAnsi"/>
        </w:rPr>
        <w:t>reference to AADCP II products in their work</w:t>
      </w:r>
      <w:r w:rsidR="00AA2277" w:rsidRPr="000A1D51">
        <w:rPr>
          <w:rFonts w:asciiTheme="minorHAnsi" w:hAnsiTheme="minorHAnsi" w:cstheme="minorHAnsi"/>
        </w:rPr>
        <w:t xml:space="preserve">, etc. </w:t>
      </w:r>
      <w:r w:rsidR="005C6821" w:rsidRPr="000A1D51">
        <w:rPr>
          <w:rFonts w:asciiTheme="minorHAnsi" w:hAnsiTheme="minorHAnsi" w:cstheme="minorHAnsi"/>
        </w:rPr>
        <w:t xml:space="preserve"> </w:t>
      </w:r>
    </w:p>
    <w:p w14:paraId="1BB93AF3" w14:textId="0A6E5FB5" w:rsidR="00AB449D" w:rsidRPr="000A1D51" w:rsidRDefault="00AB449D" w:rsidP="00AB449D">
      <w:pPr>
        <w:pStyle w:val="ListParagraph"/>
        <w:numPr>
          <w:ilvl w:val="0"/>
          <w:numId w:val="0"/>
        </w:numPr>
        <w:ind w:left="426"/>
        <w:rPr>
          <w:b/>
          <w:bCs/>
        </w:rPr>
      </w:pPr>
      <w:r w:rsidRPr="000A1D51">
        <w:t xml:space="preserve"> </w:t>
      </w:r>
      <w:r w:rsidRPr="000A1D51">
        <w:rPr>
          <w:b/>
          <w:bCs/>
        </w:rPr>
        <w:t>Work Streams</w:t>
      </w:r>
    </w:p>
    <w:p w14:paraId="2C17372C" w14:textId="43C51E2F" w:rsidR="00AB449D" w:rsidRPr="000A1D51" w:rsidRDefault="00AB449D" w:rsidP="00AB449D">
      <w:pPr>
        <w:pStyle w:val="ListBullet2"/>
        <w:numPr>
          <w:ilvl w:val="1"/>
          <w:numId w:val="9"/>
        </w:numPr>
        <w:tabs>
          <w:tab w:val="clear" w:pos="284"/>
        </w:tabs>
        <w:spacing w:after="210" w:line="276" w:lineRule="auto"/>
        <w:ind w:left="864" w:hanging="432"/>
        <w:rPr>
          <w:rFonts w:asciiTheme="minorHAnsi" w:hAnsiTheme="minorHAnsi" w:cstheme="minorHAnsi"/>
          <w:sz w:val="22"/>
          <w:szCs w:val="22"/>
        </w:rPr>
      </w:pPr>
      <w:r w:rsidRPr="000A1D51">
        <w:rPr>
          <w:rFonts w:asciiTheme="minorHAnsi" w:hAnsiTheme="minorHAnsi" w:cstheme="minorHAnsi"/>
          <w:sz w:val="22"/>
          <w:szCs w:val="22"/>
        </w:rPr>
        <w:t xml:space="preserve">Note, the program logic refers to these as Work Streams while the PAF refers to them as Clusters. </w:t>
      </w:r>
      <w:r w:rsidR="005113A3" w:rsidRPr="000A1D51">
        <w:rPr>
          <w:rFonts w:asciiTheme="minorHAnsi" w:hAnsiTheme="minorHAnsi" w:cstheme="minorHAnsi"/>
          <w:sz w:val="22"/>
          <w:szCs w:val="22"/>
        </w:rPr>
        <w:t>Once a final program logic is agreed to with DFAT-ASEAN Mission, s</w:t>
      </w:r>
      <w:r w:rsidRPr="000A1D51">
        <w:rPr>
          <w:rFonts w:asciiTheme="minorHAnsi" w:hAnsiTheme="minorHAnsi" w:cstheme="minorHAnsi"/>
          <w:sz w:val="22"/>
          <w:szCs w:val="22"/>
        </w:rPr>
        <w:t>uggest using the same terminology in both documents to avoid confusion, unless there is a distinction between Work Streams and Clusters (which is not clear)</w:t>
      </w:r>
      <w:r w:rsidR="00D52280" w:rsidRPr="000A1D51">
        <w:rPr>
          <w:rFonts w:asciiTheme="minorHAnsi" w:hAnsiTheme="minorHAnsi" w:cstheme="minorHAnsi"/>
          <w:sz w:val="22"/>
          <w:szCs w:val="22"/>
        </w:rPr>
        <w:t>.</w:t>
      </w:r>
    </w:p>
    <w:p w14:paraId="11AC63FC" w14:textId="060C4F16" w:rsidR="00AB449D" w:rsidRPr="000A1D51" w:rsidRDefault="00AB449D" w:rsidP="00AB449D">
      <w:pPr>
        <w:pStyle w:val="ListBullet2"/>
        <w:numPr>
          <w:ilvl w:val="1"/>
          <w:numId w:val="9"/>
        </w:numPr>
        <w:tabs>
          <w:tab w:val="clear" w:pos="284"/>
        </w:tabs>
        <w:spacing w:after="210" w:line="276" w:lineRule="auto"/>
        <w:ind w:left="864" w:hanging="432"/>
        <w:rPr>
          <w:rFonts w:asciiTheme="minorHAnsi" w:hAnsiTheme="minorHAnsi" w:cstheme="minorHAnsi"/>
          <w:sz w:val="22"/>
          <w:szCs w:val="22"/>
        </w:rPr>
      </w:pPr>
      <w:r w:rsidRPr="000A1D51">
        <w:rPr>
          <w:rFonts w:asciiTheme="minorHAnsi" w:hAnsiTheme="minorHAnsi" w:cstheme="minorHAnsi"/>
          <w:sz w:val="22"/>
          <w:szCs w:val="22"/>
        </w:rPr>
        <w:t>Addition of new work streams: May be worth including Energy &amp; Minerals; Cross-cutting under work streams</w:t>
      </w:r>
    </w:p>
    <w:p w14:paraId="1D847B96" w14:textId="2142B46B" w:rsidR="00AB449D" w:rsidRPr="000A1D51" w:rsidRDefault="00AB449D" w:rsidP="00E0508E">
      <w:pPr>
        <w:pStyle w:val="Heading2"/>
        <w:keepLines/>
        <w:numPr>
          <w:ilvl w:val="1"/>
          <w:numId w:val="47"/>
        </w:numPr>
        <w:spacing w:before="0" w:after="220" w:line="276" w:lineRule="auto"/>
      </w:pPr>
      <w:bookmarkStart w:id="103" w:name="_Toc24884137"/>
      <w:bookmarkStart w:id="104" w:name="_Toc31820139"/>
      <w:r w:rsidRPr="000A1D51">
        <w:t>Monitoring, Evaluation and Learning Framework</w:t>
      </w:r>
      <w:bookmarkEnd w:id="103"/>
      <w:bookmarkEnd w:id="104"/>
    </w:p>
    <w:p w14:paraId="7E85F671" w14:textId="74CB79FA" w:rsidR="00AB449D" w:rsidRPr="000A1D51" w:rsidRDefault="00AB449D" w:rsidP="00E0508E">
      <w:pPr>
        <w:numPr>
          <w:ilvl w:val="0"/>
          <w:numId w:val="48"/>
        </w:numPr>
        <w:spacing w:after="210" w:line="276" w:lineRule="auto"/>
        <w:rPr>
          <w:rFonts w:asciiTheme="minorHAnsi" w:hAnsiTheme="minorHAnsi" w:cstheme="minorHAnsi"/>
          <w:sz w:val="22"/>
          <w:szCs w:val="22"/>
        </w:rPr>
      </w:pPr>
      <w:r w:rsidRPr="000A1D51">
        <w:rPr>
          <w:rFonts w:asciiTheme="minorHAnsi" w:hAnsiTheme="minorHAnsi" w:cstheme="minorHAnsi"/>
          <w:sz w:val="22"/>
          <w:szCs w:val="22"/>
        </w:rPr>
        <w:t xml:space="preserve">This review concurs with the findings of the 2017 MEL review that overall, the structure of the MELF is good and fit-for-purpose. The suggestions for improving the M&amp;E tools in the 2017 review are sound and should be adopted to improve tracking and reporting of results. </w:t>
      </w:r>
    </w:p>
    <w:p w14:paraId="744C3BCB" w14:textId="72BF6959" w:rsidR="00A460EA" w:rsidRPr="000A1D51" w:rsidRDefault="00AB449D" w:rsidP="001308EA">
      <w:pPr>
        <w:numPr>
          <w:ilvl w:val="0"/>
          <w:numId w:val="48"/>
        </w:numPr>
        <w:spacing w:after="210" w:line="276" w:lineRule="auto"/>
        <w:rPr>
          <w:rFonts w:asciiTheme="minorHAnsi" w:hAnsiTheme="minorHAnsi" w:cstheme="minorHAnsi"/>
          <w:sz w:val="22"/>
          <w:szCs w:val="22"/>
        </w:rPr>
      </w:pPr>
      <w:r w:rsidRPr="000A1D51">
        <w:rPr>
          <w:rFonts w:asciiTheme="minorHAnsi" w:hAnsiTheme="minorHAnsi" w:cstheme="minorHAnsi"/>
          <w:sz w:val="22"/>
          <w:szCs w:val="22"/>
        </w:rPr>
        <w:t xml:space="preserve">Given the partnership model that AADCP II uses, there are certain challenges (mainly access to evidence and the strength of evidence) with implementing a MELF under this program which were also highlighted in the 2017 review- </w:t>
      </w:r>
      <w:r w:rsidRPr="000A1D51">
        <w:rPr>
          <w:rFonts w:asciiTheme="minorHAnsi" w:hAnsiTheme="minorHAnsi" w:cstheme="minorHAnsi"/>
          <w:i/>
          <w:iCs/>
          <w:sz w:val="22"/>
          <w:szCs w:val="22"/>
        </w:rPr>
        <w:t>A key challenge is the reliance on informal data related to the program’s influence and contribution to outcomes. Exacerbating this is that the existing M&amp;E tools don’t capture the informal data very well. Moreover, a lot of informal data is quite subjective. This by its very nature will be the case, and so improving the rigour where possible is one of the main aims of the MELF.</w:t>
      </w:r>
    </w:p>
    <w:p w14:paraId="05349134" w14:textId="18683502" w:rsidR="00AB449D" w:rsidRPr="000A1D51" w:rsidRDefault="00AB449D" w:rsidP="00E0508E">
      <w:pPr>
        <w:numPr>
          <w:ilvl w:val="0"/>
          <w:numId w:val="48"/>
        </w:numPr>
        <w:spacing w:after="210" w:line="276" w:lineRule="auto"/>
        <w:rPr>
          <w:rFonts w:asciiTheme="minorHAnsi" w:hAnsiTheme="minorHAnsi" w:cstheme="minorHAnsi"/>
          <w:b/>
          <w:bCs/>
          <w:sz w:val="22"/>
          <w:szCs w:val="22"/>
        </w:rPr>
      </w:pPr>
      <w:r w:rsidRPr="000A1D51">
        <w:rPr>
          <w:rFonts w:asciiTheme="minorHAnsi" w:hAnsiTheme="minorHAnsi" w:cstheme="minorHAnsi"/>
          <w:b/>
          <w:bCs/>
          <w:sz w:val="22"/>
          <w:szCs w:val="22"/>
        </w:rPr>
        <w:t xml:space="preserve">Recommendations for the MELF </w:t>
      </w:r>
    </w:p>
    <w:p w14:paraId="4CB33A47" w14:textId="0CC131E4" w:rsidR="00AB449D" w:rsidRPr="000A1D51" w:rsidRDefault="00AB449D" w:rsidP="00E0508E">
      <w:pPr>
        <w:numPr>
          <w:ilvl w:val="0"/>
          <w:numId w:val="48"/>
        </w:numPr>
        <w:spacing w:after="210" w:line="276" w:lineRule="auto"/>
        <w:rPr>
          <w:rFonts w:asciiTheme="minorHAnsi" w:hAnsiTheme="minorHAnsi" w:cstheme="minorHAnsi"/>
          <w:sz w:val="22"/>
          <w:szCs w:val="22"/>
        </w:rPr>
      </w:pPr>
      <w:r w:rsidRPr="000A1D51">
        <w:rPr>
          <w:rFonts w:asciiTheme="minorHAnsi" w:hAnsiTheme="minorHAnsi" w:cstheme="minorHAnsi"/>
          <w:b/>
          <w:bCs/>
          <w:sz w:val="22"/>
          <w:szCs w:val="22"/>
        </w:rPr>
        <w:t>PAF-</w:t>
      </w:r>
      <w:r w:rsidRPr="000A1D51">
        <w:rPr>
          <w:rFonts w:asciiTheme="minorHAnsi" w:hAnsiTheme="minorHAnsi" w:cstheme="minorHAnsi"/>
          <w:sz w:val="22"/>
          <w:szCs w:val="22"/>
        </w:rPr>
        <w:t xml:space="preserve"> The PAF provides a thorough tool to track and measure progress of projects towards their intermediate outcomes and also helps aggregate results against work streams/clusters for longer term outcomes. This mainly supports reporting against the </w:t>
      </w:r>
      <w:r w:rsidRPr="000A1D51">
        <w:rPr>
          <w:rFonts w:asciiTheme="minorHAnsi" w:hAnsiTheme="minorHAnsi" w:cstheme="minorHAnsi"/>
          <w:sz w:val="22"/>
          <w:szCs w:val="22"/>
        </w:rPr>
        <w:lastRenderedPageBreak/>
        <w:t xml:space="preserve">EOPO 1 - program effectiveness which is a key AQC criteria for reporting. The PAF also touches on aspects of sustainability. </w:t>
      </w:r>
    </w:p>
    <w:p w14:paraId="12CF8D16" w14:textId="5FDC8B83" w:rsidR="00AB449D" w:rsidRPr="000A1D51" w:rsidRDefault="00AB449D" w:rsidP="00AB449D">
      <w:pPr>
        <w:pStyle w:val="ListBullet2"/>
        <w:numPr>
          <w:ilvl w:val="1"/>
          <w:numId w:val="9"/>
        </w:numPr>
        <w:tabs>
          <w:tab w:val="clear" w:pos="284"/>
        </w:tabs>
        <w:spacing w:after="210" w:line="276" w:lineRule="auto"/>
        <w:ind w:left="864" w:hanging="432"/>
        <w:rPr>
          <w:rFonts w:asciiTheme="minorHAnsi" w:hAnsiTheme="minorHAnsi" w:cstheme="minorHAnsi"/>
          <w:sz w:val="22"/>
          <w:szCs w:val="22"/>
        </w:rPr>
      </w:pPr>
      <w:r w:rsidRPr="000A1D51">
        <w:rPr>
          <w:rFonts w:asciiTheme="minorHAnsi" w:hAnsiTheme="minorHAnsi" w:cstheme="minorHAnsi"/>
          <w:sz w:val="22"/>
          <w:szCs w:val="22"/>
        </w:rPr>
        <w:t>The PAF should be continued</w:t>
      </w:r>
      <w:r w:rsidR="001830D3" w:rsidRPr="000A1D51">
        <w:rPr>
          <w:rFonts w:asciiTheme="minorHAnsi" w:hAnsiTheme="minorHAnsi" w:cstheme="minorHAnsi"/>
          <w:sz w:val="22"/>
          <w:szCs w:val="22"/>
        </w:rPr>
        <w:t xml:space="preserve"> and used to collate evidence against EOPO </w:t>
      </w:r>
      <w:r w:rsidR="00062756" w:rsidRPr="000A1D51">
        <w:rPr>
          <w:rFonts w:asciiTheme="minorHAnsi" w:hAnsiTheme="minorHAnsi" w:cstheme="minorHAnsi"/>
          <w:sz w:val="22"/>
          <w:szCs w:val="22"/>
        </w:rPr>
        <w:t>1</w:t>
      </w:r>
      <w:r w:rsidRPr="000A1D51">
        <w:rPr>
          <w:rFonts w:asciiTheme="minorHAnsi" w:hAnsiTheme="minorHAnsi" w:cstheme="minorHAnsi"/>
          <w:sz w:val="22"/>
          <w:szCs w:val="22"/>
        </w:rPr>
        <w:t xml:space="preserve">. The small suggestion here is to change the term </w:t>
      </w:r>
      <w:r w:rsidRPr="000A1D51">
        <w:rPr>
          <w:rFonts w:asciiTheme="minorHAnsi" w:hAnsiTheme="minorHAnsi" w:cstheme="minorHAnsi"/>
          <w:i/>
          <w:iCs/>
          <w:sz w:val="22"/>
          <w:szCs w:val="22"/>
        </w:rPr>
        <w:t>PAF</w:t>
      </w:r>
      <w:r w:rsidRPr="000A1D51">
        <w:rPr>
          <w:rFonts w:asciiTheme="minorHAnsi" w:hAnsiTheme="minorHAnsi" w:cstheme="minorHAnsi"/>
          <w:sz w:val="22"/>
          <w:szCs w:val="22"/>
        </w:rPr>
        <w:t xml:space="preserve"> to avoid any confusion, as DFAT uses the term PAF (Performance Assessment Framework) internally at the whole-of-aid portfolio level and not for specific programs/investments. AADCP II could consider using the term Performance Monitoring Framework (PMF). </w:t>
      </w:r>
    </w:p>
    <w:p w14:paraId="3F644FEC" w14:textId="0C9AB83C" w:rsidR="00AB449D" w:rsidRPr="000A1D51" w:rsidRDefault="00AB449D" w:rsidP="00AB449D">
      <w:pPr>
        <w:pStyle w:val="ListBullet"/>
        <w:tabs>
          <w:tab w:val="clear" w:pos="284"/>
        </w:tabs>
        <w:spacing w:after="210" w:line="276" w:lineRule="auto"/>
        <w:ind w:left="432" w:hanging="432"/>
        <w:rPr>
          <w:rFonts w:asciiTheme="minorHAnsi" w:hAnsiTheme="minorHAnsi" w:cstheme="minorHAnsi"/>
          <w:sz w:val="22"/>
          <w:szCs w:val="22"/>
        </w:rPr>
      </w:pPr>
      <w:r w:rsidRPr="000A1D51">
        <w:rPr>
          <w:rFonts w:asciiTheme="minorHAnsi" w:hAnsiTheme="minorHAnsi" w:cstheme="minorHAnsi"/>
          <w:b/>
          <w:bCs/>
          <w:sz w:val="22"/>
          <w:szCs w:val="22"/>
        </w:rPr>
        <w:t>Evidence Matrix</w:t>
      </w:r>
      <w:r w:rsidRPr="000A1D51">
        <w:rPr>
          <w:rFonts w:asciiTheme="minorHAnsi" w:hAnsiTheme="minorHAnsi" w:cstheme="minorHAnsi"/>
          <w:sz w:val="22"/>
          <w:szCs w:val="22"/>
        </w:rPr>
        <w:t xml:space="preserve">- </w:t>
      </w:r>
      <w:r w:rsidR="00297DD8" w:rsidRPr="000A1D51">
        <w:rPr>
          <w:rFonts w:asciiTheme="minorHAnsi" w:hAnsiTheme="minorHAnsi" w:cstheme="minorHAnsi"/>
          <w:sz w:val="22"/>
          <w:szCs w:val="22"/>
        </w:rPr>
        <w:t>the</w:t>
      </w:r>
      <w:r w:rsidRPr="000A1D51">
        <w:rPr>
          <w:rFonts w:asciiTheme="minorHAnsi" w:hAnsiTheme="minorHAnsi" w:cstheme="minorHAnsi"/>
          <w:sz w:val="22"/>
          <w:szCs w:val="22"/>
        </w:rPr>
        <w:t xml:space="preserve"> draft Evidence Matrix developed as part of the 2017 review </w:t>
      </w:r>
      <w:r w:rsidR="00297DD8" w:rsidRPr="000A1D51">
        <w:rPr>
          <w:rFonts w:asciiTheme="minorHAnsi" w:hAnsiTheme="minorHAnsi" w:cstheme="minorHAnsi"/>
          <w:sz w:val="22"/>
          <w:szCs w:val="22"/>
        </w:rPr>
        <w:t xml:space="preserve">can </w:t>
      </w:r>
      <w:r w:rsidRPr="000A1D51">
        <w:rPr>
          <w:rFonts w:asciiTheme="minorHAnsi" w:hAnsiTheme="minorHAnsi" w:cstheme="minorHAnsi"/>
          <w:sz w:val="22"/>
          <w:szCs w:val="22"/>
        </w:rPr>
        <w:t xml:space="preserve">be used to collate evidence and report against EOPO 2- Political Engagement, and </w:t>
      </w:r>
      <w:r w:rsidR="00B34A3D" w:rsidRPr="000A1D51">
        <w:rPr>
          <w:rFonts w:asciiTheme="minorHAnsi" w:hAnsiTheme="minorHAnsi" w:cstheme="minorHAnsi"/>
          <w:sz w:val="22"/>
          <w:szCs w:val="22"/>
        </w:rPr>
        <w:t xml:space="preserve">if required </w:t>
      </w:r>
      <w:r w:rsidRPr="000A1D51">
        <w:rPr>
          <w:rFonts w:asciiTheme="minorHAnsi" w:hAnsiTheme="minorHAnsi" w:cstheme="minorHAnsi"/>
          <w:sz w:val="22"/>
          <w:szCs w:val="22"/>
        </w:rPr>
        <w:t xml:space="preserve">the other AQC criteria (efficiency, gender, M&amp;E) which would strengthen AADCP II reporting for DFAT purposes. </w:t>
      </w:r>
      <w:r w:rsidR="008E6284" w:rsidRPr="000A1D51">
        <w:rPr>
          <w:rFonts w:asciiTheme="minorHAnsi" w:hAnsiTheme="minorHAnsi" w:cstheme="minorHAnsi"/>
          <w:sz w:val="22"/>
          <w:szCs w:val="22"/>
        </w:rPr>
        <w:t xml:space="preserve">The existing Key Questions in the Evidence Matrix </w:t>
      </w:r>
      <w:r w:rsidR="005D3EBA" w:rsidRPr="000A1D51">
        <w:rPr>
          <w:rFonts w:asciiTheme="minorHAnsi" w:hAnsiTheme="minorHAnsi" w:cstheme="minorHAnsi"/>
          <w:sz w:val="22"/>
          <w:szCs w:val="22"/>
        </w:rPr>
        <w:t xml:space="preserve">and their weighting </w:t>
      </w:r>
      <w:r w:rsidR="001A4809" w:rsidRPr="000A1D51">
        <w:rPr>
          <w:rFonts w:asciiTheme="minorHAnsi" w:hAnsiTheme="minorHAnsi" w:cstheme="minorHAnsi"/>
          <w:sz w:val="22"/>
          <w:szCs w:val="22"/>
        </w:rPr>
        <w:t>(</w:t>
      </w:r>
      <w:r w:rsidR="005B5AEB" w:rsidRPr="000A1D51">
        <w:rPr>
          <w:rFonts w:asciiTheme="minorHAnsi" w:hAnsiTheme="minorHAnsi" w:cstheme="minorHAnsi"/>
          <w:sz w:val="22"/>
          <w:szCs w:val="22"/>
        </w:rPr>
        <w:t xml:space="preserve">where M&amp;E resources should be invested, i.e. </w:t>
      </w:r>
      <w:r w:rsidR="001A4809" w:rsidRPr="000A1D51">
        <w:rPr>
          <w:rFonts w:asciiTheme="minorHAnsi" w:hAnsiTheme="minorHAnsi" w:cstheme="minorHAnsi"/>
          <w:sz w:val="22"/>
          <w:szCs w:val="22"/>
        </w:rPr>
        <w:t>what information should be collected</w:t>
      </w:r>
      <w:r w:rsidR="00CD4841" w:rsidRPr="000A1D51">
        <w:rPr>
          <w:rFonts w:asciiTheme="minorHAnsi" w:hAnsiTheme="minorHAnsi" w:cstheme="minorHAnsi"/>
          <w:sz w:val="22"/>
          <w:szCs w:val="22"/>
        </w:rPr>
        <w:t xml:space="preserve"> </w:t>
      </w:r>
      <w:r w:rsidR="005B5AEB" w:rsidRPr="000A1D51">
        <w:rPr>
          <w:rFonts w:asciiTheme="minorHAnsi" w:hAnsiTheme="minorHAnsi" w:cstheme="minorHAnsi"/>
          <w:sz w:val="22"/>
          <w:szCs w:val="22"/>
        </w:rPr>
        <w:t>annually</w:t>
      </w:r>
      <w:r w:rsidR="001A4809" w:rsidRPr="000A1D51">
        <w:rPr>
          <w:rFonts w:asciiTheme="minorHAnsi" w:hAnsiTheme="minorHAnsi" w:cstheme="minorHAnsi"/>
          <w:sz w:val="22"/>
          <w:szCs w:val="22"/>
        </w:rPr>
        <w:t xml:space="preserve">) </w:t>
      </w:r>
      <w:r w:rsidR="006F116F" w:rsidRPr="000A1D51">
        <w:rPr>
          <w:rFonts w:asciiTheme="minorHAnsi" w:hAnsiTheme="minorHAnsi" w:cstheme="minorHAnsi"/>
          <w:sz w:val="22"/>
          <w:szCs w:val="22"/>
        </w:rPr>
        <w:t>needs to be</w:t>
      </w:r>
      <w:r w:rsidR="00EE247B" w:rsidRPr="000A1D51">
        <w:rPr>
          <w:rFonts w:asciiTheme="minorHAnsi" w:hAnsiTheme="minorHAnsi" w:cstheme="minorHAnsi"/>
          <w:sz w:val="22"/>
          <w:szCs w:val="22"/>
        </w:rPr>
        <w:t xml:space="preserve"> reviewed </w:t>
      </w:r>
      <w:r w:rsidR="007404B4" w:rsidRPr="000A1D51">
        <w:rPr>
          <w:rFonts w:asciiTheme="minorHAnsi" w:hAnsiTheme="minorHAnsi" w:cstheme="minorHAnsi"/>
          <w:sz w:val="22"/>
          <w:szCs w:val="22"/>
        </w:rPr>
        <w:t xml:space="preserve">by the program team, </w:t>
      </w:r>
      <w:r w:rsidR="00EE247B" w:rsidRPr="000A1D51">
        <w:rPr>
          <w:rFonts w:asciiTheme="minorHAnsi" w:hAnsiTheme="minorHAnsi" w:cstheme="minorHAnsi"/>
          <w:sz w:val="22"/>
          <w:szCs w:val="22"/>
        </w:rPr>
        <w:t xml:space="preserve">considering active </w:t>
      </w:r>
      <w:r w:rsidR="00406319" w:rsidRPr="000A1D51">
        <w:rPr>
          <w:rFonts w:asciiTheme="minorHAnsi" w:hAnsiTheme="minorHAnsi" w:cstheme="minorHAnsi"/>
          <w:sz w:val="22"/>
          <w:szCs w:val="22"/>
        </w:rPr>
        <w:t xml:space="preserve">work </w:t>
      </w:r>
      <w:r w:rsidR="00EE247B" w:rsidRPr="000A1D51">
        <w:rPr>
          <w:rFonts w:asciiTheme="minorHAnsi" w:hAnsiTheme="minorHAnsi" w:cstheme="minorHAnsi"/>
          <w:sz w:val="22"/>
          <w:szCs w:val="22"/>
        </w:rPr>
        <w:t xml:space="preserve">streams. </w:t>
      </w:r>
    </w:p>
    <w:p w14:paraId="065ADCCA" w14:textId="0FD0A848" w:rsidR="00AB449D" w:rsidRPr="000A1D51" w:rsidRDefault="00AB449D" w:rsidP="00AB449D">
      <w:pPr>
        <w:pStyle w:val="ListBullet"/>
        <w:tabs>
          <w:tab w:val="clear" w:pos="284"/>
        </w:tabs>
        <w:spacing w:after="210" w:line="276" w:lineRule="auto"/>
        <w:ind w:left="432" w:hanging="432"/>
        <w:rPr>
          <w:rFonts w:asciiTheme="minorHAnsi" w:hAnsiTheme="minorHAnsi" w:cstheme="minorHAnsi"/>
          <w:sz w:val="22"/>
          <w:szCs w:val="22"/>
        </w:rPr>
      </w:pPr>
      <w:r w:rsidRPr="000A1D51">
        <w:rPr>
          <w:rFonts w:asciiTheme="minorHAnsi" w:hAnsiTheme="minorHAnsi" w:cstheme="minorHAnsi"/>
          <w:b/>
          <w:bCs/>
          <w:sz w:val="22"/>
          <w:szCs w:val="22"/>
        </w:rPr>
        <w:t>Data Collection</w:t>
      </w:r>
    </w:p>
    <w:p w14:paraId="66D4F2DE" w14:textId="192C37FD" w:rsidR="00AB449D" w:rsidRPr="000A1D51" w:rsidRDefault="00AB449D" w:rsidP="00AB449D">
      <w:pPr>
        <w:pStyle w:val="ListBullet2"/>
        <w:numPr>
          <w:ilvl w:val="1"/>
          <w:numId w:val="9"/>
        </w:numPr>
        <w:tabs>
          <w:tab w:val="clear" w:pos="284"/>
        </w:tabs>
        <w:spacing w:after="210" w:line="276" w:lineRule="auto"/>
        <w:ind w:left="864" w:hanging="432"/>
        <w:rPr>
          <w:rFonts w:asciiTheme="minorHAnsi" w:hAnsiTheme="minorHAnsi" w:cstheme="minorHAnsi"/>
          <w:sz w:val="22"/>
          <w:szCs w:val="22"/>
        </w:rPr>
      </w:pPr>
      <w:r w:rsidRPr="000A1D51">
        <w:rPr>
          <w:rFonts w:asciiTheme="minorHAnsi" w:hAnsiTheme="minorHAnsi" w:cstheme="minorHAnsi"/>
          <w:sz w:val="22"/>
          <w:szCs w:val="22"/>
        </w:rPr>
        <w:t>Given the nature of AADCP II, strength of evidence</w:t>
      </w:r>
      <w:r w:rsidRPr="000A1D51">
        <w:rPr>
          <w:rStyle w:val="FootnoteReference"/>
          <w:rFonts w:asciiTheme="minorHAnsi" w:hAnsiTheme="minorHAnsi" w:cstheme="minorHAnsi"/>
          <w:sz w:val="22"/>
          <w:szCs w:val="22"/>
        </w:rPr>
        <w:footnoteReference w:id="48"/>
      </w:r>
      <w:r w:rsidRPr="000A1D51">
        <w:rPr>
          <w:rFonts w:asciiTheme="minorHAnsi" w:hAnsiTheme="minorHAnsi" w:cstheme="minorHAnsi"/>
          <w:sz w:val="22"/>
          <w:szCs w:val="22"/>
        </w:rPr>
        <w:t xml:space="preserve"> for data will likely be between low to moderate. The program should aim for moderate strength but there may be instances where this is not possible and should be noted. To support judgement on AADCP II’s contribution to outcomes, the strength of evidence can be improved through triangulation of monitoring data where possible, and particularly for the more strategic projects (could be based on financial value, etc). It is unlikely that the program will be able to do this for all ongoing projects, but it would be worth exploring for the high-value or highly strategic projects. Currently, the program uses the following sources of evidence, which should be continued: </w:t>
      </w:r>
    </w:p>
    <w:p w14:paraId="1276256A" w14:textId="506CAA25" w:rsidR="00AB449D" w:rsidRPr="000A1D51" w:rsidRDefault="00AB449D" w:rsidP="00AB449D">
      <w:pPr>
        <w:pStyle w:val="ListBullet3"/>
        <w:numPr>
          <w:ilvl w:val="2"/>
          <w:numId w:val="15"/>
        </w:numPr>
        <w:tabs>
          <w:tab w:val="clear" w:pos="284"/>
          <w:tab w:val="clear" w:pos="567"/>
        </w:tabs>
        <w:spacing w:after="210" w:line="276" w:lineRule="auto"/>
        <w:ind w:left="1296" w:hanging="432"/>
        <w:rPr>
          <w:rFonts w:asciiTheme="minorHAnsi" w:hAnsiTheme="minorHAnsi" w:cstheme="minorHAnsi"/>
          <w:sz w:val="22"/>
          <w:szCs w:val="22"/>
        </w:rPr>
      </w:pPr>
      <w:r w:rsidRPr="000A1D51">
        <w:rPr>
          <w:rFonts w:asciiTheme="minorHAnsi" w:hAnsiTheme="minorHAnsi" w:cstheme="minorHAnsi"/>
          <w:sz w:val="22"/>
          <w:szCs w:val="22"/>
        </w:rPr>
        <w:t xml:space="preserve">project completion reports from project implementers; </w:t>
      </w:r>
    </w:p>
    <w:p w14:paraId="59860329" w14:textId="73C820FC" w:rsidR="00AB449D" w:rsidRPr="000A1D51" w:rsidRDefault="00AB449D" w:rsidP="00AB449D">
      <w:pPr>
        <w:pStyle w:val="ListBullet3"/>
        <w:numPr>
          <w:ilvl w:val="2"/>
          <w:numId w:val="15"/>
        </w:numPr>
        <w:tabs>
          <w:tab w:val="clear" w:pos="284"/>
          <w:tab w:val="clear" w:pos="567"/>
        </w:tabs>
        <w:spacing w:after="210" w:line="276" w:lineRule="auto"/>
        <w:ind w:left="1296" w:hanging="432"/>
        <w:rPr>
          <w:rFonts w:asciiTheme="minorHAnsi" w:hAnsiTheme="minorHAnsi" w:cstheme="minorHAnsi"/>
          <w:sz w:val="22"/>
          <w:szCs w:val="22"/>
        </w:rPr>
      </w:pPr>
      <w:r w:rsidRPr="000A1D51">
        <w:rPr>
          <w:rFonts w:asciiTheme="minorHAnsi" w:hAnsiTheme="minorHAnsi" w:cstheme="minorHAnsi"/>
          <w:sz w:val="22"/>
          <w:szCs w:val="22"/>
        </w:rPr>
        <w:t xml:space="preserve">meeting minutes from ASEC bodies; </w:t>
      </w:r>
    </w:p>
    <w:p w14:paraId="053429D1" w14:textId="5FA651B1" w:rsidR="00AB449D" w:rsidRPr="000A1D51" w:rsidRDefault="00AB449D" w:rsidP="00AB449D">
      <w:pPr>
        <w:pStyle w:val="ListBullet3"/>
        <w:numPr>
          <w:ilvl w:val="2"/>
          <w:numId w:val="15"/>
        </w:numPr>
        <w:tabs>
          <w:tab w:val="clear" w:pos="284"/>
          <w:tab w:val="clear" w:pos="567"/>
        </w:tabs>
        <w:spacing w:after="210" w:line="276" w:lineRule="auto"/>
        <w:ind w:left="1296" w:hanging="432"/>
        <w:rPr>
          <w:rFonts w:asciiTheme="minorHAnsi" w:hAnsiTheme="minorHAnsi" w:cstheme="minorHAnsi"/>
          <w:sz w:val="22"/>
          <w:szCs w:val="22"/>
        </w:rPr>
      </w:pPr>
      <w:r w:rsidRPr="000A1D51">
        <w:rPr>
          <w:rFonts w:asciiTheme="minorHAnsi" w:hAnsiTheme="minorHAnsi" w:cstheme="minorHAnsi"/>
          <w:sz w:val="22"/>
          <w:szCs w:val="22"/>
        </w:rPr>
        <w:t xml:space="preserve">information on ASEAN websites; </w:t>
      </w:r>
    </w:p>
    <w:p w14:paraId="3D34FC4F" w14:textId="0A98CDBE" w:rsidR="00AB449D" w:rsidRPr="000A1D51" w:rsidRDefault="00AB449D" w:rsidP="00AB449D">
      <w:pPr>
        <w:pStyle w:val="ListBullet3"/>
        <w:numPr>
          <w:ilvl w:val="2"/>
          <w:numId w:val="15"/>
        </w:numPr>
        <w:tabs>
          <w:tab w:val="clear" w:pos="284"/>
          <w:tab w:val="clear" w:pos="567"/>
        </w:tabs>
        <w:spacing w:after="210" w:line="276" w:lineRule="auto"/>
        <w:ind w:left="1296" w:hanging="432"/>
        <w:rPr>
          <w:rFonts w:asciiTheme="minorHAnsi" w:hAnsiTheme="minorHAnsi" w:cstheme="minorHAnsi"/>
          <w:sz w:val="22"/>
          <w:szCs w:val="22"/>
        </w:rPr>
      </w:pPr>
      <w:r w:rsidRPr="000A1D51">
        <w:rPr>
          <w:rFonts w:asciiTheme="minorHAnsi" w:hAnsiTheme="minorHAnsi" w:cstheme="minorHAnsi"/>
          <w:sz w:val="22"/>
          <w:szCs w:val="22"/>
        </w:rPr>
        <w:t>mission reports;</w:t>
      </w:r>
    </w:p>
    <w:p w14:paraId="34C0442F" w14:textId="2319AEB8" w:rsidR="00AB449D" w:rsidRPr="000A1D51" w:rsidRDefault="00AB449D" w:rsidP="00AB449D">
      <w:pPr>
        <w:pStyle w:val="ListBullet3"/>
        <w:numPr>
          <w:ilvl w:val="2"/>
          <w:numId w:val="15"/>
        </w:numPr>
        <w:tabs>
          <w:tab w:val="clear" w:pos="284"/>
          <w:tab w:val="clear" w:pos="567"/>
        </w:tabs>
        <w:spacing w:after="210" w:line="276" w:lineRule="auto"/>
        <w:ind w:left="1296" w:hanging="432"/>
        <w:rPr>
          <w:rFonts w:asciiTheme="minorHAnsi" w:hAnsiTheme="minorHAnsi" w:cstheme="minorHAnsi"/>
          <w:sz w:val="22"/>
          <w:szCs w:val="22"/>
        </w:rPr>
      </w:pPr>
      <w:r w:rsidRPr="000A1D51">
        <w:rPr>
          <w:rFonts w:asciiTheme="minorHAnsi" w:hAnsiTheme="minorHAnsi" w:cstheme="minorHAnsi"/>
          <w:sz w:val="22"/>
          <w:szCs w:val="22"/>
        </w:rPr>
        <w:t xml:space="preserve">internal emails; </w:t>
      </w:r>
    </w:p>
    <w:p w14:paraId="4F047E9D" w14:textId="2B508144" w:rsidR="00AB449D" w:rsidRPr="000A1D51" w:rsidRDefault="00AB449D" w:rsidP="00AB449D">
      <w:pPr>
        <w:pStyle w:val="ListBullet3"/>
        <w:numPr>
          <w:ilvl w:val="2"/>
          <w:numId w:val="15"/>
        </w:numPr>
        <w:tabs>
          <w:tab w:val="clear" w:pos="284"/>
          <w:tab w:val="clear" w:pos="567"/>
        </w:tabs>
        <w:spacing w:after="210" w:line="276" w:lineRule="auto"/>
        <w:ind w:left="1296" w:hanging="432"/>
        <w:rPr>
          <w:rFonts w:asciiTheme="minorHAnsi" w:hAnsiTheme="minorHAnsi" w:cstheme="minorHAnsi"/>
          <w:sz w:val="22"/>
          <w:szCs w:val="22"/>
        </w:rPr>
      </w:pPr>
      <w:r w:rsidRPr="000A1D51">
        <w:rPr>
          <w:rFonts w:asciiTheme="minorHAnsi" w:hAnsiTheme="minorHAnsi" w:cstheme="minorHAnsi"/>
          <w:sz w:val="22"/>
          <w:szCs w:val="22"/>
        </w:rPr>
        <w:t>observations</w:t>
      </w:r>
    </w:p>
    <w:p w14:paraId="7A7A2812" w14:textId="4A7BDEED" w:rsidR="00AB449D" w:rsidRPr="000A1D51" w:rsidRDefault="00AB449D" w:rsidP="00AB449D">
      <w:pPr>
        <w:pStyle w:val="ListBullet3"/>
        <w:numPr>
          <w:ilvl w:val="2"/>
          <w:numId w:val="15"/>
        </w:numPr>
        <w:tabs>
          <w:tab w:val="clear" w:pos="284"/>
          <w:tab w:val="clear" w:pos="567"/>
        </w:tabs>
        <w:spacing w:after="210" w:line="276" w:lineRule="auto"/>
        <w:ind w:left="1296" w:hanging="432"/>
        <w:rPr>
          <w:rFonts w:asciiTheme="minorHAnsi" w:hAnsiTheme="minorHAnsi" w:cstheme="minorHAnsi"/>
          <w:sz w:val="22"/>
          <w:szCs w:val="22"/>
        </w:rPr>
      </w:pPr>
      <w:r w:rsidRPr="000A1D51">
        <w:rPr>
          <w:rFonts w:asciiTheme="minorHAnsi" w:hAnsiTheme="minorHAnsi" w:cstheme="minorHAnsi"/>
          <w:sz w:val="22"/>
          <w:szCs w:val="22"/>
        </w:rPr>
        <w:t xml:space="preserve">end of project review meetings/reports; </w:t>
      </w:r>
    </w:p>
    <w:p w14:paraId="3B602EFA" w14:textId="0D24000B" w:rsidR="00AB449D" w:rsidRPr="000A1D51" w:rsidRDefault="00AB449D" w:rsidP="00AB449D">
      <w:pPr>
        <w:pStyle w:val="ListBullet3"/>
        <w:numPr>
          <w:ilvl w:val="2"/>
          <w:numId w:val="15"/>
        </w:numPr>
        <w:tabs>
          <w:tab w:val="clear" w:pos="284"/>
          <w:tab w:val="clear" w:pos="567"/>
        </w:tabs>
        <w:spacing w:after="210" w:line="276" w:lineRule="auto"/>
        <w:ind w:left="1296" w:hanging="432"/>
        <w:rPr>
          <w:rFonts w:asciiTheme="minorHAnsi" w:hAnsiTheme="minorHAnsi" w:cstheme="minorHAnsi"/>
          <w:sz w:val="22"/>
          <w:szCs w:val="22"/>
        </w:rPr>
      </w:pPr>
      <w:r w:rsidRPr="000A1D51">
        <w:rPr>
          <w:rFonts w:asciiTheme="minorHAnsi" w:hAnsiTheme="minorHAnsi" w:cstheme="minorHAnsi"/>
          <w:sz w:val="22"/>
          <w:szCs w:val="22"/>
        </w:rPr>
        <w:t xml:space="preserve">annual reflection workshops; </w:t>
      </w:r>
    </w:p>
    <w:p w14:paraId="73F71125" w14:textId="77C651FE" w:rsidR="00AB449D" w:rsidRPr="000A1D51" w:rsidRDefault="00AB449D" w:rsidP="00AB449D">
      <w:pPr>
        <w:pStyle w:val="ListBullet3"/>
        <w:numPr>
          <w:ilvl w:val="2"/>
          <w:numId w:val="15"/>
        </w:numPr>
        <w:tabs>
          <w:tab w:val="clear" w:pos="284"/>
          <w:tab w:val="clear" w:pos="567"/>
        </w:tabs>
        <w:spacing w:after="210" w:line="276" w:lineRule="auto"/>
        <w:ind w:left="1296" w:hanging="432"/>
        <w:rPr>
          <w:rFonts w:asciiTheme="minorHAnsi" w:hAnsiTheme="minorHAnsi" w:cstheme="minorHAnsi"/>
          <w:sz w:val="22"/>
          <w:szCs w:val="22"/>
        </w:rPr>
      </w:pPr>
      <w:r w:rsidRPr="000A1D51">
        <w:rPr>
          <w:rFonts w:asciiTheme="minorHAnsi" w:hAnsiTheme="minorHAnsi" w:cstheme="minorHAnsi"/>
          <w:sz w:val="22"/>
          <w:szCs w:val="22"/>
        </w:rPr>
        <w:t>DFAT- ASEAN Mission observations, meetings, emails</w:t>
      </w:r>
    </w:p>
    <w:p w14:paraId="6859C0F5" w14:textId="0E4484BF" w:rsidR="00AB449D" w:rsidRPr="000A1D51" w:rsidRDefault="00AB449D" w:rsidP="00AB449D">
      <w:pPr>
        <w:pStyle w:val="ListBullet3"/>
        <w:numPr>
          <w:ilvl w:val="2"/>
          <w:numId w:val="15"/>
        </w:numPr>
        <w:tabs>
          <w:tab w:val="clear" w:pos="284"/>
          <w:tab w:val="clear" w:pos="567"/>
        </w:tabs>
        <w:spacing w:after="210" w:line="276" w:lineRule="auto"/>
        <w:ind w:left="1296" w:hanging="432"/>
        <w:rPr>
          <w:rFonts w:asciiTheme="minorHAnsi" w:hAnsiTheme="minorHAnsi" w:cstheme="minorHAnsi"/>
          <w:sz w:val="22"/>
          <w:szCs w:val="22"/>
        </w:rPr>
      </w:pPr>
      <w:r w:rsidRPr="000A1D51">
        <w:rPr>
          <w:rFonts w:asciiTheme="minorHAnsi" w:hAnsiTheme="minorHAnsi" w:cstheme="minorHAnsi"/>
          <w:sz w:val="22"/>
          <w:szCs w:val="22"/>
        </w:rPr>
        <w:t>Independent reviews</w:t>
      </w:r>
    </w:p>
    <w:p w14:paraId="564C7568" w14:textId="030362CE" w:rsidR="005F4D3F" w:rsidRPr="000A1D51" w:rsidRDefault="005F4D3F" w:rsidP="005F4D3F">
      <w:pPr>
        <w:pStyle w:val="ListBullet3"/>
        <w:numPr>
          <w:ilvl w:val="2"/>
          <w:numId w:val="15"/>
        </w:numPr>
        <w:tabs>
          <w:tab w:val="clear" w:pos="284"/>
          <w:tab w:val="clear" w:pos="567"/>
        </w:tabs>
        <w:spacing w:after="210" w:line="276" w:lineRule="auto"/>
        <w:ind w:left="1296" w:hanging="432"/>
        <w:rPr>
          <w:rFonts w:asciiTheme="minorHAnsi" w:hAnsiTheme="minorHAnsi" w:cstheme="minorHAnsi"/>
          <w:sz w:val="22"/>
          <w:szCs w:val="22"/>
        </w:rPr>
      </w:pPr>
      <w:r w:rsidRPr="000A1D51">
        <w:rPr>
          <w:rFonts w:asciiTheme="minorHAnsi" w:hAnsiTheme="minorHAnsi" w:cstheme="minorHAnsi"/>
          <w:sz w:val="22"/>
          <w:szCs w:val="22"/>
        </w:rPr>
        <w:lastRenderedPageBreak/>
        <w:t xml:space="preserve">Case studies for the more strategic projects. </w:t>
      </w:r>
      <w:r w:rsidRPr="000A1D51">
        <w:rPr>
          <w:rFonts w:asciiTheme="minorHAnsi" w:hAnsiTheme="minorHAnsi" w:cstheme="minorHAnsi"/>
        </w:rPr>
        <w:t xml:space="preserve">A sample of activities can be selected for more in-depth case studies to examine implementation of the activity in context. </w:t>
      </w:r>
    </w:p>
    <w:p w14:paraId="4E410107" w14:textId="690A9BF5" w:rsidR="005F4D3F" w:rsidRPr="000A1D51" w:rsidRDefault="00847698" w:rsidP="00880387">
      <w:pPr>
        <w:pStyle w:val="ListBullet3"/>
        <w:numPr>
          <w:ilvl w:val="2"/>
          <w:numId w:val="15"/>
        </w:numPr>
        <w:tabs>
          <w:tab w:val="clear" w:pos="284"/>
          <w:tab w:val="clear" w:pos="567"/>
        </w:tabs>
        <w:spacing w:after="210" w:line="276" w:lineRule="auto"/>
        <w:ind w:left="1296" w:hanging="432"/>
        <w:rPr>
          <w:rFonts w:asciiTheme="minorHAnsi" w:hAnsiTheme="minorHAnsi" w:cstheme="minorHAnsi"/>
          <w:sz w:val="22"/>
          <w:szCs w:val="22"/>
        </w:rPr>
      </w:pPr>
      <w:r w:rsidRPr="000A1D51">
        <w:rPr>
          <w:rFonts w:asciiTheme="minorHAnsi" w:hAnsiTheme="minorHAnsi" w:cstheme="minorHAnsi"/>
          <w:sz w:val="22"/>
          <w:szCs w:val="22"/>
        </w:rPr>
        <w:t>Work programming -</w:t>
      </w:r>
      <w:r w:rsidRPr="000A1D51">
        <w:rPr>
          <w:rFonts w:asciiTheme="minorHAnsi" w:hAnsiTheme="minorHAnsi" w:cstheme="minorHAnsi"/>
        </w:rPr>
        <w:t xml:space="preserve"> </w:t>
      </w:r>
      <w:r w:rsidR="005F4D3F" w:rsidRPr="000A1D51">
        <w:rPr>
          <w:rFonts w:asciiTheme="minorHAnsi" w:hAnsiTheme="minorHAnsi" w:cstheme="minorHAnsi"/>
        </w:rPr>
        <w:t xml:space="preserve">Another way to enhance understanding of the outcome or impact of AADCP II activities, is to continue to engage in the same work stream with ongoing or follow-up projects similar to the MPAC and IAI work which have longer term work plans and country-level engagement. This allows time for outcomes to materialize which can be difficult to ascertain when doing ad-hoc, or one-off projects in the shorter term.  </w:t>
      </w:r>
    </w:p>
    <w:p w14:paraId="2ED1591D" w14:textId="570DF98B" w:rsidR="00AB449D" w:rsidRPr="000A1D51" w:rsidRDefault="00AB449D" w:rsidP="00AB449D">
      <w:pPr>
        <w:pStyle w:val="ListBullet3"/>
        <w:numPr>
          <w:ilvl w:val="0"/>
          <w:numId w:val="0"/>
        </w:numPr>
        <w:ind w:left="1296" w:hanging="432"/>
        <w:rPr>
          <w:rFonts w:asciiTheme="minorHAnsi" w:hAnsiTheme="minorHAnsi" w:cstheme="minorHAnsi"/>
          <w:sz w:val="22"/>
          <w:szCs w:val="22"/>
        </w:rPr>
      </w:pPr>
    </w:p>
    <w:p w14:paraId="305472C5" w14:textId="4E2B26C8" w:rsidR="00AB449D" w:rsidRPr="000A1D51" w:rsidRDefault="00AB449D" w:rsidP="00AB449D">
      <w:pPr>
        <w:pStyle w:val="ListBullet3"/>
        <w:numPr>
          <w:ilvl w:val="0"/>
          <w:numId w:val="0"/>
        </w:numPr>
        <w:ind w:left="1296" w:hanging="432"/>
        <w:rPr>
          <w:rFonts w:asciiTheme="minorHAnsi" w:hAnsiTheme="minorHAnsi" w:cstheme="minorHAnsi"/>
          <w:b/>
          <w:bCs/>
          <w:sz w:val="22"/>
          <w:szCs w:val="22"/>
        </w:rPr>
      </w:pPr>
      <w:r w:rsidRPr="000A1D51">
        <w:rPr>
          <w:rFonts w:asciiTheme="minorHAnsi" w:hAnsiTheme="minorHAnsi" w:cstheme="minorHAnsi"/>
          <w:b/>
          <w:bCs/>
          <w:sz w:val="22"/>
          <w:szCs w:val="22"/>
        </w:rPr>
        <w:t>EOPO 2</w:t>
      </w:r>
    </w:p>
    <w:p w14:paraId="32C3C31D" w14:textId="58EF710B" w:rsidR="00364023" w:rsidRPr="000A1D51" w:rsidRDefault="00AD6C21" w:rsidP="00AB449D">
      <w:pPr>
        <w:pStyle w:val="ListBullet3"/>
        <w:numPr>
          <w:ilvl w:val="0"/>
          <w:numId w:val="0"/>
        </w:numPr>
        <w:ind w:left="851" w:firstLine="13"/>
        <w:rPr>
          <w:rFonts w:asciiTheme="minorHAnsi" w:hAnsiTheme="minorHAnsi" w:cstheme="minorHAnsi"/>
          <w:sz w:val="22"/>
          <w:szCs w:val="22"/>
        </w:rPr>
      </w:pPr>
      <w:r w:rsidRPr="000A1D51">
        <w:rPr>
          <w:rFonts w:asciiTheme="minorHAnsi" w:hAnsiTheme="minorHAnsi" w:cstheme="minorHAnsi"/>
          <w:sz w:val="22"/>
          <w:szCs w:val="22"/>
        </w:rPr>
        <w:t>Once agreement has been reached between the program and the</w:t>
      </w:r>
      <w:r w:rsidR="00186EF5" w:rsidRPr="000A1D51">
        <w:rPr>
          <w:rFonts w:asciiTheme="minorHAnsi" w:hAnsiTheme="minorHAnsi" w:cstheme="minorHAnsi"/>
          <w:sz w:val="22"/>
          <w:szCs w:val="22"/>
        </w:rPr>
        <w:t xml:space="preserve"> DFAT-ASEAN Mission</w:t>
      </w:r>
      <w:r w:rsidRPr="000A1D51">
        <w:rPr>
          <w:rFonts w:asciiTheme="minorHAnsi" w:hAnsiTheme="minorHAnsi" w:cstheme="minorHAnsi"/>
          <w:sz w:val="22"/>
          <w:szCs w:val="22"/>
        </w:rPr>
        <w:t xml:space="preserve"> on EOPO2, further data collection</w:t>
      </w:r>
      <w:r w:rsidR="00186EF5" w:rsidRPr="000A1D51">
        <w:rPr>
          <w:rFonts w:asciiTheme="minorHAnsi" w:hAnsiTheme="minorHAnsi" w:cstheme="minorHAnsi"/>
          <w:sz w:val="22"/>
          <w:szCs w:val="22"/>
        </w:rPr>
        <w:t xml:space="preserve"> </w:t>
      </w:r>
      <w:r w:rsidRPr="000A1D51">
        <w:rPr>
          <w:rFonts w:asciiTheme="minorHAnsi" w:hAnsiTheme="minorHAnsi" w:cstheme="minorHAnsi"/>
          <w:sz w:val="22"/>
          <w:szCs w:val="22"/>
        </w:rPr>
        <w:t xml:space="preserve">and analysis </w:t>
      </w:r>
      <w:r w:rsidR="00A15EA3" w:rsidRPr="000A1D51">
        <w:rPr>
          <w:rFonts w:asciiTheme="minorHAnsi" w:hAnsiTheme="minorHAnsi" w:cstheme="minorHAnsi"/>
          <w:sz w:val="22"/>
          <w:szCs w:val="22"/>
        </w:rPr>
        <w:t>may</w:t>
      </w:r>
      <w:r w:rsidRPr="000A1D51">
        <w:rPr>
          <w:rFonts w:asciiTheme="minorHAnsi" w:hAnsiTheme="minorHAnsi" w:cstheme="minorHAnsi"/>
          <w:sz w:val="22"/>
          <w:szCs w:val="22"/>
        </w:rPr>
        <w:t xml:space="preserve"> be required to track progress against this outcome.</w:t>
      </w:r>
      <w:r w:rsidR="003239C9" w:rsidRPr="000A1D51">
        <w:rPr>
          <w:rFonts w:asciiTheme="minorHAnsi" w:hAnsiTheme="minorHAnsi" w:cstheme="minorHAnsi"/>
          <w:sz w:val="22"/>
          <w:szCs w:val="22"/>
        </w:rPr>
        <w:t xml:space="preserve"> </w:t>
      </w:r>
      <w:r w:rsidR="00364023" w:rsidRPr="000A1D51">
        <w:rPr>
          <w:rFonts w:asciiTheme="minorHAnsi" w:hAnsiTheme="minorHAnsi" w:cstheme="minorHAnsi"/>
          <w:sz w:val="22"/>
          <w:szCs w:val="22"/>
        </w:rPr>
        <w:t xml:space="preserve">The AADCP II Program Director is best placed to lead on </w:t>
      </w:r>
      <w:r w:rsidR="0080345B" w:rsidRPr="000A1D51">
        <w:rPr>
          <w:rFonts w:asciiTheme="minorHAnsi" w:hAnsiTheme="minorHAnsi" w:cstheme="minorHAnsi"/>
          <w:sz w:val="22"/>
          <w:szCs w:val="22"/>
        </w:rPr>
        <w:t xml:space="preserve">this. </w:t>
      </w:r>
    </w:p>
    <w:p w14:paraId="1B20F752" w14:textId="74D0AB41" w:rsidR="00364023" w:rsidRPr="000A1D51" w:rsidRDefault="00364023" w:rsidP="00AB449D">
      <w:pPr>
        <w:pStyle w:val="ListBullet3"/>
        <w:numPr>
          <w:ilvl w:val="0"/>
          <w:numId w:val="0"/>
        </w:numPr>
        <w:ind w:left="851" w:firstLine="13"/>
        <w:rPr>
          <w:rFonts w:asciiTheme="minorHAnsi" w:hAnsiTheme="minorHAnsi" w:cstheme="minorHAnsi"/>
          <w:sz w:val="22"/>
          <w:szCs w:val="22"/>
        </w:rPr>
      </w:pPr>
    </w:p>
    <w:p w14:paraId="5ABCB8B7" w14:textId="0016F33A" w:rsidR="00AB449D" w:rsidRPr="000A1D51" w:rsidRDefault="00AB449D" w:rsidP="00AB449D">
      <w:pPr>
        <w:pStyle w:val="ListBullet3"/>
        <w:numPr>
          <w:ilvl w:val="0"/>
          <w:numId w:val="0"/>
        </w:numPr>
        <w:ind w:left="851" w:firstLine="13"/>
        <w:rPr>
          <w:rFonts w:asciiTheme="minorHAnsi" w:hAnsiTheme="minorHAnsi" w:cstheme="minorHAnsi"/>
          <w:sz w:val="22"/>
          <w:szCs w:val="22"/>
        </w:rPr>
      </w:pPr>
      <w:r w:rsidRPr="000A1D51">
        <w:rPr>
          <w:rFonts w:asciiTheme="minorHAnsi" w:hAnsiTheme="minorHAnsi" w:cstheme="minorHAnsi"/>
          <w:sz w:val="22"/>
          <w:szCs w:val="22"/>
        </w:rPr>
        <w:t xml:space="preserve">To assess progress against EOPO 2- </w:t>
      </w:r>
      <w:r w:rsidR="00E13074" w:rsidRPr="000A1D51">
        <w:rPr>
          <w:rFonts w:asciiTheme="minorHAnsi" w:hAnsiTheme="minorHAnsi" w:cstheme="minorHAnsi"/>
          <w:sz w:val="22"/>
          <w:szCs w:val="22"/>
        </w:rPr>
        <w:t xml:space="preserve">Enhanced </w:t>
      </w:r>
      <w:r w:rsidRPr="000A1D51">
        <w:rPr>
          <w:rFonts w:asciiTheme="minorHAnsi" w:hAnsiTheme="minorHAnsi" w:cstheme="minorHAnsi"/>
          <w:sz w:val="22"/>
          <w:szCs w:val="22"/>
        </w:rPr>
        <w:t>Political Engagement- Deepen the strategic partnership between Australia and ASEAN, some performance markers/indicators could be identified and then tracked against. This would be a simple way to track and could include for example:</w:t>
      </w:r>
    </w:p>
    <w:p w14:paraId="1507199A" w14:textId="0B7D9B24" w:rsidR="00AB449D" w:rsidRPr="000A1D51" w:rsidRDefault="00AB449D" w:rsidP="00AB449D">
      <w:pPr>
        <w:pStyle w:val="ListBullet3"/>
        <w:numPr>
          <w:ilvl w:val="0"/>
          <w:numId w:val="0"/>
        </w:numPr>
        <w:spacing w:after="0" w:line="240" w:lineRule="auto"/>
        <w:ind w:left="851" w:firstLine="13"/>
        <w:rPr>
          <w:rFonts w:asciiTheme="minorHAnsi" w:hAnsiTheme="minorHAnsi" w:cstheme="minorHAnsi"/>
          <w:sz w:val="22"/>
          <w:szCs w:val="22"/>
        </w:rPr>
      </w:pPr>
    </w:p>
    <w:p w14:paraId="4C6DE99C" w14:textId="3F7D7CA9" w:rsidR="00AB449D" w:rsidRPr="000A1D51" w:rsidRDefault="00AB449D" w:rsidP="00AB449D">
      <w:pPr>
        <w:pStyle w:val="ListBullet2"/>
        <w:numPr>
          <w:ilvl w:val="1"/>
          <w:numId w:val="9"/>
        </w:numPr>
        <w:tabs>
          <w:tab w:val="clear" w:pos="284"/>
        </w:tabs>
        <w:spacing w:after="0" w:line="240" w:lineRule="auto"/>
        <w:ind w:left="1276" w:hanging="432"/>
        <w:rPr>
          <w:rFonts w:asciiTheme="minorHAnsi" w:hAnsiTheme="minorHAnsi" w:cstheme="minorHAnsi"/>
          <w:sz w:val="22"/>
          <w:szCs w:val="22"/>
        </w:rPr>
      </w:pPr>
      <w:r w:rsidRPr="000A1D51">
        <w:rPr>
          <w:rFonts w:asciiTheme="minorHAnsi" w:hAnsiTheme="minorHAnsi" w:cstheme="minorHAnsi"/>
          <w:sz w:val="22"/>
          <w:szCs w:val="22"/>
        </w:rPr>
        <w:t>Clarity of partnership’s purpose- partnership personnel have a solid grasp of both the long-term objectives of the partnership </w:t>
      </w:r>
      <w:r w:rsidRPr="000A1D51">
        <w:rPr>
          <w:rFonts w:asciiTheme="minorHAnsi" w:hAnsiTheme="minorHAnsi" w:cstheme="minorHAnsi"/>
          <w:i/>
          <w:iCs/>
          <w:sz w:val="22"/>
          <w:szCs w:val="22"/>
        </w:rPr>
        <w:t>and </w:t>
      </w:r>
      <w:r w:rsidRPr="000A1D51">
        <w:rPr>
          <w:rFonts w:asciiTheme="minorHAnsi" w:hAnsiTheme="minorHAnsi" w:cstheme="minorHAnsi"/>
          <w:sz w:val="22"/>
          <w:szCs w:val="22"/>
        </w:rPr>
        <w:t>agreed immediate priorities for joint action.</w:t>
      </w:r>
    </w:p>
    <w:p w14:paraId="2FA7D625" w14:textId="4C24417A" w:rsidR="00AB449D" w:rsidRPr="000A1D51" w:rsidRDefault="00AB449D" w:rsidP="00AB449D">
      <w:pPr>
        <w:pStyle w:val="ListBullet2"/>
        <w:numPr>
          <w:ilvl w:val="1"/>
          <w:numId w:val="9"/>
        </w:numPr>
        <w:tabs>
          <w:tab w:val="clear" w:pos="284"/>
        </w:tabs>
        <w:spacing w:after="0" w:line="240" w:lineRule="auto"/>
        <w:ind w:left="1276" w:hanging="432"/>
        <w:rPr>
          <w:rFonts w:asciiTheme="minorHAnsi" w:hAnsiTheme="minorHAnsi" w:cstheme="minorHAnsi"/>
          <w:sz w:val="22"/>
          <w:szCs w:val="22"/>
        </w:rPr>
      </w:pPr>
      <w:r w:rsidRPr="000A1D51">
        <w:rPr>
          <w:rFonts w:asciiTheme="minorHAnsi" w:hAnsiTheme="minorHAnsi" w:cstheme="minorHAnsi"/>
          <w:sz w:val="22"/>
          <w:szCs w:val="22"/>
        </w:rPr>
        <w:t>High-level dialogue between ASEAN and Australian officials – documenting when and where this is taking place and AADCP II’s contribution to this</w:t>
      </w:r>
    </w:p>
    <w:p w14:paraId="54CF266D" w14:textId="1B8AB746" w:rsidR="00AB449D" w:rsidRPr="000A1D51" w:rsidRDefault="00AB449D" w:rsidP="00AB449D">
      <w:pPr>
        <w:pStyle w:val="ListBullet2"/>
        <w:numPr>
          <w:ilvl w:val="1"/>
          <w:numId w:val="9"/>
        </w:numPr>
        <w:tabs>
          <w:tab w:val="clear" w:pos="284"/>
        </w:tabs>
        <w:spacing w:after="0" w:line="240" w:lineRule="auto"/>
        <w:ind w:left="1276" w:hanging="432"/>
        <w:rPr>
          <w:rFonts w:asciiTheme="minorHAnsi" w:hAnsiTheme="minorHAnsi" w:cstheme="minorHAnsi"/>
          <w:sz w:val="22"/>
          <w:szCs w:val="22"/>
        </w:rPr>
      </w:pPr>
      <w:r w:rsidRPr="000A1D51">
        <w:rPr>
          <w:rFonts w:asciiTheme="minorHAnsi" w:hAnsiTheme="minorHAnsi" w:cstheme="minorHAnsi"/>
          <w:sz w:val="22"/>
          <w:szCs w:val="22"/>
        </w:rPr>
        <w:t>Partner of choice- repeat work; projects in new work streams; Australian whole-of-government engagement through AADCP II- for e.g. Dep</w:t>
      </w:r>
      <w:r w:rsidR="00343848" w:rsidRPr="000A1D51">
        <w:rPr>
          <w:rFonts w:asciiTheme="minorHAnsi" w:hAnsiTheme="minorHAnsi" w:cstheme="minorHAnsi"/>
          <w:sz w:val="22"/>
          <w:szCs w:val="22"/>
        </w:rPr>
        <w:t>artment</w:t>
      </w:r>
      <w:r w:rsidRPr="000A1D51">
        <w:rPr>
          <w:rFonts w:asciiTheme="minorHAnsi" w:hAnsiTheme="minorHAnsi" w:cstheme="minorHAnsi"/>
          <w:sz w:val="22"/>
          <w:szCs w:val="22"/>
        </w:rPr>
        <w:t xml:space="preserve"> of Agriculture </w:t>
      </w:r>
    </w:p>
    <w:p w14:paraId="2A020D66" w14:textId="33A5C143" w:rsidR="00AB449D" w:rsidRPr="000A1D51" w:rsidRDefault="00AB449D" w:rsidP="00AB449D">
      <w:pPr>
        <w:pStyle w:val="ListBullet3"/>
        <w:numPr>
          <w:ilvl w:val="0"/>
          <w:numId w:val="0"/>
        </w:numPr>
        <w:rPr>
          <w:rFonts w:asciiTheme="minorHAnsi" w:hAnsiTheme="minorHAnsi" w:cstheme="minorHAnsi"/>
          <w:sz w:val="22"/>
          <w:szCs w:val="22"/>
        </w:rPr>
      </w:pPr>
    </w:p>
    <w:p w14:paraId="2BC8C7D1" w14:textId="78F3F018" w:rsidR="00AB449D" w:rsidRPr="000A1D51" w:rsidRDefault="00AB449D" w:rsidP="00AB449D">
      <w:pPr>
        <w:pStyle w:val="ListBullet3"/>
        <w:numPr>
          <w:ilvl w:val="0"/>
          <w:numId w:val="0"/>
        </w:numPr>
        <w:ind w:left="851" w:firstLine="13"/>
        <w:rPr>
          <w:rFonts w:asciiTheme="minorHAnsi" w:hAnsiTheme="minorHAnsi" w:cstheme="minorHAnsi"/>
          <w:sz w:val="22"/>
          <w:szCs w:val="22"/>
        </w:rPr>
      </w:pPr>
      <w:r w:rsidRPr="000A1D51">
        <w:rPr>
          <w:rFonts w:asciiTheme="minorHAnsi" w:hAnsiTheme="minorHAnsi" w:cstheme="minorHAnsi"/>
          <w:sz w:val="22"/>
          <w:szCs w:val="22"/>
        </w:rPr>
        <w:t xml:space="preserve">It would be good to not have too many indicators which would then make tracking and reporting more onerous. </w:t>
      </w:r>
    </w:p>
    <w:p w14:paraId="50A65486" w14:textId="414EB0DF" w:rsidR="00AB449D" w:rsidRPr="000A1D51" w:rsidRDefault="00AB449D" w:rsidP="00AB449D">
      <w:pPr>
        <w:pStyle w:val="ListBullet3"/>
        <w:numPr>
          <w:ilvl w:val="0"/>
          <w:numId w:val="0"/>
        </w:numPr>
        <w:ind w:left="851" w:firstLine="13"/>
        <w:rPr>
          <w:rFonts w:asciiTheme="minorHAnsi" w:hAnsiTheme="minorHAnsi" w:cstheme="minorHAnsi"/>
          <w:sz w:val="22"/>
          <w:szCs w:val="22"/>
        </w:rPr>
      </w:pPr>
    </w:p>
    <w:p w14:paraId="180569FB" w14:textId="04D58303" w:rsidR="00AB449D" w:rsidRPr="000A1D51" w:rsidRDefault="00AB449D" w:rsidP="00AB449D">
      <w:pPr>
        <w:pStyle w:val="ListBullet3"/>
        <w:numPr>
          <w:ilvl w:val="0"/>
          <w:numId w:val="0"/>
        </w:numPr>
        <w:ind w:left="851" w:firstLine="13"/>
        <w:rPr>
          <w:rFonts w:asciiTheme="minorHAnsi" w:hAnsiTheme="minorHAnsi" w:cstheme="minorHAnsi"/>
          <w:sz w:val="22"/>
          <w:szCs w:val="22"/>
        </w:rPr>
      </w:pPr>
      <w:r w:rsidRPr="000A1D51">
        <w:rPr>
          <w:rFonts w:asciiTheme="minorHAnsi" w:hAnsiTheme="minorHAnsi" w:cstheme="minorHAnsi"/>
          <w:sz w:val="22"/>
          <w:szCs w:val="22"/>
        </w:rPr>
        <w:t xml:space="preserve">Another approach may be to include a rubric to assess what good Political Engagement looks like for AADCP II. A rubric is a qualitative scale that includes: </w:t>
      </w:r>
    </w:p>
    <w:p w14:paraId="22BF78BC" w14:textId="0E0FCAE9" w:rsidR="00AB449D" w:rsidRPr="000A1D51" w:rsidRDefault="00AB449D" w:rsidP="00AB449D">
      <w:pPr>
        <w:pStyle w:val="ListBullet2"/>
        <w:numPr>
          <w:ilvl w:val="1"/>
          <w:numId w:val="9"/>
        </w:numPr>
        <w:tabs>
          <w:tab w:val="clear" w:pos="284"/>
        </w:tabs>
        <w:spacing w:after="0" w:line="240" w:lineRule="auto"/>
        <w:ind w:left="1276" w:hanging="432"/>
        <w:rPr>
          <w:rFonts w:asciiTheme="minorHAnsi" w:hAnsiTheme="minorHAnsi" w:cstheme="minorHAnsi"/>
          <w:sz w:val="22"/>
          <w:szCs w:val="22"/>
        </w:rPr>
      </w:pPr>
      <w:r w:rsidRPr="000A1D51">
        <w:rPr>
          <w:rFonts w:asciiTheme="minorHAnsi" w:hAnsiTheme="minorHAnsi" w:cstheme="minorHAnsi"/>
          <w:sz w:val="22"/>
          <w:szCs w:val="22"/>
        </w:rPr>
        <w:t>Criteria: the aspects of quality or performance that are of interest, e.g. Clarity of Partnership’s purpose</w:t>
      </w:r>
    </w:p>
    <w:p w14:paraId="268780C4" w14:textId="73BB2D94" w:rsidR="00AB449D" w:rsidRPr="000A1D51" w:rsidRDefault="00AB449D" w:rsidP="00AB449D">
      <w:pPr>
        <w:pStyle w:val="ListBullet2"/>
        <w:numPr>
          <w:ilvl w:val="1"/>
          <w:numId w:val="9"/>
        </w:numPr>
        <w:tabs>
          <w:tab w:val="clear" w:pos="284"/>
        </w:tabs>
        <w:spacing w:after="0" w:line="240" w:lineRule="auto"/>
        <w:ind w:left="1276" w:hanging="432"/>
        <w:rPr>
          <w:rFonts w:asciiTheme="minorHAnsi" w:hAnsiTheme="minorHAnsi" w:cstheme="minorHAnsi"/>
          <w:sz w:val="22"/>
          <w:szCs w:val="22"/>
        </w:rPr>
      </w:pPr>
      <w:r w:rsidRPr="000A1D51">
        <w:rPr>
          <w:rFonts w:asciiTheme="minorHAnsi" w:hAnsiTheme="minorHAnsi" w:cstheme="minorHAnsi"/>
          <w:sz w:val="22"/>
          <w:szCs w:val="22"/>
        </w:rPr>
        <w:t>Standards: the levels of performance or quality for each criterion, e.g. poor/adequate/good.</w:t>
      </w:r>
    </w:p>
    <w:p w14:paraId="3763A915" w14:textId="554DDA50" w:rsidR="00AB449D" w:rsidRPr="000A1D51" w:rsidRDefault="00AB449D" w:rsidP="00AB449D">
      <w:pPr>
        <w:pStyle w:val="ListBullet2"/>
        <w:numPr>
          <w:ilvl w:val="1"/>
          <w:numId w:val="9"/>
        </w:numPr>
        <w:tabs>
          <w:tab w:val="clear" w:pos="284"/>
        </w:tabs>
        <w:spacing w:after="0" w:line="240" w:lineRule="auto"/>
        <w:ind w:left="1276" w:hanging="432"/>
        <w:rPr>
          <w:rFonts w:asciiTheme="minorHAnsi" w:hAnsiTheme="minorHAnsi" w:cstheme="minorHAnsi"/>
          <w:sz w:val="22"/>
          <w:szCs w:val="22"/>
        </w:rPr>
      </w:pPr>
      <w:r w:rsidRPr="000A1D51">
        <w:rPr>
          <w:rFonts w:asciiTheme="minorHAnsi" w:hAnsiTheme="minorHAnsi" w:cstheme="minorHAnsi"/>
          <w:sz w:val="22"/>
          <w:szCs w:val="22"/>
        </w:rPr>
        <w:t xml:space="preserve">Descriptors: descriptions or examples of what each standard looks like for each criterion in the rubric. E.g. </w:t>
      </w:r>
      <w:r w:rsidRPr="000A1D51">
        <w:rPr>
          <w:rFonts w:asciiTheme="minorHAnsi" w:hAnsiTheme="minorHAnsi" w:cstheme="minorHAnsi"/>
          <w:i/>
          <w:iCs/>
          <w:sz w:val="22"/>
          <w:szCs w:val="22"/>
        </w:rPr>
        <w:t>Good-</w:t>
      </w:r>
      <w:r w:rsidRPr="000A1D51">
        <w:rPr>
          <w:rFonts w:asciiTheme="minorHAnsi" w:hAnsiTheme="minorHAnsi" w:cstheme="minorHAnsi"/>
          <w:sz w:val="22"/>
          <w:szCs w:val="22"/>
        </w:rPr>
        <w:t xml:space="preserve"> </w:t>
      </w:r>
      <w:r w:rsidRPr="000A1D51">
        <w:rPr>
          <w:rFonts w:asciiTheme="minorHAnsi" w:hAnsiTheme="minorHAnsi" w:cstheme="minorHAnsi"/>
          <w:i/>
          <w:iCs/>
          <w:sz w:val="22"/>
          <w:szCs w:val="22"/>
        </w:rPr>
        <w:t>Almost all partnership personnel have a solid grasp of both the long-term objectives of the partnership and agreed immediate priorities for joint action.</w:t>
      </w:r>
    </w:p>
    <w:p w14:paraId="055A6838" w14:textId="26BD0EBF" w:rsidR="00AB449D" w:rsidRPr="000A1D51" w:rsidRDefault="00AB449D" w:rsidP="00AB449D">
      <w:pPr>
        <w:pStyle w:val="ListBullet3"/>
        <w:numPr>
          <w:ilvl w:val="0"/>
          <w:numId w:val="0"/>
        </w:numPr>
        <w:ind w:left="851" w:firstLine="13"/>
        <w:rPr>
          <w:rFonts w:asciiTheme="minorHAnsi" w:hAnsiTheme="minorHAnsi" w:cstheme="minorHAnsi"/>
          <w:sz w:val="22"/>
          <w:szCs w:val="22"/>
        </w:rPr>
      </w:pPr>
    </w:p>
    <w:p w14:paraId="785CDACC" w14:textId="72784FED" w:rsidR="00473659" w:rsidRPr="000A1D51" w:rsidRDefault="00AB449D" w:rsidP="00AB632E">
      <w:pPr>
        <w:pStyle w:val="ListBullet3"/>
        <w:numPr>
          <w:ilvl w:val="0"/>
          <w:numId w:val="0"/>
        </w:numPr>
        <w:ind w:left="851" w:firstLine="13"/>
        <w:rPr>
          <w:lang w:val="en-AU"/>
        </w:rPr>
      </w:pPr>
      <w:r w:rsidRPr="000A1D51">
        <w:rPr>
          <w:rFonts w:asciiTheme="minorHAnsi" w:hAnsiTheme="minorHAnsi" w:cstheme="minorHAnsi"/>
          <w:sz w:val="22"/>
          <w:szCs w:val="22"/>
        </w:rPr>
        <w:t xml:space="preserve">This would require discussions between DFAT, ASEAN and AADCP II to agree on the rubric, and may be better done during design of the next phase of AADCP II. </w:t>
      </w:r>
    </w:p>
    <w:p w14:paraId="62808017" w14:textId="77777777" w:rsidR="00F1409D" w:rsidRPr="000A1D51" w:rsidRDefault="00F1409D" w:rsidP="00D07892">
      <w:pPr>
        <w:pStyle w:val="BodyText"/>
        <w:sectPr w:rsidR="00F1409D" w:rsidRPr="000A1D51" w:rsidSect="00AF6403">
          <w:pgSz w:w="11907" w:h="16840" w:code="9"/>
          <w:pgMar w:top="2268" w:right="1871" w:bottom="907" w:left="1871" w:header="851" w:footer="454" w:gutter="0"/>
          <w:cols w:space="720"/>
          <w:docGrid w:linePitch="272"/>
        </w:sectPr>
      </w:pPr>
    </w:p>
    <w:p w14:paraId="76BEDAA7" w14:textId="77777777" w:rsidR="00D07892" w:rsidRPr="000A1D51" w:rsidRDefault="00F1409D" w:rsidP="00F1409D">
      <w:pPr>
        <w:pStyle w:val="Heading1"/>
      </w:pPr>
      <w:bookmarkStart w:id="105" w:name="_Toc24884138"/>
      <w:bookmarkStart w:id="106" w:name="_Toc31820140"/>
      <w:r w:rsidRPr="000A1D51">
        <w:lastRenderedPageBreak/>
        <w:t>Appendix 6</w:t>
      </w:r>
      <w:r w:rsidR="003F6D40" w:rsidRPr="000A1D51">
        <w:t>:</w:t>
      </w:r>
      <w:r w:rsidRPr="000A1D51">
        <w:t xml:space="preserve"> Project Data</w:t>
      </w:r>
      <w:bookmarkEnd w:id="105"/>
      <w:bookmarkEnd w:id="106"/>
    </w:p>
    <w:p w14:paraId="12D732E1" w14:textId="77777777" w:rsidR="00F1409D" w:rsidRPr="000A1D51" w:rsidRDefault="00F1409D" w:rsidP="00F1409D">
      <w:pPr>
        <w:pStyle w:val="BodyText"/>
        <w:rPr>
          <w:b/>
          <w:bCs/>
        </w:rPr>
      </w:pPr>
      <w:r w:rsidRPr="000A1D51">
        <w:rPr>
          <w:b/>
          <w:bCs/>
        </w:rPr>
        <w:t xml:space="preserve">Table: Project Status Overview by Stream </w:t>
      </w: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353"/>
        <w:gridCol w:w="1054"/>
        <w:gridCol w:w="1096"/>
        <w:gridCol w:w="1158"/>
        <w:gridCol w:w="1219"/>
        <w:gridCol w:w="831"/>
      </w:tblGrid>
      <w:tr w:rsidR="00F1409D" w:rsidRPr="000A1D51" w14:paraId="4236F7CF" w14:textId="77777777" w:rsidTr="00DA2B4F">
        <w:trPr>
          <w:trHeight w:val="316"/>
        </w:trPr>
        <w:tc>
          <w:tcPr>
            <w:tcW w:w="2600" w:type="dxa"/>
            <w:shd w:val="clear" w:color="auto" w:fill="D9D9D9" w:themeFill="background1" w:themeFillShade="D9"/>
            <w:noWrap/>
            <w:vAlign w:val="bottom"/>
            <w:hideMark/>
          </w:tcPr>
          <w:p w14:paraId="64C79F1A" w14:textId="77777777" w:rsidR="00F1409D" w:rsidRPr="000A1D51" w:rsidRDefault="00F1409D" w:rsidP="00F1409D">
            <w:pPr>
              <w:pStyle w:val="BodyText"/>
              <w:spacing w:after="0" w:line="240" w:lineRule="auto"/>
              <w:rPr>
                <w:b/>
              </w:rPr>
            </w:pPr>
            <w:r w:rsidRPr="000A1D51">
              <w:rPr>
                <w:b/>
              </w:rPr>
              <w:t>Stream</w:t>
            </w:r>
          </w:p>
        </w:tc>
        <w:tc>
          <w:tcPr>
            <w:tcW w:w="1353" w:type="dxa"/>
            <w:shd w:val="clear" w:color="auto" w:fill="D9D9D9" w:themeFill="background1" w:themeFillShade="D9"/>
            <w:noWrap/>
            <w:vAlign w:val="bottom"/>
            <w:hideMark/>
          </w:tcPr>
          <w:p w14:paraId="592F9F95" w14:textId="77777777" w:rsidR="00F1409D" w:rsidRPr="000A1D51" w:rsidRDefault="00F1409D" w:rsidP="00F1409D">
            <w:pPr>
              <w:pStyle w:val="BodyText"/>
              <w:spacing w:after="0" w:line="240" w:lineRule="auto"/>
              <w:jc w:val="right"/>
              <w:rPr>
                <w:b/>
                <w:bCs/>
              </w:rPr>
            </w:pPr>
            <w:r w:rsidRPr="000A1D51">
              <w:rPr>
                <w:b/>
                <w:bCs/>
              </w:rPr>
              <w:t>Completed</w:t>
            </w:r>
          </w:p>
        </w:tc>
        <w:tc>
          <w:tcPr>
            <w:tcW w:w="1054" w:type="dxa"/>
            <w:shd w:val="clear" w:color="auto" w:fill="D9D9D9" w:themeFill="background1" w:themeFillShade="D9"/>
            <w:noWrap/>
            <w:vAlign w:val="bottom"/>
            <w:hideMark/>
          </w:tcPr>
          <w:p w14:paraId="1309E9A1" w14:textId="77777777" w:rsidR="00F1409D" w:rsidRPr="000A1D51" w:rsidRDefault="00F1409D" w:rsidP="00F1409D">
            <w:pPr>
              <w:pStyle w:val="BodyText"/>
              <w:spacing w:after="0" w:line="240" w:lineRule="auto"/>
              <w:jc w:val="right"/>
              <w:rPr>
                <w:b/>
                <w:bCs/>
              </w:rPr>
            </w:pPr>
            <w:r w:rsidRPr="000A1D51">
              <w:rPr>
                <w:b/>
                <w:bCs/>
              </w:rPr>
              <w:t>On-going</w:t>
            </w:r>
          </w:p>
        </w:tc>
        <w:tc>
          <w:tcPr>
            <w:tcW w:w="1096" w:type="dxa"/>
            <w:shd w:val="clear" w:color="auto" w:fill="D9D9D9" w:themeFill="background1" w:themeFillShade="D9"/>
            <w:vAlign w:val="bottom"/>
          </w:tcPr>
          <w:p w14:paraId="7E547870" w14:textId="77777777" w:rsidR="00F1409D" w:rsidRPr="000A1D51" w:rsidRDefault="00F1409D" w:rsidP="00F1409D">
            <w:pPr>
              <w:pStyle w:val="BodyText"/>
              <w:spacing w:after="0" w:line="240" w:lineRule="auto"/>
              <w:jc w:val="right"/>
              <w:rPr>
                <w:b/>
                <w:bCs/>
              </w:rPr>
            </w:pPr>
            <w:r w:rsidRPr="000A1D51">
              <w:rPr>
                <w:b/>
                <w:bCs/>
              </w:rPr>
              <w:t>Concept</w:t>
            </w:r>
          </w:p>
        </w:tc>
        <w:tc>
          <w:tcPr>
            <w:tcW w:w="1158" w:type="dxa"/>
            <w:shd w:val="clear" w:color="auto" w:fill="D9D9D9" w:themeFill="background1" w:themeFillShade="D9"/>
            <w:vAlign w:val="bottom"/>
          </w:tcPr>
          <w:p w14:paraId="099D4E50" w14:textId="77777777" w:rsidR="00F1409D" w:rsidRPr="000A1D51" w:rsidRDefault="00F1409D" w:rsidP="00F1409D">
            <w:pPr>
              <w:pStyle w:val="BodyText"/>
              <w:spacing w:after="0" w:line="240" w:lineRule="auto"/>
              <w:jc w:val="right"/>
              <w:rPr>
                <w:b/>
                <w:bCs/>
              </w:rPr>
            </w:pPr>
            <w:r w:rsidRPr="000A1D51">
              <w:rPr>
                <w:b/>
                <w:bCs/>
              </w:rPr>
              <w:t>Proposal</w:t>
            </w:r>
          </w:p>
        </w:tc>
        <w:tc>
          <w:tcPr>
            <w:tcW w:w="1219" w:type="dxa"/>
            <w:shd w:val="clear" w:color="auto" w:fill="D9D9D9" w:themeFill="background1" w:themeFillShade="D9"/>
            <w:vAlign w:val="bottom"/>
          </w:tcPr>
          <w:p w14:paraId="72D1FCA5" w14:textId="77777777" w:rsidR="00F1409D" w:rsidRPr="000A1D51" w:rsidRDefault="00F1409D" w:rsidP="00F1409D">
            <w:pPr>
              <w:pStyle w:val="BodyText"/>
              <w:spacing w:after="0" w:line="240" w:lineRule="auto"/>
              <w:jc w:val="right"/>
              <w:rPr>
                <w:b/>
                <w:bCs/>
              </w:rPr>
            </w:pPr>
            <w:r w:rsidRPr="000A1D51">
              <w:rPr>
                <w:b/>
                <w:bCs/>
              </w:rPr>
              <w:t>Initiation*</w:t>
            </w:r>
          </w:p>
        </w:tc>
        <w:tc>
          <w:tcPr>
            <w:tcW w:w="831" w:type="dxa"/>
            <w:shd w:val="clear" w:color="auto" w:fill="D9D9D9" w:themeFill="background1" w:themeFillShade="D9"/>
            <w:noWrap/>
            <w:vAlign w:val="bottom"/>
            <w:hideMark/>
          </w:tcPr>
          <w:p w14:paraId="7CD63EDF" w14:textId="77777777" w:rsidR="00F1409D" w:rsidRPr="000A1D51" w:rsidRDefault="00F1409D" w:rsidP="00F1409D">
            <w:pPr>
              <w:pStyle w:val="BodyText"/>
              <w:spacing w:after="0" w:line="240" w:lineRule="auto"/>
              <w:jc w:val="right"/>
              <w:rPr>
                <w:b/>
                <w:bCs/>
              </w:rPr>
            </w:pPr>
            <w:r w:rsidRPr="000A1D51">
              <w:rPr>
                <w:b/>
                <w:bCs/>
              </w:rPr>
              <w:t>Total</w:t>
            </w:r>
          </w:p>
        </w:tc>
      </w:tr>
      <w:tr w:rsidR="00F1409D" w:rsidRPr="000A1D51" w14:paraId="5CAD8794" w14:textId="77777777" w:rsidTr="00DA2B4F">
        <w:trPr>
          <w:trHeight w:val="207"/>
        </w:trPr>
        <w:tc>
          <w:tcPr>
            <w:tcW w:w="2600" w:type="dxa"/>
            <w:shd w:val="clear" w:color="auto" w:fill="auto"/>
            <w:vAlign w:val="center"/>
            <w:hideMark/>
          </w:tcPr>
          <w:p w14:paraId="51CD9159" w14:textId="77777777" w:rsidR="00F1409D" w:rsidRPr="000A1D51" w:rsidRDefault="00F1409D" w:rsidP="00F1409D">
            <w:pPr>
              <w:pStyle w:val="BodyText"/>
              <w:spacing w:after="0" w:line="240" w:lineRule="auto"/>
            </w:pPr>
            <w:r w:rsidRPr="000A1D51">
              <w:t>Corporate development</w:t>
            </w:r>
          </w:p>
        </w:tc>
        <w:tc>
          <w:tcPr>
            <w:tcW w:w="1353" w:type="dxa"/>
            <w:shd w:val="clear" w:color="auto" w:fill="auto"/>
            <w:noWrap/>
            <w:vAlign w:val="bottom"/>
            <w:hideMark/>
          </w:tcPr>
          <w:p w14:paraId="564DD24E" w14:textId="77777777" w:rsidR="00F1409D" w:rsidRPr="000A1D51" w:rsidRDefault="00F1409D" w:rsidP="00F1409D">
            <w:pPr>
              <w:pStyle w:val="BodyText"/>
              <w:spacing w:after="0" w:line="240" w:lineRule="auto"/>
              <w:jc w:val="right"/>
            </w:pPr>
            <w:r w:rsidRPr="000A1D51">
              <w:t>7</w:t>
            </w:r>
          </w:p>
        </w:tc>
        <w:tc>
          <w:tcPr>
            <w:tcW w:w="1054" w:type="dxa"/>
            <w:shd w:val="clear" w:color="auto" w:fill="auto"/>
            <w:noWrap/>
            <w:vAlign w:val="bottom"/>
            <w:hideMark/>
          </w:tcPr>
          <w:p w14:paraId="0289E56A" w14:textId="77777777" w:rsidR="00F1409D" w:rsidRPr="000A1D51" w:rsidRDefault="00F1409D" w:rsidP="00F1409D">
            <w:pPr>
              <w:pStyle w:val="BodyText"/>
              <w:spacing w:after="0" w:line="240" w:lineRule="auto"/>
              <w:jc w:val="right"/>
            </w:pPr>
            <w:r w:rsidRPr="000A1D51">
              <w:t>2</w:t>
            </w:r>
          </w:p>
        </w:tc>
        <w:tc>
          <w:tcPr>
            <w:tcW w:w="1096" w:type="dxa"/>
            <w:vAlign w:val="bottom"/>
          </w:tcPr>
          <w:p w14:paraId="7F32B645" w14:textId="77777777" w:rsidR="00F1409D" w:rsidRPr="000A1D51" w:rsidRDefault="00F1409D" w:rsidP="00F1409D">
            <w:pPr>
              <w:pStyle w:val="BodyText"/>
              <w:spacing w:after="0" w:line="240" w:lineRule="auto"/>
              <w:jc w:val="right"/>
            </w:pPr>
            <w:r w:rsidRPr="000A1D51">
              <w:t>-</w:t>
            </w:r>
          </w:p>
        </w:tc>
        <w:tc>
          <w:tcPr>
            <w:tcW w:w="1158" w:type="dxa"/>
            <w:vAlign w:val="bottom"/>
          </w:tcPr>
          <w:p w14:paraId="5787800F" w14:textId="77777777" w:rsidR="00F1409D" w:rsidRPr="000A1D51" w:rsidRDefault="00F1409D" w:rsidP="00F1409D">
            <w:pPr>
              <w:pStyle w:val="BodyText"/>
              <w:spacing w:after="0" w:line="240" w:lineRule="auto"/>
              <w:jc w:val="right"/>
            </w:pPr>
            <w:r w:rsidRPr="000A1D51">
              <w:t>-</w:t>
            </w:r>
          </w:p>
        </w:tc>
        <w:tc>
          <w:tcPr>
            <w:tcW w:w="1219" w:type="dxa"/>
            <w:vAlign w:val="bottom"/>
          </w:tcPr>
          <w:p w14:paraId="0448AE1F" w14:textId="77777777" w:rsidR="00F1409D" w:rsidRPr="000A1D51" w:rsidRDefault="00F1409D" w:rsidP="00F1409D">
            <w:pPr>
              <w:pStyle w:val="BodyText"/>
              <w:spacing w:after="0" w:line="240" w:lineRule="auto"/>
              <w:jc w:val="right"/>
            </w:pPr>
            <w:r w:rsidRPr="000A1D51">
              <w:t>-</w:t>
            </w:r>
          </w:p>
        </w:tc>
        <w:tc>
          <w:tcPr>
            <w:tcW w:w="831" w:type="dxa"/>
            <w:shd w:val="clear" w:color="auto" w:fill="auto"/>
            <w:noWrap/>
            <w:vAlign w:val="bottom"/>
            <w:hideMark/>
          </w:tcPr>
          <w:p w14:paraId="734C9999" w14:textId="77777777" w:rsidR="00F1409D" w:rsidRPr="000A1D51" w:rsidRDefault="00F1409D" w:rsidP="00F1409D">
            <w:pPr>
              <w:pStyle w:val="BodyText"/>
              <w:spacing w:after="0" w:line="240" w:lineRule="auto"/>
              <w:jc w:val="right"/>
            </w:pPr>
            <w:r w:rsidRPr="000A1D51">
              <w:t>9</w:t>
            </w:r>
          </w:p>
        </w:tc>
      </w:tr>
      <w:tr w:rsidR="00F1409D" w:rsidRPr="000A1D51" w14:paraId="4EADBCD1" w14:textId="77777777" w:rsidTr="00DA2B4F">
        <w:trPr>
          <w:trHeight w:val="55"/>
        </w:trPr>
        <w:tc>
          <w:tcPr>
            <w:tcW w:w="2600" w:type="dxa"/>
            <w:shd w:val="clear" w:color="auto" w:fill="auto"/>
            <w:vAlign w:val="center"/>
            <w:hideMark/>
          </w:tcPr>
          <w:p w14:paraId="0837227E" w14:textId="77777777" w:rsidR="00F1409D" w:rsidRPr="000A1D51" w:rsidRDefault="00F1409D" w:rsidP="00F1409D">
            <w:pPr>
              <w:pStyle w:val="BodyText"/>
              <w:spacing w:after="0" w:line="240" w:lineRule="auto"/>
            </w:pPr>
            <w:r w:rsidRPr="000A1D51">
              <w:t>M&amp;E</w:t>
            </w:r>
          </w:p>
        </w:tc>
        <w:tc>
          <w:tcPr>
            <w:tcW w:w="1353" w:type="dxa"/>
            <w:shd w:val="clear" w:color="auto" w:fill="auto"/>
            <w:noWrap/>
            <w:vAlign w:val="bottom"/>
            <w:hideMark/>
          </w:tcPr>
          <w:p w14:paraId="4632FA90" w14:textId="77777777" w:rsidR="00F1409D" w:rsidRPr="000A1D51" w:rsidRDefault="00F1409D" w:rsidP="00F1409D">
            <w:pPr>
              <w:pStyle w:val="BodyText"/>
              <w:spacing w:after="0" w:line="240" w:lineRule="auto"/>
              <w:jc w:val="right"/>
            </w:pPr>
            <w:r w:rsidRPr="000A1D51">
              <w:t>4</w:t>
            </w:r>
          </w:p>
        </w:tc>
        <w:tc>
          <w:tcPr>
            <w:tcW w:w="1054" w:type="dxa"/>
            <w:shd w:val="clear" w:color="auto" w:fill="auto"/>
            <w:noWrap/>
            <w:vAlign w:val="bottom"/>
            <w:hideMark/>
          </w:tcPr>
          <w:p w14:paraId="2CC34865" w14:textId="77777777" w:rsidR="00F1409D" w:rsidRPr="000A1D51" w:rsidRDefault="00F1409D" w:rsidP="00F1409D">
            <w:pPr>
              <w:pStyle w:val="BodyText"/>
              <w:spacing w:after="0" w:line="240" w:lineRule="auto"/>
              <w:jc w:val="right"/>
            </w:pPr>
            <w:r w:rsidRPr="000A1D51">
              <w:t>-</w:t>
            </w:r>
          </w:p>
        </w:tc>
        <w:tc>
          <w:tcPr>
            <w:tcW w:w="1096" w:type="dxa"/>
            <w:vAlign w:val="bottom"/>
          </w:tcPr>
          <w:p w14:paraId="5ABD1B9D" w14:textId="77777777" w:rsidR="00F1409D" w:rsidRPr="000A1D51" w:rsidRDefault="00F1409D" w:rsidP="00F1409D">
            <w:pPr>
              <w:pStyle w:val="BodyText"/>
              <w:spacing w:after="0" w:line="240" w:lineRule="auto"/>
              <w:jc w:val="right"/>
            </w:pPr>
            <w:r w:rsidRPr="000A1D51">
              <w:t>1</w:t>
            </w:r>
          </w:p>
        </w:tc>
        <w:tc>
          <w:tcPr>
            <w:tcW w:w="1158" w:type="dxa"/>
            <w:vAlign w:val="bottom"/>
          </w:tcPr>
          <w:p w14:paraId="23D93678" w14:textId="77777777" w:rsidR="00F1409D" w:rsidRPr="000A1D51" w:rsidRDefault="00F1409D" w:rsidP="00F1409D">
            <w:pPr>
              <w:pStyle w:val="BodyText"/>
              <w:spacing w:after="0" w:line="240" w:lineRule="auto"/>
              <w:jc w:val="right"/>
            </w:pPr>
            <w:r w:rsidRPr="000A1D51">
              <w:t>-</w:t>
            </w:r>
          </w:p>
        </w:tc>
        <w:tc>
          <w:tcPr>
            <w:tcW w:w="1219" w:type="dxa"/>
            <w:vAlign w:val="bottom"/>
          </w:tcPr>
          <w:p w14:paraId="5F0B6AAA" w14:textId="77777777" w:rsidR="00F1409D" w:rsidRPr="000A1D51" w:rsidRDefault="00F1409D" w:rsidP="00F1409D">
            <w:pPr>
              <w:pStyle w:val="BodyText"/>
              <w:spacing w:after="0" w:line="240" w:lineRule="auto"/>
              <w:jc w:val="right"/>
            </w:pPr>
            <w:r w:rsidRPr="000A1D51">
              <w:t>-</w:t>
            </w:r>
          </w:p>
        </w:tc>
        <w:tc>
          <w:tcPr>
            <w:tcW w:w="831" w:type="dxa"/>
            <w:shd w:val="clear" w:color="auto" w:fill="auto"/>
            <w:noWrap/>
            <w:vAlign w:val="bottom"/>
            <w:hideMark/>
          </w:tcPr>
          <w:p w14:paraId="5407EA20" w14:textId="77777777" w:rsidR="00F1409D" w:rsidRPr="000A1D51" w:rsidRDefault="00F1409D" w:rsidP="00F1409D">
            <w:pPr>
              <w:pStyle w:val="BodyText"/>
              <w:spacing w:after="0" w:line="240" w:lineRule="auto"/>
              <w:jc w:val="right"/>
            </w:pPr>
            <w:r w:rsidRPr="000A1D51">
              <w:t>5</w:t>
            </w:r>
          </w:p>
        </w:tc>
      </w:tr>
      <w:tr w:rsidR="00F1409D" w:rsidRPr="000A1D51" w14:paraId="2E6B425A" w14:textId="77777777" w:rsidTr="00DA2B4F">
        <w:trPr>
          <w:trHeight w:val="55"/>
        </w:trPr>
        <w:tc>
          <w:tcPr>
            <w:tcW w:w="2600" w:type="dxa"/>
            <w:shd w:val="clear" w:color="auto" w:fill="auto"/>
            <w:vAlign w:val="center"/>
            <w:hideMark/>
          </w:tcPr>
          <w:p w14:paraId="7A318D0B" w14:textId="77777777" w:rsidR="00F1409D" w:rsidRPr="000A1D51" w:rsidRDefault="00F1409D" w:rsidP="00F1409D">
            <w:pPr>
              <w:pStyle w:val="BodyText"/>
              <w:spacing w:after="0" w:line="240" w:lineRule="auto"/>
            </w:pPr>
            <w:r w:rsidRPr="000A1D51">
              <w:t>Consumer protection</w:t>
            </w:r>
          </w:p>
        </w:tc>
        <w:tc>
          <w:tcPr>
            <w:tcW w:w="1353" w:type="dxa"/>
            <w:shd w:val="clear" w:color="auto" w:fill="auto"/>
            <w:noWrap/>
            <w:vAlign w:val="bottom"/>
            <w:hideMark/>
          </w:tcPr>
          <w:p w14:paraId="59FCC725" w14:textId="77777777" w:rsidR="00F1409D" w:rsidRPr="000A1D51" w:rsidRDefault="00F1409D" w:rsidP="00F1409D">
            <w:pPr>
              <w:pStyle w:val="BodyText"/>
              <w:spacing w:after="0" w:line="240" w:lineRule="auto"/>
              <w:jc w:val="right"/>
            </w:pPr>
            <w:r w:rsidRPr="000A1D51">
              <w:t>6</w:t>
            </w:r>
          </w:p>
        </w:tc>
        <w:tc>
          <w:tcPr>
            <w:tcW w:w="1054" w:type="dxa"/>
            <w:shd w:val="clear" w:color="auto" w:fill="auto"/>
            <w:noWrap/>
            <w:vAlign w:val="bottom"/>
            <w:hideMark/>
          </w:tcPr>
          <w:p w14:paraId="5170C2DD" w14:textId="77777777" w:rsidR="00F1409D" w:rsidRPr="000A1D51" w:rsidRDefault="00F1409D" w:rsidP="00F1409D">
            <w:pPr>
              <w:pStyle w:val="BodyText"/>
              <w:spacing w:after="0" w:line="240" w:lineRule="auto"/>
              <w:jc w:val="right"/>
            </w:pPr>
            <w:r w:rsidRPr="000A1D51">
              <w:t>1</w:t>
            </w:r>
          </w:p>
        </w:tc>
        <w:tc>
          <w:tcPr>
            <w:tcW w:w="1096" w:type="dxa"/>
            <w:vAlign w:val="bottom"/>
          </w:tcPr>
          <w:p w14:paraId="6DF06BC1" w14:textId="77777777" w:rsidR="00F1409D" w:rsidRPr="000A1D51" w:rsidRDefault="00F1409D" w:rsidP="00F1409D">
            <w:pPr>
              <w:pStyle w:val="BodyText"/>
              <w:spacing w:after="0" w:line="240" w:lineRule="auto"/>
              <w:jc w:val="right"/>
            </w:pPr>
            <w:r w:rsidRPr="000A1D51">
              <w:t>-</w:t>
            </w:r>
          </w:p>
        </w:tc>
        <w:tc>
          <w:tcPr>
            <w:tcW w:w="1158" w:type="dxa"/>
            <w:vAlign w:val="bottom"/>
          </w:tcPr>
          <w:p w14:paraId="3B62B24A" w14:textId="77777777" w:rsidR="00F1409D" w:rsidRPr="000A1D51" w:rsidRDefault="00F1409D" w:rsidP="00F1409D">
            <w:pPr>
              <w:pStyle w:val="BodyText"/>
              <w:spacing w:after="0" w:line="240" w:lineRule="auto"/>
              <w:jc w:val="right"/>
            </w:pPr>
            <w:r w:rsidRPr="000A1D51">
              <w:t>-</w:t>
            </w:r>
          </w:p>
        </w:tc>
        <w:tc>
          <w:tcPr>
            <w:tcW w:w="1219" w:type="dxa"/>
            <w:vAlign w:val="bottom"/>
          </w:tcPr>
          <w:p w14:paraId="545E9F5E" w14:textId="77777777" w:rsidR="00F1409D" w:rsidRPr="000A1D51" w:rsidRDefault="00F1409D" w:rsidP="00F1409D">
            <w:pPr>
              <w:pStyle w:val="BodyText"/>
              <w:spacing w:after="0" w:line="240" w:lineRule="auto"/>
              <w:jc w:val="right"/>
            </w:pPr>
            <w:r w:rsidRPr="000A1D51">
              <w:t>-</w:t>
            </w:r>
          </w:p>
        </w:tc>
        <w:tc>
          <w:tcPr>
            <w:tcW w:w="831" w:type="dxa"/>
            <w:shd w:val="clear" w:color="auto" w:fill="auto"/>
            <w:noWrap/>
            <w:vAlign w:val="bottom"/>
            <w:hideMark/>
          </w:tcPr>
          <w:p w14:paraId="4D14B4DC" w14:textId="77777777" w:rsidR="00F1409D" w:rsidRPr="000A1D51" w:rsidRDefault="00F1409D" w:rsidP="00F1409D">
            <w:pPr>
              <w:pStyle w:val="BodyText"/>
              <w:spacing w:after="0" w:line="240" w:lineRule="auto"/>
              <w:jc w:val="right"/>
            </w:pPr>
            <w:r w:rsidRPr="000A1D51">
              <w:t>7</w:t>
            </w:r>
          </w:p>
        </w:tc>
      </w:tr>
      <w:tr w:rsidR="00F1409D" w:rsidRPr="000A1D51" w14:paraId="5F95EA18" w14:textId="77777777" w:rsidTr="00DA2B4F">
        <w:trPr>
          <w:trHeight w:val="55"/>
        </w:trPr>
        <w:tc>
          <w:tcPr>
            <w:tcW w:w="2600" w:type="dxa"/>
            <w:shd w:val="clear" w:color="auto" w:fill="auto"/>
            <w:vAlign w:val="center"/>
            <w:hideMark/>
          </w:tcPr>
          <w:p w14:paraId="63DD35C8" w14:textId="77777777" w:rsidR="00F1409D" w:rsidRPr="000A1D51" w:rsidRDefault="00F1409D" w:rsidP="00F1409D">
            <w:pPr>
              <w:pStyle w:val="BodyText"/>
              <w:spacing w:after="0" w:line="240" w:lineRule="auto"/>
            </w:pPr>
            <w:r w:rsidRPr="000A1D51">
              <w:t>Agriculture</w:t>
            </w:r>
          </w:p>
        </w:tc>
        <w:tc>
          <w:tcPr>
            <w:tcW w:w="1353" w:type="dxa"/>
            <w:shd w:val="clear" w:color="auto" w:fill="auto"/>
            <w:noWrap/>
            <w:vAlign w:val="bottom"/>
            <w:hideMark/>
          </w:tcPr>
          <w:p w14:paraId="3865379D" w14:textId="77777777" w:rsidR="00F1409D" w:rsidRPr="000A1D51" w:rsidRDefault="00F1409D" w:rsidP="00F1409D">
            <w:pPr>
              <w:pStyle w:val="BodyText"/>
              <w:spacing w:after="0" w:line="240" w:lineRule="auto"/>
              <w:jc w:val="right"/>
            </w:pPr>
            <w:r w:rsidRPr="000A1D51">
              <w:t>3</w:t>
            </w:r>
          </w:p>
        </w:tc>
        <w:tc>
          <w:tcPr>
            <w:tcW w:w="1054" w:type="dxa"/>
            <w:shd w:val="clear" w:color="auto" w:fill="auto"/>
            <w:noWrap/>
            <w:vAlign w:val="bottom"/>
            <w:hideMark/>
          </w:tcPr>
          <w:p w14:paraId="1E13427A" w14:textId="77777777" w:rsidR="00F1409D" w:rsidRPr="000A1D51" w:rsidRDefault="00F1409D" w:rsidP="00F1409D">
            <w:pPr>
              <w:pStyle w:val="BodyText"/>
              <w:spacing w:after="0" w:line="240" w:lineRule="auto"/>
              <w:jc w:val="right"/>
            </w:pPr>
            <w:r w:rsidRPr="000A1D51">
              <w:t>3</w:t>
            </w:r>
          </w:p>
        </w:tc>
        <w:tc>
          <w:tcPr>
            <w:tcW w:w="1096" w:type="dxa"/>
            <w:vAlign w:val="bottom"/>
          </w:tcPr>
          <w:p w14:paraId="63E9FDE3" w14:textId="77777777" w:rsidR="00F1409D" w:rsidRPr="000A1D51" w:rsidRDefault="00F1409D" w:rsidP="00F1409D">
            <w:pPr>
              <w:pStyle w:val="BodyText"/>
              <w:spacing w:after="0" w:line="240" w:lineRule="auto"/>
              <w:jc w:val="right"/>
            </w:pPr>
            <w:r w:rsidRPr="000A1D51">
              <w:t>-</w:t>
            </w:r>
          </w:p>
        </w:tc>
        <w:tc>
          <w:tcPr>
            <w:tcW w:w="1158" w:type="dxa"/>
            <w:vAlign w:val="bottom"/>
          </w:tcPr>
          <w:p w14:paraId="22BDD6D1" w14:textId="77777777" w:rsidR="00F1409D" w:rsidRPr="000A1D51" w:rsidRDefault="00F1409D" w:rsidP="00F1409D">
            <w:pPr>
              <w:pStyle w:val="BodyText"/>
              <w:spacing w:after="0" w:line="240" w:lineRule="auto"/>
              <w:jc w:val="right"/>
            </w:pPr>
            <w:r w:rsidRPr="000A1D51">
              <w:t>-</w:t>
            </w:r>
          </w:p>
        </w:tc>
        <w:tc>
          <w:tcPr>
            <w:tcW w:w="1219" w:type="dxa"/>
            <w:vAlign w:val="bottom"/>
          </w:tcPr>
          <w:p w14:paraId="67E6D23C" w14:textId="77777777" w:rsidR="00F1409D" w:rsidRPr="000A1D51" w:rsidRDefault="00F1409D" w:rsidP="00F1409D">
            <w:pPr>
              <w:pStyle w:val="BodyText"/>
              <w:spacing w:after="0" w:line="240" w:lineRule="auto"/>
              <w:jc w:val="right"/>
            </w:pPr>
            <w:r w:rsidRPr="000A1D51">
              <w:t>-</w:t>
            </w:r>
          </w:p>
        </w:tc>
        <w:tc>
          <w:tcPr>
            <w:tcW w:w="831" w:type="dxa"/>
            <w:shd w:val="clear" w:color="auto" w:fill="auto"/>
            <w:noWrap/>
            <w:vAlign w:val="bottom"/>
            <w:hideMark/>
          </w:tcPr>
          <w:p w14:paraId="1D1C3E7C" w14:textId="77777777" w:rsidR="00F1409D" w:rsidRPr="000A1D51" w:rsidRDefault="00F1409D" w:rsidP="00F1409D">
            <w:pPr>
              <w:pStyle w:val="BodyText"/>
              <w:spacing w:after="0" w:line="240" w:lineRule="auto"/>
              <w:jc w:val="right"/>
            </w:pPr>
            <w:r w:rsidRPr="000A1D51">
              <w:t>6</w:t>
            </w:r>
          </w:p>
        </w:tc>
      </w:tr>
      <w:tr w:rsidR="00F1409D" w:rsidRPr="000A1D51" w14:paraId="00EF5C81" w14:textId="77777777" w:rsidTr="00DA2B4F">
        <w:trPr>
          <w:trHeight w:val="55"/>
        </w:trPr>
        <w:tc>
          <w:tcPr>
            <w:tcW w:w="2600" w:type="dxa"/>
            <w:shd w:val="clear" w:color="auto" w:fill="auto"/>
            <w:vAlign w:val="center"/>
            <w:hideMark/>
          </w:tcPr>
          <w:p w14:paraId="15428CC3" w14:textId="77777777" w:rsidR="00F1409D" w:rsidRPr="000A1D51" w:rsidRDefault="00F1409D" w:rsidP="00F1409D">
            <w:pPr>
              <w:pStyle w:val="BodyText"/>
              <w:spacing w:after="0" w:line="240" w:lineRule="auto"/>
            </w:pPr>
            <w:r w:rsidRPr="000A1D51">
              <w:t xml:space="preserve">Cross-cutting issues </w:t>
            </w:r>
          </w:p>
        </w:tc>
        <w:tc>
          <w:tcPr>
            <w:tcW w:w="1353" w:type="dxa"/>
            <w:shd w:val="clear" w:color="auto" w:fill="auto"/>
            <w:noWrap/>
            <w:vAlign w:val="bottom"/>
            <w:hideMark/>
          </w:tcPr>
          <w:p w14:paraId="351ED9DA" w14:textId="77777777" w:rsidR="00F1409D" w:rsidRPr="000A1D51" w:rsidRDefault="00F1409D" w:rsidP="00F1409D">
            <w:pPr>
              <w:pStyle w:val="BodyText"/>
              <w:spacing w:after="0" w:line="240" w:lineRule="auto"/>
              <w:jc w:val="right"/>
            </w:pPr>
            <w:r w:rsidRPr="000A1D51">
              <w:t>2</w:t>
            </w:r>
          </w:p>
        </w:tc>
        <w:tc>
          <w:tcPr>
            <w:tcW w:w="1054" w:type="dxa"/>
            <w:shd w:val="clear" w:color="auto" w:fill="auto"/>
            <w:noWrap/>
            <w:vAlign w:val="bottom"/>
            <w:hideMark/>
          </w:tcPr>
          <w:p w14:paraId="7B983ED5" w14:textId="77777777" w:rsidR="00F1409D" w:rsidRPr="000A1D51" w:rsidRDefault="00F1409D" w:rsidP="00F1409D">
            <w:pPr>
              <w:pStyle w:val="BodyText"/>
              <w:spacing w:after="0" w:line="240" w:lineRule="auto"/>
              <w:jc w:val="right"/>
            </w:pPr>
            <w:r w:rsidRPr="000A1D51">
              <w:t>-</w:t>
            </w:r>
          </w:p>
        </w:tc>
        <w:tc>
          <w:tcPr>
            <w:tcW w:w="1096" w:type="dxa"/>
            <w:vAlign w:val="bottom"/>
          </w:tcPr>
          <w:p w14:paraId="1AAF6BE4" w14:textId="77777777" w:rsidR="00F1409D" w:rsidRPr="000A1D51" w:rsidRDefault="00F1409D" w:rsidP="00F1409D">
            <w:pPr>
              <w:pStyle w:val="BodyText"/>
              <w:spacing w:after="0" w:line="240" w:lineRule="auto"/>
              <w:jc w:val="right"/>
            </w:pPr>
            <w:r w:rsidRPr="000A1D51">
              <w:t>-</w:t>
            </w:r>
          </w:p>
        </w:tc>
        <w:tc>
          <w:tcPr>
            <w:tcW w:w="1158" w:type="dxa"/>
            <w:vAlign w:val="bottom"/>
          </w:tcPr>
          <w:p w14:paraId="56CABCB4" w14:textId="77777777" w:rsidR="00F1409D" w:rsidRPr="000A1D51" w:rsidRDefault="00F1409D" w:rsidP="00F1409D">
            <w:pPr>
              <w:pStyle w:val="BodyText"/>
              <w:spacing w:after="0" w:line="240" w:lineRule="auto"/>
              <w:jc w:val="right"/>
            </w:pPr>
            <w:r w:rsidRPr="000A1D51">
              <w:t>-</w:t>
            </w:r>
          </w:p>
        </w:tc>
        <w:tc>
          <w:tcPr>
            <w:tcW w:w="1219" w:type="dxa"/>
            <w:vAlign w:val="bottom"/>
          </w:tcPr>
          <w:p w14:paraId="3AB62C0B" w14:textId="77777777" w:rsidR="00F1409D" w:rsidRPr="000A1D51" w:rsidRDefault="00F1409D" w:rsidP="00F1409D">
            <w:pPr>
              <w:pStyle w:val="BodyText"/>
              <w:spacing w:after="0" w:line="240" w:lineRule="auto"/>
              <w:jc w:val="right"/>
            </w:pPr>
            <w:r w:rsidRPr="000A1D51">
              <w:t>-</w:t>
            </w:r>
          </w:p>
        </w:tc>
        <w:tc>
          <w:tcPr>
            <w:tcW w:w="831" w:type="dxa"/>
            <w:shd w:val="clear" w:color="auto" w:fill="auto"/>
            <w:noWrap/>
            <w:vAlign w:val="bottom"/>
            <w:hideMark/>
          </w:tcPr>
          <w:p w14:paraId="79C475FD" w14:textId="77777777" w:rsidR="00F1409D" w:rsidRPr="000A1D51" w:rsidRDefault="00F1409D" w:rsidP="00F1409D">
            <w:pPr>
              <w:pStyle w:val="BodyText"/>
              <w:spacing w:after="0" w:line="240" w:lineRule="auto"/>
              <w:jc w:val="right"/>
            </w:pPr>
            <w:r w:rsidRPr="000A1D51">
              <w:t>2</w:t>
            </w:r>
          </w:p>
        </w:tc>
      </w:tr>
      <w:tr w:rsidR="00F1409D" w:rsidRPr="000A1D51" w14:paraId="45D3CEAE" w14:textId="77777777" w:rsidTr="00DA2B4F">
        <w:trPr>
          <w:trHeight w:val="55"/>
        </w:trPr>
        <w:tc>
          <w:tcPr>
            <w:tcW w:w="2600" w:type="dxa"/>
            <w:shd w:val="clear" w:color="auto" w:fill="auto"/>
            <w:vAlign w:val="center"/>
          </w:tcPr>
          <w:p w14:paraId="79BC826C" w14:textId="77777777" w:rsidR="00F1409D" w:rsidRPr="000A1D51" w:rsidRDefault="00F1409D" w:rsidP="00F1409D">
            <w:pPr>
              <w:pStyle w:val="BodyText"/>
              <w:spacing w:after="0" w:line="240" w:lineRule="auto"/>
            </w:pPr>
            <w:r w:rsidRPr="000A1D51">
              <w:t>IAI/NDG</w:t>
            </w:r>
          </w:p>
        </w:tc>
        <w:tc>
          <w:tcPr>
            <w:tcW w:w="1353" w:type="dxa"/>
            <w:shd w:val="clear" w:color="auto" w:fill="auto"/>
            <w:noWrap/>
            <w:vAlign w:val="bottom"/>
          </w:tcPr>
          <w:p w14:paraId="4FE466F7" w14:textId="77777777" w:rsidR="00F1409D" w:rsidRPr="000A1D51" w:rsidRDefault="00F1409D" w:rsidP="00F1409D">
            <w:pPr>
              <w:pStyle w:val="BodyText"/>
              <w:spacing w:after="0" w:line="240" w:lineRule="auto"/>
              <w:jc w:val="right"/>
            </w:pPr>
            <w:r w:rsidRPr="000A1D51">
              <w:t>4</w:t>
            </w:r>
          </w:p>
        </w:tc>
        <w:tc>
          <w:tcPr>
            <w:tcW w:w="1054" w:type="dxa"/>
            <w:shd w:val="clear" w:color="auto" w:fill="auto"/>
            <w:noWrap/>
            <w:vAlign w:val="bottom"/>
          </w:tcPr>
          <w:p w14:paraId="084EEF2B" w14:textId="77777777" w:rsidR="00F1409D" w:rsidRPr="000A1D51" w:rsidRDefault="00F1409D" w:rsidP="00F1409D">
            <w:pPr>
              <w:pStyle w:val="BodyText"/>
              <w:spacing w:after="0" w:line="240" w:lineRule="auto"/>
              <w:jc w:val="right"/>
            </w:pPr>
            <w:r w:rsidRPr="000A1D51">
              <w:t>2</w:t>
            </w:r>
          </w:p>
        </w:tc>
        <w:tc>
          <w:tcPr>
            <w:tcW w:w="1096" w:type="dxa"/>
            <w:vAlign w:val="bottom"/>
          </w:tcPr>
          <w:p w14:paraId="573A0B81" w14:textId="77777777" w:rsidR="00F1409D" w:rsidRPr="000A1D51" w:rsidRDefault="00F1409D" w:rsidP="00F1409D">
            <w:pPr>
              <w:pStyle w:val="BodyText"/>
              <w:spacing w:after="0" w:line="240" w:lineRule="auto"/>
              <w:jc w:val="right"/>
            </w:pPr>
            <w:r w:rsidRPr="000A1D51">
              <w:t>1</w:t>
            </w:r>
          </w:p>
        </w:tc>
        <w:tc>
          <w:tcPr>
            <w:tcW w:w="1158" w:type="dxa"/>
            <w:vAlign w:val="bottom"/>
          </w:tcPr>
          <w:p w14:paraId="68D82742" w14:textId="77777777" w:rsidR="00F1409D" w:rsidRPr="000A1D51" w:rsidRDefault="00F1409D" w:rsidP="00F1409D">
            <w:pPr>
              <w:pStyle w:val="BodyText"/>
              <w:spacing w:after="0" w:line="240" w:lineRule="auto"/>
              <w:jc w:val="right"/>
            </w:pPr>
            <w:r w:rsidRPr="000A1D51">
              <w:t>1</w:t>
            </w:r>
          </w:p>
        </w:tc>
        <w:tc>
          <w:tcPr>
            <w:tcW w:w="1219" w:type="dxa"/>
            <w:vAlign w:val="bottom"/>
          </w:tcPr>
          <w:p w14:paraId="4766EF2F" w14:textId="77777777" w:rsidR="00F1409D" w:rsidRPr="000A1D51" w:rsidRDefault="00F1409D" w:rsidP="00F1409D">
            <w:pPr>
              <w:pStyle w:val="BodyText"/>
              <w:spacing w:after="0" w:line="240" w:lineRule="auto"/>
              <w:jc w:val="right"/>
            </w:pPr>
            <w:r w:rsidRPr="000A1D51">
              <w:t>1</w:t>
            </w:r>
          </w:p>
        </w:tc>
        <w:tc>
          <w:tcPr>
            <w:tcW w:w="831" w:type="dxa"/>
            <w:shd w:val="clear" w:color="auto" w:fill="auto"/>
            <w:noWrap/>
            <w:vAlign w:val="bottom"/>
          </w:tcPr>
          <w:p w14:paraId="52F2C09B" w14:textId="77777777" w:rsidR="00F1409D" w:rsidRPr="000A1D51" w:rsidRDefault="00F1409D" w:rsidP="00F1409D">
            <w:pPr>
              <w:pStyle w:val="BodyText"/>
              <w:spacing w:after="0" w:line="240" w:lineRule="auto"/>
              <w:jc w:val="right"/>
            </w:pPr>
            <w:r w:rsidRPr="000A1D51">
              <w:t>9</w:t>
            </w:r>
          </w:p>
        </w:tc>
      </w:tr>
      <w:tr w:rsidR="00F1409D" w:rsidRPr="000A1D51" w14:paraId="7BFBB914" w14:textId="77777777" w:rsidTr="00DA2B4F">
        <w:trPr>
          <w:trHeight w:val="55"/>
        </w:trPr>
        <w:tc>
          <w:tcPr>
            <w:tcW w:w="2600" w:type="dxa"/>
            <w:shd w:val="clear" w:color="auto" w:fill="auto"/>
            <w:vAlign w:val="center"/>
            <w:hideMark/>
          </w:tcPr>
          <w:p w14:paraId="69ACB0EA" w14:textId="77777777" w:rsidR="00F1409D" w:rsidRPr="000A1D51" w:rsidRDefault="00F1409D" w:rsidP="00F1409D">
            <w:pPr>
              <w:pStyle w:val="BodyText"/>
              <w:spacing w:after="0" w:line="240" w:lineRule="auto"/>
            </w:pPr>
            <w:r w:rsidRPr="000A1D51">
              <w:t>Financial integration</w:t>
            </w:r>
          </w:p>
        </w:tc>
        <w:tc>
          <w:tcPr>
            <w:tcW w:w="1353" w:type="dxa"/>
            <w:shd w:val="clear" w:color="auto" w:fill="auto"/>
            <w:noWrap/>
            <w:vAlign w:val="bottom"/>
            <w:hideMark/>
          </w:tcPr>
          <w:p w14:paraId="210BFAB2" w14:textId="77777777" w:rsidR="00F1409D" w:rsidRPr="000A1D51" w:rsidRDefault="00F1409D" w:rsidP="00F1409D">
            <w:pPr>
              <w:pStyle w:val="BodyText"/>
              <w:spacing w:after="0" w:line="240" w:lineRule="auto"/>
              <w:jc w:val="right"/>
            </w:pPr>
            <w:r w:rsidRPr="000A1D51">
              <w:t>3</w:t>
            </w:r>
          </w:p>
        </w:tc>
        <w:tc>
          <w:tcPr>
            <w:tcW w:w="1054" w:type="dxa"/>
            <w:shd w:val="clear" w:color="auto" w:fill="auto"/>
            <w:noWrap/>
            <w:vAlign w:val="bottom"/>
            <w:hideMark/>
          </w:tcPr>
          <w:p w14:paraId="639D318A" w14:textId="77777777" w:rsidR="00F1409D" w:rsidRPr="000A1D51" w:rsidRDefault="00F1409D" w:rsidP="00F1409D">
            <w:pPr>
              <w:pStyle w:val="BodyText"/>
              <w:spacing w:after="0" w:line="240" w:lineRule="auto"/>
              <w:jc w:val="right"/>
            </w:pPr>
            <w:r w:rsidRPr="000A1D51">
              <w:t>-</w:t>
            </w:r>
          </w:p>
        </w:tc>
        <w:tc>
          <w:tcPr>
            <w:tcW w:w="1096" w:type="dxa"/>
            <w:vAlign w:val="bottom"/>
          </w:tcPr>
          <w:p w14:paraId="208261C9" w14:textId="77777777" w:rsidR="00F1409D" w:rsidRPr="000A1D51" w:rsidRDefault="00F1409D" w:rsidP="00F1409D">
            <w:pPr>
              <w:pStyle w:val="BodyText"/>
              <w:spacing w:after="0" w:line="240" w:lineRule="auto"/>
              <w:jc w:val="right"/>
            </w:pPr>
            <w:r w:rsidRPr="000A1D51">
              <w:t>-</w:t>
            </w:r>
          </w:p>
        </w:tc>
        <w:tc>
          <w:tcPr>
            <w:tcW w:w="1158" w:type="dxa"/>
            <w:vAlign w:val="bottom"/>
          </w:tcPr>
          <w:p w14:paraId="44EE3004" w14:textId="77777777" w:rsidR="00F1409D" w:rsidRPr="000A1D51" w:rsidRDefault="00F1409D" w:rsidP="00F1409D">
            <w:pPr>
              <w:pStyle w:val="BodyText"/>
              <w:spacing w:after="0" w:line="240" w:lineRule="auto"/>
              <w:jc w:val="right"/>
            </w:pPr>
            <w:r w:rsidRPr="000A1D51">
              <w:t>-</w:t>
            </w:r>
          </w:p>
        </w:tc>
        <w:tc>
          <w:tcPr>
            <w:tcW w:w="1219" w:type="dxa"/>
            <w:vAlign w:val="bottom"/>
          </w:tcPr>
          <w:p w14:paraId="00B4D4AF" w14:textId="77777777" w:rsidR="00F1409D" w:rsidRPr="000A1D51" w:rsidRDefault="00F1409D" w:rsidP="00F1409D">
            <w:pPr>
              <w:pStyle w:val="BodyText"/>
              <w:spacing w:after="0" w:line="240" w:lineRule="auto"/>
              <w:jc w:val="right"/>
            </w:pPr>
            <w:r w:rsidRPr="000A1D51">
              <w:t>-</w:t>
            </w:r>
          </w:p>
        </w:tc>
        <w:tc>
          <w:tcPr>
            <w:tcW w:w="831" w:type="dxa"/>
            <w:shd w:val="clear" w:color="auto" w:fill="auto"/>
            <w:noWrap/>
            <w:vAlign w:val="bottom"/>
            <w:hideMark/>
          </w:tcPr>
          <w:p w14:paraId="344FFF23" w14:textId="77777777" w:rsidR="00F1409D" w:rsidRPr="000A1D51" w:rsidRDefault="00F1409D" w:rsidP="00F1409D">
            <w:pPr>
              <w:pStyle w:val="BodyText"/>
              <w:spacing w:after="0" w:line="240" w:lineRule="auto"/>
              <w:jc w:val="right"/>
            </w:pPr>
            <w:r w:rsidRPr="000A1D51">
              <w:t>3</w:t>
            </w:r>
          </w:p>
        </w:tc>
      </w:tr>
      <w:tr w:rsidR="00F1409D" w:rsidRPr="000A1D51" w14:paraId="2B56C69D" w14:textId="77777777" w:rsidTr="00DA2B4F">
        <w:trPr>
          <w:trHeight w:val="55"/>
        </w:trPr>
        <w:tc>
          <w:tcPr>
            <w:tcW w:w="2600" w:type="dxa"/>
            <w:shd w:val="clear" w:color="auto" w:fill="auto"/>
            <w:vAlign w:val="center"/>
            <w:hideMark/>
          </w:tcPr>
          <w:p w14:paraId="02F83808" w14:textId="77777777" w:rsidR="00F1409D" w:rsidRPr="000A1D51" w:rsidRDefault="00F1409D" w:rsidP="00F1409D">
            <w:pPr>
              <w:pStyle w:val="BodyText"/>
              <w:spacing w:after="0" w:line="240" w:lineRule="auto"/>
            </w:pPr>
            <w:r w:rsidRPr="000A1D51">
              <w:t>Connectivity</w:t>
            </w:r>
          </w:p>
        </w:tc>
        <w:tc>
          <w:tcPr>
            <w:tcW w:w="1353" w:type="dxa"/>
            <w:shd w:val="clear" w:color="auto" w:fill="auto"/>
            <w:noWrap/>
            <w:vAlign w:val="bottom"/>
            <w:hideMark/>
          </w:tcPr>
          <w:p w14:paraId="078A3B3D" w14:textId="77777777" w:rsidR="00F1409D" w:rsidRPr="000A1D51" w:rsidRDefault="00F1409D" w:rsidP="00F1409D">
            <w:pPr>
              <w:pStyle w:val="BodyText"/>
              <w:spacing w:after="0" w:line="240" w:lineRule="auto"/>
              <w:jc w:val="right"/>
            </w:pPr>
            <w:r w:rsidRPr="000A1D51">
              <w:t>7</w:t>
            </w:r>
          </w:p>
        </w:tc>
        <w:tc>
          <w:tcPr>
            <w:tcW w:w="1054" w:type="dxa"/>
            <w:shd w:val="clear" w:color="auto" w:fill="auto"/>
            <w:noWrap/>
            <w:vAlign w:val="bottom"/>
            <w:hideMark/>
          </w:tcPr>
          <w:p w14:paraId="5D0F4CB5" w14:textId="77777777" w:rsidR="00F1409D" w:rsidRPr="000A1D51" w:rsidRDefault="00F1409D" w:rsidP="00F1409D">
            <w:pPr>
              <w:pStyle w:val="BodyText"/>
              <w:spacing w:after="0" w:line="240" w:lineRule="auto"/>
              <w:jc w:val="right"/>
            </w:pPr>
            <w:r w:rsidRPr="000A1D51">
              <w:t>4</w:t>
            </w:r>
          </w:p>
        </w:tc>
        <w:tc>
          <w:tcPr>
            <w:tcW w:w="1096" w:type="dxa"/>
            <w:vAlign w:val="bottom"/>
          </w:tcPr>
          <w:p w14:paraId="2EFE9968" w14:textId="77777777" w:rsidR="00F1409D" w:rsidRPr="000A1D51" w:rsidRDefault="00F1409D" w:rsidP="00F1409D">
            <w:pPr>
              <w:pStyle w:val="BodyText"/>
              <w:spacing w:after="0" w:line="240" w:lineRule="auto"/>
              <w:jc w:val="right"/>
            </w:pPr>
            <w:r w:rsidRPr="000A1D51">
              <w:t>1</w:t>
            </w:r>
          </w:p>
        </w:tc>
        <w:tc>
          <w:tcPr>
            <w:tcW w:w="1158" w:type="dxa"/>
            <w:vAlign w:val="bottom"/>
          </w:tcPr>
          <w:p w14:paraId="784FF748" w14:textId="77777777" w:rsidR="00F1409D" w:rsidRPr="000A1D51" w:rsidRDefault="00F1409D" w:rsidP="00F1409D">
            <w:pPr>
              <w:pStyle w:val="BodyText"/>
              <w:spacing w:after="0" w:line="240" w:lineRule="auto"/>
              <w:jc w:val="right"/>
            </w:pPr>
            <w:r w:rsidRPr="000A1D51">
              <w:t>1</w:t>
            </w:r>
          </w:p>
        </w:tc>
        <w:tc>
          <w:tcPr>
            <w:tcW w:w="1219" w:type="dxa"/>
            <w:vAlign w:val="bottom"/>
          </w:tcPr>
          <w:p w14:paraId="2ECE7074" w14:textId="77777777" w:rsidR="00F1409D" w:rsidRPr="000A1D51" w:rsidRDefault="00F1409D" w:rsidP="00F1409D">
            <w:pPr>
              <w:pStyle w:val="BodyText"/>
              <w:spacing w:after="0" w:line="240" w:lineRule="auto"/>
              <w:jc w:val="right"/>
            </w:pPr>
            <w:r w:rsidRPr="000A1D51">
              <w:t>-</w:t>
            </w:r>
          </w:p>
        </w:tc>
        <w:tc>
          <w:tcPr>
            <w:tcW w:w="831" w:type="dxa"/>
            <w:shd w:val="clear" w:color="auto" w:fill="auto"/>
            <w:noWrap/>
            <w:vAlign w:val="bottom"/>
            <w:hideMark/>
          </w:tcPr>
          <w:p w14:paraId="40BCF02D" w14:textId="77777777" w:rsidR="00F1409D" w:rsidRPr="000A1D51" w:rsidRDefault="00F1409D" w:rsidP="00F1409D">
            <w:pPr>
              <w:pStyle w:val="BodyText"/>
              <w:spacing w:after="0" w:line="240" w:lineRule="auto"/>
              <w:jc w:val="right"/>
            </w:pPr>
            <w:r w:rsidRPr="000A1D51">
              <w:t>13</w:t>
            </w:r>
          </w:p>
        </w:tc>
      </w:tr>
      <w:tr w:rsidR="00F1409D" w:rsidRPr="000A1D51" w14:paraId="46775B27" w14:textId="77777777" w:rsidTr="00DA2B4F">
        <w:trPr>
          <w:trHeight w:val="55"/>
        </w:trPr>
        <w:tc>
          <w:tcPr>
            <w:tcW w:w="2600" w:type="dxa"/>
            <w:shd w:val="clear" w:color="auto" w:fill="auto"/>
            <w:vAlign w:val="center"/>
            <w:hideMark/>
          </w:tcPr>
          <w:p w14:paraId="3B0E4DD3" w14:textId="77777777" w:rsidR="00F1409D" w:rsidRPr="000A1D51" w:rsidRDefault="00F1409D" w:rsidP="00F1409D">
            <w:pPr>
              <w:pStyle w:val="BodyText"/>
              <w:spacing w:after="0" w:line="240" w:lineRule="auto"/>
            </w:pPr>
            <w:r w:rsidRPr="000A1D51">
              <w:t>Services</w:t>
            </w:r>
          </w:p>
        </w:tc>
        <w:tc>
          <w:tcPr>
            <w:tcW w:w="1353" w:type="dxa"/>
            <w:shd w:val="clear" w:color="auto" w:fill="auto"/>
            <w:noWrap/>
            <w:vAlign w:val="bottom"/>
            <w:hideMark/>
          </w:tcPr>
          <w:p w14:paraId="2ECC7ADC" w14:textId="77777777" w:rsidR="00F1409D" w:rsidRPr="000A1D51" w:rsidRDefault="00F1409D" w:rsidP="00F1409D">
            <w:pPr>
              <w:pStyle w:val="BodyText"/>
              <w:spacing w:after="0" w:line="240" w:lineRule="auto"/>
              <w:jc w:val="right"/>
            </w:pPr>
            <w:r w:rsidRPr="000A1D51">
              <w:t>10</w:t>
            </w:r>
          </w:p>
        </w:tc>
        <w:tc>
          <w:tcPr>
            <w:tcW w:w="1054" w:type="dxa"/>
            <w:shd w:val="clear" w:color="auto" w:fill="auto"/>
            <w:noWrap/>
            <w:vAlign w:val="bottom"/>
            <w:hideMark/>
          </w:tcPr>
          <w:p w14:paraId="75921047" w14:textId="77777777" w:rsidR="00F1409D" w:rsidRPr="000A1D51" w:rsidRDefault="00F1409D" w:rsidP="00F1409D">
            <w:pPr>
              <w:pStyle w:val="BodyText"/>
              <w:spacing w:after="0" w:line="240" w:lineRule="auto"/>
              <w:jc w:val="right"/>
            </w:pPr>
            <w:r w:rsidRPr="000A1D51">
              <w:t>-</w:t>
            </w:r>
          </w:p>
        </w:tc>
        <w:tc>
          <w:tcPr>
            <w:tcW w:w="1096" w:type="dxa"/>
            <w:vAlign w:val="bottom"/>
          </w:tcPr>
          <w:p w14:paraId="7F876322" w14:textId="77777777" w:rsidR="00F1409D" w:rsidRPr="000A1D51" w:rsidRDefault="00F1409D" w:rsidP="00F1409D">
            <w:pPr>
              <w:pStyle w:val="BodyText"/>
              <w:spacing w:after="0" w:line="240" w:lineRule="auto"/>
              <w:jc w:val="right"/>
            </w:pPr>
            <w:r w:rsidRPr="000A1D51">
              <w:t>-</w:t>
            </w:r>
          </w:p>
        </w:tc>
        <w:tc>
          <w:tcPr>
            <w:tcW w:w="1158" w:type="dxa"/>
            <w:vAlign w:val="bottom"/>
          </w:tcPr>
          <w:p w14:paraId="07F30C8F" w14:textId="77777777" w:rsidR="00F1409D" w:rsidRPr="000A1D51" w:rsidRDefault="00F1409D" w:rsidP="00F1409D">
            <w:pPr>
              <w:pStyle w:val="BodyText"/>
              <w:spacing w:after="0" w:line="240" w:lineRule="auto"/>
              <w:jc w:val="right"/>
            </w:pPr>
            <w:r w:rsidRPr="000A1D51">
              <w:t>-</w:t>
            </w:r>
          </w:p>
        </w:tc>
        <w:tc>
          <w:tcPr>
            <w:tcW w:w="1219" w:type="dxa"/>
            <w:vAlign w:val="bottom"/>
          </w:tcPr>
          <w:p w14:paraId="12359182" w14:textId="77777777" w:rsidR="00F1409D" w:rsidRPr="000A1D51" w:rsidRDefault="00F1409D" w:rsidP="00F1409D">
            <w:pPr>
              <w:pStyle w:val="BodyText"/>
              <w:spacing w:after="0" w:line="240" w:lineRule="auto"/>
              <w:jc w:val="right"/>
            </w:pPr>
            <w:r w:rsidRPr="000A1D51">
              <w:t>-</w:t>
            </w:r>
          </w:p>
        </w:tc>
        <w:tc>
          <w:tcPr>
            <w:tcW w:w="831" w:type="dxa"/>
            <w:shd w:val="clear" w:color="auto" w:fill="auto"/>
            <w:noWrap/>
            <w:vAlign w:val="bottom"/>
            <w:hideMark/>
          </w:tcPr>
          <w:p w14:paraId="2C1BED9D" w14:textId="77777777" w:rsidR="00F1409D" w:rsidRPr="000A1D51" w:rsidRDefault="00F1409D" w:rsidP="00F1409D">
            <w:pPr>
              <w:pStyle w:val="BodyText"/>
              <w:spacing w:after="0" w:line="240" w:lineRule="auto"/>
              <w:jc w:val="right"/>
            </w:pPr>
            <w:r w:rsidRPr="000A1D51">
              <w:t>10</w:t>
            </w:r>
          </w:p>
        </w:tc>
      </w:tr>
      <w:tr w:rsidR="00F1409D" w:rsidRPr="000A1D51" w14:paraId="5081A418" w14:textId="77777777" w:rsidTr="00DA2B4F">
        <w:trPr>
          <w:trHeight w:val="55"/>
        </w:trPr>
        <w:tc>
          <w:tcPr>
            <w:tcW w:w="2600" w:type="dxa"/>
            <w:shd w:val="clear" w:color="auto" w:fill="auto"/>
            <w:vAlign w:val="center"/>
            <w:hideMark/>
          </w:tcPr>
          <w:p w14:paraId="6BF0CD11" w14:textId="77777777" w:rsidR="00F1409D" w:rsidRPr="000A1D51" w:rsidRDefault="00F1409D" w:rsidP="00F1409D">
            <w:pPr>
              <w:pStyle w:val="BodyText"/>
              <w:spacing w:after="0" w:line="240" w:lineRule="auto"/>
            </w:pPr>
            <w:r w:rsidRPr="000A1D51">
              <w:t>Tourism</w:t>
            </w:r>
          </w:p>
        </w:tc>
        <w:tc>
          <w:tcPr>
            <w:tcW w:w="1353" w:type="dxa"/>
            <w:shd w:val="clear" w:color="auto" w:fill="auto"/>
            <w:noWrap/>
            <w:vAlign w:val="bottom"/>
            <w:hideMark/>
          </w:tcPr>
          <w:p w14:paraId="0FF80695" w14:textId="77777777" w:rsidR="00F1409D" w:rsidRPr="000A1D51" w:rsidRDefault="00F1409D" w:rsidP="00F1409D">
            <w:pPr>
              <w:pStyle w:val="BodyText"/>
              <w:spacing w:after="0" w:line="240" w:lineRule="auto"/>
              <w:jc w:val="right"/>
            </w:pPr>
            <w:r w:rsidRPr="000A1D51">
              <w:t>10</w:t>
            </w:r>
          </w:p>
        </w:tc>
        <w:tc>
          <w:tcPr>
            <w:tcW w:w="1054" w:type="dxa"/>
            <w:shd w:val="clear" w:color="auto" w:fill="auto"/>
            <w:noWrap/>
            <w:vAlign w:val="bottom"/>
            <w:hideMark/>
          </w:tcPr>
          <w:p w14:paraId="392129EB" w14:textId="77777777" w:rsidR="00F1409D" w:rsidRPr="000A1D51" w:rsidRDefault="00F1409D" w:rsidP="00F1409D">
            <w:pPr>
              <w:pStyle w:val="BodyText"/>
              <w:spacing w:after="0" w:line="240" w:lineRule="auto"/>
              <w:jc w:val="right"/>
            </w:pPr>
            <w:r w:rsidRPr="000A1D51">
              <w:t>1</w:t>
            </w:r>
          </w:p>
        </w:tc>
        <w:tc>
          <w:tcPr>
            <w:tcW w:w="1096" w:type="dxa"/>
            <w:vAlign w:val="bottom"/>
          </w:tcPr>
          <w:p w14:paraId="4851E128" w14:textId="77777777" w:rsidR="00F1409D" w:rsidRPr="000A1D51" w:rsidRDefault="00F1409D" w:rsidP="00F1409D">
            <w:pPr>
              <w:pStyle w:val="BodyText"/>
              <w:spacing w:after="0" w:line="240" w:lineRule="auto"/>
              <w:jc w:val="right"/>
            </w:pPr>
            <w:r w:rsidRPr="000A1D51">
              <w:t>-</w:t>
            </w:r>
          </w:p>
        </w:tc>
        <w:tc>
          <w:tcPr>
            <w:tcW w:w="1158" w:type="dxa"/>
            <w:vAlign w:val="bottom"/>
          </w:tcPr>
          <w:p w14:paraId="08378BA2" w14:textId="77777777" w:rsidR="00F1409D" w:rsidRPr="000A1D51" w:rsidRDefault="00F1409D" w:rsidP="00F1409D">
            <w:pPr>
              <w:pStyle w:val="BodyText"/>
              <w:spacing w:after="0" w:line="240" w:lineRule="auto"/>
              <w:jc w:val="right"/>
            </w:pPr>
            <w:r w:rsidRPr="000A1D51">
              <w:t>-</w:t>
            </w:r>
          </w:p>
        </w:tc>
        <w:tc>
          <w:tcPr>
            <w:tcW w:w="1219" w:type="dxa"/>
            <w:vAlign w:val="bottom"/>
          </w:tcPr>
          <w:p w14:paraId="55F47FFF" w14:textId="77777777" w:rsidR="00F1409D" w:rsidRPr="000A1D51" w:rsidRDefault="00F1409D" w:rsidP="00F1409D">
            <w:pPr>
              <w:pStyle w:val="BodyText"/>
              <w:spacing w:after="0" w:line="240" w:lineRule="auto"/>
              <w:jc w:val="right"/>
            </w:pPr>
            <w:r w:rsidRPr="000A1D51">
              <w:t>-</w:t>
            </w:r>
          </w:p>
        </w:tc>
        <w:tc>
          <w:tcPr>
            <w:tcW w:w="831" w:type="dxa"/>
            <w:shd w:val="clear" w:color="auto" w:fill="auto"/>
            <w:noWrap/>
            <w:vAlign w:val="bottom"/>
            <w:hideMark/>
          </w:tcPr>
          <w:p w14:paraId="1FDF31AE" w14:textId="77777777" w:rsidR="00F1409D" w:rsidRPr="000A1D51" w:rsidRDefault="00F1409D" w:rsidP="00F1409D">
            <w:pPr>
              <w:pStyle w:val="BodyText"/>
              <w:spacing w:after="0" w:line="240" w:lineRule="auto"/>
              <w:jc w:val="right"/>
            </w:pPr>
            <w:r w:rsidRPr="000A1D51">
              <w:t>11</w:t>
            </w:r>
          </w:p>
        </w:tc>
      </w:tr>
      <w:tr w:rsidR="00F1409D" w:rsidRPr="000A1D51" w14:paraId="58ACC622" w14:textId="77777777" w:rsidTr="00DA2B4F">
        <w:trPr>
          <w:trHeight w:val="55"/>
        </w:trPr>
        <w:tc>
          <w:tcPr>
            <w:tcW w:w="2600" w:type="dxa"/>
            <w:shd w:val="clear" w:color="auto" w:fill="auto"/>
            <w:vAlign w:val="center"/>
            <w:hideMark/>
          </w:tcPr>
          <w:p w14:paraId="18811C4A" w14:textId="77777777" w:rsidR="00F1409D" w:rsidRPr="000A1D51" w:rsidRDefault="00F1409D" w:rsidP="00F1409D">
            <w:pPr>
              <w:pStyle w:val="BodyText"/>
              <w:spacing w:after="0" w:line="240" w:lineRule="auto"/>
            </w:pPr>
            <w:r w:rsidRPr="000A1D51">
              <w:t>Investment</w:t>
            </w:r>
          </w:p>
        </w:tc>
        <w:tc>
          <w:tcPr>
            <w:tcW w:w="1353" w:type="dxa"/>
            <w:shd w:val="clear" w:color="auto" w:fill="auto"/>
            <w:noWrap/>
            <w:vAlign w:val="bottom"/>
            <w:hideMark/>
          </w:tcPr>
          <w:p w14:paraId="2C27081E" w14:textId="77777777" w:rsidR="00F1409D" w:rsidRPr="000A1D51" w:rsidRDefault="00F1409D" w:rsidP="00F1409D">
            <w:pPr>
              <w:pStyle w:val="BodyText"/>
              <w:spacing w:after="0" w:line="240" w:lineRule="auto"/>
              <w:jc w:val="right"/>
            </w:pPr>
            <w:r w:rsidRPr="000A1D51">
              <w:t>9</w:t>
            </w:r>
          </w:p>
        </w:tc>
        <w:tc>
          <w:tcPr>
            <w:tcW w:w="1054" w:type="dxa"/>
            <w:shd w:val="clear" w:color="auto" w:fill="auto"/>
            <w:noWrap/>
            <w:vAlign w:val="bottom"/>
            <w:hideMark/>
          </w:tcPr>
          <w:p w14:paraId="706F3A71" w14:textId="77777777" w:rsidR="00F1409D" w:rsidRPr="000A1D51" w:rsidRDefault="00F1409D" w:rsidP="00F1409D">
            <w:pPr>
              <w:pStyle w:val="BodyText"/>
              <w:spacing w:after="0" w:line="240" w:lineRule="auto"/>
              <w:jc w:val="right"/>
            </w:pPr>
            <w:r w:rsidRPr="000A1D51">
              <w:t>1</w:t>
            </w:r>
          </w:p>
        </w:tc>
        <w:tc>
          <w:tcPr>
            <w:tcW w:w="1096" w:type="dxa"/>
            <w:vAlign w:val="bottom"/>
          </w:tcPr>
          <w:p w14:paraId="7621EF31" w14:textId="77777777" w:rsidR="00F1409D" w:rsidRPr="000A1D51" w:rsidRDefault="00F1409D" w:rsidP="00F1409D">
            <w:pPr>
              <w:pStyle w:val="BodyText"/>
              <w:spacing w:after="0" w:line="240" w:lineRule="auto"/>
              <w:jc w:val="right"/>
            </w:pPr>
            <w:r w:rsidRPr="000A1D51">
              <w:t>-</w:t>
            </w:r>
          </w:p>
        </w:tc>
        <w:tc>
          <w:tcPr>
            <w:tcW w:w="1158" w:type="dxa"/>
            <w:vAlign w:val="bottom"/>
          </w:tcPr>
          <w:p w14:paraId="0EE22B9B" w14:textId="77777777" w:rsidR="00F1409D" w:rsidRPr="000A1D51" w:rsidRDefault="00F1409D" w:rsidP="00F1409D">
            <w:pPr>
              <w:pStyle w:val="BodyText"/>
              <w:spacing w:after="0" w:line="240" w:lineRule="auto"/>
              <w:jc w:val="right"/>
            </w:pPr>
            <w:r w:rsidRPr="000A1D51">
              <w:t>1</w:t>
            </w:r>
          </w:p>
        </w:tc>
        <w:tc>
          <w:tcPr>
            <w:tcW w:w="1219" w:type="dxa"/>
            <w:vAlign w:val="bottom"/>
          </w:tcPr>
          <w:p w14:paraId="15AF9614" w14:textId="77777777" w:rsidR="00F1409D" w:rsidRPr="000A1D51" w:rsidRDefault="00F1409D" w:rsidP="00F1409D">
            <w:pPr>
              <w:pStyle w:val="BodyText"/>
              <w:spacing w:after="0" w:line="240" w:lineRule="auto"/>
              <w:jc w:val="right"/>
            </w:pPr>
            <w:r w:rsidRPr="000A1D51">
              <w:t>-</w:t>
            </w:r>
          </w:p>
        </w:tc>
        <w:tc>
          <w:tcPr>
            <w:tcW w:w="831" w:type="dxa"/>
            <w:shd w:val="clear" w:color="auto" w:fill="auto"/>
            <w:noWrap/>
            <w:vAlign w:val="bottom"/>
            <w:hideMark/>
          </w:tcPr>
          <w:p w14:paraId="0C1D3CA9" w14:textId="77777777" w:rsidR="00F1409D" w:rsidRPr="000A1D51" w:rsidRDefault="00F1409D" w:rsidP="00F1409D">
            <w:pPr>
              <w:pStyle w:val="BodyText"/>
              <w:spacing w:after="0" w:line="240" w:lineRule="auto"/>
              <w:jc w:val="right"/>
            </w:pPr>
            <w:r w:rsidRPr="000A1D51">
              <w:t>11</w:t>
            </w:r>
          </w:p>
        </w:tc>
      </w:tr>
      <w:tr w:rsidR="00F1409D" w:rsidRPr="000A1D51" w14:paraId="64686231" w14:textId="77777777" w:rsidTr="00DA2B4F">
        <w:trPr>
          <w:trHeight w:val="55"/>
        </w:trPr>
        <w:tc>
          <w:tcPr>
            <w:tcW w:w="2600" w:type="dxa"/>
            <w:shd w:val="clear" w:color="auto" w:fill="auto"/>
            <w:vAlign w:val="center"/>
          </w:tcPr>
          <w:p w14:paraId="7739DCAA" w14:textId="77777777" w:rsidR="00F1409D" w:rsidRPr="000A1D51" w:rsidRDefault="00F1409D" w:rsidP="00F1409D">
            <w:pPr>
              <w:pStyle w:val="BodyText"/>
              <w:spacing w:after="0" w:line="240" w:lineRule="auto"/>
            </w:pPr>
            <w:r w:rsidRPr="000A1D51">
              <w:t>Energy and Minerals</w:t>
            </w:r>
          </w:p>
        </w:tc>
        <w:tc>
          <w:tcPr>
            <w:tcW w:w="1353" w:type="dxa"/>
            <w:shd w:val="clear" w:color="auto" w:fill="auto"/>
            <w:noWrap/>
            <w:vAlign w:val="bottom"/>
          </w:tcPr>
          <w:p w14:paraId="01D36F8E" w14:textId="77777777" w:rsidR="00F1409D" w:rsidRPr="000A1D51" w:rsidRDefault="00F1409D" w:rsidP="00F1409D">
            <w:pPr>
              <w:pStyle w:val="BodyText"/>
              <w:spacing w:after="0" w:line="240" w:lineRule="auto"/>
              <w:jc w:val="right"/>
            </w:pPr>
            <w:r w:rsidRPr="000A1D51">
              <w:t>1</w:t>
            </w:r>
          </w:p>
        </w:tc>
        <w:tc>
          <w:tcPr>
            <w:tcW w:w="1054" w:type="dxa"/>
            <w:shd w:val="clear" w:color="auto" w:fill="auto"/>
            <w:noWrap/>
            <w:vAlign w:val="bottom"/>
          </w:tcPr>
          <w:p w14:paraId="276B4F90" w14:textId="77777777" w:rsidR="00F1409D" w:rsidRPr="000A1D51" w:rsidRDefault="00F1409D" w:rsidP="00F1409D">
            <w:pPr>
              <w:pStyle w:val="BodyText"/>
              <w:spacing w:after="0" w:line="240" w:lineRule="auto"/>
              <w:jc w:val="right"/>
            </w:pPr>
            <w:r w:rsidRPr="000A1D51">
              <w:t>1</w:t>
            </w:r>
          </w:p>
        </w:tc>
        <w:tc>
          <w:tcPr>
            <w:tcW w:w="1096" w:type="dxa"/>
            <w:vAlign w:val="bottom"/>
          </w:tcPr>
          <w:p w14:paraId="5AD80AE6" w14:textId="77777777" w:rsidR="00F1409D" w:rsidRPr="000A1D51" w:rsidRDefault="00F1409D" w:rsidP="00F1409D">
            <w:pPr>
              <w:pStyle w:val="BodyText"/>
              <w:spacing w:after="0" w:line="240" w:lineRule="auto"/>
              <w:jc w:val="right"/>
            </w:pPr>
            <w:r w:rsidRPr="000A1D51">
              <w:t>-</w:t>
            </w:r>
          </w:p>
        </w:tc>
        <w:tc>
          <w:tcPr>
            <w:tcW w:w="1158" w:type="dxa"/>
            <w:vAlign w:val="bottom"/>
          </w:tcPr>
          <w:p w14:paraId="2D270441" w14:textId="77777777" w:rsidR="00F1409D" w:rsidRPr="000A1D51" w:rsidRDefault="00F1409D" w:rsidP="00F1409D">
            <w:pPr>
              <w:pStyle w:val="BodyText"/>
              <w:spacing w:after="0" w:line="240" w:lineRule="auto"/>
              <w:jc w:val="right"/>
            </w:pPr>
            <w:r w:rsidRPr="000A1D51">
              <w:t>1</w:t>
            </w:r>
          </w:p>
        </w:tc>
        <w:tc>
          <w:tcPr>
            <w:tcW w:w="1219" w:type="dxa"/>
            <w:vAlign w:val="bottom"/>
          </w:tcPr>
          <w:p w14:paraId="4CDAFE44" w14:textId="77777777" w:rsidR="00F1409D" w:rsidRPr="000A1D51" w:rsidRDefault="00F1409D" w:rsidP="00F1409D">
            <w:pPr>
              <w:pStyle w:val="BodyText"/>
              <w:spacing w:after="0" w:line="240" w:lineRule="auto"/>
              <w:jc w:val="right"/>
            </w:pPr>
            <w:r w:rsidRPr="000A1D51">
              <w:t>1</w:t>
            </w:r>
          </w:p>
        </w:tc>
        <w:tc>
          <w:tcPr>
            <w:tcW w:w="831" w:type="dxa"/>
            <w:shd w:val="clear" w:color="auto" w:fill="auto"/>
            <w:noWrap/>
            <w:vAlign w:val="bottom"/>
          </w:tcPr>
          <w:p w14:paraId="08594994" w14:textId="77777777" w:rsidR="00F1409D" w:rsidRPr="000A1D51" w:rsidRDefault="00F1409D" w:rsidP="00F1409D">
            <w:pPr>
              <w:pStyle w:val="BodyText"/>
              <w:spacing w:after="0" w:line="240" w:lineRule="auto"/>
              <w:jc w:val="right"/>
            </w:pPr>
            <w:r w:rsidRPr="000A1D51">
              <w:t>4</w:t>
            </w:r>
          </w:p>
        </w:tc>
      </w:tr>
      <w:tr w:rsidR="00F1409D" w:rsidRPr="000A1D51" w14:paraId="7DBE4AB8" w14:textId="77777777" w:rsidTr="00DA2B4F">
        <w:trPr>
          <w:trHeight w:val="55"/>
        </w:trPr>
        <w:tc>
          <w:tcPr>
            <w:tcW w:w="2600" w:type="dxa"/>
            <w:shd w:val="clear" w:color="auto" w:fill="auto"/>
            <w:vAlign w:val="center"/>
          </w:tcPr>
          <w:p w14:paraId="138BF12F" w14:textId="77777777" w:rsidR="00F1409D" w:rsidRPr="000A1D51" w:rsidRDefault="00F1409D" w:rsidP="00F1409D">
            <w:pPr>
              <w:pStyle w:val="BodyText"/>
              <w:spacing w:after="0" w:line="240" w:lineRule="auto"/>
            </w:pPr>
            <w:r w:rsidRPr="000A1D51">
              <w:t>MSME, Private Sector Dev’t</w:t>
            </w:r>
          </w:p>
        </w:tc>
        <w:tc>
          <w:tcPr>
            <w:tcW w:w="1353" w:type="dxa"/>
            <w:shd w:val="clear" w:color="auto" w:fill="auto"/>
            <w:noWrap/>
            <w:vAlign w:val="bottom"/>
          </w:tcPr>
          <w:p w14:paraId="7AB04374" w14:textId="77777777" w:rsidR="00F1409D" w:rsidRPr="000A1D51" w:rsidRDefault="00F1409D" w:rsidP="00F1409D">
            <w:pPr>
              <w:pStyle w:val="BodyText"/>
              <w:spacing w:after="0" w:line="240" w:lineRule="auto"/>
              <w:jc w:val="right"/>
            </w:pPr>
            <w:r w:rsidRPr="000A1D51">
              <w:t>-</w:t>
            </w:r>
          </w:p>
        </w:tc>
        <w:tc>
          <w:tcPr>
            <w:tcW w:w="1054" w:type="dxa"/>
            <w:shd w:val="clear" w:color="auto" w:fill="auto"/>
            <w:noWrap/>
            <w:vAlign w:val="bottom"/>
          </w:tcPr>
          <w:p w14:paraId="5718BFDC" w14:textId="77777777" w:rsidR="00F1409D" w:rsidRPr="000A1D51" w:rsidRDefault="00F1409D" w:rsidP="00F1409D">
            <w:pPr>
              <w:pStyle w:val="BodyText"/>
              <w:spacing w:after="0" w:line="240" w:lineRule="auto"/>
              <w:jc w:val="right"/>
            </w:pPr>
            <w:r w:rsidRPr="000A1D51">
              <w:t>-</w:t>
            </w:r>
          </w:p>
        </w:tc>
        <w:tc>
          <w:tcPr>
            <w:tcW w:w="1096" w:type="dxa"/>
            <w:vAlign w:val="bottom"/>
          </w:tcPr>
          <w:p w14:paraId="6B854B89" w14:textId="77777777" w:rsidR="00F1409D" w:rsidRPr="000A1D51" w:rsidRDefault="00F1409D" w:rsidP="00F1409D">
            <w:pPr>
              <w:pStyle w:val="BodyText"/>
              <w:spacing w:after="0" w:line="240" w:lineRule="auto"/>
              <w:jc w:val="right"/>
            </w:pPr>
            <w:r w:rsidRPr="000A1D51">
              <w:t>-</w:t>
            </w:r>
          </w:p>
        </w:tc>
        <w:tc>
          <w:tcPr>
            <w:tcW w:w="1158" w:type="dxa"/>
            <w:vAlign w:val="bottom"/>
          </w:tcPr>
          <w:p w14:paraId="73AFC732" w14:textId="77777777" w:rsidR="00F1409D" w:rsidRPr="000A1D51" w:rsidRDefault="00F1409D" w:rsidP="00F1409D">
            <w:pPr>
              <w:pStyle w:val="BodyText"/>
              <w:spacing w:after="0" w:line="240" w:lineRule="auto"/>
              <w:jc w:val="right"/>
            </w:pPr>
            <w:r w:rsidRPr="000A1D51">
              <w:t>2</w:t>
            </w:r>
          </w:p>
        </w:tc>
        <w:tc>
          <w:tcPr>
            <w:tcW w:w="1219" w:type="dxa"/>
            <w:vAlign w:val="bottom"/>
          </w:tcPr>
          <w:p w14:paraId="3979AFE4" w14:textId="77777777" w:rsidR="00F1409D" w:rsidRPr="000A1D51" w:rsidRDefault="00F1409D" w:rsidP="00F1409D">
            <w:pPr>
              <w:pStyle w:val="BodyText"/>
              <w:spacing w:after="0" w:line="240" w:lineRule="auto"/>
              <w:jc w:val="right"/>
            </w:pPr>
            <w:r w:rsidRPr="000A1D51">
              <w:t>-</w:t>
            </w:r>
          </w:p>
        </w:tc>
        <w:tc>
          <w:tcPr>
            <w:tcW w:w="831" w:type="dxa"/>
            <w:shd w:val="clear" w:color="auto" w:fill="auto"/>
            <w:noWrap/>
            <w:vAlign w:val="bottom"/>
          </w:tcPr>
          <w:p w14:paraId="0C5D98DF" w14:textId="77777777" w:rsidR="00F1409D" w:rsidRPr="000A1D51" w:rsidRDefault="00F1409D" w:rsidP="00F1409D">
            <w:pPr>
              <w:pStyle w:val="BodyText"/>
              <w:spacing w:after="0" w:line="240" w:lineRule="auto"/>
              <w:jc w:val="right"/>
            </w:pPr>
            <w:r w:rsidRPr="000A1D51">
              <w:t>2</w:t>
            </w:r>
          </w:p>
        </w:tc>
      </w:tr>
      <w:tr w:rsidR="00F1409D" w:rsidRPr="000A1D51" w14:paraId="5C02AF14" w14:textId="77777777" w:rsidTr="00DA2B4F">
        <w:trPr>
          <w:trHeight w:val="55"/>
        </w:trPr>
        <w:tc>
          <w:tcPr>
            <w:tcW w:w="2600" w:type="dxa"/>
            <w:shd w:val="clear" w:color="auto" w:fill="D9D9D9" w:themeFill="background1" w:themeFillShade="D9"/>
            <w:noWrap/>
            <w:vAlign w:val="bottom"/>
            <w:hideMark/>
          </w:tcPr>
          <w:p w14:paraId="08457F64" w14:textId="77777777" w:rsidR="00F1409D" w:rsidRPr="000A1D51" w:rsidRDefault="00F1409D" w:rsidP="00F1409D">
            <w:pPr>
              <w:pStyle w:val="BodyText"/>
              <w:spacing w:after="0" w:line="240" w:lineRule="auto"/>
              <w:rPr>
                <w:b/>
              </w:rPr>
            </w:pPr>
            <w:r w:rsidRPr="000A1D51">
              <w:rPr>
                <w:b/>
              </w:rPr>
              <w:t>Total</w:t>
            </w:r>
          </w:p>
        </w:tc>
        <w:tc>
          <w:tcPr>
            <w:tcW w:w="1353" w:type="dxa"/>
            <w:shd w:val="clear" w:color="auto" w:fill="D9D9D9" w:themeFill="background1" w:themeFillShade="D9"/>
            <w:noWrap/>
            <w:vAlign w:val="bottom"/>
            <w:hideMark/>
          </w:tcPr>
          <w:p w14:paraId="6D34CD42" w14:textId="77777777" w:rsidR="00F1409D" w:rsidRPr="000A1D51" w:rsidRDefault="00F1409D" w:rsidP="00F1409D">
            <w:pPr>
              <w:pStyle w:val="BodyText"/>
              <w:spacing w:after="0" w:line="240" w:lineRule="auto"/>
              <w:jc w:val="right"/>
            </w:pPr>
            <w:r w:rsidRPr="000A1D51">
              <w:t>66</w:t>
            </w:r>
          </w:p>
        </w:tc>
        <w:tc>
          <w:tcPr>
            <w:tcW w:w="1054" w:type="dxa"/>
            <w:shd w:val="clear" w:color="auto" w:fill="D9D9D9" w:themeFill="background1" w:themeFillShade="D9"/>
            <w:noWrap/>
            <w:vAlign w:val="bottom"/>
            <w:hideMark/>
          </w:tcPr>
          <w:p w14:paraId="1DB34415" w14:textId="77777777" w:rsidR="00F1409D" w:rsidRPr="000A1D51" w:rsidRDefault="00F1409D" w:rsidP="00F1409D">
            <w:pPr>
              <w:pStyle w:val="BodyText"/>
              <w:spacing w:after="0" w:line="240" w:lineRule="auto"/>
              <w:jc w:val="right"/>
            </w:pPr>
            <w:r w:rsidRPr="000A1D51">
              <w:t>15</w:t>
            </w:r>
          </w:p>
        </w:tc>
        <w:tc>
          <w:tcPr>
            <w:tcW w:w="1096" w:type="dxa"/>
            <w:shd w:val="clear" w:color="auto" w:fill="D9D9D9" w:themeFill="background1" w:themeFillShade="D9"/>
            <w:vAlign w:val="bottom"/>
          </w:tcPr>
          <w:p w14:paraId="01478AB6" w14:textId="77777777" w:rsidR="00F1409D" w:rsidRPr="000A1D51" w:rsidRDefault="00F1409D" w:rsidP="00F1409D">
            <w:pPr>
              <w:pStyle w:val="BodyText"/>
              <w:spacing w:after="0" w:line="240" w:lineRule="auto"/>
              <w:jc w:val="right"/>
            </w:pPr>
            <w:r w:rsidRPr="000A1D51">
              <w:t>3</w:t>
            </w:r>
          </w:p>
        </w:tc>
        <w:tc>
          <w:tcPr>
            <w:tcW w:w="1158" w:type="dxa"/>
            <w:shd w:val="clear" w:color="auto" w:fill="D9D9D9" w:themeFill="background1" w:themeFillShade="D9"/>
            <w:vAlign w:val="bottom"/>
          </w:tcPr>
          <w:p w14:paraId="30A11A9F" w14:textId="77777777" w:rsidR="00F1409D" w:rsidRPr="000A1D51" w:rsidRDefault="00F1409D" w:rsidP="00F1409D">
            <w:pPr>
              <w:pStyle w:val="BodyText"/>
              <w:spacing w:after="0" w:line="240" w:lineRule="auto"/>
              <w:jc w:val="right"/>
            </w:pPr>
            <w:r w:rsidRPr="000A1D51">
              <w:t>6</w:t>
            </w:r>
          </w:p>
        </w:tc>
        <w:tc>
          <w:tcPr>
            <w:tcW w:w="1219" w:type="dxa"/>
            <w:shd w:val="clear" w:color="auto" w:fill="D9D9D9" w:themeFill="background1" w:themeFillShade="D9"/>
            <w:vAlign w:val="bottom"/>
          </w:tcPr>
          <w:p w14:paraId="2F870993" w14:textId="77777777" w:rsidR="00F1409D" w:rsidRPr="000A1D51" w:rsidRDefault="00F1409D" w:rsidP="00F1409D">
            <w:pPr>
              <w:pStyle w:val="BodyText"/>
              <w:spacing w:after="0" w:line="240" w:lineRule="auto"/>
              <w:jc w:val="right"/>
            </w:pPr>
            <w:r w:rsidRPr="000A1D51">
              <w:t>2</w:t>
            </w:r>
          </w:p>
        </w:tc>
        <w:tc>
          <w:tcPr>
            <w:tcW w:w="831" w:type="dxa"/>
            <w:shd w:val="clear" w:color="auto" w:fill="D9D9D9" w:themeFill="background1" w:themeFillShade="D9"/>
            <w:noWrap/>
            <w:vAlign w:val="bottom"/>
            <w:hideMark/>
          </w:tcPr>
          <w:p w14:paraId="6A871A23" w14:textId="77777777" w:rsidR="00F1409D" w:rsidRPr="000A1D51" w:rsidRDefault="00F1409D" w:rsidP="00F1409D">
            <w:pPr>
              <w:pStyle w:val="BodyText"/>
              <w:spacing w:after="0" w:line="240" w:lineRule="auto"/>
              <w:jc w:val="right"/>
            </w:pPr>
            <w:r w:rsidRPr="000A1D51">
              <w:t>92</w:t>
            </w:r>
          </w:p>
        </w:tc>
      </w:tr>
    </w:tbl>
    <w:p w14:paraId="6E038C3F" w14:textId="77777777" w:rsidR="00F1409D" w:rsidRPr="000A1D51" w:rsidRDefault="00F1409D" w:rsidP="00F1409D">
      <w:pPr>
        <w:pStyle w:val="BodyText"/>
        <w:rPr>
          <w:sz w:val="18"/>
          <w:szCs w:val="18"/>
        </w:rPr>
      </w:pPr>
      <w:r w:rsidRPr="000A1D51">
        <w:rPr>
          <w:sz w:val="18"/>
          <w:szCs w:val="18"/>
        </w:rPr>
        <w:t>* initiation include projects that are in procurement (tendering, contracting) stage</w:t>
      </w:r>
      <w:r w:rsidR="00B062CC" w:rsidRPr="000A1D51">
        <w:rPr>
          <w:sz w:val="18"/>
          <w:szCs w:val="18"/>
        </w:rPr>
        <w:t xml:space="preserve"> (as of 31 October 2019).</w:t>
      </w:r>
    </w:p>
    <w:p w14:paraId="19284201" w14:textId="77777777" w:rsidR="00B062CC" w:rsidRPr="000A1D51" w:rsidRDefault="00B062CC" w:rsidP="00B062CC">
      <w:pPr>
        <w:rPr>
          <w:rFonts w:ascii="Arial" w:hAnsi="Arial" w:cs="Arial"/>
          <w:bCs/>
        </w:rPr>
      </w:pPr>
      <w:r w:rsidRPr="000A1D51">
        <w:rPr>
          <w:rFonts w:ascii="Arial" w:hAnsi="Arial" w:cs="Arial"/>
          <w:b/>
          <w:bCs/>
        </w:rPr>
        <w:t xml:space="preserve">  </w:t>
      </w:r>
    </w:p>
    <w:p w14:paraId="3878D03E" w14:textId="77777777" w:rsidR="00B062CC" w:rsidRDefault="00B062CC" w:rsidP="00B062CC">
      <w:pPr>
        <w:rPr>
          <w:rFonts w:ascii="Arial" w:hAnsi="Arial" w:cs="Arial"/>
        </w:rPr>
      </w:pPr>
      <w:r w:rsidRPr="000A1D51">
        <w:rPr>
          <w:noProof/>
          <w:lang w:val="en-AU" w:eastAsia="en-AU"/>
        </w:rPr>
        <w:drawing>
          <wp:inline distT="0" distB="0" distL="0" distR="0" wp14:anchorId="564E92BA" wp14:editId="1F5FCE34">
            <wp:extent cx="5452533" cy="3978910"/>
            <wp:effectExtent l="0" t="0" r="15240"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DD9B6FD" w14:textId="77777777" w:rsidR="00B062CC" w:rsidRDefault="00B062CC" w:rsidP="00F1409D">
      <w:pPr>
        <w:pStyle w:val="BodyText"/>
      </w:pPr>
    </w:p>
    <w:p w14:paraId="744DC0ED" w14:textId="77777777" w:rsidR="00F1409D" w:rsidRPr="00D07892" w:rsidRDefault="00F1409D" w:rsidP="00D07892">
      <w:pPr>
        <w:pStyle w:val="BodyText"/>
      </w:pPr>
    </w:p>
    <w:sectPr w:rsidR="00F1409D" w:rsidRPr="00D07892" w:rsidSect="00AF6403">
      <w:pgSz w:w="11907" w:h="16840" w:code="9"/>
      <w:pgMar w:top="2268" w:right="1871" w:bottom="907" w:left="1871" w:header="851"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B07FE" w14:textId="77777777" w:rsidR="005B274C" w:rsidRDefault="005B274C" w:rsidP="0050529F">
      <w:r>
        <w:separator/>
      </w:r>
    </w:p>
    <w:p w14:paraId="51BE8359" w14:textId="77777777" w:rsidR="005B274C" w:rsidRDefault="005B274C"/>
    <w:p w14:paraId="14C1D2A3" w14:textId="77777777" w:rsidR="005B274C" w:rsidRDefault="005B274C"/>
    <w:p w14:paraId="6ABA80DE" w14:textId="77777777" w:rsidR="005B274C" w:rsidRDefault="005B274C"/>
    <w:p w14:paraId="0FEEB3B2" w14:textId="77777777" w:rsidR="005B274C" w:rsidRDefault="005B274C"/>
    <w:p w14:paraId="53706E7B" w14:textId="77777777" w:rsidR="005B274C" w:rsidRDefault="005B274C"/>
    <w:p w14:paraId="1B4B5514" w14:textId="77777777" w:rsidR="005B274C" w:rsidRDefault="005B274C"/>
    <w:p w14:paraId="340BA56D" w14:textId="77777777" w:rsidR="005B274C" w:rsidRDefault="005B274C"/>
  </w:endnote>
  <w:endnote w:type="continuationSeparator" w:id="0">
    <w:p w14:paraId="58AA7140" w14:textId="77777777" w:rsidR="005B274C" w:rsidRDefault="005B274C" w:rsidP="0050529F">
      <w:r>
        <w:continuationSeparator/>
      </w:r>
    </w:p>
    <w:p w14:paraId="1DC77E2B" w14:textId="77777777" w:rsidR="005B274C" w:rsidRDefault="005B274C"/>
    <w:p w14:paraId="093FE9E7" w14:textId="77777777" w:rsidR="005B274C" w:rsidRDefault="005B274C"/>
    <w:p w14:paraId="73FCF1D2" w14:textId="77777777" w:rsidR="005B274C" w:rsidRDefault="005B274C"/>
    <w:p w14:paraId="49D5FA40" w14:textId="77777777" w:rsidR="005B274C" w:rsidRDefault="005B274C"/>
    <w:p w14:paraId="30EE57EC" w14:textId="77777777" w:rsidR="005B274C" w:rsidRDefault="005B274C"/>
    <w:p w14:paraId="42AFB713" w14:textId="77777777" w:rsidR="005B274C" w:rsidRDefault="005B274C"/>
    <w:p w14:paraId="6A0F3289" w14:textId="77777777" w:rsidR="005B274C" w:rsidRDefault="005B274C"/>
  </w:endnote>
  <w:endnote w:type="continuationNotice" w:id="1">
    <w:p w14:paraId="38E1360F" w14:textId="77777777" w:rsidR="005B274C" w:rsidRDefault="005B2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69FC0" w14:textId="77777777" w:rsidR="00EC196F" w:rsidRDefault="00EC196F" w:rsidP="003519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8B53E7" w14:textId="77777777" w:rsidR="00EC196F" w:rsidRDefault="00EC196F" w:rsidP="005479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E5DDC" w14:textId="6F7D8717" w:rsidR="00EC196F" w:rsidRDefault="00EC196F" w:rsidP="003519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7CB0">
      <w:rPr>
        <w:rStyle w:val="PageNumber"/>
        <w:noProof/>
      </w:rPr>
      <w:t>iv</w:t>
    </w:r>
    <w:r>
      <w:rPr>
        <w:rStyle w:val="PageNumber"/>
      </w:rPr>
      <w:fldChar w:fldCharType="end"/>
    </w:r>
  </w:p>
  <w:p w14:paraId="4DF3B8CE" w14:textId="77777777" w:rsidR="00EC196F" w:rsidRDefault="00EC196F" w:rsidP="0035192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B77DE" w14:textId="77777777" w:rsidR="00EC196F" w:rsidRDefault="00EC196F">
    <w:pPr>
      <w:pStyle w:val="Footer"/>
    </w:pPr>
  </w:p>
  <w:p w14:paraId="09423D05" w14:textId="77777777" w:rsidR="00EC196F" w:rsidRPr="004C4A3E" w:rsidRDefault="00EC196F" w:rsidP="000D733F">
    <w:pPr>
      <w:tabs>
        <w:tab w:val="left" w:pos="0"/>
        <w:tab w:val="left" w:pos="13325"/>
      </w:tabs>
      <w:spacing w:line="180" w:lineRule="exact"/>
      <w:ind w:right="-1136"/>
      <w:rPr>
        <w:rFonts w:ascii="Franklin Gothic Medium" w:hAnsi="Franklin Gothic Medium"/>
        <w:color w:val="5A9A98"/>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9B2D" w14:textId="19A4664C" w:rsidR="00EC196F" w:rsidRDefault="00EC196F" w:rsidP="00AF44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7CB0">
      <w:rPr>
        <w:rStyle w:val="PageNumber"/>
        <w:noProof/>
      </w:rPr>
      <w:t>51</w:t>
    </w:r>
    <w:r>
      <w:rPr>
        <w:rStyle w:val="PageNumber"/>
      </w:rPr>
      <w:fldChar w:fldCharType="end"/>
    </w:r>
  </w:p>
  <w:p w14:paraId="17A3D402" w14:textId="77777777" w:rsidR="00EC196F" w:rsidRDefault="00EC196F" w:rsidP="00AF44E8">
    <w:pPr>
      <w:pStyle w:val="Footer"/>
      <w:ind w:right="360"/>
      <w:jc w:val="right"/>
    </w:pPr>
  </w:p>
  <w:p w14:paraId="03090F39" w14:textId="77777777" w:rsidR="00EC196F" w:rsidRDefault="00EC196F"/>
  <w:p w14:paraId="0D999D8E" w14:textId="77777777" w:rsidR="00EC196F" w:rsidRDefault="00EC196F"/>
  <w:p w14:paraId="593E0BA1" w14:textId="77777777" w:rsidR="00EC196F" w:rsidRDefault="00EC196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BDB75" w14:textId="77777777" w:rsidR="00EC196F" w:rsidRDefault="00EC196F">
    <w:pPr>
      <w:pStyle w:val="Footer"/>
    </w:pPr>
    <w:r>
      <w:t>Preparing Aid Program Performance Reports and Aid Program Management Reviews</w:t>
    </w:r>
  </w:p>
  <w:p w14:paraId="399F1070" w14:textId="77777777" w:rsidR="00EC196F" w:rsidRPr="004C4A3E" w:rsidRDefault="00EC196F" w:rsidP="000D733F">
    <w:pPr>
      <w:tabs>
        <w:tab w:val="left" w:pos="0"/>
        <w:tab w:val="left" w:pos="13325"/>
      </w:tabs>
      <w:spacing w:line="180" w:lineRule="exact"/>
      <w:ind w:right="-1136"/>
      <w:rPr>
        <w:rFonts w:ascii="Franklin Gothic Medium" w:hAnsi="Franklin Gothic Medium"/>
        <w:color w:val="5A9A9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65A44" w14:textId="77777777" w:rsidR="005B274C" w:rsidRDefault="005B274C">
      <w:r>
        <w:separator/>
      </w:r>
    </w:p>
    <w:p w14:paraId="3BA1B965" w14:textId="77777777" w:rsidR="005B274C" w:rsidRDefault="005B274C"/>
  </w:footnote>
  <w:footnote w:type="continuationSeparator" w:id="0">
    <w:p w14:paraId="5B2BD59A" w14:textId="77777777" w:rsidR="005B274C" w:rsidRDefault="005B274C" w:rsidP="0050529F">
      <w:r>
        <w:continuationSeparator/>
      </w:r>
    </w:p>
    <w:p w14:paraId="3BAE59CD" w14:textId="77777777" w:rsidR="005B274C" w:rsidRDefault="005B274C"/>
    <w:p w14:paraId="2AB7D3AF" w14:textId="77777777" w:rsidR="005B274C" w:rsidRDefault="005B274C"/>
    <w:p w14:paraId="69409B9E" w14:textId="77777777" w:rsidR="005B274C" w:rsidRDefault="005B274C"/>
    <w:p w14:paraId="6E9EDB54" w14:textId="77777777" w:rsidR="005B274C" w:rsidRDefault="005B274C"/>
    <w:p w14:paraId="5F512B09" w14:textId="77777777" w:rsidR="005B274C" w:rsidRDefault="005B274C"/>
    <w:p w14:paraId="47ECEC7C" w14:textId="77777777" w:rsidR="005B274C" w:rsidRDefault="005B274C"/>
    <w:p w14:paraId="67392052" w14:textId="77777777" w:rsidR="005B274C" w:rsidRDefault="005B274C"/>
  </w:footnote>
  <w:footnote w:type="continuationNotice" w:id="1">
    <w:p w14:paraId="47F57D85" w14:textId="77777777" w:rsidR="005B274C" w:rsidRDefault="005B274C"/>
  </w:footnote>
  <w:footnote w:id="2">
    <w:p w14:paraId="162F84A9" w14:textId="77777777" w:rsidR="00EC196F" w:rsidRDefault="00EC196F" w:rsidP="00634336">
      <w:pPr>
        <w:pStyle w:val="FootnoteText"/>
      </w:pPr>
      <w:r>
        <w:rPr>
          <w:rStyle w:val="FootnoteReference"/>
        </w:rPr>
        <w:footnoteRef/>
      </w:r>
      <w:r>
        <w:t xml:space="preserve"> AADCP II Cooperation Agreement (2 June 2009); Article 8.</w:t>
      </w:r>
    </w:p>
  </w:footnote>
  <w:footnote w:id="3">
    <w:p w14:paraId="3800FE05" w14:textId="77777777" w:rsidR="00EC196F" w:rsidRDefault="00EC196F">
      <w:pPr>
        <w:pStyle w:val="FootnoteText"/>
      </w:pPr>
      <w:r>
        <w:rPr>
          <w:rStyle w:val="FootnoteReference"/>
        </w:rPr>
        <w:footnoteRef/>
      </w:r>
      <w:r>
        <w:t xml:space="preserve"> AADCP II 2008. Program Design Document, p.23 (attached to the Cooperation Agreement)</w:t>
      </w:r>
    </w:p>
  </w:footnote>
  <w:footnote w:id="4">
    <w:p w14:paraId="191DC941" w14:textId="77777777" w:rsidR="00EC196F" w:rsidRDefault="00EC196F">
      <w:pPr>
        <w:pStyle w:val="FootnoteText"/>
      </w:pPr>
      <w:r>
        <w:rPr>
          <w:rStyle w:val="FootnoteReference"/>
        </w:rPr>
        <w:footnoteRef/>
      </w:r>
      <w:r>
        <w:t xml:space="preserve"> </w:t>
      </w:r>
      <w:r w:rsidRPr="00137CD9">
        <w:rPr>
          <w:lang w:val="en-US"/>
        </w:rPr>
        <w:t xml:space="preserve">Article 1 of the AEC Blueprint. </w:t>
      </w:r>
      <w:hyperlink r:id="rId1" w:history="1">
        <w:r w:rsidRPr="00137CD9">
          <w:rPr>
            <w:rStyle w:val="Hyperlink"/>
            <w:sz w:val="16"/>
            <w:lang w:val="en-US"/>
          </w:rPr>
          <w:t>https://asean.org/wp-content/uploads/archive/5187-10.pdf</w:t>
        </w:r>
      </w:hyperlink>
      <w:r w:rsidRPr="00137CD9">
        <w:rPr>
          <w:lang w:val="en-US"/>
        </w:rPr>
        <w:t xml:space="preserve">    </w:t>
      </w:r>
    </w:p>
  </w:footnote>
  <w:footnote w:id="5">
    <w:p w14:paraId="26BE8860" w14:textId="77777777" w:rsidR="00EC196F" w:rsidRDefault="00EC196F">
      <w:pPr>
        <w:pStyle w:val="FootnoteText"/>
      </w:pPr>
      <w:r>
        <w:rPr>
          <w:rStyle w:val="FootnoteReference"/>
        </w:rPr>
        <w:footnoteRef/>
      </w:r>
      <w:r>
        <w:t xml:space="preserve"> E.g. the Australian Department of Agriculture and the International Energy Agency have been involved to varying degrees in advising on the development of proposals.</w:t>
      </w:r>
    </w:p>
  </w:footnote>
  <w:footnote w:id="6">
    <w:p w14:paraId="76828278" w14:textId="77777777" w:rsidR="00EC196F" w:rsidRPr="00B90852" w:rsidRDefault="00EC196F" w:rsidP="00B90852">
      <w:pPr>
        <w:pStyle w:val="FootnoteText"/>
        <w:rPr>
          <w:lang w:val="en-US"/>
        </w:rPr>
      </w:pPr>
      <w:r>
        <w:rPr>
          <w:rStyle w:val="FootnoteReference"/>
        </w:rPr>
        <w:footnoteRef/>
      </w:r>
      <w:r>
        <w:t xml:space="preserve"> E.g., Three AADCP II initiatives (MPAC, IAI Work Plan III, and the </w:t>
      </w:r>
      <w:r w:rsidRPr="00B90852">
        <w:rPr>
          <w:lang w:val="en-US"/>
        </w:rPr>
        <w:t>Feasibility Study on Multilateral Power Trade</w:t>
      </w:r>
      <w:r w:rsidRPr="00B90852">
        <w:rPr>
          <w:i/>
          <w:iCs/>
          <w:lang w:val="en-US"/>
        </w:rPr>
        <w:t> </w:t>
      </w:r>
    </w:p>
    <w:p w14:paraId="07D42D42" w14:textId="77777777" w:rsidR="00EC196F" w:rsidRDefault="00EC196F">
      <w:pPr>
        <w:pStyle w:val="FootnoteText"/>
      </w:pPr>
      <w:r>
        <w:t>were highlighted has examples of areas of significant progress in the Chair’s Statement following the 35</w:t>
      </w:r>
      <w:r w:rsidRPr="008F3CF0">
        <w:rPr>
          <w:vertAlign w:val="superscript"/>
        </w:rPr>
        <w:t>th</w:t>
      </w:r>
      <w:r>
        <w:t xml:space="preserve"> ASEAN Summit in November 2019. </w:t>
      </w:r>
      <w:hyperlink r:id="rId2" w:history="1">
        <w:r w:rsidRPr="00990C47">
          <w:rPr>
            <w:rStyle w:val="Hyperlink"/>
            <w:sz w:val="16"/>
          </w:rPr>
          <w:t>https://asean.org/storage/2019/11/Chairs-Statement-of-the-35th-ASEAN-Summit-FINAL.pdf</w:t>
        </w:r>
      </w:hyperlink>
      <w:r>
        <w:t xml:space="preserve"> </w:t>
      </w:r>
    </w:p>
  </w:footnote>
  <w:footnote w:id="7">
    <w:p w14:paraId="71D8F399" w14:textId="77777777" w:rsidR="00EC196F" w:rsidRDefault="00EC196F">
      <w:pPr>
        <w:pStyle w:val="FootnoteText"/>
      </w:pPr>
      <w:r>
        <w:rPr>
          <w:rStyle w:val="FootnoteReference"/>
        </w:rPr>
        <w:footnoteRef/>
      </w:r>
      <w:r>
        <w:t xml:space="preserve"> GoA</w:t>
      </w:r>
      <w:r w:rsidRPr="00B244F0">
        <w:rPr>
          <w:lang w:val="en-US"/>
        </w:rPr>
        <w:t>, Foreign Policy White Paper, 2017. (p.</w:t>
      </w:r>
      <w:r>
        <w:rPr>
          <w:lang w:val="en-US"/>
        </w:rPr>
        <w:t xml:space="preserve"> 2</w:t>
      </w:r>
      <w:r w:rsidRPr="00B244F0">
        <w:rPr>
          <w:lang w:val="en-US"/>
        </w:rPr>
        <w:t>).</w:t>
      </w:r>
    </w:p>
  </w:footnote>
  <w:footnote w:id="8">
    <w:p w14:paraId="2B061E62" w14:textId="77777777" w:rsidR="00EC196F" w:rsidRDefault="00EC196F">
      <w:pPr>
        <w:pStyle w:val="FootnoteText"/>
      </w:pPr>
      <w:r>
        <w:rPr>
          <w:rStyle w:val="FootnoteReference"/>
        </w:rPr>
        <w:footnoteRef/>
      </w:r>
      <w:r>
        <w:t xml:space="preserve"> GoA</w:t>
      </w:r>
      <w:r w:rsidRPr="00B244F0">
        <w:rPr>
          <w:lang w:val="en-US"/>
        </w:rPr>
        <w:t>, Foreign Policy White Paper, 2017. (p.</w:t>
      </w:r>
      <w:r>
        <w:rPr>
          <w:lang w:val="en-US"/>
        </w:rPr>
        <w:t xml:space="preserve"> 43</w:t>
      </w:r>
      <w:r w:rsidRPr="00B244F0">
        <w:rPr>
          <w:lang w:val="en-US"/>
        </w:rPr>
        <w:t>).</w:t>
      </w:r>
    </w:p>
  </w:footnote>
  <w:footnote w:id="9">
    <w:p w14:paraId="24C85B5D" w14:textId="77777777" w:rsidR="00EC196F" w:rsidRDefault="00EC196F">
      <w:pPr>
        <w:pStyle w:val="FootnoteText"/>
      </w:pPr>
      <w:r>
        <w:rPr>
          <w:rStyle w:val="FootnoteReference"/>
        </w:rPr>
        <w:footnoteRef/>
      </w:r>
      <w:r>
        <w:t xml:space="preserve"> </w:t>
      </w:r>
      <w:r w:rsidRPr="00087D96">
        <w:rPr>
          <w:lang w:val="en-US"/>
        </w:rPr>
        <w:t xml:space="preserve">GoA, Foreign Policy White Paper, 2017. (p. </w:t>
      </w:r>
      <w:r>
        <w:rPr>
          <w:lang w:val="en-US"/>
        </w:rPr>
        <w:t>38</w:t>
      </w:r>
      <w:r w:rsidRPr="00087D96">
        <w:rPr>
          <w:lang w:val="en-US"/>
        </w:rPr>
        <w:t>).</w:t>
      </w:r>
    </w:p>
  </w:footnote>
  <w:footnote w:id="10">
    <w:p w14:paraId="3565B662" w14:textId="77777777" w:rsidR="00EC196F" w:rsidRDefault="00EC196F">
      <w:pPr>
        <w:pStyle w:val="FootnoteText"/>
      </w:pPr>
      <w:r>
        <w:rPr>
          <w:rStyle w:val="FootnoteReference"/>
        </w:rPr>
        <w:footnoteRef/>
      </w:r>
      <w:r>
        <w:t xml:space="preserve"> GoA</w:t>
      </w:r>
      <w:r w:rsidRPr="00B244F0">
        <w:rPr>
          <w:lang w:val="en-US"/>
        </w:rPr>
        <w:t>, Foreign Policy White Paper, 2017. (p.</w:t>
      </w:r>
      <w:r>
        <w:rPr>
          <w:lang w:val="en-US"/>
        </w:rPr>
        <w:t xml:space="preserve"> 4</w:t>
      </w:r>
      <w:r w:rsidRPr="00B244F0">
        <w:rPr>
          <w:lang w:val="en-US"/>
        </w:rPr>
        <w:t>).</w:t>
      </w:r>
    </w:p>
  </w:footnote>
  <w:footnote w:id="11">
    <w:p w14:paraId="1A129EE7" w14:textId="77777777" w:rsidR="00EC196F" w:rsidRDefault="00EC196F" w:rsidP="00B476CF">
      <w:pPr>
        <w:pStyle w:val="FootnoteText"/>
      </w:pPr>
      <w:r>
        <w:rPr>
          <w:rStyle w:val="FootnoteReference"/>
        </w:rPr>
        <w:footnoteRef/>
      </w:r>
      <w:r>
        <w:t xml:space="preserve"> </w:t>
      </w:r>
      <w:r w:rsidRPr="0075393A">
        <w:t>https://asean.mission.gov.au/files/AESN/Plan of Action to Implement the ASEAN-Australia Strategic Partnership.pdf</w:t>
      </w:r>
      <w:r>
        <w:t xml:space="preserve"> (see p.8.) </w:t>
      </w:r>
    </w:p>
  </w:footnote>
  <w:footnote w:id="12">
    <w:p w14:paraId="1B0C4A10" w14:textId="77777777" w:rsidR="00EC196F" w:rsidRDefault="00EC196F">
      <w:pPr>
        <w:pStyle w:val="FootnoteText"/>
      </w:pPr>
      <w:r>
        <w:rPr>
          <w:rStyle w:val="FootnoteReference"/>
        </w:rPr>
        <w:footnoteRef/>
      </w:r>
      <w:r>
        <w:t xml:space="preserve"> AADCP II Cooperation Agreement. 2009, Art. 8.</w:t>
      </w:r>
    </w:p>
  </w:footnote>
  <w:footnote w:id="13">
    <w:p w14:paraId="45DDFA3A" w14:textId="42EDEC88" w:rsidR="00EC196F" w:rsidRDefault="00EC196F">
      <w:pPr>
        <w:pStyle w:val="FootnoteText"/>
      </w:pPr>
      <w:r>
        <w:t>12 AADCP II Cooperation Agreement. 2009, pg 23.</w:t>
      </w:r>
    </w:p>
    <w:p w14:paraId="35ED90E3" w14:textId="1BFA38D8" w:rsidR="00EC196F" w:rsidRDefault="00EC196F">
      <w:pPr>
        <w:pStyle w:val="FootnoteText"/>
      </w:pPr>
    </w:p>
  </w:footnote>
  <w:footnote w:id="14">
    <w:p w14:paraId="75DC2948" w14:textId="77777777" w:rsidR="00EC196F" w:rsidRDefault="00EC196F">
      <w:pPr>
        <w:pStyle w:val="FootnoteText"/>
      </w:pPr>
      <w:r>
        <w:rPr>
          <w:rStyle w:val="FootnoteReference"/>
        </w:rPr>
        <w:footnoteRef/>
      </w:r>
      <w:r>
        <w:t xml:space="preserve"> Some DFAT staff argued that the goal had been set too high. One argument for retaining higher level goals is to ensure that program management remain focussed on the end results and not just on immediate outcomes. However, it is important that program managers are not held accountable for implausibly high-level results. If DFAT officials agreed that the original goals were set to high, the goals should be changed during the annual review process.</w:t>
      </w:r>
    </w:p>
  </w:footnote>
  <w:footnote w:id="15">
    <w:p w14:paraId="1A28A0AD" w14:textId="77777777" w:rsidR="00EC196F" w:rsidRPr="00D6326E" w:rsidRDefault="00EC196F">
      <w:pPr>
        <w:pStyle w:val="FootnoteText"/>
        <w:rPr>
          <w:bCs/>
        </w:rPr>
      </w:pPr>
      <w:r>
        <w:rPr>
          <w:rStyle w:val="FootnoteReference"/>
        </w:rPr>
        <w:footnoteRef/>
      </w:r>
      <w:r>
        <w:t xml:space="preserve"> See Clear Horizon 2017, </w:t>
      </w:r>
      <w:r>
        <w:rPr>
          <w:bCs/>
        </w:rPr>
        <w:t>AADCP</w:t>
      </w:r>
      <w:r w:rsidRPr="00D6326E">
        <w:rPr>
          <w:bCs/>
        </w:rPr>
        <w:t xml:space="preserve"> II:</w:t>
      </w:r>
      <w:r>
        <w:rPr>
          <w:bCs/>
        </w:rPr>
        <w:t xml:space="preserve"> </w:t>
      </w:r>
      <w:r w:rsidRPr="00D6326E">
        <w:rPr>
          <w:bCs/>
        </w:rPr>
        <w:t>Review of Monitoring, Evaluation &amp; Learning</w:t>
      </w:r>
      <w:r>
        <w:rPr>
          <w:bCs/>
        </w:rPr>
        <w:t>.</w:t>
      </w:r>
    </w:p>
  </w:footnote>
  <w:footnote w:id="16">
    <w:p w14:paraId="23A8C785" w14:textId="77777777" w:rsidR="00EC196F" w:rsidRDefault="00EC196F">
      <w:pPr>
        <w:pStyle w:val="FootnoteText"/>
      </w:pPr>
      <w:r>
        <w:rPr>
          <w:rStyle w:val="FootnoteReference"/>
        </w:rPr>
        <w:footnoteRef/>
      </w:r>
      <w:r>
        <w:t xml:space="preserve"> This dual approach to targeting capacity building was clearly described in the Program Design Framework (e.g. p.5.)</w:t>
      </w:r>
    </w:p>
  </w:footnote>
  <w:footnote w:id="17">
    <w:p w14:paraId="1CFAF569" w14:textId="77777777" w:rsidR="00EC196F" w:rsidRDefault="00EC196F">
      <w:pPr>
        <w:pStyle w:val="FootnoteText"/>
      </w:pPr>
      <w:r>
        <w:rPr>
          <w:rStyle w:val="FootnoteReference"/>
        </w:rPr>
        <w:footnoteRef/>
      </w:r>
      <w:r>
        <w:t xml:space="preserve"> As of 31 October 2019, AADCP II support had contributed to the completion of 66 projects, another 17 are being implemented, and another 9 are in the pipeline for approval.</w:t>
      </w:r>
    </w:p>
  </w:footnote>
  <w:footnote w:id="18">
    <w:p w14:paraId="62A58A8B" w14:textId="77777777" w:rsidR="00EC196F" w:rsidRDefault="00EC196F">
      <w:pPr>
        <w:pStyle w:val="FootnoteText"/>
      </w:pPr>
      <w:r>
        <w:rPr>
          <w:rStyle w:val="FootnoteReference"/>
        </w:rPr>
        <w:footnoteRef/>
      </w:r>
      <w:r>
        <w:t xml:space="preserve"> </w:t>
      </w:r>
      <w:hyperlink r:id="rId3" w:history="1">
        <w:r w:rsidRPr="001D25BE">
          <w:rPr>
            <w:rStyle w:val="Hyperlink"/>
            <w:sz w:val="16"/>
            <w:lang w:val="en-US"/>
          </w:rPr>
          <w:t>https://asean.org/asean-investment-report-2019-fdi-services-focus-health-care/</w:t>
        </w:r>
      </w:hyperlink>
    </w:p>
  </w:footnote>
  <w:footnote w:id="19">
    <w:p w14:paraId="03C0E8B1" w14:textId="77777777" w:rsidR="00EC196F" w:rsidRDefault="00EC196F">
      <w:pPr>
        <w:pStyle w:val="FootnoteText"/>
      </w:pPr>
      <w:r>
        <w:rPr>
          <w:rStyle w:val="FootnoteReference"/>
        </w:rPr>
        <w:footnoteRef/>
      </w:r>
      <w:r>
        <w:t xml:space="preserve"> A recent review of the IAI work plan provides evidence of national level impacts of IAI projects. </w:t>
      </w:r>
    </w:p>
  </w:footnote>
  <w:footnote w:id="20">
    <w:p w14:paraId="1AAB7AE3" w14:textId="77777777" w:rsidR="00EC196F" w:rsidRDefault="00EC196F">
      <w:pPr>
        <w:pStyle w:val="FootnoteText"/>
      </w:pPr>
      <w:r>
        <w:rPr>
          <w:rStyle w:val="FootnoteReference"/>
        </w:rPr>
        <w:footnoteRef/>
      </w:r>
      <w:r>
        <w:t xml:space="preserve"> </w:t>
      </w:r>
      <w:r w:rsidRPr="0036347A">
        <w:rPr>
          <w:lang w:val="en-US"/>
        </w:rPr>
        <w:t>Ideally, it would be better to track the influence of these studies on specific changes to regional policy.  Because the availability of such tracking data is limited, the team has looked for written references to documents in regional forum and interviews with key informants to assess influence.</w:t>
      </w:r>
    </w:p>
  </w:footnote>
  <w:footnote w:id="21">
    <w:p w14:paraId="3F960CDD" w14:textId="77777777" w:rsidR="00EC196F" w:rsidRDefault="00EC196F">
      <w:pPr>
        <w:pStyle w:val="FootnoteText"/>
      </w:pPr>
      <w:r>
        <w:rPr>
          <w:rStyle w:val="FootnoteReference"/>
        </w:rPr>
        <w:footnoteRef/>
      </w:r>
      <w:r>
        <w:t xml:space="preserve"> Proposals for AADCP II support to implement an ASEAN Business Sentiment Survey in 2020, and to strengthen business advocacy skills of business associations in CLMV, may help to identify potential areas to strengthen engagement with the business sector. Another proposal for substantive support for MSME development is in the pipeline for approval in 2020.</w:t>
      </w:r>
    </w:p>
  </w:footnote>
  <w:footnote w:id="22">
    <w:p w14:paraId="7A784F2D" w14:textId="77777777" w:rsidR="00EC196F" w:rsidRPr="00DF230F" w:rsidRDefault="00EC196F" w:rsidP="00DF230F">
      <w:pPr>
        <w:pStyle w:val="FootnoteText"/>
        <w:rPr>
          <w:lang w:val="en-US"/>
        </w:rPr>
      </w:pPr>
      <w:r>
        <w:rPr>
          <w:rStyle w:val="FootnoteReference"/>
        </w:rPr>
        <w:footnoteRef/>
      </w:r>
      <w:r>
        <w:t xml:space="preserve"> The </w:t>
      </w:r>
      <w:r w:rsidRPr="00DF230F">
        <w:t xml:space="preserve">MPAC, IAI Work Plan III, and the </w:t>
      </w:r>
      <w:r w:rsidRPr="00DF230F">
        <w:rPr>
          <w:lang w:val="en-US"/>
        </w:rPr>
        <w:t>Feasibility Study on Multilateral Power Trade</w:t>
      </w:r>
      <w:r w:rsidRPr="00DF230F">
        <w:rPr>
          <w:i/>
          <w:iCs/>
          <w:lang w:val="en-US"/>
        </w:rPr>
        <w:t> </w:t>
      </w:r>
      <w:r w:rsidRPr="00DF230F">
        <w:rPr>
          <w:lang w:val="en-US"/>
        </w:rPr>
        <w:t xml:space="preserve">were </w:t>
      </w:r>
      <w:r>
        <w:rPr>
          <w:lang w:val="en-US"/>
        </w:rPr>
        <w:t xml:space="preserve">all </w:t>
      </w:r>
      <w:r w:rsidRPr="00DF230F">
        <w:rPr>
          <w:lang w:val="en-US"/>
        </w:rPr>
        <w:t>highlighted has examples of areas of significant progress in the Chair’s Statement following the 35</w:t>
      </w:r>
      <w:r w:rsidRPr="00DF230F">
        <w:rPr>
          <w:vertAlign w:val="superscript"/>
          <w:lang w:val="en-US"/>
        </w:rPr>
        <w:t>th</w:t>
      </w:r>
      <w:r w:rsidRPr="00DF230F">
        <w:rPr>
          <w:lang w:val="en-US"/>
        </w:rPr>
        <w:t xml:space="preserve"> ASEAN Summit in November 2019. </w:t>
      </w:r>
      <w:hyperlink r:id="rId4" w:history="1">
        <w:r w:rsidRPr="00DF230F">
          <w:rPr>
            <w:rStyle w:val="Hyperlink"/>
            <w:sz w:val="16"/>
            <w:lang w:val="en-US"/>
          </w:rPr>
          <w:t>https://asean.org/storage/2019/11/Chairs-Statement-of-the-35th-ASEAN-Summit-FINAL.pdf</w:t>
        </w:r>
      </w:hyperlink>
    </w:p>
  </w:footnote>
  <w:footnote w:id="23">
    <w:p w14:paraId="748269D4" w14:textId="77777777" w:rsidR="00EC196F" w:rsidRDefault="00EC196F" w:rsidP="00DD7937">
      <w:pPr>
        <w:pStyle w:val="FootnoteText"/>
      </w:pPr>
      <w:r>
        <w:rPr>
          <w:rStyle w:val="FootnoteReference"/>
        </w:rPr>
        <w:footnoteRef/>
      </w:r>
      <w:r>
        <w:t xml:space="preserve"> ASEC representatives recognized that they need to be in a position to provide credible evidence of potential national level impacts of sensitive or major initiatives (e.g. the ASEAN Power Grid) to help “sell” the initiatives to national leaders and broader national stakeholders. </w:t>
      </w:r>
    </w:p>
  </w:footnote>
  <w:footnote w:id="24">
    <w:p w14:paraId="4A22ED37" w14:textId="77777777" w:rsidR="00EC196F" w:rsidRDefault="00EC196F" w:rsidP="00D604F7">
      <w:pPr>
        <w:pStyle w:val="FootnoteText"/>
      </w:pPr>
      <w:r>
        <w:rPr>
          <w:rStyle w:val="FootnoteReference"/>
        </w:rPr>
        <w:footnoteRef/>
      </w:r>
      <w:r>
        <w:t xml:space="preserve"> </w:t>
      </w:r>
      <w:r w:rsidRPr="00915A78">
        <w:t xml:space="preserve">For example, the contributions of the Australian Competition and Consumer Commission (ACCC) and Intellectual Property Australia (IP Australia) were highlighted as being directly relevant in the provision </w:t>
      </w:r>
      <w:r>
        <w:t>of</w:t>
      </w:r>
      <w:r w:rsidRPr="00915A78">
        <w:t xml:space="preserve"> AECSP support. The use of the WOG approaches was more systematic in the case of AECSP as these various agencies directly worked with their ASEAN counterpart in AANZFTA committee meetings, and because key agencies (ACCC and IP Australia) has clear mandates to engage with regional counterparts to facilitate harmonization.</w:t>
      </w:r>
    </w:p>
  </w:footnote>
  <w:footnote w:id="25">
    <w:p w14:paraId="38F332EB" w14:textId="77777777" w:rsidR="00EC196F" w:rsidRDefault="00EC196F" w:rsidP="00B020F9">
      <w:pPr>
        <w:pStyle w:val="FootnoteText"/>
      </w:pPr>
      <w:r>
        <w:rPr>
          <w:rStyle w:val="FootnoteReference"/>
        </w:rPr>
        <w:footnoteRef/>
      </w:r>
      <w:r>
        <w:t xml:space="preserve"> The Australian WOG strategy for engagement in the agriculture sector in Viet Nam was mentioned as a possible model that could be adapted to develop region wide strategies.</w:t>
      </w:r>
    </w:p>
  </w:footnote>
  <w:footnote w:id="26">
    <w:p w14:paraId="64F53656" w14:textId="77777777" w:rsidR="00EC196F" w:rsidRDefault="00EC196F" w:rsidP="003C4B72">
      <w:pPr>
        <w:pStyle w:val="FootnoteText"/>
      </w:pPr>
      <w:r>
        <w:rPr>
          <w:rStyle w:val="FootnoteReference"/>
        </w:rPr>
        <w:footnoteRef/>
      </w:r>
      <w:r>
        <w:t xml:space="preserve"> Part 2 of the “</w:t>
      </w:r>
      <w:hyperlink r:id="rId5" w:history="1">
        <w:r w:rsidRPr="00634336">
          <w:rPr>
            <w:rStyle w:val="Hyperlink"/>
            <w:sz w:val="16"/>
          </w:rPr>
          <w:t>Plan of Action to Implement the ASEAN-Australia Strategic Partnership (2015-2019)”</w:t>
        </w:r>
      </w:hyperlink>
      <w:r>
        <w:t xml:space="preserve"> provides a starting point, but more detail to identify the instruments (programs and/or projects) needed to achieve the targets might be useful in guiding the design of future programs and improving coordination  between programs. </w:t>
      </w:r>
    </w:p>
  </w:footnote>
  <w:footnote w:id="27">
    <w:p w14:paraId="2E3280B2" w14:textId="77777777" w:rsidR="00EC196F" w:rsidRDefault="00EC196F" w:rsidP="00B020F9">
      <w:pPr>
        <w:pStyle w:val="FootnoteText"/>
      </w:pPr>
      <w:r>
        <w:rPr>
          <w:rStyle w:val="FootnoteReference"/>
        </w:rPr>
        <w:footnoteRef/>
      </w:r>
      <w:r>
        <w:t xml:space="preserve"> Some flexibility would need to be retained to respond to emerging new ASEAN priorities.</w:t>
      </w:r>
    </w:p>
  </w:footnote>
  <w:footnote w:id="28">
    <w:p w14:paraId="62800561" w14:textId="77777777" w:rsidR="00EC196F" w:rsidRDefault="00EC196F" w:rsidP="00215229">
      <w:pPr>
        <w:pStyle w:val="FootnoteText"/>
      </w:pPr>
      <w:r>
        <w:rPr>
          <w:rStyle w:val="FootnoteReference"/>
        </w:rPr>
        <w:footnoteRef/>
      </w:r>
      <w:r>
        <w:t xml:space="preserve"> A specific targeted action in the “Plan of Action.”” is to “Explore support in implementing the ASEAN Mutual Recognition Arrangement for Inspection and Certification Systems on Food Hygiene for Prepared Foodstuff Products” </w:t>
      </w:r>
    </w:p>
  </w:footnote>
  <w:footnote w:id="29">
    <w:p w14:paraId="645B3679" w14:textId="77777777" w:rsidR="00EC196F" w:rsidRDefault="00EC196F">
      <w:pPr>
        <w:pStyle w:val="FootnoteText"/>
      </w:pPr>
      <w:r>
        <w:rPr>
          <w:rStyle w:val="FootnoteReference"/>
        </w:rPr>
        <w:footnoteRef/>
      </w:r>
      <w:r>
        <w:t xml:space="preserve"> The Australian Productivity Commission provides a useful model of the benefits from broad-based consultations in building support for economic reform agendas,</w:t>
      </w:r>
    </w:p>
  </w:footnote>
  <w:footnote w:id="30">
    <w:p w14:paraId="1A45B0CD" w14:textId="77777777" w:rsidR="00EC196F" w:rsidRDefault="00EC196F">
      <w:pPr>
        <w:pStyle w:val="FootnoteText"/>
      </w:pPr>
      <w:r>
        <w:rPr>
          <w:rStyle w:val="FootnoteReference"/>
        </w:rPr>
        <w:footnoteRef/>
      </w:r>
      <w:r>
        <w:t xml:space="preserve"> Finance Officer and Contracts Officer</w:t>
      </w:r>
    </w:p>
  </w:footnote>
  <w:footnote w:id="31">
    <w:p w14:paraId="7E9C7113" w14:textId="77777777" w:rsidR="00EC196F" w:rsidRDefault="00EC196F" w:rsidP="00D604F7">
      <w:pPr>
        <w:pStyle w:val="FootnoteText"/>
      </w:pPr>
      <w:r>
        <w:rPr>
          <w:rStyle w:val="FootnoteReference"/>
        </w:rPr>
        <w:footnoteRef/>
      </w:r>
      <w:r>
        <w:t xml:space="preserve"> Including bilateral development assistance programs in Cambodia, Indonesia, Laos, Myanmar, the Philippines and Viet Nam.</w:t>
      </w:r>
    </w:p>
  </w:footnote>
  <w:footnote w:id="32">
    <w:p w14:paraId="52AAE67A" w14:textId="77777777" w:rsidR="00EC196F" w:rsidRDefault="00EC196F" w:rsidP="00FC6195">
      <w:pPr>
        <w:pStyle w:val="FootnoteText"/>
      </w:pPr>
      <w:r>
        <w:rPr>
          <w:rStyle w:val="FootnoteReference"/>
        </w:rPr>
        <w:footnoteRef/>
      </w:r>
      <w:r>
        <w:t xml:space="preserve"> </w:t>
      </w:r>
      <w:hyperlink r:id="rId6" w:history="1">
        <w:r w:rsidRPr="006B1417">
          <w:t>https://dfat.gov.au/aid/who-we-work-with/value-for-money-principles/Pages/value-for-money-principles.aspx</w:t>
        </w:r>
      </w:hyperlink>
    </w:p>
  </w:footnote>
  <w:footnote w:id="33">
    <w:p w14:paraId="0158CAD7" w14:textId="77777777" w:rsidR="00EC196F" w:rsidRDefault="00EC196F" w:rsidP="00FC6195">
      <w:pPr>
        <w:pStyle w:val="FootnoteText"/>
      </w:pPr>
      <w:r>
        <w:rPr>
          <w:rStyle w:val="FootnoteReference"/>
        </w:rPr>
        <w:footnoteRef/>
      </w:r>
      <w:r>
        <w:t xml:space="preserve"> EU-ARISE was mentioned by several ASEC officers as another ‘go-to’ Dialogue Partner that provides flexible support to ASEC and ASEAN Sectoral Bodies.</w:t>
      </w:r>
    </w:p>
  </w:footnote>
  <w:footnote w:id="34">
    <w:p w14:paraId="466A3887" w14:textId="77777777" w:rsidR="00EC196F" w:rsidRDefault="00EC196F">
      <w:pPr>
        <w:pStyle w:val="FootnoteText"/>
      </w:pPr>
      <w:r>
        <w:rPr>
          <w:rStyle w:val="FootnoteReference"/>
        </w:rPr>
        <w:footnoteRef/>
      </w:r>
      <w:r>
        <w:t xml:space="preserve"> Deloitte undertook a Public Financial Review of AADCP II and AECSP in 2018</w:t>
      </w:r>
    </w:p>
  </w:footnote>
  <w:footnote w:id="35">
    <w:p w14:paraId="74076324" w14:textId="77777777" w:rsidR="00EC196F" w:rsidRDefault="00EC196F">
      <w:pPr>
        <w:pStyle w:val="FootnoteText"/>
      </w:pPr>
      <w:r>
        <w:rPr>
          <w:rStyle w:val="FootnoteReference"/>
        </w:rPr>
        <w:footnoteRef/>
      </w:r>
      <w:r>
        <w:t xml:space="preserve"> The Committee of Permanent Representatives (CPR) is an ASEC mechanism used by some DPs for project proposal approval. It was noted by ASEC that the CPR process causes delays in proposal approval and implementation as a result. </w:t>
      </w:r>
    </w:p>
  </w:footnote>
  <w:footnote w:id="36">
    <w:p w14:paraId="139FEAD3" w14:textId="77777777" w:rsidR="00EC196F" w:rsidRDefault="00EC196F" w:rsidP="00FC6195">
      <w:pPr>
        <w:pStyle w:val="FootnoteText"/>
      </w:pPr>
      <w:r>
        <w:rPr>
          <w:rStyle w:val="FootnoteReference"/>
        </w:rPr>
        <w:footnoteRef/>
      </w:r>
      <w:r>
        <w:t xml:space="preserve"> One ASEC staff noted that they sometimes reconsider using AADCP II support because they have to develop the proposals themselves and don’t have the time to do so. This has led to them to engage other DPs.</w:t>
      </w:r>
    </w:p>
  </w:footnote>
  <w:footnote w:id="37">
    <w:p w14:paraId="79005ACB" w14:textId="77777777" w:rsidR="00EC196F" w:rsidRDefault="00EC196F">
      <w:pPr>
        <w:pStyle w:val="FootnoteText"/>
      </w:pPr>
      <w:r>
        <w:rPr>
          <w:rStyle w:val="FootnoteReference"/>
        </w:rPr>
        <w:footnoteRef/>
      </w:r>
      <w:r>
        <w:t xml:space="preserve"> DFAT Guidance Note: Facility Investments 2018</w:t>
      </w:r>
    </w:p>
  </w:footnote>
  <w:footnote w:id="38">
    <w:p w14:paraId="1DA81C27" w14:textId="77777777" w:rsidR="00EC196F" w:rsidRDefault="00EC196F">
      <w:pPr>
        <w:pStyle w:val="FootnoteText"/>
      </w:pPr>
      <w:r>
        <w:rPr>
          <w:rStyle w:val="FootnoteReference"/>
        </w:rPr>
        <w:footnoteRef/>
      </w:r>
      <w:r>
        <w:t xml:space="preserve"> This is based on the Strength of Evidence rubric in DFAT’s internal AQC reports</w:t>
      </w:r>
    </w:p>
  </w:footnote>
  <w:footnote w:id="39">
    <w:p w14:paraId="554CC821" w14:textId="77777777" w:rsidR="00EC196F" w:rsidRDefault="00EC196F">
      <w:pPr>
        <w:pStyle w:val="FootnoteText"/>
      </w:pPr>
      <w:r>
        <w:rPr>
          <w:rStyle w:val="FootnoteReference"/>
        </w:rPr>
        <w:footnoteRef/>
      </w:r>
      <w:r>
        <w:t xml:space="preserve"> The “</w:t>
      </w:r>
      <w:hyperlink r:id="rId7" w:history="1">
        <w:r w:rsidRPr="00634336">
          <w:rPr>
            <w:rStyle w:val="Hyperlink"/>
            <w:sz w:val="16"/>
          </w:rPr>
          <w:t>Plan of Action to Implement the ASEAN-Australia Strategic Partnership (2015-2019)”</w:t>
        </w:r>
      </w:hyperlink>
      <w:r>
        <w:t xml:space="preserve"> states that Australia should continue to support the implementation of the AEC blueprint through the AADCP II and “its successor program in 2022 on the basis of equal benefit and opportunity for all parties”.</w:t>
      </w:r>
    </w:p>
  </w:footnote>
  <w:footnote w:id="40">
    <w:p w14:paraId="7DA66A28" w14:textId="77777777" w:rsidR="00EC196F" w:rsidRDefault="00EC196F">
      <w:pPr>
        <w:pStyle w:val="FootnoteText"/>
      </w:pPr>
      <w:r>
        <w:rPr>
          <w:rStyle w:val="FootnoteReference"/>
        </w:rPr>
        <w:footnoteRef/>
      </w:r>
      <w:r>
        <w:t xml:space="preserve"> See also 2.2.10 of the Australia-ASEAN “Plan of Action”</w:t>
      </w:r>
    </w:p>
  </w:footnote>
  <w:footnote w:id="41">
    <w:p w14:paraId="74438E5E" w14:textId="77777777" w:rsidR="00EC196F" w:rsidRDefault="00EC196F">
      <w:pPr>
        <w:pStyle w:val="FootnoteText"/>
      </w:pPr>
      <w:r>
        <w:rPr>
          <w:rStyle w:val="FootnoteReference"/>
        </w:rPr>
        <w:footnoteRef/>
      </w:r>
      <w:r>
        <w:t xml:space="preserve"> Part 2 of the “</w:t>
      </w:r>
      <w:hyperlink r:id="rId8" w:history="1">
        <w:r w:rsidRPr="00634336">
          <w:rPr>
            <w:rStyle w:val="Hyperlink"/>
            <w:sz w:val="16"/>
          </w:rPr>
          <w:t>Plan of Action to Implement the ASEAN-Australia Strategic Partnership (2015-2019)”</w:t>
        </w:r>
      </w:hyperlink>
      <w:r>
        <w:t xml:space="preserve"> provides a starting point, but more detail to identify the instruments (programs and/or projects) needed to achieve the targets might be useful in guiding the design of future programs and improving coordination  between programs. </w:t>
      </w:r>
    </w:p>
  </w:footnote>
  <w:footnote w:id="42">
    <w:p w14:paraId="13359488" w14:textId="3871CBC1" w:rsidR="00EC196F" w:rsidRDefault="00EC196F">
      <w:pPr>
        <w:pStyle w:val="FootnoteText"/>
      </w:pPr>
      <w:r>
        <w:rPr>
          <w:rStyle w:val="FootnoteReference"/>
        </w:rPr>
        <w:footnoteRef/>
      </w:r>
      <w:r>
        <w:t xml:space="preserve"> ASEC senior officials noted that ASEAN may revisit the use of an Australian official as the AADCP II Program Director as opposed to an externally contracted Project Director.  </w:t>
      </w:r>
    </w:p>
  </w:footnote>
  <w:footnote w:id="43">
    <w:p w14:paraId="098FEDF1" w14:textId="77777777" w:rsidR="00EC196F" w:rsidRDefault="00EC196F" w:rsidP="000016C9">
      <w:pPr>
        <w:pStyle w:val="FootnoteText"/>
      </w:pPr>
      <w:r>
        <w:rPr>
          <w:rStyle w:val="FootnoteReference"/>
        </w:rPr>
        <w:footnoteRef/>
      </w:r>
      <w:r>
        <w:t xml:space="preserve"> Other dialogue partners were not as forthcoming with information and as a result, the review team’s discussions with them were limited. </w:t>
      </w:r>
    </w:p>
  </w:footnote>
  <w:footnote w:id="44">
    <w:p w14:paraId="211D57E1" w14:textId="77777777" w:rsidR="007C3E96" w:rsidRDefault="007C3E96" w:rsidP="000016C9">
      <w:pPr>
        <w:pStyle w:val="FootnoteText"/>
      </w:pPr>
    </w:p>
    <w:p w14:paraId="71A7E36E" w14:textId="737315EF" w:rsidR="00EC196F" w:rsidRDefault="00EC196F" w:rsidP="000016C9">
      <w:pPr>
        <w:pStyle w:val="FootnoteText"/>
      </w:pPr>
      <w:r>
        <w:rPr>
          <w:rStyle w:val="FootnoteReference"/>
        </w:rPr>
        <w:footnoteRef/>
      </w:r>
      <w:r>
        <w:t xml:space="preserve"> </w:t>
      </w:r>
      <w:hyperlink r:id="rId9" w:history="1">
        <w:r>
          <w:rPr>
            <w:rStyle w:val="Hyperlink"/>
          </w:rPr>
          <w:t>https://ariseplus.asean.org/</w:t>
        </w:r>
      </w:hyperlink>
    </w:p>
  </w:footnote>
  <w:footnote w:id="45">
    <w:p w14:paraId="50CCEB98" w14:textId="77777777" w:rsidR="00EC196F" w:rsidRPr="007214D6" w:rsidRDefault="00EC196F">
      <w:pPr>
        <w:pStyle w:val="FootnoteText"/>
        <w:rPr>
          <w:lang w:val="en-US"/>
        </w:rPr>
      </w:pPr>
      <w:r>
        <w:rPr>
          <w:rStyle w:val="FootnoteReference"/>
        </w:rPr>
        <w:footnoteRef/>
      </w:r>
      <w:r>
        <w:t xml:space="preserve"> </w:t>
      </w:r>
      <w:r>
        <w:rPr>
          <w:lang w:val="en-US"/>
        </w:rPr>
        <w:t>Direct data collection for instance</w:t>
      </w:r>
    </w:p>
  </w:footnote>
  <w:footnote w:id="46">
    <w:p w14:paraId="60771124" w14:textId="77777777" w:rsidR="00EC196F" w:rsidRDefault="00EC196F">
      <w:pPr>
        <w:pStyle w:val="FootnoteText"/>
      </w:pPr>
      <w:r>
        <w:rPr>
          <w:rStyle w:val="FootnoteReference"/>
        </w:rPr>
        <w:footnoteRef/>
      </w:r>
      <w:r>
        <w:t xml:space="preserve"> Senior Officials Meeting on Transnational Crime</w:t>
      </w:r>
    </w:p>
  </w:footnote>
  <w:footnote w:id="47">
    <w:p w14:paraId="52D973A2" w14:textId="77777777" w:rsidR="00EC196F" w:rsidRDefault="00EC196F">
      <w:pPr>
        <w:pStyle w:val="FootnoteText"/>
      </w:pPr>
      <w:r>
        <w:rPr>
          <w:rStyle w:val="FootnoteReference"/>
        </w:rPr>
        <w:footnoteRef/>
      </w:r>
      <w:r>
        <w:t xml:space="preserve"> </w:t>
      </w:r>
      <w:r w:rsidRPr="00F5192D">
        <w:t>Discussion Paper: Design, Monitoring and Evaluation of Facilities</w:t>
      </w:r>
      <w:r>
        <w:t xml:space="preserve">, 2009; </w:t>
      </w:r>
      <w:r w:rsidRPr="006A6570">
        <w:t>Susan Dawson,</w:t>
      </w:r>
    </w:p>
  </w:footnote>
  <w:footnote w:id="48">
    <w:p w14:paraId="5320C8EF" w14:textId="076FD12D" w:rsidR="00B712DC" w:rsidRDefault="00EC196F">
      <w:r>
        <w:rPr>
          <w:rStyle w:val="FootnoteReference"/>
        </w:rPr>
        <w:footnoteRef/>
      </w:r>
      <w:r>
        <w:t xml:space="preserve"> This is based on the AQC strength of evidence rubric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96B5F" w14:textId="77777777" w:rsidR="008B7CB0" w:rsidRDefault="008B7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7C370" w14:textId="77777777" w:rsidR="00EC196F" w:rsidRDefault="00EC196F" w:rsidP="00044338">
    <w:pPr>
      <w:shd w:val="clear" w:color="auto" w:fill="0C81AC"/>
      <w:ind w:left="-1928" w:right="-1871"/>
    </w:pPr>
  </w:p>
  <w:p w14:paraId="21F1975A" w14:textId="77777777" w:rsidR="00EC196F" w:rsidRDefault="00EC196F" w:rsidP="00044338">
    <w:pPr>
      <w:shd w:val="clear" w:color="auto" w:fill="0C81AC"/>
      <w:ind w:left="-1928" w:right="-1871"/>
    </w:pPr>
  </w:p>
  <w:p w14:paraId="4C480E3E" w14:textId="77777777" w:rsidR="00EC196F" w:rsidRDefault="00EC196F" w:rsidP="00044338">
    <w:pPr>
      <w:shd w:val="clear" w:color="auto" w:fill="0C81AC"/>
      <w:spacing w:before="100" w:beforeAutospacing="1"/>
      <w:ind w:left="-1928" w:right="-1871"/>
    </w:pPr>
  </w:p>
  <w:p w14:paraId="0357435C" w14:textId="77777777" w:rsidR="00EC196F" w:rsidRDefault="00EC196F" w:rsidP="00044338"/>
  <w:p w14:paraId="45BFC3F0" w14:textId="77777777" w:rsidR="00EC196F" w:rsidRDefault="00EC196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3E522" w14:textId="77777777" w:rsidR="00EC196F" w:rsidRDefault="00EC196F" w:rsidP="0088052D">
    <w:pPr>
      <w:pStyle w:val="Header"/>
    </w:pPr>
    <w:r>
      <w:rPr>
        <w:noProof/>
        <w:lang w:val="en-AU" w:eastAsia="en-AU"/>
      </w:rPr>
      <mc:AlternateContent>
        <mc:Choice Requires="wps">
          <w:drawing>
            <wp:anchor distT="0" distB="0" distL="114300" distR="114300" simplePos="0" relativeHeight="251730944" behindDoc="0" locked="0" layoutInCell="1" allowOverlap="1" wp14:anchorId="0712B679" wp14:editId="73EEE1BF">
              <wp:simplePos x="0" y="0"/>
              <wp:positionH relativeFrom="page">
                <wp:posOffset>-27160</wp:posOffset>
              </wp:positionH>
              <wp:positionV relativeFrom="page">
                <wp:posOffset>-27160</wp:posOffset>
              </wp:positionV>
              <wp:extent cx="7631140" cy="1023042"/>
              <wp:effectExtent l="0" t="0" r="1905" b="5715"/>
              <wp:wrapNone/>
              <wp:docPr id="47" name="Rectangle 47" title="Document Title"/>
              <wp:cNvGraphicFramePr/>
              <a:graphic xmlns:a="http://schemas.openxmlformats.org/drawingml/2006/main">
                <a:graphicData uri="http://schemas.microsoft.com/office/word/2010/wordprocessingShape">
                  <wps:wsp>
                    <wps:cNvSpPr/>
                    <wps:spPr>
                      <a:xfrm>
                        <a:off x="0" y="0"/>
                        <a:ext cx="7631140" cy="1023042"/>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13414" w14:textId="423A3192" w:rsidR="00EC196F" w:rsidRDefault="00EC196F">
                          <w:pPr>
                            <w:pStyle w:val="NoSpacing"/>
                            <w:jc w:val="center"/>
                            <w:rPr>
                              <w:b/>
                              <w:caps/>
                              <w:spacing w:val="20"/>
                              <w:sz w:val="28"/>
                              <w:szCs w:val="28"/>
                            </w:rPr>
                          </w:pPr>
                          <w:r>
                            <w:rPr>
                              <w:b/>
                              <w:caps/>
                              <w:spacing w:val="20"/>
                              <w:sz w:val="28"/>
                              <w:szCs w:val="28"/>
                            </w:rPr>
                            <w:t>Independent Review AADCP II</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12B679" id="Rectangle 47" o:spid="_x0000_s1026" alt="Title: Document Title" style="position:absolute;margin-left:-2.15pt;margin-top:-2.15pt;width:600.9pt;height:80.5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" fillcolor="#0070c0" stroked="f" strokeweight="2pt">
              <v:textbox inset=",0,,0">
                <w:txbxContent>
                  <w:p w14:paraId="1B213414" w14:textId="423A3192" w:rsidR="00EC196F" w:rsidRDefault="00EC196F">
                    <w:pPr>
                      <w:pStyle w:val="NoSpacing"/>
                      <w:jc w:val="center"/>
                      <w:rPr>
                        <w:b/>
                        <w:caps/>
                        <w:spacing w:val="20"/>
                        <w:sz w:val="28"/>
                        <w:szCs w:val="28"/>
                      </w:rPr>
                    </w:pPr>
                    <w:r>
                      <w:rPr>
                        <w:b/>
                        <w:caps/>
                        <w:spacing w:val="20"/>
                        <w:sz w:val="28"/>
                        <w:szCs w:val="28"/>
                      </w:rPr>
                      <w:t>Independent Review AADCP II</w:t>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BEA92" w14:textId="77777777" w:rsidR="00EC196F" w:rsidRDefault="00EC196F"/>
  <w:p w14:paraId="132295FE" w14:textId="77777777" w:rsidR="00EC196F" w:rsidRDefault="00EC196F"/>
  <w:p w14:paraId="30E0F888" w14:textId="77777777" w:rsidR="00EC196F" w:rsidRDefault="00EC196F"/>
  <w:p w14:paraId="41AB4948" w14:textId="77777777" w:rsidR="00EC196F" w:rsidRDefault="00EC196F"/>
  <w:p w14:paraId="63271AC2" w14:textId="77777777" w:rsidR="00EC196F" w:rsidRDefault="00EC196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668DD" w14:textId="77777777" w:rsidR="00EC196F" w:rsidRDefault="00EC196F" w:rsidP="00044338">
    <w:pPr>
      <w:shd w:val="clear" w:color="auto" w:fill="0C81AC"/>
      <w:ind w:left="-1928" w:right="-1871"/>
    </w:pPr>
  </w:p>
  <w:p w14:paraId="2981BA22" w14:textId="77777777" w:rsidR="00EC196F" w:rsidRDefault="00EC196F" w:rsidP="00044338">
    <w:pPr>
      <w:shd w:val="clear" w:color="auto" w:fill="0C81AC"/>
      <w:ind w:left="-1928" w:right="-1871"/>
    </w:pPr>
  </w:p>
  <w:p w14:paraId="70CE67A4" w14:textId="77777777" w:rsidR="00EC196F" w:rsidRDefault="00EC196F" w:rsidP="00044338">
    <w:pPr>
      <w:shd w:val="clear" w:color="auto" w:fill="0C81AC"/>
      <w:spacing w:before="100" w:beforeAutospacing="1"/>
      <w:ind w:left="-1928" w:right="-1871"/>
    </w:pPr>
  </w:p>
  <w:p w14:paraId="396AEEBF" w14:textId="77777777" w:rsidR="00EC196F" w:rsidRDefault="00EC196F" w:rsidP="0004433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FCCB2" w14:textId="77777777" w:rsidR="00EC196F" w:rsidRDefault="00EC196F">
    <w:r>
      <w:rPr>
        <w:noProof/>
        <w:lang w:val="en-AU" w:eastAsia="en-AU"/>
      </w:rPr>
      <w:drawing>
        <wp:anchor distT="0" distB="0" distL="114300" distR="114300" simplePos="0" relativeHeight="251728896" behindDoc="0" locked="0" layoutInCell="1" allowOverlap="1" wp14:anchorId="2E575985" wp14:editId="681203FA">
          <wp:simplePos x="0" y="0"/>
          <wp:positionH relativeFrom="page">
            <wp:posOffset>0</wp:posOffset>
          </wp:positionH>
          <wp:positionV relativeFrom="page">
            <wp:posOffset>7620</wp:posOffset>
          </wp:positionV>
          <wp:extent cx="7559675" cy="1871345"/>
          <wp:effectExtent l="0" t="0" r="3175" b="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871345"/>
                  </a:xfrm>
                  <a:prstGeom prst="rect">
                    <a:avLst/>
                  </a:prstGeom>
                </pic:spPr>
              </pic:pic>
            </a:graphicData>
          </a:graphic>
          <wp14:sizeRelH relativeFrom="margin">
            <wp14:pctWidth>0</wp14:pctWidth>
          </wp14:sizeRelH>
          <wp14:sizeRelV relativeFrom="margin">
            <wp14:pctHeight>0</wp14:pctHeight>
          </wp14:sizeRelV>
        </wp:anchor>
      </w:drawing>
    </w:r>
  </w:p>
  <w:p w14:paraId="2C4C70D4" w14:textId="77777777" w:rsidR="00EC196F" w:rsidRDefault="00EC196F"/>
  <w:p w14:paraId="0B913648" w14:textId="77777777" w:rsidR="00EC196F" w:rsidRDefault="00EC196F"/>
  <w:p w14:paraId="5CDC23A6" w14:textId="77777777" w:rsidR="00EC196F" w:rsidRDefault="00EC196F"/>
  <w:p w14:paraId="045079B1" w14:textId="77777777" w:rsidR="00EC196F" w:rsidRDefault="00EC196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15:restartNumberingAfterBreak="0">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15:restartNumberingAfterBreak="0">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B876BA"/>
    <w:multiLevelType w:val="hybridMultilevel"/>
    <w:tmpl w:val="1EAAE59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9F76D22"/>
    <w:multiLevelType w:val="multilevel"/>
    <w:tmpl w:val="AC328238"/>
    <w:lvl w:ilvl="0">
      <w:start w:val="1"/>
      <w:numFmt w:val="bullet"/>
      <w:lvlText w:val=""/>
      <w:lvlJc w:val="left"/>
      <w:pPr>
        <w:ind w:left="432" w:hanging="432"/>
      </w:pPr>
      <w:rPr>
        <w:rFonts w:ascii="Symbol" w:hAnsi="Symbol" w:hint="default"/>
        <w:color w:val="4F81BD" w:themeColor="accent1"/>
      </w:rPr>
    </w:lvl>
    <w:lvl w:ilvl="1">
      <w:start w:val="1"/>
      <w:numFmt w:val="bullet"/>
      <w:lvlText w:val=""/>
      <w:lvlJc w:val="left"/>
      <w:pPr>
        <w:ind w:left="864" w:hanging="432"/>
      </w:pPr>
      <w:rPr>
        <w:rFonts w:ascii="Symbol" w:hAnsi="Symbol" w:hint="default"/>
        <w:color w:val="9BBB59" w:themeColor="accent3"/>
      </w:rPr>
    </w:lvl>
    <w:lvl w:ilvl="2">
      <w:start w:val="1"/>
      <w:numFmt w:val="bullet"/>
      <w:lvlText w:val=""/>
      <w:lvlJc w:val="left"/>
      <w:pPr>
        <w:ind w:left="1296" w:hanging="432"/>
      </w:pPr>
      <w:rPr>
        <w:rFonts w:ascii="Wingdings" w:hAnsi="Wingdings" w:hint="default"/>
        <w:color w:val="4F81BD" w:themeColor="accent1"/>
      </w:rPr>
    </w:lvl>
    <w:lvl w:ilvl="3">
      <w:start w:val="1"/>
      <w:numFmt w:val="bullet"/>
      <w:lvlText w:val=""/>
      <w:lvlJc w:val="left"/>
      <w:pPr>
        <w:ind w:left="1728" w:hanging="432"/>
      </w:pPr>
      <w:rPr>
        <w:rFonts w:ascii="Symbol" w:hAnsi="Symbol" w:hint="default"/>
        <w:color w:val="4F81BD" w:themeColor="accent1"/>
      </w:rPr>
    </w:lvl>
    <w:lvl w:ilvl="4">
      <w:start w:val="1"/>
      <w:numFmt w:val="bullet"/>
      <w:lvlText w:val="o"/>
      <w:lvlJc w:val="left"/>
      <w:pPr>
        <w:ind w:left="2160" w:hanging="432"/>
      </w:pPr>
      <w:rPr>
        <w:rFonts w:ascii="Courier New" w:hAnsi="Courier New" w:hint="default"/>
        <w:color w:val="4F81BD" w:themeColor="accent1"/>
      </w:rPr>
    </w:lvl>
    <w:lvl w:ilvl="5">
      <w:start w:val="1"/>
      <w:numFmt w:val="bullet"/>
      <w:lvlText w:val=""/>
      <w:lvlJc w:val="left"/>
      <w:pPr>
        <w:tabs>
          <w:tab w:val="num" w:pos="3170"/>
        </w:tabs>
        <w:ind w:left="2592" w:hanging="432"/>
      </w:pPr>
      <w:rPr>
        <w:rFonts w:ascii="Wingdings" w:hAnsi="Wingdings" w:hint="default"/>
      </w:rPr>
    </w:lvl>
    <w:lvl w:ilvl="6">
      <w:start w:val="1"/>
      <w:numFmt w:val="bullet"/>
      <w:lvlText w:val=""/>
      <w:lvlJc w:val="left"/>
      <w:pPr>
        <w:tabs>
          <w:tab w:val="num" w:pos="3732"/>
        </w:tabs>
        <w:ind w:left="3024" w:hanging="432"/>
      </w:pPr>
      <w:rPr>
        <w:rFonts w:ascii="Symbol" w:hAnsi="Symbol" w:hint="default"/>
      </w:rPr>
    </w:lvl>
    <w:lvl w:ilvl="7">
      <w:start w:val="1"/>
      <w:numFmt w:val="bullet"/>
      <w:lvlText w:val="o"/>
      <w:lvlJc w:val="left"/>
      <w:pPr>
        <w:tabs>
          <w:tab w:val="num" w:pos="4294"/>
        </w:tabs>
        <w:ind w:left="3456" w:hanging="432"/>
      </w:pPr>
      <w:rPr>
        <w:rFonts w:ascii="Courier New" w:hAnsi="Courier New" w:cs="Courier New" w:hint="default"/>
      </w:rPr>
    </w:lvl>
    <w:lvl w:ilvl="8">
      <w:start w:val="1"/>
      <w:numFmt w:val="bullet"/>
      <w:lvlText w:val=""/>
      <w:lvlJc w:val="left"/>
      <w:pPr>
        <w:tabs>
          <w:tab w:val="num" w:pos="4856"/>
        </w:tabs>
        <w:ind w:left="3888" w:hanging="432"/>
      </w:pPr>
      <w:rPr>
        <w:rFonts w:ascii="Wingdings" w:hAnsi="Wingdings" w:hint="default"/>
      </w:rPr>
    </w:lvl>
  </w:abstractNum>
  <w:abstractNum w:abstractNumId="5" w15:restartNumberingAfterBreak="0">
    <w:nsid w:val="0C7A5FFB"/>
    <w:multiLevelType w:val="multilevel"/>
    <w:tmpl w:val="C920726E"/>
    <w:styleLink w:val="NumberedLists"/>
    <w:lvl w:ilvl="0">
      <w:start w:val="1"/>
      <w:numFmt w:val="none"/>
      <w:suff w:val="nothing"/>
      <w:lvlText w:val="%1"/>
      <w:lvlJc w:val="left"/>
      <w:pPr>
        <w:ind w:left="0" w:firstLine="0"/>
      </w:pPr>
      <w:rPr>
        <w:rFonts w:hint="default"/>
      </w:rPr>
    </w:lvl>
    <w:lvl w:ilvl="1">
      <w:start w:val="1"/>
      <w:numFmt w:val="decimal"/>
      <w:lvlText w:val="%2."/>
      <w:lvlJc w:val="left"/>
      <w:pPr>
        <w:ind w:left="432" w:hanging="432"/>
      </w:pPr>
      <w:rPr>
        <w:rFonts w:asciiTheme="minorHAnsi" w:hAnsiTheme="minorHAnsi" w:hint="default"/>
        <w:color w:val="4F81BD" w:themeColor="accent1"/>
      </w:rPr>
    </w:lvl>
    <w:lvl w:ilvl="2">
      <w:start w:val="1"/>
      <w:numFmt w:val="lowerLetter"/>
      <w:lvlText w:val="%3."/>
      <w:lvlJc w:val="left"/>
      <w:pPr>
        <w:ind w:left="864" w:hanging="432"/>
      </w:pPr>
      <w:rPr>
        <w:rFonts w:asciiTheme="minorHAnsi" w:hAnsiTheme="minorHAnsi" w:hint="default"/>
        <w:color w:val="9BBB59"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B10415"/>
    <w:multiLevelType w:val="hybridMultilevel"/>
    <w:tmpl w:val="488EE51C"/>
    <w:lvl w:ilvl="0" w:tplc="1186C69E">
      <w:start w:val="1"/>
      <w:numFmt w:val="decimal"/>
      <w:pStyle w:val="ListParagraph"/>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1B20B7"/>
    <w:multiLevelType w:val="hybridMultilevel"/>
    <w:tmpl w:val="6ABC3A22"/>
    <w:lvl w:ilvl="0" w:tplc="931E7442">
      <w:start w:val="17"/>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60112E"/>
    <w:multiLevelType w:val="hybridMultilevel"/>
    <w:tmpl w:val="71C2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225C1"/>
    <w:multiLevelType w:val="multilevel"/>
    <w:tmpl w:val="AC328238"/>
    <w:styleLink w:val="Bullettedlists"/>
    <w:lvl w:ilvl="0">
      <w:start w:val="1"/>
      <w:numFmt w:val="bullet"/>
      <w:lvlText w:val=""/>
      <w:lvlJc w:val="left"/>
      <w:pPr>
        <w:ind w:left="432" w:hanging="432"/>
      </w:pPr>
      <w:rPr>
        <w:rFonts w:ascii="Symbol" w:hAnsi="Symbol" w:hint="default"/>
        <w:color w:val="4F81BD" w:themeColor="accent1"/>
      </w:rPr>
    </w:lvl>
    <w:lvl w:ilvl="1">
      <w:start w:val="1"/>
      <w:numFmt w:val="bullet"/>
      <w:lvlText w:val=""/>
      <w:lvlJc w:val="left"/>
      <w:pPr>
        <w:ind w:left="864" w:hanging="432"/>
      </w:pPr>
      <w:rPr>
        <w:rFonts w:ascii="Symbol" w:hAnsi="Symbol" w:hint="default"/>
        <w:color w:val="9BBB59" w:themeColor="accent3"/>
      </w:rPr>
    </w:lvl>
    <w:lvl w:ilvl="2">
      <w:start w:val="1"/>
      <w:numFmt w:val="bullet"/>
      <w:lvlText w:val=""/>
      <w:lvlJc w:val="left"/>
      <w:pPr>
        <w:ind w:left="1296" w:hanging="432"/>
      </w:pPr>
      <w:rPr>
        <w:rFonts w:ascii="Wingdings" w:hAnsi="Wingdings" w:hint="default"/>
        <w:color w:val="4F81BD" w:themeColor="accent1"/>
      </w:rPr>
    </w:lvl>
    <w:lvl w:ilvl="3">
      <w:start w:val="1"/>
      <w:numFmt w:val="bullet"/>
      <w:lvlText w:val=""/>
      <w:lvlJc w:val="left"/>
      <w:pPr>
        <w:ind w:left="1728" w:hanging="432"/>
      </w:pPr>
      <w:rPr>
        <w:rFonts w:ascii="Symbol" w:hAnsi="Symbol" w:hint="default"/>
        <w:color w:val="4F81BD" w:themeColor="accent1"/>
      </w:rPr>
    </w:lvl>
    <w:lvl w:ilvl="4">
      <w:start w:val="1"/>
      <w:numFmt w:val="bullet"/>
      <w:lvlText w:val="o"/>
      <w:lvlJc w:val="left"/>
      <w:pPr>
        <w:ind w:left="2160" w:hanging="432"/>
      </w:pPr>
      <w:rPr>
        <w:rFonts w:ascii="Courier New" w:hAnsi="Courier New" w:hint="default"/>
        <w:color w:val="4F81BD" w:themeColor="accent1"/>
      </w:rPr>
    </w:lvl>
    <w:lvl w:ilvl="5">
      <w:start w:val="1"/>
      <w:numFmt w:val="bullet"/>
      <w:lvlText w:val=""/>
      <w:lvlJc w:val="left"/>
      <w:pPr>
        <w:tabs>
          <w:tab w:val="num" w:pos="3170"/>
        </w:tabs>
        <w:ind w:left="2592" w:hanging="432"/>
      </w:pPr>
      <w:rPr>
        <w:rFonts w:ascii="Wingdings" w:hAnsi="Wingdings" w:hint="default"/>
      </w:rPr>
    </w:lvl>
    <w:lvl w:ilvl="6">
      <w:start w:val="1"/>
      <w:numFmt w:val="bullet"/>
      <w:lvlText w:val=""/>
      <w:lvlJc w:val="left"/>
      <w:pPr>
        <w:tabs>
          <w:tab w:val="num" w:pos="3732"/>
        </w:tabs>
        <w:ind w:left="3024" w:hanging="432"/>
      </w:pPr>
      <w:rPr>
        <w:rFonts w:ascii="Symbol" w:hAnsi="Symbol" w:hint="default"/>
      </w:rPr>
    </w:lvl>
    <w:lvl w:ilvl="7">
      <w:start w:val="1"/>
      <w:numFmt w:val="bullet"/>
      <w:lvlText w:val="o"/>
      <w:lvlJc w:val="left"/>
      <w:pPr>
        <w:tabs>
          <w:tab w:val="num" w:pos="4294"/>
        </w:tabs>
        <w:ind w:left="3456" w:hanging="432"/>
      </w:pPr>
      <w:rPr>
        <w:rFonts w:ascii="Courier New" w:hAnsi="Courier New" w:cs="Courier New" w:hint="default"/>
      </w:rPr>
    </w:lvl>
    <w:lvl w:ilvl="8">
      <w:start w:val="1"/>
      <w:numFmt w:val="bullet"/>
      <w:lvlText w:val=""/>
      <w:lvlJc w:val="left"/>
      <w:pPr>
        <w:tabs>
          <w:tab w:val="num" w:pos="4856"/>
        </w:tabs>
        <w:ind w:left="3888" w:hanging="432"/>
      </w:pPr>
      <w:rPr>
        <w:rFonts w:ascii="Wingdings" w:hAnsi="Wingdings" w:hint="default"/>
      </w:rPr>
    </w:lvl>
  </w:abstractNum>
  <w:abstractNum w:abstractNumId="10" w15:restartNumberingAfterBreak="0">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ACA6682"/>
    <w:multiLevelType w:val="hybridMultilevel"/>
    <w:tmpl w:val="0E3EA4C6"/>
    <w:lvl w:ilvl="0" w:tplc="AAB8C666">
      <w:start w:val="1"/>
      <w:numFmt w:val="bullet"/>
      <w:pStyle w:val="bullet"/>
      <w:lvlText w:val=""/>
      <w:lvlJc w:val="left"/>
      <w:pPr>
        <w:ind w:left="2429" w:hanging="360"/>
      </w:pPr>
      <w:rPr>
        <w:rFonts w:ascii="Symbol" w:hAnsi="Symbol" w:hint="default"/>
      </w:rPr>
    </w:lvl>
    <w:lvl w:ilvl="1" w:tplc="9C167FE0">
      <w:start w:val="1"/>
      <w:numFmt w:val="bullet"/>
      <w:pStyle w:val="bullet1"/>
      <w:lvlText w:val="o"/>
      <w:lvlJc w:val="left"/>
      <w:pPr>
        <w:ind w:left="3149" w:hanging="360"/>
      </w:pPr>
      <w:rPr>
        <w:rFonts w:ascii="Courier New" w:hAnsi="Courier New" w:hint="default"/>
      </w:rPr>
    </w:lvl>
    <w:lvl w:ilvl="2" w:tplc="04090005">
      <w:start w:val="1"/>
      <w:numFmt w:val="bullet"/>
      <w:lvlText w:val=""/>
      <w:lvlJc w:val="left"/>
      <w:pPr>
        <w:ind w:left="3869" w:hanging="360"/>
      </w:pPr>
      <w:rPr>
        <w:rFonts w:ascii="Wingdings" w:hAnsi="Wingdings" w:hint="default"/>
      </w:rPr>
    </w:lvl>
    <w:lvl w:ilvl="3" w:tplc="04090001">
      <w:start w:val="1"/>
      <w:numFmt w:val="bullet"/>
      <w:lvlText w:val=""/>
      <w:lvlJc w:val="left"/>
      <w:pPr>
        <w:ind w:left="4589" w:hanging="360"/>
      </w:pPr>
      <w:rPr>
        <w:rFonts w:ascii="Symbol" w:hAnsi="Symbol" w:hint="default"/>
      </w:rPr>
    </w:lvl>
    <w:lvl w:ilvl="4" w:tplc="04090003" w:tentative="1">
      <w:start w:val="1"/>
      <w:numFmt w:val="bullet"/>
      <w:lvlText w:val="o"/>
      <w:lvlJc w:val="left"/>
      <w:pPr>
        <w:ind w:left="5309" w:hanging="360"/>
      </w:pPr>
      <w:rPr>
        <w:rFonts w:ascii="Courier New" w:hAnsi="Courier New" w:hint="default"/>
      </w:rPr>
    </w:lvl>
    <w:lvl w:ilvl="5" w:tplc="04090005" w:tentative="1">
      <w:start w:val="1"/>
      <w:numFmt w:val="bullet"/>
      <w:lvlText w:val=""/>
      <w:lvlJc w:val="left"/>
      <w:pPr>
        <w:ind w:left="6029" w:hanging="360"/>
      </w:pPr>
      <w:rPr>
        <w:rFonts w:ascii="Wingdings" w:hAnsi="Wingdings" w:hint="default"/>
      </w:rPr>
    </w:lvl>
    <w:lvl w:ilvl="6" w:tplc="04090001" w:tentative="1">
      <w:start w:val="1"/>
      <w:numFmt w:val="bullet"/>
      <w:lvlText w:val=""/>
      <w:lvlJc w:val="left"/>
      <w:pPr>
        <w:ind w:left="6749" w:hanging="360"/>
      </w:pPr>
      <w:rPr>
        <w:rFonts w:ascii="Symbol" w:hAnsi="Symbol" w:hint="default"/>
      </w:rPr>
    </w:lvl>
    <w:lvl w:ilvl="7" w:tplc="04090003" w:tentative="1">
      <w:start w:val="1"/>
      <w:numFmt w:val="bullet"/>
      <w:lvlText w:val="o"/>
      <w:lvlJc w:val="left"/>
      <w:pPr>
        <w:ind w:left="7469" w:hanging="360"/>
      </w:pPr>
      <w:rPr>
        <w:rFonts w:ascii="Courier New" w:hAnsi="Courier New" w:hint="default"/>
      </w:rPr>
    </w:lvl>
    <w:lvl w:ilvl="8" w:tplc="04090005" w:tentative="1">
      <w:start w:val="1"/>
      <w:numFmt w:val="bullet"/>
      <w:lvlText w:val=""/>
      <w:lvlJc w:val="left"/>
      <w:pPr>
        <w:ind w:left="8189" w:hanging="360"/>
      </w:pPr>
      <w:rPr>
        <w:rFonts w:ascii="Wingdings" w:hAnsi="Wingdings" w:hint="default"/>
      </w:rPr>
    </w:lvl>
  </w:abstractNum>
  <w:abstractNum w:abstractNumId="13" w15:restartNumberingAfterBreak="0">
    <w:nsid w:val="1FB05CA1"/>
    <w:multiLevelType w:val="multilevel"/>
    <w:tmpl w:val="A41C4DB2"/>
    <w:lvl w:ilvl="0">
      <w:start w:val="1"/>
      <w:numFmt w:val="decimal"/>
      <w:lvlText w:val="%1"/>
      <w:lvlJc w:val="left"/>
      <w:pPr>
        <w:ind w:left="720" w:hanging="720"/>
      </w:pPr>
      <w:rPr>
        <w:rFonts w:asciiTheme="majorHAnsi" w:hAnsiTheme="majorHAnsi" w:hint="default"/>
      </w:rPr>
    </w:lvl>
    <w:lvl w:ilvl="1">
      <w:start w:val="1"/>
      <w:numFmt w:val="decimal"/>
      <w:lvlText w:val="%1.%2"/>
      <w:lvlJc w:val="left"/>
      <w:pPr>
        <w:ind w:left="720" w:hanging="720"/>
      </w:pPr>
      <w:rPr>
        <w:rFonts w:asciiTheme="majorHAnsi" w:hAnsiTheme="majorHAnsi"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14" w15:restartNumberingAfterBreak="0">
    <w:nsid w:val="1FE559EC"/>
    <w:multiLevelType w:val="multilevel"/>
    <w:tmpl w:val="C920726E"/>
    <w:lvl w:ilvl="0">
      <w:start w:val="1"/>
      <w:numFmt w:val="none"/>
      <w:suff w:val="nothing"/>
      <w:lvlText w:val="%1"/>
      <w:lvlJc w:val="left"/>
      <w:pPr>
        <w:ind w:left="0" w:firstLine="0"/>
      </w:pPr>
      <w:rPr>
        <w:rFonts w:hint="default"/>
      </w:rPr>
    </w:lvl>
    <w:lvl w:ilvl="1">
      <w:start w:val="1"/>
      <w:numFmt w:val="decimal"/>
      <w:lvlText w:val="%2."/>
      <w:lvlJc w:val="left"/>
      <w:pPr>
        <w:ind w:left="432" w:hanging="432"/>
      </w:pPr>
      <w:rPr>
        <w:rFonts w:asciiTheme="minorHAnsi" w:hAnsiTheme="minorHAnsi" w:hint="default"/>
        <w:color w:val="4F81BD" w:themeColor="accent1"/>
      </w:rPr>
    </w:lvl>
    <w:lvl w:ilvl="2">
      <w:start w:val="1"/>
      <w:numFmt w:val="lowerLetter"/>
      <w:lvlText w:val="%3."/>
      <w:lvlJc w:val="left"/>
      <w:pPr>
        <w:ind w:left="864" w:hanging="432"/>
      </w:pPr>
      <w:rPr>
        <w:rFonts w:asciiTheme="minorHAnsi" w:hAnsiTheme="minorHAnsi" w:hint="default"/>
        <w:color w:val="9BBB59"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6" w15:restartNumberingAfterBreak="0">
    <w:nsid w:val="21E502C4"/>
    <w:multiLevelType w:val="hybridMultilevel"/>
    <w:tmpl w:val="A5006834"/>
    <w:lvl w:ilvl="0" w:tplc="0046D67A">
      <w:start w:val="1"/>
      <w:numFmt w:val="lowerLetter"/>
      <w:lvlText w:val="%1."/>
      <w:lvlJc w:val="left"/>
      <w:pPr>
        <w:ind w:left="1440" w:hanging="360"/>
      </w:pPr>
      <w:rPr>
        <w:b w:val="0"/>
      </w:rPr>
    </w:lvl>
    <w:lvl w:ilvl="1" w:tplc="04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2D21DB9"/>
    <w:multiLevelType w:val="hybridMultilevel"/>
    <w:tmpl w:val="38846F76"/>
    <w:lvl w:ilvl="0" w:tplc="98A67E72">
      <w:start w:val="1"/>
      <w:numFmt w:val="bullet"/>
      <w:pStyle w:val="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B84D4E"/>
    <w:multiLevelType w:val="hybridMultilevel"/>
    <w:tmpl w:val="F93AD50E"/>
    <w:lvl w:ilvl="0" w:tplc="3304A63C">
      <w:start w:val="1"/>
      <w:numFmt w:val="decimal"/>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AED47554">
      <w:start w:val="1"/>
      <w:numFmt w:val="lowerLetter"/>
      <w:lvlText w:val="%2."/>
      <w:lvlJc w:val="left"/>
      <w:pPr>
        <w:ind w:left="87" w:hanging="360"/>
      </w:pPr>
    </w:lvl>
    <w:lvl w:ilvl="2" w:tplc="0F0A5426">
      <w:start w:val="1"/>
      <w:numFmt w:val="lowerLetter"/>
      <w:lvlText w:val="%3)"/>
      <w:lvlJc w:val="left"/>
      <w:pPr>
        <w:ind w:left="987" w:hanging="360"/>
      </w:pPr>
    </w:lvl>
    <w:lvl w:ilvl="3" w:tplc="47586656">
      <w:start w:val="1"/>
      <w:numFmt w:val="lowerRoman"/>
      <w:lvlText w:val="%4."/>
      <w:lvlJc w:val="left"/>
      <w:pPr>
        <w:ind w:left="1527" w:hanging="360"/>
      </w:pPr>
      <w:rPr>
        <w:rFonts w:hint="default"/>
        <w:i w:val="0"/>
      </w:rPr>
    </w:lvl>
    <w:lvl w:ilvl="4" w:tplc="59F21AC2">
      <w:start w:val="1"/>
      <w:numFmt w:val="decimal"/>
      <w:pStyle w:val="ListParagraphindent3"/>
      <w:lvlText w:val="%5."/>
      <w:lvlJc w:val="left"/>
      <w:pPr>
        <w:ind w:left="2247" w:hanging="360"/>
      </w:pPr>
      <w:rPr>
        <w:rFonts w:hint="default"/>
      </w:r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9" w15:restartNumberingAfterBreak="0">
    <w:nsid w:val="25264A5A"/>
    <w:multiLevelType w:val="hybridMultilevel"/>
    <w:tmpl w:val="3200AA38"/>
    <w:lvl w:ilvl="0" w:tplc="E9F63948">
      <w:start w:val="1"/>
      <w:numFmt w:val="bullet"/>
      <w:pStyle w:val="List-bullet-1"/>
      <w:lvlText w:val=""/>
      <w:lvlJc w:val="left"/>
      <w:pPr>
        <w:tabs>
          <w:tab w:val="num" w:pos="363"/>
        </w:tabs>
        <w:ind w:left="363" w:hanging="363"/>
      </w:pPr>
      <w:rPr>
        <w:rFonts w:ascii="Symbol" w:hAnsi="Symbol" w:hint="default"/>
        <w:color w:val="auto"/>
        <w:sz w:val="20"/>
      </w:rPr>
    </w:lvl>
    <w:lvl w:ilvl="1" w:tplc="20EA0E86">
      <w:start w:val="1"/>
      <w:numFmt w:val="decimal"/>
      <w:lvlText w:val="%2."/>
      <w:lvlJc w:val="left"/>
      <w:pPr>
        <w:ind w:left="1367" w:hanging="360"/>
      </w:pPr>
      <w:rPr>
        <w:rFonts w:hint="default"/>
      </w:rPr>
    </w:lvl>
    <w:lvl w:ilvl="2" w:tplc="447A71D4">
      <w:start w:val="1"/>
      <w:numFmt w:val="bullet"/>
      <w:lvlText w:val=""/>
      <w:lvlJc w:val="left"/>
      <w:pPr>
        <w:tabs>
          <w:tab w:val="num" w:pos="2123"/>
        </w:tabs>
        <w:ind w:left="2123" w:hanging="396"/>
      </w:pPr>
      <w:rPr>
        <w:rFonts w:ascii="Symbol" w:hAnsi="Symbol" w:hint="default"/>
        <w:color w:val="auto"/>
        <w:sz w:val="20"/>
      </w:rPr>
    </w:lvl>
    <w:lvl w:ilvl="3" w:tplc="04090001">
      <w:start w:val="1"/>
      <w:numFmt w:val="bullet"/>
      <w:lvlText w:val=""/>
      <w:lvlJc w:val="left"/>
      <w:pPr>
        <w:tabs>
          <w:tab w:val="num" w:pos="2807"/>
        </w:tabs>
        <w:ind w:left="2807" w:hanging="360"/>
      </w:pPr>
      <w:rPr>
        <w:rFonts w:ascii="Symbol" w:hAnsi="Symbol" w:hint="default"/>
      </w:rPr>
    </w:lvl>
    <w:lvl w:ilvl="4" w:tplc="04090003" w:tentative="1">
      <w:start w:val="1"/>
      <w:numFmt w:val="bullet"/>
      <w:lvlText w:val="o"/>
      <w:lvlJc w:val="left"/>
      <w:pPr>
        <w:tabs>
          <w:tab w:val="num" w:pos="3527"/>
        </w:tabs>
        <w:ind w:left="3527" w:hanging="360"/>
      </w:pPr>
      <w:rPr>
        <w:rFonts w:ascii="Courier New" w:hAnsi="Courier New" w:hint="default"/>
      </w:rPr>
    </w:lvl>
    <w:lvl w:ilvl="5" w:tplc="04090005" w:tentative="1">
      <w:start w:val="1"/>
      <w:numFmt w:val="bullet"/>
      <w:lvlText w:val=""/>
      <w:lvlJc w:val="left"/>
      <w:pPr>
        <w:tabs>
          <w:tab w:val="num" w:pos="4247"/>
        </w:tabs>
        <w:ind w:left="4247" w:hanging="360"/>
      </w:pPr>
      <w:rPr>
        <w:rFonts w:ascii="Wingdings" w:hAnsi="Wingdings" w:hint="default"/>
      </w:rPr>
    </w:lvl>
    <w:lvl w:ilvl="6" w:tplc="04090001" w:tentative="1">
      <w:start w:val="1"/>
      <w:numFmt w:val="bullet"/>
      <w:lvlText w:val=""/>
      <w:lvlJc w:val="left"/>
      <w:pPr>
        <w:tabs>
          <w:tab w:val="num" w:pos="4967"/>
        </w:tabs>
        <w:ind w:left="4967" w:hanging="360"/>
      </w:pPr>
      <w:rPr>
        <w:rFonts w:ascii="Symbol" w:hAnsi="Symbol" w:hint="default"/>
      </w:rPr>
    </w:lvl>
    <w:lvl w:ilvl="7" w:tplc="04090003" w:tentative="1">
      <w:start w:val="1"/>
      <w:numFmt w:val="bullet"/>
      <w:lvlText w:val="o"/>
      <w:lvlJc w:val="left"/>
      <w:pPr>
        <w:tabs>
          <w:tab w:val="num" w:pos="5687"/>
        </w:tabs>
        <w:ind w:left="5687" w:hanging="360"/>
      </w:pPr>
      <w:rPr>
        <w:rFonts w:ascii="Courier New" w:hAnsi="Courier New" w:hint="default"/>
      </w:rPr>
    </w:lvl>
    <w:lvl w:ilvl="8" w:tplc="04090005" w:tentative="1">
      <w:start w:val="1"/>
      <w:numFmt w:val="bullet"/>
      <w:lvlText w:val=""/>
      <w:lvlJc w:val="left"/>
      <w:pPr>
        <w:tabs>
          <w:tab w:val="num" w:pos="6407"/>
        </w:tabs>
        <w:ind w:left="6407" w:hanging="360"/>
      </w:pPr>
      <w:rPr>
        <w:rFonts w:ascii="Wingdings" w:hAnsi="Wingdings" w:hint="default"/>
      </w:rPr>
    </w:lvl>
  </w:abstractNum>
  <w:abstractNum w:abstractNumId="20" w15:restartNumberingAfterBreak="0">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1" w15:restartNumberingAfterBreak="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2" w15:restartNumberingAfterBreak="0">
    <w:nsid w:val="2D38708E"/>
    <w:multiLevelType w:val="hybridMultilevel"/>
    <w:tmpl w:val="3B7EB91C"/>
    <w:lvl w:ilvl="0" w:tplc="028AB602">
      <w:start w:val="1"/>
      <w:numFmt w:val="bullet"/>
      <w:pStyle w:val="Tablebullet"/>
      <w:lvlText w:val=""/>
      <w:lvlJc w:val="left"/>
      <w:pPr>
        <w:ind w:left="1440" w:hanging="360"/>
      </w:pPr>
      <w:rPr>
        <w:rFonts w:ascii="Symbol" w:hAnsi="Symbol" w:hint="default"/>
        <w:color w:val="E26E00"/>
        <w:sz w:val="18"/>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D6E7E56"/>
    <w:multiLevelType w:val="hybridMultilevel"/>
    <w:tmpl w:val="E57C5FBC"/>
    <w:lvl w:ilvl="0" w:tplc="D63A2B86">
      <w:start w:val="1"/>
      <w:numFmt w:val="decimal"/>
      <w:lvlText w:val="%1."/>
      <w:lvlJc w:val="left"/>
      <w:pPr>
        <w:ind w:left="3621" w:hanging="360"/>
      </w:pPr>
      <w:rPr>
        <w:rFonts w:hint="default"/>
        <w:b w:val="0"/>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BD11B4"/>
    <w:multiLevelType w:val="multilevel"/>
    <w:tmpl w:val="88B61454"/>
    <w:lvl w:ilvl="0">
      <w:start w:val="1"/>
      <w:numFmt w:val="decimal"/>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6441D19"/>
    <w:multiLevelType w:val="hybridMultilevel"/>
    <w:tmpl w:val="0B10C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8C3C03"/>
    <w:multiLevelType w:val="hybridMultilevel"/>
    <w:tmpl w:val="D134748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6A7AB0"/>
    <w:multiLevelType w:val="hybridMultilevel"/>
    <w:tmpl w:val="B2B0B976"/>
    <w:lvl w:ilvl="0" w:tplc="08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A42B77"/>
    <w:multiLevelType w:val="hybridMultilevel"/>
    <w:tmpl w:val="E8AE044C"/>
    <w:lvl w:ilvl="0" w:tplc="FA7269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0C55C1"/>
    <w:multiLevelType w:val="multilevel"/>
    <w:tmpl w:val="1F7C5AC4"/>
    <w:lvl w:ilvl="0">
      <w:start w:val="1"/>
      <w:numFmt w:val="decimal"/>
      <w:lvlText w:val="%1."/>
      <w:lvlJc w:val="left"/>
      <w:pPr>
        <w:ind w:left="0" w:firstLine="0"/>
      </w:pPr>
      <w:rPr>
        <w:rFonts w:hint="default"/>
      </w:rPr>
    </w:lvl>
    <w:lvl w:ilvl="1">
      <w:start w:val="1"/>
      <w:numFmt w:val="decimal"/>
      <w:lvlText w:val="%2."/>
      <w:lvlJc w:val="left"/>
      <w:pPr>
        <w:ind w:left="432" w:hanging="432"/>
      </w:pPr>
      <w:rPr>
        <w:rFonts w:asciiTheme="minorHAnsi" w:hAnsiTheme="minorHAnsi" w:hint="default"/>
        <w:color w:val="4F81BD" w:themeColor="accent1"/>
      </w:rPr>
    </w:lvl>
    <w:lvl w:ilvl="2">
      <w:start w:val="1"/>
      <w:numFmt w:val="lowerLetter"/>
      <w:lvlText w:val="%3."/>
      <w:lvlJc w:val="left"/>
      <w:pPr>
        <w:ind w:left="864" w:hanging="432"/>
      </w:pPr>
      <w:rPr>
        <w:rFonts w:asciiTheme="minorHAnsi" w:hAnsiTheme="minorHAnsi" w:hint="default"/>
        <w:color w:val="9BBB59"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49440BBC"/>
    <w:multiLevelType w:val="hybridMultilevel"/>
    <w:tmpl w:val="0AD4CAAA"/>
    <w:lvl w:ilvl="0" w:tplc="77E4CD04">
      <w:start w:val="1"/>
      <w:numFmt w:val="decimal"/>
      <w:lvlText w:val="%1."/>
      <w:lvlJc w:val="left"/>
      <w:pPr>
        <w:ind w:left="3621" w:hanging="360"/>
      </w:pPr>
      <w:rPr>
        <w:rFonts w:hint="default"/>
        <w:b w:val="0"/>
        <w:i w:val="0"/>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B14B37"/>
    <w:multiLevelType w:val="hybridMultilevel"/>
    <w:tmpl w:val="F7D650FE"/>
    <w:lvl w:ilvl="0" w:tplc="8510165E">
      <w:start w:val="1"/>
      <w:numFmt w:val="lowerLetter"/>
      <w:pStyle w:val="Bullet0"/>
      <w:lvlText w:val="%1."/>
      <w:lvlJc w:val="left"/>
      <w:pPr>
        <w:ind w:left="785" w:hanging="360"/>
      </w:pPr>
      <w:rPr>
        <w:rFonts w:hint="default"/>
        <w:b w:val="0"/>
        <w:bCs w:val="0"/>
      </w:rPr>
    </w:lvl>
    <w:lvl w:ilvl="1" w:tplc="B1E8BE26">
      <w:start w:val="1"/>
      <w:numFmt w:val="bullet"/>
      <w:pStyle w:val="indenta"/>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5748C0"/>
    <w:multiLevelType w:val="hybridMultilevel"/>
    <w:tmpl w:val="660A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A8D2400"/>
    <w:multiLevelType w:val="hybridMultilevel"/>
    <w:tmpl w:val="ABA6845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C585644"/>
    <w:multiLevelType w:val="hybridMultilevel"/>
    <w:tmpl w:val="380ED540"/>
    <w:lvl w:ilvl="0" w:tplc="88325F44">
      <w:start w:val="1"/>
      <w:numFmt w:val="bullet"/>
      <w:pStyle w:val="bullettab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816533"/>
    <w:multiLevelType w:val="hybridMultilevel"/>
    <w:tmpl w:val="DA429052"/>
    <w:lvl w:ilvl="0" w:tplc="0046D67A">
      <w:start w:val="1"/>
      <w:numFmt w:val="lowerLetter"/>
      <w:lvlText w:val="%1."/>
      <w:lvlJc w:val="left"/>
      <w:pPr>
        <w:ind w:left="1440" w:hanging="360"/>
      </w:pPr>
      <w:rPr>
        <w:b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5DCB7F64"/>
    <w:multiLevelType w:val="hybridMultilevel"/>
    <w:tmpl w:val="9CD04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DE2220"/>
    <w:multiLevelType w:val="hybridMultilevel"/>
    <w:tmpl w:val="EB329B4E"/>
    <w:lvl w:ilvl="0" w:tplc="66D095B6">
      <w:start w:val="1"/>
      <w:numFmt w:val="lowerRoman"/>
      <w:pStyle w:val="Heading4"/>
      <w:lvlText w:val="%1."/>
      <w:lvlJc w:val="right"/>
      <w:pPr>
        <w:ind w:left="785" w:hanging="360"/>
      </w:pPr>
      <w:rPr>
        <w:rFonts w:hint="default"/>
        <w:b w:val="0"/>
        <w:bCs w:val="0"/>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15:restartNumberingAfterBreak="0">
    <w:nsid w:val="60B84931"/>
    <w:multiLevelType w:val="hybridMultilevel"/>
    <w:tmpl w:val="4CC480BC"/>
    <w:lvl w:ilvl="0" w:tplc="F7BC7E38">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4F264CF"/>
    <w:multiLevelType w:val="multilevel"/>
    <w:tmpl w:val="5AB2B85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5" w15:restartNumberingAfterBreak="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6407CAD"/>
    <w:multiLevelType w:val="hybridMultilevel"/>
    <w:tmpl w:val="7D98925E"/>
    <w:lvl w:ilvl="0" w:tplc="0C090001">
      <w:start w:val="1"/>
      <w:numFmt w:val="bullet"/>
      <w:lvlText w:val=""/>
      <w:lvlJc w:val="left"/>
      <w:pPr>
        <w:ind w:left="1080" w:hanging="360"/>
      </w:pPr>
      <w:rPr>
        <w:rFonts w:ascii="Symbol" w:hAnsi="Symbol" w:hint="default"/>
        <w:b w:val="0"/>
      </w:rPr>
    </w:lvl>
    <w:lvl w:ilvl="1" w:tplc="8BF4B66C">
      <w:start w:val="1"/>
      <w:numFmt w:val="lowerLetter"/>
      <w:lvlText w:val="%2."/>
      <w:lvlJc w:val="left"/>
      <w:pPr>
        <w:ind w:left="1800" w:hanging="360"/>
      </w:pPr>
      <w:rPr>
        <w:b w: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5A24BF"/>
    <w:multiLevelType w:val="multilevel"/>
    <w:tmpl w:val="A41C4DB2"/>
    <w:styleLink w:val="Headings"/>
    <w:lvl w:ilvl="0">
      <w:start w:val="1"/>
      <w:numFmt w:val="decimal"/>
      <w:lvlText w:val="%1"/>
      <w:lvlJc w:val="left"/>
      <w:pPr>
        <w:ind w:left="720" w:hanging="720"/>
      </w:pPr>
      <w:rPr>
        <w:rFonts w:asciiTheme="majorHAnsi" w:hAnsiTheme="majorHAnsi" w:hint="default"/>
      </w:rPr>
    </w:lvl>
    <w:lvl w:ilvl="1">
      <w:start w:val="1"/>
      <w:numFmt w:val="decimal"/>
      <w:lvlText w:val="%1.%2"/>
      <w:lvlJc w:val="left"/>
      <w:pPr>
        <w:ind w:left="720" w:hanging="720"/>
      </w:pPr>
      <w:rPr>
        <w:rFonts w:asciiTheme="majorHAnsi" w:hAnsiTheme="majorHAnsi"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9" w15:restartNumberingAfterBreak="0">
    <w:nsid w:val="70EA1648"/>
    <w:multiLevelType w:val="hybridMultilevel"/>
    <w:tmpl w:val="12EEA86C"/>
    <w:lvl w:ilvl="0" w:tplc="0C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7F60AD"/>
    <w:multiLevelType w:val="hybridMultilevel"/>
    <w:tmpl w:val="3CBEB7BA"/>
    <w:lvl w:ilvl="0" w:tplc="0809001B">
      <w:start w:val="1"/>
      <w:numFmt w:val="lowerRoman"/>
      <w:lvlText w:val="%1."/>
      <w:lvlJc w:val="right"/>
      <w:pPr>
        <w:ind w:left="180" w:hanging="180"/>
      </w:pPr>
      <w:rPr>
        <w:rFonts w:hint="default"/>
        <w:b w:val="0"/>
      </w:rPr>
    </w:lvl>
    <w:lvl w:ilvl="1" w:tplc="08090019">
      <w:start w:val="1"/>
      <w:numFmt w:val="lowerLetter"/>
      <w:lvlText w:val="%2."/>
      <w:lvlJc w:val="left"/>
      <w:pPr>
        <w:ind w:left="1080" w:hanging="360"/>
      </w:pPr>
    </w:lvl>
    <w:lvl w:ilvl="2" w:tplc="8EB650D4">
      <w:start w:val="1"/>
      <w:numFmt w:val="lowerRoman"/>
      <w:pStyle w:val="List-number-1"/>
      <w:lvlText w:val="%3."/>
      <w:lvlJc w:val="right"/>
      <w:pPr>
        <w:ind w:left="1980" w:hanging="36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9E1124E"/>
    <w:multiLevelType w:val="hybridMultilevel"/>
    <w:tmpl w:val="BC582FC2"/>
    <w:lvl w:ilvl="0" w:tplc="934A2110">
      <w:start w:val="1"/>
      <w:numFmt w:val="lowerLetter"/>
      <w:pStyle w:val="ListNumber2"/>
      <w:lvlText w:val="%1."/>
      <w:lvlJc w:val="left"/>
      <w:pPr>
        <w:tabs>
          <w:tab w:val="num" w:pos="868"/>
        </w:tabs>
        <w:ind w:left="868" w:hanging="283"/>
      </w:pPr>
      <w:rPr>
        <w:rFonts w:hint="default"/>
      </w:rPr>
    </w:lvl>
    <w:lvl w:ilvl="1" w:tplc="FFFFFFFF">
      <w:start w:val="1"/>
      <w:numFmt w:val="lowerLetter"/>
      <w:lvlText w:val="%2."/>
      <w:lvlJc w:val="left"/>
      <w:pPr>
        <w:tabs>
          <w:tab w:val="num" w:pos="1741"/>
        </w:tabs>
        <w:ind w:left="1741" w:hanging="360"/>
      </w:pPr>
    </w:lvl>
    <w:lvl w:ilvl="2" w:tplc="FFFFFFFF">
      <w:start w:val="1"/>
      <w:numFmt w:val="lowerRoman"/>
      <w:lvlText w:val="%3."/>
      <w:lvlJc w:val="right"/>
      <w:pPr>
        <w:tabs>
          <w:tab w:val="num" w:pos="2461"/>
        </w:tabs>
        <w:ind w:left="2461" w:hanging="180"/>
      </w:pPr>
    </w:lvl>
    <w:lvl w:ilvl="3" w:tplc="FFFFFFFF" w:tentative="1">
      <w:start w:val="1"/>
      <w:numFmt w:val="decimal"/>
      <w:lvlText w:val="%4."/>
      <w:lvlJc w:val="left"/>
      <w:pPr>
        <w:tabs>
          <w:tab w:val="num" w:pos="3181"/>
        </w:tabs>
        <w:ind w:left="3181" w:hanging="360"/>
      </w:pPr>
    </w:lvl>
    <w:lvl w:ilvl="4" w:tplc="FFFFFFFF" w:tentative="1">
      <w:start w:val="1"/>
      <w:numFmt w:val="lowerLetter"/>
      <w:lvlText w:val="%5."/>
      <w:lvlJc w:val="left"/>
      <w:pPr>
        <w:tabs>
          <w:tab w:val="num" w:pos="3901"/>
        </w:tabs>
        <w:ind w:left="3901" w:hanging="360"/>
      </w:pPr>
    </w:lvl>
    <w:lvl w:ilvl="5" w:tplc="FFFFFFFF" w:tentative="1">
      <w:start w:val="1"/>
      <w:numFmt w:val="lowerRoman"/>
      <w:lvlText w:val="%6."/>
      <w:lvlJc w:val="right"/>
      <w:pPr>
        <w:tabs>
          <w:tab w:val="num" w:pos="4621"/>
        </w:tabs>
        <w:ind w:left="4621" w:hanging="180"/>
      </w:pPr>
    </w:lvl>
    <w:lvl w:ilvl="6" w:tplc="FFFFFFFF" w:tentative="1">
      <w:start w:val="1"/>
      <w:numFmt w:val="decimal"/>
      <w:lvlText w:val="%7."/>
      <w:lvlJc w:val="left"/>
      <w:pPr>
        <w:tabs>
          <w:tab w:val="num" w:pos="5341"/>
        </w:tabs>
        <w:ind w:left="5341" w:hanging="360"/>
      </w:pPr>
    </w:lvl>
    <w:lvl w:ilvl="7" w:tplc="FFFFFFFF" w:tentative="1">
      <w:start w:val="1"/>
      <w:numFmt w:val="lowerLetter"/>
      <w:lvlText w:val="%8."/>
      <w:lvlJc w:val="left"/>
      <w:pPr>
        <w:tabs>
          <w:tab w:val="num" w:pos="6061"/>
        </w:tabs>
        <w:ind w:left="6061" w:hanging="360"/>
      </w:pPr>
    </w:lvl>
    <w:lvl w:ilvl="8" w:tplc="FFFFFFFF" w:tentative="1">
      <w:start w:val="1"/>
      <w:numFmt w:val="lowerRoman"/>
      <w:lvlText w:val="%9."/>
      <w:lvlJc w:val="right"/>
      <w:pPr>
        <w:tabs>
          <w:tab w:val="num" w:pos="6781"/>
        </w:tabs>
        <w:ind w:left="6781" w:hanging="180"/>
      </w:pPr>
    </w:lvl>
  </w:abstractNum>
  <w:abstractNum w:abstractNumId="52" w15:restartNumberingAfterBreak="0">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37"/>
  </w:num>
  <w:num w:numId="3">
    <w:abstractNumId w:val="11"/>
  </w:num>
  <w:num w:numId="4">
    <w:abstractNumId w:val="35"/>
  </w:num>
  <w:num w:numId="5">
    <w:abstractNumId w:val="31"/>
  </w:num>
  <w:num w:numId="6">
    <w:abstractNumId w:val="27"/>
  </w:num>
  <w:num w:numId="7">
    <w:abstractNumId w:val="47"/>
  </w:num>
  <w:num w:numId="8">
    <w:abstractNumId w:val="10"/>
  </w:num>
  <w:num w:numId="9">
    <w:abstractNumId w:val="15"/>
  </w:num>
  <w:num w:numId="10">
    <w:abstractNumId w:val="51"/>
  </w:num>
  <w:num w:numId="11">
    <w:abstractNumId w:val="52"/>
  </w:num>
  <w:num w:numId="12">
    <w:abstractNumId w:val="0"/>
  </w:num>
  <w:num w:numId="13">
    <w:abstractNumId w:val="2"/>
  </w:num>
  <w:num w:numId="14">
    <w:abstractNumId w:val="45"/>
  </w:num>
  <w:num w:numId="15">
    <w:abstractNumId w:val="1"/>
  </w:num>
  <w:num w:numId="16">
    <w:abstractNumId w:val="21"/>
  </w:num>
  <w:num w:numId="17">
    <w:abstractNumId w:val="19"/>
  </w:num>
  <w:num w:numId="18">
    <w:abstractNumId w:val="24"/>
  </w:num>
  <w:num w:numId="19">
    <w:abstractNumId w:val="32"/>
  </w:num>
  <w:num w:numId="20">
    <w:abstractNumId w:val="12"/>
  </w:num>
  <w:num w:numId="21">
    <w:abstractNumId w:val="18"/>
  </w:num>
  <w:num w:numId="22">
    <w:abstractNumId w:val="50"/>
  </w:num>
  <w:num w:numId="23">
    <w:abstractNumId w:val="17"/>
  </w:num>
  <w:num w:numId="24">
    <w:abstractNumId w:val="39"/>
  </w:num>
  <w:num w:numId="25">
    <w:abstractNumId w:val="34"/>
  </w:num>
  <w:num w:numId="26">
    <w:abstractNumId w:val="8"/>
  </w:num>
  <w:num w:numId="27">
    <w:abstractNumId w:val="36"/>
  </w:num>
  <w:num w:numId="28">
    <w:abstractNumId w:val="40"/>
  </w:num>
  <w:num w:numId="29">
    <w:abstractNumId w:val="3"/>
  </w:num>
  <w:num w:numId="30">
    <w:abstractNumId w:val="6"/>
  </w:num>
  <w:num w:numId="31">
    <w:abstractNumId w:val="33"/>
  </w:num>
  <w:num w:numId="32">
    <w:abstractNumId w:val="6"/>
    <w:lvlOverride w:ilvl="0">
      <w:startOverride w:val="1"/>
    </w:lvlOverride>
  </w:num>
  <w:num w:numId="33">
    <w:abstractNumId w:val="26"/>
  </w:num>
  <w:num w:numId="34">
    <w:abstractNumId w:val="7"/>
  </w:num>
  <w:num w:numId="35">
    <w:abstractNumId w:val="43"/>
  </w:num>
  <w:num w:numId="36">
    <w:abstractNumId w:val="23"/>
  </w:num>
  <w:num w:numId="37">
    <w:abstractNumId w:val="46"/>
  </w:num>
  <w:num w:numId="38">
    <w:abstractNumId w:val="6"/>
    <w:lvlOverride w:ilvl="0">
      <w:startOverride w:val="1"/>
    </w:lvlOverride>
  </w:num>
  <w:num w:numId="39">
    <w:abstractNumId w:val="6"/>
    <w:lvlOverride w:ilvl="0">
      <w:startOverride w:val="1"/>
    </w:lvlOverride>
  </w:num>
  <w:num w:numId="40">
    <w:abstractNumId w:val="49"/>
  </w:num>
  <w:num w:numId="41">
    <w:abstractNumId w:val="16"/>
  </w:num>
  <w:num w:numId="42">
    <w:abstractNumId w:val="29"/>
  </w:num>
  <w:num w:numId="43">
    <w:abstractNumId w:val="29"/>
    <w:lvlOverride w:ilvl="0">
      <w:startOverride w:val="1"/>
    </w:lvlOverride>
  </w:num>
  <w:num w:numId="44">
    <w:abstractNumId w:val="9"/>
  </w:num>
  <w:num w:numId="45">
    <w:abstractNumId w:val="48"/>
  </w:num>
  <w:num w:numId="46">
    <w:abstractNumId w:val="5"/>
  </w:num>
  <w:num w:numId="47">
    <w:abstractNumId w:val="13"/>
  </w:num>
  <w:num w:numId="48">
    <w:abstractNumId w:val="14"/>
  </w:num>
  <w:num w:numId="49">
    <w:abstractNumId w:val="22"/>
  </w:num>
  <w:num w:numId="50">
    <w:abstractNumId w:val="34"/>
    <w:lvlOverride w:ilvl="0">
      <w:startOverride w:val="1"/>
    </w:lvlOverride>
  </w:num>
  <w:num w:numId="51">
    <w:abstractNumId w:val="34"/>
    <w:lvlOverride w:ilvl="0">
      <w:startOverride w:val="1"/>
    </w:lvlOverride>
  </w:num>
  <w:num w:numId="52">
    <w:abstractNumId w:val="34"/>
    <w:lvlOverride w:ilvl="0">
      <w:startOverride w:val="1"/>
    </w:lvlOverride>
  </w:num>
  <w:num w:numId="53">
    <w:abstractNumId w:val="34"/>
    <w:lvlOverride w:ilvl="0">
      <w:startOverride w:val="1"/>
    </w:lvlOverride>
  </w:num>
  <w:num w:numId="54">
    <w:abstractNumId w:val="34"/>
    <w:lvlOverride w:ilvl="0">
      <w:startOverride w:val="1"/>
    </w:lvlOverride>
  </w:num>
  <w:num w:numId="55">
    <w:abstractNumId w:val="34"/>
    <w:lvlOverride w:ilvl="0">
      <w:startOverride w:val="1"/>
    </w:lvlOverride>
  </w:num>
  <w:num w:numId="56">
    <w:abstractNumId w:val="34"/>
    <w:lvlOverride w:ilvl="0">
      <w:startOverride w:val="1"/>
    </w:lvlOverride>
  </w:num>
  <w:num w:numId="57">
    <w:abstractNumId w:val="34"/>
    <w:lvlOverride w:ilvl="0">
      <w:startOverride w:val="1"/>
    </w:lvlOverride>
  </w:num>
  <w:num w:numId="58">
    <w:abstractNumId w:val="34"/>
    <w:lvlOverride w:ilvl="0">
      <w:startOverride w:val="1"/>
    </w:lvlOverride>
  </w:num>
  <w:num w:numId="59">
    <w:abstractNumId w:val="34"/>
    <w:lvlOverride w:ilvl="0">
      <w:startOverride w:val="1"/>
    </w:lvlOverride>
  </w:num>
  <w:num w:numId="60">
    <w:abstractNumId w:val="34"/>
    <w:lvlOverride w:ilvl="0">
      <w:startOverride w:val="1"/>
    </w:lvlOverride>
  </w:num>
  <w:num w:numId="61">
    <w:abstractNumId w:val="29"/>
    <w:lvlOverride w:ilvl="0">
      <w:startOverride w:val="1"/>
    </w:lvlOverride>
  </w:num>
  <w:num w:numId="62">
    <w:abstractNumId w:val="34"/>
    <w:lvlOverride w:ilvl="0">
      <w:startOverride w:val="1"/>
    </w:lvlOverride>
  </w:num>
  <w:num w:numId="63">
    <w:abstractNumId w:val="34"/>
    <w:lvlOverride w:ilvl="0">
      <w:startOverride w:val="1"/>
    </w:lvlOverride>
  </w:num>
  <w:num w:numId="64">
    <w:abstractNumId w:val="28"/>
  </w:num>
  <w:num w:numId="65">
    <w:abstractNumId w:val="25"/>
  </w:num>
  <w:num w:numId="66">
    <w:abstractNumId w:val="30"/>
  </w:num>
  <w:num w:numId="67">
    <w:abstractNumId w:val="4"/>
  </w:num>
  <w:num w:numId="68">
    <w:abstractNumId w:val="41"/>
  </w:num>
  <w:num w:numId="69">
    <w:abstractNumId w:val="38"/>
  </w:num>
  <w:num w:numId="70">
    <w:abstractNumId w:val="29"/>
    <w:lvlOverride w:ilvl="0">
      <w:startOverride w:val="1"/>
    </w:lvlOverride>
  </w:num>
  <w:num w:numId="71">
    <w:abstractNumId w:val="42"/>
  </w:num>
  <w:num w:numId="72">
    <w:abstractNumId w:val="42"/>
    <w:lvlOverride w:ilvl="0">
      <w:startOverride w:val="1"/>
    </w:lvlOverride>
  </w:num>
  <w:num w:numId="73">
    <w:abstractNumId w:val="42"/>
    <w:lvlOverride w:ilvl="0">
      <w:startOverride w:val="1"/>
    </w:lvlOverride>
  </w:num>
  <w:num w:numId="74">
    <w:abstractNumId w:val="42"/>
    <w:lvlOverride w:ilvl="0">
      <w:startOverride w:val="1"/>
    </w:lvlOverride>
  </w:num>
  <w:num w:numId="75">
    <w:abstractNumId w:val="34"/>
    <w:lvlOverride w:ilvl="0">
      <w:startOverride w:val="1"/>
    </w:lvlOverride>
  </w:num>
  <w:num w:numId="76">
    <w:abstractNumId w:val="42"/>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nl-NL" w:vendorID="64" w:dllVersion="4096" w:nlCheck="1" w:checkStyle="0"/>
  <w:activeWritingStyle w:appName="MSWord" w:lang="en-NZ"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AU" w:vendorID="64" w:dllVersion="131078" w:nlCheck="1" w:checkStyle="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DE"/>
    <w:rsid w:val="000002FE"/>
    <w:rsid w:val="000004FF"/>
    <w:rsid w:val="0000059E"/>
    <w:rsid w:val="0000093A"/>
    <w:rsid w:val="000016C9"/>
    <w:rsid w:val="000017D3"/>
    <w:rsid w:val="00001C8A"/>
    <w:rsid w:val="00001DF8"/>
    <w:rsid w:val="00002023"/>
    <w:rsid w:val="00002161"/>
    <w:rsid w:val="0000242A"/>
    <w:rsid w:val="000027DD"/>
    <w:rsid w:val="00002A92"/>
    <w:rsid w:val="00002E28"/>
    <w:rsid w:val="000031D3"/>
    <w:rsid w:val="000039CF"/>
    <w:rsid w:val="00004136"/>
    <w:rsid w:val="00004B1F"/>
    <w:rsid w:val="00004B64"/>
    <w:rsid w:val="00004E18"/>
    <w:rsid w:val="00005042"/>
    <w:rsid w:val="000050F1"/>
    <w:rsid w:val="00005B82"/>
    <w:rsid w:val="0000722E"/>
    <w:rsid w:val="000073DE"/>
    <w:rsid w:val="00007E94"/>
    <w:rsid w:val="00010F5C"/>
    <w:rsid w:val="0001155E"/>
    <w:rsid w:val="000116A4"/>
    <w:rsid w:val="00011909"/>
    <w:rsid w:val="00011B30"/>
    <w:rsid w:val="00011DC5"/>
    <w:rsid w:val="00012537"/>
    <w:rsid w:val="00012D1D"/>
    <w:rsid w:val="00012D37"/>
    <w:rsid w:val="000131D5"/>
    <w:rsid w:val="000136CF"/>
    <w:rsid w:val="00013A81"/>
    <w:rsid w:val="00013B54"/>
    <w:rsid w:val="00013DE2"/>
    <w:rsid w:val="00013F72"/>
    <w:rsid w:val="000140F3"/>
    <w:rsid w:val="000142A2"/>
    <w:rsid w:val="000143D9"/>
    <w:rsid w:val="000146D5"/>
    <w:rsid w:val="0001482A"/>
    <w:rsid w:val="00014C23"/>
    <w:rsid w:val="00014CE0"/>
    <w:rsid w:val="0001527B"/>
    <w:rsid w:val="0001556C"/>
    <w:rsid w:val="00015CD1"/>
    <w:rsid w:val="00015CE8"/>
    <w:rsid w:val="00015CFC"/>
    <w:rsid w:val="00016357"/>
    <w:rsid w:val="00016699"/>
    <w:rsid w:val="00016839"/>
    <w:rsid w:val="00016ED5"/>
    <w:rsid w:val="00016FA1"/>
    <w:rsid w:val="000179E9"/>
    <w:rsid w:val="00017F64"/>
    <w:rsid w:val="00020121"/>
    <w:rsid w:val="00020217"/>
    <w:rsid w:val="00020446"/>
    <w:rsid w:val="00020531"/>
    <w:rsid w:val="000209B4"/>
    <w:rsid w:val="00020EF2"/>
    <w:rsid w:val="00021882"/>
    <w:rsid w:val="00021A9E"/>
    <w:rsid w:val="00021AC6"/>
    <w:rsid w:val="00021FED"/>
    <w:rsid w:val="00022491"/>
    <w:rsid w:val="00023736"/>
    <w:rsid w:val="00023A4C"/>
    <w:rsid w:val="0002423A"/>
    <w:rsid w:val="000243B1"/>
    <w:rsid w:val="00025211"/>
    <w:rsid w:val="00025431"/>
    <w:rsid w:val="0002588F"/>
    <w:rsid w:val="00025BE4"/>
    <w:rsid w:val="00025C08"/>
    <w:rsid w:val="00026869"/>
    <w:rsid w:val="000269E6"/>
    <w:rsid w:val="00027629"/>
    <w:rsid w:val="00027D51"/>
    <w:rsid w:val="00030111"/>
    <w:rsid w:val="00030858"/>
    <w:rsid w:val="00031100"/>
    <w:rsid w:val="00031EB5"/>
    <w:rsid w:val="0003231A"/>
    <w:rsid w:val="00032A2A"/>
    <w:rsid w:val="000334E1"/>
    <w:rsid w:val="0003371F"/>
    <w:rsid w:val="000341E7"/>
    <w:rsid w:val="000341EE"/>
    <w:rsid w:val="00034775"/>
    <w:rsid w:val="0003483C"/>
    <w:rsid w:val="00034EC3"/>
    <w:rsid w:val="000351E1"/>
    <w:rsid w:val="0003551F"/>
    <w:rsid w:val="00035535"/>
    <w:rsid w:val="00035BB6"/>
    <w:rsid w:val="00035FA5"/>
    <w:rsid w:val="000365A5"/>
    <w:rsid w:val="00036CD7"/>
    <w:rsid w:val="000374A7"/>
    <w:rsid w:val="00040588"/>
    <w:rsid w:val="000406E9"/>
    <w:rsid w:val="00040AF6"/>
    <w:rsid w:val="00040B3C"/>
    <w:rsid w:val="00040CB7"/>
    <w:rsid w:val="00040E4D"/>
    <w:rsid w:val="00041308"/>
    <w:rsid w:val="00041C0B"/>
    <w:rsid w:val="00041FE7"/>
    <w:rsid w:val="000426A5"/>
    <w:rsid w:val="000426DF"/>
    <w:rsid w:val="00042D6F"/>
    <w:rsid w:val="00042E18"/>
    <w:rsid w:val="00042FD5"/>
    <w:rsid w:val="000431B1"/>
    <w:rsid w:val="000435B6"/>
    <w:rsid w:val="00044338"/>
    <w:rsid w:val="0004452E"/>
    <w:rsid w:val="000454C7"/>
    <w:rsid w:val="0004566B"/>
    <w:rsid w:val="000466F3"/>
    <w:rsid w:val="00046AB8"/>
    <w:rsid w:val="00046B64"/>
    <w:rsid w:val="00046FBC"/>
    <w:rsid w:val="00047480"/>
    <w:rsid w:val="000506B3"/>
    <w:rsid w:val="00050E72"/>
    <w:rsid w:val="000510D2"/>
    <w:rsid w:val="00051A2D"/>
    <w:rsid w:val="00051F36"/>
    <w:rsid w:val="00051FE5"/>
    <w:rsid w:val="000529AD"/>
    <w:rsid w:val="0005306D"/>
    <w:rsid w:val="00053973"/>
    <w:rsid w:val="00053E77"/>
    <w:rsid w:val="00054DDB"/>
    <w:rsid w:val="0005506B"/>
    <w:rsid w:val="000550B0"/>
    <w:rsid w:val="00055265"/>
    <w:rsid w:val="00055C17"/>
    <w:rsid w:val="00055E78"/>
    <w:rsid w:val="0005613C"/>
    <w:rsid w:val="00057345"/>
    <w:rsid w:val="00057589"/>
    <w:rsid w:val="000576D2"/>
    <w:rsid w:val="000579B1"/>
    <w:rsid w:val="00057D09"/>
    <w:rsid w:val="00060620"/>
    <w:rsid w:val="00060793"/>
    <w:rsid w:val="00060853"/>
    <w:rsid w:val="00061788"/>
    <w:rsid w:val="00061A0A"/>
    <w:rsid w:val="00061F93"/>
    <w:rsid w:val="000620C4"/>
    <w:rsid w:val="00062183"/>
    <w:rsid w:val="000622DA"/>
    <w:rsid w:val="00062756"/>
    <w:rsid w:val="00062BB6"/>
    <w:rsid w:val="00062FAA"/>
    <w:rsid w:val="0006364B"/>
    <w:rsid w:val="00063F0C"/>
    <w:rsid w:val="00064F1C"/>
    <w:rsid w:val="00064F55"/>
    <w:rsid w:val="00065E3E"/>
    <w:rsid w:val="00065F05"/>
    <w:rsid w:val="00065F45"/>
    <w:rsid w:val="00067607"/>
    <w:rsid w:val="000712EF"/>
    <w:rsid w:val="0007177D"/>
    <w:rsid w:val="00071B95"/>
    <w:rsid w:val="00071C7B"/>
    <w:rsid w:val="000732C5"/>
    <w:rsid w:val="00073812"/>
    <w:rsid w:val="0007395B"/>
    <w:rsid w:val="000743FD"/>
    <w:rsid w:val="000745E2"/>
    <w:rsid w:val="00074C39"/>
    <w:rsid w:val="00074D6C"/>
    <w:rsid w:val="00074E21"/>
    <w:rsid w:val="00075069"/>
    <w:rsid w:val="00075168"/>
    <w:rsid w:val="000753C6"/>
    <w:rsid w:val="000755FE"/>
    <w:rsid w:val="00075864"/>
    <w:rsid w:val="00075F45"/>
    <w:rsid w:val="0007633F"/>
    <w:rsid w:val="00076529"/>
    <w:rsid w:val="0007654F"/>
    <w:rsid w:val="000768C9"/>
    <w:rsid w:val="000768DE"/>
    <w:rsid w:val="00076DE0"/>
    <w:rsid w:val="0007703B"/>
    <w:rsid w:val="000774FD"/>
    <w:rsid w:val="00077DAD"/>
    <w:rsid w:val="00080C9A"/>
    <w:rsid w:val="000814BE"/>
    <w:rsid w:val="000816A1"/>
    <w:rsid w:val="00081C5F"/>
    <w:rsid w:val="00081F4E"/>
    <w:rsid w:val="00082344"/>
    <w:rsid w:val="00082EDC"/>
    <w:rsid w:val="000835DB"/>
    <w:rsid w:val="0008378E"/>
    <w:rsid w:val="0008388C"/>
    <w:rsid w:val="00083AC4"/>
    <w:rsid w:val="00083D72"/>
    <w:rsid w:val="00083D78"/>
    <w:rsid w:val="000840D0"/>
    <w:rsid w:val="000843DD"/>
    <w:rsid w:val="0008462F"/>
    <w:rsid w:val="000860A9"/>
    <w:rsid w:val="00086183"/>
    <w:rsid w:val="00086334"/>
    <w:rsid w:val="00086709"/>
    <w:rsid w:val="0008682D"/>
    <w:rsid w:val="000869FA"/>
    <w:rsid w:val="00087B44"/>
    <w:rsid w:val="00087D96"/>
    <w:rsid w:val="000905A8"/>
    <w:rsid w:val="00091878"/>
    <w:rsid w:val="000927C6"/>
    <w:rsid w:val="000928DC"/>
    <w:rsid w:val="00093118"/>
    <w:rsid w:val="0009356A"/>
    <w:rsid w:val="000957CA"/>
    <w:rsid w:val="000957FC"/>
    <w:rsid w:val="000959B6"/>
    <w:rsid w:val="00095A5A"/>
    <w:rsid w:val="00095B80"/>
    <w:rsid w:val="00095BB9"/>
    <w:rsid w:val="00095FE3"/>
    <w:rsid w:val="00096B73"/>
    <w:rsid w:val="00096E15"/>
    <w:rsid w:val="000979A0"/>
    <w:rsid w:val="00097B02"/>
    <w:rsid w:val="000A00D9"/>
    <w:rsid w:val="000A0473"/>
    <w:rsid w:val="000A06A6"/>
    <w:rsid w:val="000A0D08"/>
    <w:rsid w:val="000A0DD7"/>
    <w:rsid w:val="000A0E47"/>
    <w:rsid w:val="000A1618"/>
    <w:rsid w:val="000A1756"/>
    <w:rsid w:val="000A1D51"/>
    <w:rsid w:val="000A243E"/>
    <w:rsid w:val="000A33FA"/>
    <w:rsid w:val="000A3974"/>
    <w:rsid w:val="000A402C"/>
    <w:rsid w:val="000A4B35"/>
    <w:rsid w:val="000A552E"/>
    <w:rsid w:val="000A631A"/>
    <w:rsid w:val="000A6BC3"/>
    <w:rsid w:val="000A6F69"/>
    <w:rsid w:val="000A7605"/>
    <w:rsid w:val="000A7AE0"/>
    <w:rsid w:val="000A7BB1"/>
    <w:rsid w:val="000A7F7C"/>
    <w:rsid w:val="000A7FCA"/>
    <w:rsid w:val="000B0BA0"/>
    <w:rsid w:val="000B1A65"/>
    <w:rsid w:val="000B1ECC"/>
    <w:rsid w:val="000B2030"/>
    <w:rsid w:val="000B2446"/>
    <w:rsid w:val="000B2821"/>
    <w:rsid w:val="000B2932"/>
    <w:rsid w:val="000B2F5E"/>
    <w:rsid w:val="000B3121"/>
    <w:rsid w:val="000B3908"/>
    <w:rsid w:val="000B3BE3"/>
    <w:rsid w:val="000B4B06"/>
    <w:rsid w:val="000B5A37"/>
    <w:rsid w:val="000B61FF"/>
    <w:rsid w:val="000B66CE"/>
    <w:rsid w:val="000B68F6"/>
    <w:rsid w:val="000B6BE5"/>
    <w:rsid w:val="000B6FEA"/>
    <w:rsid w:val="000B75E8"/>
    <w:rsid w:val="000B7B4D"/>
    <w:rsid w:val="000C09D8"/>
    <w:rsid w:val="000C0C3C"/>
    <w:rsid w:val="000C0DD3"/>
    <w:rsid w:val="000C131D"/>
    <w:rsid w:val="000C14FA"/>
    <w:rsid w:val="000C1A71"/>
    <w:rsid w:val="000C1EC4"/>
    <w:rsid w:val="000C1ED3"/>
    <w:rsid w:val="000C258A"/>
    <w:rsid w:val="000C29BF"/>
    <w:rsid w:val="000C2C4D"/>
    <w:rsid w:val="000C3153"/>
    <w:rsid w:val="000C31C4"/>
    <w:rsid w:val="000C34CC"/>
    <w:rsid w:val="000C41EC"/>
    <w:rsid w:val="000C49A1"/>
    <w:rsid w:val="000C4B9C"/>
    <w:rsid w:val="000C4D54"/>
    <w:rsid w:val="000C52C4"/>
    <w:rsid w:val="000C5EE8"/>
    <w:rsid w:val="000C5F55"/>
    <w:rsid w:val="000C6080"/>
    <w:rsid w:val="000C60A8"/>
    <w:rsid w:val="000C628C"/>
    <w:rsid w:val="000C63BF"/>
    <w:rsid w:val="000C701D"/>
    <w:rsid w:val="000C71F5"/>
    <w:rsid w:val="000D0F05"/>
    <w:rsid w:val="000D151B"/>
    <w:rsid w:val="000D1993"/>
    <w:rsid w:val="000D1A0B"/>
    <w:rsid w:val="000D1E31"/>
    <w:rsid w:val="000D4230"/>
    <w:rsid w:val="000D5452"/>
    <w:rsid w:val="000D56BB"/>
    <w:rsid w:val="000D5BD9"/>
    <w:rsid w:val="000D6988"/>
    <w:rsid w:val="000D6F85"/>
    <w:rsid w:val="000D733F"/>
    <w:rsid w:val="000D7507"/>
    <w:rsid w:val="000E0AA4"/>
    <w:rsid w:val="000E0AD5"/>
    <w:rsid w:val="000E0B7C"/>
    <w:rsid w:val="000E217F"/>
    <w:rsid w:val="000E2C6D"/>
    <w:rsid w:val="000E3068"/>
    <w:rsid w:val="000E4573"/>
    <w:rsid w:val="000E4CD0"/>
    <w:rsid w:val="000E5053"/>
    <w:rsid w:val="000E5054"/>
    <w:rsid w:val="000E5099"/>
    <w:rsid w:val="000E527A"/>
    <w:rsid w:val="000E584B"/>
    <w:rsid w:val="000E5933"/>
    <w:rsid w:val="000E5A90"/>
    <w:rsid w:val="000E5BE2"/>
    <w:rsid w:val="000E613D"/>
    <w:rsid w:val="000E65E3"/>
    <w:rsid w:val="000E6994"/>
    <w:rsid w:val="000E6B3B"/>
    <w:rsid w:val="000E7297"/>
    <w:rsid w:val="000E795B"/>
    <w:rsid w:val="000E7A8D"/>
    <w:rsid w:val="000F0108"/>
    <w:rsid w:val="000F1412"/>
    <w:rsid w:val="000F20C0"/>
    <w:rsid w:val="000F27AA"/>
    <w:rsid w:val="000F2D94"/>
    <w:rsid w:val="000F3587"/>
    <w:rsid w:val="000F36FB"/>
    <w:rsid w:val="000F3EA3"/>
    <w:rsid w:val="000F425A"/>
    <w:rsid w:val="000F582A"/>
    <w:rsid w:val="000F5A3E"/>
    <w:rsid w:val="000F5B51"/>
    <w:rsid w:val="000F6137"/>
    <w:rsid w:val="000F625A"/>
    <w:rsid w:val="000F7C04"/>
    <w:rsid w:val="00100485"/>
    <w:rsid w:val="00100AA2"/>
    <w:rsid w:val="00100BEF"/>
    <w:rsid w:val="0010197C"/>
    <w:rsid w:val="00101ACA"/>
    <w:rsid w:val="00101E4F"/>
    <w:rsid w:val="00102B32"/>
    <w:rsid w:val="00103A60"/>
    <w:rsid w:val="00103F09"/>
    <w:rsid w:val="00104078"/>
    <w:rsid w:val="0010466A"/>
    <w:rsid w:val="00104F70"/>
    <w:rsid w:val="00105078"/>
    <w:rsid w:val="00105703"/>
    <w:rsid w:val="00105705"/>
    <w:rsid w:val="001058FC"/>
    <w:rsid w:val="0010592E"/>
    <w:rsid w:val="00105B75"/>
    <w:rsid w:val="00105D95"/>
    <w:rsid w:val="00105F29"/>
    <w:rsid w:val="00106185"/>
    <w:rsid w:val="00106BD6"/>
    <w:rsid w:val="00106BDC"/>
    <w:rsid w:val="00106E9B"/>
    <w:rsid w:val="00106FCC"/>
    <w:rsid w:val="0010729C"/>
    <w:rsid w:val="001076D0"/>
    <w:rsid w:val="00107967"/>
    <w:rsid w:val="00107E7B"/>
    <w:rsid w:val="001101BA"/>
    <w:rsid w:val="0011063E"/>
    <w:rsid w:val="00110BDE"/>
    <w:rsid w:val="00110DBD"/>
    <w:rsid w:val="001111D6"/>
    <w:rsid w:val="00111867"/>
    <w:rsid w:val="00111E5C"/>
    <w:rsid w:val="00111FD6"/>
    <w:rsid w:val="001126EE"/>
    <w:rsid w:val="00112C80"/>
    <w:rsid w:val="00112E97"/>
    <w:rsid w:val="0011381D"/>
    <w:rsid w:val="001139DE"/>
    <w:rsid w:val="00114751"/>
    <w:rsid w:val="00114778"/>
    <w:rsid w:val="001154CA"/>
    <w:rsid w:val="00115640"/>
    <w:rsid w:val="00115723"/>
    <w:rsid w:val="00115DAF"/>
    <w:rsid w:val="00115E1B"/>
    <w:rsid w:val="00116DFF"/>
    <w:rsid w:val="001171DE"/>
    <w:rsid w:val="00117929"/>
    <w:rsid w:val="00120975"/>
    <w:rsid w:val="001209AB"/>
    <w:rsid w:val="00120DD1"/>
    <w:rsid w:val="00120FC7"/>
    <w:rsid w:val="001213A6"/>
    <w:rsid w:val="00121A88"/>
    <w:rsid w:val="00121E84"/>
    <w:rsid w:val="00122038"/>
    <w:rsid w:val="00122319"/>
    <w:rsid w:val="001227C3"/>
    <w:rsid w:val="00122D60"/>
    <w:rsid w:val="00122D83"/>
    <w:rsid w:val="0012300D"/>
    <w:rsid w:val="00123191"/>
    <w:rsid w:val="001232CF"/>
    <w:rsid w:val="0012336C"/>
    <w:rsid w:val="00123AB8"/>
    <w:rsid w:val="0012429A"/>
    <w:rsid w:val="001247C2"/>
    <w:rsid w:val="00124B0A"/>
    <w:rsid w:val="00124C11"/>
    <w:rsid w:val="00125281"/>
    <w:rsid w:val="001258C6"/>
    <w:rsid w:val="00126823"/>
    <w:rsid w:val="001273E8"/>
    <w:rsid w:val="0012753A"/>
    <w:rsid w:val="001275F8"/>
    <w:rsid w:val="0012793C"/>
    <w:rsid w:val="00127AF5"/>
    <w:rsid w:val="00127DE0"/>
    <w:rsid w:val="00127DEA"/>
    <w:rsid w:val="001307BA"/>
    <w:rsid w:val="001308EA"/>
    <w:rsid w:val="00131FF0"/>
    <w:rsid w:val="00132003"/>
    <w:rsid w:val="00132495"/>
    <w:rsid w:val="00132674"/>
    <w:rsid w:val="00133AAD"/>
    <w:rsid w:val="00133CBE"/>
    <w:rsid w:val="00134297"/>
    <w:rsid w:val="001351A3"/>
    <w:rsid w:val="00135312"/>
    <w:rsid w:val="00135806"/>
    <w:rsid w:val="001359D6"/>
    <w:rsid w:val="00136297"/>
    <w:rsid w:val="00136498"/>
    <w:rsid w:val="001366B4"/>
    <w:rsid w:val="001366F1"/>
    <w:rsid w:val="001375E3"/>
    <w:rsid w:val="001378EA"/>
    <w:rsid w:val="0013798C"/>
    <w:rsid w:val="00137A9E"/>
    <w:rsid w:val="00137CAC"/>
    <w:rsid w:val="00137CD9"/>
    <w:rsid w:val="00140162"/>
    <w:rsid w:val="001407DD"/>
    <w:rsid w:val="001408A2"/>
    <w:rsid w:val="00140C58"/>
    <w:rsid w:val="0014114D"/>
    <w:rsid w:val="00141A30"/>
    <w:rsid w:val="0014296A"/>
    <w:rsid w:val="00143053"/>
    <w:rsid w:val="00143CE9"/>
    <w:rsid w:val="00143E15"/>
    <w:rsid w:val="0014411B"/>
    <w:rsid w:val="001445B6"/>
    <w:rsid w:val="001448E7"/>
    <w:rsid w:val="00144C7B"/>
    <w:rsid w:val="00144D67"/>
    <w:rsid w:val="001461D6"/>
    <w:rsid w:val="001463E6"/>
    <w:rsid w:val="00146744"/>
    <w:rsid w:val="001470BC"/>
    <w:rsid w:val="00147215"/>
    <w:rsid w:val="00147846"/>
    <w:rsid w:val="001479AE"/>
    <w:rsid w:val="00147A38"/>
    <w:rsid w:val="00147A94"/>
    <w:rsid w:val="00147AAA"/>
    <w:rsid w:val="00147C13"/>
    <w:rsid w:val="00147DFC"/>
    <w:rsid w:val="00147FD5"/>
    <w:rsid w:val="00150436"/>
    <w:rsid w:val="0015043E"/>
    <w:rsid w:val="001507E6"/>
    <w:rsid w:val="0015105C"/>
    <w:rsid w:val="001528E6"/>
    <w:rsid w:val="00152B25"/>
    <w:rsid w:val="00152DFD"/>
    <w:rsid w:val="00152ED3"/>
    <w:rsid w:val="001535DA"/>
    <w:rsid w:val="0015437F"/>
    <w:rsid w:val="001543E5"/>
    <w:rsid w:val="00154666"/>
    <w:rsid w:val="00154818"/>
    <w:rsid w:val="00154A5B"/>
    <w:rsid w:val="00154EF9"/>
    <w:rsid w:val="00155147"/>
    <w:rsid w:val="0015593E"/>
    <w:rsid w:val="00155D93"/>
    <w:rsid w:val="001567CA"/>
    <w:rsid w:val="00157854"/>
    <w:rsid w:val="00157858"/>
    <w:rsid w:val="00157C53"/>
    <w:rsid w:val="00157CFE"/>
    <w:rsid w:val="001600AA"/>
    <w:rsid w:val="001607DC"/>
    <w:rsid w:val="00160937"/>
    <w:rsid w:val="00160C53"/>
    <w:rsid w:val="00160C70"/>
    <w:rsid w:val="001612CE"/>
    <w:rsid w:val="001616F9"/>
    <w:rsid w:val="00162174"/>
    <w:rsid w:val="001624FB"/>
    <w:rsid w:val="001629F1"/>
    <w:rsid w:val="00162CA4"/>
    <w:rsid w:val="001630FF"/>
    <w:rsid w:val="00163313"/>
    <w:rsid w:val="00164071"/>
    <w:rsid w:val="001646A7"/>
    <w:rsid w:val="001646BE"/>
    <w:rsid w:val="00165100"/>
    <w:rsid w:val="0016537A"/>
    <w:rsid w:val="0016544D"/>
    <w:rsid w:val="001657D8"/>
    <w:rsid w:val="001657F1"/>
    <w:rsid w:val="00165C0C"/>
    <w:rsid w:val="0016618F"/>
    <w:rsid w:val="001667A2"/>
    <w:rsid w:val="00166B33"/>
    <w:rsid w:val="00166D03"/>
    <w:rsid w:val="00167331"/>
    <w:rsid w:val="0016740F"/>
    <w:rsid w:val="00167839"/>
    <w:rsid w:val="001701F9"/>
    <w:rsid w:val="0017024E"/>
    <w:rsid w:val="00170DA1"/>
    <w:rsid w:val="001713E3"/>
    <w:rsid w:val="00171AC4"/>
    <w:rsid w:val="0017204C"/>
    <w:rsid w:val="001724A9"/>
    <w:rsid w:val="00172EED"/>
    <w:rsid w:val="00173223"/>
    <w:rsid w:val="0017374C"/>
    <w:rsid w:val="00173C6E"/>
    <w:rsid w:val="001745FE"/>
    <w:rsid w:val="001749BC"/>
    <w:rsid w:val="00174A2B"/>
    <w:rsid w:val="00174F40"/>
    <w:rsid w:val="00174FF7"/>
    <w:rsid w:val="00176012"/>
    <w:rsid w:val="0017671A"/>
    <w:rsid w:val="00176A80"/>
    <w:rsid w:val="0017720C"/>
    <w:rsid w:val="00177C17"/>
    <w:rsid w:val="00180443"/>
    <w:rsid w:val="00180752"/>
    <w:rsid w:val="001807E8"/>
    <w:rsid w:val="001808FD"/>
    <w:rsid w:val="00180B19"/>
    <w:rsid w:val="00181762"/>
    <w:rsid w:val="0018196F"/>
    <w:rsid w:val="00181D9F"/>
    <w:rsid w:val="001829BB"/>
    <w:rsid w:val="00182A57"/>
    <w:rsid w:val="00182CBC"/>
    <w:rsid w:val="0018305E"/>
    <w:rsid w:val="001830D3"/>
    <w:rsid w:val="0018353A"/>
    <w:rsid w:val="001838DB"/>
    <w:rsid w:val="00184219"/>
    <w:rsid w:val="001845AE"/>
    <w:rsid w:val="00184955"/>
    <w:rsid w:val="001856BF"/>
    <w:rsid w:val="00185705"/>
    <w:rsid w:val="00185A02"/>
    <w:rsid w:val="00185DAB"/>
    <w:rsid w:val="00185DC2"/>
    <w:rsid w:val="00185F08"/>
    <w:rsid w:val="001866AB"/>
    <w:rsid w:val="00186EF5"/>
    <w:rsid w:val="0018724D"/>
    <w:rsid w:val="001872AD"/>
    <w:rsid w:val="0018748A"/>
    <w:rsid w:val="001878B7"/>
    <w:rsid w:val="001901C4"/>
    <w:rsid w:val="001916DF"/>
    <w:rsid w:val="00191A38"/>
    <w:rsid w:val="00191E6B"/>
    <w:rsid w:val="00192461"/>
    <w:rsid w:val="00192498"/>
    <w:rsid w:val="001942AF"/>
    <w:rsid w:val="001943B6"/>
    <w:rsid w:val="00194806"/>
    <w:rsid w:val="00194C6A"/>
    <w:rsid w:val="00195406"/>
    <w:rsid w:val="00195DFD"/>
    <w:rsid w:val="00196706"/>
    <w:rsid w:val="00197233"/>
    <w:rsid w:val="001A01FA"/>
    <w:rsid w:val="001A0443"/>
    <w:rsid w:val="001A0801"/>
    <w:rsid w:val="001A0FA2"/>
    <w:rsid w:val="001A112C"/>
    <w:rsid w:val="001A227A"/>
    <w:rsid w:val="001A2A21"/>
    <w:rsid w:val="001A374B"/>
    <w:rsid w:val="001A3D72"/>
    <w:rsid w:val="001A4211"/>
    <w:rsid w:val="001A4809"/>
    <w:rsid w:val="001A4EEF"/>
    <w:rsid w:val="001A50A5"/>
    <w:rsid w:val="001A54C4"/>
    <w:rsid w:val="001A54E7"/>
    <w:rsid w:val="001A6408"/>
    <w:rsid w:val="001A6ECF"/>
    <w:rsid w:val="001A6ED8"/>
    <w:rsid w:val="001A73E8"/>
    <w:rsid w:val="001A75ED"/>
    <w:rsid w:val="001A7630"/>
    <w:rsid w:val="001B0915"/>
    <w:rsid w:val="001B0937"/>
    <w:rsid w:val="001B1A0C"/>
    <w:rsid w:val="001B1C7A"/>
    <w:rsid w:val="001B21AE"/>
    <w:rsid w:val="001B25A9"/>
    <w:rsid w:val="001B2948"/>
    <w:rsid w:val="001B29F0"/>
    <w:rsid w:val="001B2BCD"/>
    <w:rsid w:val="001B2E4F"/>
    <w:rsid w:val="001B30E1"/>
    <w:rsid w:val="001B325B"/>
    <w:rsid w:val="001B3993"/>
    <w:rsid w:val="001B41CD"/>
    <w:rsid w:val="001B4947"/>
    <w:rsid w:val="001B4BB8"/>
    <w:rsid w:val="001B605D"/>
    <w:rsid w:val="001B658A"/>
    <w:rsid w:val="001B68BE"/>
    <w:rsid w:val="001B6AE5"/>
    <w:rsid w:val="001B714C"/>
    <w:rsid w:val="001B7247"/>
    <w:rsid w:val="001C0184"/>
    <w:rsid w:val="001C0284"/>
    <w:rsid w:val="001C054E"/>
    <w:rsid w:val="001C06C2"/>
    <w:rsid w:val="001C0C29"/>
    <w:rsid w:val="001C0EE8"/>
    <w:rsid w:val="001C1047"/>
    <w:rsid w:val="001C12D8"/>
    <w:rsid w:val="001C19D5"/>
    <w:rsid w:val="001C1EA0"/>
    <w:rsid w:val="001C2142"/>
    <w:rsid w:val="001C22FB"/>
    <w:rsid w:val="001C2E02"/>
    <w:rsid w:val="001C2FB7"/>
    <w:rsid w:val="001C31B9"/>
    <w:rsid w:val="001C33AC"/>
    <w:rsid w:val="001C37D3"/>
    <w:rsid w:val="001C4889"/>
    <w:rsid w:val="001C507E"/>
    <w:rsid w:val="001C5C7B"/>
    <w:rsid w:val="001C644B"/>
    <w:rsid w:val="001C700E"/>
    <w:rsid w:val="001C7117"/>
    <w:rsid w:val="001C745A"/>
    <w:rsid w:val="001C74EE"/>
    <w:rsid w:val="001C765C"/>
    <w:rsid w:val="001C7B7C"/>
    <w:rsid w:val="001C7DDD"/>
    <w:rsid w:val="001D0233"/>
    <w:rsid w:val="001D0640"/>
    <w:rsid w:val="001D06DB"/>
    <w:rsid w:val="001D0802"/>
    <w:rsid w:val="001D20FC"/>
    <w:rsid w:val="001D210A"/>
    <w:rsid w:val="001D249E"/>
    <w:rsid w:val="001D25BE"/>
    <w:rsid w:val="001D3511"/>
    <w:rsid w:val="001D3B33"/>
    <w:rsid w:val="001D3F27"/>
    <w:rsid w:val="001D3F52"/>
    <w:rsid w:val="001D4111"/>
    <w:rsid w:val="001D4112"/>
    <w:rsid w:val="001D4B88"/>
    <w:rsid w:val="001D4E04"/>
    <w:rsid w:val="001D50F0"/>
    <w:rsid w:val="001D565E"/>
    <w:rsid w:val="001D5664"/>
    <w:rsid w:val="001D5955"/>
    <w:rsid w:val="001D6059"/>
    <w:rsid w:val="001D6B45"/>
    <w:rsid w:val="001D72AE"/>
    <w:rsid w:val="001D7715"/>
    <w:rsid w:val="001E06C2"/>
    <w:rsid w:val="001E0ACF"/>
    <w:rsid w:val="001E0CAC"/>
    <w:rsid w:val="001E129F"/>
    <w:rsid w:val="001E200A"/>
    <w:rsid w:val="001E20D1"/>
    <w:rsid w:val="001E2ABE"/>
    <w:rsid w:val="001E3622"/>
    <w:rsid w:val="001E3E2E"/>
    <w:rsid w:val="001E4357"/>
    <w:rsid w:val="001E4A7C"/>
    <w:rsid w:val="001E4BDE"/>
    <w:rsid w:val="001E625A"/>
    <w:rsid w:val="001E6635"/>
    <w:rsid w:val="001E699B"/>
    <w:rsid w:val="001E6DAB"/>
    <w:rsid w:val="001E72EF"/>
    <w:rsid w:val="001E756E"/>
    <w:rsid w:val="001E7867"/>
    <w:rsid w:val="001F00DC"/>
    <w:rsid w:val="001F0B5B"/>
    <w:rsid w:val="001F0CF0"/>
    <w:rsid w:val="001F0E07"/>
    <w:rsid w:val="001F12A2"/>
    <w:rsid w:val="001F14BD"/>
    <w:rsid w:val="001F15C1"/>
    <w:rsid w:val="001F15ED"/>
    <w:rsid w:val="001F1AA4"/>
    <w:rsid w:val="001F1EE7"/>
    <w:rsid w:val="001F3246"/>
    <w:rsid w:val="001F3F27"/>
    <w:rsid w:val="001F5A6D"/>
    <w:rsid w:val="001F5CB1"/>
    <w:rsid w:val="001F5F40"/>
    <w:rsid w:val="001F5FBE"/>
    <w:rsid w:val="001F61A8"/>
    <w:rsid w:val="001F6F18"/>
    <w:rsid w:val="001F6F3B"/>
    <w:rsid w:val="001F71C5"/>
    <w:rsid w:val="001F7295"/>
    <w:rsid w:val="001F72FF"/>
    <w:rsid w:val="001F7480"/>
    <w:rsid w:val="0020006A"/>
    <w:rsid w:val="0020013D"/>
    <w:rsid w:val="002009BE"/>
    <w:rsid w:val="00201174"/>
    <w:rsid w:val="0020192A"/>
    <w:rsid w:val="00201F59"/>
    <w:rsid w:val="00202880"/>
    <w:rsid w:val="00202D25"/>
    <w:rsid w:val="00202E4E"/>
    <w:rsid w:val="00202FDC"/>
    <w:rsid w:val="002032A5"/>
    <w:rsid w:val="0020342D"/>
    <w:rsid w:val="0020391C"/>
    <w:rsid w:val="00203BCC"/>
    <w:rsid w:val="00204BA6"/>
    <w:rsid w:val="00204BC0"/>
    <w:rsid w:val="00204CC2"/>
    <w:rsid w:val="00205A5E"/>
    <w:rsid w:val="00205E0B"/>
    <w:rsid w:val="00205F2B"/>
    <w:rsid w:val="00207849"/>
    <w:rsid w:val="00207872"/>
    <w:rsid w:val="00207E38"/>
    <w:rsid w:val="002105D8"/>
    <w:rsid w:val="002106DE"/>
    <w:rsid w:val="0021076D"/>
    <w:rsid w:val="00210A07"/>
    <w:rsid w:val="00210FC6"/>
    <w:rsid w:val="002110D1"/>
    <w:rsid w:val="002115BD"/>
    <w:rsid w:val="0021172D"/>
    <w:rsid w:val="00211AAC"/>
    <w:rsid w:val="00211B50"/>
    <w:rsid w:val="00211D8A"/>
    <w:rsid w:val="00212019"/>
    <w:rsid w:val="002126BA"/>
    <w:rsid w:val="00212A48"/>
    <w:rsid w:val="00212B27"/>
    <w:rsid w:val="00212D4B"/>
    <w:rsid w:val="00212DF0"/>
    <w:rsid w:val="002138B3"/>
    <w:rsid w:val="00214555"/>
    <w:rsid w:val="0021477E"/>
    <w:rsid w:val="0021484A"/>
    <w:rsid w:val="00214AD4"/>
    <w:rsid w:val="0021515C"/>
    <w:rsid w:val="00215229"/>
    <w:rsid w:val="00215F36"/>
    <w:rsid w:val="002164CB"/>
    <w:rsid w:val="0021744F"/>
    <w:rsid w:val="00217EDA"/>
    <w:rsid w:val="002203E8"/>
    <w:rsid w:val="002204B7"/>
    <w:rsid w:val="00220593"/>
    <w:rsid w:val="00220BB3"/>
    <w:rsid w:val="00220D02"/>
    <w:rsid w:val="00221510"/>
    <w:rsid w:val="00221E2C"/>
    <w:rsid w:val="002227A9"/>
    <w:rsid w:val="00222B1F"/>
    <w:rsid w:val="002235B8"/>
    <w:rsid w:val="00223956"/>
    <w:rsid w:val="00223E79"/>
    <w:rsid w:val="00223F96"/>
    <w:rsid w:val="0022427C"/>
    <w:rsid w:val="002243E1"/>
    <w:rsid w:val="00224B58"/>
    <w:rsid w:val="00225031"/>
    <w:rsid w:val="00225063"/>
    <w:rsid w:val="00225346"/>
    <w:rsid w:val="00225A2A"/>
    <w:rsid w:val="002263AC"/>
    <w:rsid w:val="00226DEE"/>
    <w:rsid w:val="00226E21"/>
    <w:rsid w:val="00227290"/>
    <w:rsid w:val="002276E7"/>
    <w:rsid w:val="0022790B"/>
    <w:rsid w:val="00227E75"/>
    <w:rsid w:val="00227FB4"/>
    <w:rsid w:val="002301CD"/>
    <w:rsid w:val="002303C5"/>
    <w:rsid w:val="00230639"/>
    <w:rsid w:val="00231717"/>
    <w:rsid w:val="00231D45"/>
    <w:rsid w:val="00231E72"/>
    <w:rsid w:val="0023233F"/>
    <w:rsid w:val="00232656"/>
    <w:rsid w:val="002328AF"/>
    <w:rsid w:val="002335A9"/>
    <w:rsid w:val="00233AE9"/>
    <w:rsid w:val="00233B7A"/>
    <w:rsid w:val="00233EAA"/>
    <w:rsid w:val="002340C6"/>
    <w:rsid w:val="002343CF"/>
    <w:rsid w:val="00234AD2"/>
    <w:rsid w:val="002350E3"/>
    <w:rsid w:val="002352EE"/>
    <w:rsid w:val="00235B04"/>
    <w:rsid w:val="00235D29"/>
    <w:rsid w:val="002363D9"/>
    <w:rsid w:val="00236B8C"/>
    <w:rsid w:val="00237C4B"/>
    <w:rsid w:val="0024011D"/>
    <w:rsid w:val="002402BB"/>
    <w:rsid w:val="00240D59"/>
    <w:rsid w:val="00240FA3"/>
    <w:rsid w:val="00241A6B"/>
    <w:rsid w:val="00241CB8"/>
    <w:rsid w:val="00241DEC"/>
    <w:rsid w:val="00241E1A"/>
    <w:rsid w:val="0024235B"/>
    <w:rsid w:val="00242CD1"/>
    <w:rsid w:val="00242DF2"/>
    <w:rsid w:val="00243772"/>
    <w:rsid w:val="00243831"/>
    <w:rsid w:val="002439C9"/>
    <w:rsid w:val="002441D5"/>
    <w:rsid w:val="002443E8"/>
    <w:rsid w:val="00244436"/>
    <w:rsid w:val="00244D93"/>
    <w:rsid w:val="00245BEF"/>
    <w:rsid w:val="00245EC0"/>
    <w:rsid w:val="0024636B"/>
    <w:rsid w:val="00246C90"/>
    <w:rsid w:val="00246E5F"/>
    <w:rsid w:val="00247F42"/>
    <w:rsid w:val="00250182"/>
    <w:rsid w:val="002503B3"/>
    <w:rsid w:val="002504E0"/>
    <w:rsid w:val="00250527"/>
    <w:rsid w:val="00250E04"/>
    <w:rsid w:val="00251403"/>
    <w:rsid w:val="00251C24"/>
    <w:rsid w:val="00251D22"/>
    <w:rsid w:val="00252A88"/>
    <w:rsid w:val="00253294"/>
    <w:rsid w:val="002539F1"/>
    <w:rsid w:val="00253C8B"/>
    <w:rsid w:val="0025452D"/>
    <w:rsid w:val="0025466D"/>
    <w:rsid w:val="0025576B"/>
    <w:rsid w:val="00256971"/>
    <w:rsid w:val="00256C71"/>
    <w:rsid w:val="00257023"/>
    <w:rsid w:val="00257A76"/>
    <w:rsid w:val="0026070B"/>
    <w:rsid w:val="00260837"/>
    <w:rsid w:val="00260B2B"/>
    <w:rsid w:val="00261462"/>
    <w:rsid w:val="0026180C"/>
    <w:rsid w:val="00261E78"/>
    <w:rsid w:val="00262100"/>
    <w:rsid w:val="00262432"/>
    <w:rsid w:val="00262ABA"/>
    <w:rsid w:val="00262C0C"/>
    <w:rsid w:val="00262E88"/>
    <w:rsid w:val="002631BD"/>
    <w:rsid w:val="00263F8A"/>
    <w:rsid w:val="002640CC"/>
    <w:rsid w:val="002643EB"/>
    <w:rsid w:val="002647EC"/>
    <w:rsid w:val="00264BD8"/>
    <w:rsid w:val="0026526E"/>
    <w:rsid w:val="00265520"/>
    <w:rsid w:val="00266DB5"/>
    <w:rsid w:val="00266F67"/>
    <w:rsid w:val="00267386"/>
    <w:rsid w:val="002677A5"/>
    <w:rsid w:val="00267EFE"/>
    <w:rsid w:val="00270898"/>
    <w:rsid w:val="00271AC9"/>
    <w:rsid w:val="00271AED"/>
    <w:rsid w:val="00271B7D"/>
    <w:rsid w:val="00271B9B"/>
    <w:rsid w:val="0027215E"/>
    <w:rsid w:val="00272AF0"/>
    <w:rsid w:val="00272CE5"/>
    <w:rsid w:val="0027349B"/>
    <w:rsid w:val="0027356F"/>
    <w:rsid w:val="00273C6F"/>
    <w:rsid w:val="0027441D"/>
    <w:rsid w:val="00274738"/>
    <w:rsid w:val="00274861"/>
    <w:rsid w:val="00275C42"/>
    <w:rsid w:val="00275CD2"/>
    <w:rsid w:val="00275F67"/>
    <w:rsid w:val="00276937"/>
    <w:rsid w:val="0027700F"/>
    <w:rsid w:val="00277356"/>
    <w:rsid w:val="002778A8"/>
    <w:rsid w:val="00277F64"/>
    <w:rsid w:val="00280700"/>
    <w:rsid w:val="00280904"/>
    <w:rsid w:val="0028177D"/>
    <w:rsid w:val="00281CAF"/>
    <w:rsid w:val="00281D23"/>
    <w:rsid w:val="00282128"/>
    <w:rsid w:val="00282B34"/>
    <w:rsid w:val="00282C8C"/>
    <w:rsid w:val="00282D34"/>
    <w:rsid w:val="00282E4F"/>
    <w:rsid w:val="00283241"/>
    <w:rsid w:val="00284421"/>
    <w:rsid w:val="00284828"/>
    <w:rsid w:val="002849B4"/>
    <w:rsid w:val="00284EE7"/>
    <w:rsid w:val="00284FDA"/>
    <w:rsid w:val="00286361"/>
    <w:rsid w:val="0028651E"/>
    <w:rsid w:val="00287056"/>
    <w:rsid w:val="00287132"/>
    <w:rsid w:val="0029015A"/>
    <w:rsid w:val="0029031C"/>
    <w:rsid w:val="002904E2"/>
    <w:rsid w:val="00290852"/>
    <w:rsid w:val="00290D27"/>
    <w:rsid w:val="00290F25"/>
    <w:rsid w:val="00290F59"/>
    <w:rsid w:val="002911A4"/>
    <w:rsid w:val="00291E9A"/>
    <w:rsid w:val="00291EAD"/>
    <w:rsid w:val="00291F1C"/>
    <w:rsid w:val="00292733"/>
    <w:rsid w:val="00292921"/>
    <w:rsid w:val="00292D21"/>
    <w:rsid w:val="002935AC"/>
    <w:rsid w:val="00293A09"/>
    <w:rsid w:val="00293E15"/>
    <w:rsid w:val="00294034"/>
    <w:rsid w:val="0029440D"/>
    <w:rsid w:val="00294897"/>
    <w:rsid w:val="00294968"/>
    <w:rsid w:val="00294A0B"/>
    <w:rsid w:val="00294EA2"/>
    <w:rsid w:val="00294FB3"/>
    <w:rsid w:val="002957DB"/>
    <w:rsid w:val="0029584B"/>
    <w:rsid w:val="00295A6F"/>
    <w:rsid w:val="00295EBC"/>
    <w:rsid w:val="00296A23"/>
    <w:rsid w:val="00297300"/>
    <w:rsid w:val="002979BD"/>
    <w:rsid w:val="00297A04"/>
    <w:rsid w:val="00297DD8"/>
    <w:rsid w:val="00297FA7"/>
    <w:rsid w:val="002A043A"/>
    <w:rsid w:val="002A0583"/>
    <w:rsid w:val="002A0B37"/>
    <w:rsid w:val="002A15F4"/>
    <w:rsid w:val="002A1935"/>
    <w:rsid w:val="002A1A79"/>
    <w:rsid w:val="002A21D1"/>
    <w:rsid w:val="002A22F7"/>
    <w:rsid w:val="002A2A78"/>
    <w:rsid w:val="002A2FB2"/>
    <w:rsid w:val="002A3622"/>
    <w:rsid w:val="002A374C"/>
    <w:rsid w:val="002A3A62"/>
    <w:rsid w:val="002A3CC8"/>
    <w:rsid w:val="002A4897"/>
    <w:rsid w:val="002A4D70"/>
    <w:rsid w:val="002A4E26"/>
    <w:rsid w:val="002A51BB"/>
    <w:rsid w:val="002A58DC"/>
    <w:rsid w:val="002A59CC"/>
    <w:rsid w:val="002A5A9F"/>
    <w:rsid w:val="002A5B62"/>
    <w:rsid w:val="002A6335"/>
    <w:rsid w:val="002A63E5"/>
    <w:rsid w:val="002A65BC"/>
    <w:rsid w:val="002A678F"/>
    <w:rsid w:val="002B0E64"/>
    <w:rsid w:val="002B1555"/>
    <w:rsid w:val="002B1C2D"/>
    <w:rsid w:val="002B1F66"/>
    <w:rsid w:val="002B201B"/>
    <w:rsid w:val="002B220C"/>
    <w:rsid w:val="002B22F7"/>
    <w:rsid w:val="002B2615"/>
    <w:rsid w:val="002B2A73"/>
    <w:rsid w:val="002B2D85"/>
    <w:rsid w:val="002B31B3"/>
    <w:rsid w:val="002B3263"/>
    <w:rsid w:val="002B3BC6"/>
    <w:rsid w:val="002B3C70"/>
    <w:rsid w:val="002B3D55"/>
    <w:rsid w:val="002B433A"/>
    <w:rsid w:val="002B456D"/>
    <w:rsid w:val="002B478B"/>
    <w:rsid w:val="002B4C58"/>
    <w:rsid w:val="002B4D04"/>
    <w:rsid w:val="002B61A8"/>
    <w:rsid w:val="002B673B"/>
    <w:rsid w:val="002B6EBE"/>
    <w:rsid w:val="002B74E9"/>
    <w:rsid w:val="002B78F1"/>
    <w:rsid w:val="002B797B"/>
    <w:rsid w:val="002B79D4"/>
    <w:rsid w:val="002B7BD1"/>
    <w:rsid w:val="002B7C42"/>
    <w:rsid w:val="002C05A6"/>
    <w:rsid w:val="002C0921"/>
    <w:rsid w:val="002C09FE"/>
    <w:rsid w:val="002C0EC1"/>
    <w:rsid w:val="002C1511"/>
    <w:rsid w:val="002C1965"/>
    <w:rsid w:val="002C1E00"/>
    <w:rsid w:val="002C27F3"/>
    <w:rsid w:val="002C2945"/>
    <w:rsid w:val="002C2D9A"/>
    <w:rsid w:val="002C2E84"/>
    <w:rsid w:val="002C419D"/>
    <w:rsid w:val="002C5D88"/>
    <w:rsid w:val="002C639B"/>
    <w:rsid w:val="002C64BC"/>
    <w:rsid w:val="002C7EA9"/>
    <w:rsid w:val="002D030D"/>
    <w:rsid w:val="002D1328"/>
    <w:rsid w:val="002D162C"/>
    <w:rsid w:val="002D16A3"/>
    <w:rsid w:val="002D1B80"/>
    <w:rsid w:val="002D2DDF"/>
    <w:rsid w:val="002D30F7"/>
    <w:rsid w:val="002D326B"/>
    <w:rsid w:val="002D3291"/>
    <w:rsid w:val="002D3386"/>
    <w:rsid w:val="002D3700"/>
    <w:rsid w:val="002D37FF"/>
    <w:rsid w:val="002D38DD"/>
    <w:rsid w:val="002D3A50"/>
    <w:rsid w:val="002D3A51"/>
    <w:rsid w:val="002D3B9A"/>
    <w:rsid w:val="002D3C12"/>
    <w:rsid w:val="002D41D6"/>
    <w:rsid w:val="002D4281"/>
    <w:rsid w:val="002D4687"/>
    <w:rsid w:val="002D47C2"/>
    <w:rsid w:val="002D4C11"/>
    <w:rsid w:val="002D51EA"/>
    <w:rsid w:val="002D55F5"/>
    <w:rsid w:val="002D5D7B"/>
    <w:rsid w:val="002D6914"/>
    <w:rsid w:val="002D6DF0"/>
    <w:rsid w:val="002D6F8A"/>
    <w:rsid w:val="002D72C4"/>
    <w:rsid w:val="002D7A79"/>
    <w:rsid w:val="002D7FFA"/>
    <w:rsid w:val="002E04CB"/>
    <w:rsid w:val="002E04EF"/>
    <w:rsid w:val="002E0F23"/>
    <w:rsid w:val="002E0FD0"/>
    <w:rsid w:val="002E1482"/>
    <w:rsid w:val="002E1971"/>
    <w:rsid w:val="002E20F8"/>
    <w:rsid w:val="002E224A"/>
    <w:rsid w:val="002E3713"/>
    <w:rsid w:val="002E4046"/>
    <w:rsid w:val="002E4913"/>
    <w:rsid w:val="002E4C20"/>
    <w:rsid w:val="002E504F"/>
    <w:rsid w:val="002E55EA"/>
    <w:rsid w:val="002E5604"/>
    <w:rsid w:val="002E5868"/>
    <w:rsid w:val="002E6155"/>
    <w:rsid w:val="002E6D3A"/>
    <w:rsid w:val="002E7652"/>
    <w:rsid w:val="002E799B"/>
    <w:rsid w:val="002E79E7"/>
    <w:rsid w:val="002E7A09"/>
    <w:rsid w:val="002E7C27"/>
    <w:rsid w:val="002F03F9"/>
    <w:rsid w:val="002F0A73"/>
    <w:rsid w:val="002F1D69"/>
    <w:rsid w:val="002F1F07"/>
    <w:rsid w:val="002F20C7"/>
    <w:rsid w:val="002F2317"/>
    <w:rsid w:val="002F2416"/>
    <w:rsid w:val="002F29F4"/>
    <w:rsid w:val="002F2C95"/>
    <w:rsid w:val="002F2E83"/>
    <w:rsid w:val="002F31A4"/>
    <w:rsid w:val="002F3769"/>
    <w:rsid w:val="002F3DA1"/>
    <w:rsid w:val="002F415F"/>
    <w:rsid w:val="002F446C"/>
    <w:rsid w:val="002F46AF"/>
    <w:rsid w:val="002F479A"/>
    <w:rsid w:val="002F4871"/>
    <w:rsid w:val="002F4B95"/>
    <w:rsid w:val="002F4C99"/>
    <w:rsid w:val="002F54F3"/>
    <w:rsid w:val="002F5527"/>
    <w:rsid w:val="002F5A14"/>
    <w:rsid w:val="002F694F"/>
    <w:rsid w:val="002F69A7"/>
    <w:rsid w:val="00300A3F"/>
    <w:rsid w:val="00300C41"/>
    <w:rsid w:val="00301D4E"/>
    <w:rsid w:val="00302001"/>
    <w:rsid w:val="0030282C"/>
    <w:rsid w:val="00303038"/>
    <w:rsid w:val="0030318A"/>
    <w:rsid w:val="00303315"/>
    <w:rsid w:val="003036F0"/>
    <w:rsid w:val="00304437"/>
    <w:rsid w:val="00304C27"/>
    <w:rsid w:val="00304D47"/>
    <w:rsid w:val="00304F9A"/>
    <w:rsid w:val="00304FFD"/>
    <w:rsid w:val="00305154"/>
    <w:rsid w:val="003056BA"/>
    <w:rsid w:val="00305B0B"/>
    <w:rsid w:val="00305BA1"/>
    <w:rsid w:val="00306638"/>
    <w:rsid w:val="00306734"/>
    <w:rsid w:val="00307AA7"/>
    <w:rsid w:val="00310426"/>
    <w:rsid w:val="00310669"/>
    <w:rsid w:val="00310974"/>
    <w:rsid w:val="00310A06"/>
    <w:rsid w:val="00311011"/>
    <w:rsid w:val="003112FC"/>
    <w:rsid w:val="00311AA8"/>
    <w:rsid w:val="00311EA5"/>
    <w:rsid w:val="00312292"/>
    <w:rsid w:val="00313115"/>
    <w:rsid w:val="003131B7"/>
    <w:rsid w:val="003136BA"/>
    <w:rsid w:val="003139C9"/>
    <w:rsid w:val="00313F81"/>
    <w:rsid w:val="00314C8A"/>
    <w:rsid w:val="00315135"/>
    <w:rsid w:val="00315228"/>
    <w:rsid w:val="00315D13"/>
    <w:rsid w:val="00315D17"/>
    <w:rsid w:val="003167E5"/>
    <w:rsid w:val="003169EE"/>
    <w:rsid w:val="00316C61"/>
    <w:rsid w:val="00316E93"/>
    <w:rsid w:val="0031715A"/>
    <w:rsid w:val="003200CC"/>
    <w:rsid w:val="00320B38"/>
    <w:rsid w:val="00320C89"/>
    <w:rsid w:val="00320FCE"/>
    <w:rsid w:val="0032115D"/>
    <w:rsid w:val="003219D4"/>
    <w:rsid w:val="00321A9D"/>
    <w:rsid w:val="00322246"/>
    <w:rsid w:val="003223F8"/>
    <w:rsid w:val="0032292A"/>
    <w:rsid w:val="00322D92"/>
    <w:rsid w:val="003235F3"/>
    <w:rsid w:val="00323910"/>
    <w:rsid w:val="003239B1"/>
    <w:rsid w:val="003239C9"/>
    <w:rsid w:val="0032486D"/>
    <w:rsid w:val="003260C0"/>
    <w:rsid w:val="003266E1"/>
    <w:rsid w:val="003267AD"/>
    <w:rsid w:val="00326B5A"/>
    <w:rsid w:val="003275D0"/>
    <w:rsid w:val="003279FD"/>
    <w:rsid w:val="00327AE6"/>
    <w:rsid w:val="00327E00"/>
    <w:rsid w:val="00330ECC"/>
    <w:rsid w:val="00331870"/>
    <w:rsid w:val="003319B5"/>
    <w:rsid w:val="00331C7F"/>
    <w:rsid w:val="00331CFF"/>
    <w:rsid w:val="00332260"/>
    <w:rsid w:val="00332570"/>
    <w:rsid w:val="003326DF"/>
    <w:rsid w:val="003327F8"/>
    <w:rsid w:val="00332EAD"/>
    <w:rsid w:val="00332EB5"/>
    <w:rsid w:val="003348B4"/>
    <w:rsid w:val="003349C7"/>
    <w:rsid w:val="00334AEB"/>
    <w:rsid w:val="00334F06"/>
    <w:rsid w:val="00335A09"/>
    <w:rsid w:val="00335F19"/>
    <w:rsid w:val="003362B8"/>
    <w:rsid w:val="003363C7"/>
    <w:rsid w:val="00336A6B"/>
    <w:rsid w:val="00340033"/>
    <w:rsid w:val="003405D0"/>
    <w:rsid w:val="003409B5"/>
    <w:rsid w:val="00340A9F"/>
    <w:rsid w:val="00341177"/>
    <w:rsid w:val="003411E9"/>
    <w:rsid w:val="00341311"/>
    <w:rsid w:val="003414DB"/>
    <w:rsid w:val="003423D3"/>
    <w:rsid w:val="00342BF7"/>
    <w:rsid w:val="003430E0"/>
    <w:rsid w:val="00343451"/>
    <w:rsid w:val="00343848"/>
    <w:rsid w:val="00343B25"/>
    <w:rsid w:val="003440FF"/>
    <w:rsid w:val="00344EF6"/>
    <w:rsid w:val="00345594"/>
    <w:rsid w:val="00345B8E"/>
    <w:rsid w:val="00347C1F"/>
    <w:rsid w:val="00350363"/>
    <w:rsid w:val="00350AC3"/>
    <w:rsid w:val="003515CD"/>
    <w:rsid w:val="00351922"/>
    <w:rsid w:val="00351ACA"/>
    <w:rsid w:val="00352875"/>
    <w:rsid w:val="00352AE5"/>
    <w:rsid w:val="003550E1"/>
    <w:rsid w:val="00355119"/>
    <w:rsid w:val="00355469"/>
    <w:rsid w:val="003558B3"/>
    <w:rsid w:val="00355CA6"/>
    <w:rsid w:val="00355E18"/>
    <w:rsid w:val="00355E28"/>
    <w:rsid w:val="0035648D"/>
    <w:rsid w:val="00356E01"/>
    <w:rsid w:val="003572A2"/>
    <w:rsid w:val="00357544"/>
    <w:rsid w:val="00357648"/>
    <w:rsid w:val="00357AF7"/>
    <w:rsid w:val="003602A3"/>
    <w:rsid w:val="00360662"/>
    <w:rsid w:val="003609E5"/>
    <w:rsid w:val="00361437"/>
    <w:rsid w:val="0036159A"/>
    <w:rsid w:val="003616E7"/>
    <w:rsid w:val="00361C97"/>
    <w:rsid w:val="003621CB"/>
    <w:rsid w:val="00362330"/>
    <w:rsid w:val="003631F9"/>
    <w:rsid w:val="0036347A"/>
    <w:rsid w:val="003635F3"/>
    <w:rsid w:val="00363CA5"/>
    <w:rsid w:val="00363EC7"/>
    <w:rsid w:val="00364023"/>
    <w:rsid w:val="00365399"/>
    <w:rsid w:val="003669C6"/>
    <w:rsid w:val="00366AC7"/>
    <w:rsid w:val="00367062"/>
    <w:rsid w:val="00367246"/>
    <w:rsid w:val="00370625"/>
    <w:rsid w:val="003706C8"/>
    <w:rsid w:val="003706CC"/>
    <w:rsid w:val="003708D0"/>
    <w:rsid w:val="00370FBC"/>
    <w:rsid w:val="00371404"/>
    <w:rsid w:val="0037176E"/>
    <w:rsid w:val="00371987"/>
    <w:rsid w:val="00371C37"/>
    <w:rsid w:val="00371F53"/>
    <w:rsid w:val="003722C3"/>
    <w:rsid w:val="00372502"/>
    <w:rsid w:val="00372644"/>
    <w:rsid w:val="00372871"/>
    <w:rsid w:val="00372A3E"/>
    <w:rsid w:val="00372E1B"/>
    <w:rsid w:val="003732B2"/>
    <w:rsid w:val="00373A7C"/>
    <w:rsid w:val="003743B6"/>
    <w:rsid w:val="003743C8"/>
    <w:rsid w:val="003744C2"/>
    <w:rsid w:val="00374683"/>
    <w:rsid w:val="0037554F"/>
    <w:rsid w:val="00375739"/>
    <w:rsid w:val="003762C4"/>
    <w:rsid w:val="00377013"/>
    <w:rsid w:val="00377736"/>
    <w:rsid w:val="003778E0"/>
    <w:rsid w:val="0038051A"/>
    <w:rsid w:val="00380AAE"/>
    <w:rsid w:val="00380CFB"/>
    <w:rsid w:val="00380D51"/>
    <w:rsid w:val="00381B5A"/>
    <w:rsid w:val="00381C64"/>
    <w:rsid w:val="00381ECF"/>
    <w:rsid w:val="00382904"/>
    <w:rsid w:val="00382BF8"/>
    <w:rsid w:val="00383294"/>
    <w:rsid w:val="003837AC"/>
    <w:rsid w:val="00383F3F"/>
    <w:rsid w:val="00384175"/>
    <w:rsid w:val="00384221"/>
    <w:rsid w:val="00384342"/>
    <w:rsid w:val="00384C35"/>
    <w:rsid w:val="00384C96"/>
    <w:rsid w:val="00385211"/>
    <w:rsid w:val="0038525E"/>
    <w:rsid w:val="00385A4C"/>
    <w:rsid w:val="00385F4F"/>
    <w:rsid w:val="00386CC3"/>
    <w:rsid w:val="003876CC"/>
    <w:rsid w:val="00390771"/>
    <w:rsid w:val="00390BE5"/>
    <w:rsid w:val="00390FDE"/>
    <w:rsid w:val="00391311"/>
    <w:rsid w:val="00391EAF"/>
    <w:rsid w:val="00391EDA"/>
    <w:rsid w:val="0039243F"/>
    <w:rsid w:val="00392981"/>
    <w:rsid w:val="00392B5C"/>
    <w:rsid w:val="00392ED8"/>
    <w:rsid w:val="003936AC"/>
    <w:rsid w:val="00395301"/>
    <w:rsid w:val="0039534A"/>
    <w:rsid w:val="0039537A"/>
    <w:rsid w:val="003955A2"/>
    <w:rsid w:val="0039573B"/>
    <w:rsid w:val="003959A1"/>
    <w:rsid w:val="00395BED"/>
    <w:rsid w:val="00395CFA"/>
    <w:rsid w:val="003962C5"/>
    <w:rsid w:val="003964F8"/>
    <w:rsid w:val="00396AB8"/>
    <w:rsid w:val="003971DB"/>
    <w:rsid w:val="003974B0"/>
    <w:rsid w:val="003A0349"/>
    <w:rsid w:val="003A0DDD"/>
    <w:rsid w:val="003A1377"/>
    <w:rsid w:val="003A1448"/>
    <w:rsid w:val="003A1A0B"/>
    <w:rsid w:val="003A1A7D"/>
    <w:rsid w:val="003A1D73"/>
    <w:rsid w:val="003A1E4D"/>
    <w:rsid w:val="003A1FD5"/>
    <w:rsid w:val="003A2291"/>
    <w:rsid w:val="003A243D"/>
    <w:rsid w:val="003A244C"/>
    <w:rsid w:val="003A25CD"/>
    <w:rsid w:val="003A2696"/>
    <w:rsid w:val="003A27D2"/>
    <w:rsid w:val="003A2BB1"/>
    <w:rsid w:val="003A2D7B"/>
    <w:rsid w:val="003A2DCA"/>
    <w:rsid w:val="003A3603"/>
    <w:rsid w:val="003A4A0E"/>
    <w:rsid w:val="003A4AF1"/>
    <w:rsid w:val="003A4B7B"/>
    <w:rsid w:val="003A5B0F"/>
    <w:rsid w:val="003A63C4"/>
    <w:rsid w:val="003A7231"/>
    <w:rsid w:val="003A74BF"/>
    <w:rsid w:val="003B0038"/>
    <w:rsid w:val="003B018C"/>
    <w:rsid w:val="003B0598"/>
    <w:rsid w:val="003B07E6"/>
    <w:rsid w:val="003B0D34"/>
    <w:rsid w:val="003B117D"/>
    <w:rsid w:val="003B122C"/>
    <w:rsid w:val="003B1550"/>
    <w:rsid w:val="003B1EBE"/>
    <w:rsid w:val="003B2756"/>
    <w:rsid w:val="003B2914"/>
    <w:rsid w:val="003B2B25"/>
    <w:rsid w:val="003B2F43"/>
    <w:rsid w:val="003B38B6"/>
    <w:rsid w:val="003B3C12"/>
    <w:rsid w:val="003B3E55"/>
    <w:rsid w:val="003B3F95"/>
    <w:rsid w:val="003B4AC5"/>
    <w:rsid w:val="003B5064"/>
    <w:rsid w:val="003B5124"/>
    <w:rsid w:val="003B544B"/>
    <w:rsid w:val="003B5B9C"/>
    <w:rsid w:val="003B5C84"/>
    <w:rsid w:val="003B5CE0"/>
    <w:rsid w:val="003B656E"/>
    <w:rsid w:val="003B6884"/>
    <w:rsid w:val="003B6B3F"/>
    <w:rsid w:val="003B7047"/>
    <w:rsid w:val="003B7436"/>
    <w:rsid w:val="003B7AC4"/>
    <w:rsid w:val="003B7E55"/>
    <w:rsid w:val="003B7FE1"/>
    <w:rsid w:val="003C0DC0"/>
    <w:rsid w:val="003C11AF"/>
    <w:rsid w:val="003C1486"/>
    <w:rsid w:val="003C160E"/>
    <w:rsid w:val="003C16C1"/>
    <w:rsid w:val="003C171B"/>
    <w:rsid w:val="003C288C"/>
    <w:rsid w:val="003C31EE"/>
    <w:rsid w:val="003C33CE"/>
    <w:rsid w:val="003C37C3"/>
    <w:rsid w:val="003C4376"/>
    <w:rsid w:val="003C4B72"/>
    <w:rsid w:val="003C4C8B"/>
    <w:rsid w:val="003C51E8"/>
    <w:rsid w:val="003C530E"/>
    <w:rsid w:val="003C5519"/>
    <w:rsid w:val="003C617B"/>
    <w:rsid w:val="003C64B4"/>
    <w:rsid w:val="003C6C0F"/>
    <w:rsid w:val="003C6C12"/>
    <w:rsid w:val="003C6FBB"/>
    <w:rsid w:val="003C70BD"/>
    <w:rsid w:val="003C7549"/>
    <w:rsid w:val="003C7721"/>
    <w:rsid w:val="003C7831"/>
    <w:rsid w:val="003D0203"/>
    <w:rsid w:val="003D081D"/>
    <w:rsid w:val="003D0A9B"/>
    <w:rsid w:val="003D0B12"/>
    <w:rsid w:val="003D0E56"/>
    <w:rsid w:val="003D133B"/>
    <w:rsid w:val="003D1409"/>
    <w:rsid w:val="003D1A52"/>
    <w:rsid w:val="003D2190"/>
    <w:rsid w:val="003D2CBE"/>
    <w:rsid w:val="003D2E2F"/>
    <w:rsid w:val="003D35D5"/>
    <w:rsid w:val="003D3647"/>
    <w:rsid w:val="003D36FB"/>
    <w:rsid w:val="003D3AC8"/>
    <w:rsid w:val="003D3C3E"/>
    <w:rsid w:val="003D4056"/>
    <w:rsid w:val="003D449E"/>
    <w:rsid w:val="003D44F4"/>
    <w:rsid w:val="003D4B61"/>
    <w:rsid w:val="003D4EA1"/>
    <w:rsid w:val="003D4F1A"/>
    <w:rsid w:val="003D4F62"/>
    <w:rsid w:val="003D52D3"/>
    <w:rsid w:val="003D5E13"/>
    <w:rsid w:val="003D611E"/>
    <w:rsid w:val="003D6C91"/>
    <w:rsid w:val="003D73D4"/>
    <w:rsid w:val="003E016B"/>
    <w:rsid w:val="003E06D3"/>
    <w:rsid w:val="003E0891"/>
    <w:rsid w:val="003E0AE0"/>
    <w:rsid w:val="003E0E66"/>
    <w:rsid w:val="003E115D"/>
    <w:rsid w:val="003E31CF"/>
    <w:rsid w:val="003E398C"/>
    <w:rsid w:val="003E3FA1"/>
    <w:rsid w:val="003E410B"/>
    <w:rsid w:val="003E436D"/>
    <w:rsid w:val="003E4982"/>
    <w:rsid w:val="003E504B"/>
    <w:rsid w:val="003E5296"/>
    <w:rsid w:val="003E560B"/>
    <w:rsid w:val="003E57F0"/>
    <w:rsid w:val="003E5A59"/>
    <w:rsid w:val="003E5AC5"/>
    <w:rsid w:val="003E6393"/>
    <w:rsid w:val="003E63A2"/>
    <w:rsid w:val="003E63B3"/>
    <w:rsid w:val="003E6809"/>
    <w:rsid w:val="003E7298"/>
    <w:rsid w:val="003E75F6"/>
    <w:rsid w:val="003E7AA9"/>
    <w:rsid w:val="003E7D43"/>
    <w:rsid w:val="003F00E7"/>
    <w:rsid w:val="003F03F2"/>
    <w:rsid w:val="003F0D4A"/>
    <w:rsid w:val="003F117F"/>
    <w:rsid w:val="003F13D9"/>
    <w:rsid w:val="003F141F"/>
    <w:rsid w:val="003F15DE"/>
    <w:rsid w:val="003F1731"/>
    <w:rsid w:val="003F1DDF"/>
    <w:rsid w:val="003F1ED7"/>
    <w:rsid w:val="003F202B"/>
    <w:rsid w:val="003F284F"/>
    <w:rsid w:val="003F28C2"/>
    <w:rsid w:val="003F2BA2"/>
    <w:rsid w:val="003F2D40"/>
    <w:rsid w:val="003F33D5"/>
    <w:rsid w:val="003F3B9C"/>
    <w:rsid w:val="003F3F95"/>
    <w:rsid w:val="003F5749"/>
    <w:rsid w:val="003F6535"/>
    <w:rsid w:val="003F68F7"/>
    <w:rsid w:val="003F6D40"/>
    <w:rsid w:val="003F6F38"/>
    <w:rsid w:val="00400D02"/>
    <w:rsid w:val="00401007"/>
    <w:rsid w:val="004017CE"/>
    <w:rsid w:val="00401B93"/>
    <w:rsid w:val="00401C6C"/>
    <w:rsid w:val="00402250"/>
    <w:rsid w:val="0040232E"/>
    <w:rsid w:val="0040251D"/>
    <w:rsid w:val="00403152"/>
    <w:rsid w:val="00403AAA"/>
    <w:rsid w:val="00403F02"/>
    <w:rsid w:val="004045D8"/>
    <w:rsid w:val="004047F8"/>
    <w:rsid w:val="00404C97"/>
    <w:rsid w:val="00405F39"/>
    <w:rsid w:val="00406000"/>
    <w:rsid w:val="00406319"/>
    <w:rsid w:val="0040707D"/>
    <w:rsid w:val="00407816"/>
    <w:rsid w:val="00410D94"/>
    <w:rsid w:val="0041127F"/>
    <w:rsid w:val="004112D1"/>
    <w:rsid w:val="004115B1"/>
    <w:rsid w:val="00411B35"/>
    <w:rsid w:val="00412707"/>
    <w:rsid w:val="00412A8F"/>
    <w:rsid w:val="00413109"/>
    <w:rsid w:val="00413539"/>
    <w:rsid w:val="0041396D"/>
    <w:rsid w:val="00414451"/>
    <w:rsid w:val="00414571"/>
    <w:rsid w:val="004148AD"/>
    <w:rsid w:val="004149A5"/>
    <w:rsid w:val="004149FF"/>
    <w:rsid w:val="00415321"/>
    <w:rsid w:val="00415A92"/>
    <w:rsid w:val="00415AF1"/>
    <w:rsid w:val="00415D0A"/>
    <w:rsid w:val="004162D6"/>
    <w:rsid w:val="0041650D"/>
    <w:rsid w:val="004169FC"/>
    <w:rsid w:val="00416FC7"/>
    <w:rsid w:val="0041730D"/>
    <w:rsid w:val="00420C78"/>
    <w:rsid w:val="00420E02"/>
    <w:rsid w:val="00421055"/>
    <w:rsid w:val="0042130F"/>
    <w:rsid w:val="00421B38"/>
    <w:rsid w:val="00422204"/>
    <w:rsid w:val="0042286E"/>
    <w:rsid w:val="004228CD"/>
    <w:rsid w:val="00422EA0"/>
    <w:rsid w:val="00423012"/>
    <w:rsid w:val="00423F4A"/>
    <w:rsid w:val="0042437A"/>
    <w:rsid w:val="00424CAF"/>
    <w:rsid w:val="004251AF"/>
    <w:rsid w:val="0042527A"/>
    <w:rsid w:val="004253B4"/>
    <w:rsid w:val="00425E7D"/>
    <w:rsid w:val="00425EE8"/>
    <w:rsid w:val="004260D8"/>
    <w:rsid w:val="00426354"/>
    <w:rsid w:val="00426494"/>
    <w:rsid w:val="00426D0C"/>
    <w:rsid w:val="00427AF4"/>
    <w:rsid w:val="00430257"/>
    <w:rsid w:val="004309E9"/>
    <w:rsid w:val="00430A1C"/>
    <w:rsid w:val="00430CC6"/>
    <w:rsid w:val="0043132D"/>
    <w:rsid w:val="00432193"/>
    <w:rsid w:val="00433A90"/>
    <w:rsid w:val="00433F69"/>
    <w:rsid w:val="004356B0"/>
    <w:rsid w:val="00435A86"/>
    <w:rsid w:val="00435CFD"/>
    <w:rsid w:val="00436AA1"/>
    <w:rsid w:val="00436D72"/>
    <w:rsid w:val="00436FB4"/>
    <w:rsid w:val="004372BD"/>
    <w:rsid w:val="00437474"/>
    <w:rsid w:val="00437C95"/>
    <w:rsid w:val="004400F1"/>
    <w:rsid w:val="00440C7C"/>
    <w:rsid w:val="00441635"/>
    <w:rsid w:val="00441E77"/>
    <w:rsid w:val="0044214E"/>
    <w:rsid w:val="0044297A"/>
    <w:rsid w:val="00442CC2"/>
    <w:rsid w:val="00443639"/>
    <w:rsid w:val="00443F3A"/>
    <w:rsid w:val="00443FF0"/>
    <w:rsid w:val="00444148"/>
    <w:rsid w:val="00444633"/>
    <w:rsid w:val="004453CE"/>
    <w:rsid w:val="0044581A"/>
    <w:rsid w:val="00445A3B"/>
    <w:rsid w:val="00445C4E"/>
    <w:rsid w:val="00446742"/>
    <w:rsid w:val="0045084A"/>
    <w:rsid w:val="00450C1E"/>
    <w:rsid w:val="004512E6"/>
    <w:rsid w:val="00451D2E"/>
    <w:rsid w:val="004521D9"/>
    <w:rsid w:val="004522C2"/>
    <w:rsid w:val="004526F6"/>
    <w:rsid w:val="00452734"/>
    <w:rsid w:val="004527A4"/>
    <w:rsid w:val="00452A8C"/>
    <w:rsid w:val="004531BE"/>
    <w:rsid w:val="00453A67"/>
    <w:rsid w:val="00454034"/>
    <w:rsid w:val="0045444C"/>
    <w:rsid w:val="0045475F"/>
    <w:rsid w:val="00454FA8"/>
    <w:rsid w:val="004565D8"/>
    <w:rsid w:val="004569BB"/>
    <w:rsid w:val="00456F1B"/>
    <w:rsid w:val="00457720"/>
    <w:rsid w:val="00457B90"/>
    <w:rsid w:val="00460103"/>
    <w:rsid w:val="00460565"/>
    <w:rsid w:val="00460DDC"/>
    <w:rsid w:val="00460F18"/>
    <w:rsid w:val="004617A4"/>
    <w:rsid w:val="00461887"/>
    <w:rsid w:val="0046193F"/>
    <w:rsid w:val="00462000"/>
    <w:rsid w:val="00462A45"/>
    <w:rsid w:val="00462C05"/>
    <w:rsid w:val="00462D38"/>
    <w:rsid w:val="00462DAF"/>
    <w:rsid w:val="00462E75"/>
    <w:rsid w:val="004632C1"/>
    <w:rsid w:val="0046394E"/>
    <w:rsid w:val="00463E87"/>
    <w:rsid w:val="00464418"/>
    <w:rsid w:val="00464605"/>
    <w:rsid w:val="00464CB3"/>
    <w:rsid w:val="00465055"/>
    <w:rsid w:val="00465DE0"/>
    <w:rsid w:val="004668CF"/>
    <w:rsid w:val="00466C98"/>
    <w:rsid w:val="004679D0"/>
    <w:rsid w:val="00467C3F"/>
    <w:rsid w:val="00467CE4"/>
    <w:rsid w:val="00467DB3"/>
    <w:rsid w:val="00470770"/>
    <w:rsid w:val="004733CB"/>
    <w:rsid w:val="004735C3"/>
    <w:rsid w:val="00473659"/>
    <w:rsid w:val="004737C2"/>
    <w:rsid w:val="00473E64"/>
    <w:rsid w:val="00474538"/>
    <w:rsid w:val="004748A1"/>
    <w:rsid w:val="004761FB"/>
    <w:rsid w:val="0047629A"/>
    <w:rsid w:val="0047631D"/>
    <w:rsid w:val="00476B0F"/>
    <w:rsid w:val="00476D7F"/>
    <w:rsid w:val="0047710F"/>
    <w:rsid w:val="0047718E"/>
    <w:rsid w:val="004776E5"/>
    <w:rsid w:val="004777C7"/>
    <w:rsid w:val="0047792A"/>
    <w:rsid w:val="004803D2"/>
    <w:rsid w:val="004808D8"/>
    <w:rsid w:val="00480CEC"/>
    <w:rsid w:val="00480DC1"/>
    <w:rsid w:val="00481097"/>
    <w:rsid w:val="004814F0"/>
    <w:rsid w:val="00481777"/>
    <w:rsid w:val="00482707"/>
    <w:rsid w:val="0048296E"/>
    <w:rsid w:val="00483215"/>
    <w:rsid w:val="004853AA"/>
    <w:rsid w:val="004854CC"/>
    <w:rsid w:val="004862D4"/>
    <w:rsid w:val="0048632C"/>
    <w:rsid w:val="00486C15"/>
    <w:rsid w:val="0048703D"/>
    <w:rsid w:val="00487159"/>
    <w:rsid w:val="00487183"/>
    <w:rsid w:val="00487275"/>
    <w:rsid w:val="00487665"/>
    <w:rsid w:val="00487A0F"/>
    <w:rsid w:val="00490454"/>
    <w:rsid w:val="00490756"/>
    <w:rsid w:val="00490BDE"/>
    <w:rsid w:val="00491AAC"/>
    <w:rsid w:val="00491BDD"/>
    <w:rsid w:val="00491E37"/>
    <w:rsid w:val="00491FE3"/>
    <w:rsid w:val="004926A7"/>
    <w:rsid w:val="00492CC1"/>
    <w:rsid w:val="00493011"/>
    <w:rsid w:val="00493550"/>
    <w:rsid w:val="0049364B"/>
    <w:rsid w:val="00493B5B"/>
    <w:rsid w:val="00493BA9"/>
    <w:rsid w:val="00494149"/>
    <w:rsid w:val="00494504"/>
    <w:rsid w:val="0049453F"/>
    <w:rsid w:val="00494B7E"/>
    <w:rsid w:val="004954B9"/>
    <w:rsid w:val="004957EC"/>
    <w:rsid w:val="00495B53"/>
    <w:rsid w:val="004968D0"/>
    <w:rsid w:val="00496AFC"/>
    <w:rsid w:val="00496F8D"/>
    <w:rsid w:val="004972ED"/>
    <w:rsid w:val="0049741D"/>
    <w:rsid w:val="004A00DF"/>
    <w:rsid w:val="004A0C66"/>
    <w:rsid w:val="004A0F14"/>
    <w:rsid w:val="004A0F52"/>
    <w:rsid w:val="004A184D"/>
    <w:rsid w:val="004A1CAD"/>
    <w:rsid w:val="004A1D08"/>
    <w:rsid w:val="004A1F51"/>
    <w:rsid w:val="004A299C"/>
    <w:rsid w:val="004A3049"/>
    <w:rsid w:val="004A3B68"/>
    <w:rsid w:val="004A3D90"/>
    <w:rsid w:val="004A3DB3"/>
    <w:rsid w:val="004A4086"/>
    <w:rsid w:val="004A568F"/>
    <w:rsid w:val="004A5D5B"/>
    <w:rsid w:val="004A63F1"/>
    <w:rsid w:val="004A64FA"/>
    <w:rsid w:val="004A687A"/>
    <w:rsid w:val="004A7400"/>
    <w:rsid w:val="004A7649"/>
    <w:rsid w:val="004A770C"/>
    <w:rsid w:val="004B028E"/>
    <w:rsid w:val="004B201A"/>
    <w:rsid w:val="004B28B4"/>
    <w:rsid w:val="004B3205"/>
    <w:rsid w:val="004B41B9"/>
    <w:rsid w:val="004B439C"/>
    <w:rsid w:val="004B4512"/>
    <w:rsid w:val="004B4A47"/>
    <w:rsid w:val="004B4F53"/>
    <w:rsid w:val="004B5CDF"/>
    <w:rsid w:val="004B64F3"/>
    <w:rsid w:val="004B65CF"/>
    <w:rsid w:val="004B66A0"/>
    <w:rsid w:val="004B6EA9"/>
    <w:rsid w:val="004B6EF6"/>
    <w:rsid w:val="004B749D"/>
    <w:rsid w:val="004B783B"/>
    <w:rsid w:val="004B79FE"/>
    <w:rsid w:val="004C0F8B"/>
    <w:rsid w:val="004C1274"/>
    <w:rsid w:val="004C1476"/>
    <w:rsid w:val="004C14B4"/>
    <w:rsid w:val="004C1C0D"/>
    <w:rsid w:val="004C1DDF"/>
    <w:rsid w:val="004C202B"/>
    <w:rsid w:val="004C234B"/>
    <w:rsid w:val="004C2507"/>
    <w:rsid w:val="004C2651"/>
    <w:rsid w:val="004C291C"/>
    <w:rsid w:val="004C30D6"/>
    <w:rsid w:val="004C36CF"/>
    <w:rsid w:val="004C3B52"/>
    <w:rsid w:val="004C499A"/>
    <w:rsid w:val="004C4A3E"/>
    <w:rsid w:val="004C4D73"/>
    <w:rsid w:val="004C511D"/>
    <w:rsid w:val="004C521B"/>
    <w:rsid w:val="004C528C"/>
    <w:rsid w:val="004C565A"/>
    <w:rsid w:val="004C573A"/>
    <w:rsid w:val="004C59EA"/>
    <w:rsid w:val="004C6506"/>
    <w:rsid w:val="004C65C6"/>
    <w:rsid w:val="004C660D"/>
    <w:rsid w:val="004C66B7"/>
    <w:rsid w:val="004C6F98"/>
    <w:rsid w:val="004C792F"/>
    <w:rsid w:val="004C7CF6"/>
    <w:rsid w:val="004C7E92"/>
    <w:rsid w:val="004C7F26"/>
    <w:rsid w:val="004D0699"/>
    <w:rsid w:val="004D078E"/>
    <w:rsid w:val="004D09C8"/>
    <w:rsid w:val="004D12BA"/>
    <w:rsid w:val="004D1529"/>
    <w:rsid w:val="004D173C"/>
    <w:rsid w:val="004D19CE"/>
    <w:rsid w:val="004D1A5F"/>
    <w:rsid w:val="004D22B1"/>
    <w:rsid w:val="004D23F6"/>
    <w:rsid w:val="004D278B"/>
    <w:rsid w:val="004D2ED0"/>
    <w:rsid w:val="004D349D"/>
    <w:rsid w:val="004D36BB"/>
    <w:rsid w:val="004D381C"/>
    <w:rsid w:val="004D391F"/>
    <w:rsid w:val="004D3EB6"/>
    <w:rsid w:val="004D4522"/>
    <w:rsid w:val="004D4B88"/>
    <w:rsid w:val="004D5E90"/>
    <w:rsid w:val="004D696C"/>
    <w:rsid w:val="004D701B"/>
    <w:rsid w:val="004D706F"/>
    <w:rsid w:val="004D7237"/>
    <w:rsid w:val="004D7A2D"/>
    <w:rsid w:val="004D7AE7"/>
    <w:rsid w:val="004E01E9"/>
    <w:rsid w:val="004E03C7"/>
    <w:rsid w:val="004E0619"/>
    <w:rsid w:val="004E0842"/>
    <w:rsid w:val="004E0BE8"/>
    <w:rsid w:val="004E0D59"/>
    <w:rsid w:val="004E0DBE"/>
    <w:rsid w:val="004E0FF5"/>
    <w:rsid w:val="004E18B3"/>
    <w:rsid w:val="004E19CE"/>
    <w:rsid w:val="004E1C00"/>
    <w:rsid w:val="004E1CEA"/>
    <w:rsid w:val="004E3067"/>
    <w:rsid w:val="004E3938"/>
    <w:rsid w:val="004E3CD7"/>
    <w:rsid w:val="004E3E40"/>
    <w:rsid w:val="004E409E"/>
    <w:rsid w:val="004E54B2"/>
    <w:rsid w:val="004E570D"/>
    <w:rsid w:val="004E6400"/>
    <w:rsid w:val="004E642E"/>
    <w:rsid w:val="004E64CA"/>
    <w:rsid w:val="004E675C"/>
    <w:rsid w:val="004E6924"/>
    <w:rsid w:val="004E6A61"/>
    <w:rsid w:val="004E6E33"/>
    <w:rsid w:val="004E702A"/>
    <w:rsid w:val="004E75CE"/>
    <w:rsid w:val="004F00CD"/>
    <w:rsid w:val="004F0457"/>
    <w:rsid w:val="004F066D"/>
    <w:rsid w:val="004F072C"/>
    <w:rsid w:val="004F0A65"/>
    <w:rsid w:val="004F0C2D"/>
    <w:rsid w:val="004F13AA"/>
    <w:rsid w:val="004F1869"/>
    <w:rsid w:val="004F295E"/>
    <w:rsid w:val="004F389B"/>
    <w:rsid w:val="004F3D7E"/>
    <w:rsid w:val="004F3DCD"/>
    <w:rsid w:val="004F4E92"/>
    <w:rsid w:val="004F4EA2"/>
    <w:rsid w:val="004F521E"/>
    <w:rsid w:val="004F5432"/>
    <w:rsid w:val="004F5FBB"/>
    <w:rsid w:val="004F66E4"/>
    <w:rsid w:val="004F6D6D"/>
    <w:rsid w:val="004F755E"/>
    <w:rsid w:val="00500A3B"/>
    <w:rsid w:val="00500DE8"/>
    <w:rsid w:val="00500EB4"/>
    <w:rsid w:val="005018AD"/>
    <w:rsid w:val="00501933"/>
    <w:rsid w:val="00501CD2"/>
    <w:rsid w:val="00501D4F"/>
    <w:rsid w:val="005034D5"/>
    <w:rsid w:val="005035A7"/>
    <w:rsid w:val="00503974"/>
    <w:rsid w:val="00503BDA"/>
    <w:rsid w:val="0050414C"/>
    <w:rsid w:val="0050439B"/>
    <w:rsid w:val="005044E5"/>
    <w:rsid w:val="00504F16"/>
    <w:rsid w:val="0050529F"/>
    <w:rsid w:val="00505777"/>
    <w:rsid w:val="00505F23"/>
    <w:rsid w:val="005060E6"/>
    <w:rsid w:val="00506A51"/>
    <w:rsid w:val="00506D9D"/>
    <w:rsid w:val="005078AE"/>
    <w:rsid w:val="00507C6F"/>
    <w:rsid w:val="005103FE"/>
    <w:rsid w:val="00510C75"/>
    <w:rsid w:val="005110C3"/>
    <w:rsid w:val="005113A3"/>
    <w:rsid w:val="00511A84"/>
    <w:rsid w:val="005123DD"/>
    <w:rsid w:val="00512977"/>
    <w:rsid w:val="00513704"/>
    <w:rsid w:val="00513716"/>
    <w:rsid w:val="0051373A"/>
    <w:rsid w:val="0051391A"/>
    <w:rsid w:val="00514B5E"/>
    <w:rsid w:val="00514FCE"/>
    <w:rsid w:val="0051573C"/>
    <w:rsid w:val="005157C1"/>
    <w:rsid w:val="00515954"/>
    <w:rsid w:val="00515E3D"/>
    <w:rsid w:val="00515E4D"/>
    <w:rsid w:val="005163EA"/>
    <w:rsid w:val="00516CE7"/>
    <w:rsid w:val="00517060"/>
    <w:rsid w:val="0051722D"/>
    <w:rsid w:val="005172B6"/>
    <w:rsid w:val="005173D1"/>
    <w:rsid w:val="00517599"/>
    <w:rsid w:val="00517C37"/>
    <w:rsid w:val="00517CA8"/>
    <w:rsid w:val="005201A3"/>
    <w:rsid w:val="00520763"/>
    <w:rsid w:val="00520799"/>
    <w:rsid w:val="005208AC"/>
    <w:rsid w:val="00520F71"/>
    <w:rsid w:val="005210B2"/>
    <w:rsid w:val="0052128F"/>
    <w:rsid w:val="005212EA"/>
    <w:rsid w:val="0052181D"/>
    <w:rsid w:val="00521BEE"/>
    <w:rsid w:val="00521BF1"/>
    <w:rsid w:val="0052203E"/>
    <w:rsid w:val="005224E3"/>
    <w:rsid w:val="0052286C"/>
    <w:rsid w:val="00522AB9"/>
    <w:rsid w:val="0052359C"/>
    <w:rsid w:val="005235DC"/>
    <w:rsid w:val="00523CF9"/>
    <w:rsid w:val="0052561D"/>
    <w:rsid w:val="00525A0E"/>
    <w:rsid w:val="00525DBD"/>
    <w:rsid w:val="005261E9"/>
    <w:rsid w:val="00526470"/>
    <w:rsid w:val="005265B9"/>
    <w:rsid w:val="005266F1"/>
    <w:rsid w:val="00526E6F"/>
    <w:rsid w:val="00527678"/>
    <w:rsid w:val="00527AE4"/>
    <w:rsid w:val="00527EFB"/>
    <w:rsid w:val="00527F86"/>
    <w:rsid w:val="0053037F"/>
    <w:rsid w:val="0053066C"/>
    <w:rsid w:val="005307E8"/>
    <w:rsid w:val="005308A5"/>
    <w:rsid w:val="0053097E"/>
    <w:rsid w:val="005309E5"/>
    <w:rsid w:val="00531580"/>
    <w:rsid w:val="0053175E"/>
    <w:rsid w:val="00531CCC"/>
    <w:rsid w:val="0053237F"/>
    <w:rsid w:val="00532569"/>
    <w:rsid w:val="0053263F"/>
    <w:rsid w:val="00532928"/>
    <w:rsid w:val="00532C63"/>
    <w:rsid w:val="00533533"/>
    <w:rsid w:val="00533A1C"/>
    <w:rsid w:val="005349B4"/>
    <w:rsid w:val="005358FD"/>
    <w:rsid w:val="00535C99"/>
    <w:rsid w:val="00535E24"/>
    <w:rsid w:val="005367BF"/>
    <w:rsid w:val="0053717B"/>
    <w:rsid w:val="005373B2"/>
    <w:rsid w:val="00537E02"/>
    <w:rsid w:val="00537F92"/>
    <w:rsid w:val="0054040B"/>
    <w:rsid w:val="005406AB"/>
    <w:rsid w:val="00540BB0"/>
    <w:rsid w:val="00540EE4"/>
    <w:rsid w:val="005412B8"/>
    <w:rsid w:val="005414CE"/>
    <w:rsid w:val="00542718"/>
    <w:rsid w:val="00542C37"/>
    <w:rsid w:val="00542F0A"/>
    <w:rsid w:val="005430ED"/>
    <w:rsid w:val="00543224"/>
    <w:rsid w:val="0054372F"/>
    <w:rsid w:val="00543983"/>
    <w:rsid w:val="005440F6"/>
    <w:rsid w:val="00544709"/>
    <w:rsid w:val="0054476A"/>
    <w:rsid w:val="00544CCD"/>
    <w:rsid w:val="00545138"/>
    <w:rsid w:val="00545297"/>
    <w:rsid w:val="0054557A"/>
    <w:rsid w:val="00546DD6"/>
    <w:rsid w:val="00547409"/>
    <w:rsid w:val="005475B8"/>
    <w:rsid w:val="005475F1"/>
    <w:rsid w:val="00547907"/>
    <w:rsid w:val="0055003B"/>
    <w:rsid w:val="00550298"/>
    <w:rsid w:val="00550398"/>
    <w:rsid w:val="0055172C"/>
    <w:rsid w:val="00551E0E"/>
    <w:rsid w:val="0055497A"/>
    <w:rsid w:val="00554B2C"/>
    <w:rsid w:val="005555A2"/>
    <w:rsid w:val="00555672"/>
    <w:rsid w:val="00555EF6"/>
    <w:rsid w:val="00556247"/>
    <w:rsid w:val="0055661C"/>
    <w:rsid w:val="00556FD0"/>
    <w:rsid w:val="0055771D"/>
    <w:rsid w:val="0056038C"/>
    <w:rsid w:val="005618C5"/>
    <w:rsid w:val="0056192C"/>
    <w:rsid w:val="005619E5"/>
    <w:rsid w:val="00562B03"/>
    <w:rsid w:val="00563081"/>
    <w:rsid w:val="00563857"/>
    <w:rsid w:val="00563AD5"/>
    <w:rsid w:val="00563DDB"/>
    <w:rsid w:val="00564204"/>
    <w:rsid w:val="00565055"/>
    <w:rsid w:val="00565635"/>
    <w:rsid w:val="00565A22"/>
    <w:rsid w:val="00565DE8"/>
    <w:rsid w:val="005666F3"/>
    <w:rsid w:val="005668D5"/>
    <w:rsid w:val="00566A5C"/>
    <w:rsid w:val="0056703A"/>
    <w:rsid w:val="00567053"/>
    <w:rsid w:val="005679AE"/>
    <w:rsid w:val="00567ADE"/>
    <w:rsid w:val="00567FCF"/>
    <w:rsid w:val="00570765"/>
    <w:rsid w:val="00570E7F"/>
    <w:rsid w:val="00571450"/>
    <w:rsid w:val="00571BA2"/>
    <w:rsid w:val="00571DC8"/>
    <w:rsid w:val="00571F80"/>
    <w:rsid w:val="00572095"/>
    <w:rsid w:val="005726BA"/>
    <w:rsid w:val="00572BD0"/>
    <w:rsid w:val="005732BD"/>
    <w:rsid w:val="005732D4"/>
    <w:rsid w:val="00573985"/>
    <w:rsid w:val="00573E59"/>
    <w:rsid w:val="00574DB6"/>
    <w:rsid w:val="00574F93"/>
    <w:rsid w:val="00575295"/>
    <w:rsid w:val="00575498"/>
    <w:rsid w:val="00576B37"/>
    <w:rsid w:val="00580176"/>
    <w:rsid w:val="0058053A"/>
    <w:rsid w:val="005805F9"/>
    <w:rsid w:val="005807ED"/>
    <w:rsid w:val="00580E46"/>
    <w:rsid w:val="00581C01"/>
    <w:rsid w:val="00582069"/>
    <w:rsid w:val="00582118"/>
    <w:rsid w:val="0058242D"/>
    <w:rsid w:val="00582617"/>
    <w:rsid w:val="005829E1"/>
    <w:rsid w:val="0058324F"/>
    <w:rsid w:val="005834CC"/>
    <w:rsid w:val="0058367F"/>
    <w:rsid w:val="0058388B"/>
    <w:rsid w:val="00583997"/>
    <w:rsid w:val="00583998"/>
    <w:rsid w:val="00583A3E"/>
    <w:rsid w:val="00583CBE"/>
    <w:rsid w:val="00583CF6"/>
    <w:rsid w:val="00584016"/>
    <w:rsid w:val="005845CB"/>
    <w:rsid w:val="00584700"/>
    <w:rsid w:val="0058498A"/>
    <w:rsid w:val="00584D89"/>
    <w:rsid w:val="00584DB8"/>
    <w:rsid w:val="005851A0"/>
    <w:rsid w:val="005855C8"/>
    <w:rsid w:val="00585791"/>
    <w:rsid w:val="00586221"/>
    <w:rsid w:val="00586350"/>
    <w:rsid w:val="00586C33"/>
    <w:rsid w:val="00586DC7"/>
    <w:rsid w:val="00586E99"/>
    <w:rsid w:val="0058709E"/>
    <w:rsid w:val="00587F81"/>
    <w:rsid w:val="0059061D"/>
    <w:rsid w:val="00590E2D"/>
    <w:rsid w:val="00591551"/>
    <w:rsid w:val="005915A2"/>
    <w:rsid w:val="005915B8"/>
    <w:rsid w:val="0059162B"/>
    <w:rsid w:val="00591A6C"/>
    <w:rsid w:val="00591A70"/>
    <w:rsid w:val="00591B2E"/>
    <w:rsid w:val="0059258A"/>
    <w:rsid w:val="0059323F"/>
    <w:rsid w:val="00594358"/>
    <w:rsid w:val="00594507"/>
    <w:rsid w:val="0059461A"/>
    <w:rsid w:val="005947BE"/>
    <w:rsid w:val="00594D18"/>
    <w:rsid w:val="00595137"/>
    <w:rsid w:val="00595C09"/>
    <w:rsid w:val="00595ED2"/>
    <w:rsid w:val="00596128"/>
    <w:rsid w:val="00596518"/>
    <w:rsid w:val="005965F5"/>
    <w:rsid w:val="0059679D"/>
    <w:rsid w:val="00596A45"/>
    <w:rsid w:val="00597520"/>
    <w:rsid w:val="005A015C"/>
    <w:rsid w:val="005A05D7"/>
    <w:rsid w:val="005A0776"/>
    <w:rsid w:val="005A0D90"/>
    <w:rsid w:val="005A0E7B"/>
    <w:rsid w:val="005A18C5"/>
    <w:rsid w:val="005A2706"/>
    <w:rsid w:val="005A3274"/>
    <w:rsid w:val="005A3319"/>
    <w:rsid w:val="005A34FB"/>
    <w:rsid w:val="005A394F"/>
    <w:rsid w:val="005A3ED5"/>
    <w:rsid w:val="005A3EED"/>
    <w:rsid w:val="005A46F2"/>
    <w:rsid w:val="005A511C"/>
    <w:rsid w:val="005A58C5"/>
    <w:rsid w:val="005A5B82"/>
    <w:rsid w:val="005A61D2"/>
    <w:rsid w:val="005A63D8"/>
    <w:rsid w:val="005A63E3"/>
    <w:rsid w:val="005A6964"/>
    <w:rsid w:val="005A6BB5"/>
    <w:rsid w:val="005A71E4"/>
    <w:rsid w:val="005A7A49"/>
    <w:rsid w:val="005A7B66"/>
    <w:rsid w:val="005A7BB8"/>
    <w:rsid w:val="005A7CF6"/>
    <w:rsid w:val="005A7D34"/>
    <w:rsid w:val="005B0378"/>
    <w:rsid w:val="005B07E4"/>
    <w:rsid w:val="005B0E77"/>
    <w:rsid w:val="005B1539"/>
    <w:rsid w:val="005B1843"/>
    <w:rsid w:val="005B19ED"/>
    <w:rsid w:val="005B272B"/>
    <w:rsid w:val="005B274C"/>
    <w:rsid w:val="005B29A3"/>
    <w:rsid w:val="005B34D4"/>
    <w:rsid w:val="005B34ED"/>
    <w:rsid w:val="005B3761"/>
    <w:rsid w:val="005B39A1"/>
    <w:rsid w:val="005B3B26"/>
    <w:rsid w:val="005B4194"/>
    <w:rsid w:val="005B42EE"/>
    <w:rsid w:val="005B44E8"/>
    <w:rsid w:val="005B4527"/>
    <w:rsid w:val="005B4817"/>
    <w:rsid w:val="005B4EA5"/>
    <w:rsid w:val="005B546F"/>
    <w:rsid w:val="005B5523"/>
    <w:rsid w:val="005B58BE"/>
    <w:rsid w:val="005B5AEB"/>
    <w:rsid w:val="005B6238"/>
    <w:rsid w:val="005B6856"/>
    <w:rsid w:val="005B69AC"/>
    <w:rsid w:val="005B7045"/>
    <w:rsid w:val="005B71D8"/>
    <w:rsid w:val="005B72B2"/>
    <w:rsid w:val="005B792E"/>
    <w:rsid w:val="005B7C71"/>
    <w:rsid w:val="005B7F4D"/>
    <w:rsid w:val="005B7F4F"/>
    <w:rsid w:val="005C045F"/>
    <w:rsid w:val="005C09B1"/>
    <w:rsid w:val="005C0E8C"/>
    <w:rsid w:val="005C1386"/>
    <w:rsid w:val="005C16BC"/>
    <w:rsid w:val="005C17F4"/>
    <w:rsid w:val="005C19B0"/>
    <w:rsid w:val="005C1DF6"/>
    <w:rsid w:val="005C2B54"/>
    <w:rsid w:val="005C2B9B"/>
    <w:rsid w:val="005C2F10"/>
    <w:rsid w:val="005C3356"/>
    <w:rsid w:val="005C3D68"/>
    <w:rsid w:val="005C3EAD"/>
    <w:rsid w:val="005C45D9"/>
    <w:rsid w:val="005C4A6B"/>
    <w:rsid w:val="005C4D72"/>
    <w:rsid w:val="005C5EFD"/>
    <w:rsid w:val="005C6362"/>
    <w:rsid w:val="005C661F"/>
    <w:rsid w:val="005C6821"/>
    <w:rsid w:val="005C6B07"/>
    <w:rsid w:val="005C722F"/>
    <w:rsid w:val="005C778B"/>
    <w:rsid w:val="005C77C8"/>
    <w:rsid w:val="005C7AE1"/>
    <w:rsid w:val="005C7D20"/>
    <w:rsid w:val="005C7F8F"/>
    <w:rsid w:val="005D06D4"/>
    <w:rsid w:val="005D1C02"/>
    <w:rsid w:val="005D29C4"/>
    <w:rsid w:val="005D2A59"/>
    <w:rsid w:val="005D3091"/>
    <w:rsid w:val="005D326B"/>
    <w:rsid w:val="005D34EB"/>
    <w:rsid w:val="005D3EBA"/>
    <w:rsid w:val="005D4B53"/>
    <w:rsid w:val="005D4D3D"/>
    <w:rsid w:val="005D4D9D"/>
    <w:rsid w:val="005D56E3"/>
    <w:rsid w:val="005D6451"/>
    <w:rsid w:val="005D693E"/>
    <w:rsid w:val="005D6A06"/>
    <w:rsid w:val="005D6C3D"/>
    <w:rsid w:val="005D7629"/>
    <w:rsid w:val="005D7FA4"/>
    <w:rsid w:val="005E07C7"/>
    <w:rsid w:val="005E12A2"/>
    <w:rsid w:val="005E1441"/>
    <w:rsid w:val="005E19A1"/>
    <w:rsid w:val="005E1D51"/>
    <w:rsid w:val="005E1F71"/>
    <w:rsid w:val="005E2444"/>
    <w:rsid w:val="005E244E"/>
    <w:rsid w:val="005E28A1"/>
    <w:rsid w:val="005E370A"/>
    <w:rsid w:val="005E4404"/>
    <w:rsid w:val="005E4A39"/>
    <w:rsid w:val="005E4FAD"/>
    <w:rsid w:val="005E5306"/>
    <w:rsid w:val="005E65F2"/>
    <w:rsid w:val="005E7EB6"/>
    <w:rsid w:val="005E7EE8"/>
    <w:rsid w:val="005F01D7"/>
    <w:rsid w:val="005F03C7"/>
    <w:rsid w:val="005F0B82"/>
    <w:rsid w:val="005F0C00"/>
    <w:rsid w:val="005F0C74"/>
    <w:rsid w:val="005F0F69"/>
    <w:rsid w:val="005F14D5"/>
    <w:rsid w:val="005F15BF"/>
    <w:rsid w:val="005F15ED"/>
    <w:rsid w:val="005F162A"/>
    <w:rsid w:val="005F1DBB"/>
    <w:rsid w:val="005F243B"/>
    <w:rsid w:val="005F2FD6"/>
    <w:rsid w:val="005F30AA"/>
    <w:rsid w:val="005F33F2"/>
    <w:rsid w:val="005F460C"/>
    <w:rsid w:val="005F464B"/>
    <w:rsid w:val="005F4D3F"/>
    <w:rsid w:val="005F51F6"/>
    <w:rsid w:val="005F52D8"/>
    <w:rsid w:val="005F54C3"/>
    <w:rsid w:val="005F63FC"/>
    <w:rsid w:val="005F6E45"/>
    <w:rsid w:val="005F6F4E"/>
    <w:rsid w:val="005F7280"/>
    <w:rsid w:val="005F74D0"/>
    <w:rsid w:val="00600EF3"/>
    <w:rsid w:val="0060117A"/>
    <w:rsid w:val="006013B7"/>
    <w:rsid w:val="0060145A"/>
    <w:rsid w:val="00601B10"/>
    <w:rsid w:val="00601C0D"/>
    <w:rsid w:val="00601C10"/>
    <w:rsid w:val="00601E77"/>
    <w:rsid w:val="00603E9D"/>
    <w:rsid w:val="00605389"/>
    <w:rsid w:val="0060574D"/>
    <w:rsid w:val="00605752"/>
    <w:rsid w:val="00605903"/>
    <w:rsid w:val="00606649"/>
    <w:rsid w:val="00606AA1"/>
    <w:rsid w:val="0060739C"/>
    <w:rsid w:val="00607F34"/>
    <w:rsid w:val="00610472"/>
    <w:rsid w:val="006112C0"/>
    <w:rsid w:val="00611A02"/>
    <w:rsid w:val="00611CEC"/>
    <w:rsid w:val="00611E50"/>
    <w:rsid w:val="00611E9B"/>
    <w:rsid w:val="00612191"/>
    <w:rsid w:val="00612635"/>
    <w:rsid w:val="00612893"/>
    <w:rsid w:val="00612E14"/>
    <w:rsid w:val="006130A7"/>
    <w:rsid w:val="00613511"/>
    <w:rsid w:val="00613851"/>
    <w:rsid w:val="00614342"/>
    <w:rsid w:val="006146A5"/>
    <w:rsid w:val="006152B4"/>
    <w:rsid w:val="00615ECD"/>
    <w:rsid w:val="006168E3"/>
    <w:rsid w:val="00616AAB"/>
    <w:rsid w:val="0061714F"/>
    <w:rsid w:val="006177F7"/>
    <w:rsid w:val="00617F30"/>
    <w:rsid w:val="0062034C"/>
    <w:rsid w:val="00620738"/>
    <w:rsid w:val="00620AC0"/>
    <w:rsid w:val="00620CE4"/>
    <w:rsid w:val="00621094"/>
    <w:rsid w:val="00621269"/>
    <w:rsid w:val="00621AE2"/>
    <w:rsid w:val="006222A8"/>
    <w:rsid w:val="00622984"/>
    <w:rsid w:val="0062319B"/>
    <w:rsid w:val="00623D0F"/>
    <w:rsid w:val="00623F65"/>
    <w:rsid w:val="006249C9"/>
    <w:rsid w:val="00625545"/>
    <w:rsid w:val="006255D3"/>
    <w:rsid w:val="0062598A"/>
    <w:rsid w:val="00625A52"/>
    <w:rsid w:val="00625EC4"/>
    <w:rsid w:val="0062686B"/>
    <w:rsid w:val="00626A1F"/>
    <w:rsid w:val="006273A5"/>
    <w:rsid w:val="0062796E"/>
    <w:rsid w:val="00630A9E"/>
    <w:rsid w:val="00630AFA"/>
    <w:rsid w:val="00631181"/>
    <w:rsid w:val="00631471"/>
    <w:rsid w:val="00631A3D"/>
    <w:rsid w:val="00631CFD"/>
    <w:rsid w:val="00631D44"/>
    <w:rsid w:val="006324B7"/>
    <w:rsid w:val="00632943"/>
    <w:rsid w:val="00632A57"/>
    <w:rsid w:val="00632A92"/>
    <w:rsid w:val="00632CF0"/>
    <w:rsid w:val="00632F8D"/>
    <w:rsid w:val="00632FEF"/>
    <w:rsid w:val="00633347"/>
    <w:rsid w:val="00633A74"/>
    <w:rsid w:val="00633B02"/>
    <w:rsid w:val="00634336"/>
    <w:rsid w:val="00634838"/>
    <w:rsid w:val="00634E9D"/>
    <w:rsid w:val="00635D49"/>
    <w:rsid w:val="00636282"/>
    <w:rsid w:val="006364CC"/>
    <w:rsid w:val="00636E3C"/>
    <w:rsid w:val="00637315"/>
    <w:rsid w:val="00637549"/>
    <w:rsid w:val="00637AA6"/>
    <w:rsid w:val="00637F08"/>
    <w:rsid w:val="00640963"/>
    <w:rsid w:val="00641176"/>
    <w:rsid w:val="0064223D"/>
    <w:rsid w:val="00642712"/>
    <w:rsid w:val="00642A6F"/>
    <w:rsid w:val="00642E50"/>
    <w:rsid w:val="006436F8"/>
    <w:rsid w:val="00644CB9"/>
    <w:rsid w:val="006454F2"/>
    <w:rsid w:val="00645617"/>
    <w:rsid w:val="00646049"/>
    <w:rsid w:val="0064620E"/>
    <w:rsid w:val="006464E3"/>
    <w:rsid w:val="00647485"/>
    <w:rsid w:val="0064794B"/>
    <w:rsid w:val="00647FBA"/>
    <w:rsid w:val="00650357"/>
    <w:rsid w:val="006507AB"/>
    <w:rsid w:val="00650C52"/>
    <w:rsid w:val="00650CAF"/>
    <w:rsid w:val="00650D2A"/>
    <w:rsid w:val="00650F66"/>
    <w:rsid w:val="006510F2"/>
    <w:rsid w:val="006518EE"/>
    <w:rsid w:val="00651AD2"/>
    <w:rsid w:val="00651D8C"/>
    <w:rsid w:val="00651F00"/>
    <w:rsid w:val="00652240"/>
    <w:rsid w:val="0065268F"/>
    <w:rsid w:val="00652BE3"/>
    <w:rsid w:val="006536D6"/>
    <w:rsid w:val="0065391A"/>
    <w:rsid w:val="00653AFE"/>
    <w:rsid w:val="00653FAD"/>
    <w:rsid w:val="00654907"/>
    <w:rsid w:val="00654F64"/>
    <w:rsid w:val="0065620A"/>
    <w:rsid w:val="0065679C"/>
    <w:rsid w:val="00656C2D"/>
    <w:rsid w:val="00656CC7"/>
    <w:rsid w:val="00656FFB"/>
    <w:rsid w:val="00657108"/>
    <w:rsid w:val="0065749F"/>
    <w:rsid w:val="00657819"/>
    <w:rsid w:val="00657AC7"/>
    <w:rsid w:val="00657C2D"/>
    <w:rsid w:val="00660DF8"/>
    <w:rsid w:val="0066129A"/>
    <w:rsid w:val="0066154C"/>
    <w:rsid w:val="00661DB1"/>
    <w:rsid w:val="0066216B"/>
    <w:rsid w:val="00662B5C"/>
    <w:rsid w:val="00662BED"/>
    <w:rsid w:val="00662C73"/>
    <w:rsid w:val="00663306"/>
    <w:rsid w:val="00663909"/>
    <w:rsid w:val="00663984"/>
    <w:rsid w:val="00663E95"/>
    <w:rsid w:val="00664B30"/>
    <w:rsid w:val="00664C30"/>
    <w:rsid w:val="00665153"/>
    <w:rsid w:val="0066584A"/>
    <w:rsid w:val="006659FF"/>
    <w:rsid w:val="00666563"/>
    <w:rsid w:val="006671BC"/>
    <w:rsid w:val="006674E7"/>
    <w:rsid w:val="00667596"/>
    <w:rsid w:val="00667A38"/>
    <w:rsid w:val="006701C9"/>
    <w:rsid w:val="00670258"/>
    <w:rsid w:val="00670DC7"/>
    <w:rsid w:val="00671568"/>
    <w:rsid w:val="00671A79"/>
    <w:rsid w:val="006721F1"/>
    <w:rsid w:val="00672708"/>
    <w:rsid w:val="0067299B"/>
    <w:rsid w:val="00673287"/>
    <w:rsid w:val="00673CA6"/>
    <w:rsid w:val="00673D6A"/>
    <w:rsid w:val="0067452F"/>
    <w:rsid w:val="0067461D"/>
    <w:rsid w:val="006749E0"/>
    <w:rsid w:val="00675582"/>
    <w:rsid w:val="00675D7A"/>
    <w:rsid w:val="00676331"/>
    <w:rsid w:val="006766E9"/>
    <w:rsid w:val="006769D4"/>
    <w:rsid w:val="00676CBC"/>
    <w:rsid w:val="006775D4"/>
    <w:rsid w:val="00677755"/>
    <w:rsid w:val="00677BBE"/>
    <w:rsid w:val="00680146"/>
    <w:rsid w:val="006801A0"/>
    <w:rsid w:val="00680234"/>
    <w:rsid w:val="00680591"/>
    <w:rsid w:val="00680679"/>
    <w:rsid w:val="0068146D"/>
    <w:rsid w:val="00681CF5"/>
    <w:rsid w:val="00681E79"/>
    <w:rsid w:val="006823A8"/>
    <w:rsid w:val="006824F8"/>
    <w:rsid w:val="00682B09"/>
    <w:rsid w:val="00682DB1"/>
    <w:rsid w:val="00683075"/>
    <w:rsid w:val="00683465"/>
    <w:rsid w:val="0068359F"/>
    <w:rsid w:val="00683C85"/>
    <w:rsid w:val="00683FFB"/>
    <w:rsid w:val="00684158"/>
    <w:rsid w:val="006846D6"/>
    <w:rsid w:val="00684956"/>
    <w:rsid w:val="00684ECD"/>
    <w:rsid w:val="00685517"/>
    <w:rsid w:val="006860C4"/>
    <w:rsid w:val="006864A4"/>
    <w:rsid w:val="00686B44"/>
    <w:rsid w:val="00686F06"/>
    <w:rsid w:val="0068768A"/>
    <w:rsid w:val="00687A55"/>
    <w:rsid w:val="00687CB5"/>
    <w:rsid w:val="00690423"/>
    <w:rsid w:val="00690BEA"/>
    <w:rsid w:val="00690DC8"/>
    <w:rsid w:val="006915D6"/>
    <w:rsid w:val="00691A7C"/>
    <w:rsid w:val="00691DF6"/>
    <w:rsid w:val="00692286"/>
    <w:rsid w:val="00692536"/>
    <w:rsid w:val="006928C6"/>
    <w:rsid w:val="006929D7"/>
    <w:rsid w:val="006936E4"/>
    <w:rsid w:val="00693925"/>
    <w:rsid w:val="006951D6"/>
    <w:rsid w:val="00695279"/>
    <w:rsid w:val="00695E4D"/>
    <w:rsid w:val="00696243"/>
    <w:rsid w:val="00696E1B"/>
    <w:rsid w:val="006972F2"/>
    <w:rsid w:val="006976FE"/>
    <w:rsid w:val="0069785E"/>
    <w:rsid w:val="00697B90"/>
    <w:rsid w:val="00697C69"/>
    <w:rsid w:val="00697FE1"/>
    <w:rsid w:val="006A02E1"/>
    <w:rsid w:val="006A0805"/>
    <w:rsid w:val="006A0EB1"/>
    <w:rsid w:val="006A1022"/>
    <w:rsid w:val="006A1E4B"/>
    <w:rsid w:val="006A21AF"/>
    <w:rsid w:val="006A2583"/>
    <w:rsid w:val="006A2ABB"/>
    <w:rsid w:val="006A2AF5"/>
    <w:rsid w:val="006A37C4"/>
    <w:rsid w:val="006A4091"/>
    <w:rsid w:val="006A4231"/>
    <w:rsid w:val="006A4857"/>
    <w:rsid w:val="006A4AF6"/>
    <w:rsid w:val="006A54F1"/>
    <w:rsid w:val="006A5DB5"/>
    <w:rsid w:val="006A5E05"/>
    <w:rsid w:val="006A6570"/>
    <w:rsid w:val="006A764B"/>
    <w:rsid w:val="006A7C71"/>
    <w:rsid w:val="006B0F12"/>
    <w:rsid w:val="006B0F3B"/>
    <w:rsid w:val="006B109B"/>
    <w:rsid w:val="006B115E"/>
    <w:rsid w:val="006B1C2C"/>
    <w:rsid w:val="006B258A"/>
    <w:rsid w:val="006B33A7"/>
    <w:rsid w:val="006B3954"/>
    <w:rsid w:val="006B4382"/>
    <w:rsid w:val="006B4508"/>
    <w:rsid w:val="006B5504"/>
    <w:rsid w:val="006B657B"/>
    <w:rsid w:val="006B670A"/>
    <w:rsid w:val="006B6EC3"/>
    <w:rsid w:val="006B788F"/>
    <w:rsid w:val="006B7A8B"/>
    <w:rsid w:val="006C0698"/>
    <w:rsid w:val="006C0CB1"/>
    <w:rsid w:val="006C0DD6"/>
    <w:rsid w:val="006C1260"/>
    <w:rsid w:val="006C1BDE"/>
    <w:rsid w:val="006C1D73"/>
    <w:rsid w:val="006C1E8C"/>
    <w:rsid w:val="006C2232"/>
    <w:rsid w:val="006C2237"/>
    <w:rsid w:val="006C30C8"/>
    <w:rsid w:val="006C31AD"/>
    <w:rsid w:val="006C330F"/>
    <w:rsid w:val="006C40D5"/>
    <w:rsid w:val="006C487B"/>
    <w:rsid w:val="006C4D52"/>
    <w:rsid w:val="006C4E9D"/>
    <w:rsid w:val="006C51D8"/>
    <w:rsid w:val="006C5259"/>
    <w:rsid w:val="006C52A1"/>
    <w:rsid w:val="006C57EC"/>
    <w:rsid w:val="006C5828"/>
    <w:rsid w:val="006C5939"/>
    <w:rsid w:val="006C6275"/>
    <w:rsid w:val="006C6800"/>
    <w:rsid w:val="006C6A48"/>
    <w:rsid w:val="006C6CEA"/>
    <w:rsid w:val="006C7080"/>
    <w:rsid w:val="006C7164"/>
    <w:rsid w:val="006C7E6D"/>
    <w:rsid w:val="006D0ADA"/>
    <w:rsid w:val="006D0BC5"/>
    <w:rsid w:val="006D0F55"/>
    <w:rsid w:val="006D1F5C"/>
    <w:rsid w:val="006D2527"/>
    <w:rsid w:val="006D2875"/>
    <w:rsid w:val="006D28ED"/>
    <w:rsid w:val="006D2913"/>
    <w:rsid w:val="006D2CF2"/>
    <w:rsid w:val="006D2E37"/>
    <w:rsid w:val="006D34C3"/>
    <w:rsid w:val="006D34D9"/>
    <w:rsid w:val="006D3A09"/>
    <w:rsid w:val="006D3D45"/>
    <w:rsid w:val="006D4471"/>
    <w:rsid w:val="006D44E6"/>
    <w:rsid w:val="006D4A6A"/>
    <w:rsid w:val="006D5631"/>
    <w:rsid w:val="006D62A4"/>
    <w:rsid w:val="006D6DA0"/>
    <w:rsid w:val="006D7342"/>
    <w:rsid w:val="006E0049"/>
    <w:rsid w:val="006E0401"/>
    <w:rsid w:val="006E115F"/>
    <w:rsid w:val="006E25FD"/>
    <w:rsid w:val="006E327C"/>
    <w:rsid w:val="006E338C"/>
    <w:rsid w:val="006E3CC5"/>
    <w:rsid w:val="006E4B8E"/>
    <w:rsid w:val="006E4C81"/>
    <w:rsid w:val="006E540D"/>
    <w:rsid w:val="006E6166"/>
    <w:rsid w:val="006E6191"/>
    <w:rsid w:val="006E687D"/>
    <w:rsid w:val="006E70A6"/>
    <w:rsid w:val="006E71D1"/>
    <w:rsid w:val="006E74BC"/>
    <w:rsid w:val="006E75A1"/>
    <w:rsid w:val="006E7795"/>
    <w:rsid w:val="006E7A37"/>
    <w:rsid w:val="006E7E9F"/>
    <w:rsid w:val="006E7FA8"/>
    <w:rsid w:val="006F00DB"/>
    <w:rsid w:val="006F0CED"/>
    <w:rsid w:val="006F116F"/>
    <w:rsid w:val="006F16D0"/>
    <w:rsid w:val="006F1ABF"/>
    <w:rsid w:val="006F1D22"/>
    <w:rsid w:val="006F1F80"/>
    <w:rsid w:val="006F21F9"/>
    <w:rsid w:val="006F231A"/>
    <w:rsid w:val="006F232C"/>
    <w:rsid w:val="006F2573"/>
    <w:rsid w:val="006F2A24"/>
    <w:rsid w:val="006F3172"/>
    <w:rsid w:val="006F3C8C"/>
    <w:rsid w:val="006F4112"/>
    <w:rsid w:val="006F4623"/>
    <w:rsid w:val="006F47CA"/>
    <w:rsid w:val="006F4949"/>
    <w:rsid w:val="006F4B40"/>
    <w:rsid w:val="006F4CF4"/>
    <w:rsid w:val="006F52DC"/>
    <w:rsid w:val="006F5401"/>
    <w:rsid w:val="006F6D00"/>
    <w:rsid w:val="006F6D29"/>
    <w:rsid w:val="006F7AA1"/>
    <w:rsid w:val="006F7E12"/>
    <w:rsid w:val="00700824"/>
    <w:rsid w:val="00701FEA"/>
    <w:rsid w:val="00702078"/>
    <w:rsid w:val="00702102"/>
    <w:rsid w:val="00703560"/>
    <w:rsid w:val="00703616"/>
    <w:rsid w:val="00703A32"/>
    <w:rsid w:val="00703E10"/>
    <w:rsid w:val="00703F8F"/>
    <w:rsid w:val="007040D1"/>
    <w:rsid w:val="007044B9"/>
    <w:rsid w:val="0070471C"/>
    <w:rsid w:val="007064B5"/>
    <w:rsid w:val="007069F7"/>
    <w:rsid w:val="00706DE1"/>
    <w:rsid w:val="007076C1"/>
    <w:rsid w:val="00707843"/>
    <w:rsid w:val="00707A98"/>
    <w:rsid w:val="00710059"/>
    <w:rsid w:val="00710337"/>
    <w:rsid w:val="00710638"/>
    <w:rsid w:val="00710725"/>
    <w:rsid w:val="007108A6"/>
    <w:rsid w:val="00710A28"/>
    <w:rsid w:val="00710B03"/>
    <w:rsid w:val="00710B5C"/>
    <w:rsid w:val="007110C9"/>
    <w:rsid w:val="00711278"/>
    <w:rsid w:val="00711362"/>
    <w:rsid w:val="00712349"/>
    <w:rsid w:val="007123EC"/>
    <w:rsid w:val="00712C8D"/>
    <w:rsid w:val="00712FCE"/>
    <w:rsid w:val="007131E5"/>
    <w:rsid w:val="00713234"/>
    <w:rsid w:val="0071342C"/>
    <w:rsid w:val="00713567"/>
    <w:rsid w:val="0071356E"/>
    <w:rsid w:val="00713821"/>
    <w:rsid w:val="0071382B"/>
    <w:rsid w:val="00713877"/>
    <w:rsid w:val="00713EE6"/>
    <w:rsid w:val="0071467A"/>
    <w:rsid w:val="00714735"/>
    <w:rsid w:val="00714BA3"/>
    <w:rsid w:val="007154C7"/>
    <w:rsid w:val="007167AE"/>
    <w:rsid w:val="00716AF0"/>
    <w:rsid w:val="00717403"/>
    <w:rsid w:val="007174C1"/>
    <w:rsid w:val="007174F8"/>
    <w:rsid w:val="00721098"/>
    <w:rsid w:val="00721125"/>
    <w:rsid w:val="00721136"/>
    <w:rsid w:val="007214D6"/>
    <w:rsid w:val="007221C6"/>
    <w:rsid w:val="007225A6"/>
    <w:rsid w:val="007226BF"/>
    <w:rsid w:val="00722C61"/>
    <w:rsid w:val="00722D76"/>
    <w:rsid w:val="0072301F"/>
    <w:rsid w:val="00723D23"/>
    <w:rsid w:val="00724194"/>
    <w:rsid w:val="00724374"/>
    <w:rsid w:val="0072495B"/>
    <w:rsid w:val="00724D1D"/>
    <w:rsid w:val="0072539A"/>
    <w:rsid w:val="00725461"/>
    <w:rsid w:val="00725632"/>
    <w:rsid w:val="00725B4F"/>
    <w:rsid w:val="00725B81"/>
    <w:rsid w:val="00725FFF"/>
    <w:rsid w:val="007260B7"/>
    <w:rsid w:val="007275E0"/>
    <w:rsid w:val="007275F4"/>
    <w:rsid w:val="00727DB0"/>
    <w:rsid w:val="00730452"/>
    <w:rsid w:val="00730815"/>
    <w:rsid w:val="007311E0"/>
    <w:rsid w:val="007318CB"/>
    <w:rsid w:val="00733455"/>
    <w:rsid w:val="007339E7"/>
    <w:rsid w:val="00733C7C"/>
    <w:rsid w:val="00734027"/>
    <w:rsid w:val="007352F6"/>
    <w:rsid w:val="007360D3"/>
    <w:rsid w:val="0073644C"/>
    <w:rsid w:val="007364FA"/>
    <w:rsid w:val="00736A0E"/>
    <w:rsid w:val="00736B31"/>
    <w:rsid w:val="00736FA8"/>
    <w:rsid w:val="007372AA"/>
    <w:rsid w:val="0073743B"/>
    <w:rsid w:val="00737641"/>
    <w:rsid w:val="0073773F"/>
    <w:rsid w:val="00737976"/>
    <w:rsid w:val="00737C72"/>
    <w:rsid w:val="00740104"/>
    <w:rsid w:val="00740379"/>
    <w:rsid w:val="007404B4"/>
    <w:rsid w:val="007406A2"/>
    <w:rsid w:val="00740794"/>
    <w:rsid w:val="00740E85"/>
    <w:rsid w:val="0074102B"/>
    <w:rsid w:val="00742D60"/>
    <w:rsid w:val="00743CB9"/>
    <w:rsid w:val="00743D02"/>
    <w:rsid w:val="007440B2"/>
    <w:rsid w:val="00745097"/>
    <w:rsid w:val="007452F9"/>
    <w:rsid w:val="00745462"/>
    <w:rsid w:val="007455F6"/>
    <w:rsid w:val="0074654A"/>
    <w:rsid w:val="0074660C"/>
    <w:rsid w:val="00746AA0"/>
    <w:rsid w:val="007473C4"/>
    <w:rsid w:val="00747B69"/>
    <w:rsid w:val="00747BB0"/>
    <w:rsid w:val="007501B4"/>
    <w:rsid w:val="00750679"/>
    <w:rsid w:val="00750787"/>
    <w:rsid w:val="00750D1D"/>
    <w:rsid w:val="00750E77"/>
    <w:rsid w:val="00751449"/>
    <w:rsid w:val="0075146E"/>
    <w:rsid w:val="0075148D"/>
    <w:rsid w:val="007514E1"/>
    <w:rsid w:val="00751DC8"/>
    <w:rsid w:val="00752010"/>
    <w:rsid w:val="00752061"/>
    <w:rsid w:val="007534EF"/>
    <w:rsid w:val="0075393A"/>
    <w:rsid w:val="00753D73"/>
    <w:rsid w:val="007548DD"/>
    <w:rsid w:val="007549D5"/>
    <w:rsid w:val="007555B5"/>
    <w:rsid w:val="00755D95"/>
    <w:rsid w:val="00756213"/>
    <w:rsid w:val="007567EA"/>
    <w:rsid w:val="00756B0E"/>
    <w:rsid w:val="0075755B"/>
    <w:rsid w:val="00757BAA"/>
    <w:rsid w:val="007603B6"/>
    <w:rsid w:val="007606A3"/>
    <w:rsid w:val="00760D28"/>
    <w:rsid w:val="00760F84"/>
    <w:rsid w:val="00761212"/>
    <w:rsid w:val="00761D74"/>
    <w:rsid w:val="00761D7A"/>
    <w:rsid w:val="00761FC3"/>
    <w:rsid w:val="0076205D"/>
    <w:rsid w:val="007626E7"/>
    <w:rsid w:val="007626E9"/>
    <w:rsid w:val="00762AA8"/>
    <w:rsid w:val="00762B9C"/>
    <w:rsid w:val="00763CCD"/>
    <w:rsid w:val="00764C9C"/>
    <w:rsid w:val="00765199"/>
    <w:rsid w:val="0076524D"/>
    <w:rsid w:val="0076550F"/>
    <w:rsid w:val="0076558B"/>
    <w:rsid w:val="00766BCF"/>
    <w:rsid w:val="00767EAD"/>
    <w:rsid w:val="00767F39"/>
    <w:rsid w:val="007702B3"/>
    <w:rsid w:val="007705BC"/>
    <w:rsid w:val="007708F6"/>
    <w:rsid w:val="00770C43"/>
    <w:rsid w:val="00771741"/>
    <w:rsid w:val="0077178A"/>
    <w:rsid w:val="00771B2B"/>
    <w:rsid w:val="00771BC2"/>
    <w:rsid w:val="007720F7"/>
    <w:rsid w:val="007722AA"/>
    <w:rsid w:val="00772352"/>
    <w:rsid w:val="007726E1"/>
    <w:rsid w:val="00772FFF"/>
    <w:rsid w:val="0077300D"/>
    <w:rsid w:val="00773502"/>
    <w:rsid w:val="00773768"/>
    <w:rsid w:val="007737E3"/>
    <w:rsid w:val="007738B7"/>
    <w:rsid w:val="00773A6F"/>
    <w:rsid w:val="00773C5F"/>
    <w:rsid w:val="00774F4B"/>
    <w:rsid w:val="00776204"/>
    <w:rsid w:val="00776426"/>
    <w:rsid w:val="00776754"/>
    <w:rsid w:val="00776FEC"/>
    <w:rsid w:val="00777253"/>
    <w:rsid w:val="00777C63"/>
    <w:rsid w:val="00777DF9"/>
    <w:rsid w:val="00777E6B"/>
    <w:rsid w:val="00780556"/>
    <w:rsid w:val="00780F43"/>
    <w:rsid w:val="00781813"/>
    <w:rsid w:val="00782226"/>
    <w:rsid w:val="007823BF"/>
    <w:rsid w:val="00782936"/>
    <w:rsid w:val="00782FFB"/>
    <w:rsid w:val="007835FA"/>
    <w:rsid w:val="00783B24"/>
    <w:rsid w:val="007843AC"/>
    <w:rsid w:val="00784584"/>
    <w:rsid w:val="0078540B"/>
    <w:rsid w:val="007854B5"/>
    <w:rsid w:val="007854EB"/>
    <w:rsid w:val="00785AE3"/>
    <w:rsid w:val="00785F7B"/>
    <w:rsid w:val="0078622A"/>
    <w:rsid w:val="007867C9"/>
    <w:rsid w:val="007868EB"/>
    <w:rsid w:val="007868F3"/>
    <w:rsid w:val="00786A82"/>
    <w:rsid w:val="00786B87"/>
    <w:rsid w:val="00786E6C"/>
    <w:rsid w:val="00787658"/>
    <w:rsid w:val="007879EE"/>
    <w:rsid w:val="00787A9A"/>
    <w:rsid w:val="007901DC"/>
    <w:rsid w:val="007903EE"/>
    <w:rsid w:val="007919C1"/>
    <w:rsid w:val="00791E18"/>
    <w:rsid w:val="00791FD6"/>
    <w:rsid w:val="0079256F"/>
    <w:rsid w:val="0079307B"/>
    <w:rsid w:val="007932D2"/>
    <w:rsid w:val="007936B5"/>
    <w:rsid w:val="00793FF3"/>
    <w:rsid w:val="007941CC"/>
    <w:rsid w:val="007941CF"/>
    <w:rsid w:val="0079451A"/>
    <w:rsid w:val="00794A41"/>
    <w:rsid w:val="00794F6C"/>
    <w:rsid w:val="00795B9D"/>
    <w:rsid w:val="00795BA9"/>
    <w:rsid w:val="00795EA5"/>
    <w:rsid w:val="00796422"/>
    <w:rsid w:val="00796B48"/>
    <w:rsid w:val="00796F48"/>
    <w:rsid w:val="00797428"/>
    <w:rsid w:val="00797814"/>
    <w:rsid w:val="00797972"/>
    <w:rsid w:val="00797B12"/>
    <w:rsid w:val="00797F3B"/>
    <w:rsid w:val="007A0985"/>
    <w:rsid w:val="007A0E8C"/>
    <w:rsid w:val="007A1605"/>
    <w:rsid w:val="007A1F79"/>
    <w:rsid w:val="007A2343"/>
    <w:rsid w:val="007A25BE"/>
    <w:rsid w:val="007A2A5E"/>
    <w:rsid w:val="007A2BF1"/>
    <w:rsid w:val="007A35FE"/>
    <w:rsid w:val="007A3C6A"/>
    <w:rsid w:val="007A4BE2"/>
    <w:rsid w:val="007A51A8"/>
    <w:rsid w:val="007A51BA"/>
    <w:rsid w:val="007A5417"/>
    <w:rsid w:val="007A5821"/>
    <w:rsid w:val="007A6703"/>
    <w:rsid w:val="007A6B87"/>
    <w:rsid w:val="007A6D6A"/>
    <w:rsid w:val="007A79A6"/>
    <w:rsid w:val="007A7AF0"/>
    <w:rsid w:val="007B0A6D"/>
    <w:rsid w:val="007B0EBF"/>
    <w:rsid w:val="007B12EF"/>
    <w:rsid w:val="007B1D8D"/>
    <w:rsid w:val="007B22F5"/>
    <w:rsid w:val="007B2A1D"/>
    <w:rsid w:val="007B3510"/>
    <w:rsid w:val="007B3AA6"/>
    <w:rsid w:val="007B412D"/>
    <w:rsid w:val="007B437A"/>
    <w:rsid w:val="007B43B9"/>
    <w:rsid w:val="007B51E2"/>
    <w:rsid w:val="007B5203"/>
    <w:rsid w:val="007B53B3"/>
    <w:rsid w:val="007B5466"/>
    <w:rsid w:val="007B64DD"/>
    <w:rsid w:val="007B6F81"/>
    <w:rsid w:val="007B7049"/>
    <w:rsid w:val="007B7243"/>
    <w:rsid w:val="007B7CB8"/>
    <w:rsid w:val="007B7CEF"/>
    <w:rsid w:val="007C0208"/>
    <w:rsid w:val="007C08B4"/>
    <w:rsid w:val="007C1426"/>
    <w:rsid w:val="007C15C2"/>
    <w:rsid w:val="007C1E31"/>
    <w:rsid w:val="007C1F8F"/>
    <w:rsid w:val="007C2331"/>
    <w:rsid w:val="007C344C"/>
    <w:rsid w:val="007C3913"/>
    <w:rsid w:val="007C3E96"/>
    <w:rsid w:val="007C4A9C"/>
    <w:rsid w:val="007C51A2"/>
    <w:rsid w:val="007C562B"/>
    <w:rsid w:val="007C613F"/>
    <w:rsid w:val="007C61C1"/>
    <w:rsid w:val="007C6D27"/>
    <w:rsid w:val="007C6ED4"/>
    <w:rsid w:val="007D0A97"/>
    <w:rsid w:val="007D0C04"/>
    <w:rsid w:val="007D11A8"/>
    <w:rsid w:val="007D12A0"/>
    <w:rsid w:val="007D1D87"/>
    <w:rsid w:val="007D27DB"/>
    <w:rsid w:val="007D2FE9"/>
    <w:rsid w:val="007D3232"/>
    <w:rsid w:val="007D3602"/>
    <w:rsid w:val="007D3909"/>
    <w:rsid w:val="007D4E65"/>
    <w:rsid w:val="007D51E1"/>
    <w:rsid w:val="007D55A9"/>
    <w:rsid w:val="007D5B2F"/>
    <w:rsid w:val="007D5BE7"/>
    <w:rsid w:val="007D5D8D"/>
    <w:rsid w:val="007D6196"/>
    <w:rsid w:val="007D6A99"/>
    <w:rsid w:val="007D6E0B"/>
    <w:rsid w:val="007D7552"/>
    <w:rsid w:val="007D7D98"/>
    <w:rsid w:val="007E010F"/>
    <w:rsid w:val="007E04EC"/>
    <w:rsid w:val="007E0CC8"/>
    <w:rsid w:val="007E10A5"/>
    <w:rsid w:val="007E1B76"/>
    <w:rsid w:val="007E26E7"/>
    <w:rsid w:val="007E2A95"/>
    <w:rsid w:val="007E356C"/>
    <w:rsid w:val="007E381B"/>
    <w:rsid w:val="007E3CFC"/>
    <w:rsid w:val="007E3D71"/>
    <w:rsid w:val="007E47E1"/>
    <w:rsid w:val="007E4E1D"/>
    <w:rsid w:val="007E51DC"/>
    <w:rsid w:val="007E5D4B"/>
    <w:rsid w:val="007E63CD"/>
    <w:rsid w:val="007E693D"/>
    <w:rsid w:val="007E7483"/>
    <w:rsid w:val="007E7C14"/>
    <w:rsid w:val="007F0036"/>
    <w:rsid w:val="007F0482"/>
    <w:rsid w:val="007F08BD"/>
    <w:rsid w:val="007F0BFA"/>
    <w:rsid w:val="007F12E7"/>
    <w:rsid w:val="007F1344"/>
    <w:rsid w:val="007F13E8"/>
    <w:rsid w:val="007F1859"/>
    <w:rsid w:val="007F1E1E"/>
    <w:rsid w:val="007F2090"/>
    <w:rsid w:val="007F2841"/>
    <w:rsid w:val="007F28BD"/>
    <w:rsid w:val="007F2A5B"/>
    <w:rsid w:val="007F3E30"/>
    <w:rsid w:val="007F44FF"/>
    <w:rsid w:val="007F48B9"/>
    <w:rsid w:val="007F5181"/>
    <w:rsid w:val="007F63B6"/>
    <w:rsid w:val="0080000E"/>
    <w:rsid w:val="008001D9"/>
    <w:rsid w:val="00800680"/>
    <w:rsid w:val="0080096B"/>
    <w:rsid w:val="008009DD"/>
    <w:rsid w:val="00800B90"/>
    <w:rsid w:val="008013A7"/>
    <w:rsid w:val="00802A66"/>
    <w:rsid w:val="0080336E"/>
    <w:rsid w:val="0080345B"/>
    <w:rsid w:val="008034C4"/>
    <w:rsid w:val="008038A0"/>
    <w:rsid w:val="00803F5B"/>
    <w:rsid w:val="00803F7C"/>
    <w:rsid w:val="008045A9"/>
    <w:rsid w:val="00804C26"/>
    <w:rsid w:val="00804D65"/>
    <w:rsid w:val="00804F7D"/>
    <w:rsid w:val="00805ADD"/>
    <w:rsid w:val="00805B62"/>
    <w:rsid w:val="0080680F"/>
    <w:rsid w:val="00807178"/>
    <w:rsid w:val="008075CA"/>
    <w:rsid w:val="00807FD9"/>
    <w:rsid w:val="008103A0"/>
    <w:rsid w:val="00810A5B"/>
    <w:rsid w:val="00810DE3"/>
    <w:rsid w:val="00811293"/>
    <w:rsid w:val="00811CF5"/>
    <w:rsid w:val="00812E16"/>
    <w:rsid w:val="0081362F"/>
    <w:rsid w:val="008137E0"/>
    <w:rsid w:val="008141D3"/>
    <w:rsid w:val="00814212"/>
    <w:rsid w:val="00814EDD"/>
    <w:rsid w:val="00815620"/>
    <w:rsid w:val="008160BA"/>
    <w:rsid w:val="00816523"/>
    <w:rsid w:val="00816CB1"/>
    <w:rsid w:val="0081701A"/>
    <w:rsid w:val="00817EA7"/>
    <w:rsid w:val="008206BE"/>
    <w:rsid w:val="0082086D"/>
    <w:rsid w:val="008212D8"/>
    <w:rsid w:val="008213C7"/>
    <w:rsid w:val="00821541"/>
    <w:rsid w:val="00821A06"/>
    <w:rsid w:val="008220E6"/>
    <w:rsid w:val="008220F3"/>
    <w:rsid w:val="00822273"/>
    <w:rsid w:val="00822FD7"/>
    <w:rsid w:val="008232A0"/>
    <w:rsid w:val="008235DB"/>
    <w:rsid w:val="008235E0"/>
    <w:rsid w:val="008239F9"/>
    <w:rsid w:val="00823C26"/>
    <w:rsid w:val="008246E3"/>
    <w:rsid w:val="008249C7"/>
    <w:rsid w:val="00824B19"/>
    <w:rsid w:val="00824EE8"/>
    <w:rsid w:val="00824F7F"/>
    <w:rsid w:val="0082584C"/>
    <w:rsid w:val="00825C28"/>
    <w:rsid w:val="00826559"/>
    <w:rsid w:val="00826D28"/>
    <w:rsid w:val="00826FE4"/>
    <w:rsid w:val="00827AD8"/>
    <w:rsid w:val="00830647"/>
    <w:rsid w:val="00830A18"/>
    <w:rsid w:val="00830E80"/>
    <w:rsid w:val="00830EB9"/>
    <w:rsid w:val="00830F3D"/>
    <w:rsid w:val="008313B0"/>
    <w:rsid w:val="008313D7"/>
    <w:rsid w:val="008315FD"/>
    <w:rsid w:val="00831BCE"/>
    <w:rsid w:val="00831F15"/>
    <w:rsid w:val="008324B4"/>
    <w:rsid w:val="00832863"/>
    <w:rsid w:val="00832911"/>
    <w:rsid w:val="00832B3A"/>
    <w:rsid w:val="00832F0D"/>
    <w:rsid w:val="008336D9"/>
    <w:rsid w:val="00833DE8"/>
    <w:rsid w:val="00833EB7"/>
    <w:rsid w:val="00835180"/>
    <w:rsid w:val="00835709"/>
    <w:rsid w:val="00835944"/>
    <w:rsid w:val="00835BCA"/>
    <w:rsid w:val="008375B9"/>
    <w:rsid w:val="00837656"/>
    <w:rsid w:val="00837B67"/>
    <w:rsid w:val="0084021A"/>
    <w:rsid w:val="0084044A"/>
    <w:rsid w:val="0084092F"/>
    <w:rsid w:val="00840F6E"/>
    <w:rsid w:val="00840FBD"/>
    <w:rsid w:val="0084166C"/>
    <w:rsid w:val="008428B6"/>
    <w:rsid w:val="008432D7"/>
    <w:rsid w:val="00843B54"/>
    <w:rsid w:val="00844C4E"/>
    <w:rsid w:val="00844C87"/>
    <w:rsid w:val="00845604"/>
    <w:rsid w:val="00845B80"/>
    <w:rsid w:val="0084646B"/>
    <w:rsid w:val="00846529"/>
    <w:rsid w:val="00846B16"/>
    <w:rsid w:val="00846D98"/>
    <w:rsid w:val="008470FB"/>
    <w:rsid w:val="00847590"/>
    <w:rsid w:val="00847698"/>
    <w:rsid w:val="00847C25"/>
    <w:rsid w:val="0085008C"/>
    <w:rsid w:val="00850FA3"/>
    <w:rsid w:val="00851326"/>
    <w:rsid w:val="0085183F"/>
    <w:rsid w:val="00851A14"/>
    <w:rsid w:val="008524E5"/>
    <w:rsid w:val="00852510"/>
    <w:rsid w:val="00852734"/>
    <w:rsid w:val="008532FB"/>
    <w:rsid w:val="008539A1"/>
    <w:rsid w:val="00853CC4"/>
    <w:rsid w:val="008540F0"/>
    <w:rsid w:val="00854DE8"/>
    <w:rsid w:val="00854E3C"/>
    <w:rsid w:val="0085508E"/>
    <w:rsid w:val="00855187"/>
    <w:rsid w:val="008553EF"/>
    <w:rsid w:val="0085590F"/>
    <w:rsid w:val="008561BF"/>
    <w:rsid w:val="008568C0"/>
    <w:rsid w:val="008569B3"/>
    <w:rsid w:val="00857B99"/>
    <w:rsid w:val="00857E0B"/>
    <w:rsid w:val="00860063"/>
    <w:rsid w:val="00860795"/>
    <w:rsid w:val="008607C9"/>
    <w:rsid w:val="00861662"/>
    <w:rsid w:val="00862443"/>
    <w:rsid w:val="008625DB"/>
    <w:rsid w:val="0086292A"/>
    <w:rsid w:val="00863363"/>
    <w:rsid w:val="008634D4"/>
    <w:rsid w:val="00863932"/>
    <w:rsid w:val="00863F3B"/>
    <w:rsid w:val="00864874"/>
    <w:rsid w:val="00864DDE"/>
    <w:rsid w:val="00865274"/>
    <w:rsid w:val="008654E6"/>
    <w:rsid w:val="008657F9"/>
    <w:rsid w:val="0086619C"/>
    <w:rsid w:val="0086695A"/>
    <w:rsid w:val="00866B42"/>
    <w:rsid w:val="00867C63"/>
    <w:rsid w:val="00867FEB"/>
    <w:rsid w:val="00870308"/>
    <w:rsid w:val="00870686"/>
    <w:rsid w:val="00870CD9"/>
    <w:rsid w:val="00871093"/>
    <w:rsid w:val="008713F0"/>
    <w:rsid w:val="0087156D"/>
    <w:rsid w:val="0087166A"/>
    <w:rsid w:val="00871AD5"/>
    <w:rsid w:val="00871CA1"/>
    <w:rsid w:val="0087229F"/>
    <w:rsid w:val="008725AB"/>
    <w:rsid w:val="0087321E"/>
    <w:rsid w:val="00873297"/>
    <w:rsid w:val="00873578"/>
    <w:rsid w:val="00874F47"/>
    <w:rsid w:val="00876029"/>
    <w:rsid w:val="00877B2A"/>
    <w:rsid w:val="00877B6C"/>
    <w:rsid w:val="00877BF9"/>
    <w:rsid w:val="00877D87"/>
    <w:rsid w:val="00880255"/>
    <w:rsid w:val="00880387"/>
    <w:rsid w:val="0088052D"/>
    <w:rsid w:val="008806EC"/>
    <w:rsid w:val="00880D68"/>
    <w:rsid w:val="008810FA"/>
    <w:rsid w:val="00881DE6"/>
    <w:rsid w:val="008829F0"/>
    <w:rsid w:val="00883049"/>
    <w:rsid w:val="00884878"/>
    <w:rsid w:val="00884DDA"/>
    <w:rsid w:val="00885B9C"/>
    <w:rsid w:val="008868A6"/>
    <w:rsid w:val="008868CF"/>
    <w:rsid w:val="00886967"/>
    <w:rsid w:val="00886A0A"/>
    <w:rsid w:val="00886D18"/>
    <w:rsid w:val="00886D2D"/>
    <w:rsid w:val="00886F63"/>
    <w:rsid w:val="00890028"/>
    <w:rsid w:val="008919E6"/>
    <w:rsid w:val="00891EE1"/>
    <w:rsid w:val="00892303"/>
    <w:rsid w:val="00892827"/>
    <w:rsid w:val="00892BC6"/>
    <w:rsid w:val="00892E61"/>
    <w:rsid w:val="008937EB"/>
    <w:rsid w:val="00893F26"/>
    <w:rsid w:val="008941F8"/>
    <w:rsid w:val="00894E8C"/>
    <w:rsid w:val="0089517E"/>
    <w:rsid w:val="00895328"/>
    <w:rsid w:val="008954A1"/>
    <w:rsid w:val="008954F6"/>
    <w:rsid w:val="00895B59"/>
    <w:rsid w:val="008968A3"/>
    <w:rsid w:val="00896927"/>
    <w:rsid w:val="008978E4"/>
    <w:rsid w:val="00897E16"/>
    <w:rsid w:val="00897F56"/>
    <w:rsid w:val="008A0287"/>
    <w:rsid w:val="008A0449"/>
    <w:rsid w:val="008A144E"/>
    <w:rsid w:val="008A1841"/>
    <w:rsid w:val="008A289B"/>
    <w:rsid w:val="008A2B28"/>
    <w:rsid w:val="008A2FCD"/>
    <w:rsid w:val="008A310A"/>
    <w:rsid w:val="008A3329"/>
    <w:rsid w:val="008A427F"/>
    <w:rsid w:val="008A4B30"/>
    <w:rsid w:val="008A4C90"/>
    <w:rsid w:val="008A4FA3"/>
    <w:rsid w:val="008A523A"/>
    <w:rsid w:val="008A549E"/>
    <w:rsid w:val="008A6086"/>
    <w:rsid w:val="008A6570"/>
    <w:rsid w:val="008A6603"/>
    <w:rsid w:val="008A6868"/>
    <w:rsid w:val="008A6A8C"/>
    <w:rsid w:val="008A6C0C"/>
    <w:rsid w:val="008A6FF7"/>
    <w:rsid w:val="008A72ED"/>
    <w:rsid w:val="008A73C6"/>
    <w:rsid w:val="008A7C40"/>
    <w:rsid w:val="008B127A"/>
    <w:rsid w:val="008B19E9"/>
    <w:rsid w:val="008B26BE"/>
    <w:rsid w:val="008B3075"/>
    <w:rsid w:val="008B3506"/>
    <w:rsid w:val="008B373F"/>
    <w:rsid w:val="008B4A74"/>
    <w:rsid w:val="008B4AFA"/>
    <w:rsid w:val="008B4B7C"/>
    <w:rsid w:val="008B4B9D"/>
    <w:rsid w:val="008B4CE3"/>
    <w:rsid w:val="008B4DC5"/>
    <w:rsid w:val="008B5884"/>
    <w:rsid w:val="008B5F65"/>
    <w:rsid w:val="008B605E"/>
    <w:rsid w:val="008B6E92"/>
    <w:rsid w:val="008B73BE"/>
    <w:rsid w:val="008B7CB0"/>
    <w:rsid w:val="008B7CEB"/>
    <w:rsid w:val="008B7DF6"/>
    <w:rsid w:val="008C015D"/>
    <w:rsid w:val="008C0FBD"/>
    <w:rsid w:val="008C176D"/>
    <w:rsid w:val="008C17D4"/>
    <w:rsid w:val="008C1A38"/>
    <w:rsid w:val="008C1A4B"/>
    <w:rsid w:val="008C1F53"/>
    <w:rsid w:val="008C2565"/>
    <w:rsid w:val="008C3804"/>
    <w:rsid w:val="008C38C5"/>
    <w:rsid w:val="008C4903"/>
    <w:rsid w:val="008C4D80"/>
    <w:rsid w:val="008C4EC4"/>
    <w:rsid w:val="008C5617"/>
    <w:rsid w:val="008C5917"/>
    <w:rsid w:val="008C5D65"/>
    <w:rsid w:val="008C61B5"/>
    <w:rsid w:val="008C61E5"/>
    <w:rsid w:val="008C622D"/>
    <w:rsid w:val="008C6687"/>
    <w:rsid w:val="008C6943"/>
    <w:rsid w:val="008C6DFF"/>
    <w:rsid w:val="008C70BD"/>
    <w:rsid w:val="008C7316"/>
    <w:rsid w:val="008C732C"/>
    <w:rsid w:val="008C739E"/>
    <w:rsid w:val="008C79C7"/>
    <w:rsid w:val="008C7AC8"/>
    <w:rsid w:val="008C7C3C"/>
    <w:rsid w:val="008D0242"/>
    <w:rsid w:val="008D02CD"/>
    <w:rsid w:val="008D0854"/>
    <w:rsid w:val="008D0AB8"/>
    <w:rsid w:val="008D0BA8"/>
    <w:rsid w:val="008D15B9"/>
    <w:rsid w:val="008D1A45"/>
    <w:rsid w:val="008D2240"/>
    <w:rsid w:val="008D27BB"/>
    <w:rsid w:val="008D27EF"/>
    <w:rsid w:val="008D28DF"/>
    <w:rsid w:val="008D2DC8"/>
    <w:rsid w:val="008D2F1D"/>
    <w:rsid w:val="008D34F9"/>
    <w:rsid w:val="008D4091"/>
    <w:rsid w:val="008D417B"/>
    <w:rsid w:val="008D454D"/>
    <w:rsid w:val="008D4BAD"/>
    <w:rsid w:val="008D542F"/>
    <w:rsid w:val="008D5BA4"/>
    <w:rsid w:val="008D5DCE"/>
    <w:rsid w:val="008D687A"/>
    <w:rsid w:val="008D6D69"/>
    <w:rsid w:val="008D704B"/>
    <w:rsid w:val="008D745E"/>
    <w:rsid w:val="008D79E9"/>
    <w:rsid w:val="008E03DD"/>
    <w:rsid w:val="008E0B55"/>
    <w:rsid w:val="008E0C33"/>
    <w:rsid w:val="008E1940"/>
    <w:rsid w:val="008E19DD"/>
    <w:rsid w:val="008E268B"/>
    <w:rsid w:val="008E29AB"/>
    <w:rsid w:val="008E408D"/>
    <w:rsid w:val="008E4176"/>
    <w:rsid w:val="008E4192"/>
    <w:rsid w:val="008E44A5"/>
    <w:rsid w:val="008E459B"/>
    <w:rsid w:val="008E46C5"/>
    <w:rsid w:val="008E4755"/>
    <w:rsid w:val="008E49BD"/>
    <w:rsid w:val="008E4EF2"/>
    <w:rsid w:val="008E5160"/>
    <w:rsid w:val="008E6007"/>
    <w:rsid w:val="008E61B0"/>
    <w:rsid w:val="008E6284"/>
    <w:rsid w:val="008E6604"/>
    <w:rsid w:val="008E6751"/>
    <w:rsid w:val="008E75B8"/>
    <w:rsid w:val="008E7B76"/>
    <w:rsid w:val="008F06F2"/>
    <w:rsid w:val="008F0779"/>
    <w:rsid w:val="008F0ACF"/>
    <w:rsid w:val="008F0CE2"/>
    <w:rsid w:val="008F0E60"/>
    <w:rsid w:val="008F0FB6"/>
    <w:rsid w:val="008F1382"/>
    <w:rsid w:val="008F1567"/>
    <w:rsid w:val="008F1E28"/>
    <w:rsid w:val="008F1E80"/>
    <w:rsid w:val="008F1ED8"/>
    <w:rsid w:val="008F1EF9"/>
    <w:rsid w:val="008F233E"/>
    <w:rsid w:val="008F24BD"/>
    <w:rsid w:val="008F2629"/>
    <w:rsid w:val="008F2652"/>
    <w:rsid w:val="008F2E27"/>
    <w:rsid w:val="008F3CF0"/>
    <w:rsid w:val="008F4045"/>
    <w:rsid w:val="008F4C4B"/>
    <w:rsid w:val="008F58F0"/>
    <w:rsid w:val="008F5D80"/>
    <w:rsid w:val="008F651C"/>
    <w:rsid w:val="008F6629"/>
    <w:rsid w:val="008F68A4"/>
    <w:rsid w:val="008F711B"/>
    <w:rsid w:val="009006D2"/>
    <w:rsid w:val="00900905"/>
    <w:rsid w:val="00900F09"/>
    <w:rsid w:val="0090101D"/>
    <w:rsid w:val="009010F7"/>
    <w:rsid w:val="00901438"/>
    <w:rsid w:val="00901A08"/>
    <w:rsid w:val="00901CA1"/>
    <w:rsid w:val="00901F3A"/>
    <w:rsid w:val="0090231D"/>
    <w:rsid w:val="00902440"/>
    <w:rsid w:val="009024E6"/>
    <w:rsid w:val="009026E4"/>
    <w:rsid w:val="00902C22"/>
    <w:rsid w:val="00902FA7"/>
    <w:rsid w:val="0090352A"/>
    <w:rsid w:val="00903E09"/>
    <w:rsid w:val="00903EDB"/>
    <w:rsid w:val="009042BE"/>
    <w:rsid w:val="00904414"/>
    <w:rsid w:val="00905086"/>
    <w:rsid w:val="009072EB"/>
    <w:rsid w:val="00907599"/>
    <w:rsid w:val="009075F2"/>
    <w:rsid w:val="00907896"/>
    <w:rsid w:val="00907E8B"/>
    <w:rsid w:val="00910347"/>
    <w:rsid w:val="009103F3"/>
    <w:rsid w:val="00910551"/>
    <w:rsid w:val="009105DE"/>
    <w:rsid w:val="00910C97"/>
    <w:rsid w:val="009113EC"/>
    <w:rsid w:val="009116BB"/>
    <w:rsid w:val="009120F8"/>
    <w:rsid w:val="009122C1"/>
    <w:rsid w:val="009126A4"/>
    <w:rsid w:val="00912D35"/>
    <w:rsid w:val="00912F46"/>
    <w:rsid w:val="0091385D"/>
    <w:rsid w:val="0091388D"/>
    <w:rsid w:val="009140AF"/>
    <w:rsid w:val="0091498E"/>
    <w:rsid w:val="00914A0A"/>
    <w:rsid w:val="0091504C"/>
    <w:rsid w:val="00915AD6"/>
    <w:rsid w:val="00915F82"/>
    <w:rsid w:val="009160C7"/>
    <w:rsid w:val="009163AF"/>
    <w:rsid w:val="009166C7"/>
    <w:rsid w:val="00916714"/>
    <w:rsid w:val="009168EF"/>
    <w:rsid w:val="00916D52"/>
    <w:rsid w:val="00916E66"/>
    <w:rsid w:val="009176DE"/>
    <w:rsid w:val="00917871"/>
    <w:rsid w:val="0091790A"/>
    <w:rsid w:val="00917BFE"/>
    <w:rsid w:val="00917DC5"/>
    <w:rsid w:val="009207F1"/>
    <w:rsid w:val="00920A8D"/>
    <w:rsid w:val="009210C9"/>
    <w:rsid w:val="00921A33"/>
    <w:rsid w:val="00921E7E"/>
    <w:rsid w:val="0092218C"/>
    <w:rsid w:val="009221E6"/>
    <w:rsid w:val="0092281A"/>
    <w:rsid w:val="00923513"/>
    <w:rsid w:val="00923D3D"/>
    <w:rsid w:val="00923F27"/>
    <w:rsid w:val="009240AB"/>
    <w:rsid w:val="0092430B"/>
    <w:rsid w:val="009248B3"/>
    <w:rsid w:val="0092490E"/>
    <w:rsid w:val="00924CCB"/>
    <w:rsid w:val="00924DE4"/>
    <w:rsid w:val="00924FD7"/>
    <w:rsid w:val="0092520A"/>
    <w:rsid w:val="00925962"/>
    <w:rsid w:val="00925AA1"/>
    <w:rsid w:val="00926138"/>
    <w:rsid w:val="00926C7E"/>
    <w:rsid w:val="00926CAA"/>
    <w:rsid w:val="00926EF1"/>
    <w:rsid w:val="0092776A"/>
    <w:rsid w:val="00927978"/>
    <w:rsid w:val="009301CF"/>
    <w:rsid w:val="009305A4"/>
    <w:rsid w:val="009313C9"/>
    <w:rsid w:val="00931E93"/>
    <w:rsid w:val="00931FE5"/>
    <w:rsid w:val="009327E4"/>
    <w:rsid w:val="00932FAD"/>
    <w:rsid w:val="009332C3"/>
    <w:rsid w:val="0093354C"/>
    <w:rsid w:val="00933C41"/>
    <w:rsid w:val="00933EE3"/>
    <w:rsid w:val="009348FF"/>
    <w:rsid w:val="0093599F"/>
    <w:rsid w:val="00935AB1"/>
    <w:rsid w:val="00936121"/>
    <w:rsid w:val="009364C1"/>
    <w:rsid w:val="009365E6"/>
    <w:rsid w:val="009366ED"/>
    <w:rsid w:val="00936ECF"/>
    <w:rsid w:val="00937307"/>
    <w:rsid w:val="0093745C"/>
    <w:rsid w:val="00940409"/>
    <w:rsid w:val="00940424"/>
    <w:rsid w:val="00941B32"/>
    <w:rsid w:val="00941CD2"/>
    <w:rsid w:val="00941E5F"/>
    <w:rsid w:val="00941E83"/>
    <w:rsid w:val="0094230C"/>
    <w:rsid w:val="009423C6"/>
    <w:rsid w:val="00942FA0"/>
    <w:rsid w:val="00943DBC"/>
    <w:rsid w:val="0094443C"/>
    <w:rsid w:val="009445BA"/>
    <w:rsid w:val="00944929"/>
    <w:rsid w:val="00944EC7"/>
    <w:rsid w:val="00944FD9"/>
    <w:rsid w:val="00945130"/>
    <w:rsid w:val="00945B0A"/>
    <w:rsid w:val="00945C19"/>
    <w:rsid w:val="009460BC"/>
    <w:rsid w:val="0094610C"/>
    <w:rsid w:val="009466A7"/>
    <w:rsid w:val="00946F68"/>
    <w:rsid w:val="009475F3"/>
    <w:rsid w:val="00947F13"/>
    <w:rsid w:val="009509C8"/>
    <w:rsid w:val="00951562"/>
    <w:rsid w:val="00951651"/>
    <w:rsid w:val="00951D2B"/>
    <w:rsid w:val="00952661"/>
    <w:rsid w:val="00952818"/>
    <w:rsid w:val="00953243"/>
    <w:rsid w:val="00953602"/>
    <w:rsid w:val="00953CAB"/>
    <w:rsid w:val="009545BE"/>
    <w:rsid w:val="00954A57"/>
    <w:rsid w:val="00954EF3"/>
    <w:rsid w:val="00954F6E"/>
    <w:rsid w:val="00955002"/>
    <w:rsid w:val="00955810"/>
    <w:rsid w:val="009559FC"/>
    <w:rsid w:val="00955A48"/>
    <w:rsid w:val="00955B53"/>
    <w:rsid w:val="00955E52"/>
    <w:rsid w:val="0095603B"/>
    <w:rsid w:val="0095606B"/>
    <w:rsid w:val="009563C0"/>
    <w:rsid w:val="009564E3"/>
    <w:rsid w:val="0095665B"/>
    <w:rsid w:val="00956982"/>
    <w:rsid w:val="00957686"/>
    <w:rsid w:val="00957948"/>
    <w:rsid w:val="00957F8A"/>
    <w:rsid w:val="0096044D"/>
    <w:rsid w:val="00960FD8"/>
    <w:rsid w:val="00961F4A"/>
    <w:rsid w:val="0096227C"/>
    <w:rsid w:val="0096254D"/>
    <w:rsid w:val="00962657"/>
    <w:rsid w:val="00962DC1"/>
    <w:rsid w:val="0096335C"/>
    <w:rsid w:val="00963E7A"/>
    <w:rsid w:val="0096407D"/>
    <w:rsid w:val="009645FA"/>
    <w:rsid w:val="0096485D"/>
    <w:rsid w:val="009649DD"/>
    <w:rsid w:val="00964DBC"/>
    <w:rsid w:val="00965CF8"/>
    <w:rsid w:val="00965E72"/>
    <w:rsid w:val="0096644A"/>
    <w:rsid w:val="009668EF"/>
    <w:rsid w:val="00966D87"/>
    <w:rsid w:val="00967171"/>
    <w:rsid w:val="00970E64"/>
    <w:rsid w:val="00971103"/>
    <w:rsid w:val="009713CF"/>
    <w:rsid w:val="00971BB7"/>
    <w:rsid w:val="00972073"/>
    <w:rsid w:val="00972094"/>
    <w:rsid w:val="0097291B"/>
    <w:rsid w:val="009729A9"/>
    <w:rsid w:val="00972B29"/>
    <w:rsid w:val="00972FEA"/>
    <w:rsid w:val="00973415"/>
    <w:rsid w:val="009738E7"/>
    <w:rsid w:val="00973953"/>
    <w:rsid w:val="00973D43"/>
    <w:rsid w:val="00974495"/>
    <w:rsid w:val="00974991"/>
    <w:rsid w:val="00975276"/>
    <w:rsid w:val="009753DD"/>
    <w:rsid w:val="00975959"/>
    <w:rsid w:val="00975D0D"/>
    <w:rsid w:val="00975EFC"/>
    <w:rsid w:val="009760F0"/>
    <w:rsid w:val="009761F8"/>
    <w:rsid w:val="00976AF1"/>
    <w:rsid w:val="00976DBB"/>
    <w:rsid w:val="00976FB3"/>
    <w:rsid w:val="0097719C"/>
    <w:rsid w:val="009773E4"/>
    <w:rsid w:val="0097757E"/>
    <w:rsid w:val="0098030D"/>
    <w:rsid w:val="0098072E"/>
    <w:rsid w:val="009807DD"/>
    <w:rsid w:val="0098089A"/>
    <w:rsid w:val="0098092F"/>
    <w:rsid w:val="00980982"/>
    <w:rsid w:val="00980A8C"/>
    <w:rsid w:val="009810D6"/>
    <w:rsid w:val="00981306"/>
    <w:rsid w:val="00981C86"/>
    <w:rsid w:val="00981E62"/>
    <w:rsid w:val="009822D4"/>
    <w:rsid w:val="00982721"/>
    <w:rsid w:val="00983566"/>
    <w:rsid w:val="00983FD3"/>
    <w:rsid w:val="009849EE"/>
    <w:rsid w:val="009854E5"/>
    <w:rsid w:val="00985BDF"/>
    <w:rsid w:val="0098619E"/>
    <w:rsid w:val="009865D6"/>
    <w:rsid w:val="0099102B"/>
    <w:rsid w:val="0099113E"/>
    <w:rsid w:val="009914D2"/>
    <w:rsid w:val="00992239"/>
    <w:rsid w:val="009923ED"/>
    <w:rsid w:val="009928E1"/>
    <w:rsid w:val="00992956"/>
    <w:rsid w:val="00992B1D"/>
    <w:rsid w:val="00992CF8"/>
    <w:rsid w:val="00993F12"/>
    <w:rsid w:val="00994D57"/>
    <w:rsid w:val="00995081"/>
    <w:rsid w:val="00995D00"/>
    <w:rsid w:val="00995D15"/>
    <w:rsid w:val="00996460"/>
    <w:rsid w:val="0099677B"/>
    <w:rsid w:val="009970AB"/>
    <w:rsid w:val="00997A78"/>
    <w:rsid w:val="00997E61"/>
    <w:rsid w:val="009A0106"/>
    <w:rsid w:val="009A0350"/>
    <w:rsid w:val="009A0381"/>
    <w:rsid w:val="009A0725"/>
    <w:rsid w:val="009A09EF"/>
    <w:rsid w:val="009A1177"/>
    <w:rsid w:val="009A15B7"/>
    <w:rsid w:val="009A1D6F"/>
    <w:rsid w:val="009A1E07"/>
    <w:rsid w:val="009A1E09"/>
    <w:rsid w:val="009A290D"/>
    <w:rsid w:val="009A2B18"/>
    <w:rsid w:val="009A2B62"/>
    <w:rsid w:val="009A3615"/>
    <w:rsid w:val="009A3978"/>
    <w:rsid w:val="009A39AF"/>
    <w:rsid w:val="009A3C26"/>
    <w:rsid w:val="009A4091"/>
    <w:rsid w:val="009A430F"/>
    <w:rsid w:val="009A4396"/>
    <w:rsid w:val="009A482F"/>
    <w:rsid w:val="009A521D"/>
    <w:rsid w:val="009A5F68"/>
    <w:rsid w:val="009A6044"/>
    <w:rsid w:val="009A6B8D"/>
    <w:rsid w:val="009A7C2E"/>
    <w:rsid w:val="009B0A47"/>
    <w:rsid w:val="009B13DB"/>
    <w:rsid w:val="009B13DF"/>
    <w:rsid w:val="009B145A"/>
    <w:rsid w:val="009B16FF"/>
    <w:rsid w:val="009B19DE"/>
    <w:rsid w:val="009B1B6C"/>
    <w:rsid w:val="009B26A8"/>
    <w:rsid w:val="009B439B"/>
    <w:rsid w:val="009B461B"/>
    <w:rsid w:val="009B50E6"/>
    <w:rsid w:val="009B5190"/>
    <w:rsid w:val="009B5381"/>
    <w:rsid w:val="009B543B"/>
    <w:rsid w:val="009B5856"/>
    <w:rsid w:val="009B654F"/>
    <w:rsid w:val="009B7C85"/>
    <w:rsid w:val="009C0232"/>
    <w:rsid w:val="009C065C"/>
    <w:rsid w:val="009C09C1"/>
    <w:rsid w:val="009C09F3"/>
    <w:rsid w:val="009C16DF"/>
    <w:rsid w:val="009C17F0"/>
    <w:rsid w:val="009C1C8A"/>
    <w:rsid w:val="009C1FDC"/>
    <w:rsid w:val="009C29CD"/>
    <w:rsid w:val="009C2E30"/>
    <w:rsid w:val="009C2E4B"/>
    <w:rsid w:val="009C348B"/>
    <w:rsid w:val="009C386D"/>
    <w:rsid w:val="009C3B13"/>
    <w:rsid w:val="009C3C8E"/>
    <w:rsid w:val="009C3CA0"/>
    <w:rsid w:val="009C4409"/>
    <w:rsid w:val="009C448D"/>
    <w:rsid w:val="009C45AE"/>
    <w:rsid w:val="009C4804"/>
    <w:rsid w:val="009C4B8E"/>
    <w:rsid w:val="009C7440"/>
    <w:rsid w:val="009C7D60"/>
    <w:rsid w:val="009D0143"/>
    <w:rsid w:val="009D0A7D"/>
    <w:rsid w:val="009D0A9A"/>
    <w:rsid w:val="009D0D34"/>
    <w:rsid w:val="009D104E"/>
    <w:rsid w:val="009D145E"/>
    <w:rsid w:val="009D16D3"/>
    <w:rsid w:val="009D1FDF"/>
    <w:rsid w:val="009D29BA"/>
    <w:rsid w:val="009D2C9A"/>
    <w:rsid w:val="009D351D"/>
    <w:rsid w:val="009D3524"/>
    <w:rsid w:val="009D4C82"/>
    <w:rsid w:val="009D5236"/>
    <w:rsid w:val="009D586F"/>
    <w:rsid w:val="009D7538"/>
    <w:rsid w:val="009E08E3"/>
    <w:rsid w:val="009E0BA6"/>
    <w:rsid w:val="009E0EBC"/>
    <w:rsid w:val="009E11B0"/>
    <w:rsid w:val="009E1667"/>
    <w:rsid w:val="009E1CA8"/>
    <w:rsid w:val="009E1D55"/>
    <w:rsid w:val="009E20B8"/>
    <w:rsid w:val="009E2306"/>
    <w:rsid w:val="009E2658"/>
    <w:rsid w:val="009E28E1"/>
    <w:rsid w:val="009E2F96"/>
    <w:rsid w:val="009E2FFB"/>
    <w:rsid w:val="009E3420"/>
    <w:rsid w:val="009E38C1"/>
    <w:rsid w:val="009E4068"/>
    <w:rsid w:val="009E41F8"/>
    <w:rsid w:val="009E49A0"/>
    <w:rsid w:val="009E5230"/>
    <w:rsid w:val="009E533F"/>
    <w:rsid w:val="009E5970"/>
    <w:rsid w:val="009E5A12"/>
    <w:rsid w:val="009E5FFE"/>
    <w:rsid w:val="009E6174"/>
    <w:rsid w:val="009E6780"/>
    <w:rsid w:val="009E6833"/>
    <w:rsid w:val="009E756E"/>
    <w:rsid w:val="009E7657"/>
    <w:rsid w:val="009E7886"/>
    <w:rsid w:val="009E79EC"/>
    <w:rsid w:val="009F014C"/>
    <w:rsid w:val="009F01D6"/>
    <w:rsid w:val="009F0705"/>
    <w:rsid w:val="009F07E3"/>
    <w:rsid w:val="009F09C4"/>
    <w:rsid w:val="009F0D8D"/>
    <w:rsid w:val="009F1E3E"/>
    <w:rsid w:val="009F2095"/>
    <w:rsid w:val="009F2633"/>
    <w:rsid w:val="009F2742"/>
    <w:rsid w:val="009F35B8"/>
    <w:rsid w:val="009F3A92"/>
    <w:rsid w:val="009F3D69"/>
    <w:rsid w:val="009F416F"/>
    <w:rsid w:val="009F49A8"/>
    <w:rsid w:val="009F4D99"/>
    <w:rsid w:val="009F4F68"/>
    <w:rsid w:val="009F4FBD"/>
    <w:rsid w:val="009F50F0"/>
    <w:rsid w:val="009F5114"/>
    <w:rsid w:val="009F542D"/>
    <w:rsid w:val="009F55E6"/>
    <w:rsid w:val="009F62C2"/>
    <w:rsid w:val="009F6C7E"/>
    <w:rsid w:val="009F6D49"/>
    <w:rsid w:val="009F7150"/>
    <w:rsid w:val="009F7366"/>
    <w:rsid w:val="009F777E"/>
    <w:rsid w:val="00A002C7"/>
    <w:rsid w:val="00A01327"/>
    <w:rsid w:val="00A018E7"/>
    <w:rsid w:val="00A01D1F"/>
    <w:rsid w:val="00A01EF4"/>
    <w:rsid w:val="00A02626"/>
    <w:rsid w:val="00A0279E"/>
    <w:rsid w:val="00A028BD"/>
    <w:rsid w:val="00A02F91"/>
    <w:rsid w:val="00A0343F"/>
    <w:rsid w:val="00A034C9"/>
    <w:rsid w:val="00A034E5"/>
    <w:rsid w:val="00A03911"/>
    <w:rsid w:val="00A039A4"/>
    <w:rsid w:val="00A03BEF"/>
    <w:rsid w:val="00A04728"/>
    <w:rsid w:val="00A047A2"/>
    <w:rsid w:val="00A0498B"/>
    <w:rsid w:val="00A049AD"/>
    <w:rsid w:val="00A04E15"/>
    <w:rsid w:val="00A04FFE"/>
    <w:rsid w:val="00A05140"/>
    <w:rsid w:val="00A051D1"/>
    <w:rsid w:val="00A057BD"/>
    <w:rsid w:val="00A060CF"/>
    <w:rsid w:val="00A06FC9"/>
    <w:rsid w:val="00A0701D"/>
    <w:rsid w:val="00A072E0"/>
    <w:rsid w:val="00A073DF"/>
    <w:rsid w:val="00A07584"/>
    <w:rsid w:val="00A079F9"/>
    <w:rsid w:val="00A07CF2"/>
    <w:rsid w:val="00A10354"/>
    <w:rsid w:val="00A104E2"/>
    <w:rsid w:val="00A10DE1"/>
    <w:rsid w:val="00A10E9C"/>
    <w:rsid w:val="00A11561"/>
    <w:rsid w:val="00A11A16"/>
    <w:rsid w:val="00A11C09"/>
    <w:rsid w:val="00A11D59"/>
    <w:rsid w:val="00A123C7"/>
    <w:rsid w:val="00A12D68"/>
    <w:rsid w:val="00A12EB1"/>
    <w:rsid w:val="00A13029"/>
    <w:rsid w:val="00A13F3C"/>
    <w:rsid w:val="00A1427B"/>
    <w:rsid w:val="00A14491"/>
    <w:rsid w:val="00A144E1"/>
    <w:rsid w:val="00A144F0"/>
    <w:rsid w:val="00A14E44"/>
    <w:rsid w:val="00A14E66"/>
    <w:rsid w:val="00A15A1F"/>
    <w:rsid w:val="00A15B8B"/>
    <w:rsid w:val="00A15BBF"/>
    <w:rsid w:val="00A15EA3"/>
    <w:rsid w:val="00A16216"/>
    <w:rsid w:val="00A16CF3"/>
    <w:rsid w:val="00A20730"/>
    <w:rsid w:val="00A22301"/>
    <w:rsid w:val="00A22538"/>
    <w:rsid w:val="00A22BB8"/>
    <w:rsid w:val="00A2341A"/>
    <w:rsid w:val="00A23FF0"/>
    <w:rsid w:val="00A24123"/>
    <w:rsid w:val="00A24248"/>
    <w:rsid w:val="00A245B2"/>
    <w:rsid w:val="00A24693"/>
    <w:rsid w:val="00A24A88"/>
    <w:rsid w:val="00A24C24"/>
    <w:rsid w:val="00A25293"/>
    <w:rsid w:val="00A255BD"/>
    <w:rsid w:val="00A2584C"/>
    <w:rsid w:val="00A25DCA"/>
    <w:rsid w:val="00A2619B"/>
    <w:rsid w:val="00A264BA"/>
    <w:rsid w:val="00A26A8A"/>
    <w:rsid w:val="00A26D9D"/>
    <w:rsid w:val="00A27011"/>
    <w:rsid w:val="00A2722D"/>
    <w:rsid w:val="00A27E2B"/>
    <w:rsid w:val="00A27F64"/>
    <w:rsid w:val="00A301EF"/>
    <w:rsid w:val="00A30CC7"/>
    <w:rsid w:val="00A30F0B"/>
    <w:rsid w:val="00A32098"/>
    <w:rsid w:val="00A321EA"/>
    <w:rsid w:val="00A328C6"/>
    <w:rsid w:val="00A32C15"/>
    <w:rsid w:val="00A32F56"/>
    <w:rsid w:val="00A3324A"/>
    <w:rsid w:val="00A332EE"/>
    <w:rsid w:val="00A33B7B"/>
    <w:rsid w:val="00A34039"/>
    <w:rsid w:val="00A34257"/>
    <w:rsid w:val="00A34313"/>
    <w:rsid w:val="00A3469D"/>
    <w:rsid w:val="00A3552E"/>
    <w:rsid w:val="00A35C9C"/>
    <w:rsid w:val="00A35FFF"/>
    <w:rsid w:val="00A36009"/>
    <w:rsid w:val="00A36910"/>
    <w:rsid w:val="00A37518"/>
    <w:rsid w:val="00A401DB"/>
    <w:rsid w:val="00A40407"/>
    <w:rsid w:val="00A410AC"/>
    <w:rsid w:val="00A412E2"/>
    <w:rsid w:val="00A417FA"/>
    <w:rsid w:val="00A42760"/>
    <w:rsid w:val="00A4288A"/>
    <w:rsid w:val="00A42B40"/>
    <w:rsid w:val="00A43647"/>
    <w:rsid w:val="00A43C03"/>
    <w:rsid w:val="00A43D70"/>
    <w:rsid w:val="00A443C7"/>
    <w:rsid w:val="00A458B3"/>
    <w:rsid w:val="00A45A64"/>
    <w:rsid w:val="00A45B60"/>
    <w:rsid w:val="00A45CB4"/>
    <w:rsid w:val="00A45DFC"/>
    <w:rsid w:val="00A45E73"/>
    <w:rsid w:val="00A460EA"/>
    <w:rsid w:val="00A4685F"/>
    <w:rsid w:val="00A477DF"/>
    <w:rsid w:val="00A50354"/>
    <w:rsid w:val="00A5085C"/>
    <w:rsid w:val="00A51D97"/>
    <w:rsid w:val="00A52109"/>
    <w:rsid w:val="00A5236E"/>
    <w:rsid w:val="00A524BA"/>
    <w:rsid w:val="00A52729"/>
    <w:rsid w:val="00A53713"/>
    <w:rsid w:val="00A5390D"/>
    <w:rsid w:val="00A54283"/>
    <w:rsid w:val="00A551E6"/>
    <w:rsid w:val="00A5551F"/>
    <w:rsid w:val="00A559DE"/>
    <w:rsid w:val="00A567D1"/>
    <w:rsid w:val="00A605DC"/>
    <w:rsid w:val="00A61DEE"/>
    <w:rsid w:val="00A620F1"/>
    <w:rsid w:val="00A62E17"/>
    <w:rsid w:val="00A62FF6"/>
    <w:rsid w:val="00A630E4"/>
    <w:rsid w:val="00A63B16"/>
    <w:rsid w:val="00A6545D"/>
    <w:rsid w:val="00A65CAA"/>
    <w:rsid w:val="00A65DFF"/>
    <w:rsid w:val="00A662CF"/>
    <w:rsid w:val="00A664BD"/>
    <w:rsid w:val="00A666C0"/>
    <w:rsid w:val="00A671EC"/>
    <w:rsid w:val="00A671FD"/>
    <w:rsid w:val="00A6737C"/>
    <w:rsid w:val="00A67548"/>
    <w:rsid w:val="00A67F69"/>
    <w:rsid w:val="00A707B2"/>
    <w:rsid w:val="00A70F68"/>
    <w:rsid w:val="00A71DE5"/>
    <w:rsid w:val="00A71EAD"/>
    <w:rsid w:val="00A725E8"/>
    <w:rsid w:val="00A7302B"/>
    <w:rsid w:val="00A73B24"/>
    <w:rsid w:val="00A74322"/>
    <w:rsid w:val="00A747C6"/>
    <w:rsid w:val="00A74D77"/>
    <w:rsid w:val="00A75359"/>
    <w:rsid w:val="00A755E8"/>
    <w:rsid w:val="00A75A87"/>
    <w:rsid w:val="00A75E17"/>
    <w:rsid w:val="00A766FD"/>
    <w:rsid w:val="00A76A64"/>
    <w:rsid w:val="00A7771C"/>
    <w:rsid w:val="00A77C57"/>
    <w:rsid w:val="00A80353"/>
    <w:rsid w:val="00A8037C"/>
    <w:rsid w:val="00A8056B"/>
    <w:rsid w:val="00A80587"/>
    <w:rsid w:val="00A8067F"/>
    <w:rsid w:val="00A806B0"/>
    <w:rsid w:val="00A8096B"/>
    <w:rsid w:val="00A809A4"/>
    <w:rsid w:val="00A81951"/>
    <w:rsid w:val="00A819D3"/>
    <w:rsid w:val="00A81AB2"/>
    <w:rsid w:val="00A81D05"/>
    <w:rsid w:val="00A8200B"/>
    <w:rsid w:val="00A820E7"/>
    <w:rsid w:val="00A824D7"/>
    <w:rsid w:val="00A82998"/>
    <w:rsid w:val="00A82D7A"/>
    <w:rsid w:val="00A82DF8"/>
    <w:rsid w:val="00A84EB9"/>
    <w:rsid w:val="00A8539F"/>
    <w:rsid w:val="00A8567D"/>
    <w:rsid w:val="00A856FB"/>
    <w:rsid w:val="00A86062"/>
    <w:rsid w:val="00A8612D"/>
    <w:rsid w:val="00A868F4"/>
    <w:rsid w:val="00A87202"/>
    <w:rsid w:val="00A87315"/>
    <w:rsid w:val="00A877F4"/>
    <w:rsid w:val="00A87CD2"/>
    <w:rsid w:val="00A87E12"/>
    <w:rsid w:val="00A87FC3"/>
    <w:rsid w:val="00A905C5"/>
    <w:rsid w:val="00A908DF"/>
    <w:rsid w:val="00A91136"/>
    <w:rsid w:val="00A916C5"/>
    <w:rsid w:val="00A92A34"/>
    <w:rsid w:val="00A930B0"/>
    <w:rsid w:val="00A9333E"/>
    <w:rsid w:val="00A9349B"/>
    <w:rsid w:val="00A936A1"/>
    <w:rsid w:val="00A9398E"/>
    <w:rsid w:val="00A93FB2"/>
    <w:rsid w:val="00A94315"/>
    <w:rsid w:val="00A94CFD"/>
    <w:rsid w:val="00A94D8E"/>
    <w:rsid w:val="00A94EC5"/>
    <w:rsid w:val="00A95127"/>
    <w:rsid w:val="00A9554E"/>
    <w:rsid w:val="00A96721"/>
    <w:rsid w:val="00A96DD4"/>
    <w:rsid w:val="00A97683"/>
    <w:rsid w:val="00AA04B9"/>
    <w:rsid w:val="00AA08BC"/>
    <w:rsid w:val="00AA08CB"/>
    <w:rsid w:val="00AA0FC0"/>
    <w:rsid w:val="00AA16AB"/>
    <w:rsid w:val="00AA209E"/>
    <w:rsid w:val="00AA2249"/>
    <w:rsid w:val="00AA2277"/>
    <w:rsid w:val="00AA28C6"/>
    <w:rsid w:val="00AA31CE"/>
    <w:rsid w:val="00AA31F2"/>
    <w:rsid w:val="00AA358D"/>
    <w:rsid w:val="00AA406C"/>
    <w:rsid w:val="00AA4141"/>
    <w:rsid w:val="00AA42F4"/>
    <w:rsid w:val="00AA4A84"/>
    <w:rsid w:val="00AA4CF2"/>
    <w:rsid w:val="00AA4DD0"/>
    <w:rsid w:val="00AA4F9F"/>
    <w:rsid w:val="00AA563E"/>
    <w:rsid w:val="00AA5826"/>
    <w:rsid w:val="00AA5A4E"/>
    <w:rsid w:val="00AA5E1B"/>
    <w:rsid w:val="00AA640D"/>
    <w:rsid w:val="00AA719F"/>
    <w:rsid w:val="00AA71EC"/>
    <w:rsid w:val="00AA7256"/>
    <w:rsid w:val="00AA7CBA"/>
    <w:rsid w:val="00AA7EA0"/>
    <w:rsid w:val="00AB0512"/>
    <w:rsid w:val="00AB0987"/>
    <w:rsid w:val="00AB0C54"/>
    <w:rsid w:val="00AB0D42"/>
    <w:rsid w:val="00AB1785"/>
    <w:rsid w:val="00AB1964"/>
    <w:rsid w:val="00AB1F04"/>
    <w:rsid w:val="00AB276A"/>
    <w:rsid w:val="00AB2EA3"/>
    <w:rsid w:val="00AB3256"/>
    <w:rsid w:val="00AB336D"/>
    <w:rsid w:val="00AB33F8"/>
    <w:rsid w:val="00AB3900"/>
    <w:rsid w:val="00AB3A69"/>
    <w:rsid w:val="00AB4289"/>
    <w:rsid w:val="00AB449D"/>
    <w:rsid w:val="00AB4A38"/>
    <w:rsid w:val="00AB4C14"/>
    <w:rsid w:val="00AB516C"/>
    <w:rsid w:val="00AB632E"/>
    <w:rsid w:val="00AB64C8"/>
    <w:rsid w:val="00AB6DC1"/>
    <w:rsid w:val="00AB6F0A"/>
    <w:rsid w:val="00AB702C"/>
    <w:rsid w:val="00AB7215"/>
    <w:rsid w:val="00AB7B30"/>
    <w:rsid w:val="00AC005D"/>
    <w:rsid w:val="00AC031F"/>
    <w:rsid w:val="00AC0346"/>
    <w:rsid w:val="00AC0609"/>
    <w:rsid w:val="00AC095B"/>
    <w:rsid w:val="00AC11A4"/>
    <w:rsid w:val="00AC14DE"/>
    <w:rsid w:val="00AC2C3D"/>
    <w:rsid w:val="00AC2C94"/>
    <w:rsid w:val="00AC30E5"/>
    <w:rsid w:val="00AC352A"/>
    <w:rsid w:val="00AC3569"/>
    <w:rsid w:val="00AC36EE"/>
    <w:rsid w:val="00AC3BF8"/>
    <w:rsid w:val="00AC4034"/>
    <w:rsid w:val="00AC45C6"/>
    <w:rsid w:val="00AC469F"/>
    <w:rsid w:val="00AC46D5"/>
    <w:rsid w:val="00AC4955"/>
    <w:rsid w:val="00AC4ED9"/>
    <w:rsid w:val="00AC52B6"/>
    <w:rsid w:val="00AC56C2"/>
    <w:rsid w:val="00AC5824"/>
    <w:rsid w:val="00AC5B16"/>
    <w:rsid w:val="00AC5E19"/>
    <w:rsid w:val="00AC6384"/>
    <w:rsid w:val="00AC73DE"/>
    <w:rsid w:val="00AD136E"/>
    <w:rsid w:val="00AD1378"/>
    <w:rsid w:val="00AD13EE"/>
    <w:rsid w:val="00AD171E"/>
    <w:rsid w:val="00AD1726"/>
    <w:rsid w:val="00AD190E"/>
    <w:rsid w:val="00AD22D3"/>
    <w:rsid w:val="00AD2723"/>
    <w:rsid w:val="00AD2B66"/>
    <w:rsid w:val="00AD328E"/>
    <w:rsid w:val="00AD392E"/>
    <w:rsid w:val="00AD445D"/>
    <w:rsid w:val="00AD45DD"/>
    <w:rsid w:val="00AD484D"/>
    <w:rsid w:val="00AD4974"/>
    <w:rsid w:val="00AD4EA8"/>
    <w:rsid w:val="00AD50F2"/>
    <w:rsid w:val="00AD5256"/>
    <w:rsid w:val="00AD578E"/>
    <w:rsid w:val="00AD5A52"/>
    <w:rsid w:val="00AD5BF8"/>
    <w:rsid w:val="00AD6577"/>
    <w:rsid w:val="00AD65A0"/>
    <w:rsid w:val="00AD6740"/>
    <w:rsid w:val="00AD6BAD"/>
    <w:rsid w:val="00AD6C21"/>
    <w:rsid w:val="00AD6F47"/>
    <w:rsid w:val="00AD7261"/>
    <w:rsid w:val="00AE0F2A"/>
    <w:rsid w:val="00AE1915"/>
    <w:rsid w:val="00AE2781"/>
    <w:rsid w:val="00AE2E03"/>
    <w:rsid w:val="00AE2E63"/>
    <w:rsid w:val="00AE32BC"/>
    <w:rsid w:val="00AE3408"/>
    <w:rsid w:val="00AE36C6"/>
    <w:rsid w:val="00AE4517"/>
    <w:rsid w:val="00AE4863"/>
    <w:rsid w:val="00AE496A"/>
    <w:rsid w:val="00AE49BE"/>
    <w:rsid w:val="00AE571C"/>
    <w:rsid w:val="00AE5BBB"/>
    <w:rsid w:val="00AE5C52"/>
    <w:rsid w:val="00AE5E23"/>
    <w:rsid w:val="00AE64BF"/>
    <w:rsid w:val="00AE66F0"/>
    <w:rsid w:val="00AE6A94"/>
    <w:rsid w:val="00AE6D76"/>
    <w:rsid w:val="00AE6E0A"/>
    <w:rsid w:val="00AE6EB0"/>
    <w:rsid w:val="00AE6F99"/>
    <w:rsid w:val="00AE7032"/>
    <w:rsid w:val="00AE7571"/>
    <w:rsid w:val="00AE7F87"/>
    <w:rsid w:val="00AF045F"/>
    <w:rsid w:val="00AF07BA"/>
    <w:rsid w:val="00AF0A82"/>
    <w:rsid w:val="00AF0FA2"/>
    <w:rsid w:val="00AF0FDD"/>
    <w:rsid w:val="00AF1045"/>
    <w:rsid w:val="00AF218D"/>
    <w:rsid w:val="00AF2660"/>
    <w:rsid w:val="00AF29D0"/>
    <w:rsid w:val="00AF2AFF"/>
    <w:rsid w:val="00AF3492"/>
    <w:rsid w:val="00AF3C17"/>
    <w:rsid w:val="00AF3E8C"/>
    <w:rsid w:val="00AF44E8"/>
    <w:rsid w:val="00AF528D"/>
    <w:rsid w:val="00AF5308"/>
    <w:rsid w:val="00AF58B7"/>
    <w:rsid w:val="00AF5A70"/>
    <w:rsid w:val="00AF5C43"/>
    <w:rsid w:val="00AF5C5C"/>
    <w:rsid w:val="00AF621F"/>
    <w:rsid w:val="00AF62AF"/>
    <w:rsid w:val="00AF6403"/>
    <w:rsid w:val="00AF6D43"/>
    <w:rsid w:val="00AF71EF"/>
    <w:rsid w:val="00AF7F1E"/>
    <w:rsid w:val="00AF7F9D"/>
    <w:rsid w:val="00B00003"/>
    <w:rsid w:val="00B00050"/>
    <w:rsid w:val="00B01981"/>
    <w:rsid w:val="00B020F9"/>
    <w:rsid w:val="00B024FF"/>
    <w:rsid w:val="00B027FA"/>
    <w:rsid w:val="00B03092"/>
    <w:rsid w:val="00B034A6"/>
    <w:rsid w:val="00B037C0"/>
    <w:rsid w:val="00B03A72"/>
    <w:rsid w:val="00B03FB1"/>
    <w:rsid w:val="00B055C4"/>
    <w:rsid w:val="00B05BE0"/>
    <w:rsid w:val="00B062CC"/>
    <w:rsid w:val="00B067E6"/>
    <w:rsid w:val="00B06A72"/>
    <w:rsid w:val="00B06DA8"/>
    <w:rsid w:val="00B071AE"/>
    <w:rsid w:val="00B07500"/>
    <w:rsid w:val="00B100FA"/>
    <w:rsid w:val="00B102EF"/>
    <w:rsid w:val="00B10564"/>
    <w:rsid w:val="00B106F4"/>
    <w:rsid w:val="00B10743"/>
    <w:rsid w:val="00B120EB"/>
    <w:rsid w:val="00B123E4"/>
    <w:rsid w:val="00B12BC8"/>
    <w:rsid w:val="00B12F63"/>
    <w:rsid w:val="00B14BE6"/>
    <w:rsid w:val="00B14E75"/>
    <w:rsid w:val="00B14FE0"/>
    <w:rsid w:val="00B151D9"/>
    <w:rsid w:val="00B15829"/>
    <w:rsid w:val="00B158E1"/>
    <w:rsid w:val="00B15A07"/>
    <w:rsid w:val="00B16C53"/>
    <w:rsid w:val="00B16D2D"/>
    <w:rsid w:val="00B1746F"/>
    <w:rsid w:val="00B176DB"/>
    <w:rsid w:val="00B17A9D"/>
    <w:rsid w:val="00B205E0"/>
    <w:rsid w:val="00B20A39"/>
    <w:rsid w:val="00B210A1"/>
    <w:rsid w:val="00B210FE"/>
    <w:rsid w:val="00B21217"/>
    <w:rsid w:val="00B21C2F"/>
    <w:rsid w:val="00B2221C"/>
    <w:rsid w:val="00B226EF"/>
    <w:rsid w:val="00B230D5"/>
    <w:rsid w:val="00B2431A"/>
    <w:rsid w:val="00B244F0"/>
    <w:rsid w:val="00B247BD"/>
    <w:rsid w:val="00B248C4"/>
    <w:rsid w:val="00B249B7"/>
    <w:rsid w:val="00B24C42"/>
    <w:rsid w:val="00B2522F"/>
    <w:rsid w:val="00B253DE"/>
    <w:rsid w:val="00B26E72"/>
    <w:rsid w:val="00B2764E"/>
    <w:rsid w:val="00B276AF"/>
    <w:rsid w:val="00B30E77"/>
    <w:rsid w:val="00B31E42"/>
    <w:rsid w:val="00B322C9"/>
    <w:rsid w:val="00B335FF"/>
    <w:rsid w:val="00B33975"/>
    <w:rsid w:val="00B33F27"/>
    <w:rsid w:val="00B342D8"/>
    <w:rsid w:val="00B34731"/>
    <w:rsid w:val="00B34A3D"/>
    <w:rsid w:val="00B34B88"/>
    <w:rsid w:val="00B35211"/>
    <w:rsid w:val="00B357BF"/>
    <w:rsid w:val="00B361A4"/>
    <w:rsid w:val="00B361E6"/>
    <w:rsid w:val="00B36CF7"/>
    <w:rsid w:val="00B36EF8"/>
    <w:rsid w:val="00B372DA"/>
    <w:rsid w:val="00B37897"/>
    <w:rsid w:val="00B37A25"/>
    <w:rsid w:val="00B37B1F"/>
    <w:rsid w:val="00B37CF1"/>
    <w:rsid w:val="00B37D42"/>
    <w:rsid w:val="00B40017"/>
    <w:rsid w:val="00B40127"/>
    <w:rsid w:val="00B40278"/>
    <w:rsid w:val="00B405AE"/>
    <w:rsid w:val="00B4078A"/>
    <w:rsid w:val="00B4081E"/>
    <w:rsid w:val="00B4114D"/>
    <w:rsid w:val="00B415C9"/>
    <w:rsid w:val="00B4213E"/>
    <w:rsid w:val="00B426D8"/>
    <w:rsid w:val="00B42A7C"/>
    <w:rsid w:val="00B43624"/>
    <w:rsid w:val="00B43CD2"/>
    <w:rsid w:val="00B44032"/>
    <w:rsid w:val="00B445D9"/>
    <w:rsid w:val="00B447BF"/>
    <w:rsid w:val="00B44A9F"/>
    <w:rsid w:val="00B456CC"/>
    <w:rsid w:val="00B45D61"/>
    <w:rsid w:val="00B4604E"/>
    <w:rsid w:val="00B476CF"/>
    <w:rsid w:val="00B477AF"/>
    <w:rsid w:val="00B478EF"/>
    <w:rsid w:val="00B47C4A"/>
    <w:rsid w:val="00B50DE9"/>
    <w:rsid w:val="00B5187B"/>
    <w:rsid w:val="00B51BAD"/>
    <w:rsid w:val="00B51D06"/>
    <w:rsid w:val="00B52315"/>
    <w:rsid w:val="00B5240F"/>
    <w:rsid w:val="00B53732"/>
    <w:rsid w:val="00B54CBC"/>
    <w:rsid w:val="00B55037"/>
    <w:rsid w:val="00B5543A"/>
    <w:rsid w:val="00B559DC"/>
    <w:rsid w:val="00B55BE4"/>
    <w:rsid w:val="00B564A3"/>
    <w:rsid w:val="00B56514"/>
    <w:rsid w:val="00B56551"/>
    <w:rsid w:val="00B565B9"/>
    <w:rsid w:val="00B578B5"/>
    <w:rsid w:val="00B578C7"/>
    <w:rsid w:val="00B57942"/>
    <w:rsid w:val="00B57AE9"/>
    <w:rsid w:val="00B57CA2"/>
    <w:rsid w:val="00B57CB4"/>
    <w:rsid w:val="00B6165C"/>
    <w:rsid w:val="00B6296A"/>
    <w:rsid w:val="00B638BD"/>
    <w:rsid w:val="00B63D3C"/>
    <w:rsid w:val="00B6439A"/>
    <w:rsid w:val="00B65EB5"/>
    <w:rsid w:val="00B664EC"/>
    <w:rsid w:val="00B66555"/>
    <w:rsid w:val="00B67238"/>
    <w:rsid w:val="00B67928"/>
    <w:rsid w:val="00B67969"/>
    <w:rsid w:val="00B702C8"/>
    <w:rsid w:val="00B703AB"/>
    <w:rsid w:val="00B7048E"/>
    <w:rsid w:val="00B7084B"/>
    <w:rsid w:val="00B70882"/>
    <w:rsid w:val="00B70AB1"/>
    <w:rsid w:val="00B712DC"/>
    <w:rsid w:val="00B71555"/>
    <w:rsid w:val="00B71BBF"/>
    <w:rsid w:val="00B727CE"/>
    <w:rsid w:val="00B72CEC"/>
    <w:rsid w:val="00B72F1E"/>
    <w:rsid w:val="00B72FA6"/>
    <w:rsid w:val="00B73156"/>
    <w:rsid w:val="00B73BE3"/>
    <w:rsid w:val="00B74929"/>
    <w:rsid w:val="00B7516D"/>
    <w:rsid w:val="00B751C6"/>
    <w:rsid w:val="00B75268"/>
    <w:rsid w:val="00B76052"/>
    <w:rsid w:val="00B764FA"/>
    <w:rsid w:val="00B76A84"/>
    <w:rsid w:val="00B7716B"/>
    <w:rsid w:val="00B777DA"/>
    <w:rsid w:val="00B777E6"/>
    <w:rsid w:val="00B77E22"/>
    <w:rsid w:val="00B77E92"/>
    <w:rsid w:val="00B80116"/>
    <w:rsid w:val="00B80134"/>
    <w:rsid w:val="00B804EB"/>
    <w:rsid w:val="00B80707"/>
    <w:rsid w:val="00B80761"/>
    <w:rsid w:val="00B813AF"/>
    <w:rsid w:val="00B8291E"/>
    <w:rsid w:val="00B82F21"/>
    <w:rsid w:val="00B8318D"/>
    <w:rsid w:val="00B83A94"/>
    <w:rsid w:val="00B83A95"/>
    <w:rsid w:val="00B84515"/>
    <w:rsid w:val="00B84F03"/>
    <w:rsid w:val="00B85019"/>
    <w:rsid w:val="00B8569B"/>
    <w:rsid w:val="00B858E8"/>
    <w:rsid w:val="00B85B51"/>
    <w:rsid w:val="00B861D4"/>
    <w:rsid w:val="00B862A6"/>
    <w:rsid w:val="00B866BB"/>
    <w:rsid w:val="00B86766"/>
    <w:rsid w:val="00B8689D"/>
    <w:rsid w:val="00B86B54"/>
    <w:rsid w:val="00B86B84"/>
    <w:rsid w:val="00B86D6E"/>
    <w:rsid w:val="00B86F60"/>
    <w:rsid w:val="00B8737A"/>
    <w:rsid w:val="00B87675"/>
    <w:rsid w:val="00B87CB2"/>
    <w:rsid w:val="00B90308"/>
    <w:rsid w:val="00B903B7"/>
    <w:rsid w:val="00B90458"/>
    <w:rsid w:val="00B90852"/>
    <w:rsid w:val="00B90A21"/>
    <w:rsid w:val="00B90F3D"/>
    <w:rsid w:val="00B910DF"/>
    <w:rsid w:val="00B922B9"/>
    <w:rsid w:val="00B922CB"/>
    <w:rsid w:val="00B93760"/>
    <w:rsid w:val="00B93FEE"/>
    <w:rsid w:val="00B946CF"/>
    <w:rsid w:val="00B95043"/>
    <w:rsid w:val="00B95056"/>
    <w:rsid w:val="00B954D1"/>
    <w:rsid w:val="00B9565C"/>
    <w:rsid w:val="00B95C5C"/>
    <w:rsid w:val="00B96BD2"/>
    <w:rsid w:val="00B9749F"/>
    <w:rsid w:val="00B97C0B"/>
    <w:rsid w:val="00B97EF7"/>
    <w:rsid w:val="00BA0129"/>
    <w:rsid w:val="00BA10BA"/>
    <w:rsid w:val="00BA1637"/>
    <w:rsid w:val="00BA1B09"/>
    <w:rsid w:val="00BA1B78"/>
    <w:rsid w:val="00BA2945"/>
    <w:rsid w:val="00BA2C55"/>
    <w:rsid w:val="00BA2D28"/>
    <w:rsid w:val="00BA3026"/>
    <w:rsid w:val="00BA3144"/>
    <w:rsid w:val="00BA3269"/>
    <w:rsid w:val="00BA3555"/>
    <w:rsid w:val="00BA3C1D"/>
    <w:rsid w:val="00BA3C2C"/>
    <w:rsid w:val="00BA3C4C"/>
    <w:rsid w:val="00BA3EFF"/>
    <w:rsid w:val="00BA4130"/>
    <w:rsid w:val="00BA44A3"/>
    <w:rsid w:val="00BA4812"/>
    <w:rsid w:val="00BA4972"/>
    <w:rsid w:val="00BA49C2"/>
    <w:rsid w:val="00BA573A"/>
    <w:rsid w:val="00BA5FE7"/>
    <w:rsid w:val="00BA6648"/>
    <w:rsid w:val="00BA6679"/>
    <w:rsid w:val="00BA6FDD"/>
    <w:rsid w:val="00BA7F86"/>
    <w:rsid w:val="00BB02C0"/>
    <w:rsid w:val="00BB0986"/>
    <w:rsid w:val="00BB0D4A"/>
    <w:rsid w:val="00BB0F52"/>
    <w:rsid w:val="00BB1423"/>
    <w:rsid w:val="00BB143B"/>
    <w:rsid w:val="00BB1C24"/>
    <w:rsid w:val="00BB2580"/>
    <w:rsid w:val="00BB2678"/>
    <w:rsid w:val="00BB27EC"/>
    <w:rsid w:val="00BB29F9"/>
    <w:rsid w:val="00BB2BD5"/>
    <w:rsid w:val="00BB33D3"/>
    <w:rsid w:val="00BB36C9"/>
    <w:rsid w:val="00BB372B"/>
    <w:rsid w:val="00BB37EE"/>
    <w:rsid w:val="00BB3A3F"/>
    <w:rsid w:val="00BB3B5E"/>
    <w:rsid w:val="00BB4E5D"/>
    <w:rsid w:val="00BB530B"/>
    <w:rsid w:val="00BB57A9"/>
    <w:rsid w:val="00BB58D3"/>
    <w:rsid w:val="00BB5C5C"/>
    <w:rsid w:val="00BB5FC5"/>
    <w:rsid w:val="00BB60D6"/>
    <w:rsid w:val="00BB6810"/>
    <w:rsid w:val="00BB706C"/>
    <w:rsid w:val="00BB7D3A"/>
    <w:rsid w:val="00BC028B"/>
    <w:rsid w:val="00BC067C"/>
    <w:rsid w:val="00BC179B"/>
    <w:rsid w:val="00BC1EB6"/>
    <w:rsid w:val="00BC2193"/>
    <w:rsid w:val="00BC2217"/>
    <w:rsid w:val="00BC2B2E"/>
    <w:rsid w:val="00BC2E1B"/>
    <w:rsid w:val="00BC316F"/>
    <w:rsid w:val="00BC37FB"/>
    <w:rsid w:val="00BC3EB8"/>
    <w:rsid w:val="00BC432E"/>
    <w:rsid w:val="00BC4C37"/>
    <w:rsid w:val="00BC4DE3"/>
    <w:rsid w:val="00BC5029"/>
    <w:rsid w:val="00BC55B1"/>
    <w:rsid w:val="00BC56D2"/>
    <w:rsid w:val="00BC6774"/>
    <w:rsid w:val="00BC6977"/>
    <w:rsid w:val="00BC6B0A"/>
    <w:rsid w:val="00BC6C8B"/>
    <w:rsid w:val="00BC6EEF"/>
    <w:rsid w:val="00BC76C3"/>
    <w:rsid w:val="00BC794B"/>
    <w:rsid w:val="00BC7980"/>
    <w:rsid w:val="00BD00DB"/>
    <w:rsid w:val="00BD020B"/>
    <w:rsid w:val="00BD05A3"/>
    <w:rsid w:val="00BD094D"/>
    <w:rsid w:val="00BD0EF7"/>
    <w:rsid w:val="00BD11AE"/>
    <w:rsid w:val="00BD1DB3"/>
    <w:rsid w:val="00BD2674"/>
    <w:rsid w:val="00BD2735"/>
    <w:rsid w:val="00BD28C5"/>
    <w:rsid w:val="00BD29DC"/>
    <w:rsid w:val="00BD2FEE"/>
    <w:rsid w:val="00BD3737"/>
    <w:rsid w:val="00BD4B15"/>
    <w:rsid w:val="00BD4D43"/>
    <w:rsid w:val="00BD4F92"/>
    <w:rsid w:val="00BD4FA3"/>
    <w:rsid w:val="00BD61CA"/>
    <w:rsid w:val="00BD63B8"/>
    <w:rsid w:val="00BD68E9"/>
    <w:rsid w:val="00BD6A1C"/>
    <w:rsid w:val="00BD6ACD"/>
    <w:rsid w:val="00BD6FAA"/>
    <w:rsid w:val="00BD7695"/>
    <w:rsid w:val="00BE02FC"/>
    <w:rsid w:val="00BE0D35"/>
    <w:rsid w:val="00BE0D5C"/>
    <w:rsid w:val="00BE0D87"/>
    <w:rsid w:val="00BE0E63"/>
    <w:rsid w:val="00BE0ECB"/>
    <w:rsid w:val="00BE0EE1"/>
    <w:rsid w:val="00BE10EF"/>
    <w:rsid w:val="00BE1199"/>
    <w:rsid w:val="00BE1B08"/>
    <w:rsid w:val="00BE2AED"/>
    <w:rsid w:val="00BE2BC9"/>
    <w:rsid w:val="00BE3725"/>
    <w:rsid w:val="00BE4138"/>
    <w:rsid w:val="00BE44F9"/>
    <w:rsid w:val="00BE4BDF"/>
    <w:rsid w:val="00BE5568"/>
    <w:rsid w:val="00BE5B73"/>
    <w:rsid w:val="00BE5FED"/>
    <w:rsid w:val="00BE62C7"/>
    <w:rsid w:val="00BE65E4"/>
    <w:rsid w:val="00BE7D10"/>
    <w:rsid w:val="00BE7D81"/>
    <w:rsid w:val="00BE7DDE"/>
    <w:rsid w:val="00BF00DD"/>
    <w:rsid w:val="00BF07AE"/>
    <w:rsid w:val="00BF0AA7"/>
    <w:rsid w:val="00BF0C6A"/>
    <w:rsid w:val="00BF1944"/>
    <w:rsid w:val="00BF1DC1"/>
    <w:rsid w:val="00BF1EA5"/>
    <w:rsid w:val="00BF20F6"/>
    <w:rsid w:val="00BF28D4"/>
    <w:rsid w:val="00BF2ABE"/>
    <w:rsid w:val="00BF2F97"/>
    <w:rsid w:val="00BF33C2"/>
    <w:rsid w:val="00BF342A"/>
    <w:rsid w:val="00BF342C"/>
    <w:rsid w:val="00BF34FC"/>
    <w:rsid w:val="00BF3618"/>
    <w:rsid w:val="00BF38E3"/>
    <w:rsid w:val="00BF3BF0"/>
    <w:rsid w:val="00BF46B7"/>
    <w:rsid w:val="00BF4736"/>
    <w:rsid w:val="00BF4A3B"/>
    <w:rsid w:val="00BF5D9F"/>
    <w:rsid w:val="00BF6691"/>
    <w:rsid w:val="00BF704C"/>
    <w:rsid w:val="00C00765"/>
    <w:rsid w:val="00C008CB"/>
    <w:rsid w:val="00C00E26"/>
    <w:rsid w:val="00C0118A"/>
    <w:rsid w:val="00C013B0"/>
    <w:rsid w:val="00C01403"/>
    <w:rsid w:val="00C01576"/>
    <w:rsid w:val="00C01C16"/>
    <w:rsid w:val="00C01CDD"/>
    <w:rsid w:val="00C01ECE"/>
    <w:rsid w:val="00C0207F"/>
    <w:rsid w:val="00C02588"/>
    <w:rsid w:val="00C029CF"/>
    <w:rsid w:val="00C02B08"/>
    <w:rsid w:val="00C0309D"/>
    <w:rsid w:val="00C034F2"/>
    <w:rsid w:val="00C03A2E"/>
    <w:rsid w:val="00C0517D"/>
    <w:rsid w:val="00C05799"/>
    <w:rsid w:val="00C057A1"/>
    <w:rsid w:val="00C05F05"/>
    <w:rsid w:val="00C06287"/>
    <w:rsid w:val="00C06512"/>
    <w:rsid w:val="00C07029"/>
    <w:rsid w:val="00C07374"/>
    <w:rsid w:val="00C079C7"/>
    <w:rsid w:val="00C07F7A"/>
    <w:rsid w:val="00C1096C"/>
    <w:rsid w:val="00C10B6F"/>
    <w:rsid w:val="00C10BB4"/>
    <w:rsid w:val="00C10D4C"/>
    <w:rsid w:val="00C12309"/>
    <w:rsid w:val="00C12C7A"/>
    <w:rsid w:val="00C12D80"/>
    <w:rsid w:val="00C131D8"/>
    <w:rsid w:val="00C135CC"/>
    <w:rsid w:val="00C149DC"/>
    <w:rsid w:val="00C14D84"/>
    <w:rsid w:val="00C14E9C"/>
    <w:rsid w:val="00C152B2"/>
    <w:rsid w:val="00C163D7"/>
    <w:rsid w:val="00C1707F"/>
    <w:rsid w:val="00C17173"/>
    <w:rsid w:val="00C17BF1"/>
    <w:rsid w:val="00C17DD8"/>
    <w:rsid w:val="00C20AD4"/>
    <w:rsid w:val="00C20CAD"/>
    <w:rsid w:val="00C20D5E"/>
    <w:rsid w:val="00C21334"/>
    <w:rsid w:val="00C21471"/>
    <w:rsid w:val="00C21A82"/>
    <w:rsid w:val="00C22524"/>
    <w:rsid w:val="00C22701"/>
    <w:rsid w:val="00C2292E"/>
    <w:rsid w:val="00C22C22"/>
    <w:rsid w:val="00C23402"/>
    <w:rsid w:val="00C23583"/>
    <w:rsid w:val="00C2399D"/>
    <w:rsid w:val="00C23FEB"/>
    <w:rsid w:val="00C2421E"/>
    <w:rsid w:val="00C24B40"/>
    <w:rsid w:val="00C24D36"/>
    <w:rsid w:val="00C24E14"/>
    <w:rsid w:val="00C24F21"/>
    <w:rsid w:val="00C25B51"/>
    <w:rsid w:val="00C25CBB"/>
    <w:rsid w:val="00C26A6C"/>
    <w:rsid w:val="00C3026B"/>
    <w:rsid w:val="00C30382"/>
    <w:rsid w:val="00C306FE"/>
    <w:rsid w:val="00C30FDE"/>
    <w:rsid w:val="00C312CC"/>
    <w:rsid w:val="00C31807"/>
    <w:rsid w:val="00C32424"/>
    <w:rsid w:val="00C33B90"/>
    <w:rsid w:val="00C33DA5"/>
    <w:rsid w:val="00C341E3"/>
    <w:rsid w:val="00C34533"/>
    <w:rsid w:val="00C34C11"/>
    <w:rsid w:val="00C34D66"/>
    <w:rsid w:val="00C358E3"/>
    <w:rsid w:val="00C36C67"/>
    <w:rsid w:val="00C36C6B"/>
    <w:rsid w:val="00C36E17"/>
    <w:rsid w:val="00C37256"/>
    <w:rsid w:val="00C376BB"/>
    <w:rsid w:val="00C37C05"/>
    <w:rsid w:val="00C4066A"/>
    <w:rsid w:val="00C40D0E"/>
    <w:rsid w:val="00C40E69"/>
    <w:rsid w:val="00C415EE"/>
    <w:rsid w:val="00C416A3"/>
    <w:rsid w:val="00C41FDC"/>
    <w:rsid w:val="00C4219E"/>
    <w:rsid w:val="00C44285"/>
    <w:rsid w:val="00C444BC"/>
    <w:rsid w:val="00C44739"/>
    <w:rsid w:val="00C44953"/>
    <w:rsid w:val="00C44B3E"/>
    <w:rsid w:val="00C44FE4"/>
    <w:rsid w:val="00C454C6"/>
    <w:rsid w:val="00C45B6A"/>
    <w:rsid w:val="00C45FD8"/>
    <w:rsid w:val="00C4642A"/>
    <w:rsid w:val="00C4699F"/>
    <w:rsid w:val="00C469FC"/>
    <w:rsid w:val="00C47074"/>
    <w:rsid w:val="00C47496"/>
    <w:rsid w:val="00C503EF"/>
    <w:rsid w:val="00C504E9"/>
    <w:rsid w:val="00C5089C"/>
    <w:rsid w:val="00C515F3"/>
    <w:rsid w:val="00C51C6E"/>
    <w:rsid w:val="00C51DF7"/>
    <w:rsid w:val="00C52052"/>
    <w:rsid w:val="00C5255D"/>
    <w:rsid w:val="00C52F49"/>
    <w:rsid w:val="00C53725"/>
    <w:rsid w:val="00C53C91"/>
    <w:rsid w:val="00C54318"/>
    <w:rsid w:val="00C55612"/>
    <w:rsid w:val="00C55A2C"/>
    <w:rsid w:val="00C55BE3"/>
    <w:rsid w:val="00C55EA8"/>
    <w:rsid w:val="00C56766"/>
    <w:rsid w:val="00C56936"/>
    <w:rsid w:val="00C56BAB"/>
    <w:rsid w:val="00C5703B"/>
    <w:rsid w:val="00C5736D"/>
    <w:rsid w:val="00C574DE"/>
    <w:rsid w:val="00C578AB"/>
    <w:rsid w:val="00C57923"/>
    <w:rsid w:val="00C57A64"/>
    <w:rsid w:val="00C57C09"/>
    <w:rsid w:val="00C57E14"/>
    <w:rsid w:val="00C57F35"/>
    <w:rsid w:val="00C602B7"/>
    <w:rsid w:val="00C6036B"/>
    <w:rsid w:val="00C60BB5"/>
    <w:rsid w:val="00C60D92"/>
    <w:rsid w:val="00C6218A"/>
    <w:rsid w:val="00C623E9"/>
    <w:rsid w:val="00C6384B"/>
    <w:rsid w:val="00C63E56"/>
    <w:rsid w:val="00C644F3"/>
    <w:rsid w:val="00C654E9"/>
    <w:rsid w:val="00C65878"/>
    <w:rsid w:val="00C65930"/>
    <w:rsid w:val="00C65B91"/>
    <w:rsid w:val="00C66243"/>
    <w:rsid w:val="00C66959"/>
    <w:rsid w:val="00C6695D"/>
    <w:rsid w:val="00C66C52"/>
    <w:rsid w:val="00C66F7B"/>
    <w:rsid w:val="00C6720B"/>
    <w:rsid w:val="00C674A4"/>
    <w:rsid w:val="00C70E25"/>
    <w:rsid w:val="00C717F7"/>
    <w:rsid w:val="00C71E7A"/>
    <w:rsid w:val="00C7204A"/>
    <w:rsid w:val="00C7209A"/>
    <w:rsid w:val="00C72959"/>
    <w:rsid w:val="00C7299B"/>
    <w:rsid w:val="00C72D97"/>
    <w:rsid w:val="00C73565"/>
    <w:rsid w:val="00C736D5"/>
    <w:rsid w:val="00C74049"/>
    <w:rsid w:val="00C74453"/>
    <w:rsid w:val="00C744C4"/>
    <w:rsid w:val="00C74962"/>
    <w:rsid w:val="00C751C2"/>
    <w:rsid w:val="00C75AB0"/>
    <w:rsid w:val="00C75AFF"/>
    <w:rsid w:val="00C75DF7"/>
    <w:rsid w:val="00C75F7B"/>
    <w:rsid w:val="00C76848"/>
    <w:rsid w:val="00C773FD"/>
    <w:rsid w:val="00C779FA"/>
    <w:rsid w:val="00C779FC"/>
    <w:rsid w:val="00C807DA"/>
    <w:rsid w:val="00C809A2"/>
    <w:rsid w:val="00C80E27"/>
    <w:rsid w:val="00C81938"/>
    <w:rsid w:val="00C822DD"/>
    <w:rsid w:val="00C828FE"/>
    <w:rsid w:val="00C82928"/>
    <w:rsid w:val="00C82AA4"/>
    <w:rsid w:val="00C8305C"/>
    <w:rsid w:val="00C844D6"/>
    <w:rsid w:val="00C8481D"/>
    <w:rsid w:val="00C84B17"/>
    <w:rsid w:val="00C85196"/>
    <w:rsid w:val="00C8524A"/>
    <w:rsid w:val="00C85A9D"/>
    <w:rsid w:val="00C85E73"/>
    <w:rsid w:val="00C85FF6"/>
    <w:rsid w:val="00C87483"/>
    <w:rsid w:val="00C875C0"/>
    <w:rsid w:val="00C878D6"/>
    <w:rsid w:val="00C87C48"/>
    <w:rsid w:val="00C87F74"/>
    <w:rsid w:val="00C90B50"/>
    <w:rsid w:val="00C9106B"/>
    <w:rsid w:val="00C9127D"/>
    <w:rsid w:val="00C91427"/>
    <w:rsid w:val="00C9195B"/>
    <w:rsid w:val="00C925DE"/>
    <w:rsid w:val="00C92858"/>
    <w:rsid w:val="00C92DBC"/>
    <w:rsid w:val="00C9326B"/>
    <w:rsid w:val="00C93628"/>
    <w:rsid w:val="00C94068"/>
    <w:rsid w:val="00C9423B"/>
    <w:rsid w:val="00C94544"/>
    <w:rsid w:val="00C94BFC"/>
    <w:rsid w:val="00C95167"/>
    <w:rsid w:val="00C9551E"/>
    <w:rsid w:val="00C95691"/>
    <w:rsid w:val="00C95A29"/>
    <w:rsid w:val="00C95CAC"/>
    <w:rsid w:val="00C95D83"/>
    <w:rsid w:val="00C960FA"/>
    <w:rsid w:val="00C961A7"/>
    <w:rsid w:val="00C9650C"/>
    <w:rsid w:val="00C96A0D"/>
    <w:rsid w:val="00C96A47"/>
    <w:rsid w:val="00C96CF8"/>
    <w:rsid w:val="00C970CE"/>
    <w:rsid w:val="00CA04E5"/>
    <w:rsid w:val="00CA06AF"/>
    <w:rsid w:val="00CA0C16"/>
    <w:rsid w:val="00CA1679"/>
    <w:rsid w:val="00CA1ECD"/>
    <w:rsid w:val="00CA25C8"/>
    <w:rsid w:val="00CA27C1"/>
    <w:rsid w:val="00CA33AC"/>
    <w:rsid w:val="00CA34BC"/>
    <w:rsid w:val="00CA460B"/>
    <w:rsid w:val="00CA4C7F"/>
    <w:rsid w:val="00CA5491"/>
    <w:rsid w:val="00CA5AE9"/>
    <w:rsid w:val="00CA6C7E"/>
    <w:rsid w:val="00CA7370"/>
    <w:rsid w:val="00CB01F2"/>
    <w:rsid w:val="00CB02BE"/>
    <w:rsid w:val="00CB03B0"/>
    <w:rsid w:val="00CB0695"/>
    <w:rsid w:val="00CB0E1E"/>
    <w:rsid w:val="00CB1006"/>
    <w:rsid w:val="00CB13B7"/>
    <w:rsid w:val="00CB15A0"/>
    <w:rsid w:val="00CB1660"/>
    <w:rsid w:val="00CB196D"/>
    <w:rsid w:val="00CB25AA"/>
    <w:rsid w:val="00CB272D"/>
    <w:rsid w:val="00CB28EF"/>
    <w:rsid w:val="00CB299E"/>
    <w:rsid w:val="00CB2AE5"/>
    <w:rsid w:val="00CB2BD8"/>
    <w:rsid w:val="00CB2FCC"/>
    <w:rsid w:val="00CB4517"/>
    <w:rsid w:val="00CB4E97"/>
    <w:rsid w:val="00CB6C10"/>
    <w:rsid w:val="00CB6FDC"/>
    <w:rsid w:val="00CB7087"/>
    <w:rsid w:val="00CB723D"/>
    <w:rsid w:val="00CC0189"/>
    <w:rsid w:val="00CC21DF"/>
    <w:rsid w:val="00CC2FEF"/>
    <w:rsid w:val="00CC3255"/>
    <w:rsid w:val="00CC33E9"/>
    <w:rsid w:val="00CC41EE"/>
    <w:rsid w:val="00CC4301"/>
    <w:rsid w:val="00CC4445"/>
    <w:rsid w:val="00CC5A9F"/>
    <w:rsid w:val="00CC7110"/>
    <w:rsid w:val="00CC72A2"/>
    <w:rsid w:val="00CC72FD"/>
    <w:rsid w:val="00CC7539"/>
    <w:rsid w:val="00CC761E"/>
    <w:rsid w:val="00CC76EF"/>
    <w:rsid w:val="00CD061B"/>
    <w:rsid w:val="00CD0BF5"/>
    <w:rsid w:val="00CD0D05"/>
    <w:rsid w:val="00CD0FA4"/>
    <w:rsid w:val="00CD105C"/>
    <w:rsid w:val="00CD1089"/>
    <w:rsid w:val="00CD1BCD"/>
    <w:rsid w:val="00CD1F0C"/>
    <w:rsid w:val="00CD2354"/>
    <w:rsid w:val="00CD2907"/>
    <w:rsid w:val="00CD299B"/>
    <w:rsid w:val="00CD2DC0"/>
    <w:rsid w:val="00CD3489"/>
    <w:rsid w:val="00CD358F"/>
    <w:rsid w:val="00CD41F8"/>
    <w:rsid w:val="00CD4746"/>
    <w:rsid w:val="00CD4841"/>
    <w:rsid w:val="00CD4888"/>
    <w:rsid w:val="00CD5407"/>
    <w:rsid w:val="00CD5B53"/>
    <w:rsid w:val="00CD6105"/>
    <w:rsid w:val="00CD6D61"/>
    <w:rsid w:val="00CD73E6"/>
    <w:rsid w:val="00CD765C"/>
    <w:rsid w:val="00CD78BB"/>
    <w:rsid w:val="00CD7D66"/>
    <w:rsid w:val="00CD7E11"/>
    <w:rsid w:val="00CD7FFC"/>
    <w:rsid w:val="00CE059F"/>
    <w:rsid w:val="00CE0AA2"/>
    <w:rsid w:val="00CE1C6C"/>
    <w:rsid w:val="00CE1CFC"/>
    <w:rsid w:val="00CE251C"/>
    <w:rsid w:val="00CE2968"/>
    <w:rsid w:val="00CE29AB"/>
    <w:rsid w:val="00CE29DE"/>
    <w:rsid w:val="00CE2C6E"/>
    <w:rsid w:val="00CE2D75"/>
    <w:rsid w:val="00CE3A71"/>
    <w:rsid w:val="00CE3B3B"/>
    <w:rsid w:val="00CE4461"/>
    <w:rsid w:val="00CE45F5"/>
    <w:rsid w:val="00CE4916"/>
    <w:rsid w:val="00CE4B53"/>
    <w:rsid w:val="00CE4E66"/>
    <w:rsid w:val="00CE5551"/>
    <w:rsid w:val="00CE557C"/>
    <w:rsid w:val="00CE5996"/>
    <w:rsid w:val="00CE5B9B"/>
    <w:rsid w:val="00CE6A60"/>
    <w:rsid w:val="00CE6C61"/>
    <w:rsid w:val="00CE6C66"/>
    <w:rsid w:val="00CE6F01"/>
    <w:rsid w:val="00CE7070"/>
    <w:rsid w:val="00CE799B"/>
    <w:rsid w:val="00CE7B12"/>
    <w:rsid w:val="00CE7B28"/>
    <w:rsid w:val="00CF08C2"/>
    <w:rsid w:val="00CF0948"/>
    <w:rsid w:val="00CF0B9A"/>
    <w:rsid w:val="00CF0F37"/>
    <w:rsid w:val="00CF1C1E"/>
    <w:rsid w:val="00CF1F05"/>
    <w:rsid w:val="00CF2287"/>
    <w:rsid w:val="00CF247F"/>
    <w:rsid w:val="00CF26A4"/>
    <w:rsid w:val="00CF27BB"/>
    <w:rsid w:val="00CF2AF1"/>
    <w:rsid w:val="00CF321C"/>
    <w:rsid w:val="00CF3754"/>
    <w:rsid w:val="00CF3F25"/>
    <w:rsid w:val="00CF4751"/>
    <w:rsid w:val="00CF47BC"/>
    <w:rsid w:val="00CF4823"/>
    <w:rsid w:val="00CF4E97"/>
    <w:rsid w:val="00CF4FE6"/>
    <w:rsid w:val="00CF539E"/>
    <w:rsid w:val="00CF54D3"/>
    <w:rsid w:val="00CF556F"/>
    <w:rsid w:val="00CF5974"/>
    <w:rsid w:val="00CF5AE8"/>
    <w:rsid w:val="00CF61C5"/>
    <w:rsid w:val="00CF648A"/>
    <w:rsid w:val="00CF6708"/>
    <w:rsid w:val="00CF67FB"/>
    <w:rsid w:val="00CF6BB5"/>
    <w:rsid w:val="00CF71BA"/>
    <w:rsid w:val="00CF7416"/>
    <w:rsid w:val="00CF75AD"/>
    <w:rsid w:val="00CF78B8"/>
    <w:rsid w:val="00D00082"/>
    <w:rsid w:val="00D0030F"/>
    <w:rsid w:val="00D003F0"/>
    <w:rsid w:val="00D004A7"/>
    <w:rsid w:val="00D00B25"/>
    <w:rsid w:val="00D00B4F"/>
    <w:rsid w:val="00D00CA3"/>
    <w:rsid w:val="00D01356"/>
    <w:rsid w:val="00D01428"/>
    <w:rsid w:val="00D014F8"/>
    <w:rsid w:val="00D015D7"/>
    <w:rsid w:val="00D0386B"/>
    <w:rsid w:val="00D04070"/>
    <w:rsid w:val="00D0445F"/>
    <w:rsid w:val="00D05C1A"/>
    <w:rsid w:val="00D0608D"/>
    <w:rsid w:val="00D061D5"/>
    <w:rsid w:val="00D063CB"/>
    <w:rsid w:val="00D067F4"/>
    <w:rsid w:val="00D06E87"/>
    <w:rsid w:val="00D06EFC"/>
    <w:rsid w:val="00D07234"/>
    <w:rsid w:val="00D07311"/>
    <w:rsid w:val="00D074BF"/>
    <w:rsid w:val="00D07892"/>
    <w:rsid w:val="00D07FA0"/>
    <w:rsid w:val="00D1010F"/>
    <w:rsid w:val="00D108FB"/>
    <w:rsid w:val="00D1197E"/>
    <w:rsid w:val="00D122E5"/>
    <w:rsid w:val="00D1298E"/>
    <w:rsid w:val="00D12C3C"/>
    <w:rsid w:val="00D1371A"/>
    <w:rsid w:val="00D14180"/>
    <w:rsid w:val="00D143C8"/>
    <w:rsid w:val="00D14C83"/>
    <w:rsid w:val="00D15DBB"/>
    <w:rsid w:val="00D1619E"/>
    <w:rsid w:val="00D163F3"/>
    <w:rsid w:val="00D1654F"/>
    <w:rsid w:val="00D179A2"/>
    <w:rsid w:val="00D17E98"/>
    <w:rsid w:val="00D20890"/>
    <w:rsid w:val="00D20915"/>
    <w:rsid w:val="00D20986"/>
    <w:rsid w:val="00D20B49"/>
    <w:rsid w:val="00D20C1E"/>
    <w:rsid w:val="00D217D5"/>
    <w:rsid w:val="00D219C1"/>
    <w:rsid w:val="00D2213C"/>
    <w:rsid w:val="00D221E9"/>
    <w:rsid w:val="00D2224D"/>
    <w:rsid w:val="00D222F9"/>
    <w:rsid w:val="00D2281C"/>
    <w:rsid w:val="00D22C33"/>
    <w:rsid w:val="00D231E6"/>
    <w:rsid w:val="00D2340A"/>
    <w:rsid w:val="00D241F0"/>
    <w:rsid w:val="00D244E5"/>
    <w:rsid w:val="00D24545"/>
    <w:rsid w:val="00D24637"/>
    <w:rsid w:val="00D247AC"/>
    <w:rsid w:val="00D24AC0"/>
    <w:rsid w:val="00D25A01"/>
    <w:rsid w:val="00D2608F"/>
    <w:rsid w:val="00D2673D"/>
    <w:rsid w:val="00D268E7"/>
    <w:rsid w:val="00D27367"/>
    <w:rsid w:val="00D27373"/>
    <w:rsid w:val="00D27619"/>
    <w:rsid w:val="00D27BCC"/>
    <w:rsid w:val="00D27C0F"/>
    <w:rsid w:val="00D27CBE"/>
    <w:rsid w:val="00D30463"/>
    <w:rsid w:val="00D30494"/>
    <w:rsid w:val="00D30751"/>
    <w:rsid w:val="00D30DF9"/>
    <w:rsid w:val="00D31452"/>
    <w:rsid w:val="00D31FE0"/>
    <w:rsid w:val="00D32489"/>
    <w:rsid w:val="00D32833"/>
    <w:rsid w:val="00D330A9"/>
    <w:rsid w:val="00D33DA7"/>
    <w:rsid w:val="00D33F95"/>
    <w:rsid w:val="00D347C0"/>
    <w:rsid w:val="00D3507E"/>
    <w:rsid w:val="00D3515A"/>
    <w:rsid w:val="00D354D0"/>
    <w:rsid w:val="00D359D2"/>
    <w:rsid w:val="00D35DE8"/>
    <w:rsid w:val="00D35F60"/>
    <w:rsid w:val="00D37C26"/>
    <w:rsid w:val="00D40D04"/>
    <w:rsid w:val="00D413F0"/>
    <w:rsid w:val="00D41678"/>
    <w:rsid w:val="00D41D9A"/>
    <w:rsid w:val="00D426F9"/>
    <w:rsid w:val="00D4276B"/>
    <w:rsid w:val="00D42A64"/>
    <w:rsid w:val="00D42C11"/>
    <w:rsid w:val="00D42C7D"/>
    <w:rsid w:val="00D43238"/>
    <w:rsid w:val="00D4359C"/>
    <w:rsid w:val="00D435E6"/>
    <w:rsid w:val="00D43CC8"/>
    <w:rsid w:val="00D44BF7"/>
    <w:rsid w:val="00D45B19"/>
    <w:rsid w:val="00D47153"/>
    <w:rsid w:val="00D472D8"/>
    <w:rsid w:val="00D47ADC"/>
    <w:rsid w:val="00D47E32"/>
    <w:rsid w:val="00D50757"/>
    <w:rsid w:val="00D50C04"/>
    <w:rsid w:val="00D51373"/>
    <w:rsid w:val="00D52280"/>
    <w:rsid w:val="00D5255B"/>
    <w:rsid w:val="00D53504"/>
    <w:rsid w:val="00D538F6"/>
    <w:rsid w:val="00D53FF1"/>
    <w:rsid w:val="00D54219"/>
    <w:rsid w:val="00D5457D"/>
    <w:rsid w:val="00D54816"/>
    <w:rsid w:val="00D548BC"/>
    <w:rsid w:val="00D54AD4"/>
    <w:rsid w:val="00D54B85"/>
    <w:rsid w:val="00D54DAE"/>
    <w:rsid w:val="00D54EF5"/>
    <w:rsid w:val="00D5504D"/>
    <w:rsid w:val="00D55B20"/>
    <w:rsid w:val="00D56209"/>
    <w:rsid w:val="00D56569"/>
    <w:rsid w:val="00D56CD6"/>
    <w:rsid w:val="00D56E17"/>
    <w:rsid w:val="00D56FF4"/>
    <w:rsid w:val="00D57938"/>
    <w:rsid w:val="00D57A51"/>
    <w:rsid w:val="00D57AF5"/>
    <w:rsid w:val="00D57B18"/>
    <w:rsid w:val="00D57B2A"/>
    <w:rsid w:val="00D604F7"/>
    <w:rsid w:val="00D6094B"/>
    <w:rsid w:val="00D61228"/>
    <w:rsid w:val="00D61415"/>
    <w:rsid w:val="00D6192C"/>
    <w:rsid w:val="00D6213A"/>
    <w:rsid w:val="00D62181"/>
    <w:rsid w:val="00D621EC"/>
    <w:rsid w:val="00D6326E"/>
    <w:rsid w:val="00D632A3"/>
    <w:rsid w:val="00D634E1"/>
    <w:rsid w:val="00D63EFB"/>
    <w:rsid w:val="00D6472D"/>
    <w:rsid w:val="00D64C31"/>
    <w:rsid w:val="00D64E49"/>
    <w:rsid w:val="00D65AA5"/>
    <w:rsid w:val="00D666E0"/>
    <w:rsid w:val="00D667D5"/>
    <w:rsid w:val="00D66A4F"/>
    <w:rsid w:val="00D66DE6"/>
    <w:rsid w:val="00D67B8F"/>
    <w:rsid w:val="00D67D32"/>
    <w:rsid w:val="00D67DC6"/>
    <w:rsid w:val="00D67E70"/>
    <w:rsid w:val="00D67EDA"/>
    <w:rsid w:val="00D7018A"/>
    <w:rsid w:val="00D702DC"/>
    <w:rsid w:val="00D70CEC"/>
    <w:rsid w:val="00D70F24"/>
    <w:rsid w:val="00D71864"/>
    <w:rsid w:val="00D720D5"/>
    <w:rsid w:val="00D72740"/>
    <w:rsid w:val="00D729A1"/>
    <w:rsid w:val="00D72BEE"/>
    <w:rsid w:val="00D73760"/>
    <w:rsid w:val="00D73857"/>
    <w:rsid w:val="00D73860"/>
    <w:rsid w:val="00D73EB8"/>
    <w:rsid w:val="00D74036"/>
    <w:rsid w:val="00D7440C"/>
    <w:rsid w:val="00D74563"/>
    <w:rsid w:val="00D74A4E"/>
    <w:rsid w:val="00D74FF5"/>
    <w:rsid w:val="00D75E76"/>
    <w:rsid w:val="00D76096"/>
    <w:rsid w:val="00D761A7"/>
    <w:rsid w:val="00D766EE"/>
    <w:rsid w:val="00D76D9F"/>
    <w:rsid w:val="00D776DA"/>
    <w:rsid w:val="00D779E0"/>
    <w:rsid w:val="00D77B09"/>
    <w:rsid w:val="00D802BD"/>
    <w:rsid w:val="00D8033F"/>
    <w:rsid w:val="00D803DC"/>
    <w:rsid w:val="00D807DB"/>
    <w:rsid w:val="00D808EE"/>
    <w:rsid w:val="00D80DAE"/>
    <w:rsid w:val="00D813D8"/>
    <w:rsid w:val="00D81D72"/>
    <w:rsid w:val="00D82428"/>
    <w:rsid w:val="00D825C1"/>
    <w:rsid w:val="00D82DB8"/>
    <w:rsid w:val="00D8317B"/>
    <w:rsid w:val="00D833AA"/>
    <w:rsid w:val="00D83CB6"/>
    <w:rsid w:val="00D83F50"/>
    <w:rsid w:val="00D84943"/>
    <w:rsid w:val="00D84BB3"/>
    <w:rsid w:val="00D84E56"/>
    <w:rsid w:val="00D84EBF"/>
    <w:rsid w:val="00D8585C"/>
    <w:rsid w:val="00D863BF"/>
    <w:rsid w:val="00D864D3"/>
    <w:rsid w:val="00D866BA"/>
    <w:rsid w:val="00D869E4"/>
    <w:rsid w:val="00D86AB6"/>
    <w:rsid w:val="00D870D6"/>
    <w:rsid w:val="00D87733"/>
    <w:rsid w:val="00D87CE3"/>
    <w:rsid w:val="00D87DA5"/>
    <w:rsid w:val="00D87FE7"/>
    <w:rsid w:val="00D901DF"/>
    <w:rsid w:val="00D90737"/>
    <w:rsid w:val="00D91257"/>
    <w:rsid w:val="00D917C0"/>
    <w:rsid w:val="00D91885"/>
    <w:rsid w:val="00D91B4A"/>
    <w:rsid w:val="00D92295"/>
    <w:rsid w:val="00D923EB"/>
    <w:rsid w:val="00D924A2"/>
    <w:rsid w:val="00D92908"/>
    <w:rsid w:val="00D92CD0"/>
    <w:rsid w:val="00D93262"/>
    <w:rsid w:val="00D93663"/>
    <w:rsid w:val="00D93E54"/>
    <w:rsid w:val="00D94097"/>
    <w:rsid w:val="00D9586F"/>
    <w:rsid w:val="00D95AEE"/>
    <w:rsid w:val="00D95B70"/>
    <w:rsid w:val="00D95DDC"/>
    <w:rsid w:val="00D95F27"/>
    <w:rsid w:val="00D96431"/>
    <w:rsid w:val="00D964FF"/>
    <w:rsid w:val="00D9683D"/>
    <w:rsid w:val="00D969EE"/>
    <w:rsid w:val="00D96B60"/>
    <w:rsid w:val="00D96EBE"/>
    <w:rsid w:val="00D979A7"/>
    <w:rsid w:val="00D97E84"/>
    <w:rsid w:val="00DA03A2"/>
    <w:rsid w:val="00DA0633"/>
    <w:rsid w:val="00DA0634"/>
    <w:rsid w:val="00DA06E7"/>
    <w:rsid w:val="00DA07A4"/>
    <w:rsid w:val="00DA11AB"/>
    <w:rsid w:val="00DA162C"/>
    <w:rsid w:val="00DA249E"/>
    <w:rsid w:val="00DA28AF"/>
    <w:rsid w:val="00DA2B4F"/>
    <w:rsid w:val="00DA3133"/>
    <w:rsid w:val="00DA34F8"/>
    <w:rsid w:val="00DA3AAE"/>
    <w:rsid w:val="00DA3E6F"/>
    <w:rsid w:val="00DA44EB"/>
    <w:rsid w:val="00DA4836"/>
    <w:rsid w:val="00DA4F94"/>
    <w:rsid w:val="00DA5189"/>
    <w:rsid w:val="00DA5432"/>
    <w:rsid w:val="00DA626B"/>
    <w:rsid w:val="00DA62C5"/>
    <w:rsid w:val="00DA6897"/>
    <w:rsid w:val="00DA700A"/>
    <w:rsid w:val="00DA7A90"/>
    <w:rsid w:val="00DA7CB8"/>
    <w:rsid w:val="00DA7DA7"/>
    <w:rsid w:val="00DB04FA"/>
    <w:rsid w:val="00DB09BA"/>
    <w:rsid w:val="00DB0CB2"/>
    <w:rsid w:val="00DB23D3"/>
    <w:rsid w:val="00DB2948"/>
    <w:rsid w:val="00DB3657"/>
    <w:rsid w:val="00DB49D8"/>
    <w:rsid w:val="00DB4DFA"/>
    <w:rsid w:val="00DB53F1"/>
    <w:rsid w:val="00DB5E0C"/>
    <w:rsid w:val="00DB5EDB"/>
    <w:rsid w:val="00DB676E"/>
    <w:rsid w:val="00DB6B36"/>
    <w:rsid w:val="00DB6D3A"/>
    <w:rsid w:val="00DB70A5"/>
    <w:rsid w:val="00DB72C6"/>
    <w:rsid w:val="00DB78F3"/>
    <w:rsid w:val="00DC08BC"/>
    <w:rsid w:val="00DC0B50"/>
    <w:rsid w:val="00DC0BED"/>
    <w:rsid w:val="00DC0D92"/>
    <w:rsid w:val="00DC0DB9"/>
    <w:rsid w:val="00DC0DC1"/>
    <w:rsid w:val="00DC0DEB"/>
    <w:rsid w:val="00DC167A"/>
    <w:rsid w:val="00DC183B"/>
    <w:rsid w:val="00DC1F63"/>
    <w:rsid w:val="00DC2061"/>
    <w:rsid w:val="00DC246F"/>
    <w:rsid w:val="00DC24C4"/>
    <w:rsid w:val="00DC27D5"/>
    <w:rsid w:val="00DC33FA"/>
    <w:rsid w:val="00DC373D"/>
    <w:rsid w:val="00DC37DA"/>
    <w:rsid w:val="00DC3D57"/>
    <w:rsid w:val="00DC3DA3"/>
    <w:rsid w:val="00DC40BD"/>
    <w:rsid w:val="00DC4115"/>
    <w:rsid w:val="00DC4AE2"/>
    <w:rsid w:val="00DC502C"/>
    <w:rsid w:val="00DC5FDC"/>
    <w:rsid w:val="00DC61B6"/>
    <w:rsid w:val="00DC66D2"/>
    <w:rsid w:val="00DC6947"/>
    <w:rsid w:val="00DC6D01"/>
    <w:rsid w:val="00DC7FB6"/>
    <w:rsid w:val="00DD01EE"/>
    <w:rsid w:val="00DD0513"/>
    <w:rsid w:val="00DD0A58"/>
    <w:rsid w:val="00DD0C05"/>
    <w:rsid w:val="00DD1011"/>
    <w:rsid w:val="00DD10BC"/>
    <w:rsid w:val="00DD1728"/>
    <w:rsid w:val="00DD17B8"/>
    <w:rsid w:val="00DD1888"/>
    <w:rsid w:val="00DD1B52"/>
    <w:rsid w:val="00DD1C11"/>
    <w:rsid w:val="00DD1D4C"/>
    <w:rsid w:val="00DD238A"/>
    <w:rsid w:val="00DD244B"/>
    <w:rsid w:val="00DD2733"/>
    <w:rsid w:val="00DD2BA9"/>
    <w:rsid w:val="00DD36B0"/>
    <w:rsid w:val="00DD3C28"/>
    <w:rsid w:val="00DD3F53"/>
    <w:rsid w:val="00DD40FB"/>
    <w:rsid w:val="00DD4576"/>
    <w:rsid w:val="00DD46E9"/>
    <w:rsid w:val="00DD4748"/>
    <w:rsid w:val="00DD4844"/>
    <w:rsid w:val="00DD48EE"/>
    <w:rsid w:val="00DD4983"/>
    <w:rsid w:val="00DD6019"/>
    <w:rsid w:val="00DD6519"/>
    <w:rsid w:val="00DD6522"/>
    <w:rsid w:val="00DD6653"/>
    <w:rsid w:val="00DD7735"/>
    <w:rsid w:val="00DD7736"/>
    <w:rsid w:val="00DD78AB"/>
    <w:rsid w:val="00DD7937"/>
    <w:rsid w:val="00DD7954"/>
    <w:rsid w:val="00DE047B"/>
    <w:rsid w:val="00DE0B78"/>
    <w:rsid w:val="00DE1AB3"/>
    <w:rsid w:val="00DE221F"/>
    <w:rsid w:val="00DE2395"/>
    <w:rsid w:val="00DE2D1E"/>
    <w:rsid w:val="00DE3015"/>
    <w:rsid w:val="00DE3434"/>
    <w:rsid w:val="00DE34EE"/>
    <w:rsid w:val="00DE35BD"/>
    <w:rsid w:val="00DE3A2A"/>
    <w:rsid w:val="00DE3A35"/>
    <w:rsid w:val="00DE472A"/>
    <w:rsid w:val="00DE4F93"/>
    <w:rsid w:val="00DE55E6"/>
    <w:rsid w:val="00DE5657"/>
    <w:rsid w:val="00DE57E5"/>
    <w:rsid w:val="00DE5B60"/>
    <w:rsid w:val="00DE5DBB"/>
    <w:rsid w:val="00DE622E"/>
    <w:rsid w:val="00DE66B8"/>
    <w:rsid w:val="00DE6F46"/>
    <w:rsid w:val="00DE70BD"/>
    <w:rsid w:val="00DE7176"/>
    <w:rsid w:val="00DE7364"/>
    <w:rsid w:val="00DE7648"/>
    <w:rsid w:val="00DE7F30"/>
    <w:rsid w:val="00DF00FE"/>
    <w:rsid w:val="00DF0E28"/>
    <w:rsid w:val="00DF169D"/>
    <w:rsid w:val="00DF230F"/>
    <w:rsid w:val="00DF23BA"/>
    <w:rsid w:val="00DF27F8"/>
    <w:rsid w:val="00DF2BE3"/>
    <w:rsid w:val="00DF2DB0"/>
    <w:rsid w:val="00DF30F5"/>
    <w:rsid w:val="00DF323D"/>
    <w:rsid w:val="00DF336A"/>
    <w:rsid w:val="00DF33A1"/>
    <w:rsid w:val="00DF356A"/>
    <w:rsid w:val="00DF3AB2"/>
    <w:rsid w:val="00DF3B9C"/>
    <w:rsid w:val="00DF4CD5"/>
    <w:rsid w:val="00DF4FB8"/>
    <w:rsid w:val="00DF5E03"/>
    <w:rsid w:val="00DF6A7D"/>
    <w:rsid w:val="00DF70FD"/>
    <w:rsid w:val="00DF711C"/>
    <w:rsid w:val="00DF75EF"/>
    <w:rsid w:val="00DF78B6"/>
    <w:rsid w:val="00DF7AE1"/>
    <w:rsid w:val="00E00674"/>
    <w:rsid w:val="00E0069C"/>
    <w:rsid w:val="00E00D44"/>
    <w:rsid w:val="00E01F48"/>
    <w:rsid w:val="00E02029"/>
    <w:rsid w:val="00E0241F"/>
    <w:rsid w:val="00E02C90"/>
    <w:rsid w:val="00E02D15"/>
    <w:rsid w:val="00E02F1F"/>
    <w:rsid w:val="00E02F67"/>
    <w:rsid w:val="00E03591"/>
    <w:rsid w:val="00E04432"/>
    <w:rsid w:val="00E04482"/>
    <w:rsid w:val="00E045FB"/>
    <w:rsid w:val="00E04D37"/>
    <w:rsid w:val="00E0508E"/>
    <w:rsid w:val="00E0514B"/>
    <w:rsid w:val="00E0581C"/>
    <w:rsid w:val="00E05823"/>
    <w:rsid w:val="00E05840"/>
    <w:rsid w:val="00E06164"/>
    <w:rsid w:val="00E06241"/>
    <w:rsid w:val="00E0624B"/>
    <w:rsid w:val="00E06398"/>
    <w:rsid w:val="00E0671A"/>
    <w:rsid w:val="00E06ACB"/>
    <w:rsid w:val="00E0723B"/>
    <w:rsid w:val="00E074A3"/>
    <w:rsid w:val="00E0776D"/>
    <w:rsid w:val="00E07968"/>
    <w:rsid w:val="00E079EC"/>
    <w:rsid w:val="00E106A4"/>
    <w:rsid w:val="00E10BA8"/>
    <w:rsid w:val="00E10E52"/>
    <w:rsid w:val="00E11825"/>
    <w:rsid w:val="00E11954"/>
    <w:rsid w:val="00E12301"/>
    <w:rsid w:val="00E12448"/>
    <w:rsid w:val="00E12780"/>
    <w:rsid w:val="00E12A70"/>
    <w:rsid w:val="00E12F05"/>
    <w:rsid w:val="00E13074"/>
    <w:rsid w:val="00E136F9"/>
    <w:rsid w:val="00E13806"/>
    <w:rsid w:val="00E139A9"/>
    <w:rsid w:val="00E13E3D"/>
    <w:rsid w:val="00E13FE8"/>
    <w:rsid w:val="00E141EC"/>
    <w:rsid w:val="00E14447"/>
    <w:rsid w:val="00E14683"/>
    <w:rsid w:val="00E14C45"/>
    <w:rsid w:val="00E14EAE"/>
    <w:rsid w:val="00E155AE"/>
    <w:rsid w:val="00E1570A"/>
    <w:rsid w:val="00E16953"/>
    <w:rsid w:val="00E16B4E"/>
    <w:rsid w:val="00E17142"/>
    <w:rsid w:val="00E1771B"/>
    <w:rsid w:val="00E17D23"/>
    <w:rsid w:val="00E205A9"/>
    <w:rsid w:val="00E206AB"/>
    <w:rsid w:val="00E207DB"/>
    <w:rsid w:val="00E20968"/>
    <w:rsid w:val="00E20D06"/>
    <w:rsid w:val="00E214CF"/>
    <w:rsid w:val="00E217B0"/>
    <w:rsid w:val="00E21EFB"/>
    <w:rsid w:val="00E21FA5"/>
    <w:rsid w:val="00E2267F"/>
    <w:rsid w:val="00E235D4"/>
    <w:rsid w:val="00E23D4C"/>
    <w:rsid w:val="00E24286"/>
    <w:rsid w:val="00E24BEF"/>
    <w:rsid w:val="00E25CB5"/>
    <w:rsid w:val="00E25FBA"/>
    <w:rsid w:val="00E26123"/>
    <w:rsid w:val="00E2679F"/>
    <w:rsid w:val="00E26BB0"/>
    <w:rsid w:val="00E2704E"/>
    <w:rsid w:val="00E270B7"/>
    <w:rsid w:val="00E27B9D"/>
    <w:rsid w:val="00E27C9F"/>
    <w:rsid w:val="00E3045E"/>
    <w:rsid w:val="00E31310"/>
    <w:rsid w:val="00E313D4"/>
    <w:rsid w:val="00E31826"/>
    <w:rsid w:val="00E31ED1"/>
    <w:rsid w:val="00E332F8"/>
    <w:rsid w:val="00E341FB"/>
    <w:rsid w:val="00E34362"/>
    <w:rsid w:val="00E34B36"/>
    <w:rsid w:val="00E34E9F"/>
    <w:rsid w:val="00E36194"/>
    <w:rsid w:val="00E3665F"/>
    <w:rsid w:val="00E3678F"/>
    <w:rsid w:val="00E36A50"/>
    <w:rsid w:val="00E374C6"/>
    <w:rsid w:val="00E377F7"/>
    <w:rsid w:val="00E37AFD"/>
    <w:rsid w:val="00E401FA"/>
    <w:rsid w:val="00E402B7"/>
    <w:rsid w:val="00E40C8C"/>
    <w:rsid w:val="00E40E42"/>
    <w:rsid w:val="00E412DE"/>
    <w:rsid w:val="00E415AD"/>
    <w:rsid w:val="00E41618"/>
    <w:rsid w:val="00E41682"/>
    <w:rsid w:val="00E41873"/>
    <w:rsid w:val="00E41B22"/>
    <w:rsid w:val="00E4236F"/>
    <w:rsid w:val="00E425A3"/>
    <w:rsid w:val="00E43C87"/>
    <w:rsid w:val="00E43E5F"/>
    <w:rsid w:val="00E44BDB"/>
    <w:rsid w:val="00E44C87"/>
    <w:rsid w:val="00E474C2"/>
    <w:rsid w:val="00E474D7"/>
    <w:rsid w:val="00E475B1"/>
    <w:rsid w:val="00E476AE"/>
    <w:rsid w:val="00E50318"/>
    <w:rsid w:val="00E50555"/>
    <w:rsid w:val="00E50745"/>
    <w:rsid w:val="00E5101B"/>
    <w:rsid w:val="00E510C0"/>
    <w:rsid w:val="00E525AD"/>
    <w:rsid w:val="00E52611"/>
    <w:rsid w:val="00E52724"/>
    <w:rsid w:val="00E52803"/>
    <w:rsid w:val="00E528EB"/>
    <w:rsid w:val="00E5370B"/>
    <w:rsid w:val="00E537F8"/>
    <w:rsid w:val="00E54ED0"/>
    <w:rsid w:val="00E55545"/>
    <w:rsid w:val="00E55B6B"/>
    <w:rsid w:val="00E5665D"/>
    <w:rsid w:val="00E56811"/>
    <w:rsid w:val="00E56A3E"/>
    <w:rsid w:val="00E57383"/>
    <w:rsid w:val="00E57932"/>
    <w:rsid w:val="00E6036D"/>
    <w:rsid w:val="00E6063B"/>
    <w:rsid w:val="00E607D6"/>
    <w:rsid w:val="00E6102F"/>
    <w:rsid w:val="00E6139F"/>
    <w:rsid w:val="00E61C5B"/>
    <w:rsid w:val="00E61E1E"/>
    <w:rsid w:val="00E61EED"/>
    <w:rsid w:val="00E62242"/>
    <w:rsid w:val="00E62387"/>
    <w:rsid w:val="00E62862"/>
    <w:rsid w:val="00E63769"/>
    <w:rsid w:val="00E6387C"/>
    <w:rsid w:val="00E63EAD"/>
    <w:rsid w:val="00E6445B"/>
    <w:rsid w:val="00E64B3B"/>
    <w:rsid w:val="00E64BAA"/>
    <w:rsid w:val="00E65803"/>
    <w:rsid w:val="00E6586E"/>
    <w:rsid w:val="00E66829"/>
    <w:rsid w:val="00E66D00"/>
    <w:rsid w:val="00E66D29"/>
    <w:rsid w:val="00E671C4"/>
    <w:rsid w:val="00E672A4"/>
    <w:rsid w:val="00E67CB9"/>
    <w:rsid w:val="00E67D97"/>
    <w:rsid w:val="00E7004A"/>
    <w:rsid w:val="00E70B9F"/>
    <w:rsid w:val="00E70BD1"/>
    <w:rsid w:val="00E71080"/>
    <w:rsid w:val="00E71A05"/>
    <w:rsid w:val="00E72AD1"/>
    <w:rsid w:val="00E74269"/>
    <w:rsid w:val="00E742BC"/>
    <w:rsid w:val="00E7462E"/>
    <w:rsid w:val="00E75436"/>
    <w:rsid w:val="00E75A70"/>
    <w:rsid w:val="00E7624B"/>
    <w:rsid w:val="00E76435"/>
    <w:rsid w:val="00E76ED7"/>
    <w:rsid w:val="00E778E4"/>
    <w:rsid w:val="00E779B3"/>
    <w:rsid w:val="00E77CBC"/>
    <w:rsid w:val="00E80294"/>
    <w:rsid w:val="00E805AA"/>
    <w:rsid w:val="00E80AB0"/>
    <w:rsid w:val="00E81329"/>
    <w:rsid w:val="00E81533"/>
    <w:rsid w:val="00E81E20"/>
    <w:rsid w:val="00E81F7E"/>
    <w:rsid w:val="00E81FE2"/>
    <w:rsid w:val="00E820C0"/>
    <w:rsid w:val="00E82425"/>
    <w:rsid w:val="00E82932"/>
    <w:rsid w:val="00E82AEB"/>
    <w:rsid w:val="00E8305D"/>
    <w:rsid w:val="00E83B1C"/>
    <w:rsid w:val="00E83DC9"/>
    <w:rsid w:val="00E83DFB"/>
    <w:rsid w:val="00E8435E"/>
    <w:rsid w:val="00E85A6A"/>
    <w:rsid w:val="00E85D0E"/>
    <w:rsid w:val="00E85E3F"/>
    <w:rsid w:val="00E8602B"/>
    <w:rsid w:val="00E86422"/>
    <w:rsid w:val="00E86784"/>
    <w:rsid w:val="00E86C66"/>
    <w:rsid w:val="00E87AB4"/>
    <w:rsid w:val="00E87D91"/>
    <w:rsid w:val="00E90B9D"/>
    <w:rsid w:val="00E91206"/>
    <w:rsid w:val="00E91AC6"/>
    <w:rsid w:val="00E923F1"/>
    <w:rsid w:val="00E923F4"/>
    <w:rsid w:val="00E92471"/>
    <w:rsid w:val="00E9249D"/>
    <w:rsid w:val="00E925E9"/>
    <w:rsid w:val="00E92858"/>
    <w:rsid w:val="00E93022"/>
    <w:rsid w:val="00E93660"/>
    <w:rsid w:val="00E94F5E"/>
    <w:rsid w:val="00E95F4D"/>
    <w:rsid w:val="00E966BF"/>
    <w:rsid w:val="00E96A6F"/>
    <w:rsid w:val="00E96CA0"/>
    <w:rsid w:val="00E96E7E"/>
    <w:rsid w:val="00E96E9A"/>
    <w:rsid w:val="00E97906"/>
    <w:rsid w:val="00EA06B6"/>
    <w:rsid w:val="00EA16E1"/>
    <w:rsid w:val="00EA1B3F"/>
    <w:rsid w:val="00EA1B79"/>
    <w:rsid w:val="00EA1BB2"/>
    <w:rsid w:val="00EA1E1A"/>
    <w:rsid w:val="00EA1EAC"/>
    <w:rsid w:val="00EA2A52"/>
    <w:rsid w:val="00EA2D31"/>
    <w:rsid w:val="00EA37C8"/>
    <w:rsid w:val="00EA392B"/>
    <w:rsid w:val="00EA39AD"/>
    <w:rsid w:val="00EA42B1"/>
    <w:rsid w:val="00EA445A"/>
    <w:rsid w:val="00EA48C6"/>
    <w:rsid w:val="00EA4ADA"/>
    <w:rsid w:val="00EA4D97"/>
    <w:rsid w:val="00EA54A7"/>
    <w:rsid w:val="00EA5878"/>
    <w:rsid w:val="00EA5A69"/>
    <w:rsid w:val="00EA5C1E"/>
    <w:rsid w:val="00EA6C13"/>
    <w:rsid w:val="00EA6D03"/>
    <w:rsid w:val="00EA6EF4"/>
    <w:rsid w:val="00EA6F24"/>
    <w:rsid w:val="00EA79D1"/>
    <w:rsid w:val="00EB00B1"/>
    <w:rsid w:val="00EB0170"/>
    <w:rsid w:val="00EB073F"/>
    <w:rsid w:val="00EB100B"/>
    <w:rsid w:val="00EB1074"/>
    <w:rsid w:val="00EB183A"/>
    <w:rsid w:val="00EB1D3D"/>
    <w:rsid w:val="00EB1DE7"/>
    <w:rsid w:val="00EB1F78"/>
    <w:rsid w:val="00EB28C0"/>
    <w:rsid w:val="00EB28DF"/>
    <w:rsid w:val="00EB2976"/>
    <w:rsid w:val="00EB2D81"/>
    <w:rsid w:val="00EB329F"/>
    <w:rsid w:val="00EB3D8A"/>
    <w:rsid w:val="00EB4A18"/>
    <w:rsid w:val="00EB4AF9"/>
    <w:rsid w:val="00EB4E35"/>
    <w:rsid w:val="00EB4E63"/>
    <w:rsid w:val="00EB53C3"/>
    <w:rsid w:val="00EB5559"/>
    <w:rsid w:val="00EB56B3"/>
    <w:rsid w:val="00EB5D63"/>
    <w:rsid w:val="00EB64B8"/>
    <w:rsid w:val="00EB711D"/>
    <w:rsid w:val="00EB74BC"/>
    <w:rsid w:val="00EB765D"/>
    <w:rsid w:val="00EB7CB9"/>
    <w:rsid w:val="00EC0476"/>
    <w:rsid w:val="00EC196F"/>
    <w:rsid w:val="00EC2597"/>
    <w:rsid w:val="00EC2859"/>
    <w:rsid w:val="00EC2EE1"/>
    <w:rsid w:val="00EC34E1"/>
    <w:rsid w:val="00EC38C4"/>
    <w:rsid w:val="00EC44AC"/>
    <w:rsid w:val="00EC532A"/>
    <w:rsid w:val="00EC54ED"/>
    <w:rsid w:val="00EC5793"/>
    <w:rsid w:val="00EC5DF0"/>
    <w:rsid w:val="00EC68E2"/>
    <w:rsid w:val="00EC6903"/>
    <w:rsid w:val="00EC709B"/>
    <w:rsid w:val="00EC71ED"/>
    <w:rsid w:val="00EC7486"/>
    <w:rsid w:val="00EC7681"/>
    <w:rsid w:val="00EC7FE9"/>
    <w:rsid w:val="00ED0372"/>
    <w:rsid w:val="00ED0D6C"/>
    <w:rsid w:val="00ED0DF8"/>
    <w:rsid w:val="00ED14EB"/>
    <w:rsid w:val="00ED185B"/>
    <w:rsid w:val="00ED1985"/>
    <w:rsid w:val="00ED202D"/>
    <w:rsid w:val="00ED2536"/>
    <w:rsid w:val="00ED27A5"/>
    <w:rsid w:val="00ED3161"/>
    <w:rsid w:val="00ED4829"/>
    <w:rsid w:val="00ED5552"/>
    <w:rsid w:val="00ED55B5"/>
    <w:rsid w:val="00ED5713"/>
    <w:rsid w:val="00ED650C"/>
    <w:rsid w:val="00ED6761"/>
    <w:rsid w:val="00ED6B9F"/>
    <w:rsid w:val="00ED71F7"/>
    <w:rsid w:val="00ED7B38"/>
    <w:rsid w:val="00EE0057"/>
    <w:rsid w:val="00EE03FA"/>
    <w:rsid w:val="00EE04DC"/>
    <w:rsid w:val="00EE0E84"/>
    <w:rsid w:val="00EE1040"/>
    <w:rsid w:val="00EE1520"/>
    <w:rsid w:val="00EE1924"/>
    <w:rsid w:val="00EE208F"/>
    <w:rsid w:val="00EE247B"/>
    <w:rsid w:val="00EE308D"/>
    <w:rsid w:val="00EE342F"/>
    <w:rsid w:val="00EE3965"/>
    <w:rsid w:val="00EE3B3E"/>
    <w:rsid w:val="00EE3E06"/>
    <w:rsid w:val="00EE418E"/>
    <w:rsid w:val="00EE44C9"/>
    <w:rsid w:val="00EE4EAC"/>
    <w:rsid w:val="00EE5117"/>
    <w:rsid w:val="00EE5326"/>
    <w:rsid w:val="00EE5755"/>
    <w:rsid w:val="00EE5D64"/>
    <w:rsid w:val="00EE6013"/>
    <w:rsid w:val="00EE63E3"/>
    <w:rsid w:val="00EE657C"/>
    <w:rsid w:val="00EE6D46"/>
    <w:rsid w:val="00EE6F9F"/>
    <w:rsid w:val="00EE7001"/>
    <w:rsid w:val="00EE7312"/>
    <w:rsid w:val="00EE7922"/>
    <w:rsid w:val="00EF01C0"/>
    <w:rsid w:val="00EF030C"/>
    <w:rsid w:val="00EF087C"/>
    <w:rsid w:val="00EF0937"/>
    <w:rsid w:val="00EF2769"/>
    <w:rsid w:val="00EF311D"/>
    <w:rsid w:val="00EF336F"/>
    <w:rsid w:val="00EF366A"/>
    <w:rsid w:val="00EF416E"/>
    <w:rsid w:val="00EF44B1"/>
    <w:rsid w:val="00EF4B97"/>
    <w:rsid w:val="00EF4C50"/>
    <w:rsid w:val="00EF4DF3"/>
    <w:rsid w:val="00EF5126"/>
    <w:rsid w:val="00EF5D25"/>
    <w:rsid w:val="00EF6603"/>
    <w:rsid w:val="00EF6F5B"/>
    <w:rsid w:val="00EF7100"/>
    <w:rsid w:val="00EF7841"/>
    <w:rsid w:val="00EF7CD8"/>
    <w:rsid w:val="00F00894"/>
    <w:rsid w:val="00F009ED"/>
    <w:rsid w:val="00F00FEE"/>
    <w:rsid w:val="00F018A4"/>
    <w:rsid w:val="00F02177"/>
    <w:rsid w:val="00F02819"/>
    <w:rsid w:val="00F028B8"/>
    <w:rsid w:val="00F028E3"/>
    <w:rsid w:val="00F029EF"/>
    <w:rsid w:val="00F02F28"/>
    <w:rsid w:val="00F037E8"/>
    <w:rsid w:val="00F03C29"/>
    <w:rsid w:val="00F04141"/>
    <w:rsid w:val="00F05557"/>
    <w:rsid w:val="00F05EBB"/>
    <w:rsid w:val="00F05FAC"/>
    <w:rsid w:val="00F0700D"/>
    <w:rsid w:val="00F0708B"/>
    <w:rsid w:val="00F0799D"/>
    <w:rsid w:val="00F07C22"/>
    <w:rsid w:val="00F10E4C"/>
    <w:rsid w:val="00F1268A"/>
    <w:rsid w:val="00F12744"/>
    <w:rsid w:val="00F127DF"/>
    <w:rsid w:val="00F12BAF"/>
    <w:rsid w:val="00F13681"/>
    <w:rsid w:val="00F13F24"/>
    <w:rsid w:val="00F14009"/>
    <w:rsid w:val="00F1409D"/>
    <w:rsid w:val="00F1419E"/>
    <w:rsid w:val="00F14671"/>
    <w:rsid w:val="00F151DD"/>
    <w:rsid w:val="00F151F5"/>
    <w:rsid w:val="00F15819"/>
    <w:rsid w:val="00F16614"/>
    <w:rsid w:val="00F2087A"/>
    <w:rsid w:val="00F209D8"/>
    <w:rsid w:val="00F20BA5"/>
    <w:rsid w:val="00F214CC"/>
    <w:rsid w:val="00F21655"/>
    <w:rsid w:val="00F21C82"/>
    <w:rsid w:val="00F22AD4"/>
    <w:rsid w:val="00F247E1"/>
    <w:rsid w:val="00F2527D"/>
    <w:rsid w:val="00F259FC"/>
    <w:rsid w:val="00F26233"/>
    <w:rsid w:val="00F26678"/>
    <w:rsid w:val="00F2791F"/>
    <w:rsid w:val="00F27ED1"/>
    <w:rsid w:val="00F30CF8"/>
    <w:rsid w:val="00F30FBF"/>
    <w:rsid w:val="00F31315"/>
    <w:rsid w:val="00F31CAE"/>
    <w:rsid w:val="00F31F02"/>
    <w:rsid w:val="00F32127"/>
    <w:rsid w:val="00F321A8"/>
    <w:rsid w:val="00F326A2"/>
    <w:rsid w:val="00F342C6"/>
    <w:rsid w:val="00F34659"/>
    <w:rsid w:val="00F34CBE"/>
    <w:rsid w:val="00F34FEB"/>
    <w:rsid w:val="00F3513B"/>
    <w:rsid w:val="00F3584F"/>
    <w:rsid w:val="00F35D49"/>
    <w:rsid w:val="00F35EAE"/>
    <w:rsid w:val="00F35FB0"/>
    <w:rsid w:val="00F36345"/>
    <w:rsid w:val="00F3680D"/>
    <w:rsid w:val="00F369BD"/>
    <w:rsid w:val="00F36FD6"/>
    <w:rsid w:val="00F373BC"/>
    <w:rsid w:val="00F376FC"/>
    <w:rsid w:val="00F4029F"/>
    <w:rsid w:val="00F40408"/>
    <w:rsid w:val="00F40811"/>
    <w:rsid w:val="00F410A2"/>
    <w:rsid w:val="00F42301"/>
    <w:rsid w:val="00F42BE2"/>
    <w:rsid w:val="00F42F13"/>
    <w:rsid w:val="00F42F5E"/>
    <w:rsid w:val="00F42FB6"/>
    <w:rsid w:val="00F43457"/>
    <w:rsid w:val="00F43F79"/>
    <w:rsid w:val="00F44159"/>
    <w:rsid w:val="00F44323"/>
    <w:rsid w:val="00F445EF"/>
    <w:rsid w:val="00F44BB6"/>
    <w:rsid w:val="00F458D1"/>
    <w:rsid w:val="00F45F6F"/>
    <w:rsid w:val="00F46297"/>
    <w:rsid w:val="00F46759"/>
    <w:rsid w:val="00F46ABC"/>
    <w:rsid w:val="00F46E69"/>
    <w:rsid w:val="00F47791"/>
    <w:rsid w:val="00F477D9"/>
    <w:rsid w:val="00F47E4F"/>
    <w:rsid w:val="00F515DE"/>
    <w:rsid w:val="00F5172B"/>
    <w:rsid w:val="00F5192D"/>
    <w:rsid w:val="00F51BE3"/>
    <w:rsid w:val="00F5260E"/>
    <w:rsid w:val="00F52D1B"/>
    <w:rsid w:val="00F533A2"/>
    <w:rsid w:val="00F53655"/>
    <w:rsid w:val="00F53C1E"/>
    <w:rsid w:val="00F55290"/>
    <w:rsid w:val="00F5588C"/>
    <w:rsid w:val="00F55956"/>
    <w:rsid w:val="00F55F66"/>
    <w:rsid w:val="00F5647F"/>
    <w:rsid w:val="00F564D0"/>
    <w:rsid w:val="00F5669D"/>
    <w:rsid w:val="00F56710"/>
    <w:rsid w:val="00F56A8C"/>
    <w:rsid w:val="00F56CA9"/>
    <w:rsid w:val="00F5796D"/>
    <w:rsid w:val="00F57F74"/>
    <w:rsid w:val="00F6001C"/>
    <w:rsid w:val="00F6009B"/>
    <w:rsid w:val="00F6071E"/>
    <w:rsid w:val="00F607BF"/>
    <w:rsid w:val="00F60F5B"/>
    <w:rsid w:val="00F61691"/>
    <w:rsid w:val="00F616C5"/>
    <w:rsid w:val="00F61E80"/>
    <w:rsid w:val="00F624F4"/>
    <w:rsid w:val="00F629BC"/>
    <w:rsid w:val="00F62B4C"/>
    <w:rsid w:val="00F62CFC"/>
    <w:rsid w:val="00F635F8"/>
    <w:rsid w:val="00F639E2"/>
    <w:rsid w:val="00F63F6D"/>
    <w:rsid w:val="00F648E3"/>
    <w:rsid w:val="00F64B4C"/>
    <w:rsid w:val="00F64D9A"/>
    <w:rsid w:val="00F65284"/>
    <w:rsid w:val="00F65CF3"/>
    <w:rsid w:val="00F65FDC"/>
    <w:rsid w:val="00F663D2"/>
    <w:rsid w:val="00F66431"/>
    <w:rsid w:val="00F6695A"/>
    <w:rsid w:val="00F66D45"/>
    <w:rsid w:val="00F671A8"/>
    <w:rsid w:val="00F700BA"/>
    <w:rsid w:val="00F70111"/>
    <w:rsid w:val="00F70409"/>
    <w:rsid w:val="00F70BD1"/>
    <w:rsid w:val="00F711FF"/>
    <w:rsid w:val="00F713E5"/>
    <w:rsid w:val="00F71512"/>
    <w:rsid w:val="00F72439"/>
    <w:rsid w:val="00F725E1"/>
    <w:rsid w:val="00F72693"/>
    <w:rsid w:val="00F73078"/>
    <w:rsid w:val="00F730A0"/>
    <w:rsid w:val="00F731BE"/>
    <w:rsid w:val="00F7353F"/>
    <w:rsid w:val="00F73C2E"/>
    <w:rsid w:val="00F73CDB"/>
    <w:rsid w:val="00F73FE1"/>
    <w:rsid w:val="00F74363"/>
    <w:rsid w:val="00F74684"/>
    <w:rsid w:val="00F74C7D"/>
    <w:rsid w:val="00F74F20"/>
    <w:rsid w:val="00F74FA5"/>
    <w:rsid w:val="00F75194"/>
    <w:rsid w:val="00F756E7"/>
    <w:rsid w:val="00F76286"/>
    <w:rsid w:val="00F7658C"/>
    <w:rsid w:val="00F769A9"/>
    <w:rsid w:val="00F769FF"/>
    <w:rsid w:val="00F77B69"/>
    <w:rsid w:val="00F77C4A"/>
    <w:rsid w:val="00F77E6A"/>
    <w:rsid w:val="00F802A7"/>
    <w:rsid w:val="00F8047F"/>
    <w:rsid w:val="00F81CAA"/>
    <w:rsid w:val="00F81D93"/>
    <w:rsid w:val="00F81F78"/>
    <w:rsid w:val="00F823FB"/>
    <w:rsid w:val="00F825F1"/>
    <w:rsid w:val="00F8286C"/>
    <w:rsid w:val="00F829B9"/>
    <w:rsid w:val="00F82D11"/>
    <w:rsid w:val="00F831FB"/>
    <w:rsid w:val="00F8339F"/>
    <w:rsid w:val="00F84413"/>
    <w:rsid w:val="00F84975"/>
    <w:rsid w:val="00F84CDD"/>
    <w:rsid w:val="00F84D7A"/>
    <w:rsid w:val="00F85155"/>
    <w:rsid w:val="00F85D6F"/>
    <w:rsid w:val="00F8614F"/>
    <w:rsid w:val="00F86C62"/>
    <w:rsid w:val="00F86F0D"/>
    <w:rsid w:val="00F87172"/>
    <w:rsid w:val="00F8755D"/>
    <w:rsid w:val="00F8774A"/>
    <w:rsid w:val="00F907B5"/>
    <w:rsid w:val="00F90AC9"/>
    <w:rsid w:val="00F90B9B"/>
    <w:rsid w:val="00F90DD9"/>
    <w:rsid w:val="00F91018"/>
    <w:rsid w:val="00F91450"/>
    <w:rsid w:val="00F91625"/>
    <w:rsid w:val="00F91C1D"/>
    <w:rsid w:val="00F92851"/>
    <w:rsid w:val="00F9293F"/>
    <w:rsid w:val="00F92C79"/>
    <w:rsid w:val="00F9300C"/>
    <w:rsid w:val="00F930DB"/>
    <w:rsid w:val="00F93164"/>
    <w:rsid w:val="00F931FA"/>
    <w:rsid w:val="00F93332"/>
    <w:rsid w:val="00F9377B"/>
    <w:rsid w:val="00F93BF5"/>
    <w:rsid w:val="00F940A3"/>
    <w:rsid w:val="00F9413F"/>
    <w:rsid w:val="00F94536"/>
    <w:rsid w:val="00F9456C"/>
    <w:rsid w:val="00F94A2D"/>
    <w:rsid w:val="00F94A6A"/>
    <w:rsid w:val="00F94C08"/>
    <w:rsid w:val="00F94D21"/>
    <w:rsid w:val="00F9564F"/>
    <w:rsid w:val="00F9569F"/>
    <w:rsid w:val="00F969DB"/>
    <w:rsid w:val="00F970BA"/>
    <w:rsid w:val="00F97A5B"/>
    <w:rsid w:val="00F97EEF"/>
    <w:rsid w:val="00FA0011"/>
    <w:rsid w:val="00FA02F9"/>
    <w:rsid w:val="00FA11D0"/>
    <w:rsid w:val="00FA12B5"/>
    <w:rsid w:val="00FA14EB"/>
    <w:rsid w:val="00FA1811"/>
    <w:rsid w:val="00FA217E"/>
    <w:rsid w:val="00FA29B2"/>
    <w:rsid w:val="00FA2ABE"/>
    <w:rsid w:val="00FA2B33"/>
    <w:rsid w:val="00FA2B5E"/>
    <w:rsid w:val="00FA344A"/>
    <w:rsid w:val="00FA39DE"/>
    <w:rsid w:val="00FA406D"/>
    <w:rsid w:val="00FA44DE"/>
    <w:rsid w:val="00FA4570"/>
    <w:rsid w:val="00FA4A4E"/>
    <w:rsid w:val="00FA4CF9"/>
    <w:rsid w:val="00FA5AA8"/>
    <w:rsid w:val="00FA5AFC"/>
    <w:rsid w:val="00FA66A0"/>
    <w:rsid w:val="00FA6C73"/>
    <w:rsid w:val="00FA6DC4"/>
    <w:rsid w:val="00FA6FFF"/>
    <w:rsid w:val="00FA7938"/>
    <w:rsid w:val="00FB03BC"/>
    <w:rsid w:val="00FB1562"/>
    <w:rsid w:val="00FB1961"/>
    <w:rsid w:val="00FB23F4"/>
    <w:rsid w:val="00FB2AC2"/>
    <w:rsid w:val="00FB2BD6"/>
    <w:rsid w:val="00FB340F"/>
    <w:rsid w:val="00FB3748"/>
    <w:rsid w:val="00FB3868"/>
    <w:rsid w:val="00FB45B7"/>
    <w:rsid w:val="00FB5056"/>
    <w:rsid w:val="00FB6377"/>
    <w:rsid w:val="00FB6458"/>
    <w:rsid w:val="00FB68A3"/>
    <w:rsid w:val="00FB6E31"/>
    <w:rsid w:val="00FB6E35"/>
    <w:rsid w:val="00FB7386"/>
    <w:rsid w:val="00FB788E"/>
    <w:rsid w:val="00FC015B"/>
    <w:rsid w:val="00FC01F7"/>
    <w:rsid w:val="00FC06A7"/>
    <w:rsid w:val="00FC0EB9"/>
    <w:rsid w:val="00FC17F8"/>
    <w:rsid w:val="00FC19A6"/>
    <w:rsid w:val="00FC1F72"/>
    <w:rsid w:val="00FC210E"/>
    <w:rsid w:val="00FC21CE"/>
    <w:rsid w:val="00FC24C6"/>
    <w:rsid w:val="00FC2D43"/>
    <w:rsid w:val="00FC3C87"/>
    <w:rsid w:val="00FC3D35"/>
    <w:rsid w:val="00FC3D49"/>
    <w:rsid w:val="00FC41B0"/>
    <w:rsid w:val="00FC4258"/>
    <w:rsid w:val="00FC461B"/>
    <w:rsid w:val="00FC4C3A"/>
    <w:rsid w:val="00FC5265"/>
    <w:rsid w:val="00FC6174"/>
    <w:rsid w:val="00FC6195"/>
    <w:rsid w:val="00FC6400"/>
    <w:rsid w:val="00FC6C15"/>
    <w:rsid w:val="00FC6EA5"/>
    <w:rsid w:val="00FC71F0"/>
    <w:rsid w:val="00FC72AB"/>
    <w:rsid w:val="00FC77A0"/>
    <w:rsid w:val="00FC7A13"/>
    <w:rsid w:val="00FD0359"/>
    <w:rsid w:val="00FD0775"/>
    <w:rsid w:val="00FD0798"/>
    <w:rsid w:val="00FD09D4"/>
    <w:rsid w:val="00FD0CB0"/>
    <w:rsid w:val="00FD0EE1"/>
    <w:rsid w:val="00FD1315"/>
    <w:rsid w:val="00FD16EE"/>
    <w:rsid w:val="00FD19F3"/>
    <w:rsid w:val="00FD1F59"/>
    <w:rsid w:val="00FD2796"/>
    <w:rsid w:val="00FD33DD"/>
    <w:rsid w:val="00FD39F3"/>
    <w:rsid w:val="00FD3AF5"/>
    <w:rsid w:val="00FD3D93"/>
    <w:rsid w:val="00FD3FC9"/>
    <w:rsid w:val="00FD4212"/>
    <w:rsid w:val="00FD4254"/>
    <w:rsid w:val="00FD562F"/>
    <w:rsid w:val="00FD57BC"/>
    <w:rsid w:val="00FD6156"/>
    <w:rsid w:val="00FD64A1"/>
    <w:rsid w:val="00FD6719"/>
    <w:rsid w:val="00FD7BC0"/>
    <w:rsid w:val="00FD7BD8"/>
    <w:rsid w:val="00FD7CD6"/>
    <w:rsid w:val="00FD7E1A"/>
    <w:rsid w:val="00FE0175"/>
    <w:rsid w:val="00FE0429"/>
    <w:rsid w:val="00FE0529"/>
    <w:rsid w:val="00FE0735"/>
    <w:rsid w:val="00FE11A4"/>
    <w:rsid w:val="00FE1536"/>
    <w:rsid w:val="00FE1853"/>
    <w:rsid w:val="00FE1BB0"/>
    <w:rsid w:val="00FE1DF0"/>
    <w:rsid w:val="00FE2079"/>
    <w:rsid w:val="00FE239A"/>
    <w:rsid w:val="00FE25EE"/>
    <w:rsid w:val="00FE271E"/>
    <w:rsid w:val="00FE34FA"/>
    <w:rsid w:val="00FE38B4"/>
    <w:rsid w:val="00FE3FE5"/>
    <w:rsid w:val="00FE4491"/>
    <w:rsid w:val="00FE450A"/>
    <w:rsid w:val="00FE500D"/>
    <w:rsid w:val="00FE5718"/>
    <w:rsid w:val="00FE5A08"/>
    <w:rsid w:val="00FE618B"/>
    <w:rsid w:val="00FE6770"/>
    <w:rsid w:val="00FE68CD"/>
    <w:rsid w:val="00FE7DB4"/>
    <w:rsid w:val="00FF043B"/>
    <w:rsid w:val="00FF061A"/>
    <w:rsid w:val="00FF11B1"/>
    <w:rsid w:val="00FF1E76"/>
    <w:rsid w:val="00FF2137"/>
    <w:rsid w:val="00FF21A1"/>
    <w:rsid w:val="00FF2D07"/>
    <w:rsid w:val="00FF36FD"/>
    <w:rsid w:val="00FF3700"/>
    <w:rsid w:val="00FF3DA4"/>
    <w:rsid w:val="00FF3E35"/>
    <w:rsid w:val="00FF3EA6"/>
    <w:rsid w:val="00FF4087"/>
    <w:rsid w:val="00FF46CD"/>
    <w:rsid w:val="00FF4977"/>
    <w:rsid w:val="00FF4D29"/>
    <w:rsid w:val="00FF64B6"/>
    <w:rsid w:val="00FF6A90"/>
    <w:rsid w:val="00FF6B6F"/>
    <w:rsid w:val="00FF6EA1"/>
    <w:rsid w:val="00FF7232"/>
    <w:rsid w:val="00FF72CE"/>
    <w:rsid w:val="00FF7308"/>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DB6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D3A"/>
    <w:pPr>
      <w:spacing w:after="0" w:line="240" w:lineRule="auto"/>
    </w:pPr>
    <w:rPr>
      <w:rFonts w:ascii="Times New Roman" w:eastAsia="Times New Roman" w:hAnsi="Times New Roman" w:cs="Times New Roman"/>
      <w:sz w:val="24"/>
      <w:szCs w:val="24"/>
      <w:lang w:val="en-US" w:eastAsia="en-GB"/>
    </w:rPr>
  </w:style>
  <w:style w:type="paragraph" w:styleId="Heading1">
    <w:name w:val="heading 1"/>
    <w:basedOn w:val="Title"/>
    <w:next w:val="BodyText"/>
    <w:link w:val="Heading1Char"/>
    <w:uiPriority w:val="9"/>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hAnsi="Helvetica" w:cs="Arial"/>
      <w:color w:val="007FAD"/>
      <w:kern w:val="28"/>
      <w:szCs w:val="28"/>
    </w:rPr>
  </w:style>
  <w:style w:type="paragraph" w:styleId="Heading3">
    <w:name w:val="heading 3"/>
    <w:basedOn w:val="Heading2"/>
    <w:next w:val="BodyText"/>
    <w:link w:val="Heading3Char"/>
    <w:autoRedefine/>
    <w:qFormat/>
    <w:rsid w:val="002D7A79"/>
    <w:pPr>
      <w:keepNext w:val="0"/>
      <w:keepLines/>
      <w:numPr>
        <w:ilvl w:val="2"/>
      </w:numPr>
      <w:spacing w:before="200" w:after="0"/>
      <w:ind w:left="426" w:hanging="426"/>
      <w:jc w:val="both"/>
      <w:outlineLvl w:val="2"/>
    </w:pPr>
    <w:rPr>
      <w:rFonts w:ascii="Franklin Gothic Book" w:hAnsi="Franklin Gothic Book"/>
      <w:b/>
      <w:color w:val="000000" w:themeColor="text1"/>
      <w:sz w:val="21"/>
      <w:szCs w:val="21"/>
      <w:lang w:eastAsia="zh-CN"/>
    </w:rPr>
  </w:style>
  <w:style w:type="paragraph" w:styleId="Heading4">
    <w:name w:val="heading 4"/>
    <w:basedOn w:val="Bullet0"/>
    <w:next w:val="BodyText"/>
    <w:link w:val="Heading4Char"/>
    <w:qFormat/>
    <w:rsid w:val="00115640"/>
    <w:pPr>
      <w:numPr>
        <w:numId w:val="71"/>
      </w:numPr>
      <w:ind w:left="709" w:hanging="284"/>
      <w:outlineLvl w:val="3"/>
    </w:pPr>
    <w:rPr>
      <w:b/>
      <w:bCs/>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qFormat/>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qFormat/>
    <w:rsid w:val="007E10A5"/>
    <w:pPr>
      <w:numPr>
        <w:ilvl w:val="6"/>
      </w:numPr>
      <w:outlineLvl w:val="6"/>
    </w:pPr>
  </w:style>
  <w:style w:type="paragraph" w:styleId="Heading8">
    <w:name w:val="heading 8"/>
    <w:basedOn w:val="Heading7"/>
    <w:next w:val="BodyText"/>
    <w:link w:val="Heading8Char"/>
    <w:qFormat/>
    <w:rsid w:val="0050529F"/>
    <w:pPr>
      <w:numPr>
        <w:ilvl w:val="7"/>
      </w:numPr>
      <w:outlineLvl w:val="7"/>
    </w:pPr>
  </w:style>
  <w:style w:type="paragraph" w:styleId="Heading9">
    <w:name w:val="heading 9"/>
    <w:basedOn w:val="Heading8"/>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D720D5"/>
    <w:pPr>
      <w:spacing w:after="160" w:line="280" w:lineRule="exact"/>
    </w:pPr>
    <w:rPr>
      <w:rFonts w:ascii="Franklin Gothic Book" w:hAnsi="Franklin Gothic Book"/>
      <w:color w:val="000000" w:themeColor="text1"/>
      <w:sz w:val="21"/>
    </w:rPr>
  </w:style>
  <w:style w:type="character" w:customStyle="1" w:styleId="BodyTextChar">
    <w:name w:val="Body Text Char"/>
    <w:basedOn w:val="DefaultParagraphFont"/>
    <w:link w:val="BodyText"/>
    <w:uiPriority w:val="99"/>
    <w:rsid w:val="00D720D5"/>
    <w:rPr>
      <w:rFonts w:ascii="Franklin Gothic Book" w:eastAsia="Times New Roman" w:hAnsi="Franklin Gothic Book" w:cs="Times New Roman"/>
      <w:color w:val="000000" w:themeColor="text1"/>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2D7A79"/>
    <w:rPr>
      <w:rFonts w:ascii="Franklin Gothic Book" w:eastAsia="Times New Roman" w:hAnsi="Franklin Gothic Book" w:cs="Arial"/>
      <w:b/>
      <w:color w:val="000000" w:themeColor="text1"/>
      <w:kern w:val="28"/>
      <w:sz w:val="21"/>
      <w:szCs w:val="21"/>
      <w:lang w:val="en-US" w:eastAsia="zh-CN"/>
    </w:rPr>
  </w:style>
  <w:style w:type="character" w:customStyle="1" w:styleId="Heading4Char">
    <w:name w:val="Heading 4 Char"/>
    <w:basedOn w:val="DefaultParagraphFont"/>
    <w:link w:val="Heading4"/>
    <w:rsid w:val="00115640"/>
    <w:rPr>
      <w:rFonts w:cstheme="minorHAnsi"/>
      <w:b/>
      <w:bCs/>
      <w:iCs/>
      <w:lang w:eastAsia="ja-JP"/>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lang w:val="en-US" w:eastAsia="en-GB"/>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462DAF"/>
    <w:pPr>
      <w:keepNext/>
      <w:spacing w:before="80" w:after="80" w:line="280" w:lineRule="atLeast"/>
      <w:jc w:val="center"/>
    </w:pPr>
    <w:rPr>
      <w:rFonts w:ascii="Franklin Gothic Book" w:hAnsi="Franklin Gothic Book" w:cs="Arial"/>
      <w:b/>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uiPriority w:val="99"/>
    <w:qFormat/>
    <w:rsid w:val="00F93332"/>
    <w:pPr>
      <w:numPr>
        <w:numId w:val="14"/>
      </w:numPr>
      <w:ind w:left="284" w:hanging="284"/>
    </w:pPr>
  </w:style>
  <w:style w:type="paragraph" w:styleId="ListNumber2">
    <w:name w:val="List Number 2"/>
    <w:basedOn w:val="ListNumber"/>
    <w:uiPriority w:val="99"/>
    <w:qFormat/>
    <w:rsid w:val="00621094"/>
    <w:pPr>
      <w:numPr>
        <w:numId w:val="10"/>
      </w:numPr>
      <w:tabs>
        <w:tab w:val="clear" w:pos="284"/>
        <w:tab w:val="left" w:pos="426"/>
      </w:tabs>
    </w:pPr>
    <w:rPr>
      <w:sz w:val="20"/>
      <w:szCs w:val="20"/>
    </w:rPr>
  </w:style>
  <w:style w:type="paragraph" w:styleId="BalloonText">
    <w:name w:val="Balloon Text"/>
    <w:basedOn w:val="Normal"/>
    <w:link w:val="BalloonTextChar"/>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unhideWhenUsed/>
    <w:rsid w:val="009E79EC"/>
    <w:rPr>
      <w:rFonts w:ascii="Franklin Gothic Book" w:hAnsi="Franklin Gothic Book"/>
    </w:rPr>
  </w:style>
  <w:style w:type="character" w:styleId="PageNumber">
    <w:name w:val="page number"/>
    <w:rsid w:val="009E79EC"/>
    <w:rPr>
      <w:rFonts w:ascii="Helvetica" w:hAnsi="Helvetica"/>
      <w:color w:val="A8A5A8"/>
      <w:sz w:val="14"/>
      <w:szCs w:val="14"/>
    </w:rPr>
  </w:style>
  <w:style w:type="paragraph" w:styleId="TOC1">
    <w:name w:val="toc 1"/>
    <w:basedOn w:val="BodyText"/>
    <w:next w:val="BodyText"/>
    <w:uiPriority w:val="39"/>
    <w:rsid w:val="003B1EBE"/>
    <w:pPr>
      <w:spacing w:before="80" w:after="0" w:line="240" w:lineRule="auto"/>
    </w:pPr>
    <w:rPr>
      <w:rFonts w:asciiTheme="minorHAnsi" w:eastAsia="SimSun" w:hAnsiTheme="minorHAnsi"/>
      <w:b/>
      <w:bCs/>
      <w:caps/>
      <w:szCs w:val="22"/>
      <w:u w:val="single"/>
    </w:rPr>
  </w:style>
  <w:style w:type="paragraph" w:styleId="TOC2">
    <w:name w:val="toc 2"/>
    <w:basedOn w:val="TOC1"/>
    <w:next w:val="TOC1"/>
    <w:uiPriority w:val="39"/>
    <w:rsid w:val="003B1EBE"/>
    <w:pPr>
      <w:spacing w:before="40"/>
    </w:pPr>
    <w:rPr>
      <w:b w:val="0"/>
      <w:caps w:val="0"/>
      <w:smallCaps/>
      <w:sz w:val="20"/>
      <w:u w:val="none"/>
    </w:rPr>
  </w:style>
  <w:style w:type="character" w:customStyle="1" w:styleId="BalloonTextChar">
    <w:name w:val="Balloon Text Char"/>
    <w:basedOn w:val="DefaultParagraphFont"/>
    <w:link w:val="BalloonText"/>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uiPriority w:val="39"/>
    <w:rsid w:val="003B1EBE"/>
    <w:pPr>
      <w:spacing w:before="0"/>
      <w:ind w:left="720"/>
    </w:pPr>
    <w:rPr>
      <w:bCs w:val="0"/>
    </w:rPr>
  </w:style>
  <w:style w:type="paragraph" w:styleId="CommentText">
    <w:name w:val="annotation text"/>
    <w:basedOn w:val="BodyText"/>
    <w:link w:val="CommentTextChar"/>
    <w:uiPriority w:val="99"/>
    <w:rsid w:val="009E79EC"/>
    <w:pPr>
      <w:spacing w:line="240" w:lineRule="atLeast"/>
    </w:pPr>
    <w:rPr>
      <w:sz w:val="18"/>
      <w:szCs w:val="18"/>
    </w:rPr>
  </w:style>
  <w:style w:type="character" w:customStyle="1" w:styleId="CommentTextChar">
    <w:name w:val="Comment Text Char"/>
    <w:basedOn w:val="DefaultParagraphFont"/>
    <w:link w:val="CommentText"/>
    <w:uiPriority w:val="99"/>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4C2651"/>
    <w:pPr>
      <w:spacing w:before="80" w:after="80"/>
    </w:pPr>
    <w:rPr>
      <w:b/>
      <w:sz w:val="20"/>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hAnsi="Franklin Gothic Book"/>
      <w:color w:val="A8A5A8"/>
      <w:sz w:val="14"/>
      <w:szCs w:val="14"/>
    </w:rPr>
  </w:style>
  <w:style w:type="table" w:styleId="TableGrid">
    <w:name w:val="Table Grid"/>
    <w:aliases w:val="TabelEcorys"/>
    <w:basedOn w:val="TableNormal"/>
    <w:uiPriority w:val="3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uiPriority w:val="99"/>
    <w:rsid w:val="007E3D71"/>
    <w:pPr>
      <w:numPr>
        <w:numId w:val="12"/>
      </w:numPr>
      <w:ind w:left="851" w:hanging="284"/>
    </w:pPr>
  </w:style>
  <w:style w:type="paragraph" w:styleId="EndnoteText">
    <w:name w:val="endnote text"/>
    <w:basedOn w:val="Normal"/>
    <w:link w:val="EndnoteTextChar"/>
    <w:rsid w:val="009E79EC"/>
    <w:rPr>
      <w:rFonts w:ascii="Franklin Gothic Book"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462DAF"/>
    <w:rPr>
      <w:rFonts w:ascii="Franklin Gothic Book" w:eastAsia="Times New Roman" w:hAnsi="Franklin Gothic Book" w:cs="Arial"/>
      <w:b/>
      <w:sz w:val="20"/>
      <w:szCs w:val="19"/>
    </w:rPr>
  </w:style>
  <w:style w:type="paragraph" w:styleId="FootnoteText">
    <w:name w:val="footnote text"/>
    <w:aliases w:val="ft,single space,footnote text Char Char Char,footnote text Char,footnote text Char Char,footnote text Char Char Char Char Char,FOOTNOTES,fn,Footnote Text Char Char Char Char,Footnote Text Char Char Char,ADB,Fußnotentext Char,A"/>
    <w:basedOn w:val="BodyText"/>
    <w:link w:val="FootnoteTextChar"/>
    <w:uiPriority w:val="99"/>
    <w:unhideWhenUsed/>
    <w:qFormat/>
    <w:rsid w:val="00322246"/>
    <w:pPr>
      <w:spacing w:after="0" w:line="240" w:lineRule="auto"/>
      <w:contextualSpacing/>
    </w:pPr>
    <w:rPr>
      <w:sz w:val="16"/>
      <w:szCs w:val="20"/>
      <w:lang w:val="en-AU"/>
    </w:rPr>
  </w:style>
  <w:style w:type="character" w:customStyle="1" w:styleId="FootnoteTextChar">
    <w:name w:val="Footnote Text Char"/>
    <w:aliases w:val="ft Char,single space Char,footnote text Char Char Char Char,footnote text Char Char1,footnote text Char Char Char1,footnote text Char Char Char Char Char Char,FOOTNOTES Char,fn Char,Footnote Text Char Char Char Char Char,ADB Char"/>
    <w:basedOn w:val="DefaultParagraphFont"/>
    <w:link w:val="FootnoteText"/>
    <w:uiPriority w:val="99"/>
    <w:rsid w:val="00322246"/>
    <w:rPr>
      <w:rFonts w:ascii="Franklin Gothic Book" w:eastAsia="Times New Roman" w:hAnsi="Franklin Gothic Book" w:cs="Times New Roman"/>
      <w:color w:val="000000" w:themeColor="text1"/>
      <w:sz w:val="16"/>
      <w:szCs w:val="20"/>
      <w:lang w:eastAsia="en-US"/>
    </w:rPr>
  </w:style>
  <w:style w:type="character" w:styleId="FootnoteReference">
    <w:name w:val="footnote reference"/>
    <w:aliases w:val="Normal + Font:9 Point,Superscript 3 Point Times,ftref,BVI fnr,footnote ref,16 Point,Superscript 6 Point,Footnote text,fr,(NECG) Footnote Reference,Footnote + Arial,10 pt,Black,SUPERS,Footnot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qFormat/>
    <w:rsid w:val="00F1268A"/>
    <w:pPr>
      <w:numPr>
        <w:numId w:val="17"/>
      </w:numPr>
      <w:spacing w:after="160" w:line="280" w:lineRule="exact"/>
    </w:pPr>
    <w:rPr>
      <w:rFonts w:ascii="Franklin Gothic Book" w:hAnsi="Franklin Gothic Book" w:cs="Arial"/>
      <w:sz w:val="21"/>
      <w:szCs w:val="21"/>
    </w:rPr>
  </w:style>
  <w:style w:type="character" w:customStyle="1" w:styleId="List-bullet-1Char">
    <w:name w:val="List-bullet-1 Char"/>
    <w:link w:val="List-bullet-1"/>
    <w:rsid w:val="00F1268A"/>
    <w:rPr>
      <w:rFonts w:ascii="Franklin Gothic Book" w:eastAsia="Times New Roman" w:hAnsi="Franklin Gothic Book" w:cs="Arial"/>
      <w:sz w:val="21"/>
      <w:szCs w:val="21"/>
      <w:lang w:val="en-US" w:eastAsia="en-GB"/>
    </w:rPr>
  </w:style>
  <w:style w:type="paragraph" w:styleId="ListParagraph">
    <w:name w:val="List Paragraph"/>
    <w:aliases w:val="List Paragraph1,List Paragraph11,L,Recommendation,CV text,Table text,Bullets level 1,List Paragraph - Dani,List Paragraph 1 - Dani,Akapit z listą BS,Table/Figure Heading,F5 List Paragraph,Dot pt,List Paragraph111,Medium Grid 1 - Accent 21"/>
    <w:basedOn w:val="BodyText"/>
    <w:link w:val="ListParagraphChar"/>
    <w:uiPriority w:val="34"/>
    <w:qFormat/>
    <w:rsid w:val="00CF61C5"/>
    <w:pPr>
      <w:numPr>
        <w:numId w:val="30"/>
      </w:numPr>
      <w:spacing w:before="60" w:after="120" w:line="264" w:lineRule="auto"/>
      <w:ind w:left="357" w:hanging="357"/>
    </w:pPr>
    <w:rPr>
      <w:rFonts w:asciiTheme="minorHAnsi" w:eastAsia="SimSun" w:hAnsiTheme="minorHAnsi" w:cstheme="minorHAnsi"/>
      <w:sz w:val="22"/>
      <w:szCs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Book Antiqua" w:hAnsi="Book Antiqu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List-number-2">
    <w:name w:val="List-number-2"/>
    <w:basedOn w:val="Normal"/>
    <w:qFormat/>
    <w:rsid w:val="002B2615"/>
    <w:pPr>
      <w:numPr>
        <w:ilvl w:val="1"/>
        <w:numId w:val="18"/>
      </w:numPr>
      <w:spacing w:before="120"/>
    </w:pPr>
    <w:rPr>
      <w:rFonts w:ascii="Arial" w:hAnsi="Arial"/>
    </w:rPr>
  </w:style>
  <w:style w:type="paragraph" w:customStyle="1" w:styleId="List-number-1">
    <w:name w:val="List-number-1"/>
    <w:basedOn w:val="ListParagraph"/>
    <w:link w:val="List-number-1Char"/>
    <w:qFormat/>
    <w:rsid w:val="007941CC"/>
    <w:pPr>
      <w:numPr>
        <w:ilvl w:val="2"/>
        <w:numId w:val="22"/>
      </w:numPr>
    </w:pPr>
  </w:style>
  <w:style w:type="character" w:customStyle="1" w:styleId="List-number-1Char">
    <w:name w:val="List-number-1 Char"/>
    <w:link w:val="List-number-1"/>
    <w:rsid w:val="007941CC"/>
    <w:rPr>
      <w:rFonts w:eastAsia="SimSun" w:cstheme="minorHAnsi"/>
      <w:color w:val="000000" w:themeColor="text1"/>
      <w:lang w:val="en-US" w:eastAsia="en-GB"/>
    </w:rPr>
  </w:style>
  <w:style w:type="paragraph" w:customStyle="1" w:styleId="List-bullet-2">
    <w:name w:val="List-bullet-2"/>
    <w:basedOn w:val="Normal"/>
    <w:link w:val="List-bullet-2Char"/>
    <w:rsid w:val="002B2615"/>
    <w:pPr>
      <w:numPr>
        <w:numId w:val="19"/>
      </w:numPr>
      <w:spacing w:before="80"/>
    </w:pPr>
    <w:rPr>
      <w:rFonts w:ascii="Arial" w:hAnsi="Arial" w:cs="Arial"/>
      <w:szCs w:val="22"/>
    </w:rPr>
  </w:style>
  <w:style w:type="character" w:customStyle="1" w:styleId="List-bullet-2Char">
    <w:name w:val="List-bullet-2 Char"/>
    <w:link w:val="List-bullet-2"/>
    <w:rsid w:val="002B2615"/>
    <w:rPr>
      <w:rFonts w:ascii="Arial" w:eastAsia="Times New Roman" w:hAnsi="Arial" w:cs="Arial"/>
      <w:sz w:val="24"/>
      <w:lang w:val="en-US" w:eastAsia="en-GB"/>
    </w:rPr>
  </w:style>
  <w:style w:type="paragraph" w:customStyle="1" w:styleId="DocName">
    <w:name w:val="DocName"/>
    <w:basedOn w:val="Normal"/>
    <w:link w:val="DocNameChar"/>
    <w:rsid w:val="002B2615"/>
    <w:pPr>
      <w:jc w:val="center"/>
    </w:pPr>
    <w:rPr>
      <w:rFonts w:ascii="Arial" w:hAnsi="Arial"/>
      <w:b/>
      <w:bCs/>
      <w:sz w:val="28"/>
    </w:rPr>
  </w:style>
  <w:style w:type="paragraph" w:customStyle="1" w:styleId="Heading2numbered">
    <w:name w:val="Heading 2 numbered"/>
    <w:basedOn w:val="Heading2"/>
    <w:next w:val="Normal"/>
    <w:rsid w:val="002B2615"/>
    <w:pPr>
      <w:tabs>
        <w:tab w:val="num" w:pos="357"/>
      </w:tabs>
      <w:spacing w:after="60"/>
      <w:ind w:left="357" w:hanging="357"/>
    </w:pPr>
    <w:rPr>
      <w:rFonts w:ascii="Arial" w:hAnsi="Arial"/>
      <w:b/>
      <w:iCs/>
      <w:color w:val="auto"/>
      <w:kern w:val="0"/>
      <w:sz w:val="26"/>
      <w:szCs w:val="22"/>
    </w:rPr>
  </w:style>
  <w:style w:type="paragraph" w:customStyle="1" w:styleId="Heading3numbered">
    <w:name w:val="Heading 3 numbered"/>
    <w:basedOn w:val="Heading3"/>
    <w:next w:val="Normal"/>
    <w:rsid w:val="002B2615"/>
    <w:pPr>
      <w:keepNext/>
      <w:numPr>
        <w:ilvl w:val="0"/>
      </w:numPr>
      <w:tabs>
        <w:tab w:val="num" w:pos="454"/>
      </w:tabs>
      <w:spacing w:after="60"/>
      <w:ind w:left="454" w:hanging="454"/>
    </w:pPr>
    <w:rPr>
      <w:rFonts w:ascii="Arial" w:hAnsi="Arial" w:cs="Times New Roman"/>
      <w:bCs/>
      <w:i/>
      <w:iCs/>
      <w:color w:val="auto"/>
      <w:kern w:val="0"/>
      <w:szCs w:val="26"/>
      <w:lang w:eastAsia="en-US"/>
    </w:rPr>
  </w:style>
  <w:style w:type="paragraph" w:customStyle="1" w:styleId="List-outline-numbered">
    <w:name w:val="List-outline-numbered"/>
    <w:basedOn w:val="Normal"/>
    <w:rsid w:val="002B2615"/>
    <w:pPr>
      <w:tabs>
        <w:tab w:val="num" w:pos="737"/>
      </w:tabs>
      <w:spacing w:before="120"/>
      <w:ind w:left="737" w:hanging="380"/>
    </w:pPr>
    <w:rPr>
      <w:rFonts w:ascii="Arial" w:hAnsi="Arial"/>
    </w:rPr>
  </w:style>
  <w:style w:type="character" w:customStyle="1" w:styleId="DocNameChar">
    <w:name w:val="DocName Char"/>
    <w:link w:val="DocName"/>
    <w:rsid w:val="002B2615"/>
    <w:rPr>
      <w:rFonts w:ascii="Arial" w:eastAsia="Times New Roman" w:hAnsi="Arial" w:cs="Times New Roman"/>
      <w:b/>
      <w:bCs/>
      <w:sz w:val="28"/>
      <w:szCs w:val="24"/>
      <w:lang w:eastAsia="en-US"/>
    </w:rPr>
  </w:style>
  <w:style w:type="character" w:styleId="PlaceholderText">
    <w:name w:val="Placeholder Text"/>
    <w:basedOn w:val="DefaultParagraphFont"/>
    <w:uiPriority w:val="99"/>
    <w:semiHidden/>
    <w:rsid w:val="002B2615"/>
    <w:rPr>
      <w:color w:val="808080"/>
    </w:rPr>
  </w:style>
  <w:style w:type="paragraph" w:styleId="BodyText2">
    <w:name w:val="Body Text 2"/>
    <w:basedOn w:val="Normal"/>
    <w:link w:val="BodyText2Char"/>
    <w:uiPriority w:val="99"/>
    <w:semiHidden/>
    <w:unhideWhenUsed/>
    <w:rsid w:val="00A25DCA"/>
    <w:pPr>
      <w:spacing w:before="200" w:after="120" w:line="480" w:lineRule="auto"/>
    </w:pPr>
    <w:rPr>
      <w:rFonts w:asciiTheme="minorHAnsi" w:eastAsiaTheme="minorEastAsia" w:hAnsiTheme="minorHAnsi" w:cstheme="minorBidi"/>
      <w:szCs w:val="20"/>
    </w:rPr>
  </w:style>
  <w:style w:type="character" w:customStyle="1" w:styleId="BodyText2Char">
    <w:name w:val="Body Text 2 Char"/>
    <w:basedOn w:val="DefaultParagraphFont"/>
    <w:link w:val="BodyText2"/>
    <w:uiPriority w:val="99"/>
    <w:semiHidden/>
    <w:rsid w:val="00A25DCA"/>
    <w:rPr>
      <w:rFonts w:eastAsiaTheme="minorEastAsia"/>
      <w:sz w:val="20"/>
      <w:szCs w:val="20"/>
      <w:lang w:eastAsia="en-US"/>
    </w:rPr>
  </w:style>
  <w:style w:type="paragraph" w:styleId="TOC4">
    <w:name w:val="toc 4"/>
    <w:basedOn w:val="Normal"/>
    <w:next w:val="Normal"/>
    <w:autoRedefine/>
    <w:uiPriority w:val="39"/>
    <w:unhideWhenUsed/>
    <w:rsid w:val="003C16C1"/>
    <w:rPr>
      <w:rFonts w:asciiTheme="minorHAnsi" w:hAnsiTheme="minorHAnsi"/>
      <w:sz w:val="22"/>
      <w:szCs w:val="22"/>
    </w:rPr>
  </w:style>
  <w:style w:type="paragraph" w:styleId="TOC5">
    <w:name w:val="toc 5"/>
    <w:basedOn w:val="Normal"/>
    <w:next w:val="Normal"/>
    <w:autoRedefine/>
    <w:uiPriority w:val="39"/>
    <w:unhideWhenUsed/>
    <w:rsid w:val="003C16C1"/>
    <w:rPr>
      <w:rFonts w:asciiTheme="minorHAnsi" w:hAnsiTheme="minorHAnsi"/>
      <w:sz w:val="22"/>
      <w:szCs w:val="22"/>
    </w:rPr>
  </w:style>
  <w:style w:type="paragraph" w:styleId="TOC6">
    <w:name w:val="toc 6"/>
    <w:basedOn w:val="Normal"/>
    <w:next w:val="Normal"/>
    <w:autoRedefine/>
    <w:unhideWhenUsed/>
    <w:rsid w:val="003C16C1"/>
    <w:rPr>
      <w:rFonts w:asciiTheme="minorHAnsi" w:hAnsiTheme="minorHAnsi"/>
      <w:sz w:val="22"/>
      <w:szCs w:val="22"/>
    </w:rPr>
  </w:style>
  <w:style w:type="paragraph" w:styleId="TOC7">
    <w:name w:val="toc 7"/>
    <w:basedOn w:val="Normal"/>
    <w:next w:val="Normal"/>
    <w:autoRedefine/>
    <w:unhideWhenUsed/>
    <w:rsid w:val="003C16C1"/>
    <w:rPr>
      <w:rFonts w:asciiTheme="minorHAnsi" w:hAnsiTheme="minorHAnsi"/>
      <w:sz w:val="22"/>
      <w:szCs w:val="22"/>
    </w:rPr>
  </w:style>
  <w:style w:type="paragraph" w:styleId="TOC8">
    <w:name w:val="toc 8"/>
    <w:basedOn w:val="Normal"/>
    <w:next w:val="Normal"/>
    <w:autoRedefine/>
    <w:uiPriority w:val="39"/>
    <w:unhideWhenUsed/>
    <w:rsid w:val="003C16C1"/>
    <w:rPr>
      <w:rFonts w:asciiTheme="minorHAnsi" w:hAnsiTheme="minorHAnsi"/>
      <w:sz w:val="22"/>
      <w:szCs w:val="22"/>
    </w:rPr>
  </w:style>
  <w:style w:type="paragraph" w:styleId="TOC9">
    <w:name w:val="toc 9"/>
    <w:basedOn w:val="Normal"/>
    <w:next w:val="Normal"/>
    <w:autoRedefine/>
    <w:uiPriority w:val="39"/>
    <w:unhideWhenUsed/>
    <w:rsid w:val="003C16C1"/>
    <w:rPr>
      <w:rFonts w:asciiTheme="minorHAnsi" w:hAnsiTheme="minorHAnsi"/>
      <w:sz w:val="22"/>
      <w:szCs w:val="22"/>
    </w:rPr>
  </w:style>
  <w:style w:type="paragraph" w:customStyle="1" w:styleId="bullet">
    <w:name w:val="bullet"/>
    <w:basedOn w:val="BodyText"/>
    <w:qFormat/>
    <w:rsid w:val="00DE7648"/>
    <w:pPr>
      <w:numPr>
        <w:numId w:val="20"/>
      </w:numPr>
      <w:spacing w:before="120" w:after="120" w:line="280" w:lineRule="atLeast"/>
      <w:ind w:left="709" w:hanging="283"/>
    </w:pPr>
    <w:rPr>
      <w:rFonts w:cs="Arial"/>
      <w:sz w:val="20"/>
      <w:szCs w:val="20"/>
      <w:lang w:bidi="en-US"/>
    </w:rPr>
  </w:style>
  <w:style w:type="paragraph" w:customStyle="1" w:styleId="bullet1">
    <w:name w:val="bullet1"/>
    <w:basedOn w:val="bullet"/>
    <w:rsid w:val="00D96431"/>
    <w:pPr>
      <w:numPr>
        <w:ilvl w:val="1"/>
      </w:numPr>
      <w:ind w:left="993" w:hanging="284"/>
    </w:pPr>
  </w:style>
  <w:style w:type="paragraph" w:customStyle="1" w:styleId="ListParagraphindent">
    <w:name w:val="List Paragraph indent"/>
    <w:basedOn w:val="ListParagraph"/>
    <w:rsid w:val="00D96431"/>
    <w:pPr>
      <w:numPr>
        <w:numId w:val="0"/>
      </w:numPr>
      <w:spacing w:after="200"/>
      <w:ind w:left="987" w:hanging="360"/>
    </w:pPr>
    <w:rPr>
      <w:rFonts w:ascii="Arial" w:hAnsi="Arial" w:cs="Arial"/>
    </w:rPr>
  </w:style>
  <w:style w:type="paragraph" w:customStyle="1" w:styleId="ListParagraphindent2">
    <w:name w:val="List Paragraph indent 2"/>
    <w:basedOn w:val="ListParagraphindent"/>
    <w:rsid w:val="00D96431"/>
    <w:pPr>
      <w:ind w:left="1527"/>
    </w:pPr>
  </w:style>
  <w:style w:type="paragraph" w:customStyle="1" w:styleId="ListParagraphindent3">
    <w:name w:val="List Paragraph indent 3"/>
    <w:basedOn w:val="ListParagraphindent2"/>
    <w:rsid w:val="00D1010F"/>
    <w:pPr>
      <w:numPr>
        <w:ilvl w:val="4"/>
        <w:numId w:val="21"/>
      </w:numPr>
    </w:pPr>
    <w:rPr>
      <w:color w:val="000000"/>
    </w:rPr>
  </w:style>
  <w:style w:type="paragraph" w:customStyle="1" w:styleId="Div">
    <w:name w:val="Div"/>
    <w:basedOn w:val="Normal"/>
    <w:rsid w:val="00F10E4C"/>
    <w:pPr>
      <w:shd w:val="solid" w:color="FFFFFF" w:fill="auto"/>
    </w:pPr>
    <w:rPr>
      <w:rFonts w:ascii="Franklin Gothic Book" w:eastAsia="Tahoma" w:hAnsi="Franklin Gothic Book" w:cs="Tahoma"/>
      <w:color w:val="000000"/>
      <w:sz w:val="22"/>
      <w:shd w:val="solid" w:color="FFFFFF" w:fill="auto"/>
      <w:lang w:val="ru-RU" w:eastAsia="ru-RU"/>
    </w:rPr>
  </w:style>
  <w:style w:type="paragraph" w:customStyle="1" w:styleId="Default">
    <w:name w:val="Default"/>
    <w:rsid w:val="00513704"/>
    <w:pPr>
      <w:autoSpaceDE w:val="0"/>
      <w:autoSpaceDN w:val="0"/>
      <w:adjustRightInd w:val="0"/>
      <w:spacing w:after="0" w:line="240" w:lineRule="auto"/>
    </w:pPr>
    <w:rPr>
      <w:rFonts w:ascii="Times New Roman" w:hAnsi="Times New Roman" w:cs="Times New Roman"/>
      <w:color w:val="000000"/>
      <w:sz w:val="24"/>
      <w:szCs w:val="24"/>
      <w:lang w:val="en-GB" w:eastAsia="en-US"/>
    </w:rPr>
  </w:style>
  <w:style w:type="character" w:customStyle="1" w:styleId="ListParagraphChar">
    <w:name w:val="List Paragraph Char"/>
    <w:aliases w:val="List Paragraph1 Char,List Paragraph11 Char,L Char,Recommendation Char,CV text Char,Table text Char,Bullets level 1 Char,List Paragraph - Dani Char,List Paragraph 1 - Dani Char,Akapit z listą BS Char,Table/Figure Heading Char"/>
    <w:basedOn w:val="DefaultParagraphFont"/>
    <w:link w:val="ListParagraph"/>
    <w:uiPriority w:val="34"/>
    <w:locked/>
    <w:rsid w:val="00CF61C5"/>
    <w:rPr>
      <w:rFonts w:eastAsia="SimSun" w:cstheme="minorHAnsi"/>
      <w:color w:val="000000" w:themeColor="text1"/>
      <w:lang w:val="en-US" w:eastAsia="en-GB"/>
    </w:rPr>
  </w:style>
  <w:style w:type="paragraph" w:customStyle="1" w:styleId="Bulletpoint">
    <w:name w:val="Bullet point"/>
    <w:basedOn w:val="ListParagraph"/>
    <w:link w:val="BulletpointChar"/>
    <w:qFormat/>
    <w:rsid w:val="00680146"/>
    <w:pPr>
      <w:numPr>
        <w:numId w:val="23"/>
      </w:numPr>
      <w:spacing w:before="120"/>
      <w:ind w:left="217" w:hanging="217"/>
      <w:jc w:val="both"/>
    </w:pPr>
    <w:rPr>
      <w:rFonts w:eastAsia="Times New Roman"/>
      <w:b/>
      <w:sz w:val="21"/>
      <w:szCs w:val="21"/>
    </w:rPr>
  </w:style>
  <w:style w:type="character" w:customStyle="1" w:styleId="BulletpointChar">
    <w:name w:val="Bullet point Char"/>
    <w:basedOn w:val="ListParagraphChar"/>
    <w:link w:val="Bulletpoint"/>
    <w:rsid w:val="00680146"/>
    <w:rPr>
      <w:rFonts w:eastAsia="Times New Roman" w:cstheme="minorHAnsi"/>
      <w:b/>
      <w:color w:val="000000" w:themeColor="text1"/>
      <w:sz w:val="21"/>
      <w:szCs w:val="21"/>
      <w:lang w:val="en-US" w:eastAsia="en-GB"/>
    </w:rPr>
  </w:style>
  <w:style w:type="table" w:customStyle="1" w:styleId="GridTable4-Accent61">
    <w:name w:val="Grid Table 4 - Accent 61"/>
    <w:basedOn w:val="TableNormal"/>
    <w:next w:val="TableNormal"/>
    <w:uiPriority w:val="49"/>
    <w:rsid w:val="009753DD"/>
    <w:pPr>
      <w:spacing w:after="0" w:line="240" w:lineRule="auto"/>
    </w:pPr>
    <w:rPr>
      <w:rFonts w:ascii="Calibri" w:hAnsi="Calibri" w:cs="Times New Roman"/>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TableTitle">
    <w:name w:val="Table Title"/>
    <w:basedOn w:val="BodyText"/>
    <w:next w:val="Normal"/>
    <w:semiHidden/>
    <w:rsid w:val="00C95CAC"/>
    <w:pPr>
      <w:keepNext/>
      <w:spacing w:before="360" w:after="80" w:line="220" w:lineRule="exact"/>
      <w:ind w:left="454" w:hanging="454"/>
    </w:pPr>
    <w:rPr>
      <w:rFonts w:ascii="Arial" w:hAnsi="Arial"/>
      <w:sz w:val="20"/>
      <w:szCs w:val="21"/>
    </w:rPr>
  </w:style>
  <w:style w:type="paragraph" w:customStyle="1" w:styleId="Heading1unnumbered">
    <w:name w:val="Heading 1 unnumbered"/>
    <w:basedOn w:val="Normal"/>
    <w:next w:val="BodyText"/>
    <w:rsid w:val="00C95CAC"/>
    <w:pPr>
      <w:spacing w:after="1560" w:line="480" w:lineRule="exact"/>
    </w:pPr>
    <w:rPr>
      <w:rFonts w:ascii="Book Antiqua" w:hAnsi="Book Antiqua"/>
      <w:b/>
      <w:i/>
      <w:sz w:val="40"/>
      <w:szCs w:val="40"/>
    </w:rPr>
  </w:style>
  <w:style w:type="paragraph" w:customStyle="1" w:styleId="yiv7272868170msonormal">
    <w:name w:val="yiv7272868170msonormal"/>
    <w:basedOn w:val="Normal"/>
    <w:rsid w:val="0099102B"/>
    <w:pPr>
      <w:spacing w:before="100" w:beforeAutospacing="1" w:after="100" w:afterAutospacing="1"/>
    </w:pPr>
  </w:style>
  <w:style w:type="table" w:customStyle="1" w:styleId="GridTable1Light-Accent11">
    <w:name w:val="Grid Table 1 Light - Accent 11"/>
    <w:basedOn w:val="TableNormal"/>
    <w:uiPriority w:val="46"/>
    <w:rsid w:val="00525A0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525A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BusinessPaper">
    <w:name w:val="Business Paper"/>
    <w:basedOn w:val="TableNormal"/>
    <w:uiPriority w:val="99"/>
    <w:rsid w:val="00FD3AF5"/>
    <w:pPr>
      <w:spacing w:before="240" w:after="180" w:line="240" w:lineRule="auto"/>
    </w:pPr>
    <w:rPr>
      <w:b/>
      <w:color w:val="7F7F7F" w:themeColor="text1" w:themeTint="80"/>
      <w:sz w:val="24"/>
      <w:szCs w:val="24"/>
      <w:lang w:val="en-US" w:eastAsia="ja-JP"/>
    </w:rPr>
    <w:tblPr>
      <w:tblBorders>
        <w:bottom w:val="single" w:sz="6" w:space="0" w:color="4F81BD" w:themeColor="accent1"/>
        <w:insideH w:val="single" w:sz="6" w:space="0" w:color="4F81BD" w:themeColor="accent1"/>
      </w:tblBorders>
      <w:tblCellMar>
        <w:left w:w="230" w:type="dxa"/>
        <w:right w:w="0" w:type="dxa"/>
      </w:tblCellMar>
    </w:tblPr>
    <w:tblStylePr w:type="firstRow">
      <w:pPr>
        <w:wordWrap/>
        <w:spacing w:beforeLines="0" w:beforeAutospacing="0" w:afterLines="0" w:afterAutospacing="0"/>
      </w:pPr>
      <w:rPr>
        <w:b/>
        <w:i w:val="0"/>
        <w:color w:val="EEECE1" w:themeColor="background2"/>
        <w:sz w:val="28"/>
      </w:rPr>
      <w:tblPr/>
      <w:trPr>
        <w:tblHeader/>
      </w:trPr>
      <w:tcPr>
        <w:tcBorders>
          <w:top w:val="nil"/>
          <w:left w:val="nil"/>
          <w:bottom w:val="nil"/>
          <w:right w:val="nil"/>
          <w:insideH w:val="nil"/>
          <w:insideV w:val="nil"/>
          <w:tl2br w:val="nil"/>
          <w:tr2bl w:val="nil"/>
        </w:tcBorders>
        <w:shd w:val="clear" w:color="auto" w:fill="4F81BD" w:themeFill="accent1"/>
        <w:vAlign w:val="bottom"/>
      </w:tcPr>
    </w:tblStylePr>
    <w:tblStylePr w:type="firstCol">
      <w:pPr>
        <w:wordWrap/>
        <w:spacing w:beforeLines="0" w:beforeAutospacing="0" w:afterLines="0" w:afterAutospacing="0"/>
        <w:jc w:val="right"/>
      </w:pPr>
      <w:rPr>
        <w:rFonts w:asciiTheme="majorHAnsi" w:hAnsiTheme="majorHAnsi"/>
        <w:b w:val="0"/>
        <w:i w:val="0"/>
        <w:color w:val="4F81BD" w:themeColor="accent1"/>
        <w:sz w:val="24"/>
      </w:rPr>
    </w:tblStylePr>
    <w:tblStylePr w:type="nwCell">
      <w:pPr>
        <w:wordWrap/>
        <w:jc w:val="left"/>
      </w:pPr>
    </w:tblStylePr>
  </w:style>
  <w:style w:type="paragraph" w:customStyle="1" w:styleId="bullettable">
    <w:name w:val="bullet table"/>
    <w:basedOn w:val="ListParagraph"/>
    <w:qFormat/>
    <w:rsid w:val="00367246"/>
    <w:pPr>
      <w:numPr>
        <w:numId w:val="24"/>
      </w:numPr>
      <w:spacing w:before="120"/>
      <w:contextualSpacing/>
    </w:pPr>
    <w:rPr>
      <w:rFonts w:eastAsiaTheme="minorHAnsi" w:cs="Arial"/>
      <w:color w:val="000000"/>
      <w:sz w:val="21"/>
      <w:lang w:eastAsia="ja-JP"/>
    </w:rPr>
  </w:style>
  <w:style w:type="paragraph" w:customStyle="1" w:styleId="Bullet0">
    <w:name w:val="Bullet"/>
    <w:basedOn w:val="Normal"/>
    <w:qFormat/>
    <w:rsid w:val="00225A2A"/>
    <w:pPr>
      <w:numPr>
        <w:numId w:val="25"/>
      </w:numPr>
      <w:spacing w:after="120" w:line="264" w:lineRule="auto"/>
    </w:pPr>
    <w:rPr>
      <w:rFonts w:asciiTheme="minorHAnsi" w:eastAsiaTheme="minorHAnsi" w:hAnsiTheme="minorHAnsi" w:cstheme="minorHAnsi"/>
      <w:iCs/>
      <w:sz w:val="22"/>
      <w:szCs w:val="22"/>
      <w:lang w:val="en-AU" w:eastAsia="ja-JP"/>
    </w:rPr>
  </w:style>
  <w:style w:type="table" w:customStyle="1" w:styleId="GridTable3-Accent11">
    <w:name w:val="Grid Table 3 - Accent 11"/>
    <w:basedOn w:val="TableNormal"/>
    <w:uiPriority w:val="48"/>
    <w:rsid w:val="00AA08C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GridLight1">
    <w:name w:val="Table Grid Light1"/>
    <w:basedOn w:val="TableNormal"/>
    <w:uiPriority w:val="40"/>
    <w:rsid w:val="00233E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4679D0"/>
  </w:style>
  <w:style w:type="paragraph" w:customStyle="1" w:styleId="Table-normal-text">
    <w:name w:val="Table-normal-text"/>
    <w:basedOn w:val="Normal"/>
    <w:rsid w:val="00310A06"/>
    <w:pPr>
      <w:spacing w:before="60"/>
    </w:pPr>
    <w:rPr>
      <w:rFonts w:ascii="Arial" w:hAnsi="Arial"/>
    </w:rPr>
  </w:style>
  <w:style w:type="character" w:customStyle="1" w:styleId="UnresolvedMention1">
    <w:name w:val="Unresolved Mention1"/>
    <w:basedOn w:val="DefaultParagraphFont"/>
    <w:uiPriority w:val="99"/>
    <w:semiHidden/>
    <w:unhideWhenUsed/>
    <w:rsid w:val="00494149"/>
    <w:rPr>
      <w:color w:val="605E5C"/>
      <w:shd w:val="clear" w:color="auto" w:fill="E1DFDD"/>
    </w:rPr>
  </w:style>
  <w:style w:type="character" w:customStyle="1" w:styleId="UnresolvedMention2">
    <w:name w:val="Unresolved Mention2"/>
    <w:basedOn w:val="DefaultParagraphFont"/>
    <w:uiPriority w:val="99"/>
    <w:semiHidden/>
    <w:unhideWhenUsed/>
    <w:rsid w:val="00DA5189"/>
    <w:rPr>
      <w:color w:val="605E5C"/>
      <w:shd w:val="clear" w:color="auto" w:fill="E1DFDD"/>
    </w:rPr>
  </w:style>
  <w:style w:type="character" w:customStyle="1" w:styleId="UnresolvedMention3">
    <w:name w:val="Unresolved Mention3"/>
    <w:basedOn w:val="DefaultParagraphFont"/>
    <w:uiPriority w:val="99"/>
    <w:semiHidden/>
    <w:unhideWhenUsed/>
    <w:rsid w:val="001A01FA"/>
    <w:rPr>
      <w:color w:val="605E5C"/>
      <w:shd w:val="clear" w:color="auto" w:fill="E1DFDD"/>
    </w:rPr>
  </w:style>
  <w:style w:type="paragraph" w:styleId="NoSpacing">
    <w:name w:val="No Spacing"/>
    <w:uiPriority w:val="1"/>
    <w:qFormat/>
    <w:rsid w:val="00AF44E8"/>
    <w:pPr>
      <w:spacing w:after="0" w:line="240" w:lineRule="auto"/>
    </w:pPr>
    <w:rPr>
      <w:lang w:eastAsia="en-US"/>
    </w:rPr>
  </w:style>
  <w:style w:type="numbering" w:customStyle="1" w:styleId="Bullettedlists">
    <w:name w:val="Bulletted lists"/>
    <w:uiPriority w:val="99"/>
    <w:rsid w:val="00FC6195"/>
    <w:pPr>
      <w:numPr>
        <w:numId w:val="44"/>
      </w:numPr>
    </w:pPr>
  </w:style>
  <w:style w:type="paragraph" w:styleId="ListBullet4">
    <w:name w:val="List Bullet 4"/>
    <w:basedOn w:val="Normal"/>
    <w:uiPriority w:val="99"/>
    <w:semiHidden/>
    <w:unhideWhenUsed/>
    <w:rsid w:val="00FC6195"/>
    <w:pPr>
      <w:ind w:left="1728" w:hanging="432"/>
      <w:contextualSpacing/>
    </w:pPr>
  </w:style>
  <w:style w:type="paragraph" w:styleId="ListBullet5">
    <w:name w:val="List Bullet 5"/>
    <w:basedOn w:val="Normal"/>
    <w:uiPriority w:val="99"/>
    <w:semiHidden/>
    <w:unhideWhenUsed/>
    <w:rsid w:val="00FC6195"/>
    <w:pPr>
      <w:ind w:left="2160" w:hanging="432"/>
      <w:contextualSpacing/>
    </w:pPr>
  </w:style>
  <w:style w:type="numbering" w:customStyle="1" w:styleId="Headings">
    <w:name w:val="Headings"/>
    <w:uiPriority w:val="99"/>
    <w:rsid w:val="00AB449D"/>
    <w:pPr>
      <w:numPr>
        <w:numId w:val="45"/>
      </w:numPr>
    </w:pPr>
  </w:style>
  <w:style w:type="numbering" w:customStyle="1" w:styleId="NumberedLists">
    <w:name w:val="NumberedLists"/>
    <w:uiPriority w:val="99"/>
    <w:rsid w:val="00AB449D"/>
    <w:pPr>
      <w:numPr>
        <w:numId w:val="46"/>
      </w:numPr>
    </w:pPr>
  </w:style>
  <w:style w:type="paragraph" w:styleId="ListNumber4">
    <w:name w:val="List Number 4"/>
    <w:basedOn w:val="Normal"/>
    <w:uiPriority w:val="99"/>
    <w:semiHidden/>
    <w:unhideWhenUsed/>
    <w:rsid w:val="00AB449D"/>
    <w:pPr>
      <w:spacing w:after="210" w:line="276" w:lineRule="auto"/>
      <w:ind w:left="1800" w:hanging="360"/>
      <w:contextualSpacing/>
    </w:pPr>
    <w:rPr>
      <w:rFonts w:asciiTheme="minorHAnsi" w:eastAsiaTheme="minorHAnsi" w:hAnsiTheme="minorHAnsi"/>
      <w:color w:val="000000" w:themeColor="text1"/>
      <w:sz w:val="21"/>
      <w:szCs w:val="21"/>
      <w:lang w:val="en-AU" w:eastAsia="en-US"/>
    </w:rPr>
  </w:style>
  <w:style w:type="paragraph" w:styleId="ListNumber5">
    <w:name w:val="List Number 5"/>
    <w:basedOn w:val="Normal"/>
    <w:uiPriority w:val="99"/>
    <w:semiHidden/>
    <w:unhideWhenUsed/>
    <w:rsid w:val="00AB449D"/>
    <w:pPr>
      <w:spacing w:after="210" w:line="276" w:lineRule="auto"/>
      <w:ind w:left="2160" w:hanging="360"/>
      <w:contextualSpacing/>
    </w:pPr>
    <w:rPr>
      <w:rFonts w:asciiTheme="minorHAnsi" w:eastAsiaTheme="minorHAnsi" w:hAnsiTheme="minorHAnsi"/>
      <w:color w:val="000000" w:themeColor="text1"/>
      <w:sz w:val="21"/>
      <w:szCs w:val="21"/>
      <w:lang w:val="en-AU" w:eastAsia="en-US"/>
    </w:rPr>
  </w:style>
  <w:style w:type="table" w:customStyle="1" w:styleId="CHTable1">
    <w:name w:val="CH Table 1"/>
    <w:basedOn w:val="TableNormal"/>
    <w:uiPriority w:val="99"/>
    <w:rsid w:val="000016C9"/>
    <w:pPr>
      <w:spacing w:before="100" w:after="100" w:line="240" w:lineRule="auto"/>
    </w:pPr>
    <w:rPr>
      <w:rFonts w:cs="Times New Roman"/>
      <w:color w:val="000000" w:themeColor="text1"/>
      <w:sz w:val="20"/>
      <w:szCs w:val="21"/>
      <w:lang w:eastAsia="en-US"/>
    </w:rPr>
    <w:tblPr>
      <w:tblStyleRowBandSize w:val="1"/>
      <w:tblStyleColBandSize w:val="1"/>
      <w:tblBorders>
        <w:insideH w:val="single" w:sz="4" w:space="0" w:color="8064A2" w:themeColor="accent4"/>
        <w:insideV w:val="single" w:sz="4" w:space="0" w:color="8064A2" w:themeColor="accent4"/>
      </w:tblBorders>
    </w:tblPr>
    <w:trPr>
      <w:cantSplit/>
    </w:trPr>
    <w:tblStylePr w:type="firstRow">
      <w:rPr>
        <w:b/>
        <w:color w:val="FFFFFF" w:themeColor="background1"/>
        <w:sz w:val="24"/>
      </w:rPr>
      <w:tblPr/>
      <w:trPr>
        <w:tblHeader/>
      </w:trPr>
      <w:tcPr>
        <w:shd w:val="clear" w:color="auto" w:fill="4F81BD" w:themeFill="accent1"/>
      </w:tcPr>
    </w:tblStylePr>
    <w:tblStylePr w:type="firstCol">
      <w:rPr>
        <w:sz w:val="24"/>
      </w:rPr>
      <w:tblPr/>
      <w:tcPr>
        <w:tcBorders>
          <w:top w:val="nil"/>
          <w:left w:val="nil"/>
          <w:bottom w:val="nil"/>
          <w:right w:val="nil"/>
          <w:insideH w:val="nil"/>
          <w:insideV w:val="nil"/>
          <w:tl2br w:val="nil"/>
          <w:tr2bl w:val="nil"/>
        </w:tcBorders>
        <w:shd w:val="clear" w:color="auto" w:fill="FFFFFF" w:themeFill="background1"/>
      </w:tcPr>
    </w:tblStylePr>
  </w:style>
  <w:style w:type="paragraph" w:styleId="TOCHeading">
    <w:name w:val="TOC Heading"/>
    <w:basedOn w:val="Heading1"/>
    <w:next w:val="Normal"/>
    <w:uiPriority w:val="39"/>
    <w:unhideWhenUsed/>
    <w:rsid w:val="000016C9"/>
    <w:pPr>
      <w:keepLines/>
      <w:spacing w:before="0" w:after="360" w:line="259" w:lineRule="auto"/>
      <w:outlineLvl w:val="9"/>
    </w:pPr>
    <w:rPr>
      <w:rFonts w:asciiTheme="majorHAnsi" w:eastAsiaTheme="majorEastAsia" w:hAnsiTheme="majorHAnsi" w:cstheme="majorBidi"/>
      <w:color w:val="4F81BD" w:themeColor="accent1"/>
      <w:spacing w:val="0"/>
      <w:kern w:val="0"/>
      <w:sz w:val="36"/>
      <w:szCs w:val="32"/>
      <w:lang w:eastAsia="en-US"/>
    </w:rPr>
  </w:style>
  <w:style w:type="table" w:customStyle="1" w:styleId="CHTable2">
    <w:name w:val="CH Table 2"/>
    <w:basedOn w:val="CHTable1"/>
    <w:uiPriority w:val="99"/>
    <w:rsid w:val="000016C9"/>
    <w:tblPr/>
    <w:tblStylePr w:type="firstRow">
      <w:rPr>
        <w:b/>
        <w:color w:val="FFFFFF" w:themeColor="background1"/>
        <w:sz w:val="24"/>
      </w:rPr>
      <w:tblPr/>
      <w:trPr>
        <w:tblHeader/>
      </w:trPr>
      <w:tcPr>
        <w:shd w:val="clear" w:color="auto" w:fill="4F81BD" w:themeFill="accent1"/>
      </w:tc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4F81BD" w:themeFill="accent1"/>
      </w:tcPr>
    </w:tblStylePr>
  </w:style>
  <w:style w:type="table" w:customStyle="1" w:styleId="CHTable3">
    <w:name w:val="CH Table 3"/>
    <w:basedOn w:val="CHTable2"/>
    <w:uiPriority w:val="99"/>
    <w:rsid w:val="000016C9"/>
    <w:tblPr/>
    <w:tblStylePr w:type="firstRow">
      <w:rPr>
        <w:b/>
        <w:color w:val="FFFFFF" w:themeColor="background1"/>
        <w:sz w:val="24"/>
      </w:rPr>
      <w:tblPr/>
      <w:trPr>
        <w:tblHeader/>
      </w:trPr>
      <w:tcPr>
        <w:shd w:val="clear" w:color="auto" w:fill="4F81BD" w:themeFill="accent1"/>
      </w:tc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4F81BD" w:themeFill="accent1"/>
      </w:tcPr>
    </w:tblStylePr>
    <w:tblStylePr w:type="nwCell">
      <w:rPr>
        <w:color w:val="000000" w:themeColor="text1"/>
      </w:rPr>
      <w:tblPr/>
      <w:tcPr>
        <w:tcBorders>
          <w:top w:val="nil"/>
          <w:left w:val="nil"/>
          <w:bottom w:val="single" w:sz="4" w:space="0" w:color="4F81BD" w:themeColor="accent1"/>
          <w:right w:val="single" w:sz="4" w:space="0" w:color="4F81BD" w:themeColor="accent1"/>
          <w:insideH w:val="nil"/>
          <w:insideV w:val="nil"/>
          <w:tl2br w:val="nil"/>
          <w:tr2bl w:val="nil"/>
        </w:tcBorders>
        <w:shd w:val="clear" w:color="auto" w:fill="FFFFFF" w:themeFill="background1"/>
      </w:tcPr>
    </w:tblStylePr>
  </w:style>
  <w:style w:type="paragraph" w:customStyle="1" w:styleId="CHBlackHeading">
    <w:name w:val="CH Black Heading"/>
    <w:basedOn w:val="Normal"/>
    <w:next w:val="Normal"/>
    <w:link w:val="CHBlackHeadingChar"/>
    <w:qFormat/>
    <w:rsid w:val="000016C9"/>
    <w:pPr>
      <w:spacing w:before="100" w:after="100"/>
    </w:pPr>
    <w:rPr>
      <w:b/>
      <w:lang w:eastAsia="en-US"/>
    </w:rPr>
  </w:style>
  <w:style w:type="character" w:customStyle="1" w:styleId="CHBlackHeadingChar">
    <w:name w:val="CH Black Heading Char"/>
    <w:basedOn w:val="DefaultParagraphFont"/>
    <w:link w:val="CHBlackHeading"/>
    <w:rsid w:val="000016C9"/>
    <w:rPr>
      <w:rFonts w:ascii="Times New Roman" w:eastAsia="Times New Roman" w:hAnsi="Times New Roman" w:cs="Times New Roman"/>
      <w:b/>
      <w:sz w:val="24"/>
      <w:szCs w:val="24"/>
      <w:lang w:val="en-US" w:eastAsia="en-US"/>
    </w:rPr>
  </w:style>
  <w:style w:type="table" w:customStyle="1" w:styleId="CHTable4">
    <w:name w:val="CH Table 4"/>
    <w:basedOn w:val="TableNormal"/>
    <w:uiPriority w:val="99"/>
    <w:rsid w:val="000016C9"/>
    <w:pPr>
      <w:spacing w:before="100" w:after="0" w:line="240" w:lineRule="auto"/>
    </w:pPr>
    <w:rPr>
      <w:rFonts w:cs="Times New Roman"/>
      <w:color w:val="000000" w:themeColor="text1"/>
      <w:sz w:val="20"/>
      <w:szCs w:val="21"/>
      <w:lang w:eastAsia="en-US"/>
    </w:rPr>
    <w:tblPr>
      <w:tblStyleRowBandSize w:val="1"/>
      <w:tblStyleColBandSize w:val="1"/>
      <w:tblBorders>
        <w:insideH w:val="single" w:sz="4" w:space="0" w:color="8064A2" w:themeColor="accent4"/>
        <w:insideV w:val="single" w:sz="4" w:space="0" w:color="BFBFBF" w:themeColor="background1" w:themeShade="BF"/>
      </w:tblBorders>
    </w:tblPr>
    <w:trPr>
      <w:cantSplit/>
    </w:trPr>
    <w:tblStylePr w:type="firstRow">
      <w:rPr>
        <w:b/>
        <w:color w:val="FFFFFF" w:themeColor="background1"/>
        <w:sz w:val="24"/>
      </w:rPr>
      <w:tblPr/>
      <w:trPr>
        <w:tblHeader/>
      </w:trPr>
      <w:tcPr>
        <w:shd w:val="clear" w:color="auto" w:fill="4F81BD" w:themeFill="accent1"/>
      </w:tcPr>
    </w:tblStylePr>
    <w:tblStylePr w:type="firstCol">
      <w:rPr>
        <w:rFonts w:asciiTheme="minorHAnsi" w:hAnsiTheme="minorHAnsi"/>
        <w:sz w:val="20"/>
      </w:rPr>
      <w:tblPr/>
      <w:tcPr>
        <w:tcBorders>
          <w:top w:val="nil"/>
          <w:left w:val="nil"/>
          <w:bottom w:val="nil"/>
          <w:right w:val="nil"/>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style>
  <w:style w:type="table" w:customStyle="1" w:styleId="CHTable5">
    <w:name w:val="CH Table 5"/>
    <w:basedOn w:val="TableNormal"/>
    <w:uiPriority w:val="99"/>
    <w:rsid w:val="000016C9"/>
    <w:pPr>
      <w:spacing w:before="100" w:after="0" w:line="240" w:lineRule="auto"/>
    </w:pPr>
    <w:rPr>
      <w:rFonts w:cs="Times New Roman"/>
      <w:color w:val="000000" w:themeColor="text1"/>
      <w:sz w:val="20"/>
      <w:szCs w:val="21"/>
      <w:lang w:eastAsia="en-US"/>
    </w:rPr>
    <w:tblPr>
      <w:tblStyleRowBandSize w:val="1"/>
      <w:tblStyleColBandSize w:val="1"/>
      <w:tblBorders>
        <w:insideH w:val="single" w:sz="4" w:space="0" w:color="8064A2" w:themeColor="accent4"/>
        <w:insideV w:val="single" w:sz="4" w:space="0" w:color="8064A2" w:themeColor="accent4"/>
      </w:tblBorders>
    </w:tblPr>
    <w:trPr>
      <w:cantSplit/>
    </w:trPr>
    <w:tblStylePr w:type="firstRow">
      <w:rPr>
        <w:b/>
        <w:color w:val="000000" w:themeColor="text1"/>
        <w:sz w:val="24"/>
      </w:r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4F81BD" w:themeFill="accent1"/>
      </w:tcPr>
    </w:tblStylePr>
    <w:tblStylePr w:type="nwCell">
      <w:rPr>
        <w:color w:val="FFFFFF" w:themeColor="background1"/>
      </w:rPr>
    </w:tblStylePr>
  </w:style>
  <w:style w:type="table" w:customStyle="1" w:styleId="CHTable6">
    <w:name w:val="CH Table 6"/>
    <w:basedOn w:val="CHTable4"/>
    <w:uiPriority w:val="99"/>
    <w:rsid w:val="000016C9"/>
    <w:tblPr/>
    <w:tblStylePr w:type="firstRow">
      <w:rPr>
        <w:b/>
        <w:color w:val="000000" w:themeColor="text1"/>
        <w:sz w:val="24"/>
      </w:rPr>
      <w:tblPr/>
      <w:trPr>
        <w:tblHeader/>
      </w:trPr>
      <w:tcPr>
        <w:shd w:val="clear" w:color="auto" w:fill="4F81BD" w:themeFill="accent1"/>
      </w:tcPr>
    </w:tblStylePr>
    <w:tblStylePr w:type="firstCol">
      <w:rPr>
        <w:rFonts w:asciiTheme="minorHAnsi" w:hAnsiTheme="minorHAnsi"/>
        <w:sz w:val="20"/>
      </w:rPr>
      <w:tblPr/>
      <w:tcPr>
        <w:tcBorders>
          <w:top w:val="nil"/>
          <w:left w:val="nil"/>
          <w:bottom w:val="nil"/>
          <w:right w:val="nil"/>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style>
  <w:style w:type="paragraph" w:customStyle="1" w:styleId="Tablebullet">
    <w:name w:val="Table bullet"/>
    <w:basedOn w:val="Normal"/>
    <w:link w:val="TablebulletChar"/>
    <w:qFormat/>
    <w:rsid w:val="000016C9"/>
    <w:pPr>
      <w:numPr>
        <w:numId w:val="49"/>
      </w:numPr>
    </w:pPr>
    <w:rPr>
      <w:rFonts w:ascii="Franklin Gothic Book" w:eastAsiaTheme="minorEastAsia" w:hAnsi="Franklin Gothic Book"/>
      <w:color w:val="000000" w:themeColor="text1"/>
      <w:sz w:val="20"/>
      <w:szCs w:val="22"/>
      <w:lang w:val="en-AU" w:eastAsia="en-AU"/>
    </w:rPr>
  </w:style>
  <w:style w:type="character" w:customStyle="1" w:styleId="TablebulletChar">
    <w:name w:val="Table bullet Char"/>
    <w:basedOn w:val="DefaultParagraphFont"/>
    <w:link w:val="Tablebullet"/>
    <w:rsid w:val="000016C9"/>
    <w:rPr>
      <w:rFonts w:ascii="Franklin Gothic Book" w:eastAsiaTheme="minorEastAsia" w:hAnsi="Franklin Gothic Book" w:cs="Times New Roman"/>
      <w:color w:val="000000" w:themeColor="text1"/>
      <w:sz w:val="20"/>
    </w:rPr>
  </w:style>
  <w:style w:type="character" w:customStyle="1" w:styleId="UnresolvedMention4">
    <w:name w:val="Unresolved Mention4"/>
    <w:basedOn w:val="DefaultParagraphFont"/>
    <w:uiPriority w:val="99"/>
    <w:semiHidden/>
    <w:unhideWhenUsed/>
    <w:rsid w:val="001D25BE"/>
    <w:rPr>
      <w:color w:val="605E5C"/>
      <w:shd w:val="clear" w:color="auto" w:fill="E1DFDD"/>
    </w:rPr>
  </w:style>
  <w:style w:type="paragraph" w:customStyle="1" w:styleId="indenta">
    <w:name w:val="indenta"/>
    <w:basedOn w:val="Bullet0"/>
    <w:qFormat/>
    <w:rsid w:val="00C341E3"/>
    <w:pPr>
      <w:numPr>
        <w:ilvl w:val="1"/>
      </w:numPr>
      <w:ind w:left="993"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209">
      <w:bodyDiv w:val="1"/>
      <w:marLeft w:val="0"/>
      <w:marRight w:val="0"/>
      <w:marTop w:val="0"/>
      <w:marBottom w:val="0"/>
      <w:divBdr>
        <w:top w:val="none" w:sz="0" w:space="0" w:color="auto"/>
        <w:left w:val="none" w:sz="0" w:space="0" w:color="auto"/>
        <w:bottom w:val="none" w:sz="0" w:space="0" w:color="auto"/>
        <w:right w:val="none" w:sz="0" w:space="0" w:color="auto"/>
      </w:divBdr>
      <w:divsChild>
        <w:div w:id="1676151368">
          <w:marLeft w:val="0"/>
          <w:marRight w:val="0"/>
          <w:marTop w:val="0"/>
          <w:marBottom w:val="0"/>
          <w:divBdr>
            <w:top w:val="none" w:sz="0" w:space="0" w:color="auto"/>
            <w:left w:val="none" w:sz="0" w:space="0" w:color="auto"/>
            <w:bottom w:val="none" w:sz="0" w:space="0" w:color="auto"/>
            <w:right w:val="none" w:sz="0" w:space="0" w:color="auto"/>
          </w:divBdr>
          <w:divsChild>
            <w:div w:id="733698457">
              <w:marLeft w:val="0"/>
              <w:marRight w:val="0"/>
              <w:marTop w:val="0"/>
              <w:marBottom w:val="0"/>
              <w:divBdr>
                <w:top w:val="none" w:sz="0" w:space="0" w:color="auto"/>
                <w:left w:val="none" w:sz="0" w:space="0" w:color="auto"/>
                <w:bottom w:val="none" w:sz="0" w:space="0" w:color="auto"/>
                <w:right w:val="none" w:sz="0" w:space="0" w:color="auto"/>
              </w:divBdr>
              <w:divsChild>
                <w:div w:id="481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2909">
      <w:bodyDiv w:val="1"/>
      <w:marLeft w:val="0"/>
      <w:marRight w:val="0"/>
      <w:marTop w:val="0"/>
      <w:marBottom w:val="0"/>
      <w:divBdr>
        <w:top w:val="none" w:sz="0" w:space="0" w:color="auto"/>
        <w:left w:val="none" w:sz="0" w:space="0" w:color="auto"/>
        <w:bottom w:val="none" w:sz="0" w:space="0" w:color="auto"/>
        <w:right w:val="none" w:sz="0" w:space="0" w:color="auto"/>
      </w:divBdr>
    </w:div>
    <w:div w:id="96601499">
      <w:bodyDiv w:val="1"/>
      <w:marLeft w:val="0"/>
      <w:marRight w:val="0"/>
      <w:marTop w:val="0"/>
      <w:marBottom w:val="0"/>
      <w:divBdr>
        <w:top w:val="none" w:sz="0" w:space="0" w:color="auto"/>
        <w:left w:val="none" w:sz="0" w:space="0" w:color="auto"/>
        <w:bottom w:val="none" w:sz="0" w:space="0" w:color="auto"/>
        <w:right w:val="none" w:sz="0" w:space="0" w:color="auto"/>
      </w:divBdr>
      <w:divsChild>
        <w:div w:id="1380587945">
          <w:marLeft w:val="0"/>
          <w:marRight w:val="0"/>
          <w:marTop w:val="0"/>
          <w:marBottom w:val="0"/>
          <w:divBdr>
            <w:top w:val="none" w:sz="0" w:space="0" w:color="auto"/>
            <w:left w:val="none" w:sz="0" w:space="0" w:color="auto"/>
            <w:bottom w:val="none" w:sz="0" w:space="0" w:color="auto"/>
            <w:right w:val="none" w:sz="0" w:space="0" w:color="auto"/>
          </w:divBdr>
          <w:divsChild>
            <w:div w:id="641235181">
              <w:marLeft w:val="0"/>
              <w:marRight w:val="0"/>
              <w:marTop w:val="0"/>
              <w:marBottom w:val="0"/>
              <w:divBdr>
                <w:top w:val="none" w:sz="0" w:space="0" w:color="auto"/>
                <w:left w:val="none" w:sz="0" w:space="0" w:color="auto"/>
                <w:bottom w:val="none" w:sz="0" w:space="0" w:color="auto"/>
                <w:right w:val="none" w:sz="0" w:space="0" w:color="auto"/>
              </w:divBdr>
              <w:divsChild>
                <w:div w:id="14379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0696">
      <w:bodyDiv w:val="1"/>
      <w:marLeft w:val="0"/>
      <w:marRight w:val="0"/>
      <w:marTop w:val="0"/>
      <w:marBottom w:val="0"/>
      <w:divBdr>
        <w:top w:val="none" w:sz="0" w:space="0" w:color="auto"/>
        <w:left w:val="none" w:sz="0" w:space="0" w:color="auto"/>
        <w:bottom w:val="none" w:sz="0" w:space="0" w:color="auto"/>
        <w:right w:val="none" w:sz="0" w:space="0" w:color="auto"/>
      </w:divBdr>
    </w:div>
    <w:div w:id="154418117">
      <w:bodyDiv w:val="1"/>
      <w:marLeft w:val="0"/>
      <w:marRight w:val="0"/>
      <w:marTop w:val="0"/>
      <w:marBottom w:val="0"/>
      <w:divBdr>
        <w:top w:val="none" w:sz="0" w:space="0" w:color="auto"/>
        <w:left w:val="none" w:sz="0" w:space="0" w:color="auto"/>
        <w:bottom w:val="none" w:sz="0" w:space="0" w:color="auto"/>
        <w:right w:val="none" w:sz="0" w:space="0" w:color="auto"/>
      </w:divBdr>
    </w:div>
    <w:div w:id="159932878">
      <w:bodyDiv w:val="1"/>
      <w:marLeft w:val="0"/>
      <w:marRight w:val="0"/>
      <w:marTop w:val="0"/>
      <w:marBottom w:val="0"/>
      <w:divBdr>
        <w:top w:val="none" w:sz="0" w:space="0" w:color="auto"/>
        <w:left w:val="none" w:sz="0" w:space="0" w:color="auto"/>
        <w:bottom w:val="none" w:sz="0" w:space="0" w:color="auto"/>
        <w:right w:val="none" w:sz="0" w:space="0" w:color="auto"/>
      </w:divBdr>
      <w:divsChild>
        <w:div w:id="976229865">
          <w:marLeft w:val="0"/>
          <w:marRight w:val="0"/>
          <w:marTop w:val="0"/>
          <w:marBottom w:val="0"/>
          <w:divBdr>
            <w:top w:val="none" w:sz="0" w:space="0" w:color="auto"/>
            <w:left w:val="none" w:sz="0" w:space="0" w:color="auto"/>
            <w:bottom w:val="none" w:sz="0" w:space="0" w:color="auto"/>
            <w:right w:val="none" w:sz="0" w:space="0" w:color="auto"/>
          </w:divBdr>
          <w:divsChild>
            <w:div w:id="1456603895">
              <w:marLeft w:val="0"/>
              <w:marRight w:val="0"/>
              <w:marTop w:val="0"/>
              <w:marBottom w:val="0"/>
              <w:divBdr>
                <w:top w:val="none" w:sz="0" w:space="0" w:color="auto"/>
                <w:left w:val="none" w:sz="0" w:space="0" w:color="auto"/>
                <w:bottom w:val="none" w:sz="0" w:space="0" w:color="auto"/>
                <w:right w:val="none" w:sz="0" w:space="0" w:color="auto"/>
              </w:divBdr>
              <w:divsChild>
                <w:div w:id="583488356">
                  <w:marLeft w:val="0"/>
                  <w:marRight w:val="0"/>
                  <w:marTop w:val="0"/>
                  <w:marBottom w:val="0"/>
                  <w:divBdr>
                    <w:top w:val="none" w:sz="0" w:space="0" w:color="auto"/>
                    <w:left w:val="none" w:sz="0" w:space="0" w:color="auto"/>
                    <w:bottom w:val="none" w:sz="0" w:space="0" w:color="auto"/>
                    <w:right w:val="none" w:sz="0" w:space="0" w:color="auto"/>
                  </w:divBdr>
                  <w:divsChild>
                    <w:div w:id="728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16080">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183591255">
      <w:bodyDiv w:val="1"/>
      <w:marLeft w:val="0"/>
      <w:marRight w:val="0"/>
      <w:marTop w:val="0"/>
      <w:marBottom w:val="0"/>
      <w:divBdr>
        <w:top w:val="none" w:sz="0" w:space="0" w:color="auto"/>
        <w:left w:val="none" w:sz="0" w:space="0" w:color="auto"/>
        <w:bottom w:val="none" w:sz="0" w:space="0" w:color="auto"/>
        <w:right w:val="none" w:sz="0" w:space="0" w:color="auto"/>
      </w:divBdr>
    </w:div>
    <w:div w:id="242372831">
      <w:bodyDiv w:val="1"/>
      <w:marLeft w:val="0"/>
      <w:marRight w:val="0"/>
      <w:marTop w:val="0"/>
      <w:marBottom w:val="0"/>
      <w:divBdr>
        <w:top w:val="none" w:sz="0" w:space="0" w:color="auto"/>
        <w:left w:val="none" w:sz="0" w:space="0" w:color="auto"/>
        <w:bottom w:val="none" w:sz="0" w:space="0" w:color="auto"/>
        <w:right w:val="none" w:sz="0" w:space="0" w:color="auto"/>
      </w:divBdr>
      <w:divsChild>
        <w:div w:id="299576437">
          <w:marLeft w:val="0"/>
          <w:marRight w:val="0"/>
          <w:marTop w:val="0"/>
          <w:marBottom w:val="0"/>
          <w:divBdr>
            <w:top w:val="none" w:sz="0" w:space="0" w:color="auto"/>
            <w:left w:val="none" w:sz="0" w:space="0" w:color="auto"/>
            <w:bottom w:val="none" w:sz="0" w:space="0" w:color="auto"/>
            <w:right w:val="none" w:sz="0" w:space="0" w:color="auto"/>
          </w:divBdr>
          <w:divsChild>
            <w:div w:id="1008101924">
              <w:marLeft w:val="0"/>
              <w:marRight w:val="0"/>
              <w:marTop w:val="0"/>
              <w:marBottom w:val="0"/>
              <w:divBdr>
                <w:top w:val="none" w:sz="0" w:space="0" w:color="auto"/>
                <w:left w:val="none" w:sz="0" w:space="0" w:color="auto"/>
                <w:bottom w:val="none" w:sz="0" w:space="0" w:color="auto"/>
                <w:right w:val="none" w:sz="0" w:space="0" w:color="auto"/>
              </w:divBdr>
            </w:div>
          </w:divsChild>
        </w:div>
        <w:div w:id="540557276">
          <w:marLeft w:val="0"/>
          <w:marRight w:val="0"/>
          <w:marTop w:val="0"/>
          <w:marBottom w:val="0"/>
          <w:divBdr>
            <w:top w:val="none" w:sz="0" w:space="0" w:color="auto"/>
            <w:left w:val="none" w:sz="0" w:space="0" w:color="auto"/>
            <w:bottom w:val="none" w:sz="0" w:space="0" w:color="auto"/>
            <w:right w:val="none" w:sz="0" w:space="0" w:color="auto"/>
          </w:divBdr>
        </w:div>
        <w:div w:id="669067077">
          <w:marLeft w:val="0"/>
          <w:marRight w:val="0"/>
          <w:marTop w:val="0"/>
          <w:marBottom w:val="0"/>
          <w:divBdr>
            <w:top w:val="none" w:sz="0" w:space="0" w:color="auto"/>
            <w:left w:val="none" w:sz="0" w:space="0" w:color="auto"/>
            <w:bottom w:val="none" w:sz="0" w:space="0" w:color="auto"/>
            <w:right w:val="none" w:sz="0" w:space="0" w:color="auto"/>
          </w:divBdr>
        </w:div>
        <w:div w:id="711344349">
          <w:marLeft w:val="0"/>
          <w:marRight w:val="0"/>
          <w:marTop w:val="0"/>
          <w:marBottom w:val="0"/>
          <w:divBdr>
            <w:top w:val="none" w:sz="0" w:space="0" w:color="auto"/>
            <w:left w:val="none" w:sz="0" w:space="0" w:color="auto"/>
            <w:bottom w:val="none" w:sz="0" w:space="0" w:color="auto"/>
            <w:right w:val="none" w:sz="0" w:space="0" w:color="auto"/>
          </w:divBdr>
        </w:div>
        <w:div w:id="832571345">
          <w:marLeft w:val="0"/>
          <w:marRight w:val="0"/>
          <w:marTop w:val="0"/>
          <w:marBottom w:val="0"/>
          <w:divBdr>
            <w:top w:val="none" w:sz="0" w:space="0" w:color="auto"/>
            <w:left w:val="none" w:sz="0" w:space="0" w:color="auto"/>
            <w:bottom w:val="none" w:sz="0" w:space="0" w:color="auto"/>
            <w:right w:val="none" w:sz="0" w:space="0" w:color="auto"/>
          </w:divBdr>
        </w:div>
        <w:div w:id="1507163800">
          <w:marLeft w:val="0"/>
          <w:marRight w:val="0"/>
          <w:marTop w:val="0"/>
          <w:marBottom w:val="0"/>
          <w:divBdr>
            <w:top w:val="none" w:sz="0" w:space="0" w:color="auto"/>
            <w:left w:val="none" w:sz="0" w:space="0" w:color="auto"/>
            <w:bottom w:val="none" w:sz="0" w:space="0" w:color="auto"/>
            <w:right w:val="none" w:sz="0" w:space="0" w:color="auto"/>
          </w:divBdr>
        </w:div>
        <w:div w:id="1696492876">
          <w:marLeft w:val="0"/>
          <w:marRight w:val="0"/>
          <w:marTop w:val="0"/>
          <w:marBottom w:val="0"/>
          <w:divBdr>
            <w:top w:val="none" w:sz="0" w:space="0" w:color="auto"/>
            <w:left w:val="none" w:sz="0" w:space="0" w:color="auto"/>
            <w:bottom w:val="none" w:sz="0" w:space="0" w:color="auto"/>
            <w:right w:val="none" w:sz="0" w:space="0" w:color="auto"/>
          </w:divBdr>
        </w:div>
        <w:div w:id="1849565721">
          <w:marLeft w:val="0"/>
          <w:marRight w:val="0"/>
          <w:marTop w:val="0"/>
          <w:marBottom w:val="0"/>
          <w:divBdr>
            <w:top w:val="none" w:sz="0" w:space="0" w:color="auto"/>
            <w:left w:val="none" w:sz="0" w:space="0" w:color="auto"/>
            <w:bottom w:val="none" w:sz="0" w:space="0" w:color="auto"/>
            <w:right w:val="none" w:sz="0" w:space="0" w:color="auto"/>
          </w:divBdr>
        </w:div>
        <w:div w:id="1905988236">
          <w:marLeft w:val="0"/>
          <w:marRight w:val="0"/>
          <w:marTop w:val="0"/>
          <w:marBottom w:val="0"/>
          <w:divBdr>
            <w:top w:val="none" w:sz="0" w:space="0" w:color="auto"/>
            <w:left w:val="none" w:sz="0" w:space="0" w:color="auto"/>
            <w:bottom w:val="none" w:sz="0" w:space="0" w:color="auto"/>
            <w:right w:val="none" w:sz="0" w:space="0" w:color="auto"/>
          </w:divBdr>
        </w:div>
        <w:div w:id="2145657451">
          <w:marLeft w:val="0"/>
          <w:marRight w:val="0"/>
          <w:marTop w:val="0"/>
          <w:marBottom w:val="0"/>
          <w:divBdr>
            <w:top w:val="none" w:sz="0" w:space="0" w:color="auto"/>
            <w:left w:val="none" w:sz="0" w:space="0" w:color="auto"/>
            <w:bottom w:val="none" w:sz="0" w:space="0" w:color="auto"/>
            <w:right w:val="none" w:sz="0" w:space="0" w:color="auto"/>
          </w:divBdr>
        </w:div>
      </w:divsChild>
    </w:div>
    <w:div w:id="266928442">
      <w:bodyDiv w:val="1"/>
      <w:marLeft w:val="0"/>
      <w:marRight w:val="0"/>
      <w:marTop w:val="0"/>
      <w:marBottom w:val="0"/>
      <w:divBdr>
        <w:top w:val="none" w:sz="0" w:space="0" w:color="auto"/>
        <w:left w:val="none" w:sz="0" w:space="0" w:color="auto"/>
        <w:bottom w:val="none" w:sz="0" w:space="0" w:color="auto"/>
        <w:right w:val="none" w:sz="0" w:space="0" w:color="auto"/>
      </w:divBdr>
    </w:div>
    <w:div w:id="284000166">
      <w:bodyDiv w:val="1"/>
      <w:marLeft w:val="0"/>
      <w:marRight w:val="0"/>
      <w:marTop w:val="0"/>
      <w:marBottom w:val="0"/>
      <w:divBdr>
        <w:top w:val="none" w:sz="0" w:space="0" w:color="auto"/>
        <w:left w:val="none" w:sz="0" w:space="0" w:color="auto"/>
        <w:bottom w:val="none" w:sz="0" w:space="0" w:color="auto"/>
        <w:right w:val="none" w:sz="0" w:space="0" w:color="auto"/>
      </w:divBdr>
      <w:divsChild>
        <w:div w:id="11806366">
          <w:marLeft w:val="0"/>
          <w:marRight w:val="0"/>
          <w:marTop w:val="0"/>
          <w:marBottom w:val="0"/>
          <w:divBdr>
            <w:top w:val="none" w:sz="0" w:space="0" w:color="auto"/>
            <w:left w:val="none" w:sz="0" w:space="0" w:color="auto"/>
            <w:bottom w:val="none" w:sz="0" w:space="0" w:color="auto"/>
            <w:right w:val="none" w:sz="0" w:space="0" w:color="auto"/>
          </w:divBdr>
          <w:divsChild>
            <w:div w:id="1878853095">
              <w:marLeft w:val="0"/>
              <w:marRight w:val="0"/>
              <w:marTop w:val="0"/>
              <w:marBottom w:val="0"/>
              <w:divBdr>
                <w:top w:val="none" w:sz="0" w:space="0" w:color="auto"/>
                <w:left w:val="none" w:sz="0" w:space="0" w:color="auto"/>
                <w:bottom w:val="none" w:sz="0" w:space="0" w:color="auto"/>
                <w:right w:val="none" w:sz="0" w:space="0" w:color="auto"/>
              </w:divBdr>
              <w:divsChild>
                <w:div w:id="2039620079">
                  <w:marLeft w:val="0"/>
                  <w:marRight w:val="0"/>
                  <w:marTop w:val="0"/>
                  <w:marBottom w:val="0"/>
                  <w:divBdr>
                    <w:top w:val="none" w:sz="0" w:space="0" w:color="auto"/>
                    <w:left w:val="none" w:sz="0" w:space="0" w:color="auto"/>
                    <w:bottom w:val="none" w:sz="0" w:space="0" w:color="auto"/>
                    <w:right w:val="none" w:sz="0" w:space="0" w:color="auto"/>
                  </w:divBdr>
                  <w:divsChild>
                    <w:div w:id="9688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139042">
      <w:bodyDiv w:val="1"/>
      <w:marLeft w:val="0"/>
      <w:marRight w:val="0"/>
      <w:marTop w:val="0"/>
      <w:marBottom w:val="0"/>
      <w:divBdr>
        <w:top w:val="none" w:sz="0" w:space="0" w:color="auto"/>
        <w:left w:val="none" w:sz="0" w:space="0" w:color="auto"/>
        <w:bottom w:val="none" w:sz="0" w:space="0" w:color="auto"/>
        <w:right w:val="none" w:sz="0" w:space="0" w:color="auto"/>
      </w:divBdr>
    </w:div>
    <w:div w:id="346754316">
      <w:bodyDiv w:val="1"/>
      <w:marLeft w:val="0"/>
      <w:marRight w:val="0"/>
      <w:marTop w:val="0"/>
      <w:marBottom w:val="0"/>
      <w:divBdr>
        <w:top w:val="none" w:sz="0" w:space="0" w:color="auto"/>
        <w:left w:val="none" w:sz="0" w:space="0" w:color="auto"/>
        <w:bottom w:val="none" w:sz="0" w:space="0" w:color="auto"/>
        <w:right w:val="none" w:sz="0" w:space="0" w:color="auto"/>
      </w:divBdr>
      <w:divsChild>
        <w:div w:id="1571427370">
          <w:marLeft w:val="0"/>
          <w:marRight w:val="0"/>
          <w:marTop w:val="0"/>
          <w:marBottom w:val="0"/>
          <w:divBdr>
            <w:top w:val="none" w:sz="0" w:space="0" w:color="auto"/>
            <w:left w:val="none" w:sz="0" w:space="0" w:color="auto"/>
            <w:bottom w:val="none" w:sz="0" w:space="0" w:color="auto"/>
            <w:right w:val="none" w:sz="0" w:space="0" w:color="auto"/>
          </w:divBdr>
          <w:divsChild>
            <w:div w:id="1021276056">
              <w:marLeft w:val="0"/>
              <w:marRight w:val="0"/>
              <w:marTop w:val="0"/>
              <w:marBottom w:val="0"/>
              <w:divBdr>
                <w:top w:val="none" w:sz="0" w:space="0" w:color="auto"/>
                <w:left w:val="none" w:sz="0" w:space="0" w:color="auto"/>
                <w:bottom w:val="none" w:sz="0" w:space="0" w:color="auto"/>
                <w:right w:val="none" w:sz="0" w:space="0" w:color="auto"/>
              </w:divBdr>
              <w:divsChild>
                <w:div w:id="1823349553">
                  <w:marLeft w:val="0"/>
                  <w:marRight w:val="0"/>
                  <w:marTop w:val="0"/>
                  <w:marBottom w:val="0"/>
                  <w:divBdr>
                    <w:top w:val="none" w:sz="0" w:space="0" w:color="auto"/>
                    <w:left w:val="none" w:sz="0" w:space="0" w:color="auto"/>
                    <w:bottom w:val="none" w:sz="0" w:space="0" w:color="auto"/>
                    <w:right w:val="none" w:sz="0" w:space="0" w:color="auto"/>
                  </w:divBdr>
                </w:div>
              </w:divsChild>
            </w:div>
            <w:div w:id="1025447687">
              <w:marLeft w:val="0"/>
              <w:marRight w:val="0"/>
              <w:marTop w:val="0"/>
              <w:marBottom w:val="0"/>
              <w:divBdr>
                <w:top w:val="none" w:sz="0" w:space="0" w:color="auto"/>
                <w:left w:val="none" w:sz="0" w:space="0" w:color="auto"/>
                <w:bottom w:val="none" w:sz="0" w:space="0" w:color="auto"/>
                <w:right w:val="none" w:sz="0" w:space="0" w:color="auto"/>
              </w:divBdr>
              <w:divsChild>
                <w:div w:id="1128607">
                  <w:marLeft w:val="0"/>
                  <w:marRight w:val="0"/>
                  <w:marTop w:val="0"/>
                  <w:marBottom w:val="0"/>
                  <w:divBdr>
                    <w:top w:val="none" w:sz="0" w:space="0" w:color="auto"/>
                    <w:left w:val="none" w:sz="0" w:space="0" w:color="auto"/>
                    <w:bottom w:val="none" w:sz="0" w:space="0" w:color="auto"/>
                    <w:right w:val="none" w:sz="0" w:space="0" w:color="auto"/>
                  </w:divBdr>
                </w:div>
              </w:divsChild>
            </w:div>
            <w:div w:id="1774088339">
              <w:marLeft w:val="0"/>
              <w:marRight w:val="0"/>
              <w:marTop w:val="0"/>
              <w:marBottom w:val="0"/>
              <w:divBdr>
                <w:top w:val="none" w:sz="0" w:space="0" w:color="auto"/>
                <w:left w:val="none" w:sz="0" w:space="0" w:color="auto"/>
                <w:bottom w:val="none" w:sz="0" w:space="0" w:color="auto"/>
                <w:right w:val="none" w:sz="0" w:space="0" w:color="auto"/>
              </w:divBdr>
              <w:divsChild>
                <w:div w:id="10084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0538">
      <w:bodyDiv w:val="1"/>
      <w:marLeft w:val="0"/>
      <w:marRight w:val="0"/>
      <w:marTop w:val="0"/>
      <w:marBottom w:val="0"/>
      <w:divBdr>
        <w:top w:val="none" w:sz="0" w:space="0" w:color="auto"/>
        <w:left w:val="none" w:sz="0" w:space="0" w:color="auto"/>
        <w:bottom w:val="none" w:sz="0" w:space="0" w:color="auto"/>
        <w:right w:val="none" w:sz="0" w:space="0" w:color="auto"/>
      </w:divBdr>
      <w:divsChild>
        <w:div w:id="192421243">
          <w:marLeft w:val="0"/>
          <w:marRight w:val="0"/>
          <w:marTop w:val="0"/>
          <w:marBottom w:val="0"/>
          <w:divBdr>
            <w:top w:val="none" w:sz="0" w:space="0" w:color="auto"/>
            <w:left w:val="none" w:sz="0" w:space="0" w:color="auto"/>
            <w:bottom w:val="none" w:sz="0" w:space="0" w:color="auto"/>
            <w:right w:val="none" w:sz="0" w:space="0" w:color="auto"/>
          </w:divBdr>
          <w:divsChild>
            <w:div w:id="1807165927">
              <w:marLeft w:val="0"/>
              <w:marRight w:val="0"/>
              <w:marTop w:val="0"/>
              <w:marBottom w:val="0"/>
              <w:divBdr>
                <w:top w:val="none" w:sz="0" w:space="0" w:color="auto"/>
                <w:left w:val="none" w:sz="0" w:space="0" w:color="auto"/>
                <w:bottom w:val="none" w:sz="0" w:space="0" w:color="auto"/>
                <w:right w:val="none" w:sz="0" w:space="0" w:color="auto"/>
              </w:divBdr>
              <w:divsChild>
                <w:div w:id="7545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873292">
      <w:bodyDiv w:val="1"/>
      <w:marLeft w:val="0"/>
      <w:marRight w:val="0"/>
      <w:marTop w:val="0"/>
      <w:marBottom w:val="0"/>
      <w:divBdr>
        <w:top w:val="none" w:sz="0" w:space="0" w:color="auto"/>
        <w:left w:val="none" w:sz="0" w:space="0" w:color="auto"/>
        <w:bottom w:val="none" w:sz="0" w:space="0" w:color="auto"/>
        <w:right w:val="none" w:sz="0" w:space="0" w:color="auto"/>
      </w:divBdr>
      <w:divsChild>
        <w:div w:id="1112748159">
          <w:marLeft w:val="0"/>
          <w:marRight w:val="0"/>
          <w:marTop w:val="0"/>
          <w:marBottom w:val="0"/>
          <w:divBdr>
            <w:top w:val="none" w:sz="0" w:space="0" w:color="auto"/>
            <w:left w:val="none" w:sz="0" w:space="0" w:color="auto"/>
            <w:bottom w:val="none" w:sz="0" w:space="0" w:color="auto"/>
            <w:right w:val="none" w:sz="0" w:space="0" w:color="auto"/>
          </w:divBdr>
          <w:divsChild>
            <w:div w:id="774984725">
              <w:marLeft w:val="0"/>
              <w:marRight w:val="0"/>
              <w:marTop w:val="0"/>
              <w:marBottom w:val="0"/>
              <w:divBdr>
                <w:top w:val="none" w:sz="0" w:space="0" w:color="auto"/>
                <w:left w:val="none" w:sz="0" w:space="0" w:color="auto"/>
                <w:bottom w:val="none" w:sz="0" w:space="0" w:color="auto"/>
                <w:right w:val="none" w:sz="0" w:space="0" w:color="auto"/>
              </w:divBdr>
              <w:divsChild>
                <w:div w:id="8013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95428">
      <w:bodyDiv w:val="1"/>
      <w:marLeft w:val="0"/>
      <w:marRight w:val="0"/>
      <w:marTop w:val="0"/>
      <w:marBottom w:val="0"/>
      <w:divBdr>
        <w:top w:val="none" w:sz="0" w:space="0" w:color="auto"/>
        <w:left w:val="none" w:sz="0" w:space="0" w:color="auto"/>
        <w:bottom w:val="none" w:sz="0" w:space="0" w:color="auto"/>
        <w:right w:val="none" w:sz="0" w:space="0" w:color="auto"/>
      </w:divBdr>
      <w:divsChild>
        <w:div w:id="291638013">
          <w:marLeft w:val="0"/>
          <w:marRight w:val="0"/>
          <w:marTop w:val="0"/>
          <w:marBottom w:val="0"/>
          <w:divBdr>
            <w:top w:val="none" w:sz="0" w:space="0" w:color="auto"/>
            <w:left w:val="none" w:sz="0" w:space="0" w:color="auto"/>
            <w:bottom w:val="none" w:sz="0" w:space="0" w:color="auto"/>
            <w:right w:val="none" w:sz="0" w:space="0" w:color="auto"/>
          </w:divBdr>
          <w:divsChild>
            <w:div w:id="1183209382">
              <w:marLeft w:val="0"/>
              <w:marRight w:val="0"/>
              <w:marTop w:val="0"/>
              <w:marBottom w:val="0"/>
              <w:divBdr>
                <w:top w:val="none" w:sz="0" w:space="0" w:color="auto"/>
                <w:left w:val="none" w:sz="0" w:space="0" w:color="auto"/>
                <w:bottom w:val="none" w:sz="0" w:space="0" w:color="auto"/>
                <w:right w:val="none" w:sz="0" w:space="0" w:color="auto"/>
              </w:divBdr>
              <w:divsChild>
                <w:div w:id="191931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49519">
      <w:bodyDiv w:val="1"/>
      <w:marLeft w:val="0"/>
      <w:marRight w:val="0"/>
      <w:marTop w:val="0"/>
      <w:marBottom w:val="0"/>
      <w:divBdr>
        <w:top w:val="none" w:sz="0" w:space="0" w:color="auto"/>
        <w:left w:val="none" w:sz="0" w:space="0" w:color="auto"/>
        <w:bottom w:val="none" w:sz="0" w:space="0" w:color="auto"/>
        <w:right w:val="none" w:sz="0" w:space="0" w:color="auto"/>
      </w:divBdr>
    </w:div>
    <w:div w:id="414084853">
      <w:bodyDiv w:val="1"/>
      <w:marLeft w:val="0"/>
      <w:marRight w:val="0"/>
      <w:marTop w:val="0"/>
      <w:marBottom w:val="0"/>
      <w:divBdr>
        <w:top w:val="none" w:sz="0" w:space="0" w:color="auto"/>
        <w:left w:val="none" w:sz="0" w:space="0" w:color="auto"/>
        <w:bottom w:val="none" w:sz="0" w:space="0" w:color="auto"/>
        <w:right w:val="none" w:sz="0" w:space="0" w:color="auto"/>
      </w:divBdr>
      <w:divsChild>
        <w:div w:id="1764763398">
          <w:marLeft w:val="0"/>
          <w:marRight w:val="0"/>
          <w:marTop w:val="0"/>
          <w:marBottom w:val="0"/>
          <w:divBdr>
            <w:top w:val="none" w:sz="0" w:space="0" w:color="auto"/>
            <w:left w:val="none" w:sz="0" w:space="0" w:color="auto"/>
            <w:bottom w:val="none" w:sz="0" w:space="0" w:color="auto"/>
            <w:right w:val="none" w:sz="0" w:space="0" w:color="auto"/>
          </w:divBdr>
          <w:divsChild>
            <w:div w:id="899708509">
              <w:marLeft w:val="0"/>
              <w:marRight w:val="0"/>
              <w:marTop w:val="0"/>
              <w:marBottom w:val="0"/>
              <w:divBdr>
                <w:top w:val="none" w:sz="0" w:space="0" w:color="auto"/>
                <w:left w:val="none" w:sz="0" w:space="0" w:color="auto"/>
                <w:bottom w:val="none" w:sz="0" w:space="0" w:color="auto"/>
                <w:right w:val="none" w:sz="0" w:space="0" w:color="auto"/>
              </w:divBdr>
              <w:divsChild>
                <w:div w:id="1446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32712">
      <w:bodyDiv w:val="1"/>
      <w:marLeft w:val="0"/>
      <w:marRight w:val="0"/>
      <w:marTop w:val="0"/>
      <w:marBottom w:val="0"/>
      <w:divBdr>
        <w:top w:val="none" w:sz="0" w:space="0" w:color="auto"/>
        <w:left w:val="none" w:sz="0" w:space="0" w:color="auto"/>
        <w:bottom w:val="none" w:sz="0" w:space="0" w:color="auto"/>
        <w:right w:val="none" w:sz="0" w:space="0" w:color="auto"/>
      </w:divBdr>
      <w:divsChild>
        <w:div w:id="870068598">
          <w:marLeft w:val="0"/>
          <w:marRight w:val="0"/>
          <w:marTop w:val="0"/>
          <w:marBottom w:val="0"/>
          <w:divBdr>
            <w:top w:val="none" w:sz="0" w:space="0" w:color="auto"/>
            <w:left w:val="none" w:sz="0" w:space="0" w:color="auto"/>
            <w:bottom w:val="none" w:sz="0" w:space="0" w:color="auto"/>
            <w:right w:val="none" w:sz="0" w:space="0" w:color="auto"/>
          </w:divBdr>
          <w:divsChild>
            <w:div w:id="1729498604">
              <w:marLeft w:val="0"/>
              <w:marRight w:val="0"/>
              <w:marTop w:val="0"/>
              <w:marBottom w:val="0"/>
              <w:divBdr>
                <w:top w:val="none" w:sz="0" w:space="0" w:color="auto"/>
                <w:left w:val="none" w:sz="0" w:space="0" w:color="auto"/>
                <w:bottom w:val="none" w:sz="0" w:space="0" w:color="auto"/>
                <w:right w:val="none" w:sz="0" w:space="0" w:color="auto"/>
              </w:divBdr>
              <w:divsChild>
                <w:div w:id="16384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35322447">
      <w:bodyDiv w:val="1"/>
      <w:marLeft w:val="0"/>
      <w:marRight w:val="0"/>
      <w:marTop w:val="0"/>
      <w:marBottom w:val="0"/>
      <w:divBdr>
        <w:top w:val="none" w:sz="0" w:space="0" w:color="auto"/>
        <w:left w:val="none" w:sz="0" w:space="0" w:color="auto"/>
        <w:bottom w:val="none" w:sz="0" w:space="0" w:color="auto"/>
        <w:right w:val="none" w:sz="0" w:space="0" w:color="auto"/>
      </w:divBdr>
      <w:divsChild>
        <w:div w:id="2015719059">
          <w:marLeft w:val="0"/>
          <w:marRight w:val="0"/>
          <w:marTop w:val="0"/>
          <w:marBottom w:val="0"/>
          <w:divBdr>
            <w:top w:val="none" w:sz="0" w:space="0" w:color="auto"/>
            <w:left w:val="none" w:sz="0" w:space="0" w:color="auto"/>
            <w:bottom w:val="none" w:sz="0" w:space="0" w:color="auto"/>
            <w:right w:val="none" w:sz="0" w:space="0" w:color="auto"/>
          </w:divBdr>
          <w:divsChild>
            <w:div w:id="301425013">
              <w:marLeft w:val="0"/>
              <w:marRight w:val="0"/>
              <w:marTop w:val="0"/>
              <w:marBottom w:val="0"/>
              <w:divBdr>
                <w:top w:val="none" w:sz="0" w:space="0" w:color="auto"/>
                <w:left w:val="none" w:sz="0" w:space="0" w:color="auto"/>
                <w:bottom w:val="none" w:sz="0" w:space="0" w:color="auto"/>
                <w:right w:val="none" w:sz="0" w:space="0" w:color="auto"/>
              </w:divBdr>
              <w:divsChild>
                <w:div w:id="284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31969">
      <w:bodyDiv w:val="1"/>
      <w:marLeft w:val="0"/>
      <w:marRight w:val="0"/>
      <w:marTop w:val="0"/>
      <w:marBottom w:val="0"/>
      <w:divBdr>
        <w:top w:val="none" w:sz="0" w:space="0" w:color="auto"/>
        <w:left w:val="none" w:sz="0" w:space="0" w:color="auto"/>
        <w:bottom w:val="none" w:sz="0" w:space="0" w:color="auto"/>
        <w:right w:val="none" w:sz="0" w:space="0" w:color="auto"/>
      </w:divBdr>
      <w:divsChild>
        <w:div w:id="655915080">
          <w:marLeft w:val="0"/>
          <w:marRight w:val="0"/>
          <w:marTop w:val="0"/>
          <w:marBottom w:val="0"/>
          <w:divBdr>
            <w:top w:val="none" w:sz="0" w:space="0" w:color="auto"/>
            <w:left w:val="none" w:sz="0" w:space="0" w:color="auto"/>
            <w:bottom w:val="none" w:sz="0" w:space="0" w:color="auto"/>
            <w:right w:val="none" w:sz="0" w:space="0" w:color="auto"/>
          </w:divBdr>
          <w:divsChild>
            <w:div w:id="1960137178">
              <w:marLeft w:val="0"/>
              <w:marRight w:val="0"/>
              <w:marTop w:val="0"/>
              <w:marBottom w:val="0"/>
              <w:divBdr>
                <w:top w:val="none" w:sz="0" w:space="0" w:color="auto"/>
                <w:left w:val="none" w:sz="0" w:space="0" w:color="auto"/>
                <w:bottom w:val="none" w:sz="0" w:space="0" w:color="auto"/>
                <w:right w:val="none" w:sz="0" w:space="0" w:color="auto"/>
              </w:divBdr>
              <w:divsChild>
                <w:div w:id="37244573">
                  <w:marLeft w:val="0"/>
                  <w:marRight w:val="0"/>
                  <w:marTop w:val="0"/>
                  <w:marBottom w:val="0"/>
                  <w:divBdr>
                    <w:top w:val="none" w:sz="0" w:space="0" w:color="auto"/>
                    <w:left w:val="none" w:sz="0" w:space="0" w:color="auto"/>
                    <w:bottom w:val="none" w:sz="0" w:space="0" w:color="auto"/>
                    <w:right w:val="none" w:sz="0" w:space="0" w:color="auto"/>
                  </w:divBdr>
                  <w:divsChild>
                    <w:div w:id="647707098">
                      <w:marLeft w:val="0"/>
                      <w:marRight w:val="0"/>
                      <w:marTop w:val="0"/>
                      <w:marBottom w:val="0"/>
                      <w:divBdr>
                        <w:top w:val="none" w:sz="0" w:space="0" w:color="auto"/>
                        <w:left w:val="none" w:sz="0" w:space="0" w:color="auto"/>
                        <w:bottom w:val="none" w:sz="0" w:space="0" w:color="auto"/>
                        <w:right w:val="none" w:sz="0" w:space="0" w:color="auto"/>
                      </w:divBdr>
                    </w:div>
                    <w:div w:id="927419914">
                      <w:marLeft w:val="0"/>
                      <w:marRight w:val="0"/>
                      <w:marTop w:val="0"/>
                      <w:marBottom w:val="0"/>
                      <w:divBdr>
                        <w:top w:val="none" w:sz="0" w:space="0" w:color="auto"/>
                        <w:left w:val="none" w:sz="0" w:space="0" w:color="auto"/>
                        <w:bottom w:val="none" w:sz="0" w:space="0" w:color="auto"/>
                        <w:right w:val="none" w:sz="0" w:space="0" w:color="auto"/>
                      </w:divBdr>
                    </w:div>
                    <w:div w:id="20143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10416">
      <w:bodyDiv w:val="1"/>
      <w:marLeft w:val="0"/>
      <w:marRight w:val="0"/>
      <w:marTop w:val="0"/>
      <w:marBottom w:val="0"/>
      <w:divBdr>
        <w:top w:val="none" w:sz="0" w:space="0" w:color="auto"/>
        <w:left w:val="none" w:sz="0" w:space="0" w:color="auto"/>
        <w:bottom w:val="none" w:sz="0" w:space="0" w:color="auto"/>
        <w:right w:val="none" w:sz="0" w:space="0" w:color="auto"/>
      </w:divBdr>
      <w:divsChild>
        <w:div w:id="550268282">
          <w:marLeft w:val="0"/>
          <w:marRight w:val="0"/>
          <w:marTop w:val="0"/>
          <w:marBottom w:val="0"/>
          <w:divBdr>
            <w:top w:val="none" w:sz="0" w:space="0" w:color="auto"/>
            <w:left w:val="none" w:sz="0" w:space="0" w:color="auto"/>
            <w:bottom w:val="none" w:sz="0" w:space="0" w:color="auto"/>
            <w:right w:val="none" w:sz="0" w:space="0" w:color="auto"/>
          </w:divBdr>
          <w:divsChild>
            <w:div w:id="798188241">
              <w:marLeft w:val="0"/>
              <w:marRight w:val="0"/>
              <w:marTop w:val="0"/>
              <w:marBottom w:val="0"/>
              <w:divBdr>
                <w:top w:val="none" w:sz="0" w:space="0" w:color="auto"/>
                <w:left w:val="none" w:sz="0" w:space="0" w:color="auto"/>
                <w:bottom w:val="none" w:sz="0" w:space="0" w:color="auto"/>
                <w:right w:val="none" w:sz="0" w:space="0" w:color="auto"/>
              </w:divBdr>
              <w:divsChild>
                <w:div w:id="8615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45591">
      <w:bodyDiv w:val="1"/>
      <w:marLeft w:val="0"/>
      <w:marRight w:val="0"/>
      <w:marTop w:val="0"/>
      <w:marBottom w:val="0"/>
      <w:divBdr>
        <w:top w:val="none" w:sz="0" w:space="0" w:color="auto"/>
        <w:left w:val="none" w:sz="0" w:space="0" w:color="auto"/>
        <w:bottom w:val="none" w:sz="0" w:space="0" w:color="auto"/>
        <w:right w:val="none" w:sz="0" w:space="0" w:color="auto"/>
      </w:divBdr>
      <w:divsChild>
        <w:div w:id="1161308204">
          <w:marLeft w:val="0"/>
          <w:marRight w:val="0"/>
          <w:marTop w:val="0"/>
          <w:marBottom w:val="0"/>
          <w:divBdr>
            <w:top w:val="none" w:sz="0" w:space="0" w:color="auto"/>
            <w:left w:val="none" w:sz="0" w:space="0" w:color="auto"/>
            <w:bottom w:val="none" w:sz="0" w:space="0" w:color="auto"/>
            <w:right w:val="none" w:sz="0" w:space="0" w:color="auto"/>
          </w:divBdr>
          <w:divsChild>
            <w:div w:id="326254004">
              <w:marLeft w:val="0"/>
              <w:marRight w:val="0"/>
              <w:marTop w:val="0"/>
              <w:marBottom w:val="0"/>
              <w:divBdr>
                <w:top w:val="none" w:sz="0" w:space="0" w:color="auto"/>
                <w:left w:val="none" w:sz="0" w:space="0" w:color="auto"/>
                <w:bottom w:val="none" w:sz="0" w:space="0" w:color="auto"/>
                <w:right w:val="none" w:sz="0" w:space="0" w:color="auto"/>
              </w:divBdr>
              <w:divsChild>
                <w:div w:id="7823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7909">
      <w:bodyDiv w:val="1"/>
      <w:marLeft w:val="0"/>
      <w:marRight w:val="0"/>
      <w:marTop w:val="0"/>
      <w:marBottom w:val="0"/>
      <w:divBdr>
        <w:top w:val="none" w:sz="0" w:space="0" w:color="auto"/>
        <w:left w:val="none" w:sz="0" w:space="0" w:color="auto"/>
        <w:bottom w:val="none" w:sz="0" w:space="0" w:color="auto"/>
        <w:right w:val="none" w:sz="0" w:space="0" w:color="auto"/>
      </w:divBdr>
      <w:divsChild>
        <w:div w:id="643049429">
          <w:marLeft w:val="0"/>
          <w:marRight w:val="0"/>
          <w:marTop w:val="0"/>
          <w:marBottom w:val="0"/>
          <w:divBdr>
            <w:top w:val="none" w:sz="0" w:space="0" w:color="auto"/>
            <w:left w:val="none" w:sz="0" w:space="0" w:color="auto"/>
            <w:bottom w:val="none" w:sz="0" w:space="0" w:color="auto"/>
            <w:right w:val="none" w:sz="0" w:space="0" w:color="auto"/>
          </w:divBdr>
          <w:divsChild>
            <w:div w:id="2044288921">
              <w:marLeft w:val="0"/>
              <w:marRight w:val="0"/>
              <w:marTop w:val="0"/>
              <w:marBottom w:val="0"/>
              <w:divBdr>
                <w:top w:val="none" w:sz="0" w:space="0" w:color="auto"/>
                <w:left w:val="none" w:sz="0" w:space="0" w:color="auto"/>
                <w:bottom w:val="none" w:sz="0" w:space="0" w:color="auto"/>
                <w:right w:val="none" w:sz="0" w:space="0" w:color="auto"/>
              </w:divBdr>
              <w:divsChild>
                <w:div w:id="12205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92350">
      <w:bodyDiv w:val="1"/>
      <w:marLeft w:val="0"/>
      <w:marRight w:val="0"/>
      <w:marTop w:val="0"/>
      <w:marBottom w:val="0"/>
      <w:divBdr>
        <w:top w:val="none" w:sz="0" w:space="0" w:color="auto"/>
        <w:left w:val="none" w:sz="0" w:space="0" w:color="auto"/>
        <w:bottom w:val="none" w:sz="0" w:space="0" w:color="auto"/>
        <w:right w:val="none" w:sz="0" w:space="0" w:color="auto"/>
      </w:divBdr>
      <w:divsChild>
        <w:div w:id="1710909955">
          <w:marLeft w:val="0"/>
          <w:marRight w:val="0"/>
          <w:marTop w:val="0"/>
          <w:marBottom w:val="0"/>
          <w:divBdr>
            <w:top w:val="none" w:sz="0" w:space="0" w:color="auto"/>
            <w:left w:val="none" w:sz="0" w:space="0" w:color="auto"/>
            <w:bottom w:val="none" w:sz="0" w:space="0" w:color="auto"/>
            <w:right w:val="none" w:sz="0" w:space="0" w:color="auto"/>
          </w:divBdr>
          <w:divsChild>
            <w:div w:id="1453480398">
              <w:marLeft w:val="0"/>
              <w:marRight w:val="0"/>
              <w:marTop w:val="0"/>
              <w:marBottom w:val="0"/>
              <w:divBdr>
                <w:top w:val="none" w:sz="0" w:space="0" w:color="auto"/>
                <w:left w:val="none" w:sz="0" w:space="0" w:color="auto"/>
                <w:bottom w:val="none" w:sz="0" w:space="0" w:color="auto"/>
                <w:right w:val="none" w:sz="0" w:space="0" w:color="auto"/>
              </w:divBdr>
              <w:divsChild>
                <w:div w:id="16065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09750">
      <w:bodyDiv w:val="1"/>
      <w:marLeft w:val="0"/>
      <w:marRight w:val="0"/>
      <w:marTop w:val="0"/>
      <w:marBottom w:val="0"/>
      <w:divBdr>
        <w:top w:val="none" w:sz="0" w:space="0" w:color="auto"/>
        <w:left w:val="none" w:sz="0" w:space="0" w:color="auto"/>
        <w:bottom w:val="none" w:sz="0" w:space="0" w:color="auto"/>
        <w:right w:val="none" w:sz="0" w:space="0" w:color="auto"/>
      </w:divBdr>
      <w:divsChild>
        <w:div w:id="1327123502">
          <w:marLeft w:val="0"/>
          <w:marRight w:val="0"/>
          <w:marTop w:val="0"/>
          <w:marBottom w:val="0"/>
          <w:divBdr>
            <w:top w:val="none" w:sz="0" w:space="0" w:color="auto"/>
            <w:left w:val="none" w:sz="0" w:space="0" w:color="auto"/>
            <w:bottom w:val="none" w:sz="0" w:space="0" w:color="auto"/>
            <w:right w:val="none" w:sz="0" w:space="0" w:color="auto"/>
          </w:divBdr>
          <w:divsChild>
            <w:div w:id="544947546">
              <w:marLeft w:val="0"/>
              <w:marRight w:val="0"/>
              <w:marTop w:val="0"/>
              <w:marBottom w:val="0"/>
              <w:divBdr>
                <w:top w:val="none" w:sz="0" w:space="0" w:color="auto"/>
                <w:left w:val="none" w:sz="0" w:space="0" w:color="auto"/>
                <w:bottom w:val="none" w:sz="0" w:space="0" w:color="auto"/>
                <w:right w:val="none" w:sz="0" w:space="0" w:color="auto"/>
              </w:divBdr>
              <w:divsChild>
                <w:div w:id="18578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90131">
      <w:bodyDiv w:val="1"/>
      <w:marLeft w:val="0"/>
      <w:marRight w:val="0"/>
      <w:marTop w:val="0"/>
      <w:marBottom w:val="0"/>
      <w:divBdr>
        <w:top w:val="none" w:sz="0" w:space="0" w:color="auto"/>
        <w:left w:val="none" w:sz="0" w:space="0" w:color="auto"/>
        <w:bottom w:val="none" w:sz="0" w:space="0" w:color="auto"/>
        <w:right w:val="none" w:sz="0" w:space="0" w:color="auto"/>
      </w:divBdr>
      <w:divsChild>
        <w:div w:id="1645811775">
          <w:marLeft w:val="0"/>
          <w:marRight w:val="0"/>
          <w:marTop w:val="0"/>
          <w:marBottom w:val="0"/>
          <w:divBdr>
            <w:top w:val="none" w:sz="0" w:space="0" w:color="auto"/>
            <w:left w:val="none" w:sz="0" w:space="0" w:color="auto"/>
            <w:bottom w:val="none" w:sz="0" w:space="0" w:color="auto"/>
            <w:right w:val="none" w:sz="0" w:space="0" w:color="auto"/>
          </w:divBdr>
          <w:divsChild>
            <w:div w:id="1850212808">
              <w:marLeft w:val="0"/>
              <w:marRight w:val="0"/>
              <w:marTop w:val="0"/>
              <w:marBottom w:val="0"/>
              <w:divBdr>
                <w:top w:val="none" w:sz="0" w:space="0" w:color="auto"/>
                <w:left w:val="none" w:sz="0" w:space="0" w:color="auto"/>
                <w:bottom w:val="none" w:sz="0" w:space="0" w:color="auto"/>
                <w:right w:val="none" w:sz="0" w:space="0" w:color="auto"/>
              </w:divBdr>
              <w:divsChild>
                <w:div w:id="627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91705">
      <w:bodyDiv w:val="1"/>
      <w:marLeft w:val="0"/>
      <w:marRight w:val="0"/>
      <w:marTop w:val="0"/>
      <w:marBottom w:val="0"/>
      <w:divBdr>
        <w:top w:val="none" w:sz="0" w:space="0" w:color="auto"/>
        <w:left w:val="none" w:sz="0" w:space="0" w:color="auto"/>
        <w:bottom w:val="none" w:sz="0" w:space="0" w:color="auto"/>
        <w:right w:val="none" w:sz="0" w:space="0" w:color="auto"/>
      </w:divBdr>
      <w:divsChild>
        <w:div w:id="636254831">
          <w:marLeft w:val="0"/>
          <w:marRight w:val="0"/>
          <w:marTop w:val="0"/>
          <w:marBottom w:val="0"/>
          <w:divBdr>
            <w:top w:val="none" w:sz="0" w:space="0" w:color="auto"/>
            <w:left w:val="none" w:sz="0" w:space="0" w:color="auto"/>
            <w:bottom w:val="none" w:sz="0" w:space="0" w:color="auto"/>
            <w:right w:val="none" w:sz="0" w:space="0" w:color="auto"/>
          </w:divBdr>
          <w:divsChild>
            <w:div w:id="1211452722">
              <w:marLeft w:val="0"/>
              <w:marRight w:val="0"/>
              <w:marTop w:val="0"/>
              <w:marBottom w:val="0"/>
              <w:divBdr>
                <w:top w:val="none" w:sz="0" w:space="0" w:color="auto"/>
                <w:left w:val="none" w:sz="0" w:space="0" w:color="auto"/>
                <w:bottom w:val="none" w:sz="0" w:space="0" w:color="auto"/>
                <w:right w:val="none" w:sz="0" w:space="0" w:color="auto"/>
              </w:divBdr>
              <w:divsChild>
                <w:div w:id="139188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41668">
      <w:bodyDiv w:val="1"/>
      <w:marLeft w:val="0"/>
      <w:marRight w:val="0"/>
      <w:marTop w:val="0"/>
      <w:marBottom w:val="0"/>
      <w:divBdr>
        <w:top w:val="none" w:sz="0" w:space="0" w:color="auto"/>
        <w:left w:val="none" w:sz="0" w:space="0" w:color="auto"/>
        <w:bottom w:val="none" w:sz="0" w:space="0" w:color="auto"/>
        <w:right w:val="none" w:sz="0" w:space="0" w:color="auto"/>
      </w:divBdr>
      <w:divsChild>
        <w:div w:id="690373137">
          <w:marLeft w:val="0"/>
          <w:marRight w:val="0"/>
          <w:marTop w:val="0"/>
          <w:marBottom w:val="0"/>
          <w:divBdr>
            <w:top w:val="none" w:sz="0" w:space="0" w:color="auto"/>
            <w:left w:val="none" w:sz="0" w:space="0" w:color="auto"/>
            <w:bottom w:val="none" w:sz="0" w:space="0" w:color="auto"/>
            <w:right w:val="none" w:sz="0" w:space="0" w:color="auto"/>
          </w:divBdr>
          <w:divsChild>
            <w:div w:id="925923044">
              <w:marLeft w:val="0"/>
              <w:marRight w:val="0"/>
              <w:marTop w:val="0"/>
              <w:marBottom w:val="0"/>
              <w:divBdr>
                <w:top w:val="none" w:sz="0" w:space="0" w:color="auto"/>
                <w:left w:val="none" w:sz="0" w:space="0" w:color="auto"/>
                <w:bottom w:val="none" w:sz="0" w:space="0" w:color="auto"/>
                <w:right w:val="none" w:sz="0" w:space="0" w:color="auto"/>
              </w:divBdr>
              <w:divsChild>
                <w:div w:id="867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9267">
      <w:bodyDiv w:val="1"/>
      <w:marLeft w:val="0"/>
      <w:marRight w:val="0"/>
      <w:marTop w:val="0"/>
      <w:marBottom w:val="0"/>
      <w:divBdr>
        <w:top w:val="none" w:sz="0" w:space="0" w:color="auto"/>
        <w:left w:val="none" w:sz="0" w:space="0" w:color="auto"/>
        <w:bottom w:val="none" w:sz="0" w:space="0" w:color="auto"/>
        <w:right w:val="none" w:sz="0" w:space="0" w:color="auto"/>
      </w:divBdr>
      <w:divsChild>
        <w:div w:id="1469542719">
          <w:marLeft w:val="0"/>
          <w:marRight w:val="0"/>
          <w:marTop w:val="0"/>
          <w:marBottom w:val="0"/>
          <w:divBdr>
            <w:top w:val="none" w:sz="0" w:space="0" w:color="auto"/>
            <w:left w:val="none" w:sz="0" w:space="0" w:color="auto"/>
            <w:bottom w:val="none" w:sz="0" w:space="0" w:color="auto"/>
            <w:right w:val="none" w:sz="0" w:space="0" w:color="auto"/>
          </w:divBdr>
          <w:divsChild>
            <w:div w:id="2074349745">
              <w:marLeft w:val="0"/>
              <w:marRight w:val="0"/>
              <w:marTop w:val="0"/>
              <w:marBottom w:val="0"/>
              <w:divBdr>
                <w:top w:val="none" w:sz="0" w:space="0" w:color="auto"/>
                <w:left w:val="none" w:sz="0" w:space="0" w:color="auto"/>
                <w:bottom w:val="none" w:sz="0" w:space="0" w:color="auto"/>
                <w:right w:val="none" w:sz="0" w:space="0" w:color="auto"/>
              </w:divBdr>
              <w:divsChild>
                <w:div w:id="1976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5451">
      <w:bodyDiv w:val="1"/>
      <w:marLeft w:val="0"/>
      <w:marRight w:val="0"/>
      <w:marTop w:val="0"/>
      <w:marBottom w:val="0"/>
      <w:divBdr>
        <w:top w:val="none" w:sz="0" w:space="0" w:color="auto"/>
        <w:left w:val="none" w:sz="0" w:space="0" w:color="auto"/>
        <w:bottom w:val="none" w:sz="0" w:space="0" w:color="auto"/>
        <w:right w:val="none" w:sz="0" w:space="0" w:color="auto"/>
      </w:divBdr>
    </w:div>
    <w:div w:id="772478817">
      <w:bodyDiv w:val="1"/>
      <w:marLeft w:val="0"/>
      <w:marRight w:val="0"/>
      <w:marTop w:val="0"/>
      <w:marBottom w:val="0"/>
      <w:divBdr>
        <w:top w:val="none" w:sz="0" w:space="0" w:color="auto"/>
        <w:left w:val="none" w:sz="0" w:space="0" w:color="auto"/>
        <w:bottom w:val="none" w:sz="0" w:space="0" w:color="auto"/>
        <w:right w:val="none" w:sz="0" w:space="0" w:color="auto"/>
      </w:divBdr>
      <w:divsChild>
        <w:div w:id="1770468961">
          <w:marLeft w:val="0"/>
          <w:marRight w:val="0"/>
          <w:marTop w:val="0"/>
          <w:marBottom w:val="0"/>
          <w:divBdr>
            <w:top w:val="none" w:sz="0" w:space="0" w:color="auto"/>
            <w:left w:val="none" w:sz="0" w:space="0" w:color="auto"/>
            <w:bottom w:val="none" w:sz="0" w:space="0" w:color="auto"/>
            <w:right w:val="none" w:sz="0" w:space="0" w:color="auto"/>
          </w:divBdr>
          <w:divsChild>
            <w:div w:id="1729106848">
              <w:marLeft w:val="0"/>
              <w:marRight w:val="0"/>
              <w:marTop w:val="0"/>
              <w:marBottom w:val="0"/>
              <w:divBdr>
                <w:top w:val="none" w:sz="0" w:space="0" w:color="auto"/>
                <w:left w:val="none" w:sz="0" w:space="0" w:color="auto"/>
                <w:bottom w:val="none" w:sz="0" w:space="0" w:color="auto"/>
                <w:right w:val="none" w:sz="0" w:space="0" w:color="auto"/>
              </w:divBdr>
              <w:divsChild>
                <w:div w:id="9757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05854067">
      <w:bodyDiv w:val="1"/>
      <w:marLeft w:val="0"/>
      <w:marRight w:val="0"/>
      <w:marTop w:val="0"/>
      <w:marBottom w:val="0"/>
      <w:divBdr>
        <w:top w:val="none" w:sz="0" w:space="0" w:color="auto"/>
        <w:left w:val="none" w:sz="0" w:space="0" w:color="auto"/>
        <w:bottom w:val="none" w:sz="0" w:space="0" w:color="auto"/>
        <w:right w:val="none" w:sz="0" w:space="0" w:color="auto"/>
      </w:divBdr>
    </w:div>
    <w:div w:id="819350828">
      <w:bodyDiv w:val="1"/>
      <w:marLeft w:val="0"/>
      <w:marRight w:val="0"/>
      <w:marTop w:val="0"/>
      <w:marBottom w:val="0"/>
      <w:divBdr>
        <w:top w:val="none" w:sz="0" w:space="0" w:color="auto"/>
        <w:left w:val="none" w:sz="0" w:space="0" w:color="auto"/>
        <w:bottom w:val="none" w:sz="0" w:space="0" w:color="auto"/>
        <w:right w:val="none" w:sz="0" w:space="0" w:color="auto"/>
      </w:divBdr>
      <w:divsChild>
        <w:div w:id="561870277">
          <w:marLeft w:val="0"/>
          <w:marRight w:val="0"/>
          <w:marTop w:val="0"/>
          <w:marBottom w:val="0"/>
          <w:divBdr>
            <w:top w:val="none" w:sz="0" w:space="0" w:color="auto"/>
            <w:left w:val="none" w:sz="0" w:space="0" w:color="auto"/>
            <w:bottom w:val="none" w:sz="0" w:space="0" w:color="auto"/>
            <w:right w:val="none" w:sz="0" w:space="0" w:color="auto"/>
          </w:divBdr>
          <w:divsChild>
            <w:div w:id="1569265830">
              <w:marLeft w:val="0"/>
              <w:marRight w:val="0"/>
              <w:marTop w:val="0"/>
              <w:marBottom w:val="0"/>
              <w:divBdr>
                <w:top w:val="none" w:sz="0" w:space="0" w:color="auto"/>
                <w:left w:val="none" w:sz="0" w:space="0" w:color="auto"/>
                <w:bottom w:val="none" w:sz="0" w:space="0" w:color="auto"/>
                <w:right w:val="none" w:sz="0" w:space="0" w:color="auto"/>
              </w:divBdr>
              <w:divsChild>
                <w:div w:id="204024714">
                  <w:marLeft w:val="0"/>
                  <w:marRight w:val="0"/>
                  <w:marTop w:val="0"/>
                  <w:marBottom w:val="0"/>
                  <w:divBdr>
                    <w:top w:val="none" w:sz="0" w:space="0" w:color="auto"/>
                    <w:left w:val="none" w:sz="0" w:space="0" w:color="auto"/>
                    <w:bottom w:val="none" w:sz="0" w:space="0" w:color="auto"/>
                    <w:right w:val="none" w:sz="0" w:space="0" w:color="auto"/>
                  </w:divBdr>
                  <w:divsChild>
                    <w:div w:id="9226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66841">
      <w:bodyDiv w:val="1"/>
      <w:marLeft w:val="0"/>
      <w:marRight w:val="0"/>
      <w:marTop w:val="0"/>
      <w:marBottom w:val="0"/>
      <w:divBdr>
        <w:top w:val="none" w:sz="0" w:space="0" w:color="auto"/>
        <w:left w:val="none" w:sz="0" w:space="0" w:color="auto"/>
        <w:bottom w:val="none" w:sz="0" w:space="0" w:color="auto"/>
        <w:right w:val="none" w:sz="0" w:space="0" w:color="auto"/>
      </w:divBdr>
    </w:div>
    <w:div w:id="838664687">
      <w:bodyDiv w:val="1"/>
      <w:marLeft w:val="0"/>
      <w:marRight w:val="0"/>
      <w:marTop w:val="0"/>
      <w:marBottom w:val="0"/>
      <w:divBdr>
        <w:top w:val="none" w:sz="0" w:space="0" w:color="auto"/>
        <w:left w:val="none" w:sz="0" w:space="0" w:color="auto"/>
        <w:bottom w:val="none" w:sz="0" w:space="0" w:color="auto"/>
        <w:right w:val="none" w:sz="0" w:space="0" w:color="auto"/>
      </w:divBdr>
      <w:divsChild>
        <w:div w:id="395248381">
          <w:marLeft w:val="0"/>
          <w:marRight w:val="0"/>
          <w:marTop w:val="0"/>
          <w:marBottom w:val="0"/>
          <w:divBdr>
            <w:top w:val="none" w:sz="0" w:space="0" w:color="auto"/>
            <w:left w:val="none" w:sz="0" w:space="0" w:color="auto"/>
            <w:bottom w:val="none" w:sz="0" w:space="0" w:color="auto"/>
            <w:right w:val="none" w:sz="0" w:space="0" w:color="auto"/>
          </w:divBdr>
          <w:divsChild>
            <w:div w:id="1026057110">
              <w:marLeft w:val="0"/>
              <w:marRight w:val="0"/>
              <w:marTop w:val="0"/>
              <w:marBottom w:val="0"/>
              <w:divBdr>
                <w:top w:val="none" w:sz="0" w:space="0" w:color="auto"/>
                <w:left w:val="none" w:sz="0" w:space="0" w:color="auto"/>
                <w:bottom w:val="none" w:sz="0" w:space="0" w:color="auto"/>
                <w:right w:val="none" w:sz="0" w:space="0" w:color="auto"/>
              </w:divBdr>
              <w:divsChild>
                <w:div w:id="6467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98981">
      <w:bodyDiv w:val="1"/>
      <w:marLeft w:val="0"/>
      <w:marRight w:val="0"/>
      <w:marTop w:val="0"/>
      <w:marBottom w:val="0"/>
      <w:divBdr>
        <w:top w:val="none" w:sz="0" w:space="0" w:color="auto"/>
        <w:left w:val="none" w:sz="0" w:space="0" w:color="auto"/>
        <w:bottom w:val="none" w:sz="0" w:space="0" w:color="auto"/>
        <w:right w:val="none" w:sz="0" w:space="0" w:color="auto"/>
      </w:divBdr>
      <w:divsChild>
        <w:div w:id="1393776857">
          <w:marLeft w:val="0"/>
          <w:marRight w:val="0"/>
          <w:marTop w:val="0"/>
          <w:marBottom w:val="0"/>
          <w:divBdr>
            <w:top w:val="none" w:sz="0" w:space="0" w:color="auto"/>
            <w:left w:val="none" w:sz="0" w:space="0" w:color="auto"/>
            <w:bottom w:val="none" w:sz="0" w:space="0" w:color="auto"/>
            <w:right w:val="none" w:sz="0" w:space="0" w:color="auto"/>
          </w:divBdr>
          <w:divsChild>
            <w:div w:id="1186286506">
              <w:marLeft w:val="0"/>
              <w:marRight w:val="0"/>
              <w:marTop w:val="0"/>
              <w:marBottom w:val="0"/>
              <w:divBdr>
                <w:top w:val="none" w:sz="0" w:space="0" w:color="auto"/>
                <w:left w:val="none" w:sz="0" w:space="0" w:color="auto"/>
                <w:bottom w:val="none" w:sz="0" w:space="0" w:color="auto"/>
                <w:right w:val="none" w:sz="0" w:space="0" w:color="auto"/>
              </w:divBdr>
              <w:divsChild>
                <w:div w:id="9150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58936739">
      <w:bodyDiv w:val="1"/>
      <w:marLeft w:val="0"/>
      <w:marRight w:val="0"/>
      <w:marTop w:val="0"/>
      <w:marBottom w:val="0"/>
      <w:divBdr>
        <w:top w:val="none" w:sz="0" w:space="0" w:color="auto"/>
        <w:left w:val="none" w:sz="0" w:space="0" w:color="auto"/>
        <w:bottom w:val="none" w:sz="0" w:space="0" w:color="auto"/>
        <w:right w:val="none" w:sz="0" w:space="0" w:color="auto"/>
      </w:divBdr>
      <w:divsChild>
        <w:div w:id="864825005">
          <w:marLeft w:val="0"/>
          <w:marRight w:val="0"/>
          <w:marTop w:val="0"/>
          <w:marBottom w:val="0"/>
          <w:divBdr>
            <w:top w:val="none" w:sz="0" w:space="0" w:color="auto"/>
            <w:left w:val="none" w:sz="0" w:space="0" w:color="auto"/>
            <w:bottom w:val="none" w:sz="0" w:space="0" w:color="auto"/>
            <w:right w:val="none" w:sz="0" w:space="0" w:color="auto"/>
          </w:divBdr>
          <w:divsChild>
            <w:div w:id="1856264523">
              <w:marLeft w:val="0"/>
              <w:marRight w:val="0"/>
              <w:marTop w:val="0"/>
              <w:marBottom w:val="0"/>
              <w:divBdr>
                <w:top w:val="none" w:sz="0" w:space="0" w:color="auto"/>
                <w:left w:val="none" w:sz="0" w:space="0" w:color="auto"/>
                <w:bottom w:val="none" w:sz="0" w:space="0" w:color="auto"/>
                <w:right w:val="none" w:sz="0" w:space="0" w:color="auto"/>
              </w:divBdr>
              <w:divsChild>
                <w:div w:id="6960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3075">
      <w:bodyDiv w:val="1"/>
      <w:marLeft w:val="0"/>
      <w:marRight w:val="0"/>
      <w:marTop w:val="0"/>
      <w:marBottom w:val="0"/>
      <w:divBdr>
        <w:top w:val="none" w:sz="0" w:space="0" w:color="auto"/>
        <w:left w:val="none" w:sz="0" w:space="0" w:color="auto"/>
        <w:bottom w:val="none" w:sz="0" w:space="0" w:color="auto"/>
        <w:right w:val="none" w:sz="0" w:space="0" w:color="auto"/>
      </w:divBdr>
      <w:divsChild>
        <w:div w:id="962079391">
          <w:marLeft w:val="0"/>
          <w:marRight w:val="0"/>
          <w:marTop w:val="0"/>
          <w:marBottom w:val="0"/>
          <w:divBdr>
            <w:top w:val="none" w:sz="0" w:space="0" w:color="auto"/>
            <w:left w:val="none" w:sz="0" w:space="0" w:color="auto"/>
            <w:bottom w:val="none" w:sz="0" w:space="0" w:color="auto"/>
            <w:right w:val="none" w:sz="0" w:space="0" w:color="auto"/>
          </w:divBdr>
          <w:divsChild>
            <w:div w:id="2138449097">
              <w:marLeft w:val="0"/>
              <w:marRight w:val="0"/>
              <w:marTop w:val="0"/>
              <w:marBottom w:val="0"/>
              <w:divBdr>
                <w:top w:val="none" w:sz="0" w:space="0" w:color="auto"/>
                <w:left w:val="none" w:sz="0" w:space="0" w:color="auto"/>
                <w:bottom w:val="none" w:sz="0" w:space="0" w:color="auto"/>
                <w:right w:val="none" w:sz="0" w:space="0" w:color="auto"/>
              </w:divBdr>
              <w:divsChild>
                <w:div w:id="12404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53839">
      <w:bodyDiv w:val="1"/>
      <w:marLeft w:val="0"/>
      <w:marRight w:val="0"/>
      <w:marTop w:val="0"/>
      <w:marBottom w:val="0"/>
      <w:divBdr>
        <w:top w:val="none" w:sz="0" w:space="0" w:color="auto"/>
        <w:left w:val="none" w:sz="0" w:space="0" w:color="auto"/>
        <w:bottom w:val="none" w:sz="0" w:space="0" w:color="auto"/>
        <w:right w:val="none" w:sz="0" w:space="0" w:color="auto"/>
      </w:divBdr>
      <w:divsChild>
        <w:div w:id="2080665492">
          <w:marLeft w:val="0"/>
          <w:marRight w:val="0"/>
          <w:marTop w:val="0"/>
          <w:marBottom w:val="0"/>
          <w:divBdr>
            <w:top w:val="none" w:sz="0" w:space="0" w:color="auto"/>
            <w:left w:val="none" w:sz="0" w:space="0" w:color="auto"/>
            <w:bottom w:val="none" w:sz="0" w:space="0" w:color="auto"/>
            <w:right w:val="none" w:sz="0" w:space="0" w:color="auto"/>
          </w:divBdr>
          <w:divsChild>
            <w:div w:id="981731635">
              <w:marLeft w:val="0"/>
              <w:marRight w:val="0"/>
              <w:marTop w:val="0"/>
              <w:marBottom w:val="0"/>
              <w:divBdr>
                <w:top w:val="none" w:sz="0" w:space="0" w:color="auto"/>
                <w:left w:val="none" w:sz="0" w:space="0" w:color="auto"/>
                <w:bottom w:val="none" w:sz="0" w:space="0" w:color="auto"/>
                <w:right w:val="none" w:sz="0" w:space="0" w:color="auto"/>
              </w:divBdr>
              <w:divsChild>
                <w:div w:id="14117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874344845">
      <w:bodyDiv w:val="1"/>
      <w:marLeft w:val="0"/>
      <w:marRight w:val="0"/>
      <w:marTop w:val="0"/>
      <w:marBottom w:val="0"/>
      <w:divBdr>
        <w:top w:val="none" w:sz="0" w:space="0" w:color="auto"/>
        <w:left w:val="none" w:sz="0" w:space="0" w:color="auto"/>
        <w:bottom w:val="none" w:sz="0" w:space="0" w:color="auto"/>
        <w:right w:val="none" w:sz="0" w:space="0" w:color="auto"/>
      </w:divBdr>
      <w:divsChild>
        <w:div w:id="1084297459">
          <w:marLeft w:val="0"/>
          <w:marRight w:val="0"/>
          <w:marTop w:val="0"/>
          <w:marBottom w:val="0"/>
          <w:divBdr>
            <w:top w:val="none" w:sz="0" w:space="0" w:color="auto"/>
            <w:left w:val="none" w:sz="0" w:space="0" w:color="auto"/>
            <w:bottom w:val="none" w:sz="0" w:space="0" w:color="auto"/>
            <w:right w:val="none" w:sz="0" w:space="0" w:color="auto"/>
          </w:divBdr>
          <w:divsChild>
            <w:div w:id="478041889">
              <w:marLeft w:val="0"/>
              <w:marRight w:val="0"/>
              <w:marTop w:val="0"/>
              <w:marBottom w:val="0"/>
              <w:divBdr>
                <w:top w:val="none" w:sz="0" w:space="0" w:color="auto"/>
                <w:left w:val="none" w:sz="0" w:space="0" w:color="auto"/>
                <w:bottom w:val="none" w:sz="0" w:space="0" w:color="auto"/>
                <w:right w:val="none" w:sz="0" w:space="0" w:color="auto"/>
              </w:divBdr>
              <w:divsChild>
                <w:div w:id="16308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7216">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696659">
      <w:bodyDiv w:val="1"/>
      <w:marLeft w:val="0"/>
      <w:marRight w:val="0"/>
      <w:marTop w:val="0"/>
      <w:marBottom w:val="0"/>
      <w:divBdr>
        <w:top w:val="none" w:sz="0" w:space="0" w:color="auto"/>
        <w:left w:val="none" w:sz="0" w:space="0" w:color="auto"/>
        <w:bottom w:val="none" w:sz="0" w:space="0" w:color="auto"/>
        <w:right w:val="none" w:sz="0" w:space="0" w:color="auto"/>
      </w:divBdr>
      <w:divsChild>
        <w:div w:id="1786382495">
          <w:marLeft w:val="0"/>
          <w:marRight w:val="0"/>
          <w:marTop w:val="0"/>
          <w:marBottom w:val="0"/>
          <w:divBdr>
            <w:top w:val="none" w:sz="0" w:space="0" w:color="auto"/>
            <w:left w:val="none" w:sz="0" w:space="0" w:color="auto"/>
            <w:bottom w:val="none" w:sz="0" w:space="0" w:color="auto"/>
            <w:right w:val="none" w:sz="0" w:space="0" w:color="auto"/>
          </w:divBdr>
          <w:divsChild>
            <w:div w:id="641345498">
              <w:marLeft w:val="0"/>
              <w:marRight w:val="0"/>
              <w:marTop w:val="0"/>
              <w:marBottom w:val="0"/>
              <w:divBdr>
                <w:top w:val="none" w:sz="0" w:space="0" w:color="auto"/>
                <w:left w:val="none" w:sz="0" w:space="0" w:color="auto"/>
                <w:bottom w:val="none" w:sz="0" w:space="0" w:color="auto"/>
                <w:right w:val="none" w:sz="0" w:space="0" w:color="auto"/>
              </w:divBdr>
              <w:divsChild>
                <w:div w:id="1658923235">
                  <w:marLeft w:val="0"/>
                  <w:marRight w:val="0"/>
                  <w:marTop w:val="0"/>
                  <w:marBottom w:val="0"/>
                  <w:divBdr>
                    <w:top w:val="none" w:sz="0" w:space="0" w:color="auto"/>
                    <w:left w:val="none" w:sz="0" w:space="0" w:color="auto"/>
                    <w:bottom w:val="none" w:sz="0" w:space="0" w:color="auto"/>
                    <w:right w:val="none" w:sz="0" w:space="0" w:color="auto"/>
                  </w:divBdr>
                  <w:divsChild>
                    <w:div w:id="12052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551107">
      <w:bodyDiv w:val="1"/>
      <w:marLeft w:val="0"/>
      <w:marRight w:val="0"/>
      <w:marTop w:val="0"/>
      <w:marBottom w:val="0"/>
      <w:divBdr>
        <w:top w:val="none" w:sz="0" w:space="0" w:color="auto"/>
        <w:left w:val="none" w:sz="0" w:space="0" w:color="auto"/>
        <w:bottom w:val="none" w:sz="0" w:space="0" w:color="auto"/>
        <w:right w:val="none" w:sz="0" w:space="0" w:color="auto"/>
      </w:divBdr>
    </w:div>
    <w:div w:id="996036205">
      <w:bodyDiv w:val="1"/>
      <w:marLeft w:val="0"/>
      <w:marRight w:val="0"/>
      <w:marTop w:val="0"/>
      <w:marBottom w:val="0"/>
      <w:divBdr>
        <w:top w:val="none" w:sz="0" w:space="0" w:color="auto"/>
        <w:left w:val="none" w:sz="0" w:space="0" w:color="auto"/>
        <w:bottom w:val="none" w:sz="0" w:space="0" w:color="auto"/>
        <w:right w:val="none" w:sz="0" w:space="0" w:color="auto"/>
      </w:divBdr>
    </w:div>
    <w:div w:id="1006590757">
      <w:bodyDiv w:val="1"/>
      <w:marLeft w:val="0"/>
      <w:marRight w:val="0"/>
      <w:marTop w:val="0"/>
      <w:marBottom w:val="0"/>
      <w:divBdr>
        <w:top w:val="none" w:sz="0" w:space="0" w:color="auto"/>
        <w:left w:val="none" w:sz="0" w:space="0" w:color="auto"/>
        <w:bottom w:val="none" w:sz="0" w:space="0" w:color="auto"/>
        <w:right w:val="none" w:sz="0" w:space="0" w:color="auto"/>
      </w:divBdr>
      <w:divsChild>
        <w:div w:id="236599215">
          <w:marLeft w:val="0"/>
          <w:marRight w:val="0"/>
          <w:marTop w:val="0"/>
          <w:marBottom w:val="0"/>
          <w:divBdr>
            <w:top w:val="none" w:sz="0" w:space="0" w:color="auto"/>
            <w:left w:val="none" w:sz="0" w:space="0" w:color="auto"/>
            <w:bottom w:val="none" w:sz="0" w:space="0" w:color="auto"/>
            <w:right w:val="none" w:sz="0" w:space="0" w:color="auto"/>
          </w:divBdr>
          <w:divsChild>
            <w:div w:id="1368994563">
              <w:marLeft w:val="0"/>
              <w:marRight w:val="0"/>
              <w:marTop w:val="0"/>
              <w:marBottom w:val="0"/>
              <w:divBdr>
                <w:top w:val="none" w:sz="0" w:space="0" w:color="auto"/>
                <w:left w:val="none" w:sz="0" w:space="0" w:color="auto"/>
                <w:bottom w:val="none" w:sz="0" w:space="0" w:color="auto"/>
                <w:right w:val="none" w:sz="0" w:space="0" w:color="auto"/>
              </w:divBdr>
              <w:divsChild>
                <w:div w:id="1058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17157">
      <w:bodyDiv w:val="1"/>
      <w:marLeft w:val="0"/>
      <w:marRight w:val="0"/>
      <w:marTop w:val="0"/>
      <w:marBottom w:val="0"/>
      <w:divBdr>
        <w:top w:val="none" w:sz="0" w:space="0" w:color="auto"/>
        <w:left w:val="none" w:sz="0" w:space="0" w:color="auto"/>
        <w:bottom w:val="none" w:sz="0" w:space="0" w:color="auto"/>
        <w:right w:val="none" w:sz="0" w:space="0" w:color="auto"/>
      </w:divBdr>
      <w:divsChild>
        <w:div w:id="1086876471">
          <w:marLeft w:val="0"/>
          <w:marRight w:val="0"/>
          <w:marTop w:val="0"/>
          <w:marBottom w:val="0"/>
          <w:divBdr>
            <w:top w:val="none" w:sz="0" w:space="0" w:color="auto"/>
            <w:left w:val="none" w:sz="0" w:space="0" w:color="auto"/>
            <w:bottom w:val="none" w:sz="0" w:space="0" w:color="auto"/>
            <w:right w:val="none" w:sz="0" w:space="0" w:color="auto"/>
          </w:divBdr>
          <w:divsChild>
            <w:div w:id="1710111456">
              <w:marLeft w:val="0"/>
              <w:marRight w:val="0"/>
              <w:marTop w:val="0"/>
              <w:marBottom w:val="0"/>
              <w:divBdr>
                <w:top w:val="none" w:sz="0" w:space="0" w:color="auto"/>
                <w:left w:val="none" w:sz="0" w:space="0" w:color="auto"/>
                <w:bottom w:val="none" w:sz="0" w:space="0" w:color="auto"/>
                <w:right w:val="none" w:sz="0" w:space="0" w:color="auto"/>
              </w:divBdr>
              <w:divsChild>
                <w:div w:id="1104306993">
                  <w:marLeft w:val="0"/>
                  <w:marRight w:val="0"/>
                  <w:marTop w:val="0"/>
                  <w:marBottom w:val="0"/>
                  <w:divBdr>
                    <w:top w:val="none" w:sz="0" w:space="0" w:color="auto"/>
                    <w:left w:val="none" w:sz="0" w:space="0" w:color="auto"/>
                    <w:bottom w:val="none" w:sz="0" w:space="0" w:color="auto"/>
                    <w:right w:val="none" w:sz="0" w:space="0" w:color="auto"/>
                  </w:divBdr>
                  <w:divsChild>
                    <w:div w:id="15093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23233155">
      <w:bodyDiv w:val="1"/>
      <w:marLeft w:val="0"/>
      <w:marRight w:val="0"/>
      <w:marTop w:val="0"/>
      <w:marBottom w:val="0"/>
      <w:divBdr>
        <w:top w:val="none" w:sz="0" w:space="0" w:color="auto"/>
        <w:left w:val="none" w:sz="0" w:space="0" w:color="auto"/>
        <w:bottom w:val="none" w:sz="0" w:space="0" w:color="auto"/>
        <w:right w:val="none" w:sz="0" w:space="0" w:color="auto"/>
      </w:divBdr>
    </w:div>
    <w:div w:id="1133331326">
      <w:bodyDiv w:val="1"/>
      <w:marLeft w:val="0"/>
      <w:marRight w:val="0"/>
      <w:marTop w:val="0"/>
      <w:marBottom w:val="0"/>
      <w:divBdr>
        <w:top w:val="none" w:sz="0" w:space="0" w:color="auto"/>
        <w:left w:val="none" w:sz="0" w:space="0" w:color="auto"/>
        <w:bottom w:val="none" w:sz="0" w:space="0" w:color="auto"/>
        <w:right w:val="none" w:sz="0" w:space="0" w:color="auto"/>
      </w:divBdr>
    </w:div>
    <w:div w:id="1150251120">
      <w:bodyDiv w:val="1"/>
      <w:marLeft w:val="0"/>
      <w:marRight w:val="0"/>
      <w:marTop w:val="0"/>
      <w:marBottom w:val="0"/>
      <w:divBdr>
        <w:top w:val="none" w:sz="0" w:space="0" w:color="auto"/>
        <w:left w:val="none" w:sz="0" w:space="0" w:color="auto"/>
        <w:bottom w:val="none" w:sz="0" w:space="0" w:color="auto"/>
        <w:right w:val="none" w:sz="0" w:space="0" w:color="auto"/>
      </w:divBdr>
    </w:div>
    <w:div w:id="1176115505">
      <w:bodyDiv w:val="1"/>
      <w:marLeft w:val="0"/>
      <w:marRight w:val="0"/>
      <w:marTop w:val="0"/>
      <w:marBottom w:val="0"/>
      <w:divBdr>
        <w:top w:val="none" w:sz="0" w:space="0" w:color="auto"/>
        <w:left w:val="none" w:sz="0" w:space="0" w:color="auto"/>
        <w:bottom w:val="none" w:sz="0" w:space="0" w:color="auto"/>
        <w:right w:val="none" w:sz="0" w:space="0" w:color="auto"/>
      </w:divBdr>
    </w:div>
    <w:div w:id="1177429399">
      <w:bodyDiv w:val="1"/>
      <w:marLeft w:val="0"/>
      <w:marRight w:val="0"/>
      <w:marTop w:val="0"/>
      <w:marBottom w:val="0"/>
      <w:divBdr>
        <w:top w:val="none" w:sz="0" w:space="0" w:color="auto"/>
        <w:left w:val="none" w:sz="0" w:space="0" w:color="auto"/>
        <w:bottom w:val="none" w:sz="0" w:space="0" w:color="auto"/>
        <w:right w:val="none" w:sz="0" w:space="0" w:color="auto"/>
      </w:divBdr>
    </w:div>
    <w:div w:id="1192768917">
      <w:bodyDiv w:val="1"/>
      <w:marLeft w:val="0"/>
      <w:marRight w:val="0"/>
      <w:marTop w:val="0"/>
      <w:marBottom w:val="0"/>
      <w:divBdr>
        <w:top w:val="none" w:sz="0" w:space="0" w:color="auto"/>
        <w:left w:val="none" w:sz="0" w:space="0" w:color="auto"/>
        <w:bottom w:val="none" w:sz="0" w:space="0" w:color="auto"/>
        <w:right w:val="none" w:sz="0" w:space="0" w:color="auto"/>
      </w:divBdr>
      <w:divsChild>
        <w:div w:id="377054117">
          <w:marLeft w:val="0"/>
          <w:marRight w:val="0"/>
          <w:marTop w:val="0"/>
          <w:marBottom w:val="0"/>
          <w:divBdr>
            <w:top w:val="none" w:sz="0" w:space="0" w:color="auto"/>
            <w:left w:val="none" w:sz="0" w:space="0" w:color="auto"/>
            <w:bottom w:val="none" w:sz="0" w:space="0" w:color="auto"/>
            <w:right w:val="none" w:sz="0" w:space="0" w:color="auto"/>
          </w:divBdr>
          <w:divsChild>
            <w:div w:id="2074036009">
              <w:marLeft w:val="0"/>
              <w:marRight w:val="0"/>
              <w:marTop w:val="0"/>
              <w:marBottom w:val="0"/>
              <w:divBdr>
                <w:top w:val="none" w:sz="0" w:space="0" w:color="auto"/>
                <w:left w:val="none" w:sz="0" w:space="0" w:color="auto"/>
                <w:bottom w:val="none" w:sz="0" w:space="0" w:color="auto"/>
                <w:right w:val="none" w:sz="0" w:space="0" w:color="auto"/>
              </w:divBdr>
              <w:divsChild>
                <w:div w:id="11727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34267">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50582258">
      <w:bodyDiv w:val="1"/>
      <w:marLeft w:val="0"/>
      <w:marRight w:val="0"/>
      <w:marTop w:val="0"/>
      <w:marBottom w:val="0"/>
      <w:divBdr>
        <w:top w:val="none" w:sz="0" w:space="0" w:color="auto"/>
        <w:left w:val="none" w:sz="0" w:space="0" w:color="auto"/>
        <w:bottom w:val="none" w:sz="0" w:space="0" w:color="auto"/>
        <w:right w:val="none" w:sz="0" w:space="0" w:color="auto"/>
      </w:divBdr>
      <w:divsChild>
        <w:div w:id="983849722">
          <w:marLeft w:val="0"/>
          <w:marRight w:val="0"/>
          <w:marTop w:val="0"/>
          <w:marBottom w:val="0"/>
          <w:divBdr>
            <w:top w:val="none" w:sz="0" w:space="0" w:color="auto"/>
            <w:left w:val="none" w:sz="0" w:space="0" w:color="auto"/>
            <w:bottom w:val="none" w:sz="0" w:space="0" w:color="auto"/>
            <w:right w:val="none" w:sz="0" w:space="0" w:color="auto"/>
          </w:divBdr>
          <w:divsChild>
            <w:div w:id="1074471586">
              <w:marLeft w:val="0"/>
              <w:marRight w:val="0"/>
              <w:marTop w:val="0"/>
              <w:marBottom w:val="0"/>
              <w:divBdr>
                <w:top w:val="none" w:sz="0" w:space="0" w:color="auto"/>
                <w:left w:val="none" w:sz="0" w:space="0" w:color="auto"/>
                <w:bottom w:val="none" w:sz="0" w:space="0" w:color="auto"/>
                <w:right w:val="none" w:sz="0" w:space="0" w:color="auto"/>
              </w:divBdr>
              <w:divsChild>
                <w:div w:id="2303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46107">
      <w:bodyDiv w:val="1"/>
      <w:marLeft w:val="0"/>
      <w:marRight w:val="0"/>
      <w:marTop w:val="0"/>
      <w:marBottom w:val="0"/>
      <w:divBdr>
        <w:top w:val="none" w:sz="0" w:space="0" w:color="auto"/>
        <w:left w:val="none" w:sz="0" w:space="0" w:color="auto"/>
        <w:bottom w:val="none" w:sz="0" w:space="0" w:color="auto"/>
        <w:right w:val="none" w:sz="0" w:space="0" w:color="auto"/>
      </w:divBdr>
      <w:divsChild>
        <w:div w:id="1410419542">
          <w:marLeft w:val="0"/>
          <w:marRight w:val="0"/>
          <w:marTop w:val="0"/>
          <w:marBottom w:val="0"/>
          <w:divBdr>
            <w:top w:val="none" w:sz="0" w:space="0" w:color="auto"/>
            <w:left w:val="none" w:sz="0" w:space="0" w:color="auto"/>
            <w:bottom w:val="none" w:sz="0" w:space="0" w:color="auto"/>
            <w:right w:val="none" w:sz="0" w:space="0" w:color="auto"/>
          </w:divBdr>
          <w:divsChild>
            <w:div w:id="529492044">
              <w:marLeft w:val="0"/>
              <w:marRight w:val="0"/>
              <w:marTop w:val="0"/>
              <w:marBottom w:val="0"/>
              <w:divBdr>
                <w:top w:val="none" w:sz="0" w:space="0" w:color="auto"/>
                <w:left w:val="none" w:sz="0" w:space="0" w:color="auto"/>
                <w:bottom w:val="none" w:sz="0" w:space="0" w:color="auto"/>
                <w:right w:val="none" w:sz="0" w:space="0" w:color="auto"/>
              </w:divBdr>
              <w:divsChild>
                <w:div w:id="2225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94036">
      <w:bodyDiv w:val="1"/>
      <w:marLeft w:val="0"/>
      <w:marRight w:val="0"/>
      <w:marTop w:val="0"/>
      <w:marBottom w:val="0"/>
      <w:divBdr>
        <w:top w:val="none" w:sz="0" w:space="0" w:color="auto"/>
        <w:left w:val="none" w:sz="0" w:space="0" w:color="auto"/>
        <w:bottom w:val="none" w:sz="0" w:space="0" w:color="auto"/>
        <w:right w:val="none" w:sz="0" w:space="0" w:color="auto"/>
      </w:divBdr>
      <w:divsChild>
        <w:div w:id="1650206608">
          <w:marLeft w:val="0"/>
          <w:marRight w:val="0"/>
          <w:marTop w:val="0"/>
          <w:marBottom w:val="0"/>
          <w:divBdr>
            <w:top w:val="none" w:sz="0" w:space="0" w:color="auto"/>
            <w:left w:val="none" w:sz="0" w:space="0" w:color="auto"/>
            <w:bottom w:val="none" w:sz="0" w:space="0" w:color="auto"/>
            <w:right w:val="none" w:sz="0" w:space="0" w:color="auto"/>
          </w:divBdr>
          <w:divsChild>
            <w:div w:id="671838442">
              <w:marLeft w:val="0"/>
              <w:marRight w:val="0"/>
              <w:marTop w:val="0"/>
              <w:marBottom w:val="0"/>
              <w:divBdr>
                <w:top w:val="none" w:sz="0" w:space="0" w:color="auto"/>
                <w:left w:val="none" w:sz="0" w:space="0" w:color="auto"/>
                <w:bottom w:val="none" w:sz="0" w:space="0" w:color="auto"/>
                <w:right w:val="none" w:sz="0" w:space="0" w:color="auto"/>
              </w:divBdr>
              <w:divsChild>
                <w:div w:id="675617912">
                  <w:marLeft w:val="0"/>
                  <w:marRight w:val="0"/>
                  <w:marTop w:val="0"/>
                  <w:marBottom w:val="0"/>
                  <w:divBdr>
                    <w:top w:val="none" w:sz="0" w:space="0" w:color="auto"/>
                    <w:left w:val="none" w:sz="0" w:space="0" w:color="auto"/>
                    <w:bottom w:val="none" w:sz="0" w:space="0" w:color="auto"/>
                    <w:right w:val="none" w:sz="0" w:space="0" w:color="auto"/>
                  </w:divBdr>
                  <w:divsChild>
                    <w:div w:id="1379473951">
                      <w:marLeft w:val="0"/>
                      <w:marRight w:val="0"/>
                      <w:marTop w:val="0"/>
                      <w:marBottom w:val="0"/>
                      <w:divBdr>
                        <w:top w:val="none" w:sz="0" w:space="0" w:color="auto"/>
                        <w:left w:val="none" w:sz="0" w:space="0" w:color="auto"/>
                        <w:bottom w:val="none" w:sz="0" w:space="0" w:color="auto"/>
                        <w:right w:val="none" w:sz="0" w:space="0" w:color="auto"/>
                      </w:divBdr>
                    </w:div>
                  </w:divsChild>
                </w:div>
                <w:div w:id="798181773">
                  <w:marLeft w:val="0"/>
                  <w:marRight w:val="0"/>
                  <w:marTop w:val="0"/>
                  <w:marBottom w:val="0"/>
                  <w:divBdr>
                    <w:top w:val="none" w:sz="0" w:space="0" w:color="auto"/>
                    <w:left w:val="none" w:sz="0" w:space="0" w:color="auto"/>
                    <w:bottom w:val="none" w:sz="0" w:space="0" w:color="auto"/>
                    <w:right w:val="none" w:sz="0" w:space="0" w:color="auto"/>
                  </w:divBdr>
                  <w:divsChild>
                    <w:div w:id="131095683">
                      <w:marLeft w:val="0"/>
                      <w:marRight w:val="0"/>
                      <w:marTop w:val="0"/>
                      <w:marBottom w:val="0"/>
                      <w:divBdr>
                        <w:top w:val="none" w:sz="0" w:space="0" w:color="auto"/>
                        <w:left w:val="none" w:sz="0" w:space="0" w:color="auto"/>
                        <w:bottom w:val="none" w:sz="0" w:space="0" w:color="auto"/>
                        <w:right w:val="none" w:sz="0" w:space="0" w:color="auto"/>
                      </w:divBdr>
                    </w:div>
                  </w:divsChild>
                </w:div>
                <w:div w:id="1711803244">
                  <w:marLeft w:val="0"/>
                  <w:marRight w:val="0"/>
                  <w:marTop w:val="0"/>
                  <w:marBottom w:val="0"/>
                  <w:divBdr>
                    <w:top w:val="none" w:sz="0" w:space="0" w:color="auto"/>
                    <w:left w:val="none" w:sz="0" w:space="0" w:color="auto"/>
                    <w:bottom w:val="none" w:sz="0" w:space="0" w:color="auto"/>
                    <w:right w:val="none" w:sz="0" w:space="0" w:color="auto"/>
                  </w:divBdr>
                  <w:divsChild>
                    <w:div w:id="7810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1325114">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63050028">
      <w:bodyDiv w:val="1"/>
      <w:marLeft w:val="0"/>
      <w:marRight w:val="0"/>
      <w:marTop w:val="0"/>
      <w:marBottom w:val="0"/>
      <w:divBdr>
        <w:top w:val="none" w:sz="0" w:space="0" w:color="auto"/>
        <w:left w:val="none" w:sz="0" w:space="0" w:color="auto"/>
        <w:bottom w:val="none" w:sz="0" w:space="0" w:color="auto"/>
        <w:right w:val="none" w:sz="0" w:space="0" w:color="auto"/>
      </w:divBdr>
      <w:divsChild>
        <w:div w:id="2117827798">
          <w:marLeft w:val="0"/>
          <w:marRight w:val="0"/>
          <w:marTop w:val="0"/>
          <w:marBottom w:val="0"/>
          <w:divBdr>
            <w:top w:val="none" w:sz="0" w:space="0" w:color="auto"/>
            <w:left w:val="none" w:sz="0" w:space="0" w:color="auto"/>
            <w:bottom w:val="none" w:sz="0" w:space="0" w:color="auto"/>
            <w:right w:val="none" w:sz="0" w:space="0" w:color="auto"/>
          </w:divBdr>
          <w:divsChild>
            <w:div w:id="898171654">
              <w:marLeft w:val="0"/>
              <w:marRight w:val="0"/>
              <w:marTop w:val="0"/>
              <w:marBottom w:val="0"/>
              <w:divBdr>
                <w:top w:val="none" w:sz="0" w:space="0" w:color="auto"/>
                <w:left w:val="none" w:sz="0" w:space="0" w:color="auto"/>
                <w:bottom w:val="none" w:sz="0" w:space="0" w:color="auto"/>
                <w:right w:val="none" w:sz="0" w:space="0" w:color="auto"/>
              </w:divBdr>
              <w:divsChild>
                <w:div w:id="676465940">
                  <w:marLeft w:val="0"/>
                  <w:marRight w:val="0"/>
                  <w:marTop w:val="0"/>
                  <w:marBottom w:val="0"/>
                  <w:divBdr>
                    <w:top w:val="none" w:sz="0" w:space="0" w:color="auto"/>
                    <w:left w:val="none" w:sz="0" w:space="0" w:color="auto"/>
                    <w:bottom w:val="none" w:sz="0" w:space="0" w:color="auto"/>
                    <w:right w:val="none" w:sz="0" w:space="0" w:color="auto"/>
                  </w:divBdr>
                  <w:divsChild>
                    <w:div w:id="459347227">
                      <w:marLeft w:val="0"/>
                      <w:marRight w:val="0"/>
                      <w:marTop w:val="0"/>
                      <w:marBottom w:val="0"/>
                      <w:divBdr>
                        <w:top w:val="none" w:sz="0" w:space="0" w:color="auto"/>
                        <w:left w:val="none" w:sz="0" w:space="0" w:color="auto"/>
                        <w:bottom w:val="none" w:sz="0" w:space="0" w:color="auto"/>
                        <w:right w:val="none" w:sz="0" w:space="0" w:color="auto"/>
                      </w:divBdr>
                    </w:div>
                  </w:divsChild>
                </w:div>
                <w:div w:id="1308970331">
                  <w:marLeft w:val="0"/>
                  <w:marRight w:val="0"/>
                  <w:marTop w:val="0"/>
                  <w:marBottom w:val="0"/>
                  <w:divBdr>
                    <w:top w:val="none" w:sz="0" w:space="0" w:color="auto"/>
                    <w:left w:val="none" w:sz="0" w:space="0" w:color="auto"/>
                    <w:bottom w:val="none" w:sz="0" w:space="0" w:color="auto"/>
                    <w:right w:val="none" w:sz="0" w:space="0" w:color="auto"/>
                  </w:divBdr>
                  <w:divsChild>
                    <w:div w:id="274142208">
                      <w:marLeft w:val="0"/>
                      <w:marRight w:val="0"/>
                      <w:marTop w:val="0"/>
                      <w:marBottom w:val="0"/>
                      <w:divBdr>
                        <w:top w:val="none" w:sz="0" w:space="0" w:color="auto"/>
                        <w:left w:val="none" w:sz="0" w:space="0" w:color="auto"/>
                        <w:bottom w:val="none" w:sz="0" w:space="0" w:color="auto"/>
                        <w:right w:val="none" w:sz="0" w:space="0" w:color="auto"/>
                      </w:divBdr>
                    </w:div>
                  </w:divsChild>
                </w:div>
                <w:div w:id="1718896902">
                  <w:marLeft w:val="0"/>
                  <w:marRight w:val="0"/>
                  <w:marTop w:val="0"/>
                  <w:marBottom w:val="0"/>
                  <w:divBdr>
                    <w:top w:val="none" w:sz="0" w:space="0" w:color="auto"/>
                    <w:left w:val="none" w:sz="0" w:space="0" w:color="auto"/>
                    <w:bottom w:val="none" w:sz="0" w:space="0" w:color="auto"/>
                    <w:right w:val="none" w:sz="0" w:space="0" w:color="auto"/>
                  </w:divBdr>
                  <w:divsChild>
                    <w:div w:id="953949892">
                      <w:marLeft w:val="0"/>
                      <w:marRight w:val="0"/>
                      <w:marTop w:val="0"/>
                      <w:marBottom w:val="0"/>
                      <w:divBdr>
                        <w:top w:val="none" w:sz="0" w:space="0" w:color="auto"/>
                        <w:left w:val="none" w:sz="0" w:space="0" w:color="auto"/>
                        <w:bottom w:val="none" w:sz="0" w:space="0" w:color="auto"/>
                        <w:right w:val="none" w:sz="0" w:space="0" w:color="auto"/>
                      </w:divBdr>
                    </w:div>
                  </w:divsChild>
                </w:div>
                <w:div w:id="1763917835">
                  <w:marLeft w:val="0"/>
                  <w:marRight w:val="0"/>
                  <w:marTop w:val="0"/>
                  <w:marBottom w:val="0"/>
                  <w:divBdr>
                    <w:top w:val="none" w:sz="0" w:space="0" w:color="auto"/>
                    <w:left w:val="none" w:sz="0" w:space="0" w:color="auto"/>
                    <w:bottom w:val="none" w:sz="0" w:space="0" w:color="auto"/>
                    <w:right w:val="none" w:sz="0" w:space="0" w:color="auto"/>
                  </w:divBdr>
                  <w:divsChild>
                    <w:div w:id="10962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9535">
              <w:marLeft w:val="0"/>
              <w:marRight w:val="0"/>
              <w:marTop w:val="0"/>
              <w:marBottom w:val="0"/>
              <w:divBdr>
                <w:top w:val="none" w:sz="0" w:space="0" w:color="auto"/>
                <w:left w:val="none" w:sz="0" w:space="0" w:color="auto"/>
                <w:bottom w:val="none" w:sz="0" w:space="0" w:color="auto"/>
                <w:right w:val="none" w:sz="0" w:space="0" w:color="auto"/>
              </w:divBdr>
              <w:divsChild>
                <w:div w:id="1272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99761">
      <w:bodyDiv w:val="1"/>
      <w:marLeft w:val="0"/>
      <w:marRight w:val="0"/>
      <w:marTop w:val="0"/>
      <w:marBottom w:val="0"/>
      <w:divBdr>
        <w:top w:val="none" w:sz="0" w:space="0" w:color="auto"/>
        <w:left w:val="none" w:sz="0" w:space="0" w:color="auto"/>
        <w:bottom w:val="none" w:sz="0" w:space="0" w:color="auto"/>
        <w:right w:val="none" w:sz="0" w:space="0" w:color="auto"/>
      </w:divBdr>
    </w:div>
    <w:div w:id="1416897148">
      <w:bodyDiv w:val="1"/>
      <w:marLeft w:val="0"/>
      <w:marRight w:val="0"/>
      <w:marTop w:val="0"/>
      <w:marBottom w:val="0"/>
      <w:divBdr>
        <w:top w:val="none" w:sz="0" w:space="0" w:color="auto"/>
        <w:left w:val="none" w:sz="0" w:space="0" w:color="auto"/>
        <w:bottom w:val="none" w:sz="0" w:space="0" w:color="auto"/>
        <w:right w:val="none" w:sz="0" w:space="0" w:color="auto"/>
      </w:divBdr>
      <w:divsChild>
        <w:div w:id="1124733518">
          <w:marLeft w:val="0"/>
          <w:marRight w:val="0"/>
          <w:marTop w:val="0"/>
          <w:marBottom w:val="0"/>
          <w:divBdr>
            <w:top w:val="none" w:sz="0" w:space="0" w:color="auto"/>
            <w:left w:val="none" w:sz="0" w:space="0" w:color="auto"/>
            <w:bottom w:val="none" w:sz="0" w:space="0" w:color="auto"/>
            <w:right w:val="none" w:sz="0" w:space="0" w:color="auto"/>
          </w:divBdr>
          <w:divsChild>
            <w:div w:id="1107117993">
              <w:marLeft w:val="0"/>
              <w:marRight w:val="0"/>
              <w:marTop w:val="0"/>
              <w:marBottom w:val="0"/>
              <w:divBdr>
                <w:top w:val="none" w:sz="0" w:space="0" w:color="auto"/>
                <w:left w:val="none" w:sz="0" w:space="0" w:color="auto"/>
                <w:bottom w:val="none" w:sz="0" w:space="0" w:color="auto"/>
                <w:right w:val="none" w:sz="0" w:space="0" w:color="auto"/>
              </w:divBdr>
              <w:divsChild>
                <w:div w:id="303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472942651">
      <w:bodyDiv w:val="1"/>
      <w:marLeft w:val="0"/>
      <w:marRight w:val="0"/>
      <w:marTop w:val="0"/>
      <w:marBottom w:val="0"/>
      <w:divBdr>
        <w:top w:val="none" w:sz="0" w:space="0" w:color="auto"/>
        <w:left w:val="none" w:sz="0" w:space="0" w:color="auto"/>
        <w:bottom w:val="none" w:sz="0" w:space="0" w:color="auto"/>
        <w:right w:val="none" w:sz="0" w:space="0" w:color="auto"/>
      </w:divBdr>
    </w:div>
    <w:div w:id="1500776026">
      <w:bodyDiv w:val="1"/>
      <w:marLeft w:val="0"/>
      <w:marRight w:val="0"/>
      <w:marTop w:val="0"/>
      <w:marBottom w:val="0"/>
      <w:divBdr>
        <w:top w:val="none" w:sz="0" w:space="0" w:color="auto"/>
        <w:left w:val="none" w:sz="0" w:space="0" w:color="auto"/>
        <w:bottom w:val="none" w:sz="0" w:space="0" w:color="auto"/>
        <w:right w:val="none" w:sz="0" w:space="0" w:color="auto"/>
      </w:divBdr>
      <w:divsChild>
        <w:div w:id="2089837310">
          <w:marLeft w:val="0"/>
          <w:marRight w:val="0"/>
          <w:marTop w:val="0"/>
          <w:marBottom w:val="0"/>
          <w:divBdr>
            <w:top w:val="none" w:sz="0" w:space="0" w:color="auto"/>
            <w:left w:val="none" w:sz="0" w:space="0" w:color="auto"/>
            <w:bottom w:val="none" w:sz="0" w:space="0" w:color="auto"/>
            <w:right w:val="none" w:sz="0" w:space="0" w:color="auto"/>
          </w:divBdr>
          <w:divsChild>
            <w:div w:id="82452916">
              <w:marLeft w:val="0"/>
              <w:marRight w:val="0"/>
              <w:marTop w:val="0"/>
              <w:marBottom w:val="0"/>
              <w:divBdr>
                <w:top w:val="none" w:sz="0" w:space="0" w:color="auto"/>
                <w:left w:val="none" w:sz="0" w:space="0" w:color="auto"/>
                <w:bottom w:val="none" w:sz="0" w:space="0" w:color="auto"/>
                <w:right w:val="none" w:sz="0" w:space="0" w:color="auto"/>
              </w:divBdr>
              <w:divsChild>
                <w:div w:id="8827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51958">
      <w:bodyDiv w:val="1"/>
      <w:marLeft w:val="0"/>
      <w:marRight w:val="0"/>
      <w:marTop w:val="0"/>
      <w:marBottom w:val="0"/>
      <w:divBdr>
        <w:top w:val="none" w:sz="0" w:space="0" w:color="auto"/>
        <w:left w:val="none" w:sz="0" w:space="0" w:color="auto"/>
        <w:bottom w:val="none" w:sz="0" w:space="0" w:color="auto"/>
        <w:right w:val="none" w:sz="0" w:space="0" w:color="auto"/>
      </w:divBdr>
    </w:div>
    <w:div w:id="1513494064">
      <w:bodyDiv w:val="1"/>
      <w:marLeft w:val="0"/>
      <w:marRight w:val="0"/>
      <w:marTop w:val="0"/>
      <w:marBottom w:val="0"/>
      <w:divBdr>
        <w:top w:val="none" w:sz="0" w:space="0" w:color="auto"/>
        <w:left w:val="none" w:sz="0" w:space="0" w:color="auto"/>
        <w:bottom w:val="none" w:sz="0" w:space="0" w:color="auto"/>
        <w:right w:val="none" w:sz="0" w:space="0" w:color="auto"/>
      </w:divBdr>
      <w:divsChild>
        <w:div w:id="626014328">
          <w:marLeft w:val="0"/>
          <w:marRight w:val="0"/>
          <w:marTop w:val="0"/>
          <w:marBottom w:val="0"/>
          <w:divBdr>
            <w:top w:val="none" w:sz="0" w:space="0" w:color="auto"/>
            <w:left w:val="none" w:sz="0" w:space="0" w:color="auto"/>
            <w:bottom w:val="none" w:sz="0" w:space="0" w:color="auto"/>
            <w:right w:val="none" w:sz="0" w:space="0" w:color="auto"/>
          </w:divBdr>
          <w:divsChild>
            <w:div w:id="1096436008">
              <w:marLeft w:val="0"/>
              <w:marRight w:val="0"/>
              <w:marTop w:val="0"/>
              <w:marBottom w:val="0"/>
              <w:divBdr>
                <w:top w:val="none" w:sz="0" w:space="0" w:color="auto"/>
                <w:left w:val="none" w:sz="0" w:space="0" w:color="auto"/>
                <w:bottom w:val="none" w:sz="0" w:space="0" w:color="auto"/>
                <w:right w:val="none" w:sz="0" w:space="0" w:color="auto"/>
              </w:divBdr>
              <w:divsChild>
                <w:div w:id="1678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67772">
      <w:bodyDiv w:val="1"/>
      <w:marLeft w:val="0"/>
      <w:marRight w:val="0"/>
      <w:marTop w:val="0"/>
      <w:marBottom w:val="0"/>
      <w:divBdr>
        <w:top w:val="none" w:sz="0" w:space="0" w:color="auto"/>
        <w:left w:val="none" w:sz="0" w:space="0" w:color="auto"/>
        <w:bottom w:val="none" w:sz="0" w:space="0" w:color="auto"/>
        <w:right w:val="none" w:sz="0" w:space="0" w:color="auto"/>
      </w:divBdr>
    </w:div>
    <w:div w:id="1535196993">
      <w:bodyDiv w:val="1"/>
      <w:marLeft w:val="0"/>
      <w:marRight w:val="0"/>
      <w:marTop w:val="0"/>
      <w:marBottom w:val="0"/>
      <w:divBdr>
        <w:top w:val="none" w:sz="0" w:space="0" w:color="auto"/>
        <w:left w:val="none" w:sz="0" w:space="0" w:color="auto"/>
        <w:bottom w:val="none" w:sz="0" w:space="0" w:color="auto"/>
        <w:right w:val="none" w:sz="0" w:space="0" w:color="auto"/>
      </w:divBdr>
      <w:divsChild>
        <w:div w:id="1304969073">
          <w:marLeft w:val="0"/>
          <w:marRight w:val="0"/>
          <w:marTop w:val="0"/>
          <w:marBottom w:val="0"/>
          <w:divBdr>
            <w:top w:val="none" w:sz="0" w:space="0" w:color="auto"/>
            <w:left w:val="none" w:sz="0" w:space="0" w:color="auto"/>
            <w:bottom w:val="none" w:sz="0" w:space="0" w:color="auto"/>
            <w:right w:val="none" w:sz="0" w:space="0" w:color="auto"/>
          </w:divBdr>
          <w:divsChild>
            <w:div w:id="732654408">
              <w:marLeft w:val="0"/>
              <w:marRight w:val="0"/>
              <w:marTop w:val="0"/>
              <w:marBottom w:val="0"/>
              <w:divBdr>
                <w:top w:val="none" w:sz="0" w:space="0" w:color="auto"/>
                <w:left w:val="none" w:sz="0" w:space="0" w:color="auto"/>
                <w:bottom w:val="none" w:sz="0" w:space="0" w:color="auto"/>
                <w:right w:val="none" w:sz="0" w:space="0" w:color="auto"/>
              </w:divBdr>
              <w:divsChild>
                <w:div w:id="17231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22">
      <w:bodyDiv w:val="1"/>
      <w:marLeft w:val="0"/>
      <w:marRight w:val="0"/>
      <w:marTop w:val="0"/>
      <w:marBottom w:val="0"/>
      <w:divBdr>
        <w:top w:val="none" w:sz="0" w:space="0" w:color="auto"/>
        <w:left w:val="none" w:sz="0" w:space="0" w:color="auto"/>
        <w:bottom w:val="none" w:sz="0" w:space="0" w:color="auto"/>
        <w:right w:val="none" w:sz="0" w:space="0" w:color="auto"/>
      </w:divBdr>
    </w:div>
    <w:div w:id="1603957539">
      <w:bodyDiv w:val="1"/>
      <w:marLeft w:val="0"/>
      <w:marRight w:val="0"/>
      <w:marTop w:val="0"/>
      <w:marBottom w:val="0"/>
      <w:divBdr>
        <w:top w:val="none" w:sz="0" w:space="0" w:color="auto"/>
        <w:left w:val="none" w:sz="0" w:space="0" w:color="auto"/>
        <w:bottom w:val="none" w:sz="0" w:space="0" w:color="auto"/>
        <w:right w:val="none" w:sz="0" w:space="0" w:color="auto"/>
      </w:divBdr>
      <w:divsChild>
        <w:div w:id="109395358">
          <w:marLeft w:val="0"/>
          <w:marRight w:val="0"/>
          <w:marTop w:val="0"/>
          <w:marBottom w:val="0"/>
          <w:divBdr>
            <w:top w:val="none" w:sz="0" w:space="0" w:color="auto"/>
            <w:left w:val="none" w:sz="0" w:space="0" w:color="auto"/>
            <w:bottom w:val="none" w:sz="0" w:space="0" w:color="auto"/>
            <w:right w:val="none" w:sz="0" w:space="0" w:color="auto"/>
          </w:divBdr>
          <w:divsChild>
            <w:div w:id="880434126">
              <w:marLeft w:val="0"/>
              <w:marRight w:val="0"/>
              <w:marTop w:val="0"/>
              <w:marBottom w:val="0"/>
              <w:divBdr>
                <w:top w:val="none" w:sz="0" w:space="0" w:color="auto"/>
                <w:left w:val="none" w:sz="0" w:space="0" w:color="auto"/>
                <w:bottom w:val="none" w:sz="0" w:space="0" w:color="auto"/>
                <w:right w:val="none" w:sz="0" w:space="0" w:color="auto"/>
              </w:divBdr>
              <w:divsChild>
                <w:div w:id="18053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1">
      <w:bodyDiv w:val="1"/>
      <w:marLeft w:val="0"/>
      <w:marRight w:val="0"/>
      <w:marTop w:val="0"/>
      <w:marBottom w:val="0"/>
      <w:divBdr>
        <w:top w:val="none" w:sz="0" w:space="0" w:color="auto"/>
        <w:left w:val="none" w:sz="0" w:space="0" w:color="auto"/>
        <w:bottom w:val="none" w:sz="0" w:space="0" w:color="auto"/>
        <w:right w:val="none" w:sz="0" w:space="0" w:color="auto"/>
      </w:divBdr>
    </w:div>
    <w:div w:id="1638559978">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728390">
      <w:bodyDiv w:val="1"/>
      <w:marLeft w:val="0"/>
      <w:marRight w:val="0"/>
      <w:marTop w:val="0"/>
      <w:marBottom w:val="0"/>
      <w:divBdr>
        <w:top w:val="none" w:sz="0" w:space="0" w:color="auto"/>
        <w:left w:val="none" w:sz="0" w:space="0" w:color="auto"/>
        <w:bottom w:val="none" w:sz="0" w:space="0" w:color="auto"/>
        <w:right w:val="none" w:sz="0" w:space="0" w:color="auto"/>
      </w:divBdr>
    </w:div>
    <w:div w:id="1668897047">
      <w:bodyDiv w:val="1"/>
      <w:marLeft w:val="0"/>
      <w:marRight w:val="0"/>
      <w:marTop w:val="0"/>
      <w:marBottom w:val="0"/>
      <w:divBdr>
        <w:top w:val="none" w:sz="0" w:space="0" w:color="auto"/>
        <w:left w:val="none" w:sz="0" w:space="0" w:color="auto"/>
        <w:bottom w:val="none" w:sz="0" w:space="0" w:color="auto"/>
        <w:right w:val="none" w:sz="0" w:space="0" w:color="auto"/>
      </w:divBdr>
      <w:divsChild>
        <w:div w:id="1162433895">
          <w:marLeft w:val="0"/>
          <w:marRight w:val="0"/>
          <w:marTop w:val="0"/>
          <w:marBottom w:val="0"/>
          <w:divBdr>
            <w:top w:val="none" w:sz="0" w:space="0" w:color="auto"/>
            <w:left w:val="none" w:sz="0" w:space="0" w:color="auto"/>
            <w:bottom w:val="none" w:sz="0" w:space="0" w:color="auto"/>
            <w:right w:val="none" w:sz="0" w:space="0" w:color="auto"/>
          </w:divBdr>
          <w:divsChild>
            <w:div w:id="1697803186">
              <w:marLeft w:val="0"/>
              <w:marRight w:val="0"/>
              <w:marTop w:val="0"/>
              <w:marBottom w:val="0"/>
              <w:divBdr>
                <w:top w:val="none" w:sz="0" w:space="0" w:color="auto"/>
                <w:left w:val="none" w:sz="0" w:space="0" w:color="auto"/>
                <w:bottom w:val="none" w:sz="0" w:space="0" w:color="auto"/>
                <w:right w:val="none" w:sz="0" w:space="0" w:color="auto"/>
              </w:divBdr>
              <w:divsChild>
                <w:div w:id="11823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4350">
      <w:bodyDiv w:val="1"/>
      <w:marLeft w:val="0"/>
      <w:marRight w:val="0"/>
      <w:marTop w:val="0"/>
      <w:marBottom w:val="0"/>
      <w:divBdr>
        <w:top w:val="none" w:sz="0" w:space="0" w:color="auto"/>
        <w:left w:val="none" w:sz="0" w:space="0" w:color="auto"/>
        <w:bottom w:val="none" w:sz="0" w:space="0" w:color="auto"/>
        <w:right w:val="none" w:sz="0" w:space="0" w:color="auto"/>
      </w:divBdr>
    </w:div>
    <w:div w:id="1691835563">
      <w:bodyDiv w:val="1"/>
      <w:marLeft w:val="0"/>
      <w:marRight w:val="0"/>
      <w:marTop w:val="0"/>
      <w:marBottom w:val="0"/>
      <w:divBdr>
        <w:top w:val="none" w:sz="0" w:space="0" w:color="auto"/>
        <w:left w:val="none" w:sz="0" w:space="0" w:color="auto"/>
        <w:bottom w:val="none" w:sz="0" w:space="0" w:color="auto"/>
        <w:right w:val="none" w:sz="0" w:space="0" w:color="auto"/>
      </w:divBdr>
      <w:divsChild>
        <w:div w:id="1849253066">
          <w:marLeft w:val="0"/>
          <w:marRight w:val="0"/>
          <w:marTop w:val="0"/>
          <w:marBottom w:val="0"/>
          <w:divBdr>
            <w:top w:val="none" w:sz="0" w:space="0" w:color="auto"/>
            <w:left w:val="none" w:sz="0" w:space="0" w:color="auto"/>
            <w:bottom w:val="none" w:sz="0" w:space="0" w:color="auto"/>
            <w:right w:val="none" w:sz="0" w:space="0" w:color="auto"/>
          </w:divBdr>
          <w:divsChild>
            <w:div w:id="71004514">
              <w:marLeft w:val="0"/>
              <w:marRight w:val="0"/>
              <w:marTop w:val="0"/>
              <w:marBottom w:val="0"/>
              <w:divBdr>
                <w:top w:val="none" w:sz="0" w:space="0" w:color="auto"/>
                <w:left w:val="none" w:sz="0" w:space="0" w:color="auto"/>
                <w:bottom w:val="none" w:sz="0" w:space="0" w:color="auto"/>
                <w:right w:val="none" w:sz="0" w:space="0" w:color="auto"/>
              </w:divBdr>
              <w:divsChild>
                <w:div w:id="1725369305">
                  <w:marLeft w:val="0"/>
                  <w:marRight w:val="0"/>
                  <w:marTop w:val="0"/>
                  <w:marBottom w:val="0"/>
                  <w:divBdr>
                    <w:top w:val="none" w:sz="0" w:space="0" w:color="auto"/>
                    <w:left w:val="none" w:sz="0" w:space="0" w:color="auto"/>
                    <w:bottom w:val="none" w:sz="0" w:space="0" w:color="auto"/>
                    <w:right w:val="none" w:sz="0" w:space="0" w:color="auto"/>
                  </w:divBdr>
                  <w:divsChild>
                    <w:div w:id="1418552430">
                      <w:marLeft w:val="0"/>
                      <w:marRight w:val="0"/>
                      <w:marTop w:val="0"/>
                      <w:marBottom w:val="0"/>
                      <w:divBdr>
                        <w:top w:val="none" w:sz="0" w:space="0" w:color="auto"/>
                        <w:left w:val="none" w:sz="0" w:space="0" w:color="auto"/>
                        <w:bottom w:val="none" w:sz="0" w:space="0" w:color="auto"/>
                        <w:right w:val="none" w:sz="0" w:space="0" w:color="auto"/>
                      </w:divBdr>
                    </w:div>
                  </w:divsChild>
                </w:div>
                <w:div w:id="1986815239">
                  <w:marLeft w:val="0"/>
                  <w:marRight w:val="0"/>
                  <w:marTop w:val="0"/>
                  <w:marBottom w:val="0"/>
                  <w:divBdr>
                    <w:top w:val="none" w:sz="0" w:space="0" w:color="auto"/>
                    <w:left w:val="none" w:sz="0" w:space="0" w:color="auto"/>
                    <w:bottom w:val="none" w:sz="0" w:space="0" w:color="auto"/>
                    <w:right w:val="none" w:sz="0" w:space="0" w:color="auto"/>
                  </w:divBdr>
                  <w:divsChild>
                    <w:div w:id="8481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1560">
      <w:bodyDiv w:val="1"/>
      <w:marLeft w:val="0"/>
      <w:marRight w:val="0"/>
      <w:marTop w:val="0"/>
      <w:marBottom w:val="0"/>
      <w:divBdr>
        <w:top w:val="none" w:sz="0" w:space="0" w:color="auto"/>
        <w:left w:val="none" w:sz="0" w:space="0" w:color="auto"/>
        <w:bottom w:val="none" w:sz="0" w:space="0" w:color="auto"/>
        <w:right w:val="none" w:sz="0" w:space="0" w:color="auto"/>
      </w:divBdr>
      <w:divsChild>
        <w:div w:id="787745198">
          <w:marLeft w:val="0"/>
          <w:marRight w:val="0"/>
          <w:marTop w:val="0"/>
          <w:marBottom w:val="0"/>
          <w:divBdr>
            <w:top w:val="none" w:sz="0" w:space="0" w:color="auto"/>
            <w:left w:val="none" w:sz="0" w:space="0" w:color="auto"/>
            <w:bottom w:val="none" w:sz="0" w:space="0" w:color="auto"/>
            <w:right w:val="none" w:sz="0" w:space="0" w:color="auto"/>
          </w:divBdr>
          <w:divsChild>
            <w:div w:id="412092051">
              <w:marLeft w:val="0"/>
              <w:marRight w:val="0"/>
              <w:marTop w:val="0"/>
              <w:marBottom w:val="0"/>
              <w:divBdr>
                <w:top w:val="none" w:sz="0" w:space="0" w:color="auto"/>
                <w:left w:val="none" w:sz="0" w:space="0" w:color="auto"/>
                <w:bottom w:val="none" w:sz="0" w:space="0" w:color="auto"/>
                <w:right w:val="none" w:sz="0" w:space="0" w:color="auto"/>
              </w:divBdr>
              <w:divsChild>
                <w:div w:id="10747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4274">
      <w:bodyDiv w:val="1"/>
      <w:marLeft w:val="0"/>
      <w:marRight w:val="0"/>
      <w:marTop w:val="0"/>
      <w:marBottom w:val="0"/>
      <w:divBdr>
        <w:top w:val="none" w:sz="0" w:space="0" w:color="auto"/>
        <w:left w:val="none" w:sz="0" w:space="0" w:color="auto"/>
        <w:bottom w:val="none" w:sz="0" w:space="0" w:color="auto"/>
        <w:right w:val="none" w:sz="0" w:space="0" w:color="auto"/>
      </w:divBdr>
    </w:div>
    <w:div w:id="1796680485">
      <w:bodyDiv w:val="1"/>
      <w:marLeft w:val="0"/>
      <w:marRight w:val="0"/>
      <w:marTop w:val="0"/>
      <w:marBottom w:val="0"/>
      <w:divBdr>
        <w:top w:val="none" w:sz="0" w:space="0" w:color="auto"/>
        <w:left w:val="none" w:sz="0" w:space="0" w:color="auto"/>
        <w:bottom w:val="none" w:sz="0" w:space="0" w:color="auto"/>
        <w:right w:val="none" w:sz="0" w:space="0" w:color="auto"/>
      </w:divBdr>
      <w:divsChild>
        <w:div w:id="134765568">
          <w:marLeft w:val="0"/>
          <w:marRight w:val="0"/>
          <w:marTop w:val="0"/>
          <w:marBottom w:val="0"/>
          <w:divBdr>
            <w:top w:val="none" w:sz="0" w:space="0" w:color="auto"/>
            <w:left w:val="none" w:sz="0" w:space="0" w:color="auto"/>
            <w:bottom w:val="none" w:sz="0" w:space="0" w:color="auto"/>
            <w:right w:val="none" w:sz="0" w:space="0" w:color="auto"/>
          </w:divBdr>
          <w:divsChild>
            <w:div w:id="618679457">
              <w:marLeft w:val="0"/>
              <w:marRight w:val="0"/>
              <w:marTop w:val="0"/>
              <w:marBottom w:val="0"/>
              <w:divBdr>
                <w:top w:val="none" w:sz="0" w:space="0" w:color="auto"/>
                <w:left w:val="none" w:sz="0" w:space="0" w:color="auto"/>
                <w:bottom w:val="none" w:sz="0" w:space="0" w:color="auto"/>
                <w:right w:val="none" w:sz="0" w:space="0" w:color="auto"/>
              </w:divBdr>
              <w:divsChild>
                <w:div w:id="441730804">
                  <w:marLeft w:val="0"/>
                  <w:marRight w:val="0"/>
                  <w:marTop w:val="0"/>
                  <w:marBottom w:val="0"/>
                  <w:divBdr>
                    <w:top w:val="none" w:sz="0" w:space="0" w:color="auto"/>
                    <w:left w:val="none" w:sz="0" w:space="0" w:color="auto"/>
                    <w:bottom w:val="none" w:sz="0" w:space="0" w:color="auto"/>
                    <w:right w:val="none" w:sz="0" w:space="0" w:color="auto"/>
                  </w:divBdr>
                </w:div>
              </w:divsChild>
            </w:div>
            <w:div w:id="1497301980">
              <w:marLeft w:val="0"/>
              <w:marRight w:val="0"/>
              <w:marTop w:val="0"/>
              <w:marBottom w:val="0"/>
              <w:divBdr>
                <w:top w:val="none" w:sz="0" w:space="0" w:color="auto"/>
                <w:left w:val="none" w:sz="0" w:space="0" w:color="auto"/>
                <w:bottom w:val="none" w:sz="0" w:space="0" w:color="auto"/>
                <w:right w:val="none" w:sz="0" w:space="0" w:color="auto"/>
              </w:divBdr>
              <w:divsChild>
                <w:div w:id="15743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3790">
          <w:marLeft w:val="0"/>
          <w:marRight w:val="0"/>
          <w:marTop w:val="0"/>
          <w:marBottom w:val="0"/>
          <w:divBdr>
            <w:top w:val="none" w:sz="0" w:space="0" w:color="auto"/>
            <w:left w:val="none" w:sz="0" w:space="0" w:color="auto"/>
            <w:bottom w:val="none" w:sz="0" w:space="0" w:color="auto"/>
            <w:right w:val="none" w:sz="0" w:space="0" w:color="auto"/>
          </w:divBdr>
          <w:divsChild>
            <w:div w:id="788011673">
              <w:marLeft w:val="0"/>
              <w:marRight w:val="0"/>
              <w:marTop w:val="0"/>
              <w:marBottom w:val="0"/>
              <w:divBdr>
                <w:top w:val="none" w:sz="0" w:space="0" w:color="auto"/>
                <w:left w:val="none" w:sz="0" w:space="0" w:color="auto"/>
                <w:bottom w:val="none" w:sz="0" w:space="0" w:color="auto"/>
                <w:right w:val="none" w:sz="0" w:space="0" w:color="auto"/>
              </w:divBdr>
              <w:divsChild>
                <w:div w:id="858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7089">
      <w:bodyDiv w:val="1"/>
      <w:marLeft w:val="0"/>
      <w:marRight w:val="0"/>
      <w:marTop w:val="0"/>
      <w:marBottom w:val="0"/>
      <w:divBdr>
        <w:top w:val="none" w:sz="0" w:space="0" w:color="auto"/>
        <w:left w:val="none" w:sz="0" w:space="0" w:color="auto"/>
        <w:bottom w:val="none" w:sz="0" w:space="0" w:color="auto"/>
        <w:right w:val="none" w:sz="0" w:space="0" w:color="auto"/>
      </w:divBdr>
      <w:divsChild>
        <w:div w:id="1960650137">
          <w:marLeft w:val="0"/>
          <w:marRight w:val="0"/>
          <w:marTop w:val="0"/>
          <w:marBottom w:val="0"/>
          <w:divBdr>
            <w:top w:val="none" w:sz="0" w:space="0" w:color="auto"/>
            <w:left w:val="none" w:sz="0" w:space="0" w:color="auto"/>
            <w:bottom w:val="none" w:sz="0" w:space="0" w:color="auto"/>
            <w:right w:val="none" w:sz="0" w:space="0" w:color="auto"/>
          </w:divBdr>
          <w:divsChild>
            <w:div w:id="1732997284">
              <w:marLeft w:val="0"/>
              <w:marRight w:val="0"/>
              <w:marTop w:val="0"/>
              <w:marBottom w:val="0"/>
              <w:divBdr>
                <w:top w:val="none" w:sz="0" w:space="0" w:color="auto"/>
                <w:left w:val="none" w:sz="0" w:space="0" w:color="auto"/>
                <w:bottom w:val="none" w:sz="0" w:space="0" w:color="auto"/>
                <w:right w:val="none" w:sz="0" w:space="0" w:color="auto"/>
              </w:divBdr>
              <w:divsChild>
                <w:div w:id="1242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28303">
      <w:bodyDiv w:val="1"/>
      <w:marLeft w:val="0"/>
      <w:marRight w:val="0"/>
      <w:marTop w:val="0"/>
      <w:marBottom w:val="0"/>
      <w:divBdr>
        <w:top w:val="none" w:sz="0" w:space="0" w:color="auto"/>
        <w:left w:val="none" w:sz="0" w:space="0" w:color="auto"/>
        <w:bottom w:val="none" w:sz="0" w:space="0" w:color="auto"/>
        <w:right w:val="none" w:sz="0" w:space="0" w:color="auto"/>
      </w:divBdr>
      <w:divsChild>
        <w:div w:id="1173295688">
          <w:marLeft w:val="0"/>
          <w:marRight w:val="0"/>
          <w:marTop w:val="0"/>
          <w:marBottom w:val="0"/>
          <w:divBdr>
            <w:top w:val="none" w:sz="0" w:space="0" w:color="auto"/>
            <w:left w:val="none" w:sz="0" w:space="0" w:color="auto"/>
            <w:bottom w:val="none" w:sz="0" w:space="0" w:color="auto"/>
            <w:right w:val="none" w:sz="0" w:space="0" w:color="auto"/>
          </w:divBdr>
          <w:divsChild>
            <w:div w:id="572853524">
              <w:marLeft w:val="0"/>
              <w:marRight w:val="0"/>
              <w:marTop w:val="0"/>
              <w:marBottom w:val="0"/>
              <w:divBdr>
                <w:top w:val="none" w:sz="0" w:space="0" w:color="auto"/>
                <w:left w:val="none" w:sz="0" w:space="0" w:color="auto"/>
                <w:bottom w:val="none" w:sz="0" w:space="0" w:color="auto"/>
                <w:right w:val="none" w:sz="0" w:space="0" w:color="auto"/>
              </w:divBdr>
              <w:divsChild>
                <w:div w:id="2828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18183">
      <w:bodyDiv w:val="1"/>
      <w:marLeft w:val="0"/>
      <w:marRight w:val="0"/>
      <w:marTop w:val="0"/>
      <w:marBottom w:val="0"/>
      <w:divBdr>
        <w:top w:val="none" w:sz="0" w:space="0" w:color="auto"/>
        <w:left w:val="none" w:sz="0" w:space="0" w:color="auto"/>
        <w:bottom w:val="none" w:sz="0" w:space="0" w:color="auto"/>
        <w:right w:val="none" w:sz="0" w:space="0" w:color="auto"/>
      </w:divBdr>
    </w:div>
    <w:div w:id="1933471107">
      <w:bodyDiv w:val="1"/>
      <w:marLeft w:val="0"/>
      <w:marRight w:val="0"/>
      <w:marTop w:val="0"/>
      <w:marBottom w:val="0"/>
      <w:divBdr>
        <w:top w:val="none" w:sz="0" w:space="0" w:color="auto"/>
        <w:left w:val="none" w:sz="0" w:space="0" w:color="auto"/>
        <w:bottom w:val="none" w:sz="0" w:space="0" w:color="auto"/>
        <w:right w:val="none" w:sz="0" w:space="0" w:color="auto"/>
      </w:divBdr>
      <w:divsChild>
        <w:div w:id="503324657">
          <w:marLeft w:val="0"/>
          <w:marRight w:val="0"/>
          <w:marTop w:val="0"/>
          <w:marBottom w:val="0"/>
          <w:divBdr>
            <w:top w:val="none" w:sz="0" w:space="0" w:color="auto"/>
            <w:left w:val="none" w:sz="0" w:space="0" w:color="auto"/>
            <w:bottom w:val="none" w:sz="0" w:space="0" w:color="auto"/>
            <w:right w:val="none" w:sz="0" w:space="0" w:color="auto"/>
          </w:divBdr>
          <w:divsChild>
            <w:div w:id="879824974">
              <w:marLeft w:val="0"/>
              <w:marRight w:val="0"/>
              <w:marTop w:val="0"/>
              <w:marBottom w:val="0"/>
              <w:divBdr>
                <w:top w:val="none" w:sz="0" w:space="0" w:color="auto"/>
                <w:left w:val="none" w:sz="0" w:space="0" w:color="auto"/>
                <w:bottom w:val="none" w:sz="0" w:space="0" w:color="auto"/>
                <w:right w:val="none" w:sz="0" w:space="0" w:color="auto"/>
              </w:divBdr>
              <w:divsChild>
                <w:div w:id="16945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58568">
      <w:bodyDiv w:val="1"/>
      <w:marLeft w:val="0"/>
      <w:marRight w:val="0"/>
      <w:marTop w:val="0"/>
      <w:marBottom w:val="0"/>
      <w:divBdr>
        <w:top w:val="none" w:sz="0" w:space="0" w:color="auto"/>
        <w:left w:val="none" w:sz="0" w:space="0" w:color="auto"/>
        <w:bottom w:val="none" w:sz="0" w:space="0" w:color="auto"/>
        <w:right w:val="none" w:sz="0" w:space="0" w:color="auto"/>
      </w:divBdr>
      <w:divsChild>
        <w:div w:id="1484542167">
          <w:marLeft w:val="0"/>
          <w:marRight w:val="0"/>
          <w:marTop w:val="0"/>
          <w:marBottom w:val="0"/>
          <w:divBdr>
            <w:top w:val="none" w:sz="0" w:space="0" w:color="auto"/>
            <w:left w:val="none" w:sz="0" w:space="0" w:color="auto"/>
            <w:bottom w:val="none" w:sz="0" w:space="0" w:color="auto"/>
            <w:right w:val="none" w:sz="0" w:space="0" w:color="auto"/>
          </w:divBdr>
          <w:divsChild>
            <w:div w:id="1616137834">
              <w:marLeft w:val="0"/>
              <w:marRight w:val="0"/>
              <w:marTop w:val="0"/>
              <w:marBottom w:val="0"/>
              <w:divBdr>
                <w:top w:val="none" w:sz="0" w:space="0" w:color="auto"/>
                <w:left w:val="none" w:sz="0" w:space="0" w:color="auto"/>
                <w:bottom w:val="none" w:sz="0" w:space="0" w:color="auto"/>
                <w:right w:val="none" w:sz="0" w:space="0" w:color="auto"/>
              </w:divBdr>
              <w:divsChild>
                <w:div w:id="1457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29016">
      <w:bodyDiv w:val="1"/>
      <w:marLeft w:val="0"/>
      <w:marRight w:val="0"/>
      <w:marTop w:val="0"/>
      <w:marBottom w:val="0"/>
      <w:divBdr>
        <w:top w:val="none" w:sz="0" w:space="0" w:color="auto"/>
        <w:left w:val="none" w:sz="0" w:space="0" w:color="auto"/>
        <w:bottom w:val="none" w:sz="0" w:space="0" w:color="auto"/>
        <w:right w:val="none" w:sz="0" w:space="0" w:color="auto"/>
      </w:divBdr>
      <w:divsChild>
        <w:div w:id="1913419781">
          <w:marLeft w:val="0"/>
          <w:marRight w:val="0"/>
          <w:marTop w:val="0"/>
          <w:marBottom w:val="0"/>
          <w:divBdr>
            <w:top w:val="none" w:sz="0" w:space="0" w:color="auto"/>
            <w:left w:val="none" w:sz="0" w:space="0" w:color="auto"/>
            <w:bottom w:val="none" w:sz="0" w:space="0" w:color="auto"/>
            <w:right w:val="none" w:sz="0" w:space="0" w:color="auto"/>
          </w:divBdr>
          <w:divsChild>
            <w:div w:id="1384061516">
              <w:marLeft w:val="0"/>
              <w:marRight w:val="0"/>
              <w:marTop w:val="0"/>
              <w:marBottom w:val="0"/>
              <w:divBdr>
                <w:top w:val="none" w:sz="0" w:space="0" w:color="auto"/>
                <w:left w:val="none" w:sz="0" w:space="0" w:color="auto"/>
                <w:bottom w:val="none" w:sz="0" w:space="0" w:color="auto"/>
                <w:right w:val="none" w:sz="0" w:space="0" w:color="auto"/>
              </w:divBdr>
              <w:divsChild>
                <w:div w:id="20412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02418777">
      <w:bodyDiv w:val="1"/>
      <w:marLeft w:val="0"/>
      <w:marRight w:val="0"/>
      <w:marTop w:val="0"/>
      <w:marBottom w:val="0"/>
      <w:divBdr>
        <w:top w:val="none" w:sz="0" w:space="0" w:color="auto"/>
        <w:left w:val="none" w:sz="0" w:space="0" w:color="auto"/>
        <w:bottom w:val="none" w:sz="0" w:space="0" w:color="auto"/>
        <w:right w:val="none" w:sz="0" w:space="0" w:color="auto"/>
      </w:divBdr>
      <w:divsChild>
        <w:div w:id="1848212025">
          <w:marLeft w:val="0"/>
          <w:marRight w:val="0"/>
          <w:marTop w:val="0"/>
          <w:marBottom w:val="0"/>
          <w:divBdr>
            <w:top w:val="none" w:sz="0" w:space="0" w:color="auto"/>
            <w:left w:val="none" w:sz="0" w:space="0" w:color="auto"/>
            <w:bottom w:val="none" w:sz="0" w:space="0" w:color="auto"/>
            <w:right w:val="none" w:sz="0" w:space="0" w:color="auto"/>
          </w:divBdr>
          <w:divsChild>
            <w:div w:id="873813728">
              <w:marLeft w:val="0"/>
              <w:marRight w:val="0"/>
              <w:marTop w:val="0"/>
              <w:marBottom w:val="0"/>
              <w:divBdr>
                <w:top w:val="none" w:sz="0" w:space="0" w:color="auto"/>
                <w:left w:val="none" w:sz="0" w:space="0" w:color="auto"/>
                <w:bottom w:val="none" w:sz="0" w:space="0" w:color="auto"/>
                <w:right w:val="none" w:sz="0" w:space="0" w:color="auto"/>
              </w:divBdr>
              <w:divsChild>
                <w:div w:id="8987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06924">
      <w:bodyDiv w:val="1"/>
      <w:marLeft w:val="0"/>
      <w:marRight w:val="0"/>
      <w:marTop w:val="0"/>
      <w:marBottom w:val="0"/>
      <w:divBdr>
        <w:top w:val="none" w:sz="0" w:space="0" w:color="auto"/>
        <w:left w:val="none" w:sz="0" w:space="0" w:color="auto"/>
        <w:bottom w:val="none" w:sz="0" w:space="0" w:color="auto"/>
        <w:right w:val="none" w:sz="0" w:space="0" w:color="auto"/>
      </w:divBdr>
      <w:divsChild>
        <w:div w:id="1999846464">
          <w:marLeft w:val="0"/>
          <w:marRight w:val="0"/>
          <w:marTop w:val="0"/>
          <w:marBottom w:val="0"/>
          <w:divBdr>
            <w:top w:val="none" w:sz="0" w:space="0" w:color="auto"/>
            <w:left w:val="none" w:sz="0" w:space="0" w:color="auto"/>
            <w:bottom w:val="none" w:sz="0" w:space="0" w:color="auto"/>
            <w:right w:val="none" w:sz="0" w:space="0" w:color="auto"/>
          </w:divBdr>
          <w:divsChild>
            <w:div w:id="1582325690">
              <w:marLeft w:val="0"/>
              <w:marRight w:val="0"/>
              <w:marTop w:val="0"/>
              <w:marBottom w:val="0"/>
              <w:divBdr>
                <w:top w:val="none" w:sz="0" w:space="0" w:color="auto"/>
                <w:left w:val="none" w:sz="0" w:space="0" w:color="auto"/>
                <w:bottom w:val="none" w:sz="0" w:space="0" w:color="auto"/>
                <w:right w:val="none" w:sz="0" w:space="0" w:color="auto"/>
              </w:divBdr>
              <w:divsChild>
                <w:div w:id="842817602">
                  <w:marLeft w:val="0"/>
                  <w:marRight w:val="0"/>
                  <w:marTop w:val="0"/>
                  <w:marBottom w:val="0"/>
                  <w:divBdr>
                    <w:top w:val="none" w:sz="0" w:space="0" w:color="auto"/>
                    <w:left w:val="none" w:sz="0" w:space="0" w:color="auto"/>
                    <w:bottom w:val="none" w:sz="0" w:space="0" w:color="auto"/>
                    <w:right w:val="none" w:sz="0" w:space="0" w:color="auto"/>
                  </w:divBdr>
                  <w:divsChild>
                    <w:div w:id="14015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66437">
      <w:bodyDiv w:val="1"/>
      <w:marLeft w:val="0"/>
      <w:marRight w:val="0"/>
      <w:marTop w:val="0"/>
      <w:marBottom w:val="0"/>
      <w:divBdr>
        <w:top w:val="none" w:sz="0" w:space="0" w:color="auto"/>
        <w:left w:val="none" w:sz="0" w:space="0" w:color="auto"/>
        <w:bottom w:val="none" w:sz="0" w:space="0" w:color="auto"/>
        <w:right w:val="none" w:sz="0" w:space="0" w:color="auto"/>
      </w:divBdr>
      <w:divsChild>
        <w:div w:id="704212919">
          <w:marLeft w:val="0"/>
          <w:marRight w:val="0"/>
          <w:marTop w:val="0"/>
          <w:marBottom w:val="0"/>
          <w:divBdr>
            <w:top w:val="none" w:sz="0" w:space="0" w:color="auto"/>
            <w:left w:val="none" w:sz="0" w:space="0" w:color="auto"/>
            <w:bottom w:val="none" w:sz="0" w:space="0" w:color="auto"/>
            <w:right w:val="none" w:sz="0" w:space="0" w:color="auto"/>
          </w:divBdr>
          <w:divsChild>
            <w:div w:id="1470707256">
              <w:marLeft w:val="0"/>
              <w:marRight w:val="0"/>
              <w:marTop w:val="0"/>
              <w:marBottom w:val="0"/>
              <w:divBdr>
                <w:top w:val="none" w:sz="0" w:space="0" w:color="auto"/>
                <w:left w:val="none" w:sz="0" w:space="0" w:color="auto"/>
                <w:bottom w:val="none" w:sz="0" w:space="0" w:color="auto"/>
                <w:right w:val="none" w:sz="0" w:space="0" w:color="auto"/>
              </w:divBdr>
              <w:divsChild>
                <w:div w:id="21405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0515">
      <w:bodyDiv w:val="1"/>
      <w:marLeft w:val="0"/>
      <w:marRight w:val="0"/>
      <w:marTop w:val="0"/>
      <w:marBottom w:val="0"/>
      <w:divBdr>
        <w:top w:val="none" w:sz="0" w:space="0" w:color="auto"/>
        <w:left w:val="none" w:sz="0" w:space="0" w:color="auto"/>
        <w:bottom w:val="none" w:sz="0" w:space="0" w:color="auto"/>
        <w:right w:val="none" w:sz="0" w:space="0" w:color="auto"/>
      </w:divBdr>
    </w:div>
    <w:div w:id="2064674201">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7137">
      <w:bodyDiv w:val="1"/>
      <w:marLeft w:val="0"/>
      <w:marRight w:val="0"/>
      <w:marTop w:val="0"/>
      <w:marBottom w:val="0"/>
      <w:divBdr>
        <w:top w:val="none" w:sz="0" w:space="0" w:color="auto"/>
        <w:left w:val="none" w:sz="0" w:space="0" w:color="auto"/>
        <w:bottom w:val="none" w:sz="0" w:space="0" w:color="auto"/>
        <w:right w:val="none" w:sz="0" w:space="0" w:color="auto"/>
      </w:divBdr>
    </w:div>
    <w:div w:id="2092459502">
      <w:bodyDiv w:val="1"/>
      <w:marLeft w:val="0"/>
      <w:marRight w:val="0"/>
      <w:marTop w:val="0"/>
      <w:marBottom w:val="0"/>
      <w:divBdr>
        <w:top w:val="none" w:sz="0" w:space="0" w:color="auto"/>
        <w:left w:val="none" w:sz="0" w:space="0" w:color="auto"/>
        <w:bottom w:val="none" w:sz="0" w:space="0" w:color="auto"/>
        <w:right w:val="none" w:sz="0" w:space="0" w:color="auto"/>
      </w:divBdr>
      <w:divsChild>
        <w:div w:id="2073775513">
          <w:marLeft w:val="0"/>
          <w:marRight w:val="0"/>
          <w:marTop w:val="0"/>
          <w:marBottom w:val="0"/>
          <w:divBdr>
            <w:top w:val="none" w:sz="0" w:space="0" w:color="auto"/>
            <w:left w:val="none" w:sz="0" w:space="0" w:color="auto"/>
            <w:bottom w:val="none" w:sz="0" w:space="0" w:color="auto"/>
            <w:right w:val="none" w:sz="0" w:space="0" w:color="auto"/>
          </w:divBdr>
          <w:divsChild>
            <w:div w:id="762727266">
              <w:marLeft w:val="0"/>
              <w:marRight w:val="0"/>
              <w:marTop w:val="0"/>
              <w:marBottom w:val="0"/>
              <w:divBdr>
                <w:top w:val="none" w:sz="0" w:space="0" w:color="auto"/>
                <w:left w:val="none" w:sz="0" w:space="0" w:color="auto"/>
                <w:bottom w:val="none" w:sz="0" w:space="0" w:color="auto"/>
                <w:right w:val="none" w:sz="0" w:space="0" w:color="auto"/>
              </w:divBdr>
              <w:divsChild>
                <w:div w:id="1380546469">
                  <w:marLeft w:val="0"/>
                  <w:marRight w:val="0"/>
                  <w:marTop w:val="0"/>
                  <w:marBottom w:val="0"/>
                  <w:divBdr>
                    <w:top w:val="none" w:sz="0" w:space="0" w:color="auto"/>
                    <w:left w:val="none" w:sz="0" w:space="0" w:color="auto"/>
                    <w:bottom w:val="none" w:sz="0" w:space="0" w:color="auto"/>
                    <w:right w:val="none" w:sz="0" w:space="0" w:color="auto"/>
                  </w:divBdr>
                  <w:divsChild>
                    <w:div w:id="489175490">
                      <w:marLeft w:val="0"/>
                      <w:marRight w:val="0"/>
                      <w:marTop w:val="0"/>
                      <w:marBottom w:val="0"/>
                      <w:divBdr>
                        <w:top w:val="none" w:sz="0" w:space="0" w:color="auto"/>
                        <w:left w:val="none" w:sz="0" w:space="0" w:color="auto"/>
                        <w:bottom w:val="none" w:sz="0" w:space="0" w:color="auto"/>
                        <w:right w:val="none" w:sz="0" w:space="0" w:color="auto"/>
                      </w:divBdr>
                    </w:div>
                  </w:divsChild>
                </w:div>
                <w:div w:id="1405300257">
                  <w:marLeft w:val="0"/>
                  <w:marRight w:val="0"/>
                  <w:marTop w:val="0"/>
                  <w:marBottom w:val="0"/>
                  <w:divBdr>
                    <w:top w:val="none" w:sz="0" w:space="0" w:color="auto"/>
                    <w:left w:val="none" w:sz="0" w:space="0" w:color="auto"/>
                    <w:bottom w:val="none" w:sz="0" w:space="0" w:color="auto"/>
                    <w:right w:val="none" w:sz="0" w:space="0" w:color="auto"/>
                  </w:divBdr>
                  <w:divsChild>
                    <w:div w:id="548304299">
                      <w:marLeft w:val="0"/>
                      <w:marRight w:val="0"/>
                      <w:marTop w:val="0"/>
                      <w:marBottom w:val="0"/>
                      <w:divBdr>
                        <w:top w:val="none" w:sz="0" w:space="0" w:color="auto"/>
                        <w:left w:val="none" w:sz="0" w:space="0" w:color="auto"/>
                        <w:bottom w:val="none" w:sz="0" w:space="0" w:color="auto"/>
                        <w:right w:val="none" w:sz="0" w:space="0" w:color="auto"/>
                      </w:divBdr>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9780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 w:id="2114474340">
      <w:bodyDiv w:val="1"/>
      <w:marLeft w:val="0"/>
      <w:marRight w:val="0"/>
      <w:marTop w:val="0"/>
      <w:marBottom w:val="0"/>
      <w:divBdr>
        <w:top w:val="none" w:sz="0" w:space="0" w:color="auto"/>
        <w:left w:val="none" w:sz="0" w:space="0" w:color="auto"/>
        <w:bottom w:val="none" w:sz="0" w:space="0" w:color="auto"/>
        <w:right w:val="none" w:sz="0" w:space="0" w:color="auto"/>
      </w:divBdr>
    </w:div>
    <w:div w:id="213601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mallon@gmail.com" TargetMode="External"/><Relationship Id="rId13" Type="http://schemas.openxmlformats.org/officeDocument/2006/relationships/footer" Target="footer2.xml"/><Relationship Id="rId18" Type="http://schemas.openxmlformats.org/officeDocument/2006/relationships/image" Target="media/image1.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sean.mission.gov.au/files/AESN/Plan%20of%20Action%20to%20Implement%20the%20ASEAN-Australia%20Strategic%20Partnership.pdf"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emf"/><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asean.mission.gov.au/files/AESN/Plan%20of%20Action%20to%20Implement%20the%20ASEAN-Australia%20Strategic%20Partnership.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asean.mission.gov.au/files/AESN/Plan%20of%20Action%20to%20Implement%20the%20ASEAN-Australia%20Strategic%20Partnership.pdf"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miha@clearhorizon.com.au" TargetMode="External"/><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header" Target="head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sean.mission.gov.au/files/AESN/Plan%20of%20Action%20to%20Implement%20the%20ASEAN-Australia%20Strategic%20Partnership.pdf" TargetMode="External"/><Relationship Id="rId3" Type="http://schemas.openxmlformats.org/officeDocument/2006/relationships/hyperlink" Target="https://asean.org/asean-investment-report-2019-fdi-services-focus-health-care/" TargetMode="External"/><Relationship Id="rId7" Type="http://schemas.openxmlformats.org/officeDocument/2006/relationships/hyperlink" Target="https://asean.mission.gov.au/files/AESN/Plan%20of%20Action%20to%20Implement%20the%20ASEAN-Australia%20Strategic%20Partnership.pdf" TargetMode="External"/><Relationship Id="rId2" Type="http://schemas.openxmlformats.org/officeDocument/2006/relationships/hyperlink" Target="https://asean.org/storage/2019/11/Chairs-Statement-of-the-35th-ASEAN-Summit-FINAL.pdf" TargetMode="External"/><Relationship Id="rId1" Type="http://schemas.openxmlformats.org/officeDocument/2006/relationships/hyperlink" Target="https://asean.org/wp-content/uploads/archive/5187-10.pdf" TargetMode="External"/><Relationship Id="rId6" Type="http://schemas.openxmlformats.org/officeDocument/2006/relationships/hyperlink" Target="https://dfat.gov.au/aid/who-we-work-with/value-for-money-principles/Pages/value-for-money-principles.aspx" TargetMode="External"/><Relationship Id="rId5" Type="http://schemas.openxmlformats.org/officeDocument/2006/relationships/hyperlink" Target="https://asean.mission.gov.au/files/AESN/Plan%20of%20Action%20to%20Implement%20the%20ASEAN-Australia%20Strategic%20Partnership.pdf" TargetMode="External"/><Relationship Id="rId4" Type="http://schemas.openxmlformats.org/officeDocument/2006/relationships/hyperlink" Target="https://asean.org/storage/2019/11/Chairs-Statement-of-the-35th-ASEAN-Summit-FINAL.pdf" TargetMode="External"/><Relationship Id="rId9" Type="http://schemas.openxmlformats.org/officeDocument/2006/relationships/hyperlink" Target="https://ariseplus.asean.org/"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file:///\\asean-adcp-01\General\Projects\Project%20Summary\ProjectList_Oct2019_TRACK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sean-adcp-01\General\Projects\Project%20Summary\ProjectList_Oct2019_TRACKE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Project Value by Work Stream (US$)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'Value by Stream'!$C$3</c:f>
              <c:strCache>
                <c:ptCount val="1"/>
                <c:pt idx="0">
                  <c:v>COMPLETED</c:v>
                </c:pt>
              </c:strCache>
            </c:strRef>
          </c:tx>
          <c:spPr>
            <a:solidFill>
              <a:schemeClr val="accent1"/>
            </a:solidFill>
            <a:ln>
              <a:noFill/>
            </a:ln>
            <a:effectLst/>
          </c:spPr>
          <c:invertIfNegative val="0"/>
          <c:cat>
            <c:strRef>
              <c:f>'Value by Stream'!$B$4:$B$16</c:f>
              <c:strCache>
                <c:ptCount val="13"/>
                <c:pt idx="0">
                  <c:v> Connectivity</c:v>
                </c:pt>
                <c:pt idx="1">
                  <c:v>Corporate Devt</c:v>
                </c:pt>
                <c:pt idx="2">
                  <c:v>Cross-cutting</c:v>
                </c:pt>
                <c:pt idx="3">
                  <c:v>Energy &amp; Minerals</c:v>
                </c:pt>
                <c:pt idx="4">
                  <c:v>Agriculture</c:v>
                </c:pt>
                <c:pt idx="5">
                  <c:v>Services</c:v>
                </c:pt>
                <c:pt idx="6">
                  <c:v>Tourism</c:v>
                </c:pt>
                <c:pt idx="7">
                  <c:v>Investment</c:v>
                </c:pt>
                <c:pt idx="8">
                  <c:v>Financial Integration</c:v>
                </c:pt>
                <c:pt idx="9">
                  <c:v>Consumer Prot.</c:v>
                </c:pt>
                <c:pt idx="10">
                  <c:v>M&amp;E</c:v>
                </c:pt>
                <c:pt idx="11">
                  <c:v>MSME</c:v>
                </c:pt>
                <c:pt idx="12">
                  <c:v>IAI/NDG</c:v>
                </c:pt>
              </c:strCache>
            </c:strRef>
          </c:cat>
          <c:val>
            <c:numRef>
              <c:f>'Value by Stream'!$C$4:$C$16</c:f>
              <c:numCache>
                <c:formatCode>_(* #,##0_);_(* \(#,##0\);_(* "-"??_);_(@_)</c:formatCode>
                <c:ptCount val="13"/>
                <c:pt idx="0">
                  <c:v>5132012</c:v>
                </c:pt>
                <c:pt idx="1">
                  <c:v>756984</c:v>
                </c:pt>
                <c:pt idx="2">
                  <c:v>302426</c:v>
                </c:pt>
                <c:pt idx="3">
                  <c:v>180000</c:v>
                </c:pt>
                <c:pt idx="4">
                  <c:v>671868</c:v>
                </c:pt>
                <c:pt idx="5">
                  <c:v>2614998</c:v>
                </c:pt>
                <c:pt idx="6">
                  <c:v>7563259</c:v>
                </c:pt>
                <c:pt idx="7">
                  <c:v>886216</c:v>
                </c:pt>
                <c:pt idx="8">
                  <c:v>1023316</c:v>
                </c:pt>
                <c:pt idx="9">
                  <c:v>1599367</c:v>
                </c:pt>
                <c:pt idx="10">
                  <c:v>1586204</c:v>
                </c:pt>
                <c:pt idx="12">
                  <c:v>1494543</c:v>
                </c:pt>
              </c:numCache>
            </c:numRef>
          </c:val>
          <c:extLst>
            <c:ext xmlns:c16="http://schemas.microsoft.com/office/drawing/2014/chart" uri="{C3380CC4-5D6E-409C-BE32-E72D297353CC}">
              <c16:uniqueId val="{00000000-3625-9D48-8E57-2E7A7D58DB75}"/>
            </c:ext>
          </c:extLst>
        </c:ser>
        <c:ser>
          <c:idx val="1"/>
          <c:order val="1"/>
          <c:tx>
            <c:strRef>
              <c:f>'Value by Stream'!$D$3</c:f>
              <c:strCache>
                <c:ptCount val="1"/>
                <c:pt idx="0">
                  <c:v>ACTIVE/APPROVED</c:v>
                </c:pt>
              </c:strCache>
            </c:strRef>
          </c:tx>
          <c:spPr>
            <a:solidFill>
              <a:schemeClr val="accent2"/>
            </a:solidFill>
            <a:ln>
              <a:noFill/>
            </a:ln>
            <a:effectLst/>
          </c:spPr>
          <c:invertIfNegative val="0"/>
          <c:cat>
            <c:strRef>
              <c:f>'Value by Stream'!$B$4:$B$16</c:f>
              <c:strCache>
                <c:ptCount val="13"/>
                <c:pt idx="0">
                  <c:v> Connectivity</c:v>
                </c:pt>
                <c:pt idx="1">
                  <c:v>Corporate Devt</c:v>
                </c:pt>
                <c:pt idx="2">
                  <c:v>Cross-cutting</c:v>
                </c:pt>
                <c:pt idx="3">
                  <c:v>Energy &amp; Minerals</c:v>
                </c:pt>
                <c:pt idx="4">
                  <c:v>Agriculture</c:v>
                </c:pt>
                <c:pt idx="5">
                  <c:v>Services</c:v>
                </c:pt>
                <c:pt idx="6">
                  <c:v>Tourism</c:v>
                </c:pt>
                <c:pt idx="7">
                  <c:v>Investment</c:v>
                </c:pt>
                <c:pt idx="8">
                  <c:v>Financial Integration</c:v>
                </c:pt>
                <c:pt idx="9">
                  <c:v>Consumer Prot.</c:v>
                </c:pt>
                <c:pt idx="10">
                  <c:v>M&amp;E</c:v>
                </c:pt>
                <c:pt idx="11">
                  <c:v>MSME</c:v>
                </c:pt>
                <c:pt idx="12">
                  <c:v>IAI/NDG</c:v>
                </c:pt>
              </c:strCache>
            </c:strRef>
          </c:cat>
          <c:val>
            <c:numRef>
              <c:f>'Value by Stream'!$D$4:$D$16</c:f>
              <c:numCache>
                <c:formatCode>_(* #,##0_);_(* \(#,##0\);_(* "-"??_);_(@_)</c:formatCode>
                <c:ptCount val="13"/>
                <c:pt idx="0">
                  <c:v>5619400</c:v>
                </c:pt>
                <c:pt idx="1">
                  <c:v>302000</c:v>
                </c:pt>
                <c:pt idx="2">
                  <c:v>0</c:v>
                </c:pt>
                <c:pt idx="3">
                  <c:v>772000</c:v>
                </c:pt>
                <c:pt idx="4">
                  <c:v>1301278</c:v>
                </c:pt>
                <c:pt idx="5">
                  <c:v>0</c:v>
                </c:pt>
                <c:pt idx="6">
                  <c:v>449618</c:v>
                </c:pt>
                <c:pt idx="7">
                  <c:v>1191250</c:v>
                </c:pt>
                <c:pt idx="8">
                  <c:v>0</c:v>
                </c:pt>
                <c:pt idx="9">
                  <c:v>1185000</c:v>
                </c:pt>
                <c:pt idx="10">
                  <c:v>0</c:v>
                </c:pt>
                <c:pt idx="12">
                  <c:v>1100500</c:v>
                </c:pt>
              </c:numCache>
            </c:numRef>
          </c:val>
          <c:extLst>
            <c:ext xmlns:c16="http://schemas.microsoft.com/office/drawing/2014/chart" uri="{C3380CC4-5D6E-409C-BE32-E72D297353CC}">
              <c16:uniqueId val="{00000001-3625-9D48-8E57-2E7A7D58DB75}"/>
            </c:ext>
          </c:extLst>
        </c:ser>
        <c:dLbls>
          <c:showLegendKey val="0"/>
          <c:showVal val="0"/>
          <c:showCatName val="0"/>
          <c:showSerName val="0"/>
          <c:showPercent val="0"/>
          <c:showBubbleSize val="0"/>
        </c:dLbls>
        <c:gapWidth val="150"/>
        <c:overlap val="100"/>
        <c:axId val="30685056"/>
        <c:axId val="30686592"/>
      </c:barChart>
      <c:catAx>
        <c:axId val="3068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86592"/>
        <c:crosses val="autoZero"/>
        <c:auto val="1"/>
        <c:lblAlgn val="ctr"/>
        <c:lblOffset val="100"/>
        <c:noMultiLvlLbl val="0"/>
      </c:catAx>
      <c:valAx>
        <c:axId val="3068659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85056"/>
        <c:crosses val="autoZero"/>
        <c:crossBetween val="between"/>
        <c:dispUnits>
          <c:builtInUnit val="thousands"/>
          <c:dispUnitsLbl>
            <c:layout/>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Project Value by Work Stream (US$)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'Value by Stream'!$C$3</c:f>
              <c:strCache>
                <c:ptCount val="1"/>
                <c:pt idx="0">
                  <c:v>COMPLETED</c:v>
                </c:pt>
              </c:strCache>
            </c:strRef>
          </c:tx>
          <c:spPr>
            <a:solidFill>
              <a:schemeClr val="accent1"/>
            </a:solidFill>
            <a:ln>
              <a:noFill/>
            </a:ln>
            <a:effectLst/>
          </c:spPr>
          <c:invertIfNegative val="0"/>
          <c:cat>
            <c:strRef>
              <c:f>'Value by Stream'!$B$4:$B$16</c:f>
              <c:strCache>
                <c:ptCount val="13"/>
                <c:pt idx="0">
                  <c:v> Connectivity</c:v>
                </c:pt>
                <c:pt idx="1">
                  <c:v>Corporate Devt</c:v>
                </c:pt>
                <c:pt idx="2">
                  <c:v>Cross-cutting</c:v>
                </c:pt>
                <c:pt idx="3">
                  <c:v>Energy &amp; Minerals</c:v>
                </c:pt>
                <c:pt idx="4">
                  <c:v>Agriculture</c:v>
                </c:pt>
                <c:pt idx="5">
                  <c:v>Services</c:v>
                </c:pt>
                <c:pt idx="6">
                  <c:v>Tourism</c:v>
                </c:pt>
                <c:pt idx="7">
                  <c:v>Investment</c:v>
                </c:pt>
                <c:pt idx="8">
                  <c:v>Financial Integration</c:v>
                </c:pt>
                <c:pt idx="9">
                  <c:v>Consumer Prot.</c:v>
                </c:pt>
                <c:pt idx="10">
                  <c:v>M&amp;E</c:v>
                </c:pt>
                <c:pt idx="11">
                  <c:v>MSME</c:v>
                </c:pt>
                <c:pt idx="12">
                  <c:v>IAI/NDG</c:v>
                </c:pt>
              </c:strCache>
            </c:strRef>
          </c:cat>
          <c:val>
            <c:numRef>
              <c:f>'Value by Stream'!$C$4:$C$16</c:f>
              <c:numCache>
                <c:formatCode>_(* #,##0_);_(* \(#,##0\);_(* "-"??_);_(@_)</c:formatCode>
                <c:ptCount val="13"/>
                <c:pt idx="0">
                  <c:v>5132012</c:v>
                </c:pt>
                <c:pt idx="1">
                  <c:v>756984</c:v>
                </c:pt>
                <c:pt idx="2">
                  <c:v>302426</c:v>
                </c:pt>
                <c:pt idx="3">
                  <c:v>180000</c:v>
                </c:pt>
                <c:pt idx="4">
                  <c:v>671868</c:v>
                </c:pt>
                <c:pt idx="5">
                  <c:v>2614998</c:v>
                </c:pt>
                <c:pt idx="6">
                  <c:v>7563259</c:v>
                </c:pt>
                <c:pt idx="7">
                  <c:v>886216</c:v>
                </c:pt>
                <c:pt idx="8">
                  <c:v>1023316</c:v>
                </c:pt>
                <c:pt idx="9">
                  <c:v>1599367</c:v>
                </c:pt>
                <c:pt idx="10">
                  <c:v>1586204</c:v>
                </c:pt>
                <c:pt idx="12">
                  <c:v>1494543</c:v>
                </c:pt>
              </c:numCache>
            </c:numRef>
          </c:val>
          <c:extLst>
            <c:ext xmlns:c16="http://schemas.microsoft.com/office/drawing/2014/chart" uri="{C3380CC4-5D6E-409C-BE32-E72D297353CC}">
              <c16:uniqueId val="{00000000-F7C1-4844-8660-8F1619DB4AB5}"/>
            </c:ext>
          </c:extLst>
        </c:ser>
        <c:ser>
          <c:idx val="1"/>
          <c:order val="1"/>
          <c:tx>
            <c:strRef>
              <c:f>'Value by Stream'!$D$3</c:f>
              <c:strCache>
                <c:ptCount val="1"/>
                <c:pt idx="0">
                  <c:v>ACTIVE/APPROVED</c:v>
                </c:pt>
              </c:strCache>
            </c:strRef>
          </c:tx>
          <c:spPr>
            <a:solidFill>
              <a:schemeClr val="accent2"/>
            </a:solidFill>
            <a:ln>
              <a:noFill/>
            </a:ln>
            <a:effectLst/>
          </c:spPr>
          <c:invertIfNegative val="0"/>
          <c:cat>
            <c:strRef>
              <c:f>'Value by Stream'!$B$4:$B$16</c:f>
              <c:strCache>
                <c:ptCount val="13"/>
                <c:pt idx="0">
                  <c:v> Connectivity</c:v>
                </c:pt>
                <c:pt idx="1">
                  <c:v>Corporate Devt</c:v>
                </c:pt>
                <c:pt idx="2">
                  <c:v>Cross-cutting</c:v>
                </c:pt>
                <c:pt idx="3">
                  <c:v>Energy &amp; Minerals</c:v>
                </c:pt>
                <c:pt idx="4">
                  <c:v>Agriculture</c:v>
                </c:pt>
                <c:pt idx="5">
                  <c:v>Services</c:v>
                </c:pt>
                <c:pt idx="6">
                  <c:v>Tourism</c:v>
                </c:pt>
                <c:pt idx="7">
                  <c:v>Investment</c:v>
                </c:pt>
                <c:pt idx="8">
                  <c:v>Financial Integration</c:v>
                </c:pt>
                <c:pt idx="9">
                  <c:v>Consumer Prot.</c:v>
                </c:pt>
                <c:pt idx="10">
                  <c:v>M&amp;E</c:v>
                </c:pt>
                <c:pt idx="11">
                  <c:v>MSME</c:v>
                </c:pt>
                <c:pt idx="12">
                  <c:v>IAI/NDG</c:v>
                </c:pt>
              </c:strCache>
            </c:strRef>
          </c:cat>
          <c:val>
            <c:numRef>
              <c:f>'Value by Stream'!$D$4:$D$16</c:f>
              <c:numCache>
                <c:formatCode>_(* #,##0_);_(* \(#,##0\);_(* "-"??_);_(@_)</c:formatCode>
                <c:ptCount val="13"/>
                <c:pt idx="0">
                  <c:v>5619400</c:v>
                </c:pt>
                <c:pt idx="1">
                  <c:v>302000</c:v>
                </c:pt>
                <c:pt idx="2">
                  <c:v>0</c:v>
                </c:pt>
                <c:pt idx="3">
                  <c:v>772000</c:v>
                </c:pt>
                <c:pt idx="4">
                  <c:v>1301278</c:v>
                </c:pt>
                <c:pt idx="5">
                  <c:v>0</c:v>
                </c:pt>
                <c:pt idx="6">
                  <c:v>449618</c:v>
                </c:pt>
                <c:pt idx="7">
                  <c:v>1191250</c:v>
                </c:pt>
                <c:pt idx="8">
                  <c:v>0</c:v>
                </c:pt>
                <c:pt idx="9">
                  <c:v>1185000</c:v>
                </c:pt>
                <c:pt idx="10">
                  <c:v>0</c:v>
                </c:pt>
                <c:pt idx="12">
                  <c:v>1100500</c:v>
                </c:pt>
              </c:numCache>
            </c:numRef>
          </c:val>
          <c:extLst>
            <c:ext xmlns:c16="http://schemas.microsoft.com/office/drawing/2014/chart" uri="{C3380CC4-5D6E-409C-BE32-E72D297353CC}">
              <c16:uniqueId val="{00000001-F7C1-4844-8660-8F1619DB4AB5}"/>
            </c:ext>
          </c:extLst>
        </c:ser>
        <c:dLbls>
          <c:showLegendKey val="0"/>
          <c:showVal val="0"/>
          <c:showCatName val="0"/>
          <c:showSerName val="0"/>
          <c:showPercent val="0"/>
          <c:showBubbleSize val="0"/>
        </c:dLbls>
        <c:gapWidth val="150"/>
        <c:overlap val="100"/>
        <c:axId val="30685056"/>
        <c:axId val="30686592"/>
      </c:barChart>
      <c:catAx>
        <c:axId val="3068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86592"/>
        <c:crosses val="autoZero"/>
        <c:auto val="1"/>
        <c:lblAlgn val="ctr"/>
        <c:lblOffset val="100"/>
        <c:noMultiLvlLbl val="0"/>
      </c:catAx>
      <c:valAx>
        <c:axId val="3068659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85056"/>
        <c:crosses val="autoZero"/>
        <c:crossBetween val="between"/>
        <c:dispUnits>
          <c:builtInUnit val="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1BB62-8FAE-4DCC-94C0-38A9BA09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22062</Words>
  <Characters>125758</Characters>
  <Application>Microsoft Office Word</Application>
  <DocSecurity>0</DocSecurity>
  <Lines>1047</Lines>
  <Paragraphs>295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Report of ASEAN-Australia Development Cooperation Program Phase II (AADCP II)</dc:title>
  <dc:subject/>
  <dc:creator/>
  <cp:keywords/>
  <dc:description/>
  <cp:lastModifiedBy/>
  <cp:revision>1</cp:revision>
  <dcterms:created xsi:type="dcterms:W3CDTF">2020-11-03T23:19:00Z</dcterms:created>
  <dcterms:modified xsi:type="dcterms:W3CDTF">2020-11-03T23:19:00Z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61ca5534-a47c-4edd-8548-0b9b311c9571</vt:lpwstr>
  </property>
  <property fmtid="{D5CDD505-2E9C-101B-9397-08002B2CF9AE}" pid="3" name="SEC">
    <vt:lpwstr>OFFICIAL</vt:lpwstr>
  </property>
</Properties>
</file>