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C0D4C" w14:textId="77777777" w:rsidR="00E17BFF" w:rsidRPr="00035C24" w:rsidRDefault="00E17BFF" w:rsidP="00145F1A">
      <w:pPr>
        <w:jc w:val="center"/>
        <w:rPr>
          <w:rFonts w:cstheme="minorHAnsi"/>
          <w:b/>
          <w:sz w:val="24"/>
          <w:szCs w:val="24"/>
        </w:rPr>
      </w:pPr>
      <w:r w:rsidRPr="00035C24">
        <w:rPr>
          <w:rFonts w:cstheme="minorHAnsi"/>
          <w:b/>
          <w:sz w:val="24"/>
          <w:szCs w:val="24"/>
        </w:rPr>
        <w:t>DFAT Management Response</w:t>
      </w:r>
    </w:p>
    <w:p w14:paraId="4A86EB35" w14:textId="77777777" w:rsidR="00624B8A" w:rsidRPr="00035C24" w:rsidRDefault="00E17BFF" w:rsidP="00145F1A">
      <w:pPr>
        <w:jc w:val="center"/>
        <w:rPr>
          <w:rFonts w:cstheme="minorHAnsi"/>
          <w:b/>
          <w:sz w:val="24"/>
          <w:szCs w:val="24"/>
        </w:rPr>
      </w:pPr>
      <w:r w:rsidRPr="00035C24">
        <w:rPr>
          <w:rFonts w:cstheme="minorHAnsi"/>
          <w:b/>
          <w:sz w:val="24"/>
          <w:szCs w:val="24"/>
        </w:rPr>
        <w:t xml:space="preserve">Independent Review of the </w:t>
      </w:r>
      <w:r w:rsidR="00AB6AB8" w:rsidRPr="00035C24">
        <w:rPr>
          <w:rFonts w:cstheme="minorHAnsi"/>
          <w:b/>
          <w:sz w:val="24"/>
          <w:szCs w:val="24"/>
        </w:rPr>
        <w:t>ASEAN-Australia Development Cooperation Program Phase II (AADCP II)</w:t>
      </w:r>
      <w:r w:rsidRPr="00035C24">
        <w:rPr>
          <w:rFonts w:cstheme="minorHAnsi"/>
          <w:b/>
          <w:sz w:val="24"/>
          <w:szCs w:val="24"/>
        </w:rPr>
        <w:t xml:space="preserve"> </w:t>
      </w:r>
    </w:p>
    <w:p w14:paraId="34FA3ED9" w14:textId="77777777" w:rsidR="00513DE9" w:rsidRPr="00035C24" w:rsidRDefault="00513DE9" w:rsidP="001F50FE">
      <w:pPr>
        <w:pStyle w:val="Bodycopy"/>
        <w:spacing w:after="0" w:line="240" w:lineRule="auto"/>
        <w:jc w:val="both"/>
        <w:rPr>
          <w:rFonts w:asciiTheme="minorHAnsi" w:hAnsiTheme="minorHAnsi" w:cstheme="minorHAnsi"/>
          <w:sz w:val="20"/>
        </w:rPr>
      </w:pPr>
    </w:p>
    <w:p w14:paraId="7F49E890" w14:textId="77777777" w:rsidR="00CF2D51" w:rsidRPr="00035C24" w:rsidRDefault="001E2727" w:rsidP="006D7CBE">
      <w:pPr>
        <w:pStyle w:val="Bodycopy"/>
        <w:spacing w:after="0" w:line="240" w:lineRule="auto"/>
        <w:jc w:val="both"/>
        <w:rPr>
          <w:rFonts w:asciiTheme="minorHAnsi" w:hAnsiTheme="minorHAnsi" w:cstheme="minorHAnsi"/>
          <w:color w:val="auto"/>
          <w:sz w:val="20"/>
        </w:rPr>
      </w:pPr>
      <w:r w:rsidRPr="00035C24">
        <w:rPr>
          <w:rFonts w:asciiTheme="minorHAnsi" w:hAnsiTheme="minorHAnsi" w:cstheme="minorHAnsi"/>
          <w:sz w:val="20"/>
        </w:rPr>
        <w:t xml:space="preserve">DFAT </w:t>
      </w:r>
      <w:r w:rsidR="00E4310A" w:rsidRPr="00035C24">
        <w:rPr>
          <w:rFonts w:asciiTheme="minorHAnsi" w:hAnsiTheme="minorHAnsi" w:cstheme="minorHAnsi"/>
          <w:sz w:val="20"/>
        </w:rPr>
        <w:t xml:space="preserve">commissioned </w:t>
      </w:r>
      <w:r w:rsidR="00A54C9E" w:rsidRPr="00035C24">
        <w:rPr>
          <w:rFonts w:asciiTheme="minorHAnsi" w:hAnsiTheme="minorHAnsi" w:cstheme="minorHAnsi"/>
          <w:sz w:val="20"/>
        </w:rPr>
        <w:t xml:space="preserve">an Independent Review of </w:t>
      </w:r>
      <w:r w:rsidR="00623F3B" w:rsidRPr="00035C24">
        <w:rPr>
          <w:rFonts w:asciiTheme="minorHAnsi" w:hAnsiTheme="minorHAnsi" w:cstheme="minorHAnsi"/>
          <w:sz w:val="20"/>
        </w:rPr>
        <w:t xml:space="preserve">the </w:t>
      </w:r>
      <w:r w:rsidR="00AB6AB8" w:rsidRPr="00035C24">
        <w:rPr>
          <w:rFonts w:asciiTheme="minorHAnsi" w:hAnsiTheme="minorHAnsi" w:cstheme="minorHAnsi"/>
          <w:sz w:val="20"/>
        </w:rPr>
        <w:t xml:space="preserve">ASEAN-Australia Development Cooperation Program Phase II (AADCP II) </w:t>
      </w:r>
      <w:r w:rsidR="00513DE9" w:rsidRPr="00035C24">
        <w:rPr>
          <w:rFonts w:asciiTheme="minorHAnsi" w:hAnsiTheme="minorHAnsi" w:cstheme="minorHAnsi"/>
          <w:sz w:val="20"/>
        </w:rPr>
        <w:t>from September</w:t>
      </w:r>
      <w:r w:rsidR="00AB6AB8" w:rsidRPr="00035C24">
        <w:rPr>
          <w:rFonts w:asciiTheme="minorHAnsi" w:hAnsiTheme="minorHAnsi" w:cstheme="minorHAnsi"/>
          <w:sz w:val="20"/>
        </w:rPr>
        <w:t xml:space="preserve"> to December</w:t>
      </w:r>
      <w:r w:rsidR="00513DE9" w:rsidRPr="00035C24">
        <w:rPr>
          <w:rFonts w:asciiTheme="minorHAnsi" w:hAnsiTheme="minorHAnsi" w:cstheme="minorHAnsi"/>
          <w:sz w:val="20"/>
        </w:rPr>
        <w:t xml:space="preserve"> 201</w:t>
      </w:r>
      <w:r w:rsidR="00AB6AB8" w:rsidRPr="00035C24">
        <w:rPr>
          <w:rFonts w:asciiTheme="minorHAnsi" w:hAnsiTheme="minorHAnsi" w:cstheme="minorHAnsi"/>
          <w:sz w:val="20"/>
        </w:rPr>
        <w:t>9</w:t>
      </w:r>
      <w:r w:rsidR="002E4AE8" w:rsidRPr="00035C24">
        <w:rPr>
          <w:rFonts w:asciiTheme="minorHAnsi" w:hAnsiTheme="minorHAnsi" w:cstheme="minorHAnsi"/>
          <w:sz w:val="20"/>
        </w:rPr>
        <w:t xml:space="preserve">. </w:t>
      </w:r>
      <w:r w:rsidR="006D0510" w:rsidRPr="00035C24">
        <w:rPr>
          <w:rFonts w:asciiTheme="minorHAnsi" w:hAnsiTheme="minorHAnsi" w:cstheme="minorHAnsi"/>
          <w:sz w:val="20"/>
        </w:rPr>
        <w:t>The</w:t>
      </w:r>
      <w:r w:rsidR="00AB6AB8" w:rsidRPr="00035C24">
        <w:rPr>
          <w:rFonts w:asciiTheme="minorHAnsi" w:hAnsiTheme="minorHAnsi" w:cstheme="minorHAnsi"/>
          <w:sz w:val="20"/>
        </w:rPr>
        <w:t xml:space="preserve"> lead</w:t>
      </w:r>
      <w:r w:rsidR="006D0510" w:rsidRPr="00035C24">
        <w:rPr>
          <w:rFonts w:asciiTheme="minorHAnsi" w:hAnsiTheme="minorHAnsi" w:cstheme="minorHAnsi"/>
          <w:sz w:val="20"/>
        </w:rPr>
        <w:t xml:space="preserve"> reviewer, Ray</w:t>
      </w:r>
      <w:r w:rsidR="006D7CBE" w:rsidRPr="00035C24">
        <w:rPr>
          <w:rFonts w:asciiTheme="minorHAnsi" w:hAnsiTheme="minorHAnsi" w:cstheme="minorHAnsi"/>
          <w:sz w:val="20"/>
        </w:rPr>
        <w:t>mond</w:t>
      </w:r>
      <w:r w:rsidR="006D0510" w:rsidRPr="00035C24">
        <w:rPr>
          <w:rFonts w:asciiTheme="minorHAnsi" w:hAnsiTheme="minorHAnsi" w:cstheme="minorHAnsi"/>
          <w:sz w:val="20"/>
        </w:rPr>
        <w:t xml:space="preserve"> Mallon, </w:t>
      </w:r>
      <w:r w:rsidR="006D0510" w:rsidRPr="00035C24">
        <w:rPr>
          <w:rFonts w:asciiTheme="minorHAnsi" w:hAnsiTheme="minorHAnsi" w:cstheme="minorHAnsi"/>
          <w:color w:val="auto"/>
          <w:sz w:val="20"/>
        </w:rPr>
        <w:t xml:space="preserve">visited </w:t>
      </w:r>
      <w:r w:rsidR="00AB6AB8" w:rsidRPr="00035C24">
        <w:rPr>
          <w:rFonts w:asciiTheme="minorHAnsi" w:hAnsiTheme="minorHAnsi" w:cstheme="minorHAnsi"/>
          <w:color w:val="auto"/>
          <w:sz w:val="20"/>
        </w:rPr>
        <w:t>Bangkok</w:t>
      </w:r>
      <w:r w:rsidR="006D0510" w:rsidRPr="00035C24">
        <w:rPr>
          <w:rFonts w:asciiTheme="minorHAnsi" w:hAnsiTheme="minorHAnsi" w:cstheme="minorHAnsi"/>
          <w:color w:val="auto"/>
          <w:sz w:val="20"/>
        </w:rPr>
        <w:t xml:space="preserve"> (</w:t>
      </w:r>
      <w:r w:rsidR="00AB6AB8" w:rsidRPr="00035C24">
        <w:rPr>
          <w:rFonts w:asciiTheme="minorHAnsi" w:hAnsiTheme="minorHAnsi" w:cstheme="minorHAnsi"/>
          <w:color w:val="auto"/>
          <w:sz w:val="20"/>
        </w:rPr>
        <w:t>22 September 2019</w:t>
      </w:r>
      <w:r w:rsidR="006D0510" w:rsidRPr="00035C24">
        <w:rPr>
          <w:rFonts w:asciiTheme="minorHAnsi" w:hAnsiTheme="minorHAnsi" w:cstheme="minorHAnsi"/>
          <w:color w:val="auto"/>
          <w:sz w:val="20"/>
        </w:rPr>
        <w:t>)</w:t>
      </w:r>
      <w:r w:rsidR="00AB6AB8" w:rsidRPr="00035C24">
        <w:rPr>
          <w:rFonts w:asciiTheme="minorHAnsi" w:hAnsiTheme="minorHAnsi" w:cstheme="minorHAnsi"/>
          <w:color w:val="auto"/>
          <w:sz w:val="20"/>
        </w:rPr>
        <w:t xml:space="preserve"> and Jakarta</w:t>
      </w:r>
      <w:r w:rsidR="006D0510" w:rsidRPr="00035C24">
        <w:rPr>
          <w:rFonts w:asciiTheme="minorHAnsi" w:hAnsiTheme="minorHAnsi" w:cstheme="minorHAnsi"/>
          <w:color w:val="auto"/>
          <w:sz w:val="20"/>
        </w:rPr>
        <w:t xml:space="preserve"> (</w:t>
      </w:r>
      <w:r w:rsidR="00AB6AB8" w:rsidRPr="00035C24">
        <w:rPr>
          <w:rFonts w:asciiTheme="minorHAnsi" w:hAnsiTheme="minorHAnsi" w:cstheme="minorHAnsi"/>
          <w:color w:val="auto"/>
          <w:sz w:val="20"/>
        </w:rPr>
        <w:t>25</w:t>
      </w:r>
      <w:r w:rsidR="006D0510" w:rsidRPr="00035C24">
        <w:rPr>
          <w:rFonts w:asciiTheme="minorHAnsi" w:hAnsiTheme="minorHAnsi" w:cstheme="minorHAnsi"/>
          <w:color w:val="auto"/>
          <w:sz w:val="20"/>
        </w:rPr>
        <w:t xml:space="preserve"> Sept</w:t>
      </w:r>
      <w:r w:rsidR="00B849B5" w:rsidRPr="00035C24">
        <w:rPr>
          <w:rFonts w:asciiTheme="minorHAnsi" w:hAnsiTheme="minorHAnsi" w:cstheme="minorHAnsi"/>
          <w:color w:val="auto"/>
          <w:sz w:val="20"/>
        </w:rPr>
        <w:t>ember</w:t>
      </w:r>
      <w:r w:rsidR="00AB6AB8" w:rsidRPr="00035C24">
        <w:rPr>
          <w:rFonts w:asciiTheme="minorHAnsi" w:hAnsiTheme="minorHAnsi" w:cstheme="minorHAnsi"/>
          <w:color w:val="auto"/>
          <w:sz w:val="20"/>
        </w:rPr>
        <w:t xml:space="preserve"> to 3 October 2019</w:t>
      </w:r>
      <w:r w:rsidR="00A57A3A" w:rsidRPr="00035C24">
        <w:rPr>
          <w:rFonts w:asciiTheme="minorHAnsi" w:hAnsiTheme="minorHAnsi" w:cstheme="minorHAnsi"/>
          <w:color w:val="auto"/>
          <w:sz w:val="20"/>
        </w:rPr>
        <w:t xml:space="preserve">. </w:t>
      </w:r>
      <w:r w:rsidR="002E4AE8" w:rsidRPr="00035C24">
        <w:rPr>
          <w:rFonts w:asciiTheme="minorHAnsi" w:hAnsiTheme="minorHAnsi" w:cstheme="minorHAnsi"/>
          <w:color w:val="auto"/>
          <w:sz w:val="20"/>
        </w:rPr>
        <w:t xml:space="preserve">The </w:t>
      </w:r>
      <w:r w:rsidR="004251E1" w:rsidRPr="00035C24">
        <w:rPr>
          <w:rFonts w:asciiTheme="minorHAnsi" w:hAnsiTheme="minorHAnsi" w:cstheme="minorHAnsi"/>
          <w:color w:val="auto"/>
          <w:sz w:val="20"/>
        </w:rPr>
        <w:t xml:space="preserve">review </w:t>
      </w:r>
      <w:r w:rsidR="00C73291" w:rsidRPr="00035C24">
        <w:rPr>
          <w:rFonts w:asciiTheme="minorHAnsi" w:hAnsiTheme="minorHAnsi" w:cstheme="minorHAnsi"/>
          <w:color w:val="auto"/>
          <w:sz w:val="20"/>
        </w:rPr>
        <w:t>aimed</w:t>
      </w:r>
      <w:r w:rsidR="00A54C9E" w:rsidRPr="00035C24">
        <w:rPr>
          <w:rFonts w:asciiTheme="minorHAnsi" w:hAnsiTheme="minorHAnsi" w:cstheme="minorHAnsi"/>
          <w:color w:val="auto"/>
          <w:sz w:val="20"/>
        </w:rPr>
        <w:t xml:space="preserve"> to provide DFAT with information </w:t>
      </w:r>
      <w:r w:rsidR="002E4AE8" w:rsidRPr="00035C24">
        <w:rPr>
          <w:rFonts w:asciiTheme="minorHAnsi" w:hAnsiTheme="minorHAnsi" w:cstheme="minorHAnsi"/>
          <w:color w:val="auto"/>
          <w:sz w:val="20"/>
        </w:rPr>
        <w:t>to</w:t>
      </w:r>
      <w:r w:rsidR="00A54C9E" w:rsidRPr="00035C24">
        <w:rPr>
          <w:rFonts w:asciiTheme="minorHAnsi" w:hAnsiTheme="minorHAnsi" w:cstheme="minorHAnsi"/>
          <w:color w:val="auto"/>
          <w:sz w:val="20"/>
        </w:rPr>
        <w:t xml:space="preserve"> enable and inform strategic decision-making regarding the direction of the current program and possible future programming.</w:t>
      </w:r>
      <w:r w:rsidR="00650E4C" w:rsidRPr="00035C24">
        <w:rPr>
          <w:rFonts w:asciiTheme="minorHAnsi" w:hAnsiTheme="minorHAnsi" w:cstheme="minorHAnsi"/>
          <w:color w:val="auto"/>
          <w:sz w:val="20"/>
        </w:rPr>
        <w:t xml:space="preserve"> </w:t>
      </w:r>
    </w:p>
    <w:p w14:paraId="516BE56E" w14:textId="77777777" w:rsidR="00CF2D51" w:rsidRPr="00035C24" w:rsidRDefault="00CF2D51" w:rsidP="006D7CBE">
      <w:pPr>
        <w:pStyle w:val="Bodycopy"/>
        <w:spacing w:after="0" w:line="240" w:lineRule="auto"/>
        <w:jc w:val="both"/>
        <w:rPr>
          <w:rFonts w:asciiTheme="minorHAnsi" w:hAnsiTheme="minorHAnsi" w:cstheme="minorHAnsi"/>
          <w:color w:val="auto"/>
          <w:sz w:val="20"/>
        </w:rPr>
      </w:pPr>
    </w:p>
    <w:p w14:paraId="334D9663" w14:textId="77777777" w:rsidR="00CF2D51" w:rsidRDefault="00FC22E4" w:rsidP="006D7CBE">
      <w:pPr>
        <w:pStyle w:val="Bodycopy"/>
        <w:spacing w:after="0" w:line="240" w:lineRule="auto"/>
        <w:jc w:val="both"/>
        <w:rPr>
          <w:rFonts w:asciiTheme="minorHAnsi" w:hAnsiTheme="minorHAnsi" w:cstheme="minorHAnsi"/>
          <w:color w:val="auto"/>
          <w:sz w:val="20"/>
        </w:rPr>
      </w:pPr>
      <w:r w:rsidRPr="00035C24">
        <w:rPr>
          <w:rFonts w:asciiTheme="minorHAnsi" w:hAnsiTheme="minorHAnsi" w:cstheme="minorHAnsi"/>
          <w:color w:val="auto"/>
          <w:sz w:val="20"/>
        </w:rPr>
        <w:t xml:space="preserve">The </w:t>
      </w:r>
      <w:r w:rsidR="001F50FE" w:rsidRPr="00035C24">
        <w:rPr>
          <w:rFonts w:asciiTheme="minorHAnsi" w:hAnsiTheme="minorHAnsi" w:cstheme="minorHAnsi"/>
          <w:color w:val="auto"/>
          <w:sz w:val="20"/>
        </w:rPr>
        <w:t>review</w:t>
      </w:r>
      <w:r w:rsidR="00AB6AB8" w:rsidRPr="00035C24">
        <w:rPr>
          <w:rFonts w:asciiTheme="minorHAnsi" w:hAnsiTheme="minorHAnsi" w:cstheme="minorHAnsi"/>
          <w:color w:val="auto"/>
          <w:sz w:val="20"/>
        </w:rPr>
        <w:t xml:space="preserve"> also</w:t>
      </w:r>
      <w:r w:rsidR="001F50FE" w:rsidRPr="00035C24">
        <w:rPr>
          <w:rFonts w:asciiTheme="minorHAnsi" w:hAnsiTheme="minorHAnsi" w:cstheme="minorHAnsi"/>
          <w:color w:val="auto"/>
          <w:sz w:val="20"/>
        </w:rPr>
        <w:t xml:space="preserve"> considered</w:t>
      </w:r>
      <w:r w:rsidRPr="00035C24">
        <w:rPr>
          <w:rFonts w:asciiTheme="minorHAnsi" w:hAnsiTheme="minorHAnsi" w:cstheme="minorHAnsi"/>
          <w:color w:val="auto"/>
          <w:sz w:val="20"/>
        </w:rPr>
        <w:t xml:space="preserve"> </w:t>
      </w:r>
      <w:r w:rsidR="00AB6AB8" w:rsidRPr="00035C24">
        <w:rPr>
          <w:rFonts w:asciiTheme="minorHAnsi" w:hAnsiTheme="minorHAnsi" w:cstheme="minorHAnsi"/>
          <w:color w:val="auto"/>
          <w:sz w:val="20"/>
        </w:rPr>
        <w:t xml:space="preserve">the partnership approach, monitoring and evaluation (M&amp;E) and program logic for AADCP II, with support from Samiha Barkat, Principle Consultant, Clear Horizon. Ms Barkat also participated in a number of review meetings and activities in Jakarta. </w:t>
      </w:r>
    </w:p>
    <w:p w14:paraId="428F1D3F" w14:textId="77777777" w:rsidR="00035C24" w:rsidRDefault="00035C24" w:rsidP="006D7CBE">
      <w:pPr>
        <w:pStyle w:val="Bodycopy"/>
        <w:spacing w:after="0" w:line="240" w:lineRule="auto"/>
        <w:jc w:val="both"/>
        <w:rPr>
          <w:rFonts w:asciiTheme="minorHAnsi" w:hAnsiTheme="minorHAnsi" w:cstheme="minorHAnsi"/>
          <w:color w:val="auto"/>
          <w:sz w:val="20"/>
        </w:rPr>
      </w:pPr>
    </w:p>
    <w:p w14:paraId="0761C618" w14:textId="77777777" w:rsidR="00035C24" w:rsidRPr="00035C24" w:rsidRDefault="00035C24" w:rsidP="006D7CBE">
      <w:pPr>
        <w:pStyle w:val="Bodycopy"/>
        <w:spacing w:after="0" w:line="240" w:lineRule="auto"/>
        <w:jc w:val="both"/>
        <w:rPr>
          <w:rFonts w:asciiTheme="minorHAnsi" w:hAnsiTheme="minorHAnsi" w:cstheme="minorHAnsi"/>
          <w:color w:val="auto"/>
          <w:sz w:val="20"/>
        </w:rPr>
      </w:pPr>
      <w:r>
        <w:rPr>
          <w:rFonts w:asciiTheme="minorHAnsi" w:hAnsiTheme="minorHAnsi" w:cstheme="minorHAnsi"/>
          <w:color w:val="auto"/>
          <w:sz w:val="20"/>
        </w:rPr>
        <w:t>The review’s overall finding is that “</w:t>
      </w:r>
      <w:r w:rsidRPr="00035C24">
        <w:rPr>
          <w:rFonts w:asciiTheme="minorHAnsi" w:hAnsiTheme="minorHAnsi" w:cstheme="minorHAnsi"/>
          <w:i/>
          <w:color w:val="auto"/>
          <w:sz w:val="20"/>
        </w:rPr>
        <w:t>AADCP II has succeeded in delivering substantive and relevant results directly linked to both ASEAN and Australian priorities in a cost-effective manner. Strong ownership of activities and progress in building ASEC capacity should ensure that core AADCP II results are sustainable.</w:t>
      </w:r>
      <w:r>
        <w:rPr>
          <w:rFonts w:asciiTheme="minorHAnsi" w:hAnsiTheme="minorHAnsi" w:cstheme="minorHAnsi"/>
          <w:i/>
          <w:color w:val="auto"/>
          <w:sz w:val="20"/>
        </w:rPr>
        <w:t>”</w:t>
      </w:r>
    </w:p>
    <w:p w14:paraId="4CF92FC7" w14:textId="77777777" w:rsidR="00B23082" w:rsidRPr="00035C24" w:rsidRDefault="00B23082" w:rsidP="006D7CBE">
      <w:pPr>
        <w:pStyle w:val="Bodycopy"/>
        <w:spacing w:after="0" w:line="240" w:lineRule="auto"/>
        <w:jc w:val="both"/>
        <w:rPr>
          <w:rFonts w:asciiTheme="minorHAnsi" w:hAnsiTheme="minorHAnsi" w:cstheme="minorHAnsi"/>
          <w:color w:val="auto"/>
          <w:sz w:val="20"/>
        </w:rPr>
      </w:pPr>
      <w:bookmarkStart w:id="0" w:name="_GoBack"/>
    </w:p>
    <w:bookmarkEnd w:id="0"/>
    <w:p w14:paraId="0EAAD3D1" w14:textId="77777777" w:rsidR="00B23082" w:rsidRPr="00035C24" w:rsidRDefault="00B23082" w:rsidP="006D7CBE">
      <w:pPr>
        <w:pStyle w:val="Bodycopy"/>
        <w:spacing w:after="0" w:line="240" w:lineRule="auto"/>
        <w:jc w:val="both"/>
        <w:rPr>
          <w:rFonts w:asciiTheme="minorHAnsi" w:hAnsiTheme="minorHAnsi" w:cstheme="minorHAnsi"/>
          <w:color w:val="auto"/>
          <w:sz w:val="20"/>
        </w:rPr>
      </w:pPr>
      <w:r w:rsidRPr="00035C24">
        <w:rPr>
          <w:rFonts w:asciiTheme="minorHAnsi" w:hAnsiTheme="minorHAnsi" w:cstheme="minorHAnsi"/>
          <w:color w:val="auto"/>
          <w:sz w:val="20"/>
        </w:rPr>
        <w:t xml:space="preserve">The review found that AADCP II is </w:t>
      </w:r>
      <w:r w:rsidRPr="00035C24">
        <w:rPr>
          <w:rFonts w:asciiTheme="minorHAnsi" w:hAnsiTheme="minorHAnsi" w:cstheme="minorHAnsi"/>
          <w:b/>
          <w:color w:val="auto"/>
          <w:sz w:val="20"/>
        </w:rPr>
        <w:t>relevant</w:t>
      </w:r>
      <w:r w:rsidRPr="00035C24">
        <w:rPr>
          <w:rFonts w:asciiTheme="minorHAnsi" w:hAnsiTheme="minorHAnsi" w:cstheme="minorHAnsi"/>
          <w:color w:val="auto"/>
          <w:sz w:val="20"/>
        </w:rPr>
        <w:t xml:space="preserve"> to the implementation of the ASEAN Economic Community and the Austral</w:t>
      </w:r>
      <w:r w:rsidR="00521A8F" w:rsidRPr="00035C24">
        <w:rPr>
          <w:rFonts w:asciiTheme="minorHAnsi" w:hAnsiTheme="minorHAnsi" w:cstheme="minorHAnsi"/>
          <w:color w:val="auto"/>
          <w:sz w:val="20"/>
        </w:rPr>
        <w:t xml:space="preserve">ian Foreign Policy White Paper, </w:t>
      </w:r>
      <w:r w:rsidR="00521A8F" w:rsidRPr="00035C24">
        <w:rPr>
          <w:rFonts w:asciiTheme="minorHAnsi" w:hAnsiTheme="minorHAnsi" w:cstheme="minorHAnsi"/>
          <w:b/>
          <w:color w:val="auto"/>
          <w:sz w:val="20"/>
        </w:rPr>
        <w:t>effective</w:t>
      </w:r>
      <w:r w:rsidR="00521A8F" w:rsidRPr="00035C24">
        <w:rPr>
          <w:rFonts w:asciiTheme="minorHAnsi" w:hAnsiTheme="minorHAnsi" w:cstheme="minorHAnsi"/>
          <w:color w:val="auto"/>
          <w:sz w:val="20"/>
        </w:rPr>
        <w:t xml:space="preserve"> in making progress towards the original program objectives and the more recently identified objective of deepening strategic partnerships between ASEAN and Australia; and </w:t>
      </w:r>
      <w:r w:rsidR="00521A8F" w:rsidRPr="00035C24">
        <w:rPr>
          <w:rFonts w:asciiTheme="minorHAnsi" w:hAnsiTheme="minorHAnsi" w:cstheme="minorHAnsi"/>
          <w:b/>
          <w:color w:val="auto"/>
          <w:sz w:val="20"/>
        </w:rPr>
        <w:t>efficient</w:t>
      </w:r>
      <w:r w:rsidR="00521A8F" w:rsidRPr="00035C24">
        <w:rPr>
          <w:rFonts w:asciiTheme="minorHAnsi" w:hAnsiTheme="minorHAnsi" w:cstheme="minorHAnsi"/>
          <w:color w:val="auto"/>
          <w:sz w:val="20"/>
        </w:rPr>
        <w:t xml:space="preserve"> in its use of resources. It found that the program’s </w:t>
      </w:r>
      <w:r w:rsidR="00521A8F" w:rsidRPr="00035C24">
        <w:rPr>
          <w:rFonts w:asciiTheme="minorHAnsi" w:hAnsiTheme="minorHAnsi" w:cstheme="minorHAnsi"/>
          <w:b/>
          <w:color w:val="auto"/>
          <w:sz w:val="20"/>
        </w:rPr>
        <w:t>partnership approach</w:t>
      </w:r>
      <w:r w:rsidR="00521A8F" w:rsidRPr="00035C24">
        <w:rPr>
          <w:rFonts w:asciiTheme="minorHAnsi" w:hAnsiTheme="minorHAnsi" w:cstheme="minorHAnsi"/>
          <w:color w:val="auto"/>
          <w:sz w:val="20"/>
        </w:rPr>
        <w:t xml:space="preserve"> represented value for money, had established strong brand recognition within ASEAN and built relationships and trust that enabled potentially sensitive issues to be dealt with effectively. The program’s </w:t>
      </w:r>
      <w:r w:rsidR="00521A8F" w:rsidRPr="00035C24">
        <w:rPr>
          <w:rFonts w:asciiTheme="minorHAnsi" w:hAnsiTheme="minorHAnsi" w:cstheme="minorHAnsi"/>
          <w:b/>
          <w:color w:val="auto"/>
          <w:sz w:val="20"/>
        </w:rPr>
        <w:t>M&amp;E</w:t>
      </w:r>
      <w:r w:rsidR="00521A8F" w:rsidRPr="00035C24">
        <w:rPr>
          <w:rFonts w:asciiTheme="minorHAnsi" w:hAnsiTheme="minorHAnsi" w:cstheme="minorHAnsi"/>
          <w:color w:val="auto"/>
          <w:sz w:val="20"/>
        </w:rPr>
        <w:t xml:space="preserve"> systems and processes were found to be pragmatic and were recommended to be kept unchanged; however, room for improvement in incorporating </w:t>
      </w:r>
      <w:r w:rsidR="00521A8F" w:rsidRPr="00035C24">
        <w:rPr>
          <w:rFonts w:asciiTheme="minorHAnsi" w:hAnsiTheme="minorHAnsi" w:cstheme="minorHAnsi"/>
          <w:b/>
          <w:color w:val="auto"/>
          <w:sz w:val="20"/>
        </w:rPr>
        <w:t>gender and social inclusion</w:t>
      </w:r>
      <w:r w:rsidR="00521A8F" w:rsidRPr="00035C24">
        <w:rPr>
          <w:rFonts w:asciiTheme="minorHAnsi" w:hAnsiTheme="minorHAnsi" w:cstheme="minorHAnsi"/>
          <w:color w:val="auto"/>
          <w:sz w:val="20"/>
        </w:rPr>
        <w:t xml:space="preserve"> (GESI) was identified and specific recommendations made to that end.</w:t>
      </w:r>
    </w:p>
    <w:p w14:paraId="4A8CA954" w14:textId="77777777" w:rsidR="00CF2D51" w:rsidRPr="00035C24" w:rsidRDefault="00CF2D51" w:rsidP="006D7CBE">
      <w:pPr>
        <w:pStyle w:val="Bodycopy"/>
        <w:spacing w:after="0" w:line="240" w:lineRule="auto"/>
        <w:jc w:val="both"/>
        <w:rPr>
          <w:rFonts w:asciiTheme="minorHAnsi" w:hAnsiTheme="minorHAnsi" w:cstheme="minorHAnsi"/>
          <w:color w:val="auto"/>
          <w:sz w:val="20"/>
        </w:rPr>
      </w:pPr>
    </w:p>
    <w:p w14:paraId="1148E265" w14:textId="77777777" w:rsidR="002463B4" w:rsidRPr="00035C24" w:rsidRDefault="00513DE9" w:rsidP="006D7CBE">
      <w:pPr>
        <w:pStyle w:val="Bodycopy"/>
        <w:spacing w:after="0" w:line="240" w:lineRule="auto"/>
        <w:jc w:val="both"/>
        <w:rPr>
          <w:rFonts w:asciiTheme="minorHAnsi" w:hAnsiTheme="minorHAnsi" w:cstheme="minorHAnsi"/>
          <w:sz w:val="20"/>
        </w:rPr>
      </w:pPr>
      <w:r w:rsidRPr="00035C24">
        <w:rPr>
          <w:rFonts w:asciiTheme="minorHAnsi" w:hAnsiTheme="minorHAnsi" w:cstheme="minorHAnsi"/>
          <w:sz w:val="20"/>
        </w:rPr>
        <w:t xml:space="preserve">The </w:t>
      </w:r>
      <w:r w:rsidR="00AB6AB8" w:rsidRPr="00035C24">
        <w:rPr>
          <w:rFonts w:asciiTheme="minorHAnsi" w:hAnsiTheme="minorHAnsi" w:cstheme="minorHAnsi"/>
          <w:sz w:val="20"/>
        </w:rPr>
        <w:t>AADCP II</w:t>
      </w:r>
      <w:r w:rsidRPr="00035C24">
        <w:rPr>
          <w:rFonts w:asciiTheme="minorHAnsi" w:hAnsiTheme="minorHAnsi" w:cstheme="minorHAnsi"/>
          <w:sz w:val="20"/>
        </w:rPr>
        <w:t xml:space="preserve"> Review report provides</w:t>
      </w:r>
      <w:r w:rsidR="00623F3B" w:rsidRPr="00035C24">
        <w:rPr>
          <w:rFonts w:asciiTheme="minorHAnsi" w:hAnsiTheme="minorHAnsi" w:cstheme="minorHAnsi"/>
          <w:sz w:val="20"/>
        </w:rPr>
        <w:t xml:space="preserve"> </w:t>
      </w:r>
      <w:r w:rsidR="00AB6AB8" w:rsidRPr="00035C24">
        <w:rPr>
          <w:rFonts w:asciiTheme="minorHAnsi" w:hAnsiTheme="minorHAnsi" w:cstheme="minorHAnsi"/>
          <w:sz w:val="20"/>
        </w:rPr>
        <w:t>nine</w:t>
      </w:r>
      <w:r w:rsidR="00623F3B" w:rsidRPr="00035C24">
        <w:rPr>
          <w:rFonts w:asciiTheme="minorHAnsi" w:hAnsiTheme="minorHAnsi" w:cstheme="minorHAnsi"/>
          <w:sz w:val="20"/>
        </w:rPr>
        <w:t xml:space="preserve"> recommendations</w:t>
      </w:r>
      <w:r w:rsidR="00AB6AB8" w:rsidRPr="00035C24">
        <w:rPr>
          <w:rFonts w:asciiTheme="minorHAnsi" w:hAnsiTheme="minorHAnsi" w:cstheme="minorHAnsi"/>
          <w:sz w:val="20"/>
        </w:rPr>
        <w:t xml:space="preserve"> for the current program and a further ten for design of a future program of support planned to take place in 2020.</w:t>
      </w:r>
      <w:r w:rsidR="007268CF" w:rsidRPr="00035C24">
        <w:rPr>
          <w:rFonts w:asciiTheme="minorHAnsi" w:hAnsiTheme="minorHAnsi" w:cstheme="minorHAnsi"/>
          <w:sz w:val="20"/>
        </w:rPr>
        <w:t xml:space="preserve"> </w:t>
      </w:r>
    </w:p>
    <w:p w14:paraId="3421FF3B" w14:textId="77777777" w:rsidR="00513DE9" w:rsidRPr="00035C24" w:rsidRDefault="00513DE9" w:rsidP="006D7CBE">
      <w:pPr>
        <w:pStyle w:val="Bodycopy"/>
        <w:spacing w:after="0" w:line="240" w:lineRule="auto"/>
        <w:jc w:val="both"/>
        <w:rPr>
          <w:rFonts w:asciiTheme="minorHAnsi" w:hAnsiTheme="minorHAnsi" w:cstheme="minorHAnsi"/>
          <w:sz w:val="20"/>
        </w:rPr>
      </w:pPr>
    </w:p>
    <w:p w14:paraId="1749394D" w14:textId="77777777" w:rsidR="00E17BFF" w:rsidRPr="00035C24" w:rsidRDefault="002463B4" w:rsidP="006D7CBE">
      <w:pPr>
        <w:pStyle w:val="Bodycopy"/>
        <w:spacing w:after="0" w:line="240" w:lineRule="auto"/>
        <w:jc w:val="both"/>
        <w:rPr>
          <w:rFonts w:asciiTheme="minorHAnsi" w:hAnsiTheme="minorHAnsi" w:cstheme="minorHAnsi"/>
          <w:b/>
          <w:sz w:val="20"/>
        </w:rPr>
      </w:pPr>
      <w:r w:rsidRPr="00035C24">
        <w:rPr>
          <w:rFonts w:asciiTheme="minorHAnsi" w:hAnsiTheme="minorHAnsi" w:cstheme="minorHAnsi"/>
          <w:b/>
          <w:sz w:val="20"/>
        </w:rPr>
        <w:t xml:space="preserve">Summary of DFAT </w:t>
      </w:r>
      <w:r w:rsidR="00513DE9" w:rsidRPr="00035C24">
        <w:rPr>
          <w:rFonts w:asciiTheme="minorHAnsi" w:hAnsiTheme="minorHAnsi" w:cstheme="minorHAnsi"/>
          <w:b/>
          <w:sz w:val="20"/>
        </w:rPr>
        <w:t xml:space="preserve">Management </w:t>
      </w:r>
      <w:r w:rsidRPr="00035C24">
        <w:rPr>
          <w:rFonts w:asciiTheme="minorHAnsi" w:hAnsiTheme="minorHAnsi" w:cstheme="minorHAnsi"/>
          <w:b/>
          <w:sz w:val="20"/>
        </w:rPr>
        <w:t>Response</w:t>
      </w:r>
    </w:p>
    <w:p w14:paraId="6F2801A8" w14:textId="77777777" w:rsidR="006D7CBE" w:rsidRPr="00035C24" w:rsidRDefault="006D7CBE" w:rsidP="006D7CBE">
      <w:pPr>
        <w:pStyle w:val="Bodycopy"/>
        <w:spacing w:after="0" w:line="240" w:lineRule="auto"/>
        <w:jc w:val="both"/>
        <w:rPr>
          <w:rFonts w:asciiTheme="minorHAnsi" w:hAnsiTheme="minorHAnsi" w:cstheme="minorHAnsi"/>
          <w:b/>
          <w:sz w:val="20"/>
        </w:rPr>
      </w:pPr>
    </w:p>
    <w:p w14:paraId="6CD47D32" w14:textId="77777777" w:rsidR="00AD3D4C" w:rsidRPr="00035C24" w:rsidRDefault="00AD3D4C" w:rsidP="006D7CBE">
      <w:pPr>
        <w:pStyle w:val="Bodycopy"/>
        <w:spacing w:after="0" w:line="240" w:lineRule="auto"/>
        <w:jc w:val="both"/>
        <w:rPr>
          <w:rFonts w:asciiTheme="minorHAnsi" w:hAnsiTheme="minorHAnsi" w:cstheme="minorHAnsi"/>
          <w:sz w:val="20"/>
        </w:rPr>
      </w:pPr>
      <w:r w:rsidRPr="00035C24">
        <w:rPr>
          <w:rFonts w:asciiTheme="minorHAnsi" w:hAnsiTheme="minorHAnsi" w:cstheme="minorHAnsi"/>
          <w:sz w:val="20"/>
        </w:rPr>
        <w:t>DFAT welco</w:t>
      </w:r>
      <w:r w:rsidR="006C47D6" w:rsidRPr="00035C24">
        <w:rPr>
          <w:rFonts w:asciiTheme="minorHAnsi" w:hAnsiTheme="minorHAnsi" w:cstheme="minorHAnsi"/>
          <w:sz w:val="20"/>
        </w:rPr>
        <w:t xml:space="preserve">mes the findings of the review, </w:t>
      </w:r>
      <w:r w:rsidRPr="00035C24">
        <w:rPr>
          <w:rFonts w:asciiTheme="minorHAnsi" w:hAnsiTheme="minorHAnsi" w:cstheme="minorHAnsi"/>
          <w:sz w:val="20"/>
        </w:rPr>
        <w:t xml:space="preserve">which </w:t>
      </w:r>
      <w:r w:rsidR="006C47D6" w:rsidRPr="00035C24">
        <w:rPr>
          <w:rFonts w:asciiTheme="minorHAnsi" w:hAnsiTheme="minorHAnsi" w:cstheme="minorHAnsi"/>
          <w:sz w:val="20"/>
        </w:rPr>
        <w:t>was on balance</w:t>
      </w:r>
      <w:r w:rsidRPr="00035C24">
        <w:rPr>
          <w:rFonts w:asciiTheme="minorHAnsi" w:hAnsiTheme="minorHAnsi" w:cstheme="minorHAnsi"/>
          <w:sz w:val="20"/>
        </w:rPr>
        <w:t xml:space="preserve"> positive and endorsing current approaches. We welcome in particular the review’s finding that current areas of AADCP II focus</w:t>
      </w:r>
      <w:r w:rsidR="006C47D6" w:rsidRPr="00035C24">
        <w:rPr>
          <w:rFonts w:asciiTheme="minorHAnsi" w:hAnsiTheme="minorHAnsi" w:cstheme="minorHAnsi"/>
          <w:sz w:val="20"/>
        </w:rPr>
        <w:t>,</w:t>
      </w:r>
      <w:r w:rsidRPr="00035C24">
        <w:rPr>
          <w:rFonts w:asciiTheme="minorHAnsi" w:hAnsiTheme="minorHAnsi" w:cstheme="minorHAnsi"/>
          <w:sz w:val="20"/>
        </w:rPr>
        <w:t xml:space="preserve"> including</w:t>
      </w:r>
      <w:r w:rsidR="009F4B93" w:rsidRPr="00035C24">
        <w:rPr>
          <w:rFonts w:asciiTheme="minorHAnsi" w:hAnsiTheme="minorHAnsi" w:cstheme="minorHAnsi"/>
          <w:sz w:val="20"/>
        </w:rPr>
        <w:t xml:space="preserve"> strategic support to</w:t>
      </w:r>
      <w:r w:rsidRPr="00035C24">
        <w:rPr>
          <w:rFonts w:asciiTheme="minorHAnsi" w:hAnsiTheme="minorHAnsi" w:cstheme="minorHAnsi"/>
          <w:sz w:val="20"/>
        </w:rPr>
        <w:t xml:space="preserve"> </w:t>
      </w:r>
      <w:r w:rsidR="009F4B93" w:rsidRPr="00035C24">
        <w:rPr>
          <w:rFonts w:asciiTheme="minorHAnsi" w:hAnsiTheme="minorHAnsi" w:cstheme="minorHAnsi"/>
          <w:sz w:val="20"/>
        </w:rPr>
        <w:t>connectivity, energy and narrowing the development gap through support of the Initiative for ASEAN Integration (IAI)</w:t>
      </w:r>
      <w:r w:rsidR="006C47D6" w:rsidRPr="00035C24">
        <w:rPr>
          <w:rFonts w:asciiTheme="minorHAnsi" w:hAnsiTheme="minorHAnsi" w:cstheme="minorHAnsi"/>
          <w:sz w:val="20"/>
        </w:rPr>
        <w:t>,</w:t>
      </w:r>
      <w:r w:rsidR="009F4B93" w:rsidRPr="00035C24">
        <w:rPr>
          <w:rFonts w:asciiTheme="minorHAnsi" w:hAnsiTheme="minorHAnsi" w:cstheme="minorHAnsi"/>
          <w:sz w:val="20"/>
        </w:rPr>
        <w:t xml:space="preserve"> are highly relevant to both ASEAN and Australian interests. </w:t>
      </w:r>
    </w:p>
    <w:p w14:paraId="2ED3C80C" w14:textId="77777777" w:rsidR="00AD3D4C" w:rsidRPr="00035C24" w:rsidRDefault="00AD3D4C" w:rsidP="006D7CBE">
      <w:pPr>
        <w:pStyle w:val="Bodycopy"/>
        <w:spacing w:after="0" w:line="240" w:lineRule="auto"/>
        <w:jc w:val="both"/>
        <w:rPr>
          <w:rFonts w:asciiTheme="minorHAnsi" w:hAnsiTheme="minorHAnsi" w:cstheme="minorHAnsi"/>
          <w:sz w:val="20"/>
        </w:rPr>
      </w:pPr>
    </w:p>
    <w:p w14:paraId="0DAE48F5" w14:textId="77777777" w:rsidR="00AE1F4E" w:rsidRPr="00035C24" w:rsidRDefault="002A22FD" w:rsidP="002A22FD">
      <w:pPr>
        <w:pStyle w:val="Bodycopy"/>
        <w:spacing w:after="0" w:line="240" w:lineRule="auto"/>
        <w:jc w:val="both"/>
        <w:rPr>
          <w:rFonts w:asciiTheme="minorHAnsi" w:hAnsiTheme="minorHAnsi" w:cstheme="minorHAnsi"/>
          <w:sz w:val="20"/>
        </w:rPr>
      </w:pPr>
      <w:r w:rsidRPr="00035C24">
        <w:rPr>
          <w:rFonts w:asciiTheme="minorHAnsi" w:hAnsiTheme="minorHAnsi" w:cstheme="minorHAnsi"/>
          <w:sz w:val="20"/>
        </w:rPr>
        <w:t xml:space="preserve">We also welcome findings and recommendations aimed at further improving the program. Most of these recommendations </w:t>
      </w:r>
      <w:r w:rsidR="00B27815">
        <w:rPr>
          <w:rFonts w:asciiTheme="minorHAnsi" w:hAnsiTheme="minorHAnsi" w:cstheme="minorHAnsi"/>
          <w:sz w:val="20"/>
        </w:rPr>
        <w:t>were intended to</w:t>
      </w:r>
      <w:r w:rsidRPr="00035C24">
        <w:rPr>
          <w:rFonts w:asciiTheme="minorHAnsi" w:hAnsiTheme="minorHAnsi" w:cstheme="minorHAnsi"/>
          <w:sz w:val="20"/>
        </w:rPr>
        <w:t xml:space="preserve"> inform </w:t>
      </w:r>
      <w:r w:rsidR="00B27815">
        <w:rPr>
          <w:rFonts w:asciiTheme="minorHAnsi" w:hAnsiTheme="minorHAnsi" w:cstheme="minorHAnsi"/>
          <w:sz w:val="20"/>
        </w:rPr>
        <w:t xml:space="preserve">the </w:t>
      </w:r>
      <w:r w:rsidRPr="00035C24">
        <w:rPr>
          <w:rFonts w:asciiTheme="minorHAnsi" w:hAnsiTheme="minorHAnsi" w:cstheme="minorHAnsi"/>
          <w:sz w:val="20"/>
        </w:rPr>
        <w:t>design of a successor program to AADCP II, to be undertaken later this year</w:t>
      </w:r>
      <w:r w:rsidR="006C47D6" w:rsidRPr="00035C24">
        <w:rPr>
          <w:rFonts w:asciiTheme="minorHAnsi" w:hAnsiTheme="minorHAnsi" w:cstheme="minorHAnsi"/>
          <w:sz w:val="20"/>
        </w:rPr>
        <w:t>, rather than impact on current programming and approaches</w:t>
      </w:r>
      <w:r w:rsidRPr="00035C24">
        <w:rPr>
          <w:rFonts w:asciiTheme="minorHAnsi" w:hAnsiTheme="minorHAnsi" w:cstheme="minorHAnsi"/>
          <w:sz w:val="20"/>
        </w:rPr>
        <w:t xml:space="preserve">. </w:t>
      </w:r>
      <w:r w:rsidR="006C47D6" w:rsidRPr="00035C24">
        <w:rPr>
          <w:rFonts w:asciiTheme="minorHAnsi" w:hAnsiTheme="minorHAnsi" w:cstheme="minorHAnsi"/>
          <w:sz w:val="20"/>
        </w:rPr>
        <w:t>The review offered a</w:t>
      </w:r>
      <w:r w:rsidRPr="00035C24">
        <w:rPr>
          <w:rFonts w:asciiTheme="minorHAnsi" w:hAnsiTheme="minorHAnsi" w:cstheme="minorHAnsi"/>
          <w:sz w:val="20"/>
        </w:rPr>
        <w:t xml:space="preserve"> smaller number</w:t>
      </w:r>
      <w:r w:rsidR="006C47D6" w:rsidRPr="00035C24">
        <w:rPr>
          <w:rFonts w:asciiTheme="minorHAnsi" w:hAnsiTheme="minorHAnsi" w:cstheme="minorHAnsi"/>
          <w:sz w:val="20"/>
        </w:rPr>
        <w:t xml:space="preserve"> of recommendations</w:t>
      </w:r>
      <w:r w:rsidRPr="00035C24">
        <w:rPr>
          <w:rFonts w:asciiTheme="minorHAnsi" w:hAnsiTheme="minorHAnsi" w:cstheme="minorHAnsi"/>
          <w:sz w:val="20"/>
        </w:rPr>
        <w:t xml:space="preserve"> for the current program</w:t>
      </w:r>
      <w:r w:rsidR="006C47D6" w:rsidRPr="00035C24">
        <w:rPr>
          <w:rFonts w:asciiTheme="minorHAnsi" w:hAnsiTheme="minorHAnsi" w:cstheme="minorHAnsi"/>
          <w:sz w:val="20"/>
        </w:rPr>
        <w:t xml:space="preserve">, covering </w:t>
      </w:r>
      <w:r w:rsidRPr="00035C24">
        <w:rPr>
          <w:rFonts w:asciiTheme="minorHAnsi" w:hAnsiTheme="minorHAnsi" w:cstheme="minorHAnsi"/>
          <w:sz w:val="20"/>
        </w:rPr>
        <w:t>a number of aspects of program implementation</w:t>
      </w:r>
      <w:r w:rsidR="006C47D6" w:rsidRPr="00035C24">
        <w:rPr>
          <w:rFonts w:asciiTheme="minorHAnsi" w:hAnsiTheme="minorHAnsi" w:cstheme="minorHAnsi"/>
          <w:sz w:val="20"/>
        </w:rPr>
        <w:t xml:space="preserve">. Of </w:t>
      </w:r>
      <w:r w:rsidRPr="00035C24">
        <w:rPr>
          <w:rFonts w:asciiTheme="minorHAnsi" w:hAnsiTheme="minorHAnsi" w:cstheme="minorHAnsi"/>
          <w:sz w:val="20"/>
        </w:rPr>
        <w:t>most relevance are those relating to better incorporation of GESI into project design and implementation and clarifying the respective roles of ASEC and program staff in the design and implementation of projects. As the following table sets out, DFAT agrees wholly or in part with all of the recommendations and where appropriate is already working to give them effect.</w:t>
      </w:r>
    </w:p>
    <w:p w14:paraId="72319540" w14:textId="77777777" w:rsidR="00AE1F4E" w:rsidRPr="00035C24" w:rsidRDefault="00AE1F4E" w:rsidP="00344FE7">
      <w:pPr>
        <w:pStyle w:val="Bodycopy"/>
        <w:spacing w:before="120" w:after="0" w:line="240" w:lineRule="auto"/>
        <w:jc w:val="both"/>
        <w:rPr>
          <w:rFonts w:asciiTheme="minorHAnsi" w:hAnsiTheme="minorHAnsi" w:cstheme="minorHAnsi"/>
          <w:sz w:val="20"/>
        </w:rPr>
      </w:pPr>
    </w:p>
    <w:p w14:paraId="7337A591" w14:textId="77777777" w:rsidR="00AE1F4E" w:rsidRPr="00035C24" w:rsidRDefault="00AE1F4E" w:rsidP="00344FE7">
      <w:pPr>
        <w:pStyle w:val="Bodycopy"/>
        <w:spacing w:before="120" w:after="0" w:line="240" w:lineRule="auto"/>
        <w:jc w:val="both"/>
        <w:rPr>
          <w:rFonts w:asciiTheme="minorHAnsi" w:hAnsiTheme="minorHAnsi" w:cstheme="minorHAnsi"/>
          <w:sz w:val="20"/>
        </w:rPr>
      </w:pPr>
    </w:p>
    <w:p w14:paraId="38D7AC7A" w14:textId="77777777" w:rsidR="00B50EB1" w:rsidRPr="00035C24" w:rsidRDefault="00B50EB1" w:rsidP="00344FE7">
      <w:pPr>
        <w:pStyle w:val="Bodycopy"/>
        <w:spacing w:before="120" w:after="0" w:line="240" w:lineRule="auto"/>
        <w:jc w:val="both"/>
        <w:rPr>
          <w:rFonts w:asciiTheme="minorHAnsi" w:hAnsiTheme="minorHAnsi" w:cstheme="minorHAnsi"/>
          <w:sz w:val="20"/>
        </w:rPr>
        <w:sectPr w:rsidR="00B50EB1" w:rsidRPr="00035C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tbl>
      <w:tblPr>
        <w:tblStyle w:val="DFATTable1"/>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134"/>
        <w:gridCol w:w="3118"/>
        <w:gridCol w:w="3260"/>
        <w:gridCol w:w="1560"/>
      </w:tblGrid>
      <w:tr w:rsidR="00FF6F25" w:rsidRPr="00035C24" w14:paraId="2D7AE55D" w14:textId="77777777" w:rsidTr="00B92153">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3823" w:type="dxa"/>
            <w:vAlign w:val="center"/>
            <w:hideMark/>
          </w:tcPr>
          <w:p w14:paraId="4500A773" w14:textId="77777777" w:rsidR="00FF6F25" w:rsidRPr="00035C24" w:rsidRDefault="00FF6F25" w:rsidP="00E86AF9">
            <w:pPr>
              <w:suppressAutoHyphens/>
              <w:spacing w:before="0" w:after="0" w:line="240" w:lineRule="auto"/>
              <w:rPr>
                <w:rFonts w:asciiTheme="minorHAnsi" w:hAnsiTheme="minorHAnsi" w:cstheme="minorHAnsi"/>
                <w:b/>
                <w:color w:val="000000" w:themeColor="text1"/>
                <w:sz w:val="18"/>
                <w:szCs w:val="18"/>
                <w:lang w:val="en-GB"/>
              </w:rPr>
            </w:pPr>
            <w:r w:rsidRPr="00035C24">
              <w:rPr>
                <w:rFonts w:asciiTheme="minorHAnsi" w:hAnsiTheme="minorHAnsi" w:cstheme="minorHAnsi"/>
                <w:b/>
                <w:color w:val="000000" w:themeColor="text1"/>
                <w:sz w:val="18"/>
                <w:szCs w:val="18"/>
                <w:lang w:val="en-GB"/>
              </w:rPr>
              <w:lastRenderedPageBreak/>
              <w:t>Key Recommendations</w:t>
            </w:r>
          </w:p>
        </w:tc>
        <w:tc>
          <w:tcPr>
            <w:tcW w:w="1134" w:type="dxa"/>
            <w:tcBorders>
              <w:bottom w:val="single" w:sz="4" w:space="0" w:color="auto"/>
            </w:tcBorders>
            <w:vAlign w:val="center"/>
            <w:hideMark/>
          </w:tcPr>
          <w:p w14:paraId="4524CC88" w14:textId="77777777" w:rsidR="00FF6F25" w:rsidRPr="00035C24" w:rsidRDefault="00FF6F25" w:rsidP="00E86AF9">
            <w:pPr>
              <w:suppressAutoHyphens/>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8"/>
                <w:szCs w:val="18"/>
                <w:lang w:val="en-GB"/>
              </w:rPr>
            </w:pPr>
            <w:r w:rsidRPr="00035C24">
              <w:rPr>
                <w:rFonts w:asciiTheme="minorHAnsi" w:hAnsiTheme="minorHAnsi" w:cstheme="minorHAnsi"/>
                <w:b/>
                <w:color w:val="000000" w:themeColor="text1"/>
                <w:sz w:val="18"/>
                <w:szCs w:val="18"/>
                <w:lang w:val="en-GB"/>
              </w:rPr>
              <w:t>Response</w:t>
            </w:r>
          </w:p>
        </w:tc>
        <w:tc>
          <w:tcPr>
            <w:tcW w:w="3118" w:type="dxa"/>
            <w:tcBorders>
              <w:bottom w:val="single" w:sz="4" w:space="0" w:color="auto"/>
            </w:tcBorders>
            <w:vAlign w:val="center"/>
            <w:hideMark/>
          </w:tcPr>
          <w:p w14:paraId="2FC74A82" w14:textId="77777777" w:rsidR="00FF6F25" w:rsidRPr="00035C24" w:rsidRDefault="00FF6F25" w:rsidP="00E86AF9">
            <w:pPr>
              <w:suppressAutoHyphens/>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8"/>
                <w:szCs w:val="18"/>
                <w:lang w:val="en-GB"/>
              </w:rPr>
            </w:pPr>
            <w:r w:rsidRPr="00035C24">
              <w:rPr>
                <w:rFonts w:asciiTheme="minorHAnsi" w:hAnsiTheme="minorHAnsi" w:cstheme="minorHAnsi"/>
                <w:b/>
                <w:color w:val="000000" w:themeColor="text1"/>
                <w:sz w:val="18"/>
                <w:szCs w:val="18"/>
                <w:lang w:val="en-GB"/>
              </w:rPr>
              <w:t>Explanation</w:t>
            </w:r>
          </w:p>
        </w:tc>
        <w:tc>
          <w:tcPr>
            <w:tcW w:w="3260" w:type="dxa"/>
            <w:tcBorders>
              <w:bottom w:val="single" w:sz="4" w:space="0" w:color="auto"/>
            </w:tcBorders>
            <w:vAlign w:val="center"/>
            <w:hideMark/>
          </w:tcPr>
          <w:p w14:paraId="0B82338C" w14:textId="77777777" w:rsidR="00FF6F25" w:rsidRPr="00035C24" w:rsidRDefault="00FF6F25" w:rsidP="00E86AF9">
            <w:pPr>
              <w:suppressAutoHyphens/>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8"/>
                <w:szCs w:val="18"/>
                <w:lang w:val="en-GB"/>
              </w:rPr>
            </w:pPr>
            <w:r w:rsidRPr="00035C24">
              <w:rPr>
                <w:rFonts w:asciiTheme="minorHAnsi" w:hAnsiTheme="minorHAnsi" w:cstheme="minorHAnsi"/>
                <w:b/>
                <w:color w:val="000000" w:themeColor="text1"/>
                <w:sz w:val="18"/>
                <w:szCs w:val="18"/>
                <w:lang w:val="en-GB"/>
              </w:rPr>
              <w:t>Action plan</w:t>
            </w:r>
          </w:p>
        </w:tc>
        <w:tc>
          <w:tcPr>
            <w:tcW w:w="1560" w:type="dxa"/>
            <w:tcBorders>
              <w:bottom w:val="single" w:sz="4" w:space="0" w:color="auto"/>
            </w:tcBorders>
            <w:vAlign w:val="center"/>
            <w:hideMark/>
          </w:tcPr>
          <w:p w14:paraId="1D003EEE" w14:textId="77777777" w:rsidR="00FF6F25" w:rsidRPr="00035C24" w:rsidRDefault="00FF6F25" w:rsidP="00E86AF9">
            <w:pPr>
              <w:suppressAutoHyphens/>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8"/>
                <w:szCs w:val="18"/>
                <w:lang w:val="en-GB"/>
              </w:rPr>
            </w:pPr>
            <w:r w:rsidRPr="00035C24">
              <w:rPr>
                <w:rFonts w:asciiTheme="minorHAnsi" w:hAnsiTheme="minorHAnsi" w:cstheme="minorHAnsi"/>
                <w:b/>
                <w:color w:val="000000" w:themeColor="text1"/>
                <w:sz w:val="18"/>
                <w:szCs w:val="18"/>
                <w:lang w:val="en-GB"/>
              </w:rPr>
              <w:t>Time-frame</w:t>
            </w:r>
          </w:p>
        </w:tc>
      </w:tr>
      <w:tr w:rsidR="00024CD1" w:rsidRPr="00035C24" w14:paraId="34E3903C" w14:textId="77777777" w:rsidTr="000D1852">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2895" w:type="dxa"/>
            <w:gridSpan w:val="5"/>
            <w:vAlign w:val="center"/>
          </w:tcPr>
          <w:p w14:paraId="5EBDDD67" w14:textId="77777777" w:rsidR="00024CD1" w:rsidRPr="00035C24" w:rsidRDefault="00024CD1" w:rsidP="00024CD1">
            <w:pPr>
              <w:suppressAutoHyphens/>
              <w:spacing w:before="0" w:after="0" w:line="240" w:lineRule="auto"/>
              <w:rPr>
                <w:rFonts w:asciiTheme="minorHAnsi" w:hAnsiTheme="minorHAnsi" w:cstheme="minorHAnsi"/>
                <w:b/>
                <w:color w:val="auto"/>
                <w:sz w:val="18"/>
                <w:szCs w:val="18"/>
                <w:lang w:val="en-GB"/>
              </w:rPr>
            </w:pPr>
            <w:r w:rsidRPr="00035C24">
              <w:rPr>
                <w:rFonts w:asciiTheme="minorHAnsi" w:hAnsiTheme="minorHAnsi" w:cstheme="minorHAnsi"/>
                <w:b/>
                <w:color w:val="auto"/>
                <w:sz w:val="18"/>
                <w:szCs w:val="18"/>
                <w:lang w:val="en-GB"/>
              </w:rPr>
              <w:t>Sustain momentum</w:t>
            </w:r>
          </w:p>
        </w:tc>
      </w:tr>
      <w:tr w:rsidR="00FF6F25" w:rsidRPr="00035C24" w14:paraId="79BCF321" w14:textId="77777777" w:rsidTr="00B92153">
        <w:trPr>
          <w:cnfStyle w:val="000000010000" w:firstRow="0" w:lastRow="0" w:firstColumn="0" w:lastColumn="0" w:oddVBand="0" w:evenVBand="0" w:oddHBand="0" w:evenHBand="1" w:firstRowFirstColumn="0" w:firstRowLastColumn="0" w:lastRowFirstColumn="0" w:lastRowLastColumn="0"/>
          <w:trHeight w:val="1021"/>
        </w:trPr>
        <w:tc>
          <w:tcPr>
            <w:cnfStyle w:val="001000000000" w:firstRow="0" w:lastRow="0" w:firstColumn="1" w:lastColumn="0" w:oddVBand="0" w:evenVBand="0" w:oddHBand="0" w:evenHBand="0" w:firstRowFirstColumn="0" w:firstRowLastColumn="0" w:lastRowFirstColumn="0" w:lastRowLastColumn="0"/>
            <w:tcW w:w="3823" w:type="dxa"/>
          </w:tcPr>
          <w:p w14:paraId="19212325" w14:textId="77777777" w:rsidR="00FF6F25" w:rsidRPr="00035C24" w:rsidRDefault="00024CD1" w:rsidP="000D1852">
            <w:pPr>
              <w:suppressAutoHyphens/>
              <w:spacing w:after="0" w:line="240" w:lineRule="auto"/>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1</w:t>
            </w:r>
            <w:r w:rsidR="00A01E00" w:rsidRPr="00035C24">
              <w:rPr>
                <w:rFonts w:asciiTheme="minorHAnsi" w:hAnsiTheme="minorHAnsi" w:cstheme="minorHAnsi"/>
                <w:color w:val="auto"/>
                <w:sz w:val="18"/>
                <w:szCs w:val="18"/>
                <w:lang w:val="en-GB"/>
              </w:rPr>
              <w:t xml:space="preserve">. </w:t>
            </w:r>
            <w:r w:rsidR="00CF2D51" w:rsidRPr="00035C24">
              <w:rPr>
                <w:rFonts w:asciiTheme="minorHAnsi" w:hAnsiTheme="minorHAnsi" w:cstheme="minorHAnsi"/>
                <w:color w:val="auto"/>
                <w:sz w:val="18"/>
                <w:szCs w:val="18"/>
                <w:lang w:val="en-GB"/>
              </w:rPr>
              <w:t xml:space="preserve">DFAT should work with the PMT and ASEC to minimise disruption to the strong partnerships and momentum in the transition to follow-up support. </w:t>
            </w:r>
          </w:p>
        </w:tc>
        <w:tc>
          <w:tcPr>
            <w:tcW w:w="1134" w:type="dxa"/>
            <w:shd w:val="clear" w:color="auto" w:fill="70AD47" w:themeFill="accent6"/>
          </w:tcPr>
          <w:p w14:paraId="274DF1A6" w14:textId="77777777" w:rsidR="00FF6F25" w:rsidRPr="00035C24" w:rsidRDefault="00A01E00" w:rsidP="00E86AF9">
            <w:pPr>
              <w:keepNext/>
              <w:keepLines/>
              <w:suppressAutoHyphens/>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cstheme="minorHAnsi"/>
                <w:bCs/>
                <w:color w:val="auto"/>
                <w:sz w:val="18"/>
                <w:szCs w:val="18"/>
              </w:rPr>
            </w:pPr>
            <w:r w:rsidRPr="00035C24">
              <w:rPr>
                <w:rFonts w:asciiTheme="minorHAnsi" w:eastAsiaTheme="majorEastAsia" w:hAnsiTheme="minorHAnsi" w:cstheme="minorHAnsi"/>
                <w:bCs/>
                <w:color w:val="auto"/>
                <w:sz w:val="18"/>
                <w:szCs w:val="18"/>
              </w:rPr>
              <w:t>Agree</w:t>
            </w:r>
          </w:p>
        </w:tc>
        <w:tc>
          <w:tcPr>
            <w:tcW w:w="3118" w:type="dxa"/>
            <w:shd w:val="clear" w:color="auto" w:fill="D9D9D9" w:themeFill="background1" w:themeFillShade="D9"/>
          </w:tcPr>
          <w:p w14:paraId="743C3169" w14:textId="77777777" w:rsidR="00FF6F25" w:rsidRPr="00035C24" w:rsidRDefault="00B92153" w:rsidP="00E86AF9">
            <w:pPr>
              <w:suppressAutoHyphens/>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 xml:space="preserve">AADCP II will end in December 2021. </w:t>
            </w:r>
            <w:r w:rsidR="00007758" w:rsidRPr="00035C24">
              <w:rPr>
                <w:rFonts w:asciiTheme="minorHAnsi" w:hAnsiTheme="minorHAnsi" w:cstheme="minorHAnsi"/>
                <w:color w:val="auto"/>
                <w:sz w:val="18"/>
                <w:szCs w:val="18"/>
                <w:lang w:val="en-GB"/>
              </w:rPr>
              <w:t xml:space="preserve">This raises two key issues: i) the need to design projects in a phased way so that there is a natural break point before AADCP II ends, with a mechanism in place for work to be carried forward under the successor program; and ii) </w:t>
            </w:r>
            <w:r w:rsidRPr="00035C24">
              <w:rPr>
                <w:rFonts w:asciiTheme="minorHAnsi" w:hAnsiTheme="minorHAnsi" w:cstheme="minorHAnsi"/>
                <w:color w:val="auto"/>
                <w:sz w:val="18"/>
                <w:szCs w:val="18"/>
                <w:lang w:val="en-GB"/>
              </w:rPr>
              <w:t>Strong forward programming means AADCP II already has a pipeline of projects which, if fully realised, will lead to the program spending its full approved allocation of $57m. This limits the capacity of the program to identify and support new projects without exceeding its allocated budget.</w:t>
            </w:r>
          </w:p>
        </w:tc>
        <w:tc>
          <w:tcPr>
            <w:tcW w:w="3260" w:type="dxa"/>
            <w:shd w:val="clear" w:color="auto" w:fill="D9D9D9" w:themeFill="background1" w:themeFillShade="D9"/>
          </w:tcPr>
          <w:p w14:paraId="44408D9E" w14:textId="77777777" w:rsidR="00007758" w:rsidRPr="00035C24" w:rsidRDefault="00007758" w:rsidP="00E86AF9">
            <w:pPr>
              <w:suppressAutoHyphens/>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 xml:space="preserve">i) </w:t>
            </w:r>
            <w:r w:rsidR="00D92242">
              <w:rPr>
                <w:rFonts w:asciiTheme="minorHAnsi" w:hAnsiTheme="minorHAnsi" w:cstheme="minorHAnsi"/>
                <w:color w:val="auto"/>
                <w:sz w:val="18"/>
                <w:szCs w:val="18"/>
                <w:lang w:val="en-GB"/>
              </w:rPr>
              <w:t>Program Planning and Monitoring Support Unit (</w:t>
            </w:r>
            <w:r w:rsidR="00107A3A">
              <w:rPr>
                <w:rFonts w:asciiTheme="minorHAnsi" w:hAnsiTheme="minorHAnsi" w:cstheme="minorHAnsi"/>
                <w:color w:val="auto"/>
                <w:sz w:val="18"/>
                <w:szCs w:val="18"/>
                <w:lang w:val="en-GB"/>
              </w:rPr>
              <w:t>PPMSU</w:t>
            </w:r>
            <w:r w:rsidR="00D92242">
              <w:rPr>
                <w:rFonts w:asciiTheme="minorHAnsi" w:hAnsiTheme="minorHAnsi" w:cstheme="minorHAnsi"/>
                <w:color w:val="auto"/>
                <w:sz w:val="18"/>
                <w:szCs w:val="18"/>
                <w:lang w:val="en-GB"/>
              </w:rPr>
              <w:t>)</w:t>
            </w:r>
            <w:r w:rsidRPr="00035C24">
              <w:rPr>
                <w:rFonts w:asciiTheme="minorHAnsi" w:hAnsiTheme="minorHAnsi" w:cstheme="minorHAnsi"/>
                <w:color w:val="auto"/>
                <w:sz w:val="18"/>
                <w:szCs w:val="18"/>
                <w:lang w:val="en-GB"/>
              </w:rPr>
              <w:t xml:space="preserve"> </w:t>
            </w:r>
            <w:r w:rsidR="00620DF4">
              <w:rPr>
                <w:rFonts w:asciiTheme="minorHAnsi" w:hAnsiTheme="minorHAnsi" w:cstheme="minorHAnsi"/>
                <w:color w:val="auto"/>
                <w:sz w:val="18"/>
                <w:szCs w:val="18"/>
                <w:lang w:val="en-GB"/>
              </w:rPr>
              <w:t xml:space="preserve">will continue </w:t>
            </w:r>
            <w:r w:rsidRPr="00035C24">
              <w:rPr>
                <w:rFonts w:asciiTheme="minorHAnsi" w:hAnsiTheme="minorHAnsi" w:cstheme="minorHAnsi"/>
                <w:color w:val="auto"/>
                <w:sz w:val="18"/>
                <w:szCs w:val="18"/>
                <w:lang w:val="en-GB"/>
              </w:rPr>
              <w:t>structuring new project proposals with the program’s end date in mind</w:t>
            </w:r>
            <w:r w:rsidR="0061538B" w:rsidRPr="00035C24">
              <w:rPr>
                <w:rFonts w:asciiTheme="minorHAnsi" w:hAnsiTheme="minorHAnsi" w:cstheme="minorHAnsi"/>
                <w:color w:val="auto"/>
                <w:sz w:val="18"/>
                <w:szCs w:val="18"/>
                <w:lang w:val="en-GB"/>
              </w:rPr>
              <w:t>, and discussing what could be done under the new program to take project agendas forward</w:t>
            </w:r>
            <w:r w:rsidRPr="00035C24">
              <w:rPr>
                <w:rFonts w:asciiTheme="minorHAnsi" w:hAnsiTheme="minorHAnsi" w:cstheme="minorHAnsi"/>
                <w:color w:val="auto"/>
                <w:sz w:val="18"/>
                <w:szCs w:val="18"/>
                <w:lang w:val="en-GB"/>
              </w:rPr>
              <w:t>.</w:t>
            </w:r>
          </w:p>
          <w:p w14:paraId="7B85C5A1" w14:textId="77777777" w:rsidR="00007758" w:rsidRPr="00035C24" w:rsidRDefault="00007758" w:rsidP="00E86AF9">
            <w:pPr>
              <w:suppressAutoHyphens/>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18"/>
                <w:szCs w:val="18"/>
                <w:lang w:val="en-GB"/>
              </w:rPr>
            </w:pPr>
          </w:p>
          <w:p w14:paraId="55FBAC85" w14:textId="068FD28D" w:rsidR="00FF6F25" w:rsidRPr="00035C24" w:rsidRDefault="00007758" w:rsidP="00181310">
            <w:pPr>
              <w:suppressAutoHyphens/>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en-GB"/>
              </w:rPr>
            </w:pPr>
            <w:r w:rsidRPr="00035C24">
              <w:rPr>
                <w:rFonts w:asciiTheme="minorHAnsi" w:hAnsiTheme="minorHAnsi" w:cstheme="minorHAnsi"/>
                <w:color w:val="auto"/>
                <w:sz w:val="18"/>
                <w:szCs w:val="18"/>
                <w:lang w:val="en-GB"/>
              </w:rPr>
              <w:t xml:space="preserve">ii) </w:t>
            </w:r>
            <w:r w:rsidR="00FE3EA8" w:rsidRPr="00035C24">
              <w:rPr>
                <w:rFonts w:asciiTheme="minorHAnsi" w:hAnsiTheme="minorHAnsi" w:cstheme="minorHAnsi"/>
                <w:color w:val="auto"/>
                <w:sz w:val="18"/>
                <w:szCs w:val="18"/>
                <w:lang w:val="en-GB"/>
              </w:rPr>
              <w:t xml:space="preserve">DFAT ASEAN Mission and </w:t>
            </w:r>
            <w:r w:rsidR="00620DF4">
              <w:rPr>
                <w:rFonts w:asciiTheme="minorHAnsi" w:hAnsiTheme="minorHAnsi" w:cstheme="minorHAnsi"/>
                <w:color w:val="auto"/>
                <w:sz w:val="18"/>
                <w:szCs w:val="18"/>
                <w:lang w:val="en-GB"/>
              </w:rPr>
              <w:t xml:space="preserve">ASEAN </w:t>
            </w:r>
            <w:r w:rsidR="0015592A">
              <w:rPr>
                <w:rFonts w:asciiTheme="minorHAnsi" w:hAnsiTheme="minorHAnsi" w:cstheme="minorHAnsi"/>
                <w:color w:val="auto"/>
                <w:sz w:val="18"/>
                <w:szCs w:val="18"/>
                <w:lang w:val="en-GB"/>
              </w:rPr>
              <w:t xml:space="preserve">and </w:t>
            </w:r>
            <w:r w:rsidR="00620DF4">
              <w:rPr>
                <w:rFonts w:asciiTheme="minorHAnsi" w:hAnsiTheme="minorHAnsi" w:cstheme="minorHAnsi"/>
                <w:color w:val="auto"/>
                <w:sz w:val="18"/>
                <w:szCs w:val="18"/>
                <w:lang w:val="en-GB"/>
              </w:rPr>
              <w:t xml:space="preserve">Regional </w:t>
            </w:r>
            <w:r w:rsidR="0015592A">
              <w:rPr>
                <w:rFonts w:asciiTheme="minorHAnsi" w:hAnsiTheme="minorHAnsi" w:cstheme="minorHAnsi"/>
                <w:color w:val="auto"/>
                <w:sz w:val="18"/>
                <w:szCs w:val="18"/>
                <w:lang w:val="en-GB"/>
              </w:rPr>
              <w:t xml:space="preserve">Programs </w:t>
            </w:r>
            <w:r w:rsidR="00620DF4">
              <w:rPr>
                <w:rFonts w:asciiTheme="minorHAnsi" w:hAnsiTheme="minorHAnsi" w:cstheme="minorHAnsi"/>
                <w:color w:val="auto"/>
                <w:sz w:val="18"/>
                <w:szCs w:val="18"/>
                <w:lang w:val="en-GB"/>
              </w:rPr>
              <w:t>Section (</w:t>
            </w:r>
            <w:r w:rsidR="00FE3EA8" w:rsidRPr="00035C24">
              <w:rPr>
                <w:rFonts w:asciiTheme="minorHAnsi" w:hAnsiTheme="minorHAnsi" w:cstheme="minorHAnsi"/>
                <w:color w:val="auto"/>
                <w:sz w:val="18"/>
                <w:szCs w:val="18"/>
                <w:lang w:val="en-GB"/>
              </w:rPr>
              <w:t>ARS</w:t>
            </w:r>
            <w:r w:rsidR="00620DF4">
              <w:rPr>
                <w:rFonts w:asciiTheme="minorHAnsi" w:hAnsiTheme="minorHAnsi" w:cstheme="minorHAnsi"/>
                <w:color w:val="auto"/>
                <w:sz w:val="18"/>
                <w:szCs w:val="18"/>
                <w:lang w:val="en-GB"/>
              </w:rPr>
              <w:t>)</w:t>
            </w:r>
            <w:r w:rsidR="00FE3EA8" w:rsidRPr="00035C24">
              <w:rPr>
                <w:rFonts w:asciiTheme="minorHAnsi" w:hAnsiTheme="minorHAnsi" w:cstheme="minorHAnsi"/>
                <w:color w:val="auto"/>
                <w:sz w:val="18"/>
                <w:szCs w:val="18"/>
                <w:lang w:val="en-GB"/>
              </w:rPr>
              <w:t xml:space="preserve"> are as a priority working to </w:t>
            </w:r>
            <w:r w:rsidR="00B20950" w:rsidRPr="00035C24">
              <w:rPr>
                <w:rFonts w:asciiTheme="minorHAnsi" w:hAnsiTheme="minorHAnsi" w:cstheme="minorHAnsi"/>
                <w:color w:val="auto"/>
                <w:sz w:val="18"/>
                <w:szCs w:val="18"/>
                <w:lang w:val="en-GB"/>
              </w:rPr>
              <w:t xml:space="preserve">identify other regional programs that may be able to support projects that would otherwise go to AADCP II once AADCP II reaches its approved budgetary limits. </w:t>
            </w:r>
          </w:p>
        </w:tc>
        <w:tc>
          <w:tcPr>
            <w:tcW w:w="1560" w:type="dxa"/>
            <w:shd w:val="clear" w:color="auto" w:fill="D9D9D9" w:themeFill="background1" w:themeFillShade="D9"/>
          </w:tcPr>
          <w:p w14:paraId="33164E0C" w14:textId="77777777" w:rsidR="00FF6F25" w:rsidRPr="00035C24" w:rsidRDefault="00FE3EA8" w:rsidP="00E86AF9">
            <w:pPr>
              <w:suppressAutoHyphens/>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Ongoing</w:t>
            </w:r>
          </w:p>
        </w:tc>
      </w:tr>
      <w:tr w:rsidR="00FF6F25" w:rsidRPr="00035C24" w14:paraId="64F96DD3" w14:textId="77777777" w:rsidTr="00B92153">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823" w:type="dxa"/>
          </w:tcPr>
          <w:p w14:paraId="60C831D9" w14:textId="77777777" w:rsidR="00FF6F25" w:rsidRPr="00035C24" w:rsidRDefault="00024CD1" w:rsidP="00E86AF9">
            <w:pPr>
              <w:suppressAutoHyphens/>
              <w:spacing w:before="0" w:after="0" w:line="240" w:lineRule="auto"/>
              <w:rPr>
                <w:rFonts w:asciiTheme="minorHAnsi" w:hAnsiTheme="minorHAnsi" w:cstheme="minorHAnsi"/>
                <w:color w:val="auto"/>
                <w:sz w:val="18"/>
                <w:szCs w:val="18"/>
                <w:lang w:val="en-GB"/>
              </w:rPr>
            </w:pPr>
            <w:r w:rsidRPr="00035C24">
              <w:rPr>
                <w:rFonts w:asciiTheme="minorHAnsi" w:hAnsiTheme="minorHAnsi" w:cstheme="minorHAnsi"/>
                <w:iCs/>
                <w:color w:val="auto"/>
                <w:sz w:val="18"/>
                <w:szCs w:val="18"/>
                <w:lang w:val="en-GB"/>
              </w:rPr>
              <w:t>2</w:t>
            </w:r>
            <w:r w:rsidR="00A01E00" w:rsidRPr="00035C24">
              <w:rPr>
                <w:rFonts w:asciiTheme="minorHAnsi" w:hAnsiTheme="minorHAnsi" w:cstheme="minorHAnsi"/>
                <w:iCs/>
                <w:color w:val="auto"/>
                <w:sz w:val="18"/>
                <w:szCs w:val="18"/>
                <w:lang w:val="en-GB"/>
              </w:rPr>
              <w:t xml:space="preserve">. </w:t>
            </w:r>
            <w:r w:rsidR="00CF2D51" w:rsidRPr="00035C24">
              <w:rPr>
                <w:rFonts w:asciiTheme="minorHAnsi" w:hAnsiTheme="minorHAnsi" w:cstheme="minorHAnsi"/>
                <w:iCs/>
                <w:color w:val="auto"/>
                <w:sz w:val="18"/>
                <w:szCs w:val="18"/>
                <w:lang w:val="en-GB"/>
              </w:rPr>
              <w:t>PMT to continue engaging with ASEC officials to assess needs to develop project proposals</w:t>
            </w:r>
            <w:r w:rsidR="000D1852" w:rsidRPr="00035C24">
              <w:rPr>
                <w:rFonts w:asciiTheme="minorHAnsi" w:hAnsiTheme="minorHAnsi" w:cstheme="minorHAnsi"/>
                <w:iCs/>
                <w:color w:val="auto"/>
                <w:sz w:val="18"/>
                <w:szCs w:val="18"/>
                <w:lang w:val="en-GB"/>
              </w:rPr>
              <w:t>.</w:t>
            </w:r>
          </w:p>
        </w:tc>
        <w:tc>
          <w:tcPr>
            <w:tcW w:w="1134" w:type="dxa"/>
            <w:shd w:val="clear" w:color="auto" w:fill="70AD47" w:themeFill="accent6"/>
          </w:tcPr>
          <w:p w14:paraId="7B2D2B38" w14:textId="77777777" w:rsidR="00A01E00" w:rsidRPr="00035C24" w:rsidRDefault="00A01E00" w:rsidP="00E86AF9">
            <w:pPr>
              <w:keepNext/>
              <w:keepLines/>
              <w:suppressAutoHyphens/>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bCs/>
                <w:color w:val="auto"/>
                <w:sz w:val="18"/>
                <w:szCs w:val="18"/>
              </w:rPr>
            </w:pPr>
            <w:r w:rsidRPr="00035C24">
              <w:rPr>
                <w:rFonts w:asciiTheme="minorHAnsi" w:eastAsiaTheme="majorEastAsia" w:hAnsiTheme="minorHAnsi" w:cstheme="minorHAnsi"/>
                <w:bCs/>
                <w:color w:val="auto"/>
                <w:sz w:val="18"/>
                <w:szCs w:val="18"/>
              </w:rPr>
              <w:t>Agree</w:t>
            </w:r>
          </w:p>
          <w:p w14:paraId="0EDFF7EF" w14:textId="77777777" w:rsidR="00FF6F25" w:rsidRPr="00035C24" w:rsidRDefault="00FF6F25" w:rsidP="00E86AF9">
            <w:pPr>
              <w:keepNext/>
              <w:keepLines/>
              <w:suppressAutoHyphens/>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bCs/>
                <w:sz w:val="18"/>
                <w:szCs w:val="18"/>
              </w:rPr>
            </w:pPr>
          </w:p>
        </w:tc>
        <w:tc>
          <w:tcPr>
            <w:tcW w:w="3118" w:type="dxa"/>
            <w:shd w:val="clear" w:color="auto" w:fill="D9D9D9" w:themeFill="background1" w:themeFillShade="D9"/>
          </w:tcPr>
          <w:p w14:paraId="41375794" w14:textId="77777777" w:rsidR="00FF6F25" w:rsidRPr="00035C24" w:rsidRDefault="004E1EAD" w:rsidP="00D4504E">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 xml:space="preserve">To </w:t>
            </w:r>
            <w:r w:rsidR="00D4504E" w:rsidRPr="00035C24">
              <w:rPr>
                <w:rFonts w:asciiTheme="minorHAnsi" w:hAnsiTheme="minorHAnsi" w:cstheme="minorHAnsi"/>
                <w:color w:val="auto"/>
                <w:sz w:val="18"/>
                <w:szCs w:val="18"/>
                <w:lang w:val="en-GB"/>
              </w:rPr>
              <w:t xml:space="preserve">sustain momentum, discussions with project proponents should be identifying emerging needs that could be supported under the successor program as well as </w:t>
            </w:r>
            <w:r w:rsidR="00AE010E" w:rsidRPr="00035C24">
              <w:rPr>
                <w:rFonts w:asciiTheme="minorHAnsi" w:hAnsiTheme="minorHAnsi" w:cstheme="minorHAnsi"/>
                <w:color w:val="auto"/>
                <w:sz w:val="18"/>
                <w:szCs w:val="18"/>
                <w:lang w:val="en-GB"/>
              </w:rPr>
              <w:t>immediate priorities for support under AADCP II.</w:t>
            </w:r>
          </w:p>
        </w:tc>
        <w:tc>
          <w:tcPr>
            <w:tcW w:w="3260" w:type="dxa"/>
            <w:shd w:val="clear" w:color="auto" w:fill="D9D9D9" w:themeFill="background1" w:themeFillShade="D9"/>
          </w:tcPr>
          <w:p w14:paraId="032794BF" w14:textId="77777777" w:rsidR="00107A3A" w:rsidRDefault="00AE010E" w:rsidP="00B27815">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 xml:space="preserve">The AADCP II project proposal development process </w:t>
            </w:r>
            <w:r w:rsidR="00620DF4">
              <w:rPr>
                <w:rFonts w:asciiTheme="minorHAnsi" w:hAnsiTheme="minorHAnsi" w:cstheme="minorHAnsi"/>
                <w:color w:val="auto"/>
                <w:sz w:val="18"/>
                <w:szCs w:val="18"/>
                <w:lang w:val="en-GB"/>
              </w:rPr>
              <w:t>will continue to</w:t>
            </w:r>
            <w:r w:rsidRPr="00035C24">
              <w:rPr>
                <w:rFonts w:asciiTheme="minorHAnsi" w:hAnsiTheme="minorHAnsi" w:cstheme="minorHAnsi"/>
                <w:color w:val="auto"/>
                <w:sz w:val="18"/>
                <w:szCs w:val="18"/>
                <w:lang w:val="en-GB"/>
              </w:rPr>
              <w:t xml:space="preserve"> </w:t>
            </w:r>
            <w:r w:rsidR="0061538B" w:rsidRPr="00035C24">
              <w:rPr>
                <w:rFonts w:asciiTheme="minorHAnsi" w:hAnsiTheme="minorHAnsi" w:cstheme="minorHAnsi"/>
                <w:color w:val="auto"/>
                <w:sz w:val="18"/>
                <w:szCs w:val="18"/>
                <w:lang w:val="en-GB"/>
              </w:rPr>
              <w:t>require</w:t>
            </w:r>
            <w:r w:rsidRPr="00035C24">
              <w:rPr>
                <w:rFonts w:asciiTheme="minorHAnsi" w:hAnsiTheme="minorHAnsi" w:cstheme="minorHAnsi"/>
                <w:color w:val="auto"/>
                <w:sz w:val="18"/>
                <w:szCs w:val="18"/>
                <w:lang w:val="en-GB"/>
              </w:rPr>
              <w:t xml:space="preserve"> consideration of potential follow-on projects. </w:t>
            </w:r>
          </w:p>
          <w:p w14:paraId="20821DE8" w14:textId="77777777" w:rsidR="00107A3A" w:rsidRDefault="00107A3A" w:rsidP="00B27815">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p>
          <w:p w14:paraId="3AC221CE" w14:textId="77777777" w:rsidR="00FF6F25" w:rsidRPr="00035C24" w:rsidRDefault="00620DF4" w:rsidP="00B27815">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r>
              <w:rPr>
                <w:rFonts w:asciiTheme="minorHAnsi" w:hAnsiTheme="minorHAnsi" w:cstheme="minorHAnsi"/>
                <w:color w:val="auto"/>
                <w:sz w:val="18"/>
                <w:szCs w:val="18"/>
                <w:lang w:val="en-GB"/>
              </w:rPr>
              <w:t xml:space="preserve">The design team </w:t>
            </w:r>
            <w:r w:rsidR="00B27815">
              <w:rPr>
                <w:rFonts w:asciiTheme="minorHAnsi" w:hAnsiTheme="minorHAnsi" w:cstheme="minorHAnsi"/>
                <w:color w:val="auto"/>
                <w:sz w:val="18"/>
                <w:szCs w:val="18"/>
                <w:lang w:val="en-GB"/>
              </w:rPr>
              <w:t>of the successor program</w:t>
            </w:r>
            <w:r w:rsidR="00AE010E" w:rsidRPr="00035C24">
              <w:rPr>
                <w:rFonts w:asciiTheme="minorHAnsi" w:hAnsiTheme="minorHAnsi" w:cstheme="minorHAnsi"/>
                <w:color w:val="auto"/>
                <w:sz w:val="18"/>
                <w:szCs w:val="18"/>
                <w:lang w:val="en-GB"/>
              </w:rPr>
              <w:t xml:space="preserve"> </w:t>
            </w:r>
            <w:r>
              <w:rPr>
                <w:rFonts w:asciiTheme="minorHAnsi" w:hAnsiTheme="minorHAnsi" w:cstheme="minorHAnsi"/>
                <w:color w:val="auto"/>
                <w:sz w:val="18"/>
                <w:szCs w:val="18"/>
                <w:lang w:val="en-GB"/>
              </w:rPr>
              <w:t xml:space="preserve">will undertake </w:t>
            </w:r>
            <w:r w:rsidR="00AE010E" w:rsidRPr="00035C24">
              <w:rPr>
                <w:rFonts w:asciiTheme="minorHAnsi" w:hAnsiTheme="minorHAnsi" w:cstheme="minorHAnsi"/>
                <w:color w:val="auto"/>
                <w:sz w:val="18"/>
                <w:szCs w:val="18"/>
                <w:lang w:val="en-GB"/>
              </w:rPr>
              <w:t>a selected number of sectoral studies</w:t>
            </w:r>
            <w:r w:rsidR="00B27815">
              <w:rPr>
                <w:rFonts w:asciiTheme="minorHAnsi" w:hAnsiTheme="minorHAnsi" w:cstheme="minorHAnsi"/>
                <w:color w:val="auto"/>
                <w:sz w:val="18"/>
                <w:szCs w:val="18"/>
                <w:lang w:val="en-GB"/>
              </w:rPr>
              <w:t xml:space="preserve"> </w:t>
            </w:r>
            <w:r w:rsidR="00AE010E" w:rsidRPr="00035C24">
              <w:rPr>
                <w:rFonts w:asciiTheme="minorHAnsi" w:hAnsiTheme="minorHAnsi" w:cstheme="minorHAnsi"/>
                <w:color w:val="auto"/>
                <w:sz w:val="18"/>
                <w:szCs w:val="18"/>
                <w:lang w:val="en-GB"/>
              </w:rPr>
              <w:t>to identify potential emerging priority areas, in consultation with ASEC desks and other stakeholders</w:t>
            </w:r>
            <w:r w:rsidR="0054770B" w:rsidRPr="00035C24">
              <w:rPr>
                <w:rFonts w:asciiTheme="minorHAnsi" w:hAnsiTheme="minorHAnsi" w:cstheme="minorHAnsi"/>
                <w:color w:val="auto"/>
                <w:sz w:val="18"/>
                <w:szCs w:val="18"/>
                <w:lang w:val="en-GB"/>
              </w:rPr>
              <w:t>.</w:t>
            </w:r>
          </w:p>
        </w:tc>
        <w:tc>
          <w:tcPr>
            <w:tcW w:w="1560" w:type="dxa"/>
            <w:shd w:val="clear" w:color="auto" w:fill="D9D9D9" w:themeFill="background1" w:themeFillShade="D9"/>
          </w:tcPr>
          <w:p w14:paraId="4497A21E" w14:textId="77777777" w:rsidR="00107A3A" w:rsidRDefault="00AE010E" w:rsidP="00107A3A">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 xml:space="preserve">Ongoing </w:t>
            </w:r>
          </w:p>
          <w:p w14:paraId="08334147" w14:textId="77777777" w:rsidR="00107A3A" w:rsidRDefault="00107A3A" w:rsidP="00107A3A">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p>
          <w:p w14:paraId="315BF53E" w14:textId="77777777" w:rsidR="00107A3A" w:rsidRDefault="00107A3A" w:rsidP="00107A3A">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p>
          <w:p w14:paraId="2FDC2B0F" w14:textId="77777777" w:rsidR="00107A3A" w:rsidRDefault="00107A3A" w:rsidP="00107A3A">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p>
          <w:p w14:paraId="2C6CA8A1" w14:textId="77777777" w:rsidR="00107A3A" w:rsidRDefault="00107A3A" w:rsidP="00107A3A">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p>
          <w:p w14:paraId="5F8DFB95" w14:textId="36FBE5D2" w:rsidR="00FF6F25" w:rsidRPr="00035C24" w:rsidRDefault="00107A3A" w:rsidP="00181310">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color w:val="auto"/>
                <w:sz w:val="18"/>
                <w:szCs w:val="18"/>
                <w:lang w:val="en-GB"/>
              </w:rPr>
              <w:t>D</w:t>
            </w:r>
            <w:r w:rsidR="00B27815">
              <w:rPr>
                <w:rFonts w:asciiTheme="minorHAnsi" w:hAnsiTheme="minorHAnsi" w:cstheme="minorHAnsi"/>
                <w:color w:val="auto"/>
                <w:sz w:val="18"/>
                <w:szCs w:val="18"/>
                <w:lang w:val="en-GB"/>
              </w:rPr>
              <w:t xml:space="preserve">esign </w:t>
            </w:r>
            <w:r>
              <w:rPr>
                <w:rFonts w:asciiTheme="minorHAnsi" w:hAnsiTheme="minorHAnsi" w:cstheme="minorHAnsi"/>
                <w:color w:val="auto"/>
                <w:sz w:val="18"/>
                <w:szCs w:val="18"/>
                <w:lang w:val="en-GB"/>
              </w:rPr>
              <w:t xml:space="preserve">of the successor program to commence </w:t>
            </w:r>
            <w:r w:rsidR="00B27815">
              <w:rPr>
                <w:rFonts w:asciiTheme="minorHAnsi" w:hAnsiTheme="minorHAnsi" w:cstheme="minorHAnsi"/>
                <w:color w:val="auto"/>
                <w:sz w:val="18"/>
                <w:szCs w:val="18"/>
                <w:lang w:val="en-GB"/>
              </w:rPr>
              <w:t xml:space="preserve">in </w:t>
            </w:r>
            <w:r w:rsidR="00181310">
              <w:rPr>
                <w:rFonts w:asciiTheme="minorHAnsi" w:hAnsiTheme="minorHAnsi" w:cstheme="minorHAnsi"/>
                <w:color w:val="auto"/>
                <w:sz w:val="18"/>
                <w:szCs w:val="18"/>
                <w:lang w:val="en-GB"/>
              </w:rPr>
              <w:t>FY</w:t>
            </w:r>
            <w:r>
              <w:rPr>
                <w:rFonts w:asciiTheme="minorHAnsi" w:hAnsiTheme="minorHAnsi" w:cstheme="minorHAnsi"/>
                <w:color w:val="auto"/>
                <w:sz w:val="18"/>
                <w:szCs w:val="18"/>
                <w:lang w:val="en-GB"/>
              </w:rPr>
              <w:t xml:space="preserve"> </w:t>
            </w:r>
            <w:r w:rsidR="00B27815">
              <w:rPr>
                <w:rFonts w:asciiTheme="minorHAnsi" w:hAnsiTheme="minorHAnsi" w:cstheme="minorHAnsi"/>
                <w:color w:val="auto"/>
                <w:sz w:val="18"/>
                <w:szCs w:val="18"/>
                <w:lang w:val="en-GB"/>
              </w:rPr>
              <w:t>2020</w:t>
            </w:r>
            <w:r w:rsidR="00181310">
              <w:rPr>
                <w:rFonts w:asciiTheme="minorHAnsi" w:hAnsiTheme="minorHAnsi" w:cstheme="minorHAnsi"/>
                <w:color w:val="auto"/>
                <w:sz w:val="18"/>
                <w:szCs w:val="18"/>
                <w:lang w:val="en-GB"/>
              </w:rPr>
              <w:t>-21</w:t>
            </w:r>
            <w:r w:rsidR="00AE010E" w:rsidRPr="00035C24">
              <w:rPr>
                <w:rFonts w:asciiTheme="minorHAnsi" w:hAnsiTheme="minorHAnsi" w:cstheme="minorHAnsi"/>
                <w:color w:val="auto"/>
                <w:sz w:val="18"/>
                <w:szCs w:val="18"/>
                <w:lang w:val="en-GB"/>
              </w:rPr>
              <w:t>.</w:t>
            </w:r>
          </w:p>
        </w:tc>
      </w:tr>
      <w:tr w:rsidR="00024CD1" w:rsidRPr="00035C24" w14:paraId="582CB4FE" w14:textId="77777777" w:rsidTr="000D1852">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2895" w:type="dxa"/>
            <w:gridSpan w:val="5"/>
            <w:vAlign w:val="center"/>
          </w:tcPr>
          <w:p w14:paraId="4FF72AAB" w14:textId="77777777" w:rsidR="00024CD1" w:rsidRPr="00035C24" w:rsidRDefault="00024CD1" w:rsidP="00024CD1">
            <w:pPr>
              <w:suppressAutoHyphens/>
              <w:spacing w:before="0" w:after="0" w:line="240" w:lineRule="auto"/>
              <w:rPr>
                <w:rFonts w:asciiTheme="minorHAnsi" w:hAnsiTheme="minorHAnsi" w:cstheme="minorHAnsi"/>
                <w:b/>
                <w:color w:val="auto"/>
                <w:sz w:val="18"/>
                <w:szCs w:val="18"/>
                <w:lang w:val="en-GB"/>
              </w:rPr>
            </w:pPr>
            <w:r w:rsidRPr="00035C24">
              <w:rPr>
                <w:rFonts w:asciiTheme="minorHAnsi" w:hAnsiTheme="minorHAnsi" w:cstheme="minorHAnsi"/>
                <w:b/>
                <w:color w:val="auto"/>
                <w:sz w:val="18"/>
                <w:szCs w:val="18"/>
                <w:lang w:val="en-GB"/>
              </w:rPr>
              <w:t>Gender &amp; Social Inclusion</w:t>
            </w:r>
            <w:r w:rsidR="00F31BAF" w:rsidRPr="00035C24">
              <w:rPr>
                <w:rFonts w:asciiTheme="minorHAnsi" w:hAnsiTheme="minorHAnsi" w:cstheme="minorHAnsi"/>
                <w:b/>
                <w:color w:val="auto"/>
                <w:sz w:val="18"/>
                <w:szCs w:val="18"/>
                <w:lang w:val="en-GB"/>
              </w:rPr>
              <w:t xml:space="preserve"> (GESI)</w:t>
            </w:r>
          </w:p>
        </w:tc>
      </w:tr>
      <w:tr w:rsidR="00B50EB1" w:rsidRPr="00035C24" w14:paraId="2766B0B3" w14:textId="77777777" w:rsidTr="00043A5E">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823" w:type="dxa"/>
          </w:tcPr>
          <w:p w14:paraId="46284A11" w14:textId="77777777" w:rsidR="00B50EB1" w:rsidRPr="00035C24" w:rsidRDefault="00024CD1" w:rsidP="00024CD1">
            <w:pPr>
              <w:suppressAutoHyphens/>
              <w:spacing w:before="0" w:after="0" w:line="240" w:lineRule="auto"/>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3</w:t>
            </w:r>
            <w:r w:rsidR="00B50EB1" w:rsidRPr="00035C24">
              <w:rPr>
                <w:rFonts w:asciiTheme="minorHAnsi" w:hAnsiTheme="minorHAnsi" w:cstheme="minorHAnsi"/>
                <w:color w:val="auto"/>
                <w:sz w:val="18"/>
                <w:szCs w:val="18"/>
                <w:lang w:val="en-GB"/>
              </w:rPr>
              <w:t xml:space="preserve">. </w:t>
            </w:r>
            <w:r w:rsidR="00CF2D51" w:rsidRPr="00035C24">
              <w:rPr>
                <w:rFonts w:asciiTheme="minorHAnsi" w:hAnsiTheme="minorHAnsi" w:cstheme="minorHAnsi"/>
                <w:color w:val="auto"/>
                <w:sz w:val="18"/>
                <w:szCs w:val="18"/>
                <w:lang w:val="en-GB"/>
              </w:rPr>
              <w:t xml:space="preserve">DFAT to provide additional flexible / discretionary funding to recruit a short-term gender expert to identify champions and entry points for gender. Consideration could also be given to undertake an analysis of the gender impacts of selected AADCP II projects and to provide guidance on proposal development.  </w:t>
            </w:r>
          </w:p>
        </w:tc>
        <w:tc>
          <w:tcPr>
            <w:tcW w:w="1134" w:type="dxa"/>
            <w:shd w:val="clear" w:color="auto" w:fill="ED7D31" w:themeFill="accent2"/>
          </w:tcPr>
          <w:p w14:paraId="12AE4732" w14:textId="77777777" w:rsidR="003660E5" w:rsidRPr="00035C24" w:rsidRDefault="00043A5E" w:rsidP="00E86AF9">
            <w:pPr>
              <w:keepNext/>
              <w:keepLines/>
              <w:suppressAutoHyphens/>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bCs/>
                <w:color w:val="auto"/>
                <w:sz w:val="18"/>
                <w:szCs w:val="18"/>
                <w:lang w:val="en-US"/>
              </w:rPr>
            </w:pPr>
            <w:r w:rsidRPr="00035C24">
              <w:rPr>
                <w:rFonts w:asciiTheme="minorHAnsi" w:eastAsiaTheme="majorEastAsia" w:hAnsiTheme="minorHAnsi" w:cstheme="minorHAnsi"/>
                <w:bCs/>
                <w:color w:val="auto"/>
                <w:sz w:val="18"/>
                <w:szCs w:val="18"/>
              </w:rPr>
              <w:t xml:space="preserve">Partially </w:t>
            </w:r>
            <w:r w:rsidR="003660E5" w:rsidRPr="00035C24">
              <w:rPr>
                <w:rFonts w:asciiTheme="minorHAnsi" w:eastAsiaTheme="majorEastAsia" w:hAnsiTheme="minorHAnsi" w:cstheme="minorHAnsi"/>
                <w:bCs/>
                <w:color w:val="auto"/>
                <w:sz w:val="18"/>
                <w:szCs w:val="18"/>
              </w:rPr>
              <w:t>Agree</w:t>
            </w:r>
          </w:p>
          <w:p w14:paraId="42EDF48C" w14:textId="77777777" w:rsidR="00B50EB1" w:rsidRPr="00035C24" w:rsidRDefault="00B50EB1" w:rsidP="00E86AF9">
            <w:pPr>
              <w:keepNext/>
              <w:keepLines/>
              <w:suppressAutoHyphens/>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bCs/>
                <w:sz w:val="18"/>
                <w:szCs w:val="18"/>
              </w:rPr>
            </w:pPr>
          </w:p>
        </w:tc>
        <w:tc>
          <w:tcPr>
            <w:tcW w:w="3118" w:type="dxa"/>
            <w:tcBorders>
              <w:bottom w:val="single" w:sz="4" w:space="0" w:color="auto"/>
            </w:tcBorders>
            <w:shd w:val="clear" w:color="auto" w:fill="D9D9D9" w:themeFill="background1" w:themeFillShade="D9"/>
          </w:tcPr>
          <w:p w14:paraId="3DCB7F38" w14:textId="77777777" w:rsidR="00B50EB1" w:rsidRPr="00035C24" w:rsidRDefault="00F31BAF" w:rsidP="00043A5E">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GESI is still emerging as an area for action within ASEAN’s economic integration and related agendas, and</w:t>
            </w:r>
            <w:r w:rsidR="00043A5E" w:rsidRPr="00035C24">
              <w:rPr>
                <w:rFonts w:asciiTheme="minorHAnsi" w:hAnsiTheme="minorHAnsi" w:cstheme="minorHAnsi"/>
                <w:color w:val="auto"/>
                <w:sz w:val="18"/>
                <w:szCs w:val="18"/>
                <w:lang w:val="en-GB"/>
              </w:rPr>
              <w:t xml:space="preserve"> remains</w:t>
            </w:r>
            <w:r w:rsidRPr="00035C24">
              <w:rPr>
                <w:rFonts w:asciiTheme="minorHAnsi" w:hAnsiTheme="minorHAnsi" w:cstheme="minorHAnsi"/>
                <w:color w:val="auto"/>
                <w:sz w:val="18"/>
                <w:szCs w:val="18"/>
                <w:lang w:val="en-GB"/>
              </w:rPr>
              <w:t xml:space="preserve"> more often seen as a socio-cultural</w:t>
            </w:r>
            <w:r w:rsidR="00043A5E" w:rsidRPr="00035C24">
              <w:rPr>
                <w:rFonts w:asciiTheme="minorHAnsi" w:hAnsiTheme="minorHAnsi" w:cstheme="minorHAnsi"/>
                <w:color w:val="auto"/>
                <w:sz w:val="18"/>
                <w:szCs w:val="18"/>
                <w:lang w:val="en-GB"/>
              </w:rPr>
              <w:t xml:space="preserve"> set of</w:t>
            </w:r>
            <w:r w:rsidRPr="00035C24">
              <w:rPr>
                <w:rFonts w:asciiTheme="minorHAnsi" w:hAnsiTheme="minorHAnsi" w:cstheme="minorHAnsi"/>
                <w:color w:val="auto"/>
                <w:sz w:val="18"/>
                <w:szCs w:val="18"/>
                <w:lang w:val="en-GB"/>
              </w:rPr>
              <w:t xml:space="preserve"> issue</w:t>
            </w:r>
            <w:r w:rsidR="00043A5E" w:rsidRPr="00035C24">
              <w:rPr>
                <w:rFonts w:asciiTheme="minorHAnsi" w:hAnsiTheme="minorHAnsi" w:cstheme="minorHAnsi"/>
                <w:color w:val="auto"/>
                <w:sz w:val="18"/>
                <w:szCs w:val="18"/>
                <w:lang w:val="en-GB"/>
              </w:rPr>
              <w:t>s</w:t>
            </w:r>
            <w:r w:rsidRPr="00035C24">
              <w:rPr>
                <w:rFonts w:asciiTheme="minorHAnsi" w:hAnsiTheme="minorHAnsi" w:cstheme="minorHAnsi"/>
                <w:color w:val="auto"/>
                <w:sz w:val="18"/>
                <w:szCs w:val="18"/>
                <w:lang w:val="en-GB"/>
              </w:rPr>
              <w:t>. Effective GESI mainstreaming</w:t>
            </w:r>
            <w:r w:rsidR="00043A5E" w:rsidRPr="00035C24">
              <w:rPr>
                <w:rFonts w:asciiTheme="minorHAnsi" w:hAnsiTheme="minorHAnsi" w:cstheme="minorHAnsi"/>
                <w:color w:val="auto"/>
                <w:sz w:val="18"/>
                <w:szCs w:val="18"/>
                <w:lang w:val="en-GB"/>
              </w:rPr>
              <w:t xml:space="preserve"> under an ASEAN-led mechanism</w:t>
            </w:r>
            <w:r w:rsidRPr="00035C24">
              <w:rPr>
                <w:rFonts w:asciiTheme="minorHAnsi" w:hAnsiTheme="minorHAnsi" w:cstheme="minorHAnsi"/>
                <w:color w:val="auto"/>
                <w:sz w:val="18"/>
                <w:szCs w:val="18"/>
                <w:lang w:val="en-GB"/>
              </w:rPr>
              <w:t xml:space="preserve"> relies on active </w:t>
            </w:r>
            <w:r w:rsidR="00043A5E" w:rsidRPr="00035C24">
              <w:rPr>
                <w:rFonts w:asciiTheme="minorHAnsi" w:hAnsiTheme="minorHAnsi" w:cstheme="minorHAnsi"/>
                <w:color w:val="auto"/>
                <w:sz w:val="18"/>
                <w:szCs w:val="18"/>
                <w:lang w:val="en-GB"/>
              </w:rPr>
              <w:t xml:space="preserve">engagement, ability and willingness to </w:t>
            </w:r>
            <w:r w:rsidR="00043A5E" w:rsidRPr="00035C24">
              <w:rPr>
                <w:rFonts w:asciiTheme="minorHAnsi" w:hAnsiTheme="minorHAnsi" w:cstheme="minorHAnsi"/>
                <w:color w:val="auto"/>
                <w:sz w:val="18"/>
                <w:szCs w:val="18"/>
                <w:lang w:val="en-GB"/>
              </w:rPr>
              <w:lastRenderedPageBreak/>
              <w:t>take opportunities as they arise and incremental actions from dialogue partners.</w:t>
            </w:r>
          </w:p>
        </w:tc>
        <w:tc>
          <w:tcPr>
            <w:tcW w:w="3260" w:type="dxa"/>
            <w:tcBorders>
              <w:bottom w:val="single" w:sz="4" w:space="0" w:color="auto"/>
            </w:tcBorders>
            <w:shd w:val="clear" w:color="auto" w:fill="D9D9D9" w:themeFill="background1" w:themeFillShade="D9"/>
          </w:tcPr>
          <w:p w14:paraId="42DC5173" w14:textId="24FFFCEC" w:rsidR="00107A3A" w:rsidRDefault="00043A5E" w:rsidP="00B27815">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lastRenderedPageBreak/>
              <w:t xml:space="preserve">PPMSU </w:t>
            </w:r>
            <w:r w:rsidR="00107A3A">
              <w:rPr>
                <w:rFonts w:asciiTheme="minorHAnsi" w:hAnsiTheme="minorHAnsi" w:cstheme="minorHAnsi"/>
                <w:color w:val="auto"/>
                <w:sz w:val="18"/>
                <w:szCs w:val="18"/>
                <w:lang w:val="en-GB"/>
              </w:rPr>
              <w:t xml:space="preserve">will continue </w:t>
            </w:r>
            <w:r w:rsidRPr="00035C24">
              <w:rPr>
                <w:rFonts w:asciiTheme="minorHAnsi" w:hAnsiTheme="minorHAnsi" w:cstheme="minorHAnsi"/>
                <w:color w:val="auto"/>
                <w:sz w:val="18"/>
                <w:szCs w:val="18"/>
                <w:lang w:val="en-GB"/>
              </w:rPr>
              <w:t xml:space="preserve">using contracted ASEAN Mission resources to provide GESI expertise for proposal development, </w:t>
            </w:r>
            <w:r w:rsidR="00181310">
              <w:rPr>
                <w:rFonts w:asciiTheme="minorHAnsi" w:hAnsiTheme="minorHAnsi" w:cstheme="minorHAnsi"/>
                <w:color w:val="auto"/>
                <w:sz w:val="18"/>
                <w:szCs w:val="18"/>
                <w:lang w:val="en-GB"/>
              </w:rPr>
              <w:t>while</w:t>
            </w:r>
            <w:r w:rsidRPr="00035C24">
              <w:rPr>
                <w:rFonts w:asciiTheme="minorHAnsi" w:hAnsiTheme="minorHAnsi" w:cstheme="minorHAnsi"/>
                <w:color w:val="auto"/>
                <w:sz w:val="18"/>
                <w:szCs w:val="18"/>
                <w:lang w:val="en-GB"/>
              </w:rPr>
              <w:t xml:space="preserve"> ensuring to the extent possible under the partnership model that ASEC agrees to include GESI expertise within contracted consultant teams for project implementation. </w:t>
            </w:r>
            <w:r w:rsidR="00181310">
              <w:rPr>
                <w:rFonts w:asciiTheme="minorHAnsi" w:hAnsiTheme="minorHAnsi" w:cstheme="minorHAnsi"/>
                <w:color w:val="auto"/>
                <w:sz w:val="18"/>
                <w:szCs w:val="18"/>
                <w:lang w:val="en-GB"/>
              </w:rPr>
              <w:t xml:space="preserve">This has proven a </w:t>
            </w:r>
            <w:r w:rsidR="00181310">
              <w:rPr>
                <w:rFonts w:asciiTheme="minorHAnsi" w:hAnsiTheme="minorHAnsi" w:cstheme="minorHAnsi"/>
                <w:color w:val="auto"/>
                <w:sz w:val="18"/>
                <w:szCs w:val="18"/>
                <w:lang w:val="en-GB"/>
              </w:rPr>
              <w:lastRenderedPageBreak/>
              <w:t>productive in recent projects. We are exploring options to access a higher level of GESI expertise than is currently available under our existing contract.</w:t>
            </w:r>
            <w:r w:rsidR="00963E53" w:rsidRPr="00035C24">
              <w:rPr>
                <w:rFonts w:asciiTheme="minorHAnsi" w:hAnsiTheme="minorHAnsi" w:cstheme="minorHAnsi"/>
                <w:color w:val="auto"/>
                <w:sz w:val="18"/>
                <w:szCs w:val="18"/>
                <w:lang w:val="en-GB"/>
              </w:rPr>
              <w:t xml:space="preserve"> </w:t>
            </w:r>
          </w:p>
          <w:p w14:paraId="192D74E8" w14:textId="77777777" w:rsidR="00107A3A" w:rsidRDefault="00107A3A" w:rsidP="00B27815">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p>
          <w:p w14:paraId="7FEAB0BC" w14:textId="77777777" w:rsidR="00B50EB1" w:rsidRPr="00035C24" w:rsidRDefault="00B27815" w:rsidP="00B27815">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r>
              <w:rPr>
                <w:rFonts w:asciiTheme="minorHAnsi" w:hAnsiTheme="minorHAnsi" w:cstheme="minorHAnsi"/>
                <w:color w:val="auto"/>
                <w:sz w:val="18"/>
                <w:szCs w:val="18"/>
                <w:lang w:val="en-GB"/>
              </w:rPr>
              <w:t>DFAT</w:t>
            </w:r>
            <w:r w:rsidR="00963E53" w:rsidRPr="00035C24">
              <w:rPr>
                <w:rFonts w:asciiTheme="minorHAnsi" w:hAnsiTheme="minorHAnsi" w:cstheme="minorHAnsi"/>
                <w:color w:val="auto"/>
                <w:sz w:val="18"/>
                <w:szCs w:val="18"/>
                <w:lang w:val="en-GB"/>
              </w:rPr>
              <w:t xml:space="preserve"> also intend to undertake sectoral studies to identify opportunities for GESI mainstreaming or targeted actions</w:t>
            </w:r>
            <w:r>
              <w:rPr>
                <w:rFonts w:asciiTheme="minorHAnsi" w:hAnsiTheme="minorHAnsi" w:cstheme="minorHAnsi"/>
                <w:color w:val="auto"/>
                <w:sz w:val="18"/>
                <w:szCs w:val="18"/>
                <w:lang w:val="en-GB"/>
              </w:rPr>
              <w:t xml:space="preserve">. We </w:t>
            </w:r>
            <w:r w:rsidR="00963E53" w:rsidRPr="00035C24">
              <w:rPr>
                <w:rFonts w:asciiTheme="minorHAnsi" w:hAnsiTheme="minorHAnsi" w:cstheme="minorHAnsi"/>
                <w:color w:val="auto"/>
                <w:sz w:val="18"/>
                <w:szCs w:val="18"/>
                <w:lang w:val="en-GB"/>
              </w:rPr>
              <w:t>assess that this is a more effective approach than looking back to see the impact of what has been very limited GESI mainstreaming in past AADCP II projects.</w:t>
            </w:r>
          </w:p>
        </w:tc>
        <w:tc>
          <w:tcPr>
            <w:tcW w:w="1560" w:type="dxa"/>
            <w:tcBorders>
              <w:bottom w:val="single" w:sz="4" w:space="0" w:color="auto"/>
            </w:tcBorders>
            <w:shd w:val="clear" w:color="auto" w:fill="D9D9D9" w:themeFill="background1" w:themeFillShade="D9"/>
          </w:tcPr>
          <w:p w14:paraId="698B0EEF" w14:textId="77777777" w:rsidR="00107A3A" w:rsidRDefault="00043A5E" w:rsidP="00B27815">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lastRenderedPageBreak/>
              <w:t>Ongoing</w:t>
            </w:r>
          </w:p>
          <w:p w14:paraId="16C8E3BC" w14:textId="77777777" w:rsidR="00107A3A" w:rsidRDefault="00107A3A" w:rsidP="00B27815">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p>
          <w:p w14:paraId="33D54EE8" w14:textId="77777777" w:rsidR="00107A3A" w:rsidRDefault="00107A3A" w:rsidP="00B27815">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p>
          <w:p w14:paraId="1940E92F" w14:textId="77777777" w:rsidR="00107A3A" w:rsidRDefault="00107A3A" w:rsidP="00B27815">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p>
          <w:p w14:paraId="6A3E6DD0" w14:textId="77777777" w:rsidR="00107A3A" w:rsidRDefault="00107A3A" w:rsidP="00B27815">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p>
          <w:p w14:paraId="7807B82C" w14:textId="77777777" w:rsidR="00107A3A" w:rsidRDefault="00107A3A" w:rsidP="00B27815">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p>
          <w:p w14:paraId="5B317A9A" w14:textId="77777777" w:rsidR="00107A3A" w:rsidRDefault="00107A3A" w:rsidP="00B27815">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p>
          <w:p w14:paraId="14394149" w14:textId="77777777" w:rsidR="00107A3A" w:rsidRDefault="00107A3A" w:rsidP="00B27815">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p>
          <w:p w14:paraId="738A511A" w14:textId="77777777" w:rsidR="00107A3A" w:rsidRDefault="00107A3A" w:rsidP="00B27815">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p>
          <w:p w14:paraId="1C564C82" w14:textId="77777777" w:rsidR="00107A3A" w:rsidRDefault="00107A3A" w:rsidP="00B27815">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p>
          <w:p w14:paraId="35C1C6A8" w14:textId="77777777" w:rsidR="00107A3A" w:rsidRDefault="00107A3A" w:rsidP="00B27815">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p>
          <w:p w14:paraId="65EEF40B" w14:textId="77777777" w:rsidR="00107A3A" w:rsidRDefault="00107A3A" w:rsidP="00B27815">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p>
          <w:p w14:paraId="1B15421C" w14:textId="77777777" w:rsidR="00107A3A" w:rsidRDefault="00107A3A" w:rsidP="00B27815">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p>
          <w:p w14:paraId="1995E62B" w14:textId="77777777" w:rsidR="00107A3A" w:rsidRDefault="00107A3A" w:rsidP="00B27815">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p>
          <w:p w14:paraId="26ABC9BA" w14:textId="095C1238" w:rsidR="00B50EB1" w:rsidRPr="00035C24" w:rsidRDefault="00181310" w:rsidP="00B27815">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r>
              <w:rPr>
                <w:rFonts w:asciiTheme="minorHAnsi" w:hAnsiTheme="minorHAnsi" w:cstheme="minorHAnsi"/>
                <w:color w:val="auto"/>
                <w:sz w:val="18"/>
                <w:szCs w:val="18"/>
                <w:lang w:val="en-GB"/>
              </w:rPr>
              <w:t>Design of the successor program to commence in FY 2020-21</w:t>
            </w:r>
            <w:r w:rsidRPr="00035C24">
              <w:rPr>
                <w:rFonts w:asciiTheme="minorHAnsi" w:hAnsiTheme="minorHAnsi" w:cstheme="minorHAnsi"/>
                <w:color w:val="auto"/>
                <w:sz w:val="18"/>
                <w:szCs w:val="18"/>
                <w:lang w:val="en-GB"/>
              </w:rPr>
              <w:t>.</w:t>
            </w:r>
          </w:p>
        </w:tc>
      </w:tr>
      <w:tr w:rsidR="00B50EB1" w:rsidRPr="00035C24" w14:paraId="276B9618" w14:textId="77777777" w:rsidTr="00B92153">
        <w:trPr>
          <w:cnfStyle w:val="000000010000" w:firstRow="0" w:lastRow="0" w:firstColumn="0" w:lastColumn="0" w:oddVBand="0" w:evenVBand="0" w:oddHBand="0" w:evenHBand="1"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823" w:type="dxa"/>
          </w:tcPr>
          <w:p w14:paraId="29958B7C" w14:textId="77777777" w:rsidR="00B50EB1" w:rsidRPr="00035C24" w:rsidRDefault="00024CD1" w:rsidP="00E86AF9">
            <w:pPr>
              <w:suppressAutoHyphens/>
              <w:spacing w:before="0" w:after="0" w:line="240" w:lineRule="auto"/>
              <w:rPr>
                <w:rFonts w:asciiTheme="minorHAnsi" w:hAnsiTheme="minorHAnsi" w:cstheme="minorHAnsi"/>
                <w:sz w:val="18"/>
                <w:szCs w:val="18"/>
                <w:lang w:val="en-GB"/>
              </w:rPr>
            </w:pPr>
            <w:r w:rsidRPr="00035C24">
              <w:rPr>
                <w:rFonts w:asciiTheme="minorHAnsi" w:hAnsiTheme="minorHAnsi" w:cstheme="minorHAnsi"/>
                <w:color w:val="auto"/>
                <w:sz w:val="18"/>
                <w:szCs w:val="18"/>
                <w:lang w:val="en-GB"/>
              </w:rPr>
              <w:lastRenderedPageBreak/>
              <w:t>4</w:t>
            </w:r>
            <w:r w:rsidR="00B50EB1" w:rsidRPr="00035C24">
              <w:rPr>
                <w:rFonts w:asciiTheme="minorHAnsi" w:hAnsiTheme="minorHAnsi" w:cstheme="minorHAnsi"/>
                <w:color w:val="auto"/>
                <w:sz w:val="18"/>
                <w:szCs w:val="18"/>
                <w:lang w:val="en-GB"/>
              </w:rPr>
              <w:t xml:space="preserve">. </w:t>
            </w:r>
            <w:r w:rsidR="00CF2D51" w:rsidRPr="00035C24">
              <w:rPr>
                <w:rFonts w:asciiTheme="minorHAnsi" w:hAnsiTheme="minorHAnsi" w:cstheme="minorHAnsi"/>
                <w:color w:val="auto"/>
                <w:sz w:val="18"/>
                <w:szCs w:val="18"/>
                <w:lang w:val="en-GB"/>
              </w:rPr>
              <w:t>AADCP II and DFAT should continue to engage GESI expertise to identify ways to better integrate GESI into its current portfolio of work.</w:t>
            </w:r>
          </w:p>
        </w:tc>
        <w:tc>
          <w:tcPr>
            <w:tcW w:w="1134" w:type="dxa"/>
            <w:shd w:val="clear" w:color="auto" w:fill="70AD47" w:themeFill="accent6"/>
          </w:tcPr>
          <w:p w14:paraId="6914E052" w14:textId="77777777" w:rsidR="003660E5" w:rsidRPr="00035C24" w:rsidRDefault="003660E5" w:rsidP="00E86AF9">
            <w:pPr>
              <w:keepNext/>
              <w:keepLines/>
              <w:suppressAutoHyphens/>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cstheme="minorHAnsi"/>
                <w:bCs/>
                <w:color w:val="auto"/>
                <w:sz w:val="18"/>
                <w:szCs w:val="18"/>
                <w:lang w:val="en-US"/>
              </w:rPr>
            </w:pPr>
            <w:r w:rsidRPr="00035C24">
              <w:rPr>
                <w:rFonts w:asciiTheme="minorHAnsi" w:eastAsiaTheme="majorEastAsia" w:hAnsiTheme="minorHAnsi" w:cstheme="minorHAnsi"/>
                <w:bCs/>
                <w:color w:val="auto"/>
                <w:sz w:val="18"/>
                <w:szCs w:val="18"/>
              </w:rPr>
              <w:t>Agree</w:t>
            </w:r>
          </w:p>
          <w:p w14:paraId="60EEA68B" w14:textId="77777777" w:rsidR="00B50EB1" w:rsidRPr="00035C24" w:rsidRDefault="00B50EB1" w:rsidP="00E86AF9">
            <w:pPr>
              <w:keepNext/>
              <w:keepLines/>
              <w:suppressAutoHyphens/>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cstheme="minorHAnsi"/>
                <w:bCs/>
                <w:sz w:val="18"/>
                <w:szCs w:val="18"/>
              </w:rPr>
            </w:pPr>
          </w:p>
        </w:tc>
        <w:tc>
          <w:tcPr>
            <w:tcW w:w="3118" w:type="dxa"/>
            <w:tcBorders>
              <w:bottom w:val="single" w:sz="4" w:space="0" w:color="auto"/>
            </w:tcBorders>
            <w:shd w:val="clear" w:color="auto" w:fill="D9D9D9" w:themeFill="background1" w:themeFillShade="D9"/>
          </w:tcPr>
          <w:p w14:paraId="3E780CE5" w14:textId="77777777" w:rsidR="00B50EB1" w:rsidRPr="00035C24" w:rsidRDefault="00447724" w:rsidP="00E86AF9">
            <w:pPr>
              <w:suppressAutoHyphens/>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As above</w:t>
            </w:r>
          </w:p>
        </w:tc>
        <w:tc>
          <w:tcPr>
            <w:tcW w:w="3260" w:type="dxa"/>
            <w:tcBorders>
              <w:bottom w:val="single" w:sz="4" w:space="0" w:color="auto"/>
            </w:tcBorders>
            <w:shd w:val="clear" w:color="auto" w:fill="D9D9D9" w:themeFill="background1" w:themeFillShade="D9"/>
          </w:tcPr>
          <w:p w14:paraId="1E938456" w14:textId="77777777" w:rsidR="00B50EB1" w:rsidRPr="00035C24" w:rsidRDefault="00447724" w:rsidP="00E86AF9">
            <w:pPr>
              <w:suppressAutoHyphens/>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As above</w:t>
            </w:r>
            <w:r w:rsidR="009A476C">
              <w:rPr>
                <w:rFonts w:asciiTheme="minorHAnsi" w:hAnsiTheme="minorHAnsi" w:cstheme="minorHAnsi"/>
                <w:color w:val="auto"/>
                <w:sz w:val="18"/>
                <w:szCs w:val="18"/>
                <w:lang w:val="en-GB"/>
              </w:rPr>
              <w:t xml:space="preserve"> – we agree to the need for supplementary GESI expertise.</w:t>
            </w:r>
          </w:p>
        </w:tc>
        <w:tc>
          <w:tcPr>
            <w:tcW w:w="1560" w:type="dxa"/>
            <w:tcBorders>
              <w:bottom w:val="single" w:sz="4" w:space="0" w:color="auto"/>
            </w:tcBorders>
            <w:shd w:val="clear" w:color="auto" w:fill="D9D9D9" w:themeFill="background1" w:themeFillShade="D9"/>
          </w:tcPr>
          <w:p w14:paraId="1C48943C" w14:textId="77777777" w:rsidR="00B50EB1" w:rsidRPr="00035C24" w:rsidRDefault="00447724" w:rsidP="00D47F71">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As above</w:t>
            </w:r>
          </w:p>
        </w:tc>
      </w:tr>
      <w:tr w:rsidR="00024CD1" w:rsidRPr="00035C24" w14:paraId="287B7AF2" w14:textId="77777777" w:rsidTr="000D1852">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12895" w:type="dxa"/>
            <w:gridSpan w:val="5"/>
            <w:vAlign w:val="center"/>
          </w:tcPr>
          <w:p w14:paraId="6569D774" w14:textId="77777777" w:rsidR="00024CD1" w:rsidRPr="00035C24" w:rsidRDefault="00024CD1" w:rsidP="00E86AF9">
            <w:pPr>
              <w:suppressAutoHyphens/>
              <w:spacing w:before="0" w:after="0" w:line="240" w:lineRule="auto"/>
              <w:rPr>
                <w:rFonts w:asciiTheme="minorHAnsi" w:hAnsiTheme="minorHAnsi" w:cstheme="minorHAnsi"/>
                <w:color w:val="auto"/>
                <w:sz w:val="18"/>
                <w:szCs w:val="18"/>
                <w:lang w:val="en-GB"/>
              </w:rPr>
            </w:pPr>
            <w:r w:rsidRPr="00035C24">
              <w:rPr>
                <w:rFonts w:asciiTheme="minorHAnsi" w:hAnsiTheme="minorHAnsi" w:cstheme="minorHAnsi"/>
                <w:b/>
                <w:iCs/>
                <w:color w:val="auto"/>
                <w:sz w:val="18"/>
                <w:szCs w:val="18"/>
                <w:lang w:val="en-GB"/>
              </w:rPr>
              <w:t>Communications</w:t>
            </w:r>
          </w:p>
        </w:tc>
      </w:tr>
      <w:tr w:rsidR="003660E5" w:rsidRPr="00035C24" w14:paraId="29CA0016" w14:textId="77777777" w:rsidTr="00B92153">
        <w:trPr>
          <w:cnfStyle w:val="000000010000" w:firstRow="0" w:lastRow="0" w:firstColumn="0" w:lastColumn="0" w:oddVBand="0" w:evenVBand="0" w:oddHBand="0" w:evenHBand="1"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823" w:type="dxa"/>
          </w:tcPr>
          <w:p w14:paraId="24286EC8" w14:textId="77777777" w:rsidR="003660E5" w:rsidRPr="00035C24" w:rsidRDefault="00024CD1" w:rsidP="00E86AF9">
            <w:pPr>
              <w:suppressAutoHyphens/>
              <w:spacing w:before="0" w:after="0" w:line="240" w:lineRule="auto"/>
              <w:rPr>
                <w:rFonts w:asciiTheme="minorHAnsi" w:hAnsiTheme="minorHAnsi" w:cstheme="minorHAnsi"/>
                <w:b/>
                <w:sz w:val="18"/>
                <w:szCs w:val="18"/>
                <w:lang w:val="en-GB"/>
              </w:rPr>
            </w:pPr>
            <w:r w:rsidRPr="00035C24">
              <w:rPr>
                <w:rFonts w:asciiTheme="minorHAnsi" w:hAnsiTheme="minorHAnsi" w:cstheme="minorHAnsi"/>
                <w:iCs/>
                <w:color w:val="auto"/>
                <w:sz w:val="18"/>
                <w:szCs w:val="18"/>
                <w:lang w:val="en-GB"/>
              </w:rPr>
              <w:t xml:space="preserve">5. </w:t>
            </w:r>
            <w:r w:rsidR="00CF2D51" w:rsidRPr="00035C24">
              <w:rPr>
                <w:rFonts w:asciiTheme="minorHAnsi" w:hAnsiTheme="minorHAnsi" w:cstheme="minorHAnsi"/>
                <w:iCs/>
                <w:color w:val="auto"/>
                <w:sz w:val="18"/>
                <w:szCs w:val="18"/>
                <w:lang w:val="en-GB"/>
              </w:rPr>
              <w:t>AADCP II and DFAT should reinforce communication efforts (internal and external) to meet the needs of different audiences to better show how AADCP II advances Australia’s and ASEAN’s shared interests.</w:t>
            </w:r>
          </w:p>
        </w:tc>
        <w:tc>
          <w:tcPr>
            <w:tcW w:w="1134" w:type="dxa"/>
            <w:shd w:val="clear" w:color="auto" w:fill="70AD47" w:themeFill="accent6"/>
          </w:tcPr>
          <w:p w14:paraId="3E2EB277" w14:textId="77777777" w:rsidR="003660E5" w:rsidRPr="00035C24" w:rsidRDefault="003660E5" w:rsidP="00E86AF9">
            <w:pPr>
              <w:keepNext/>
              <w:keepLines/>
              <w:suppressAutoHyphens/>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cstheme="minorHAnsi"/>
                <w:bCs/>
                <w:color w:val="auto"/>
                <w:sz w:val="18"/>
                <w:szCs w:val="18"/>
                <w:lang w:val="en-US"/>
              </w:rPr>
            </w:pPr>
            <w:r w:rsidRPr="00035C24">
              <w:rPr>
                <w:rFonts w:asciiTheme="minorHAnsi" w:eastAsiaTheme="majorEastAsia" w:hAnsiTheme="minorHAnsi" w:cstheme="minorHAnsi"/>
                <w:bCs/>
                <w:color w:val="auto"/>
                <w:sz w:val="18"/>
                <w:szCs w:val="18"/>
                <w:lang w:val="en-US"/>
              </w:rPr>
              <w:t>Agree</w:t>
            </w:r>
          </w:p>
          <w:p w14:paraId="208167D5" w14:textId="77777777" w:rsidR="003660E5" w:rsidRPr="00035C24" w:rsidRDefault="003660E5" w:rsidP="00E86AF9">
            <w:pPr>
              <w:keepNext/>
              <w:keepLines/>
              <w:suppressAutoHyphens/>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cstheme="minorHAnsi"/>
                <w:bCs/>
                <w:sz w:val="18"/>
                <w:szCs w:val="18"/>
              </w:rPr>
            </w:pPr>
          </w:p>
        </w:tc>
        <w:tc>
          <w:tcPr>
            <w:tcW w:w="3118" w:type="dxa"/>
            <w:shd w:val="clear" w:color="auto" w:fill="D9D9D9" w:themeFill="background1" w:themeFillShade="D9"/>
          </w:tcPr>
          <w:p w14:paraId="1F791FBC" w14:textId="77777777" w:rsidR="003660E5" w:rsidRPr="00035C24" w:rsidRDefault="00C67A23" w:rsidP="001D4217">
            <w:pPr>
              <w:suppressAutoHyphens/>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color w:val="auto"/>
                <w:sz w:val="18"/>
                <w:szCs w:val="18"/>
                <w:lang w:val="en-GB"/>
              </w:rPr>
            </w:pPr>
            <w:r w:rsidRPr="00035C24">
              <w:rPr>
                <w:rFonts w:asciiTheme="minorHAnsi" w:hAnsiTheme="minorHAnsi" w:cstheme="minorHAnsi"/>
                <w:iCs/>
                <w:color w:val="auto"/>
                <w:sz w:val="18"/>
                <w:szCs w:val="18"/>
                <w:lang w:val="en-GB"/>
              </w:rPr>
              <w:t>The review found</w:t>
            </w:r>
            <w:r w:rsidR="00825E61" w:rsidRPr="00035C24">
              <w:rPr>
                <w:rFonts w:asciiTheme="minorHAnsi" w:hAnsiTheme="minorHAnsi" w:cstheme="minorHAnsi"/>
                <w:iCs/>
                <w:color w:val="auto"/>
                <w:sz w:val="18"/>
                <w:szCs w:val="18"/>
                <w:lang w:val="en-GB"/>
              </w:rPr>
              <w:t xml:space="preserve"> a need to sharpen external and internal communications efforts</w:t>
            </w:r>
            <w:r w:rsidR="001D4217" w:rsidRPr="00035C24">
              <w:rPr>
                <w:rFonts w:asciiTheme="minorHAnsi" w:hAnsiTheme="minorHAnsi" w:cstheme="minorHAnsi"/>
                <w:iCs/>
                <w:color w:val="auto"/>
                <w:sz w:val="18"/>
                <w:szCs w:val="18"/>
                <w:lang w:val="en-GB"/>
              </w:rPr>
              <w:t xml:space="preserve"> on the program’s support, outcomes and modality</w:t>
            </w:r>
            <w:r w:rsidR="00825E61" w:rsidRPr="00035C24">
              <w:rPr>
                <w:rFonts w:asciiTheme="minorHAnsi" w:hAnsiTheme="minorHAnsi" w:cstheme="minorHAnsi"/>
                <w:iCs/>
                <w:color w:val="auto"/>
                <w:sz w:val="18"/>
                <w:szCs w:val="18"/>
                <w:lang w:val="en-GB"/>
              </w:rPr>
              <w:t xml:space="preserve">, particularly around the </w:t>
            </w:r>
            <w:r w:rsidR="001D4217" w:rsidRPr="00035C24">
              <w:rPr>
                <w:rFonts w:asciiTheme="minorHAnsi" w:hAnsiTheme="minorHAnsi" w:cstheme="minorHAnsi"/>
                <w:iCs/>
                <w:color w:val="auto"/>
                <w:sz w:val="18"/>
                <w:szCs w:val="18"/>
                <w:lang w:val="en-GB"/>
              </w:rPr>
              <w:t>expected level and distribution of costs and benefits of the regional economic integration process.</w:t>
            </w:r>
          </w:p>
        </w:tc>
        <w:tc>
          <w:tcPr>
            <w:tcW w:w="3260" w:type="dxa"/>
            <w:shd w:val="clear" w:color="auto" w:fill="D9D9D9" w:themeFill="background1" w:themeFillShade="D9"/>
          </w:tcPr>
          <w:p w14:paraId="04C34279" w14:textId="77777777" w:rsidR="003660E5" w:rsidRPr="00035C24" w:rsidRDefault="00B27815">
            <w:pPr>
              <w:pStyle w:val="BodyText"/>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18"/>
                <w:szCs w:val="18"/>
                <w:lang w:val="en-GB"/>
              </w:rPr>
            </w:pPr>
            <w:r>
              <w:rPr>
                <w:rFonts w:asciiTheme="minorHAnsi" w:hAnsiTheme="minorHAnsi" w:cstheme="minorHAnsi"/>
                <w:color w:val="auto"/>
                <w:sz w:val="18"/>
                <w:szCs w:val="18"/>
                <w:lang w:val="en-GB"/>
              </w:rPr>
              <w:t>DFAT</w:t>
            </w:r>
            <w:r w:rsidR="001467FE" w:rsidRPr="00035C24">
              <w:rPr>
                <w:rFonts w:asciiTheme="minorHAnsi" w:hAnsiTheme="minorHAnsi" w:cstheme="minorHAnsi"/>
                <w:color w:val="auto"/>
                <w:sz w:val="18"/>
                <w:szCs w:val="18"/>
                <w:lang w:val="en-GB"/>
              </w:rPr>
              <w:t xml:space="preserve"> to engage a communications short-term consultant to support development of a communications plan for program and DFAT use.</w:t>
            </w:r>
            <w:r w:rsidR="00736CD1">
              <w:rPr>
                <w:rFonts w:asciiTheme="minorHAnsi" w:hAnsiTheme="minorHAnsi" w:cstheme="minorHAnsi"/>
                <w:color w:val="auto"/>
                <w:sz w:val="18"/>
                <w:szCs w:val="18"/>
                <w:lang w:val="en-GB"/>
              </w:rPr>
              <w:t xml:space="preserve"> This plan will make explicit the relevance of AADCP II support both to ASEAN’s regional integration agenda and Australia’s Indo-Pacific interests as articulated in the 2017 Foreign Policy White Paper.</w:t>
            </w:r>
          </w:p>
        </w:tc>
        <w:tc>
          <w:tcPr>
            <w:tcW w:w="1560" w:type="dxa"/>
            <w:shd w:val="clear" w:color="auto" w:fill="D9D9D9" w:themeFill="background1" w:themeFillShade="D9"/>
          </w:tcPr>
          <w:p w14:paraId="51D9C0E5" w14:textId="77777777" w:rsidR="003660E5" w:rsidRPr="00035C24" w:rsidRDefault="001467FE" w:rsidP="00B27815">
            <w:pPr>
              <w:suppressAutoHyphens/>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 xml:space="preserve">Communications plan in place by </w:t>
            </w:r>
            <w:r w:rsidR="00B27815">
              <w:rPr>
                <w:rFonts w:asciiTheme="minorHAnsi" w:hAnsiTheme="minorHAnsi" w:cstheme="minorHAnsi"/>
                <w:color w:val="auto"/>
                <w:sz w:val="18"/>
                <w:szCs w:val="18"/>
                <w:lang w:val="en-GB"/>
              </w:rPr>
              <w:t>Aug</w:t>
            </w:r>
            <w:r w:rsidRPr="00035C24">
              <w:rPr>
                <w:rFonts w:asciiTheme="minorHAnsi" w:hAnsiTheme="minorHAnsi" w:cstheme="minorHAnsi"/>
                <w:color w:val="auto"/>
                <w:sz w:val="18"/>
                <w:szCs w:val="18"/>
                <w:lang w:val="en-GB"/>
              </w:rPr>
              <w:t xml:space="preserve"> 2020.</w:t>
            </w:r>
          </w:p>
        </w:tc>
      </w:tr>
      <w:tr w:rsidR="00024CD1" w:rsidRPr="00035C24" w14:paraId="4625396E" w14:textId="77777777" w:rsidTr="000D185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895" w:type="dxa"/>
            <w:gridSpan w:val="5"/>
            <w:vAlign w:val="center"/>
          </w:tcPr>
          <w:p w14:paraId="45721F3D" w14:textId="77777777" w:rsidR="00024CD1" w:rsidRPr="00035C24" w:rsidRDefault="00024CD1" w:rsidP="00E86AF9">
            <w:pPr>
              <w:suppressAutoHyphens/>
              <w:spacing w:before="0" w:after="0" w:line="240" w:lineRule="auto"/>
              <w:rPr>
                <w:rFonts w:asciiTheme="minorHAnsi" w:hAnsiTheme="minorHAnsi" w:cstheme="minorHAnsi"/>
                <w:b/>
                <w:color w:val="auto"/>
                <w:sz w:val="18"/>
                <w:szCs w:val="18"/>
                <w:lang w:val="en-GB"/>
              </w:rPr>
            </w:pPr>
            <w:r w:rsidRPr="00035C24">
              <w:rPr>
                <w:rFonts w:asciiTheme="minorHAnsi" w:hAnsiTheme="minorHAnsi" w:cstheme="minorHAnsi"/>
                <w:b/>
                <w:color w:val="auto"/>
                <w:sz w:val="18"/>
                <w:szCs w:val="18"/>
                <w:lang w:val="en-GB"/>
              </w:rPr>
              <w:t>Monitoring &amp; Evaluation</w:t>
            </w:r>
          </w:p>
        </w:tc>
      </w:tr>
      <w:tr w:rsidR="00463D5B" w:rsidRPr="00035C24" w14:paraId="76A9FBD8" w14:textId="77777777" w:rsidTr="004D7D4C">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823" w:type="dxa"/>
          </w:tcPr>
          <w:p w14:paraId="1D191BBC" w14:textId="77777777" w:rsidR="00463D5B" w:rsidRPr="00035C24" w:rsidRDefault="00024CD1" w:rsidP="00E86AF9">
            <w:pPr>
              <w:tabs>
                <w:tab w:val="left" w:pos="29"/>
              </w:tabs>
              <w:suppressAutoHyphens/>
              <w:spacing w:before="0" w:after="0" w:line="240" w:lineRule="auto"/>
              <w:ind w:hanging="29"/>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6</w:t>
            </w:r>
            <w:r w:rsidR="00C137D3" w:rsidRPr="00035C24">
              <w:rPr>
                <w:rFonts w:asciiTheme="minorHAnsi" w:hAnsiTheme="minorHAnsi" w:cstheme="minorHAnsi"/>
                <w:color w:val="auto"/>
                <w:sz w:val="18"/>
                <w:szCs w:val="18"/>
                <w:lang w:val="en-GB"/>
              </w:rPr>
              <w:t xml:space="preserve">. </w:t>
            </w:r>
            <w:r w:rsidR="00CF2D51" w:rsidRPr="00035C24">
              <w:rPr>
                <w:rFonts w:asciiTheme="minorHAnsi" w:hAnsiTheme="minorHAnsi" w:cstheme="minorHAnsi"/>
                <w:color w:val="auto"/>
                <w:sz w:val="18"/>
                <w:szCs w:val="18"/>
                <w:lang w:val="en-GB"/>
              </w:rPr>
              <w:t>PPMSU should explore lessons from MPAC and IAI experiences to design support to strengthen ASEC M&amp;E systems. Prepare case studies of plausible causal links between AADCP II supported activities, strengthened ASEC capacity, and AEC blueprint implementation in order to clarify the potential value of efforts to strengthen the ASEC.</w:t>
            </w:r>
          </w:p>
        </w:tc>
        <w:tc>
          <w:tcPr>
            <w:tcW w:w="1134" w:type="dxa"/>
            <w:tcBorders>
              <w:bottom w:val="single" w:sz="4" w:space="0" w:color="auto"/>
            </w:tcBorders>
            <w:shd w:val="clear" w:color="auto" w:fill="ED7D31" w:themeFill="accent2"/>
          </w:tcPr>
          <w:p w14:paraId="6749CEEA" w14:textId="77777777" w:rsidR="00463D5B" w:rsidRPr="00035C24" w:rsidRDefault="004D7D4C" w:rsidP="00E86AF9">
            <w:pPr>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035C24">
              <w:rPr>
                <w:rFonts w:asciiTheme="minorHAnsi" w:eastAsiaTheme="majorEastAsia" w:hAnsiTheme="minorHAnsi" w:cstheme="minorHAnsi"/>
                <w:bCs/>
                <w:color w:val="auto"/>
                <w:sz w:val="18"/>
                <w:szCs w:val="18"/>
              </w:rPr>
              <w:t xml:space="preserve">Partially </w:t>
            </w:r>
            <w:r w:rsidR="00463D5B" w:rsidRPr="00035C24">
              <w:rPr>
                <w:rFonts w:asciiTheme="minorHAnsi" w:eastAsiaTheme="majorEastAsia" w:hAnsiTheme="minorHAnsi" w:cstheme="minorHAnsi"/>
                <w:bCs/>
                <w:color w:val="auto"/>
                <w:sz w:val="18"/>
                <w:szCs w:val="18"/>
              </w:rPr>
              <w:t>Agree</w:t>
            </w:r>
          </w:p>
        </w:tc>
        <w:tc>
          <w:tcPr>
            <w:tcW w:w="3118" w:type="dxa"/>
            <w:tcBorders>
              <w:bottom w:val="single" w:sz="4" w:space="0" w:color="auto"/>
            </w:tcBorders>
            <w:shd w:val="clear" w:color="auto" w:fill="D9D9D9" w:themeFill="background1" w:themeFillShade="D9"/>
          </w:tcPr>
          <w:p w14:paraId="1593DC20" w14:textId="77777777" w:rsidR="00463D5B" w:rsidRDefault="001D4217" w:rsidP="00DD6BC8">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The review found that recent projects supporting the monitoring and evaluation of ASEAN’s connectivity and Initiative for ASEAN Integration strategic plans were a practical way of strengthening ASEC M&amp;E capacity.</w:t>
            </w:r>
          </w:p>
          <w:p w14:paraId="6470676D" w14:textId="77777777" w:rsidR="00D92242" w:rsidRDefault="00D92242" w:rsidP="00DD6BC8">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18"/>
                <w:szCs w:val="18"/>
                <w:lang w:val="en-GB"/>
              </w:rPr>
            </w:pPr>
          </w:p>
          <w:p w14:paraId="473CBC74" w14:textId="77777777" w:rsidR="00D92242" w:rsidRPr="00035C24" w:rsidRDefault="00D92242" w:rsidP="00DD6BC8">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18"/>
                <w:szCs w:val="18"/>
                <w:lang w:val="en-GB"/>
              </w:rPr>
            </w:pPr>
            <w:r w:rsidRPr="00035C24">
              <w:rPr>
                <w:rFonts w:asciiTheme="minorHAnsi" w:hAnsiTheme="minorHAnsi" w:cstheme="minorHAnsi"/>
                <w:color w:val="000000" w:themeColor="text1"/>
                <w:sz w:val="18"/>
                <w:szCs w:val="18"/>
                <w:lang w:val="en-GB"/>
              </w:rPr>
              <w:t xml:space="preserve">ASEC and PPMSU have historically taken different approaches to M&amp;E, with PPMSU mostly geared towards </w:t>
            </w:r>
            <w:r w:rsidRPr="00035C24">
              <w:rPr>
                <w:rFonts w:asciiTheme="minorHAnsi" w:hAnsiTheme="minorHAnsi" w:cstheme="minorHAnsi"/>
                <w:color w:val="000000" w:themeColor="text1"/>
                <w:sz w:val="18"/>
                <w:szCs w:val="18"/>
                <w:lang w:val="en-GB"/>
              </w:rPr>
              <w:lastRenderedPageBreak/>
              <w:t>meeting DFAT quality reporting requirements.</w:t>
            </w:r>
          </w:p>
        </w:tc>
        <w:tc>
          <w:tcPr>
            <w:tcW w:w="3260" w:type="dxa"/>
            <w:tcBorders>
              <w:bottom w:val="single" w:sz="4" w:space="0" w:color="auto"/>
            </w:tcBorders>
            <w:shd w:val="clear" w:color="auto" w:fill="D9D9D9" w:themeFill="background1" w:themeFillShade="D9"/>
          </w:tcPr>
          <w:p w14:paraId="001691A6" w14:textId="77777777" w:rsidR="00463D5B" w:rsidRPr="00035C24" w:rsidRDefault="00D92242" w:rsidP="00B27815">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18"/>
                <w:szCs w:val="18"/>
                <w:lang w:val="en-GB"/>
              </w:rPr>
            </w:pPr>
            <w:r>
              <w:rPr>
                <w:rFonts w:asciiTheme="minorHAnsi" w:hAnsiTheme="minorHAnsi" w:cstheme="minorHAnsi"/>
                <w:color w:val="000000" w:themeColor="text1"/>
                <w:sz w:val="18"/>
                <w:szCs w:val="18"/>
                <w:lang w:val="en-GB"/>
              </w:rPr>
              <w:lastRenderedPageBreak/>
              <w:t>P</w:t>
            </w:r>
            <w:r w:rsidR="001029CB">
              <w:rPr>
                <w:rFonts w:asciiTheme="minorHAnsi" w:hAnsiTheme="minorHAnsi" w:cstheme="minorHAnsi"/>
                <w:color w:val="000000" w:themeColor="text1"/>
                <w:sz w:val="18"/>
                <w:szCs w:val="18"/>
                <w:lang w:val="en-GB"/>
              </w:rPr>
              <w:t>PMSU will continue</w:t>
            </w:r>
            <w:r>
              <w:rPr>
                <w:rFonts w:asciiTheme="minorHAnsi" w:hAnsiTheme="minorHAnsi" w:cstheme="minorHAnsi"/>
                <w:color w:val="000000" w:themeColor="text1"/>
                <w:sz w:val="18"/>
                <w:szCs w:val="18"/>
                <w:lang w:val="en-GB"/>
              </w:rPr>
              <w:t xml:space="preserve"> meeting DFAT quality reporting requirements.  </w:t>
            </w:r>
            <w:r w:rsidR="004D7D4C" w:rsidRPr="00035C24">
              <w:rPr>
                <w:rFonts w:asciiTheme="minorHAnsi" w:hAnsiTheme="minorHAnsi" w:cstheme="minorHAnsi"/>
                <w:color w:val="000000" w:themeColor="text1"/>
                <w:sz w:val="18"/>
                <w:szCs w:val="18"/>
                <w:lang w:val="en-GB"/>
              </w:rPr>
              <w:t>AADCP II remains open to projects that either support improvements to ASEC M&amp;E systems or that otherwise hold potential to develop the capacity of ASEC staff in M&amp;E</w:t>
            </w:r>
            <w:r w:rsidR="009A476C">
              <w:rPr>
                <w:rFonts w:asciiTheme="minorHAnsi" w:hAnsiTheme="minorHAnsi" w:cstheme="minorHAnsi"/>
                <w:color w:val="000000" w:themeColor="text1"/>
                <w:sz w:val="18"/>
                <w:szCs w:val="18"/>
                <w:lang w:val="en-GB"/>
              </w:rPr>
              <w:t>, but our modality constrains us from PPMSU proposing such work itself</w:t>
            </w:r>
            <w:r w:rsidR="004D7D4C" w:rsidRPr="00035C24">
              <w:rPr>
                <w:rFonts w:asciiTheme="minorHAnsi" w:hAnsiTheme="minorHAnsi" w:cstheme="minorHAnsi"/>
                <w:color w:val="000000" w:themeColor="text1"/>
                <w:sz w:val="18"/>
                <w:szCs w:val="18"/>
                <w:lang w:val="en-GB"/>
              </w:rPr>
              <w:t xml:space="preserve">. PPMSU will consider including linkages between project implementation and </w:t>
            </w:r>
            <w:r w:rsidR="004D7D4C" w:rsidRPr="00035C24">
              <w:rPr>
                <w:rFonts w:asciiTheme="minorHAnsi" w:hAnsiTheme="minorHAnsi" w:cstheme="minorHAnsi"/>
                <w:color w:val="000000" w:themeColor="text1"/>
                <w:sz w:val="18"/>
                <w:szCs w:val="18"/>
                <w:lang w:val="en-GB"/>
              </w:rPr>
              <w:lastRenderedPageBreak/>
              <w:t>improved ASEC capacity in future case studies.</w:t>
            </w:r>
          </w:p>
        </w:tc>
        <w:tc>
          <w:tcPr>
            <w:tcW w:w="1560" w:type="dxa"/>
            <w:tcBorders>
              <w:bottom w:val="single" w:sz="4" w:space="0" w:color="auto"/>
            </w:tcBorders>
            <w:shd w:val="clear" w:color="auto" w:fill="D9D9D9" w:themeFill="background1" w:themeFillShade="D9"/>
          </w:tcPr>
          <w:p w14:paraId="7CDE492B" w14:textId="77777777" w:rsidR="00463D5B" w:rsidRPr="00035C24" w:rsidRDefault="004D7D4C" w:rsidP="00B27815">
            <w:pPr>
              <w:suppressAutoHyphens/>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18"/>
                <w:szCs w:val="18"/>
                <w:lang w:val="en-GB"/>
              </w:rPr>
            </w:pPr>
            <w:r w:rsidRPr="00035C24">
              <w:rPr>
                <w:rFonts w:asciiTheme="minorHAnsi" w:hAnsiTheme="minorHAnsi" w:cstheme="minorHAnsi"/>
                <w:color w:val="000000" w:themeColor="text1"/>
                <w:sz w:val="18"/>
                <w:szCs w:val="18"/>
                <w:lang w:val="en-GB"/>
              </w:rPr>
              <w:lastRenderedPageBreak/>
              <w:t xml:space="preserve">Ongoing. One case study will be finalised by </w:t>
            </w:r>
            <w:r w:rsidR="00B27815">
              <w:rPr>
                <w:rFonts w:asciiTheme="minorHAnsi" w:hAnsiTheme="minorHAnsi" w:cstheme="minorHAnsi"/>
                <w:color w:val="000000" w:themeColor="text1"/>
                <w:sz w:val="18"/>
                <w:szCs w:val="18"/>
                <w:lang w:val="en-GB"/>
              </w:rPr>
              <w:t>Jan-Feb 2021</w:t>
            </w:r>
            <w:r w:rsidRPr="00035C24">
              <w:rPr>
                <w:rFonts w:asciiTheme="minorHAnsi" w:hAnsiTheme="minorHAnsi" w:cstheme="minorHAnsi"/>
                <w:color w:val="000000" w:themeColor="text1"/>
                <w:sz w:val="18"/>
                <w:szCs w:val="18"/>
                <w:lang w:val="en-GB"/>
              </w:rPr>
              <w:t>.</w:t>
            </w:r>
          </w:p>
        </w:tc>
      </w:tr>
      <w:tr w:rsidR="00463D5B" w:rsidRPr="00035C24" w14:paraId="04721BA3" w14:textId="77777777" w:rsidTr="00B92153">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823" w:type="dxa"/>
          </w:tcPr>
          <w:p w14:paraId="722F7372" w14:textId="77777777" w:rsidR="00463D5B" w:rsidRPr="00035C24" w:rsidRDefault="00024CD1" w:rsidP="00E86AF9">
            <w:pPr>
              <w:tabs>
                <w:tab w:val="left" w:pos="29"/>
                <w:tab w:val="left" w:pos="250"/>
              </w:tabs>
              <w:suppressAutoHyphens/>
              <w:spacing w:before="0" w:after="0" w:line="240" w:lineRule="auto"/>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7</w:t>
            </w:r>
            <w:r w:rsidR="00C137D3" w:rsidRPr="00035C24">
              <w:rPr>
                <w:rFonts w:asciiTheme="minorHAnsi" w:hAnsiTheme="minorHAnsi" w:cstheme="minorHAnsi"/>
                <w:color w:val="auto"/>
                <w:sz w:val="18"/>
                <w:szCs w:val="18"/>
                <w:lang w:val="en-GB"/>
              </w:rPr>
              <w:t xml:space="preserve">. </w:t>
            </w:r>
            <w:r w:rsidR="00CF2D51" w:rsidRPr="00035C24">
              <w:rPr>
                <w:rFonts w:asciiTheme="minorHAnsi" w:hAnsiTheme="minorHAnsi" w:cstheme="minorHAnsi"/>
                <w:color w:val="auto"/>
                <w:sz w:val="18"/>
                <w:szCs w:val="18"/>
                <w:lang w:val="en-GB"/>
              </w:rPr>
              <w:t>The AADCP II program team should continue to respond to the increased interest in M&amp;E from ASEC. Lessons learned from directly supporting the M&amp;E and IAI may provide useful lessons in this regard.</w:t>
            </w:r>
          </w:p>
        </w:tc>
        <w:tc>
          <w:tcPr>
            <w:tcW w:w="1134" w:type="dxa"/>
            <w:tcBorders>
              <w:bottom w:val="single" w:sz="4" w:space="0" w:color="auto"/>
            </w:tcBorders>
            <w:shd w:val="clear" w:color="auto" w:fill="70AD47" w:themeFill="accent6"/>
          </w:tcPr>
          <w:p w14:paraId="216CBE7F" w14:textId="77777777" w:rsidR="00463D5B" w:rsidRPr="00035C24" w:rsidRDefault="00463D5B" w:rsidP="00E86AF9">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35C24">
              <w:rPr>
                <w:rFonts w:asciiTheme="minorHAnsi" w:eastAsiaTheme="majorEastAsia" w:hAnsiTheme="minorHAnsi" w:cstheme="minorHAnsi"/>
                <w:bCs/>
                <w:color w:val="auto"/>
                <w:sz w:val="18"/>
                <w:szCs w:val="18"/>
              </w:rPr>
              <w:t>Agree</w:t>
            </w:r>
          </w:p>
        </w:tc>
        <w:tc>
          <w:tcPr>
            <w:tcW w:w="3118" w:type="dxa"/>
            <w:tcBorders>
              <w:bottom w:val="single" w:sz="4" w:space="0" w:color="auto"/>
            </w:tcBorders>
            <w:shd w:val="clear" w:color="auto" w:fill="D9D9D9" w:themeFill="background1" w:themeFillShade="D9"/>
          </w:tcPr>
          <w:p w14:paraId="63D4DF22" w14:textId="77777777" w:rsidR="00463D5B" w:rsidRPr="00035C24" w:rsidRDefault="001D4217" w:rsidP="005253F8">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 xml:space="preserve">As above, noting also that the review </w:t>
            </w:r>
            <w:r w:rsidR="005253F8" w:rsidRPr="00035C24">
              <w:rPr>
                <w:rFonts w:asciiTheme="minorHAnsi" w:hAnsiTheme="minorHAnsi" w:cstheme="minorHAnsi"/>
                <w:color w:val="auto"/>
                <w:sz w:val="18"/>
                <w:szCs w:val="18"/>
                <w:lang w:val="en-GB"/>
              </w:rPr>
              <w:t xml:space="preserve">also </w:t>
            </w:r>
            <w:r w:rsidRPr="00035C24">
              <w:rPr>
                <w:rFonts w:asciiTheme="minorHAnsi" w:hAnsiTheme="minorHAnsi" w:cstheme="minorHAnsi"/>
                <w:color w:val="auto"/>
                <w:sz w:val="18"/>
                <w:szCs w:val="18"/>
                <w:lang w:val="en-GB"/>
              </w:rPr>
              <w:t xml:space="preserve">found that interest </w:t>
            </w:r>
            <w:r w:rsidR="005253F8" w:rsidRPr="00035C24">
              <w:rPr>
                <w:rFonts w:asciiTheme="minorHAnsi" w:hAnsiTheme="minorHAnsi" w:cstheme="minorHAnsi"/>
                <w:color w:val="auto"/>
                <w:sz w:val="18"/>
                <w:szCs w:val="18"/>
                <w:lang w:val="en-GB"/>
              </w:rPr>
              <w:t xml:space="preserve">in M&amp;E </w:t>
            </w:r>
            <w:r w:rsidRPr="00035C24">
              <w:rPr>
                <w:rFonts w:asciiTheme="minorHAnsi" w:hAnsiTheme="minorHAnsi" w:cstheme="minorHAnsi"/>
                <w:color w:val="auto"/>
                <w:sz w:val="18"/>
                <w:szCs w:val="18"/>
                <w:lang w:val="en-GB"/>
              </w:rPr>
              <w:t>within ASEAN and ASEC is growing</w:t>
            </w:r>
            <w:r w:rsidR="005253F8" w:rsidRPr="00035C24">
              <w:rPr>
                <w:rFonts w:asciiTheme="minorHAnsi" w:hAnsiTheme="minorHAnsi" w:cstheme="minorHAnsi"/>
                <w:color w:val="auto"/>
                <w:sz w:val="18"/>
                <w:szCs w:val="18"/>
                <w:lang w:val="en-GB"/>
              </w:rPr>
              <w:t>,</w:t>
            </w:r>
            <w:r w:rsidRPr="00035C24">
              <w:rPr>
                <w:rFonts w:asciiTheme="minorHAnsi" w:hAnsiTheme="minorHAnsi" w:cstheme="minorHAnsi"/>
                <w:color w:val="auto"/>
                <w:sz w:val="18"/>
                <w:szCs w:val="18"/>
                <w:lang w:val="en-GB"/>
              </w:rPr>
              <w:t xml:space="preserve"> presenting an opportunity for AADCP II.</w:t>
            </w:r>
          </w:p>
        </w:tc>
        <w:tc>
          <w:tcPr>
            <w:tcW w:w="3260" w:type="dxa"/>
            <w:tcBorders>
              <w:bottom w:val="single" w:sz="4" w:space="0" w:color="auto"/>
            </w:tcBorders>
            <w:shd w:val="clear" w:color="auto" w:fill="D9D9D9" w:themeFill="background1" w:themeFillShade="D9"/>
          </w:tcPr>
          <w:p w14:paraId="788102C0" w14:textId="77777777" w:rsidR="00463D5B" w:rsidRPr="00035C24" w:rsidRDefault="00D7296F" w:rsidP="009A476C">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As above</w:t>
            </w:r>
            <w:r w:rsidR="009A476C">
              <w:rPr>
                <w:rFonts w:asciiTheme="minorHAnsi" w:hAnsiTheme="minorHAnsi" w:cstheme="minorHAnsi"/>
                <w:color w:val="auto"/>
                <w:sz w:val="18"/>
                <w:szCs w:val="18"/>
                <w:lang w:val="en-GB"/>
              </w:rPr>
              <w:t xml:space="preserve"> – PPMSU is open to supporting projects to enhance ASEC M&amp;E, subject to demand.</w:t>
            </w:r>
          </w:p>
        </w:tc>
        <w:tc>
          <w:tcPr>
            <w:tcW w:w="1560" w:type="dxa"/>
            <w:tcBorders>
              <w:bottom w:val="single" w:sz="4" w:space="0" w:color="auto"/>
            </w:tcBorders>
            <w:shd w:val="clear" w:color="auto" w:fill="D9D9D9" w:themeFill="background1" w:themeFillShade="D9"/>
          </w:tcPr>
          <w:p w14:paraId="08537312" w14:textId="77777777" w:rsidR="00463D5B" w:rsidRPr="00035C24" w:rsidRDefault="00D7296F" w:rsidP="00D7296F">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Ongoing</w:t>
            </w:r>
          </w:p>
        </w:tc>
      </w:tr>
      <w:tr w:rsidR="00024CD1" w:rsidRPr="00035C24" w14:paraId="58E1E261" w14:textId="77777777" w:rsidTr="000D1852">
        <w:trPr>
          <w:cnfStyle w:val="000000010000" w:firstRow="0" w:lastRow="0" w:firstColumn="0" w:lastColumn="0" w:oddVBand="0" w:evenVBand="0" w:oddHBand="0" w:evenHBand="1"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2895" w:type="dxa"/>
            <w:gridSpan w:val="5"/>
            <w:vAlign w:val="center"/>
          </w:tcPr>
          <w:p w14:paraId="289AE221" w14:textId="77777777" w:rsidR="00024CD1" w:rsidRPr="00035C24" w:rsidRDefault="00024CD1" w:rsidP="00024CD1">
            <w:pPr>
              <w:suppressAutoHyphens/>
              <w:spacing w:before="0" w:after="0" w:line="240" w:lineRule="auto"/>
              <w:rPr>
                <w:rFonts w:asciiTheme="minorHAnsi" w:hAnsiTheme="minorHAnsi" w:cstheme="minorHAnsi"/>
                <w:color w:val="auto"/>
                <w:sz w:val="18"/>
                <w:szCs w:val="18"/>
                <w:lang w:val="en-GB"/>
              </w:rPr>
            </w:pPr>
            <w:r w:rsidRPr="00035C24">
              <w:rPr>
                <w:rFonts w:asciiTheme="minorHAnsi" w:hAnsiTheme="minorHAnsi" w:cstheme="minorHAnsi"/>
                <w:b/>
                <w:color w:val="auto"/>
                <w:sz w:val="18"/>
                <w:szCs w:val="18"/>
                <w:lang w:val="en-GB"/>
              </w:rPr>
              <w:t>Project design and implementation</w:t>
            </w:r>
          </w:p>
        </w:tc>
      </w:tr>
      <w:tr w:rsidR="00592C8C" w:rsidRPr="00035C24" w14:paraId="69839976" w14:textId="77777777" w:rsidTr="00D7296F">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823" w:type="dxa"/>
          </w:tcPr>
          <w:p w14:paraId="6CB68DA2" w14:textId="77777777" w:rsidR="00592C8C" w:rsidRPr="00035C24" w:rsidRDefault="00024CD1" w:rsidP="00C1798F">
            <w:pPr>
              <w:tabs>
                <w:tab w:val="left" w:pos="213"/>
              </w:tabs>
              <w:suppressAutoHyphens/>
              <w:spacing w:before="0" w:after="0" w:line="240" w:lineRule="auto"/>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8</w:t>
            </w:r>
            <w:r w:rsidR="005D58FE" w:rsidRPr="00035C24">
              <w:rPr>
                <w:rFonts w:asciiTheme="minorHAnsi" w:hAnsiTheme="minorHAnsi" w:cstheme="minorHAnsi"/>
                <w:color w:val="auto"/>
                <w:sz w:val="18"/>
                <w:szCs w:val="18"/>
                <w:lang w:val="en-GB"/>
              </w:rPr>
              <w:t xml:space="preserve">. </w:t>
            </w:r>
            <w:r w:rsidR="00CF2D51" w:rsidRPr="00035C24">
              <w:rPr>
                <w:rFonts w:asciiTheme="minorHAnsi" w:hAnsiTheme="minorHAnsi" w:cstheme="minorHAnsi"/>
                <w:color w:val="auto"/>
                <w:sz w:val="18"/>
                <w:szCs w:val="18"/>
                <w:lang w:val="en-GB"/>
              </w:rPr>
              <w:t xml:space="preserve">The PMT and the AADCP II program team should work with ASEC to clarify roles and responsibilities of the team and ASEAN in proposal development and project implementation.  </w:t>
            </w:r>
          </w:p>
        </w:tc>
        <w:tc>
          <w:tcPr>
            <w:tcW w:w="1134" w:type="dxa"/>
            <w:shd w:val="clear" w:color="auto" w:fill="ED7D31" w:themeFill="accent2"/>
          </w:tcPr>
          <w:p w14:paraId="32647D5C" w14:textId="77777777" w:rsidR="00592C8C" w:rsidRPr="00035C24" w:rsidRDefault="00D7296F" w:rsidP="001E660A">
            <w:pPr>
              <w:keepNext/>
              <w:keepLines/>
              <w:suppressAutoHyphens/>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bCs/>
                <w:sz w:val="18"/>
                <w:szCs w:val="18"/>
              </w:rPr>
            </w:pPr>
            <w:r w:rsidRPr="00035C24">
              <w:rPr>
                <w:rFonts w:asciiTheme="minorHAnsi" w:eastAsiaTheme="majorEastAsia" w:hAnsiTheme="minorHAnsi" w:cstheme="minorHAnsi"/>
                <w:bCs/>
                <w:color w:val="auto"/>
                <w:sz w:val="18"/>
                <w:szCs w:val="18"/>
              </w:rPr>
              <w:t xml:space="preserve">Partially </w:t>
            </w:r>
            <w:r w:rsidR="00E971E4" w:rsidRPr="00035C24">
              <w:rPr>
                <w:rFonts w:asciiTheme="minorHAnsi" w:eastAsiaTheme="majorEastAsia" w:hAnsiTheme="minorHAnsi" w:cstheme="minorHAnsi"/>
                <w:bCs/>
                <w:color w:val="auto"/>
                <w:sz w:val="18"/>
                <w:szCs w:val="18"/>
              </w:rPr>
              <w:t>Agree</w:t>
            </w:r>
          </w:p>
        </w:tc>
        <w:tc>
          <w:tcPr>
            <w:tcW w:w="3118" w:type="dxa"/>
            <w:tcBorders>
              <w:bottom w:val="single" w:sz="4" w:space="0" w:color="auto"/>
            </w:tcBorders>
            <w:shd w:val="clear" w:color="auto" w:fill="D9D9D9" w:themeFill="background1" w:themeFillShade="D9"/>
          </w:tcPr>
          <w:p w14:paraId="5429EF7D" w14:textId="77777777" w:rsidR="00592C8C" w:rsidRDefault="00D7296F" w:rsidP="005D358B">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en-GB"/>
              </w:rPr>
            </w:pPr>
            <w:r w:rsidRPr="00035C24">
              <w:rPr>
                <w:rFonts w:asciiTheme="minorHAnsi" w:hAnsiTheme="minorHAnsi" w:cstheme="minorHAnsi"/>
                <w:color w:val="000000" w:themeColor="text1"/>
                <w:sz w:val="18"/>
                <w:szCs w:val="18"/>
                <w:lang w:val="en-GB"/>
              </w:rPr>
              <w:t xml:space="preserve">As a result of the design of AADCP II and </w:t>
            </w:r>
            <w:r w:rsidR="005D358B" w:rsidRPr="00035C24">
              <w:rPr>
                <w:rFonts w:asciiTheme="minorHAnsi" w:hAnsiTheme="minorHAnsi" w:cstheme="minorHAnsi"/>
                <w:color w:val="000000" w:themeColor="text1"/>
                <w:sz w:val="18"/>
                <w:szCs w:val="18"/>
                <w:lang w:val="en-GB"/>
              </w:rPr>
              <w:t>its</w:t>
            </w:r>
            <w:r w:rsidRPr="00035C24">
              <w:rPr>
                <w:rFonts w:asciiTheme="minorHAnsi" w:hAnsiTheme="minorHAnsi" w:cstheme="minorHAnsi"/>
                <w:color w:val="000000" w:themeColor="text1"/>
                <w:sz w:val="18"/>
                <w:szCs w:val="18"/>
                <w:lang w:val="en-GB"/>
              </w:rPr>
              <w:t xml:space="preserve"> governing documents (MOU and Cooperation Arrangement) there is a degree of inherent ambiguity in the roles of PPMSU and ASEC in the design and, particularly, the implementation of projects. </w:t>
            </w:r>
            <w:r w:rsidR="005D358B" w:rsidRPr="00035C24">
              <w:rPr>
                <w:rFonts w:asciiTheme="minorHAnsi" w:hAnsiTheme="minorHAnsi" w:cstheme="minorHAnsi"/>
                <w:color w:val="000000" w:themeColor="text1"/>
                <w:sz w:val="18"/>
                <w:szCs w:val="18"/>
                <w:lang w:val="en-GB"/>
              </w:rPr>
              <w:t>ASEC has been clear that project contracts are between itself and implementing partners, and that PPMSU has no legal standing. Demand and need remain, to various degrees, for PPMSU support at all stages of project design and implementation.</w:t>
            </w:r>
          </w:p>
          <w:p w14:paraId="67D569AC" w14:textId="77777777" w:rsidR="001029CB" w:rsidRDefault="001029CB" w:rsidP="005D358B">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en-GB"/>
              </w:rPr>
            </w:pPr>
          </w:p>
          <w:p w14:paraId="0143CE78" w14:textId="77777777" w:rsidR="001029CB" w:rsidRPr="00035C24" w:rsidRDefault="001029CB" w:rsidP="005D358B">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en-GB"/>
              </w:rPr>
            </w:pPr>
            <w:r w:rsidRPr="00035C24">
              <w:rPr>
                <w:rFonts w:asciiTheme="minorHAnsi" w:hAnsiTheme="minorHAnsi" w:cstheme="minorHAnsi"/>
                <w:color w:val="000000" w:themeColor="text1"/>
                <w:sz w:val="18"/>
                <w:szCs w:val="18"/>
                <w:lang w:val="en-GB"/>
              </w:rPr>
              <w:t>PPMSU has arrived at a workable arrangement with ASEC project proponents on respective roles and responsibilities. During project des</w:t>
            </w:r>
            <w:r>
              <w:rPr>
                <w:rFonts w:asciiTheme="minorHAnsi" w:hAnsiTheme="minorHAnsi" w:cstheme="minorHAnsi"/>
                <w:color w:val="000000" w:themeColor="text1"/>
                <w:sz w:val="18"/>
                <w:szCs w:val="18"/>
                <w:lang w:val="en-GB"/>
              </w:rPr>
              <w:t xml:space="preserve">ign, PPMSU is an active partner </w:t>
            </w:r>
            <w:r w:rsidRPr="00035C24">
              <w:rPr>
                <w:rFonts w:asciiTheme="minorHAnsi" w:hAnsiTheme="minorHAnsi" w:cstheme="minorHAnsi"/>
                <w:color w:val="000000" w:themeColor="text1"/>
                <w:sz w:val="18"/>
                <w:szCs w:val="18"/>
                <w:lang w:val="en-GB"/>
              </w:rPr>
              <w:t xml:space="preserve">with desks in ensuring projects are well-designed and meet AADCP II criteria. Once contracted, PPMSU acknowledges the primary role of ASEC staff. PPMSU in these situations works ‘behind the scenes’ with the relevant ASEC division on issues as they arrive, but all formal communication rests with ASEC. Contractual issues and disputes are managed between the relevant ASEC </w:t>
            </w:r>
            <w:r w:rsidRPr="00035C24">
              <w:rPr>
                <w:rFonts w:asciiTheme="minorHAnsi" w:hAnsiTheme="minorHAnsi" w:cstheme="minorHAnsi"/>
                <w:color w:val="000000" w:themeColor="text1"/>
                <w:sz w:val="18"/>
                <w:szCs w:val="18"/>
                <w:lang w:val="en-GB"/>
              </w:rPr>
              <w:lastRenderedPageBreak/>
              <w:t>division and ASEC Legal, with PPMSU consulted throughout.</w:t>
            </w:r>
          </w:p>
        </w:tc>
        <w:tc>
          <w:tcPr>
            <w:tcW w:w="3260" w:type="dxa"/>
            <w:tcBorders>
              <w:bottom w:val="single" w:sz="4" w:space="0" w:color="auto"/>
            </w:tcBorders>
            <w:shd w:val="clear" w:color="auto" w:fill="D9D9D9" w:themeFill="background1" w:themeFillShade="D9"/>
          </w:tcPr>
          <w:p w14:paraId="2154830C" w14:textId="77777777" w:rsidR="005D358B" w:rsidRPr="00035C24" w:rsidRDefault="001029CB" w:rsidP="001E660A">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en-GB"/>
              </w:rPr>
            </w:pPr>
            <w:r>
              <w:rPr>
                <w:rFonts w:asciiTheme="minorHAnsi" w:hAnsiTheme="minorHAnsi" w:cstheme="minorHAnsi"/>
                <w:color w:val="000000" w:themeColor="text1"/>
                <w:sz w:val="18"/>
                <w:szCs w:val="18"/>
                <w:lang w:val="en-GB"/>
              </w:rPr>
              <w:lastRenderedPageBreak/>
              <w:t>PPMSU will continue the current arrangement with ASEC project proponents on roles and responsibilities.</w:t>
            </w:r>
          </w:p>
          <w:p w14:paraId="423438B4" w14:textId="77777777" w:rsidR="001029CB" w:rsidRDefault="001029CB" w:rsidP="001E660A">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en-GB"/>
              </w:rPr>
            </w:pPr>
          </w:p>
          <w:p w14:paraId="68703275" w14:textId="77777777" w:rsidR="001029CB" w:rsidRDefault="001029CB" w:rsidP="001E660A">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en-GB"/>
              </w:rPr>
            </w:pPr>
          </w:p>
          <w:p w14:paraId="334CAB97" w14:textId="77777777" w:rsidR="00592C8C" w:rsidRPr="00035C24" w:rsidRDefault="001029CB" w:rsidP="001E660A">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en-GB"/>
              </w:rPr>
            </w:pPr>
            <w:r>
              <w:rPr>
                <w:rFonts w:asciiTheme="minorHAnsi" w:hAnsiTheme="minorHAnsi" w:cstheme="minorHAnsi"/>
                <w:color w:val="000000" w:themeColor="text1"/>
                <w:sz w:val="18"/>
                <w:szCs w:val="18"/>
                <w:lang w:val="en-GB"/>
              </w:rPr>
              <w:t xml:space="preserve">The design team of the </w:t>
            </w:r>
            <w:r w:rsidR="0015592A">
              <w:rPr>
                <w:rFonts w:asciiTheme="minorHAnsi" w:hAnsiTheme="minorHAnsi" w:cstheme="minorHAnsi"/>
                <w:color w:val="000000" w:themeColor="text1"/>
                <w:sz w:val="18"/>
                <w:szCs w:val="18"/>
                <w:lang w:val="en-GB"/>
              </w:rPr>
              <w:t>successor</w:t>
            </w:r>
            <w:r>
              <w:rPr>
                <w:rFonts w:asciiTheme="minorHAnsi" w:hAnsiTheme="minorHAnsi" w:cstheme="minorHAnsi"/>
                <w:color w:val="000000" w:themeColor="text1"/>
                <w:sz w:val="18"/>
                <w:szCs w:val="18"/>
                <w:lang w:val="en-GB"/>
              </w:rPr>
              <w:t xml:space="preserve"> program will consider a</w:t>
            </w:r>
            <w:r w:rsidR="005D358B" w:rsidRPr="00035C24">
              <w:rPr>
                <w:rFonts w:asciiTheme="minorHAnsi" w:hAnsiTheme="minorHAnsi" w:cstheme="minorHAnsi"/>
                <w:color w:val="000000" w:themeColor="text1"/>
                <w:sz w:val="18"/>
                <w:szCs w:val="18"/>
                <w:lang w:val="en-GB"/>
              </w:rPr>
              <w:t xml:space="preserve">ny formal changes in roles </w:t>
            </w:r>
            <w:r>
              <w:rPr>
                <w:rFonts w:asciiTheme="minorHAnsi" w:hAnsiTheme="minorHAnsi" w:cstheme="minorHAnsi"/>
                <w:color w:val="000000" w:themeColor="text1"/>
                <w:sz w:val="18"/>
                <w:szCs w:val="18"/>
                <w:lang w:val="en-GB"/>
              </w:rPr>
              <w:t>and responsibilities</w:t>
            </w:r>
            <w:r w:rsidR="005D358B" w:rsidRPr="00035C24">
              <w:rPr>
                <w:rFonts w:asciiTheme="minorHAnsi" w:hAnsiTheme="minorHAnsi" w:cstheme="minorHAnsi"/>
                <w:color w:val="000000" w:themeColor="text1"/>
                <w:sz w:val="18"/>
                <w:szCs w:val="18"/>
                <w:lang w:val="en-GB"/>
              </w:rPr>
              <w:t xml:space="preserve">. </w:t>
            </w:r>
          </w:p>
        </w:tc>
        <w:tc>
          <w:tcPr>
            <w:tcW w:w="1560" w:type="dxa"/>
            <w:tcBorders>
              <w:bottom w:val="single" w:sz="4" w:space="0" w:color="auto"/>
            </w:tcBorders>
            <w:shd w:val="clear" w:color="auto" w:fill="D9D9D9" w:themeFill="background1" w:themeFillShade="D9"/>
          </w:tcPr>
          <w:p w14:paraId="1F5F87B7" w14:textId="77777777" w:rsidR="001029CB" w:rsidRDefault="005D358B" w:rsidP="001E660A">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en-GB"/>
              </w:rPr>
            </w:pPr>
            <w:r w:rsidRPr="00035C24">
              <w:rPr>
                <w:rFonts w:asciiTheme="minorHAnsi" w:hAnsiTheme="minorHAnsi" w:cstheme="minorHAnsi"/>
                <w:color w:val="000000" w:themeColor="text1"/>
                <w:sz w:val="18"/>
                <w:szCs w:val="18"/>
                <w:lang w:val="en-GB"/>
              </w:rPr>
              <w:t xml:space="preserve">Ongoing; </w:t>
            </w:r>
          </w:p>
          <w:p w14:paraId="2EE63260" w14:textId="77777777" w:rsidR="001029CB" w:rsidRDefault="001029CB" w:rsidP="001E660A">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en-GB"/>
              </w:rPr>
            </w:pPr>
          </w:p>
          <w:p w14:paraId="50275DDF" w14:textId="77777777" w:rsidR="001029CB" w:rsidRDefault="001029CB" w:rsidP="001E660A">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en-GB"/>
              </w:rPr>
            </w:pPr>
          </w:p>
          <w:p w14:paraId="11491B6A" w14:textId="77777777" w:rsidR="001029CB" w:rsidRDefault="001029CB" w:rsidP="001E660A">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en-GB"/>
              </w:rPr>
            </w:pPr>
          </w:p>
          <w:p w14:paraId="3CAD7E76" w14:textId="77777777" w:rsidR="001029CB" w:rsidRDefault="001029CB" w:rsidP="001E660A">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en-GB"/>
              </w:rPr>
            </w:pPr>
          </w:p>
          <w:p w14:paraId="370F858F" w14:textId="5A6F4544" w:rsidR="001E660A" w:rsidRPr="00035C24" w:rsidRDefault="00181310" w:rsidP="001E660A">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en-GB"/>
              </w:rPr>
            </w:pPr>
            <w:r>
              <w:rPr>
                <w:rFonts w:asciiTheme="minorHAnsi" w:hAnsiTheme="minorHAnsi" w:cstheme="minorHAnsi"/>
                <w:color w:val="auto"/>
                <w:sz w:val="18"/>
                <w:szCs w:val="18"/>
                <w:lang w:val="en-GB"/>
              </w:rPr>
              <w:t>Design of the successor program to commence in FY 2020-21</w:t>
            </w:r>
            <w:r w:rsidRPr="00035C24">
              <w:rPr>
                <w:rFonts w:asciiTheme="minorHAnsi" w:hAnsiTheme="minorHAnsi" w:cstheme="minorHAnsi"/>
                <w:color w:val="auto"/>
                <w:sz w:val="18"/>
                <w:szCs w:val="18"/>
                <w:lang w:val="en-GB"/>
              </w:rPr>
              <w:t>.</w:t>
            </w:r>
          </w:p>
        </w:tc>
      </w:tr>
      <w:tr w:rsidR="00592C8C" w:rsidRPr="00035C24" w14:paraId="191675C5" w14:textId="77777777" w:rsidTr="00B92153">
        <w:trPr>
          <w:cnfStyle w:val="000000010000" w:firstRow="0" w:lastRow="0" w:firstColumn="0" w:lastColumn="0" w:oddVBand="0" w:evenVBand="0" w:oddHBand="0" w:evenHBand="1"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823" w:type="dxa"/>
          </w:tcPr>
          <w:p w14:paraId="78A32DE3" w14:textId="77777777" w:rsidR="00592C8C" w:rsidRPr="00035C24" w:rsidRDefault="00024CD1" w:rsidP="00C1798F">
            <w:pPr>
              <w:tabs>
                <w:tab w:val="left" w:pos="263"/>
              </w:tabs>
              <w:suppressAutoHyphens/>
              <w:spacing w:before="0" w:after="0" w:line="240" w:lineRule="auto"/>
              <w:rPr>
                <w:rFonts w:asciiTheme="minorHAnsi" w:hAnsiTheme="minorHAnsi" w:cstheme="minorHAnsi"/>
                <w:b/>
                <w:color w:val="auto"/>
                <w:sz w:val="18"/>
                <w:szCs w:val="18"/>
                <w:lang w:val="en-GB"/>
              </w:rPr>
            </w:pPr>
            <w:r w:rsidRPr="00035C24">
              <w:rPr>
                <w:rFonts w:asciiTheme="minorHAnsi" w:hAnsiTheme="minorHAnsi" w:cstheme="minorHAnsi"/>
                <w:color w:val="auto"/>
                <w:sz w:val="18"/>
                <w:szCs w:val="18"/>
                <w:lang w:val="en-GB"/>
              </w:rPr>
              <w:t>9</w:t>
            </w:r>
            <w:r w:rsidR="00592C8C" w:rsidRPr="00035C24">
              <w:rPr>
                <w:rFonts w:asciiTheme="minorHAnsi" w:hAnsiTheme="minorHAnsi" w:cstheme="minorHAnsi"/>
                <w:color w:val="auto"/>
                <w:sz w:val="18"/>
                <w:szCs w:val="18"/>
                <w:lang w:val="en-GB"/>
              </w:rPr>
              <w:t>.</w:t>
            </w:r>
            <w:r w:rsidR="00592C8C" w:rsidRPr="00035C24">
              <w:rPr>
                <w:rFonts w:asciiTheme="minorHAnsi" w:hAnsiTheme="minorHAnsi" w:cstheme="minorHAnsi"/>
                <w:color w:val="auto"/>
                <w:sz w:val="18"/>
                <w:szCs w:val="18"/>
                <w:lang w:val="en-GB"/>
              </w:rPr>
              <w:tab/>
            </w:r>
            <w:r w:rsidR="00C1798F" w:rsidRPr="00035C24">
              <w:rPr>
                <w:rFonts w:asciiTheme="minorHAnsi" w:hAnsiTheme="minorHAnsi" w:cstheme="minorHAnsi"/>
                <w:color w:val="auto"/>
                <w:sz w:val="18"/>
                <w:szCs w:val="18"/>
                <w:lang w:val="en-GB"/>
              </w:rPr>
              <w:t xml:space="preserve">DFAT and PMT should continue to try to reduce the numbers of ad hoc projects to: (i) reduce the time spent by processing and overseeing requests for small ad hoc activities, and; (ii) facilitate reporting on project results and better communications of results.  </w:t>
            </w:r>
          </w:p>
        </w:tc>
        <w:tc>
          <w:tcPr>
            <w:tcW w:w="1134" w:type="dxa"/>
            <w:shd w:val="clear" w:color="auto" w:fill="70AD47" w:themeFill="accent6"/>
          </w:tcPr>
          <w:p w14:paraId="27245E7E" w14:textId="77777777" w:rsidR="00592C8C" w:rsidRPr="00035C24" w:rsidRDefault="005D58FE" w:rsidP="00E86AF9">
            <w:pPr>
              <w:keepNext/>
              <w:keepLines/>
              <w:suppressAutoHyphens/>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cstheme="minorHAnsi"/>
                <w:bCs/>
                <w:color w:val="auto"/>
                <w:sz w:val="18"/>
                <w:szCs w:val="18"/>
              </w:rPr>
            </w:pPr>
            <w:r w:rsidRPr="00035C24">
              <w:rPr>
                <w:rFonts w:asciiTheme="minorHAnsi" w:eastAsiaTheme="majorEastAsia" w:hAnsiTheme="minorHAnsi" w:cstheme="minorHAnsi"/>
                <w:bCs/>
                <w:color w:val="auto"/>
                <w:sz w:val="18"/>
                <w:szCs w:val="18"/>
              </w:rPr>
              <w:t>Agree</w:t>
            </w:r>
          </w:p>
        </w:tc>
        <w:tc>
          <w:tcPr>
            <w:tcW w:w="3118" w:type="dxa"/>
            <w:tcBorders>
              <w:bottom w:val="single" w:sz="4" w:space="0" w:color="auto"/>
            </w:tcBorders>
            <w:shd w:val="clear" w:color="auto" w:fill="D9D9D9" w:themeFill="background1" w:themeFillShade="D9"/>
          </w:tcPr>
          <w:p w14:paraId="3949D985" w14:textId="77777777" w:rsidR="00592C8C" w:rsidRPr="00035C24" w:rsidRDefault="005E4D2B" w:rsidP="005E4D2B">
            <w:pPr>
              <w:tabs>
                <w:tab w:val="left" w:pos="263"/>
              </w:tabs>
              <w:suppressAutoHyphens/>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The review noted ongoing efforts in recent years to reduce the number of smaller/ad hoc projects and that this was reflected in greater consolidation of projects.</w:t>
            </w:r>
          </w:p>
        </w:tc>
        <w:tc>
          <w:tcPr>
            <w:tcW w:w="3260" w:type="dxa"/>
            <w:tcBorders>
              <w:bottom w:val="single" w:sz="4" w:space="0" w:color="auto"/>
            </w:tcBorders>
            <w:shd w:val="clear" w:color="auto" w:fill="D9D9D9" w:themeFill="background1" w:themeFillShade="D9"/>
          </w:tcPr>
          <w:p w14:paraId="612AA3AC" w14:textId="77777777" w:rsidR="00592C8C" w:rsidRPr="00035C24" w:rsidRDefault="005E4D2B" w:rsidP="005E4D2B">
            <w:pPr>
              <w:tabs>
                <w:tab w:val="left" w:pos="263"/>
              </w:tabs>
              <w:suppressAutoHyphens/>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 xml:space="preserve">PPMSU and PMT will continue to apply AADCP II criteria to project proposals that they clearly support an identified ASEAN priority agenda, that they are ambitious in scope and have clearly identified outcomes. Proposals not meeting these criteria will continue either not to be pursued or amended to bring them into line with criteria.  </w:t>
            </w:r>
          </w:p>
        </w:tc>
        <w:tc>
          <w:tcPr>
            <w:tcW w:w="1560" w:type="dxa"/>
            <w:tcBorders>
              <w:bottom w:val="single" w:sz="4" w:space="0" w:color="auto"/>
            </w:tcBorders>
            <w:shd w:val="clear" w:color="auto" w:fill="D9D9D9" w:themeFill="background1" w:themeFillShade="D9"/>
          </w:tcPr>
          <w:p w14:paraId="3BD5EDF4" w14:textId="77777777" w:rsidR="00910B82" w:rsidRPr="00035C24" w:rsidRDefault="005E4D2B" w:rsidP="005E4D2B">
            <w:pPr>
              <w:tabs>
                <w:tab w:val="left" w:pos="263"/>
              </w:tabs>
              <w:suppressAutoHyphens/>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18"/>
                <w:szCs w:val="18"/>
                <w:lang w:val="en-GB"/>
              </w:rPr>
            </w:pPr>
            <w:r w:rsidRPr="00035C24">
              <w:rPr>
                <w:rFonts w:asciiTheme="minorHAnsi" w:hAnsiTheme="minorHAnsi" w:cstheme="minorHAnsi"/>
                <w:color w:val="auto"/>
                <w:sz w:val="18"/>
                <w:szCs w:val="18"/>
                <w:lang w:val="en-GB"/>
              </w:rPr>
              <w:t>Ongoing</w:t>
            </w:r>
          </w:p>
        </w:tc>
      </w:tr>
    </w:tbl>
    <w:p w14:paraId="0DB0CF07" w14:textId="77777777" w:rsidR="0049243D" w:rsidRDefault="0049243D"/>
    <w:tbl>
      <w:tblPr>
        <w:tblStyle w:val="DFATTable1"/>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5"/>
      </w:tblGrid>
      <w:tr w:rsidR="0049243D" w:rsidRPr="00035C24" w14:paraId="31298FE6" w14:textId="77777777" w:rsidTr="0047308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95" w:type="dxa"/>
            <w:vAlign w:val="center"/>
          </w:tcPr>
          <w:p w14:paraId="5302E575" w14:textId="64361521" w:rsidR="0049243D" w:rsidRPr="0049243D" w:rsidRDefault="0049243D" w:rsidP="00181310">
            <w:pPr>
              <w:suppressAutoHyphens/>
              <w:spacing w:after="0" w:line="240" w:lineRule="auto"/>
              <w:rPr>
                <w:rFonts w:cstheme="minorHAnsi"/>
                <w:b/>
                <w:iCs/>
                <w:color w:val="000000" w:themeColor="text1"/>
                <w:sz w:val="18"/>
                <w:szCs w:val="18"/>
                <w:lang w:val="en-GB"/>
              </w:rPr>
            </w:pPr>
            <w:r w:rsidRPr="0049243D">
              <w:rPr>
                <w:rFonts w:cstheme="minorHAnsi"/>
                <w:b/>
                <w:iCs/>
                <w:color w:val="000000" w:themeColor="text1"/>
                <w:sz w:val="18"/>
                <w:szCs w:val="18"/>
                <w:lang w:val="en-GB"/>
              </w:rPr>
              <w:t>Recommendations 1</w:t>
            </w:r>
            <w:r w:rsidR="0047308C">
              <w:rPr>
                <w:rFonts w:cstheme="minorHAnsi"/>
                <w:b/>
                <w:iCs/>
                <w:color w:val="000000" w:themeColor="text1"/>
                <w:sz w:val="18"/>
                <w:szCs w:val="18"/>
                <w:lang w:val="en-GB"/>
              </w:rPr>
              <w:t>0</w:t>
            </w:r>
            <w:r w:rsidRPr="0049243D">
              <w:rPr>
                <w:rFonts w:cstheme="minorHAnsi"/>
                <w:b/>
                <w:iCs/>
                <w:color w:val="000000" w:themeColor="text1"/>
                <w:sz w:val="18"/>
                <w:szCs w:val="18"/>
                <w:lang w:val="en-GB"/>
              </w:rPr>
              <w:t xml:space="preserve">-19 </w:t>
            </w:r>
            <w:r>
              <w:rPr>
                <w:rFonts w:cstheme="minorHAnsi"/>
                <w:b/>
                <w:iCs/>
                <w:color w:val="000000" w:themeColor="text1"/>
                <w:sz w:val="18"/>
                <w:szCs w:val="18"/>
                <w:lang w:val="en-GB"/>
              </w:rPr>
              <w:t xml:space="preserve">are for </w:t>
            </w:r>
            <w:r w:rsidRPr="0049243D">
              <w:rPr>
                <w:rFonts w:cstheme="minorHAnsi"/>
                <w:b/>
                <w:iCs/>
                <w:color w:val="000000" w:themeColor="text1"/>
                <w:sz w:val="18"/>
                <w:szCs w:val="18"/>
                <w:lang w:val="en-GB"/>
              </w:rPr>
              <w:t>the design of a successor program to AADCP II in</w:t>
            </w:r>
            <w:r w:rsidR="00487AC6">
              <w:rPr>
                <w:rFonts w:cstheme="minorHAnsi"/>
                <w:b/>
                <w:iCs/>
                <w:color w:val="000000" w:themeColor="text1"/>
                <w:sz w:val="18"/>
                <w:szCs w:val="18"/>
                <w:lang w:val="en-GB"/>
              </w:rPr>
              <w:t xml:space="preserve"> </w:t>
            </w:r>
            <w:r w:rsidR="00181310">
              <w:rPr>
                <w:rFonts w:cstheme="minorHAnsi"/>
                <w:b/>
                <w:iCs/>
                <w:color w:val="000000" w:themeColor="text1"/>
                <w:sz w:val="18"/>
                <w:szCs w:val="18"/>
                <w:lang w:val="en-GB"/>
              </w:rPr>
              <w:t>Financial Year</w:t>
            </w:r>
            <w:r w:rsidRPr="0049243D">
              <w:rPr>
                <w:rFonts w:cstheme="minorHAnsi"/>
                <w:b/>
                <w:iCs/>
                <w:color w:val="000000" w:themeColor="text1"/>
                <w:sz w:val="18"/>
                <w:szCs w:val="18"/>
                <w:lang w:val="en-GB"/>
              </w:rPr>
              <w:t xml:space="preserve"> 2020</w:t>
            </w:r>
            <w:r w:rsidR="00181310">
              <w:rPr>
                <w:rFonts w:cstheme="minorHAnsi"/>
                <w:b/>
                <w:iCs/>
                <w:color w:val="000000" w:themeColor="text1"/>
                <w:sz w:val="18"/>
                <w:szCs w:val="18"/>
                <w:lang w:val="en-GB"/>
              </w:rPr>
              <w:t>-21</w:t>
            </w:r>
            <w:r>
              <w:rPr>
                <w:rFonts w:cstheme="minorHAnsi"/>
                <w:b/>
                <w:iCs/>
                <w:color w:val="000000" w:themeColor="text1"/>
                <w:sz w:val="18"/>
                <w:szCs w:val="18"/>
                <w:lang w:val="en-GB"/>
              </w:rPr>
              <w:t xml:space="preserve"> and will be considered at that time</w:t>
            </w:r>
          </w:p>
        </w:tc>
      </w:tr>
      <w:tr w:rsidR="0047308C" w:rsidRPr="00035C24" w14:paraId="77422DFE" w14:textId="77777777" w:rsidTr="00473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95" w:type="dxa"/>
            <w:vAlign w:val="center"/>
          </w:tcPr>
          <w:p w14:paraId="22822E97" w14:textId="77777777" w:rsidR="0047308C" w:rsidRPr="00035C24" w:rsidRDefault="0047308C" w:rsidP="0049243D">
            <w:pPr>
              <w:suppressAutoHyphens/>
              <w:spacing w:after="0" w:line="240" w:lineRule="auto"/>
              <w:rPr>
                <w:rFonts w:cstheme="minorHAnsi"/>
                <w:b/>
                <w:iCs/>
                <w:sz w:val="18"/>
                <w:szCs w:val="18"/>
                <w:lang w:val="en-GB"/>
              </w:rPr>
            </w:pPr>
            <w:r w:rsidRPr="00035C24">
              <w:rPr>
                <w:rFonts w:asciiTheme="minorHAnsi" w:hAnsiTheme="minorHAnsi" w:cstheme="minorHAnsi"/>
                <w:b/>
                <w:iCs/>
                <w:color w:val="auto"/>
                <w:sz w:val="18"/>
                <w:szCs w:val="18"/>
                <w:lang w:val="en-GB"/>
              </w:rPr>
              <w:t>Build on success</w:t>
            </w:r>
          </w:p>
        </w:tc>
      </w:tr>
      <w:tr w:rsidR="0047308C" w:rsidRPr="00035C24" w14:paraId="23A74EB8" w14:textId="77777777" w:rsidTr="0047308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95" w:type="dxa"/>
            <w:vAlign w:val="center"/>
          </w:tcPr>
          <w:p w14:paraId="40EB72FE" w14:textId="77777777" w:rsidR="0047308C" w:rsidRPr="00035C24" w:rsidRDefault="0047308C" w:rsidP="0049243D">
            <w:pPr>
              <w:suppressAutoHyphens/>
              <w:spacing w:after="0" w:line="240" w:lineRule="auto"/>
              <w:rPr>
                <w:rFonts w:cstheme="minorHAnsi"/>
                <w:b/>
                <w:iCs/>
                <w:sz w:val="18"/>
                <w:szCs w:val="18"/>
                <w:lang w:val="en-GB"/>
              </w:rPr>
            </w:pPr>
            <w:r w:rsidRPr="00035C24">
              <w:rPr>
                <w:rFonts w:asciiTheme="minorHAnsi" w:hAnsiTheme="minorHAnsi" w:cstheme="minorHAnsi"/>
                <w:iCs/>
                <w:color w:val="auto"/>
                <w:sz w:val="18"/>
                <w:szCs w:val="18"/>
                <w:lang w:val="en-GB"/>
              </w:rPr>
              <w:t>10. DFAT and the design team should continue with, but look to improve on, the existing well-regarded partnership model. Try to sustain recent momentum.</w:t>
            </w:r>
          </w:p>
        </w:tc>
      </w:tr>
      <w:tr w:rsidR="00024CD1" w:rsidRPr="00035C24" w14:paraId="2C243884" w14:textId="77777777" w:rsidTr="00473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95" w:type="dxa"/>
            <w:vAlign w:val="center"/>
          </w:tcPr>
          <w:p w14:paraId="6483B784" w14:textId="77777777" w:rsidR="00024CD1" w:rsidRPr="00035C24" w:rsidRDefault="00024CD1" w:rsidP="0049243D">
            <w:pPr>
              <w:suppressAutoHyphens/>
              <w:spacing w:before="0" w:after="0" w:line="240" w:lineRule="auto"/>
              <w:rPr>
                <w:rFonts w:asciiTheme="minorHAnsi" w:hAnsiTheme="minorHAnsi" w:cstheme="minorHAnsi"/>
                <w:b/>
                <w:iCs/>
                <w:color w:val="auto"/>
                <w:sz w:val="18"/>
                <w:szCs w:val="18"/>
                <w:lang w:val="en-GB"/>
              </w:rPr>
            </w:pPr>
            <w:r w:rsidRPr="00035C24">
              <w:rPr>
                <w:rFonts w:asciiTheme="minorHAnsi" w:hAnsiTheme="minorHAnsi" w:cstheme="minorHAnsi"/>
                <w:b/>
                <w:iCs/>
                <w:color w:val="auto"/>
                <w:sz w:val="18"/>
                <w:szCs w:val="18"/>
                <w:lang w:val="en-GB"/>
              </w:rPr>
              <w:t>Greater flexibilit</w:t>
            </w:r>
            <w:r w:rsidR="0049243D">
              <w:rPr>
                <w:rFonts w:asciiTheme="minorHAnsi" w:hAnsiTheme="minorHAnsi" w:cstheme="minorHAnsi"/>
                <w:b/>
                <w:iCs/>
                <w:color w:val="auto"/>
                <w:sz w:val="18"/>
                <w:szCs w:val="18"/>
                <w:lang w:val="en-GB"/>
              </w:rPr>
              <w:t>y to respond to emerging needs</w:t>
            </w:r>
          </w:p>
        </w:tc>
      </w:tr>
      <w:tr w:rsidR="0049243D" w:rsidRPr="00035C24" w14:paraId="7BAB12CD" w14:textId="77777777" w:rsidTr="0047308C">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2895" w:type="dxa"/>
          </w:tcPr>
          <w:p w14:paraId="0498F992" w14:textId="77777777" w:rsidR="0049243D" w:rsidRPr="00035C24" w:rsidRDefault="0049243D" w:rsidP="00EF5EEB">
            <w:pPr>
              <w:tabs>
                <w:tab w:val="left" w:pos="250"/>
              </w:tabs>
              <w:suppressAutoHyphens/>
              <w:spacing w:before="0" w:after="0" w:line="240" w:lineRule="auto"/>
              <w:rPr>
                <w:rFonts w:asciiTheme="minorHAnsi" w:hAnsiTheme="minorHAnsi" w:cstheme="minorHAnsi"/>
                <w:iCs/>
                <w:color w:val="auto"/>
                <w:sz w:val="18"/>
                <w:szCs w:val="18"/>
                <w:lang w:val="en-GB"/>
              </w:rPr>
            </w:pPr>
            <w:r w:rsidRPr="00035C24">
              <w:rPr>
                <w:rFonts w:asciiTheme="minorHAnsi" w:hAnsiTheme="minorHAnsi" w:cstheme="minorHAnsi"/>
                <w:iCs/>
                <w:color w:val="auto"/>
                <w:sz w:val="18"/>
                <w:szCs w:val="18"/>
                <w:lang w:val="en-GB"/>
              </w:rPr>
              <w:t>11.</w:t>
            </w:r>
            <w:r w:rsidRPr="00035C24">
              <w:rPr>
                <w:rFonts w:asciiTheme="minorHAnsi" w:hAnsiTheme="minorHAnsi" w:cstheme="minorHAnsi"/>
                <w:iCs/>
                <w:color w:val="auto"/>
                <w:sz w:val="18"/>
                <w:szCs w:val="18"/>
                <w:lang w:val="en-GB"/>
              </w:rPr>
              <w:tab/>
              <w:t>DFAT should review options for a flexible funding facility (possibly to support a portfolio of regional programs) to provide greater flexibility to support the development of higher quality proposals, to flesh out potential opportunities for more substantive support, and/or to address cross-cutting concerns.</w:t>
            </w:r>
          </w:p>
        </w:tc>
      </w:tr>
      <w:tr w:rsidR="0049243D" w:rsidRPr="00035C24" w14:paraId="4CBCC41B" w14:textId="77777777" w:rsidTr="0047308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895" w:type="dxa"/>
          </w:tcPr>
          <w:p w14:paraId="6CFD4E96" w14:textId="77777777" w:rsidR="0049243D" w:rsidRPr="00035C24" w:rsidRDefault="0049243D" w:rsidP="00C1798F">
            <w:pPr>
              <w:tabs>
                <w:tab w:val="left" w:pos="250"/>
              </w:tabs>
              <w:suppressAutoHyphens/>
              <w:spacing w:before="0" w:after="0" w:line="240" w:lineRule="auto"/>
              <w:rPr>
                <w:rFonts w:asciiTheme="minorHAnsi" w:hAnsiTheme="minorHAnsi" w:cstheme="minorHAnsi"/>
                <w:b/>
                <w:iCs/>
                <w:color w:val="auto"/>
                <w:sz w:val="18"/>
                <w:szCs w:val="18"/>
                <w:lang w:val="en-GB"/>
              </w:rPr>
            </w:pPr>
            <w:r w:rsidRPr="00035C24">
              <w:rPr>
                <w:rFonts w:asciiTheme="minorHAnsi" w:hAnsiTheme="minorHAnsi" w:cstheme="minorHAnsi"/>
                <w:iCs/>
                <w:color w:val="auto"/>
                <w:sz w:val="18"/>
                <w:szCs w:val="18"/>
                <w:lang w:val="en-GB"/>
              </w:rPr>
              <w:t>12.</w:t>
            </w:r>
            <w:r w:rsidRPr="00035C24">
              <w:rPr>
                <w:rFonts w:asciiTheme="minorHAnsi" w:hAnsiTheme="minorHAnsi" w:cstheme="minorHAnsi"/>
                <w:iCs/>
                <w:color w:val="auto"/>
                <w:sz w:val="18"/>
                <w:szCs w:val="18"/>
                <w:lang w:val="en-GB"/>
              </w:rPr>
              <w:tab/>
              <w:t>Design team should explore ways to promote programmatic approaches, while retaining flexibility to respond to ad hoc needs.</w:t>
            </w:r>
          </w:p>
        </w:tc>
      </w:tr>
      <w:tr w:rsidR="0049243D" w:rsidRPr="00035C24" w14:paraId="4CC334DF" w14:textId="77777777" w:rsidTr="0047308C">
        <w:trPr>
          <w:cnfStyle w:val="000000010000" w:firstRow="0" w:lastRow="0" w:firstColumn="0" w:lastColumn="0" w:oddVBand="0" w:evenVBand="0" w:oddHBand="0" w:evenHBand="1"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2895" w:type="dxa"/>
          </w:tcPr>
          <w:p w14:paraId="00BC2424" w14:textId="77777777" w:rsidR="0049243D" w:rsidRPr="00035C24" w:rsidRDefault="0049243D" w:rsidP="00EF5EEB">
            <w:pPr>
              <w:tabs>
                <w:tab w:val="left" w:pos="175"/>
              </w:tabs>
              <w:suppressAutoHyphens/>
              <w:spacing w:before="0" w:after="0" w:line="240" w:lineRule="auto"/>
              <w:rPr>
                <w:rFonts w:asciiTheme="minorHAnsi" w:hAnsiTheme="minorHAnsi" w:cstheme="minorHAnsi"/>
                <w:b/>
                <w:iCs/>
                <w:color w:val="auto"/>
                <w:sz w:val="18"/>
                <w:szCs w:val="18"/>
                <w:lang w:val="en-GB"/>
              </w:rPr>
            </w:pPr>
            <w:r w:rsidRPr="00035C24">
              <w:rPr>
                <w:rFonts w:asciiTheme="minorHAnsi" w:hAnsiTheme="minorHAnsi" w:cstheme="minorHAnsi"/>
                <w:iCs/>
                <w:color w:val="auto"/>
                <w:sz w:val="18"/>
                <w:szCs w:val="18"/>
                <w:lang w:val="en-GB"/>
              </w:rPr>
              <w:t>13. DFAT and the design team should explore options for improved harmonisation and coherence between Australia’s regional and bilateral programs in the region. The new design should complement other regional DFAT programs currently under design/re-design.</w:t>
            </w:r>
          </w:p>
        </w:tc>
      </w:tr>
      <w:tr w:rsidR="0049243D" w:rsidRPr="00035C24" w14:paraId="077153B3" w14:textId="77777777" w:rsidTr="0047308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895" w:type="dxa"/>
          </w:tcPr>
          <w:p w14:paraId="77D026E7" w14:textId="77777777" w:rsidR="0049243D" w:rsidRPr="00035C24" w:rsidRDefault="0049243D" w:rsidP="00C1798F">
            <w:pPr>
              <w:tabs>
                <w:tab w:val="left" w:pos="175"/>
              </w:tabs>
              <w:suppressAutoHyphens/>
              <w:spacing w:before="0" w:after="0" w:line="240" w:lineRule="auto"/>
              <w:rPr>
                <w:rFonts w:asciiTheme="minorHAnsi" w:hAnsiTheme="minorHAnsi" w:cstheme="minorHAnsi"/>
                <w:iCs/>
                <w:sz w:val="18"/>
                <w:szCs w:val="18"/>
                <w:lang w:val="en-GB"/>
              </w:rPr>
            </w:pPr>
            <w:r w:rsidRPr="00035C24">
              <w:rPr>
                <w:rFonts w:asciiTheme="minorHAnsi" w:hAnsiTheme="minorHAnsi" w:cstheme="minorHAnsi"/>
                <w:iCs/>
                <w:color w:val="auto"/>
                <w:sz w:val="18"/>
                <w:szCs w:val="18"/>
                <w:lang w:val="en-GB"/>
              </w:rPr>
              <w:t>14. Design team (and ASEC) should consider more flexibility in targeting regional development gaps (including support for the IAI).</w:t>
            </w:r>
          </w:p>
        </w:tc>
      </w:tr>
      <w:tr w:rsidR="00024CD1" w:rsidRPr="00035C24" w14:paraId="432E5BBA" w14:textId="77777777" w:rsidTr="0047308C">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2895" w:type="dxa"/>
            <w:vAlign w:val="center"/>
          </w:tcPr>
          <w:p w14:paraId="21A49D2C" w14:textId="77777777" w:rsidR="00024CD1" w:rsidRPr="00035C24" w:rsidRDefault="00024CD1" w:rsidP="0049243D">
            <w:pPr>
              <w:tabs>
                <w:tab w:val="left" w:pos="175"/>
              </w:tabs>
              <w:suppressAutoHyphens/>
              <w:spacing w:before="0" w:after="0" w:line="240" w:lineRule="auto"/>
              <w:rPr>
                <w:rFonts w:asciiTheme="minorHAnsi" w:hAnsiTheme="minorHAnsi" w:cstheme="minorHAnsi"/>
                <w:iCs/>
                <w:color w:val="auto"/>
                <w:sz w:val="18"/>
                <w:szCs w:val="18"/>
                <w:lang w:val="en-GB"/>
              </w:rPr>
            </w:pPr>
            <w:r w:rsidRPr="00035C24">
              <w:rPr>
                <w:rFonts w:asciiTheme="minorHAnsi" w:hAnsiTheme="minorHAnsi" w:cstheme="minorHAnsi"/>
                <w:b/>
                <w:iCs/>
                <w:color w:val="auto"/>
                <w:sz w:val="18"/>
                <w:szCs w:val="18"/>
                <w:lang w:val="en-GB"/>
              </w:rPr>
              <w:t xml:space="preserve">Consider sector-wide approaches to Australian support for ASEAN </w:t>
            </w:r>
          </w:p>
        </w:tc>
      </w:tr>
      <w:tr w:rsidR="0047308C" w:rsidRPr="00035C24" w14:paraId="64481AEA" w14:textId="77777777" w:rsidTr="0047308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895" w:type="dxa"/>
          </w:tcPr>
          <w:p w14:paraId="6481D7FE" w14:textId="77777777" w:rsidR="0047308C" w:rsidRPr="00035C24" w:rsidRDefault="0047308C" w:rsidP="00024CD1">
            <w:pPr>
              <w:tabs>
                <w:tab w:val="left" w:pos="175"/>
              </w:tabs>
              <w:suppressAutoHyphens/>
              <w:spacing w:before="0" w:after="0" w:line="240" w:lineRule="auto"/>
              <w:rPr>
                <w:rFonts w:asciiTheme="minorHAnsi" w:hAnsiTheme="minorHAnsi" w:cstheme="minorHAnsi"/>
                <w:iCs/>
                <w:color w:val="auto"/>
                <w:sz w:val="18"/>
                <w:szCs w:val="18"/>
                <w:lang w:val="en-GB"/>
              </w:rPr>
            </w:pPr>
            <w:r w:rsidRPr="00035C24">
              <w:rPr>
                <w:rFonts w:asciiTheme="minorHAnsi" w:hAnsiTheme="minorHAnsi" w:cstheme="minorHAnsi"/>
                <w:iCs/>
                <w:color w:val="auto"/>
                <w:sz w:val="18"/>
                <w:szCs w:val="18"/>
                <w:lang w:val="en-US"/>
              </w:rPr>
              <w:t>15. DFAT should consider sector wide approach (in a limited number of priority sectors) to planning Australian support for ASEAN and identify the most appropriate interventions to realize targeted outcomes.</w:t>
            </w:r>
          </w:p>
        </w:tc>
      </w:tr>
      <w:tr w:rsidR="0047308C" w:rsidRPr="00035C24" w14:paraId="79D457D3" w14:textId="77777777" w:rsidTr="0047308C">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895" w:type="dxa"/>
            <w:vAlign w:val="center"/>
          </w:tcPr>
          <w:p w14:paraId="3D3D7593" w14:textId="77777777" w:rsidR="0047308C" w:rsidRPr="00035C24" w:rsidRDefault="0047308C" w:rsidP="0049243D">
            <w:pPr>
              <w:pStyle w:val="BodyText"/>
              <w:rPr>
                <w:rFonts w:asciiTheme="minorHAnsi" w:hAnsiTheme="minorHAnsi" w:cstheme="minorHAnsi"/>
                <w:sz w:val="18"/>
                <w:szCs w:val="18"/>
                <w:lang w:val="en-GB"/>
              </w:rPr>
            </w:pPr>
            <w:r w:rsidRPr="00035C24">
              <w:rPr>
                <w:rFonts w:asciiTheme="minorHAnsi" w:hAnsiTheme="minorHAnsi" w:cstheme="minorHAnsi"/>
                <w:b/>
                <w:iCs/>
                <w:color w:val="auto"/>
                <w:sz w:val="18"/>
                <w:szCs w:val="18"/>
                <w:lang w:val="en-GB"/>
              </w:rPr>
              <w:t xml:space="preserve">Gender &amp; Social Inclusion </w:t>
            </w:r>
          </w:p>
        </w:tc>
      </w:tr>
      <w:tr w:rsidR="0047308C" w:rsidRPr="00035C24" w14:paraId="6C23F6D3" w14:textId="77777777" w:rsidTr="0047308C">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2895" w:type="dxa"/>
          </w:tcPr>
          <w:p w14:paraId="623A282B" w14:textId="77777777" w:rsidR="0047308C" w:rsidRPr="00035C24" w:rsidRDefault="0047308C" w:rsidP="00C1798F">
            <w:pPr>
              <w:tabs>
                <w:tab w:val="left" w:pos="175"/>
              </w:tabs>
              <w:suppressAutoHyphens/>
              <w:spacing w:before="0" w:after="0" w:line="240" w:lineRule="auto"/>
              <w:rPr>
                <w:rFonts w:asciiTheme="minorHAnsi" w:hAnsiTheme="minorHAnsi" w:cstheme="minorHAnsi"/>
                <w:iCs/>
                <w:color w:val="auto"/>
                <w:sz w:val="18"/>
                <w:szCs w:val="18"/>
                <w:lang w:val="en-US"/>
              </w:rPr>
            </w:pPr>
            <w:r w:rsidRPr="00035C24">
              <w:rPr>
                <w:rFonts w:asciiTheme="minorHAnsi" w:hAnsiTheme="minorHAnsi" w:cstheme="minorHAnsi"/>
                <w:iCs/>
                <w:color w:val="auto"/>
                <w:sz w:val="18"/>
                <w:szCs w:val="18"/>
                <w:lang w:val="en-US"/>
              </w:rPr>
              <w:lastRenderedPageBreak/>
              <w:t>16. DFAT should include a GESI expert in the design team. DFAT, ASEC and the design team could explore options to ensure more attention is given to more systematically incorporating GESI as a cross-cutting (and cross-pillar) issue.</w:t>
            </w:r>
          </w:p>
        </w:tc>
      </w:tr>
      <w:tr w:rsidR="0047308C" w:rsidRPr="00035C24" w14:paraId="15F0EF11" w14:textId="77777777" w:rsidTr="0047308C">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2895" w:type="dxa"/>
            <w:vAlign w:val="center"/>
          </w:tcPr>
          <w:p w14:paraId="3AC0EA7F" w14:textId="77777777" w:rsidR="0047308C" w:rsidRPr="00035C24" w:rsidRDefault="0047308C" w:rsidP="0049243D">
            <w:pPr>
              <w:tabs>
                <w:tab w:val="left" w:pos="175"/>
              </w:tabs>
              <w:suppressAutoHyphens/>
              <w:spacing w:after="0" w:line="240" w:lineRule="auto"/>
              <w:rPr>
                <w:rFonts w:asciiTheme="minorHAnsi" w:hAnsiTheme="minorHAnsi" w:cstheme="minorHAnsi"/>
                <w:iCs/>
                <w:sz w:val="18"/>
                <w:szCs w:val="18"/>
              </w:rPr>
            </w:pPr>
            <w:r w:rsidRPr="00035C24">
              <w:rPr>
                <w:rFonts w:asciiTheme="minorHAnsi" w:hAnsiTheme="minorHAnsi" w:cstheme="minorHAnsi"/>
                <w:b/>
                <w:iCs/>
                <w:color w:val="auto"/>
                <w:sz w:val="18"/>
                <w:szCs w:val="18"/>
                <w:lang w:val="en-GB"/>
              </w:rPr>
              <w:t xml:space="preserve">Monitoring &amp; evaluation </w:t>
            </w:r>
          </w:p>
        </w:tc>
      </w:tr>
      <w:tr w:rsidR="0047308C" w:rsidRPr="00035C24" w14:paraId="228255FC" w14:textId="77777777" w:rsidTr="0047308C">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2895" w:type="dxa"/>
          </w:tcPr>
          <w:p w14:paraId="57102C5A" w14:textId="77777777" w:rsidR="0047308C" w:rsidRPr="00035C24" w:rsidRDefault="0047308C" w:rsidP="00024CD1">
            <w:pPr>
              <w:tabs>
                <w:tab w:val="left" w:pos="175"/>
              </w:tabs>
              <w:suppressAutoHyphens/>
              <w:spacing w:before="0" w:after="0" w:line="240" w:lineRule="auto"/>
              <w:rPr>
                <w:rFonts w:asciiTheme="minorHAnsi" w:hAnsiTheme="minorHAnsi" w:cstheme="minorHAnsi"/>
                <w:iCs/>
                <w:color w:val="auto"/>
                <w:sz w:val="18"/>
                <w:szCs w:val="18"/>
                <w:lang w:val="en-US"/>
              </w:rPr>
            </w:pPr>
            <w:r w:rsidRPr="00035C24">
              <w:rPr>
                <w:rFonts w:asciiTheme="minorHAnsi" w:hAnsiTheme="minorHAnsi" w:cstheme="minorHAnsi"/>
                <w:iCs/>
                <w:color w:val="auto"/>
                <w:sz w:val="18"/>
                <w:szCs w:val="18"/>
                <w:lang w:val="en-US"/>
              </w:rPr>
              <w:t>17. DFAT, ASEC and the design team should explore avenues for leveraging ASEC’s increasing interest in M&amp;E of outcomes and impacts and consider the value of providing additional M&amp;E resources within the program.</w:t>
            </w:r>
          </w:p>
        </w:tc>
      </w:tr>
      <w:tr w:rsidR="0047308C" w:rsidRPr="00035C24" w14:paraId="36F48669" w14:textId="77777777" w:rsidTr="0047308C">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2895" w:type="dxa"/>
            <w:vAlign w:val="center"/>
          </w:tcPr>
          <w:p w14:paraId="7D295D7D" w14:textId="77777777" w:rsidR="0047308C" w:rsidRPr="00035C24" w:rsidRDefault="0047308C" w:rsidP="0049243D">
            <w:pPr>
              <w:tabs>
                <w:tab w:val="left" w:pos="175"/>
              </w:tabs>
              <w:suppressAutoHyphens/>
              <w:spacing w:after="0" w:line="240" w:lineRule="auto"/>
              <w:rPr>
                <w:rFonts w:asciiTheme="minorHAnsi" w:hAnsiTheme="minorHAnsi" w:cstheme="minorHAnsi"/>
                <w:iCs/>
                <w:sz w:val="18"/>
                <w:szCs w:val="18"/>
              </w:rPr>
            </w:pPr>
            <w:r w:rsidRPr="00035C24">
              <w:rPr>
                <w:rFonts w:asciiTheme="minorHAnsi" w:hAnsiTheme="minorHAnsi" w:cstheme="minorHAnsi"/>
                <w:b/>
                <w:iCs/>
                <w:color w:val="auto"/>
                <w:sz w:val="18"/>
                <w:szCs w:val="18"/>
                <w:lang w:val="en-GB"/>
              </w:rPr>
              <w:t xml:space="preserve">Communications </w:t>
            </w:r>
          </w:p>
        </w:tc>
      </w:tr>
      <w:tr w:rsidR="0047308C" w:rsidRPr="00035C24" w14:paraId="5A786263" w14:textId="77777777" w:rsidTr="0047308C">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2895" w:type="dxa"/>
          </w:tcPr>
          <w:p w14:paraId="5DD549AD" w14:textId="77777777" w:rsidR="0047308C" w:rsidRPr="00035C24" w:rsidRDefault="0047308C" w:rsidP="00C1798F">
            <w:pPr>
              <w:tabs>
                <w:tab w:val="left" w:pos="175"/>
              </w:tabs>
              <w:suppressAutoHyphens/>
              <w:spacing w:before="0" w:after="0" w:line="240" w:lineRule="auto"/>
              <w:rPr>
                <w:rFonts w:asciiTheme="minorHAnsi" w:hAnsiTheme="minorHAnsi" w:cstheme="minorHAnsi"/>
                <w:iCs/>
                <w:color w:val="auto"/>
                <w:sz w:val="18"/>
                <w:szCs w:val="18"/>
                <w:lang w:val="en-US"/>
              </w:rPr>
            </w:pPr>
            <w:r w:rsidRPr="00035C24">
              <w:rPr>
                <w:rFonts w:asciiTheme="minorHAnsi" w:hAnsiTheme="minorHAnsi" w:cstheme="minorHAnsi"/>
                <w:iCs/>
                <w:color w:val="auto"/>
                <w:sz w:val="18"/>
                <w:szCs w:val="18"/>
                <w:lang w:val="en-US"/>
              </w:rPr>
              <w:t xml:space="preserve">18. DFAT and the design team should consider the need for a communication strategy and provision for communications services in any follow-up support.  </w:t>
            </w:r>
          </w:p>
        </w:tc>
      </w:tr>
      <w:tr w:rsidR="0047308C" w:rsidRPr="00035C24" w14:paraId="1BD03EEF" w14:textId="77777777" w:rsidTr="0047308C">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895" w:type="dxa"/>
            <w:vAlign w:val="center"/>
          </w:tcPr>
          <w:p w14:paraId="5763696C" w14:textId="77777777" w:rsidR="0047308C" w:rsidRPr="00035C24" w:rsidRDefault="0047308C" w:rsidP="00C1798F">
            <w:pPr>
              <w:tabs>
                <w:tab w:val="left" w:pos="175"/>
              </w:tabs>
              <w:suppressAutoHyphens/>
              <w:spacing w:after="0" w:line="240" w:lineRule="auto"/>
              <w:rPr>
                <w:rFonts w:asciiTheme="minorHAnsi" w:hAnsiTheme="minorHAnsi" w:cstheme="minorHAnsi"/>
                <w:iCs/>
                <w:sz w:val="18"/>
                <w:szCs w:val="18"/>
              </w:rPr>
            </w:pPr>
            <w:r w:rsidRPr="00035C24">
              <w:rPr>
                <w:rFonts w:asciiTheme="minorHAnsi" w:hAnsiTheme="minorHAnsi" w:cstheme="minorHAnsi"/>
                <w:b/>
                <w:iCs/>
                <w:color w:val="auto"/>
                <w:sz w:val="18"/>
                <w:szCs w:val="18"/>
                <w:lang w:val="en-GB"/>
              </w:rPr>
              <w:t>Broader stakeho</w:t>
            </w:r>
            <w:r>
              <w:rPr>
                <w:rFonts w:asciiTheme="minorHAnsi" w:hAnsiTheme="minorHAnsi" w:cstheme="minorHAnsi"/>
                <w:b/>
                <w:iCs/>
                <w:color w:val="auto"/>
                <w:sz w:val="18"/>
                <w:szCs w:val="18"/>
                <w:lang w:val="en-GB"/>
              </w:rPr>
              <w:t xml:space="preserve">lder engagement </w:t>
            </w:r>
          </w:p>
        </w:tc>
      </w:tr>
      <w:tr w:rsidR="0047308C" w:rsidRPr="00035C24" w14:paraId="095CD232" w14:textId="77777777" w:rsidTr="0047308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2895" w:type="dxa"/>
          </w:tcPr>
          <w:p w14:paraId="1F0B237A" w14:textId="77777777" w:rsidR="0047308C" w:rsidRPr="00035C24" w:rsidRDefault="0047308C" w:rsidP="00C1798F">
            <w:pPr>
              <w:tabs>
                <w:tab w:val="left" w:pos="175"/>
              </w:tabs>
              <w:suppressAutoHyphens/>
              <w:spacing w:before="0" w:after="0" w:line="240" w:lineRule="auto"/>
              <w:rPr>
                <w:rFonts w:asciiTheme="minorHAnsi" w:hAnsiTheme="minorHAnsi" w:cstheme="minorHAnsi"/>
                <w:iCs/>
                <w:color w:val="auto"/>
                <w:sz w:val="18"/>
                <w:szCs w:val="18"/>
                <w:lang w:val="en-US"/>
              </w:rPr>
            </w:pPr>
            <w:r w:rsidRPr="00035C24">
              <w:rPr>
                <w:rFonts w:asciiTheme="minorHAnsi" w:hAnsiTheme="minorHAnsi" w:cstheme="minorHAnsi"/>
                <w:iCs/>
                <w:color w:val="auto"/>
                <w:sz w:val="18"/>
                <w:szCs w:val="18"/>
                <w:lang w:val="en-US"/>
              </w:rPr>
              <w:t>19. DFAT and the design team should consider options to develop strategies for more direct engagement with business, worker and other civil society representative to better understand and address some of the practical bottlenecks and concerns regarding increased economic integration.</w:t>
            </w:r>
          </w:p>
        </w:tc>
      </w:tr>
    </w:tbl>
    <w:p w14:paraId="48F87798" w14:textId="77777777" w:rsidR="00E053AB" w:rsidRPr="00035C24" w:rsidRDefault="00E053AB" w:rsidP="00CF2D51">
      <w:pPr>
        <w:rPr>
          <w:rFonts w:cstheme="minorHAnsi"/>
          <w:sz w:val="18"/>
          <w:szCs w:val="18"/>
        </w:rPr>
      </w:pPr>
    </w:p>
    <w:sectPr w:rsidR="00E053AB" w:rsidRPr="00035C24" w:rsidSect="002232E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375D7" w14:textId="77777777" w:rsidR="00B33D68" w:rsidRDefault="00B33D68" w:rsidP="00347CCF">
      <w:pPr>
        <w:spacing w:after="0" w:line="240" w:lineRule="auto"/>
      </w:pPr>
      <w:r>
        <w:separator/>
      </w:r>
    </w:p>
  </w:endnote>
  <w:endnote w:type="continuationSeparator" w:id="0">
    <w:p w14:paraId="5A047890" w14:textId="77777777" w:rsidR="00B33D68" w:rsidRDefault="00B33D68" w:rsidP="00347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02E3E" w14:textId="77777777" w:rsidR="001029CB" w:rsidRDefault="00102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598543"/>
      <w:docPartObj>
        <w:docPartGallery w:val="Page Numbers (Bottom of Page)"/>
        <w:docPartUnique/>
      </w:docPartObj>
    </w:sdtPr>
    <w:sdtEndPr>
      <w:rPr>
        <w:noProof/>
      </w:rPr>
    </w:sdtEndPr>
    <w:sdtContent>
      <w:p w14:paraId="3948A7A6" w14:textId="56E1AC01" w:rsidR="001029CB" w:rsidRDefault="001029CB">
        <w:pPr>
          <w:pStyle w:val="Footer"/>
          <w:jc w:val="center"/>
        </w:pPr>
        <w:r>
          <w:fldChar w:fldCharType="begin"/>
        </w:r>
        <w:r>
          <w:instrText xml:space="preserve"> PAGE   \* MERGEFORMAT </w:instrText>
        </w:r>
        <w:r>
          <w:fldChar w:fldCharType="separate"/>
        </w:r>
        <w:r w:rsidR="006B79CF">
          <w:rPr>
            <w:noProof/>
          </w:rPr>
          <w:t>2</w:t>
        </w:r>
        <w:r>
          <w:rPr>
            <w:noProof/>
          </w:rPr>
          <w:fldChar w:fldCharType="end"/>
        </w:r>
      </w:p>
    </w:sdtContent>
  </w:sdt>
  <w:p w14:paraId="33546213" w14:textId="77777777" w:rsidR="001029CB" w:rsidRDefault="00102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A46DA" w14:textId="77777777" w:rsidR="001029CB" w:rsidRDefault="00102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1FA1" w14:textId="77777777" w:rsidR="00B33D68" w:rsidRDefault="00B33D68" w:rsidP="00347CCF">
      <w:pPr>
        <w:spacing w:after="0" w:line="240" w:lineRule="auto"/>
      </w:pPr>
      <w:r>
        <w:separator/>
      </w:r>
    </w:p>
  </w:footnote>
  <w:footnote w:type="continuationSeparator" w:id="0">
    <w:p w14:paraId="28504993" w14:textId="77777777" w:rsidR="00B33D68" w:rsidRDefault="00B33D68" w:rsidP="00347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9ED4" w14:textId="77777777" w:rsidR="001029CB" w:rsidRDefault="00102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1E769" w14:textId="2454E7DF" w:rsidR="001029CB" w:rsidRDefault="00102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85268" w14:textId="77777777" w:rsidR="001029CB" w:rsidRDefault="00102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534D"/>
    <w:multiLevelType w:val="hybridMultilevel"/>
    <w:tmpl w:val="2CE49F9C"/>
    <w:lvl w:ilvl="0" w:tplc="9A4262D8">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FF30AB"/>
    <w:multiLevelType w:val="hybridMultilevel"/>
    <w:tmpl w:val="444C6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86EB6"/>
    <w:multiLevelType w:val="hybridMultilevel"/>
    <w:tmpl w:val="F718EB9A"/>
    <w:lvl w:ilvl="0" w:tplc="1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FE1FD8"/>
    <w:multiLevelType w:val="hybridMultilevel"/>
    <w:tmpl w:val="4B7AFAEA"/>
    <w:lvl w:ilvl="0" w:tplc="A82C4CE2">
      <w:start w:val="1"/>
      <w:numFmt w:val="lowerLetter"/>
      <w:lvlText w:val="%1."/>
      <w:lvlJc w:val="left"/>
      <w:pPr>
        <w:ind w:left="720" w:hanging="360"/>
      </w:pPr>
      <w:rPr>
        <w:rFonts w:hint="default"/>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B10415"/>
    <w:multiLevelType w:val="hybridMultilevel"/>
    <w:tmpl w:val="2FD0A7E2"/>
    <w:lvl w:ilvl="0" w:tplc="F99805EC">
      <w:start w:val="1"/>
      <w:numFmt w:val="decimal"/>
      <w:pStyle w:val="ListParagraph"/>
      <w:lvlText w:val="%1."/>
      <w:lvlJc w:val="left"/>
      <w:pPr>
        <w:ind w:left="1780" w:hanging="360"/>
      </w:pPr>
      <w:rPr>
        <w:rFonts w:hint="default"/>
        <w:b w:val="0"/>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5" w15:restartNumberingAfterBreak="0">
    <w:nsid w:val="0F166601"/>
    <w:multiLevelType w:val="hybridMultilevel"/>
    <w:tmpl w:val="FDA8C8FC"/>
    <w:lvl w:ilvl="0" w:tplc="F2B81E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87497"/>
    <w:multiLevelType w:val="hybridMultilevel"/>
    <w:tmpl w:val="87E25256"/>
    <w:lvl w:ilvl="0" w:tplc="0C090019">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D979BA"/>
    <w:multiLevelType w:val="hybridMultilevel"/>
    <w:tmpl w:val="BA00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55A85"/>
    <w:multiLevelType w:val="hybridMultilevel"/>
    <w:tmpl w:val="8312E6A6"/>
    <w:lvl w:ilvl="0" w:tplc="EB502380">
      <w:start w:val="1"/>
      <w:numFmt w:val="decimal"/>
      <w:lvlText w:val="%1."/>
      <w:lvlJc w:val="left"/>
      <w:pPr>
        <w:ind w:left="1440" w:hanging="360"/>
      </w:pPr>
      <w:rPr>
        <w:rFonts w:ascii="Times New Roman" w:eastAsia="Times" w:hAnsi="Times New Roman" w:cs="Times New Roman" w:hint="default"/>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3C9300D"/>
    <w:multiLevelType w:val="hybridMultilevel"/>
    <w:tmpl w:val="444C6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7469B"/>
    <w:multiLevelType w:val="hybridMultilevel"/>
    <w:tmpl w:val="1FDA7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A5EBB"/>
    <w:multiLevelType w:val="hybridMultilevel"/>
    <w:tmpl w:val="25521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E576CF"/>
    <w:multiLevelType w:val="hybridMultilevel"/>
    <w:tmpl w:val="1AF2FDAE"/>
    <w:lvl w:ilvl="0" w:tplc="A82C4CE2">
      <w:start w:val="1"/>
      <w:numFmt w:val="lowerLetter"/>
      <w:lvlText w:val="%1."/>
      <w:lvlJc w:val="left"/>
      <w:pPr>
        <w:ind w:left="720" w:hanging="360"/>
      </w:pPr>
      <w:rPr>
        <w:rFonts w:hint="default"/>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88333A"/>
    <w:multiLevelType w:val="hybridMultilevel"/>
    <w:tmpl w:val="FD728786"/>
    <w:lvl w:ilvl="0" w:tplc="1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1CA81BB4"/>
    <w:multiLevelType w:val="hybridMultilevel"/>
    <w:tmpl w:val="4B7AFAEA"/>
    <w:lvl w:ilvl="0" w:tplc="A82C4CE2">
      <w:start w:val="1"/>
      <w:numFmt w:val="lowerLetter"/>
      <w:lvlText w:val="%1."/>
      <w:lvlJc w:val="left"/>
      <w:pPr>
        <w:ind w:left="720" w:hanging="360"/>
      </w:pPr>
      <w:rPr>
        <w:rFonts w:hint="default"/>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42332E"/>
    <w:multiLevelType w:val="hybridMultilevel"/>
    <w:tmpl w:val="D8861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31FEA"/>
    <w:multiLevelType w:val="hybridMultilevel"/>
    <w:tmpl w:val="701EB2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617B46"/>
    <w:multiLevelType w:val="hybridMultilevel"/>
    <w:tmpl w:val="077C979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1FA546A1"/>
    <w:multiLevelType w:val="hybridMultilevel"/>
    <w:tmpl w:val="444C6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D57CA3"/>
    <w:multiLevelType w:val="hybridMultilevel"/>
    <w:tmpl w:val="6C4AF346"/>
    <w:lvl w:ilvl="0" w:tplc="08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016F50"/>
    <w:multiLevelType w:val="hybridMultilevel"/>
    <w:tmpl w:val="444C6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403067"/>
    <w:multiLevelType w:val="hybridMultilevel"/>
    <w:tmpl w:val="444C6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7F3BE2"/>
    <w:multiLevelType w:val="hybridMultilevel"/>
    <w:tmpl w:val="444C6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F14733"/>
    <w:multiLevelType w:val="hybridMultilevel"/>
    <w:tmpl w:val="444C6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0E6F78"/>
    <w:multiLevelType w:val="hybridMultilevel"/>
    <w:tmpl w:val="1F4AAE6A"/>
    <w:lvl w:ilvl="0" w:tplc="1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ADA0F29"/>
    <w:multiLevelType w:val="hybridMultilevel"/>
    <w:tmpl w:val="F79EE8D0"/>
    <w:lvl w:ilvl="0" w:tplc="08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5666FE"/>
    <w:multiLevelType w:val="hybridMultilevel"/>
    <w:tmpl w:val="F79EE8D0"/>
    <w:lvl w:ilvl="0" w:tplc="08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C72EB"/>
    <w:multiLevelType w:val="hybridMultilevel"/>
    <w:tmpl w:val="DC0AE952"/>
    <w:lvl w:ilvl="0" w:tplc="0809001B">
      <w:start w:val="1"/>
      <w:numFmt w:val="lowerRoman"/>
      <w:lvlText w:val="%1."/>
      <w:lvlJc w:val="right"/>
      <w:pPr>
        <w:ind w:left="180" w:hanging="180"/>
      </w:pPr>
      <w:rPr>
        <w:rFonts w:hint="default"/>
        <w:b w:val="0"/>
      </w:rPr>
    </w:lvl>
    <w:lvl w:ilvl="1" w:tplc="08090019">
      <w:start w:val="1"/>
      <w:numFmt w:val="lowerLetter"/>
      <w:lvlText w:val="%2."/>
      <w:lvlJc w:val="left"/>
      <w:pPr>
        <w:ind w:left="1080" w:hanging="360"/>
      </w:pPr>
    </w:lvl>
    <w:lvl w:ilvl="2" w:tplc="1409001B">
      <w:start w:val="1"/>
      <w:numFmt w:val="lowerRoman"/>
      <w:lvlText w:val="%3."/>
      <w:lvlJc w:val="right"/>
      <w:pPr>
        <w:ind w:left="1980" w:hanging="36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E461FB4"/>
    <w:multiLevelType w:val="hybridMultilevel"/>
    <w:tmpl w:val="077C979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EDF192D"/>
    <w:multiLevelType w:val="hybridMultilevel"/>
    <w:tmpl w:val="04244B18"/>
    <w:lvl w:ilvl="0" w:tplc="1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4952ED5"/>
    <w:multiLevelType w:val="hybridMultilevel"/>
    <w:tmpl w:val="1BBC5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A305B7"/>
    <w:multiLevelType w:val="hybridMultilevel"/>
    <w:tmpl w:val="AB1A97A4"/>
    <w:lvl w:ilvl="0" w:tplc="08090019">
      <w:start w:val="1"/>
      <w:numFmt w:val="lowerLetter"/>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A30AFD"/>
    <w:multiLevelType w:val="hybridMultilevel"/>
    <w:tmpl w:val="5BCE631E"/>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3" w15:restartNumberingAfterBreak="0">
    <w:nsid w:val="73F122AC"/>
    <w:multiLevelType w:val="hybridMultilevel"/>
    <w:tmpl w:val="945C342A"/>
    <w:lvl w:ilvl="0" w:tplc="A82C4CE2">
      <w:start w:val="1"/>
      <w:numFmt w:val="lowerLetter"/>
      <w:lvlText w:val="%1."/>
      <w:lvlJc w:val="left"/>
      <w:pPr>
        <w:ind w:left="720" w:hanging="360"/>
      </w:pPr>
      <w:rPr>
        <w:rFonts w:hint="default"/>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7F60AD"/>
    <w:multiLevelType w:val="hybridMultilevel"/>
    <w:tmpl w:val="3CBEB7BA"/>
    <w:lvl w:ilvl="0" w:tplc="0809001B">
      <w:start w:val="1"/>
      <w:numFmt w:val="lowerRoman"/>
      <w:pStyle w:val="ListNumber"/>
      <w:lvlText w:val="%1."/>
      <w:lvlJc w:val="right"/>
      <w:pPr>
        <w:ind w:left="180" w:hanging="180"/>
      </w:pPr>
      <w:rPr>
        <w:rFonts w:hint="default"/>
        <w:b w:val="0"/>
      </w:rPr>
    </w:lvl>
    <w:lvl w:ilvl="1" w:tplc="08090019">
      <w:start w:val="1"/>
      <w:numFmt w:val="lowerLetter"/>
      <w:lvlText w:val="%2."/>
      <w:lvlJc w:val="left"/>
      <w:pPr>
        <w:ind w:left="1080" w:hanging="360"/>
      </w:pPr>
    </w:lvl>
    <w:lvl w:ilvl="2" w:tplc="8EB650D4">
      <w:start w:val="1"/>
      <w:numFmt w:val="lowerRoman"/>
      <w:pStyle w:val="List-number-1"/>
      <w:lvlText w:val="%3."/>
      <w:lvlJc w:val="right"/>
      <w:pPr>
        <w:ind w:left="1980" w:hanging="36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9E1124E"/>
    <w:multiLevelType w:val="hybridMultilevel"/>
    <w:tmpl w:val="BC582FC2"/>
    <w:lvl w:ilvl="0" w:tplc="934A2110">
      <w:start w:val="1"/>
      <w:numFmt w:val="lowerLetter"/>
      <w:pStyle w:val="ListNumber2"/>
      <w:lvlText w:val="%1."/>
      <w:lvlJc w:val="left"/>
      <w:pPr>
        <w:tabs>
          <w:tab w:val="num" w:pos="868"/>
        </w:tabs>
        <w:ind w:left="868" w:hanging="283"/>
      </w:pPr>
      <w:rPr>
        <w:rFonts w:hint="default"/>
      </w:rPr>
    </w:lvl>
    <w:lvl w:ilvl="1" w:tplc="FFFFFFFF">
      <w:start w:val="1"/>
      <w:numFmt w:val="lowerLetter"/>
      <w:lvlText w:val="%2."/>
      <w:lvlJc w:val="left"/>
      <w:pPr>
        <w:tabs>
          <w:tab w:val="num" w:pos="1741"/>
        </w:tabs>
        <w:ind w:left="1741" w:hanging="360"/>
      </w:pPr>
    </w:lvl>
    <w:lvl w:ilvl="2" w:tplc="FFFFFFFF">
      <w:start w:val="1"/>
      <w:numFmt w:val="lowerRoman"/>
      <w:lvlText w:val="%3."/>
      <w:lvlJc w:val="right"/>
      <w:pPr>
        <w:tabs>
          <w:tab w:val="num" w:pos="2461"/>
        </w:tabs>
        <w:ind w:left="2461" w:hanging="180"/>
      </w:pPr>
    </w:lvl>
    <w:lvl w:ilvl="3" w:tplc="FFFFFFFF" w:tentative="1">
      <w:start w:val="1"/>
      <w:numFmt w:val="decimal"/>
      <w:lvlText w:val="%4."/>
      <w:lvlJc w:val="left"/>
      <w:pPr>
        <w:tabs>
          <w:tab w:val="num" w:pos="3181"/>
        </w:tabs>
        <w:ind w:left="3181" w:hanging="360"/>
      </w:pPr>
    </w:lvl>
    <w:lvl w:ilvl="4" w:tplc="FFFFFFFF" w:tentative="1">
      <w:start w:val="1"/>
      <w:numFmt w:val="lowerLetter"/>
      <w:lvlText w:val="%5."/>
      <w:lvlJc w:val="left"/>
      <w:pPr>
        <w:tabs>
          <w:tab w:val="num" w:pos="3901"/>
        </w:tabs>
        <w:ind w:left="3901" w:hanging="360"/>
      </w:pPr>
    </w:lvl>
    <w:lvl w:ilvl="5" w:tplc="FFFFFFFF" w:tentative="1">
      <w:start w:val="1"/>
      <w:numFmt w:val="lowerRoman"/>
      <w:lvlText w:val="%6."/>
      <w:lvlJc w:val="right"/>
      <w:pPr>
        <w:tabs>
          <w:tab w:val="num" w:pos="4621"/>
        </w:tabs>
        <w:ind w:left="4621" w:hanging="180"/>
      </w:pPr>
    </w:lvl>
    <w:lvl w:ilvl="6" w:tplc="FFFFFFFF" w:tentative="1">
      <w:start w:val="1"/>
      <w:numFmt w:val="decimal"/>
      <w:lvlText w:val="%7."/>
      <w:lvlJc w:val="left"/>
      <w:pPr>
        <w:tabs>
          <w:tab w:val="num" w:pos="5341"/>
        </w:tabs>
        <w:ind w:left="5341" w:hanging="360"/>
      </w:pPr>
    </w:lvl>
    <w:lvl w:ilvl="7" w:tplc="FFFFFFFF" w:tentative="1">
      <w:start w:val="1"/>
      <w:numFmt w:val="lowerLetter"/>
      <w:lvlText w:val="%8."/>
      <w:lvlJc w:val="left"/>
      <w:pPr>
        <w:tabs>
          <w:tab w:val="num" w:pos="6061"/>
        </w:tabs>
        <w:ind w:left="6061" w:hanging="360"/>
      </w:pPr>
    </w:lvl>
    <w:lvl w:ilvl="8" w:tplc="FFFFFFFF" w:tentative="1">
      <w:start w:val="1"/>
      <w:numFmt w:val="lowerRoman"/>
      <w:lvlText w:val="%9."/>
      <w:lvlJc w:val="right"/>
      <w:pPr>
        <w:tabs>
          <w:tab w:val="num" w:pos="6781"/>
        </w:tabs>
        <w:ind w:left="6781" w:hanging="180"/>
      </w:pPr>
    </w:lvl>
  </w:abstractNum>
  <w:abstractNum w:abstractNumId="36" w15:restartNumberingAfterBreak="0">
    <w:nsid w:val="79FF02E8"/>
    <w:multiLevelType w:val="hybridMultilevel"/>
    <w:tmpl w:val="444C6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AD342C"/>
    <w:multiLevelType w:val="hybridMultilevel"/>
    <w:tmpl w:val="7CE0201E"/>
    <w:lvl w:ilvl="0" w:tplc="0809001B">
      <w:start w:val="1"/>
      <w:numFmt w:val="lowerRoman"/>
      <w:lvlText w:val="%1."/>
      <w:lvlJc w:val="right"/>
      <w:pPr>
        <w:ind w:left="180" w:hanging="180"/>
      </w:pPr>
      <w:rPr>
        <w:rFonts w:hint="default"/>
        <w:b w:val="0"/>
      </w:rPr>
    </w:lvl>
    <w:lvl w:ilvl="1" w:tplc="08090019">
      <w:start w:val="1"/>
      <w:numFmt w:val="lowerLetter"/>
      <w:lvlText w:val="%2."/>
      <w:lvlJc w:val="left"/>
      <w:pPr>
        <w:ind w:left="1080" w:hanging="360"/>
      </w:pPr>
    </w:lvl>
    <w:lvl w:ilvl="2" w:tplc="1409001B">
      <w:start w:val="1"/>
      <w:numFmt w:val="lowerRoman"/>
      <w:lvlText w:val="%3."/>
      <w:lvlJc w:val="right"/>
      <w:pPr>
        <w:ind w:left="1980" w:hanging="36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5"/>
  </w:num>
  <w:num w:numId="2">
    <w:abstractNumId w:val="34"/>
  </w:num>
  <w:num w:numId="3">
    <w:abstractNumId w:val="31"/>
  </w:num>
  <w:num w:numId="4">
    <w:abstractNumId w:val="26"/>
  </w:num>
  <w:num w:numId="5">
    <w:abstractNumId w:val="35"/>
    <w:lvlOverride w:ilvl="0">
      <w:startOverride w:val="1"/>
    </w:lvlOverride>
  </w:num>
  <w:num w:numId="6">
    <w:abstractNumId w:val="25"/>
  </w:num>
  <w:num w:numId="7">
    <w:abstractNumId w:val="35"/>
    <w:lvlOverride w:ilvl="0">
      <w:startOverride w:val="1"/>
    </w:lvlOverride>
  </w:num>
  <w:num w:numId="8">
    <w:abstractNumId w:val="13"/>
  </w:num>
  <w:num w:numId="9">
    <w:abstractNumId w:val="2"/>
  </w:num>
  <w:num w:numId="10">
    <w:abstractNumId w:val="19"/>
  </w:num>
  <w:num w:numId="11">
    <w:abstractNumId w:val="29"/>
  </w:num>
  <w:num w:numId="12">
    <w:abstractNumId w:val="35"/>
    <w:lvlOverride w:ilvl="0">
      <w:startOverride w:val="1"/>
    </w:lvlOverride>
  </w:num>
  <w:num w:numId="13">
    <w:abstractNumId w:val="24"/>
  </w:num>
  <w:num w:numId="14">
    <w:abstractNumId w:val="35"/>
    <w:lvlOverride w:ilvl="0">
      <w:startOverride w:val="1"/>
    </w:lvlOverride>
  </w:num>
  <w:num w:numId="15">
    <w:abstractNumId w:val="35"/>
    <w:lvlOverride w:ilvl="0">
      <w:startOverride w:val="1"/>
    </w:lvlOverride>
  </w:num>
  <w:num w:numId="16">
    <w:abstractNumId w:val="5"/>
  </w:num>
  <w:num w:numId="17">
    <w:abstractNumId w:val="4"/>
  </w:num>
  <w:num w:numId="18">
    <w:abstractNumId w:val="35"/>
    <w:lvlOverride w:ilvl="0">
      <w:startOverride w:val="1"/>
    </w:lvlOverride>
  </w:num>
  <w:num w:numId="19">
    <w:abstractNumId w:val="27"/>
  </w:num>
  <w:num w:numId="20">
    <w:abstractNumId w:val="37"/>
  </w:num>
  <w:num w:numId="21">
    <w:abstractNumId w:val="8"/>
  </w:num>
  <w:num w:numId="22">
    <w:abstractNumId w:val="28"/>
  </w:num>
  <w:num w:numId="23">
    <w:abstractNumId w:val="17"/>
  </w:num>
  <w:num w:numId="24">
    <w:abstractNumId w:val="32"/>
  </w:num>
  <w:num w:numId="25">
    <w:abstractNumId w:val="7"/>
  </w:num>
  <w:num w:numId="26">
    <w:abstractNumId w:val="11"/>
  </w:num>
  <w:num w:numId="27">
    <w:abstractNumId w:val="20"/>
  </w:num>
  <w:num w:numId="28">
    <w:abstractNumId w:val="22"/>
  </w:num>
  <w:num w:numId="29">
    <w:abstractNumId w:val="9"/>
  </w:num>
  <w:num w:numId="30">
    <w:abstractNumId w:val="1"/>
  </w:num>
  <w:num w:numId="31">
    <w:abstractNumId w:val="23"/>
  </w:num>
  <w:num w:numId="32">
    <w:abstractNumId w:val="36"/>
  </w:num>
  <w:num w:numId="33">
    <w:abstractNumId w:val="21"/>
  </w:num>
  <w:num w:numId="34">
    <w:abstractNumId w:val="18"/>
  </w:num>
  <w:num w:numId="35">
    <w:abstractNumId w:val="10"/>
  </w:num>
  <w:num w:numId="36">
    <w:abstractNumId w:val="15"/>
  </w:num>
  <w:num w:numId="37">
    <w:abstractNumId w:val="0"/>
  </w:num>
  <w:num w:numId="38">
    <w:abstractNumId w:val="14"/>
  </w:num>
  <w:num w:numId="39">
    <w:abstractNumId w:val="16"/>
  </w:num>
  <w:num w:numId="40">
    <w:abstractNumId w:val="12"/>
  </w:num>
  <w:num w:numId="41">
    <w:abstractNumId w:val="3"/>
  </w:num>
  <w:num w:numId="42">
    <w:abstractNumId w:val="33"/>
  </w:num>
  <w:num w:numId="43">
    <w:abstractNumId w:val="30"/>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1A"/>
    <w:rsid w:val="00005856"/>
    <w:rsid w:val="00007758"/>
    <w:rsid w:val="00014E8F"/>
    <w:rsid w:val="00015472"/>
    <w:rsid w:val="00022511"/>
    <w:rsid w:val="00024CD1"/>
    <w:rsid w:val="00025988"/>
    <w:rsid w:val="00027AE5"/>
    <w:rsid w:val="00035C24"/>
    <w:rsid w:val="00043A5E"/>
    <w:rsid w:val="00044344"/>
    <w:rsid w:val="000542AA"/>
    <w:rsid w:val="00055F4E"/>
    <w:rsid w:val="000639B4"/>
    <w:rsid w:val="000647CC"/>
    <w:rsid w:val="00070F6A"/>
    <w:rsid w:val="0007223E"/>
    <w:rsid w:val="00076943"/>
    <w:rsid w:val="00077726"/>
    <w:rsid w:val="00095F6B"/>
    <w:rsid w:val="000A0C90"/>
    <w:rsid w:val="000A3339"/>
    <w:rsid w:val="000A4D2D"/>
    <w:rsid w:val="000B6911"/>
    <w:rsid w:val="000C4868"/>
    <w:rsid w:val="000D109F"/>
    <w:rsid w:val="000D1852"/>
    <w:rsid w:val="000D5555"/>
    <w:rsid w:val="000D72DF"/>
    <w:rsid w:val="000F2BD8"/>
    <w:rsid w:val="000F76FD"/>
    <w:rsid w:val="001021A8"/>
    <w:rsid w:val="001029CB"/>
    <w:rsid w:val="00103E49"/>
    <w:rsid w:val="00103EB0"/>
    <w:rsid w:val="00107A3A"/>
    <w:rsid w:val="001156C9"/>
    <w:rsid w:val="00122DE8"/>
    <w:rsid w:val="001243E7"/>
    <w:rsid w:val="00145D8A"/>
    <w:rsid w:val="00145F1A"/>
    <w:rsid w:val="001467FE"/>
    <w:rsid w:val="00150912"/>
    <w:rsid w:val="00152C8B"/>
    <w:rsid w:val="0015592A"/>
    <w:rsid w:val="00156146"/>
    <w:rsid w:val="00157BE2"/>
    <w:rsid w:val="00160F64"/>
    <w:rsid w:val="001741D4"/>
    <w:rsid w:val="00177B36"/>
    <w:rsid w:val="00180801"/>
    <w:rsid w:val="00180D11"/>
    <w:rsid w:val="00181310"/>
    <w:rsid w:val="001859A4"/>
    <w:rsid w:val="00190F71"/>
    <w:rsid w:val="0019455D"/>
    <w:rsid w:val="001A0E57"/>
    <w:rsid w:val="001A226C"/>
    <w:rsid w:val="001A2B51"/>
    <w:rsid w:val="001A31DF"/>
    <w:rsid w:val="001A71C9"/>
    <w:rsid w:val="001B0C76"/>
    <w:rsid w:val="001B6604"/>
    <w:rsid w:val="001C44B9"/>
    <w:rsid w:val="001C4CAC"/>
    <w:rsid w:val="001C4D28"/>
    <w:rsid w:val="001C530A"/>
    <w:rsid w:val="001C62CB"/>
    <w:rsid w:val="001D0325"/>
    <w:rsid w:val="001D03F7"/>
    <w:rsid w:val="001D3823"/>
    <w:rsid w:val="001D3B9E"/>
    <w:rsid w:val="001D4217"/>
    <w:rsid w:val="001D4BB9"/>
    <w:rsid w:val="001D7AF0"/>
    <w:rsid w:val="001E05C1"/>
    <w:rsid w:val="001E11AE"/>
    <w:rsid w:val="001E1D54"/>
    <w:rsid w:val="001E2727"/>
    <w:rsid w:val="001E5467"/>
    <w:rsid w:val="001E660A"/>
    <w:rsid w:val="001F161C"/>
    <w:rsid w:val="001F1EE3"/>
    <w:rsid w:val="001F50FE"/>
    <w:rsid w:val="001F5446"/>
    <w:rsid w:val="0020241A"/>
    <w:rsid w:val="00207402"/>
    <w:rsid w:val="0021162F"/>
    <w:rsid w:val="00214BB2"/>
    <w:rsid w:val="002157E0"/>
    <w:rsid w:val="002162DD"/>
    <w:rsid w:val="00220A59"/>
    <w:rsid w:val="00222E72"/>
    <w:rsid w:val="002232E3"/>
    <w:rsid w:val="002253EA"/>
    <w:rsid w:val="00230E73"/>
    <w:rsid w:val="002341FA"/>
    <w:rsid w:val="00235DD3"/>
    <w:rsid w:val="002408B1"/>
    <w:rsid w:val="00242083"/>
    <w:rsid w:val="002435A4"/>
    <w:rsid w:val="002463B4"/>
    <w:rsid w:val="00251473"/>
    <w:rsid w:val="0025359E"/>
    <w:rsid w:val="002537EA"/>
    <w:rsid w:val="00253905"/>
    <w:rsid w:val="00253915"/>
    <w:rsid w:val="00261339"/>
    <w:rsid w:val="002670BD"/>
    <w:rsid w:val="00270D00"/>
    <w:rsid w:val="0027359E"/>
    <w:rsid w:val="00277356"/>
    <w:rsid w:val="0029139B"/>
    <w:rsid w:val="002A029C"/>
    <w:rsid w:val="002A1AF8"/>
    <w:rsid w:val="002A22FD"/>
    <w:rsid w:val="002A3DD9"/>
    <w:rsid w:val="002A4D1C"/>
    <w:rsid w:val="002A5A97"/>
    <w:rsid w:val="002D4400"/>
    <w:rsid w:val="002D515A"/>
    <w:rsid w:val="002E41D0"/>
    <w:rsid w:val="002E4AE8"/>
    <w:rsid w:val="002E7111"/>
    <w:rsid w:val="002F0459"/>
    <w:rsid w:val="002F08D6"/>
    <w:rsid w:val="002F7318"/>
    <w:rsid w:val="003039E1"/>
    <w:rsid w:val="00310FDF"/>
    <w:rsid w:val="0031488D"/>
    <w:rsid w:val="003208B6"/>
    <w:rsid w:val="00324AA9"/>
    <w:rsid w:val="00344C93"/>
    <w:rsid w:val="00344FE7"/>
    <w:rsid w:val="00347965"/>
    <w:rsid w:val="00347CCF"/>
    <w:rsid w:val="00350B82"/>
    <w:rsid w:val="00351299"/>
    <w:rsid w:val="00352EE5"/>
    <w:rsid w:val="00363189"/>
    <w:rsid w:val="00363B6D"/>
    <w:rsid w:val="003660E5"/>
    <w:rsid w:val="00370D36"/>
    <w:rsid w:val="00373029"/>
    <w:rsid w:val="00373B2F"/>
    <w:rsid w:val="003827B7"/>
    <w:rsid w:val="00382BD9"/>
    <w:rsid w:val="00383258"/>
    <w:rsid w:val="0039224D"/>
    <w:rsid w:val="003944AC"/>
    <w:rsid w:val="003A66C4"/>
    <w:rsid w:val="003B4328"/>
    <w:rsid w:val="003B5CB7"/>
    <w:rsid w:val="003D16C8"/>
    <w:rsid w:val="003D3D4D"/>
    <w:rsid w:val="003D470B"/>
    <w:rsid w:val="003D535D"/>
    <w:rsid w:val="003D6D28"/>
    <w:rsid w:val="003E063C"/>
    <w:rsid w:val="003F4F29"/>
    <w:rsid w:val="00406923"/>
    <w:rsid w:val="004148F4"/>
    <w:rsid w:val="00417880"/>
    <w:rsid w:val="00422802"/>
    <w:rsid w:val="004243D5"/>
    <w:rsid w:val="004251E1"/>
    <w:rsid w:val="00426E06"/>
    <w:rsid w:val="004332A7"/>
    <w:rsid w:val="004403D0"/>
    <w:rsid w:val="00440F0B"/>
    <w:rsid w:val="00442CBB"/>
    <w:rsid w:val="00445AA1"/>
    <w:rsid w:val="00447724"/>
    <w:rsid w:val="00451AAC"/>
    <w:rsid w:val="00463D5B"/>
    <w:rsid w:val="0047029E"/>
    <w:rsid w:val="0047308C"/>
    <w:rsid w:val="00475C23"/>
    <w:rsid w:val="00487AC6"/>
    <w:rsid w:val="0049243D"/>
    <w:rsid w:val="00492F8C"/>
    <w:rsid w:val="00496460"/>
    <w:rsid w:val="004A3DF8"/>
    <w:rsid w:val="004A46E7"/>
    <w:rsid w:val="004B4520"/>
    <w:rsid w:val="004B547C"/>
    <w:rsid w:val="004C6B96"/>
    <w:rsid w:val="004D0704"/>
    <w:rsid w:val="004D360C"/>
    <w:rsid w:val="004D7D4C"/>
    <w:rsid w:val="004E1EAD"/>
    <w:rsid w:val="004E7AF6"/>
    <w:rsid w:val="004F05F4"/>
    <w:rsid w:val="004F6CFF"/>
    <w:rsid w:val="00502FA2"/>
    <w:rsid w:val="00506550"/>
    <w:rsid w:val="00506F4C"/>
    <w:rsid w:val="00513410"/>
    <w:rsid w:val="00513DE9"/>
    <w:rsid w:val="00517BA2"/>
    <w:rsid w:val="00521A8F"/>
    <w:rsid w:val="005253F8"/>
    <w:rsid w:val="00525DCD"/>
    <w:rsid w:val="00527023"/>
    <w:rsid w:val="005346DD"/>
    <w:rsid w:val="005355B5"/>
    <w:rsid w:val="00536993"/>
    <w:rsid w:val="005449C9"/>
    <w:rsid w:val="0054770B"/>
    <w:rsid w:val="00547C40"/>
    <w:rsid w:val="005568A8"/>
    <w:rsid w:val="00560807"/>
    <w:rsid w:val="00561117"/>
    <w:rsid w:val="005633C0"/>
    <w:rsid w:val="00563563"/>
    <w:rsid w:val="005742E2"/>
    <w:rsid w:val="00577E35"/>
    <w:rsid w:val="00592C8C"/>
    <w:rsid w:val="005948FD"/>
    <w:rsid w:val="005955AC"/>
    <w:rsid w:val="00596244"/>
    <w:rsid w:val="005A499F"/>
    <w:rsid w:val="005B357B"/>
    <w:rsid w:val="005C04EB"/>
    <w:rsid w:val="005D358B"/>
    <w:rsid w:val="005D58FE"/>
    <w:rsid w:val="005E4D2B"/>
    <w:rsid w:val="005E6E9F"/>
    <w:rsid w:val="005F1181"/>
    <w:rsid w:val="005F18A5"/>
    <w:rsid w:val="005F7E32"/>
    <w:rsid w:val="00600DDD"/>
    <w:rsid w:val="00602B01"/>
    <w:rsid w:val="006047FF"/>
    <w:rsid w:val="006106B2"/>
    <w:rsid w:val="006115EC"/>
    <w:rsid w:val="00611D07"/>
    <w:rsid w:val="0061375C"/>
    <w:rsid w:val="006140AF"/>
    <w:rsid w:val="0061538B"/>
    <w:rsid w:val="00616F12"/>
    <w:rsid w:val="00620DF4"/>
    <w:rsid w:val="00623F3B"/>
    <w:rsid w:val="00624B8A"/>
    <w:rsid w:val="00631BC3"/>
    <w:rsid w:val="00633C62"/>
    <w:rsid w:val="00636649"/>
    <w:rsid w:val="006466E6"/>
    <w:rsid w:val="00650E4C"/>
    <w:rsid w:val="00661330"/>
    <w:rsid w:val="0066318B"/>
    <w:rsid w:val="006704C8"/>
    <w:rsid w:val="00673C5E"/>
    <w:rsid w:val="00673E14"/>
    <w:rsid w:val="00682558"/>
    <w:rsid w:val="00682F4A"/>
    <w:rsid w:val="00683AFF"/>
    <w:rsid w:val="00685947"/>
    <w:rsid w:val="00693BE1"/>
    <w:rsid w:val="006A1FD4"/>
    <w:rsid w:val="006A42A1"/>
    <w:rsid w:val="006A5190"/>
    <w:rsid w:val="006A7B99"/>
    <w:rsid w:val="006B70D7"/>
    <w:rsid w:val="006B79CF"/>
    <w:rsid w:val="006C4179"/>
    <w:rsid w:val="006C47D6"/>
    <w:rsid w:val="006C6F67"/>
    <w:rsid w:val="006D0510"/>
    <w:rsid w:val="006D1CFF"/>
    <w:rsid w:val="006D7604"/>
    <w:rsid w:val="006D7CBE"/>
    <w:rsid w:val="006E07E9"/>
    <w:rsid w:val="006E60C6"/>
    <w:rsid w:val="006F0736"/>
    <w:rsid w:val="006F0F8D"/>
    <w:rsid w:val="006F2452"/>
    <w:rsid w:val="006F40C1"/>
    <w:rsid w:val="006F5943"/>
    <w:rsid w:val="00705615"/>
    <w:rsid w:val="007268CF"/>
    <w:rsid w:val="00736CD1"/>
    <w:rsid w:val="007423C9"/>
    <w:rsid w:val="0074349B"/>
    <w:rsid w:val="0074543B"/>
    <w:rsid w:val="007477FE"/>
    <w:rsid w:val="00750055"/>
    <w:rsid w:val="00760FC4"/>
    <w:rsid w:val="007657FD"/>
    <w:rsid w:val="00773591"/>
    <w:rsid w:val="00774477"/>
    <w:rsid w:val="007758C6"/>
    <w:rsid w:val="007758D4"/>
    <w:rsid w:val="00783CD9"/>
    <w:rsid w:val="00783F3F"/>
    <w:rsid w:val="00785F50"/>
    <w:rsid w:val="0078688F"/>
    <w:rsid w:val="007A37FB"/>
    <w:rsid w:val="007A533D"/>
    <w:rsid w:val="007A53B3"/>
    <w:rsid w:val="007A7499"/>
    <w:rsid w:val="007A7847"/>
    <w:rsid w:val="007B023A"/>
    <w:rsid w:val="007B0419"/>
    <w:rsid w:val="007B1DA8"/>
    <w:rsid w:val="007C23F0"/>
    <w:rsid w:val="007C3901"/>
    <w:rsid w:val="007C4CC8"/>
    <w:rsid w:val="007C7765"/>
    <w:rsid w:val="007D4245"/>
    <w:rsid w:val="007D570F"/>
    <w:rsid w:val="007D62BE"/>
    <w:rsid w:val="007D72D3"/>
    <w:rsid w:val="007E0A44"/>
    <w:rsid w:val="007F1C90"/>
    <w:rsid w:val="007F4B6C"/>
    <w:rsid w:val="007F5469"/>
    <w:rsid w:val="00800797"/>
    <w:rsid w:val="00801950"/>
    <w:rsid w:val="00820F12"/>
    <w:rsid w:val="008226B3"/>
    <w:rsid w:val="00823008"/>
    <w:rsid w:val="00825E61"/>
    <w:rsid w:val="00834F26"/>
    <w:rsid w:val="00835CAE"/>
    <w:rsid w:val="008415B5"/>
    <w:rsid w:val="008473EC"/>
    <w:rsid w:val="008539D7"/>
    <w:rsid w:val="008562D3"/>
    <w:rsid w:val="00860DB0"/>
    <w:rsid w:val="00863158"/>
    <w:rsid w:val="00866A3D"/>
    <w:rsid w:val="008704E9"/>
    <w:rsid w:val="0087668E"/>
    <w:rsid w:val="00880281"/>
    <w:rsid w:val="00885C43"/>
    <w:rsid w:val="008909DB"/>
    <w:rsid w:val="008D13EA"/>
    <w:rsid w:val="008D284F"/>
    <w:rsid w:val="008D36E4"/>
    <w:rsid w:val="008D4993"/>
    <w:rsid w:val="008D7026"/>
    <w:rsid w:val="008E0A0F"/>
    <w:rsid w:val="008E2DA5"/>
    <w:rsid w:val="008E3507"/>
    <w:rsid w:val="008E4C53"/>
    <w:rsid w:val="008F00F3"/>
    <w:rsid w:val="008F0291"/>
    <w:rsid w:val="008F3953"/>
    <w:rsid w:val="008F3F9D"/>
    <w:rsid w:val="008F4D80"/>
    <w:rsid w:val="008F5CD7"/>
    <w:rsid w:val="008F6158"/>
    <w:rsid w:val="008F62BF"/>
    <w:rsid w:val="00903AE0"/>
    <w:rsid w:val="00903DA6"/>
    <w:rsid w:val="0090624F"/>
    <w:rsid w:val="00910B82"/>
    <w:rsid w:val="009258A7"/>
    <w:rsid w:val="009267AF"/>
    <w:rsid w:val="00927090"/>
    <w:rsid w:val="00932125"/>
    <w:rsid w:val="00932ED9"/>
    <w:rsid w:val="00936D6C"/>
    <w:rsid w:val="00937EB8"/>
    <w:rsid w:val="009503C7"/>
    <w:rsid w:val="0096298F"/>
    <w:rsid w:val="00963E53"/>
    <w:rsid w:val="00970FEB"/>
    <w:rsid w:val="009841A3"/>
    <w:rsid w:val="00987B05"/>
    <w:rsid w:val="00990334"/>
    <w:rsid w:val="00990637"/>
    <w:rsid w:val="00997BD7"/>
    <w:rsid w:val="009A2A36"/>
    <w:rsid w:val="009A476C"/>
    <w:rsid w:val="009A4F7D"/>
    <w:rsid w:val="009B73F5"/>
    <w:rsid w:val="009C1FBF"/>
    <w:rsid w:val="009D5EB6"/>
    <w:rsid w:val="009D62E0"/>
    <w:rsid w:val="009D7136"/>
    <w:rsid w:val="009E10F4"/>
    <w:rsid w:val="009E41A2"/>
    <w:rsid w:val="009F2F04"/>
    <w:rsid w:val="009F4B93"/>
    <w:rsid w:val="009F58CD"/>
    <w:rsid w:val="00A009E7"/>
    <w:rsid w:val="00A01E00"/>
    <w:rsid w:val="00A1077E"/>
    <w:rsid w:val="00A24987"/>
    <w:rsid w:val="00A3193C"/>
    <w:rsid w:val="00A32A2B"/>
    <w:rsid w:val="00A43FFD"/>
    <w:rsid w:val="00A52A15"/>
    <w:rsid w:val="00A54AD2"/>
    <w:rsid w:val="00A54C9E"/>
    <w:rsid w:val="00A54EFD"/>
    <w:rsid w:val="00A57319"/>
    <w:rsid w:val="00A57A3A"/>
    <w:rsid w:val="00A651E3"/>
    <w:rsid w:val="00A81469"/>
    <w:rsid w:val="00A8200B"/>
    <w:rsid w:val="00A92B36"/>
    <w:rsid w:val="00A95F63"/>
    <w:rsid w:val="00A96026"/>
    <w:rsid w:val="00AA6676"/>
    <w:rsid w:val="00AB134D"/>
    <w:rsid w:val="00AB52E5"/>
    <w:rsid w:val="00AB5AA5"/>
    <w:rsid w:val="00AB6AB8"/>
    <w:rsid w:val="00AC1BB4"/>
    <w:rsid w:val="00AD13CD"/>
    <w:rsid w:val="00AD3D4C"/>
    <w:rsid w:val="00AE010E"/>
    <w:rsid w:val="00AE1F4E"/>
    <w:rsid w:val="00AE308B"/>
    <w:rsid w:val="00AE3499"/>
    <w:rsid w:val="00AE5736"/>
    <w:rsid w:val="00AF1526"/>
    <w:rsid w:val="00B0225D"/>
    <w:rsid w:val="00B066B0"/>
    <w:rsid w:val="00B06FF6"/>
    <w:rsid w:val="00B07ED4"/>
    <w:rsid w:val="00B11A67"/>
    <w:rsid w:val="00B15F09"/>
    <w:rsid w:val="00B20950"/>
    <w:rsid w:val="00B22F44"/>
    <w:rsid w:val="00B23082"/>
    <w:rsid w:val="00B27815"/>
    <w:rsid w:val="00B31B88"/>
    <w:rsid w:val="00B33D68"/>
    <w:rsid w:val="00B33DBE"/>
    <w:rsid w:val="00B37809"/>
    <w:rsid w:val="00B40120"/>
    <w:rsid w:val="00B42DDA"/>
    <w:rsid w:val="00B4470B"/>
    <w:rsid w:val="00B46C8F"/>
    <w:rsid w:val="00B479CD"/>
    <w:rsid w:val="00B50EB1"/>
    <w:rsid w:val="00B5229F"/>
    <w:rsid w:val="00B549C9"/>
    <w:rsid w:val="00B65215"/>
    <w:rsid w:val="00B6795A"/>
    <w:rsid w:val="00B70FBF"/>
    <w:rsid w:val="00B778BB"/>
    <w:rsid w:val="00B810C1"/>
    <w:rsid w:val="00B849B5"/>
    <w:rsid w:val="00B87DA5"/>
    <w:rsid w:val="00B92153"/>
    <w:rsid w:val="00B92329"/>
    <w:rsid w:val="00B954FD"/>
    <w:rsid w:val="00BA03D1"/>
    <w:rsid w:val="00BA4A18"/>
    <w:rsid w:val="00BA5C79"/>
    <w:rsid w:val="00BB00D8"/>
    <w:rsid w:val="00BB1865"/>
    <w:rsid w:val="00BB621C"/>
    <w:rsid w:val="00BC0D09"/>
    <w:rsid w:val="00BC0FDF"/>
    <w:rsid w:val="00BC5633"/>
    <w:rsid w:val="00BC5727"/>
    <w:rsid w:val="00BE3020"/>
    <w:rsid w:val="00BE3BA1"/>
    <w:rsid w:val="00BF3B91"/>
    <w:rsid w:val="00C069C9"/>
    <w:rsid w:val="00C10351"/>
    <w:rsid w:val="00C137D3"/>
    <w:rsid w:val="00C13E1E"/>
    <w:rsid w:val="00C1798F"/>
    <w:rsid w:val="00C2245E"/>
    <w:rsid w:val="00C25E47"/>
    <w:rsid w:val="00C310E4"/>
    <w:rsid w:val="00C32E65"/>
    <w:rsid w:val="00C33AAA"/>
    <w:rsid w:val="00C361FA"/>
    <w:rsid w:val="00C522D0"/>
    <w:rsid w:val="00C529AE"/>
    <w:rsid w:val="00C548DC"/>
    <w:rsid w:val="00C62AAB"/>
    <w:rsid w:val="00C67A23"/>
    <w:rsid w:val="00C73291"/>
    <w:rsid w:val="00C81B29"/>
    <w:rsid w:val="00C8257D"/>
    <w:rsid w:val="00C835C6"/>
    <w:rsid w:val="00C8394C"/>
    <w:rsid w:val="00C875B7"/>
    <w:rsid w:val="00C87AC5"/>
    <w:rsid w:val="00C922ED"/>
    <w:rsid w:val="00C92DA2"/>
    <w:rsid w:val="00C9390A"/>
    <w:rsid w:val="00CA0C6A"/>
    <w:rsid w:val="00CB304D"/>
    <w:rsid w:val="00CC04B7"/>
    <w:rsid w:val="00CC75B2"/>
    <w:rsid w:val="00CE0DCB"/>
    <w:rsid w:val="00CE1F7F"/>
    <w:rsid w:val="00CE7609"/>
    <w:rsid w:val="00CF2D51"/>
    <w:rsid w:val="00CF5EC9"/>
    <w:rsid w:val="00CF643B"/>
    <w:rsid w:val="00D0602B"/>
    <w:rsid w:val="00D1247A"/>
    <w:rsid w:val="00D16520"/>
    <w:rsid w:val="00D203BD"/>
    <w:rsid w:val="00D2563F"/>
    <w:rsid w:val="00D31AA0"/>
    <w:rsid w:val="00D37060"/>
    <w:rsid w:val="00D409A4"/>
    <w:rsid w:val="00D4135E"/>
    <w:rsid w:val="00D4504E"/>
    <w:rsid w:val="00D47F71"/>
    <w:rsid w:val="00D55097"/>
    <w:rsid w:val="00D7296F"/>
    <w:rsid w:val="00D73262"/>
    <w:rsid w:val="00D73400"/>
    <w:rsid w:val="00D76C00"/>
    <w:rsid w:val="00D80003"/>
    <w:rsid w:val="00D83F6C"/>
    <w:rsid w:val="00D86A99"/>
    <w:rsid w:val="00D874D7"/>
    <w:rsid w:val="00D9135C"/>
    <w:rsid w:val="00D92242"/>
    <w:rsid w:val="00D9332F"/>
    <w:rsid w:val="00D964CB"/>
    <w:rsid w:val="00DA0024"/>
    <w:rsid w:val="00DA70E4"/>
    <w:rsid w:val="00DB1487"/>
    <w:rsid w:val="00DB1A40"/>
    <w:rsid w:val="00DC25FB"/>
    <w:rsid w:val="00DC626C"/>
    <w:rsid w:val="00DC7D8F"/>
    <w:rsid w:val="00DD6BC8"/>
    <w:rsid w:val="00DE0E46"/>
    <w:rsid w:val="00DE41C6"/>
    <w:rsid w:val="00DE5904"/>
    <w:rsid w:val="00DE6D21"/>
    <w:rsid w:val="00DF4FB5"/>
    <w:rsid w:val="00DF6F77"/>
    <w:rsid w:val="00DF72E9"/>
    <w:rsid w:val="00E005C1"/>
    <w:rsid w:val="00E04E10"/>
    <w:rsid w:val="00E053AB"/>
    <w:rsid w:val="00E05597"/>
    <w:rsid w:val="00E1002E"/>
    <w:rsid w:val="00E11CF3"/>
    <w:rsid w:val="00E1538E"/>
    <w:rsid w:val="00E17BFF"/>
    <w:rsid w:val="00E257D9"/>
    <w:rsid w:val="00E264D2"/>
    <w:rsid w:val="00E305A0"/>
    <w:rsid w:val="00E4030E"/>
    <w:rsid w:val="00E4310A"/>
    <w:rsid w:val="00E52C97"/>
    <w:rsid w:val="00E573DF"/>
    <w:rsid w:val="00E576B6"/>
    <w:rsid w:val="00E61279"/>
    <w:rsid w:val="00E71DA9"/>
    <w:rsid w:val="00E7255F"/>
    <w:rsid w:val="00E81D41"/>
    <w:rsid w:val="00E86AF9"/>
    <w:rsid w:val="00E94D6D"/>
    <w:rsid w:val="00E96AFE"/>
    <w:rsid w:val="00E971E4"/>
    <w:rsid w:val="00EA5EEA"/>
    <w:rsid w:val="00EA72D7"/>
    <w:rsid w:val="00EA7F85"/>
    <w:rsid w:val="00ED0401"/>
    <w:rsid w:val="00EE5229"/>
    <w:rsid w:val="00EE6EBC"/>
    <w:rsid w:val="00EE7E75"/>
    <w:rsid w:val="00EF345F"/>
    <w:rsid w:val="00EF5558"/>
    <w:rsid w:val="00EF5EEB"/>
    <w:rsid w:val="00EF7FC3"/>
    <w:rsid w:val="00F0762A"/>
    <w:rsid w:val="00F11535"/>
    <w:rsid w:val="00F1573C"/>
    <w:rsid w:val="00F167F1"/>
    <w:rsid w:val="00F179B5"/>
    <w:rsid w:val="00F17BA5"/>
    <w:rsid w:val="00F229D2"/>
    <w:rsid w:val="00F25416"/>
    <w:rsid w:val="00F31BAF"/>
    <w:rsid w:val="00F33125"/>
    <w:rsid w:val="00F360D6"/>
    <w:rsid w:val="00F430C8"/>
    <w:rsid w:val="00F46487"/>
    <w:rsid w:val="00F47546"/>
    <w:rsid w:val="00F541E1"/>
    <w:rsid w:val="00F567CB"/>
    <w:rsid w:val="00F658BB"/>
    <w:rsid w:val="00F714C9"/>
    <w:rsid w:val="00F74D0A"/>
    <w:rsid w:val="00F762BD"/>
    <w:rsid w:val="00F81C1C"/>
    <w:rsid w:val="00F86EA2"/>
    <w:rsid w:val="00F92B86"/>
    <w:rsid w:val="00F947F3"/>
    <w:rsid w:val="00FA5998"/>
    <w:rsid w:val="00FC1157"/>
    <w:rsid w:val="00FC22E4"/>
    <w:rsid w:val="00FC3C92"/>
    <w:rsid w:val="00FD5A35"/>
    <w:rsid w:val="00FD63BA"/>
    <w:rsid w:val="00FD72AB"/>
    <w:rsid w:val="00FD7C0C"/>
    <w:rsid w:val="00FE2998"/>
    <w:rsid w:val="00FE2C87"/>
    <w:rsid w:val="00FE3EA8"/>
    <w:rsid w:val="00FE5053"/>
    <w:rsid w:val="00FF53A7"/>
    <w:rsid w:val="00FF6872"/>
    <w:rsid w:val="00FF6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4D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E00"/>
  </w:style>
  <w:style w:type="paragraph" w:styleId="Heading1">
    <w:name w:val="heading 1"/>
    <w:basedOn w:val="Normal"/>
    <w:next w:val="Normal"/>
    <w:link w:val="Heading1Char"/>
    <w:uiPriority w:val="9"/>
    <w:qFormat/>
    <w:rsid w:val="00536993"/>
    <w:pPr>
      <w:keepNext/>
      <w:keepLines/>
      <w:spacing w:before="240" w:after="0"/>
      <w:outlineLvl w:val="0"/>
    </w:pPr>
    <w:rPr>
      <w:rFonts w:ascii="Verdana" w:eastAsiaTheme="majorEastAsia" w:hAnsi="Verdan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6993"/>
    <w:pPr>
      <w:keepNext/>
      <w:keepLines/>
      <w:spacing w:before="40" w:after="0"/>
      <w:outlineLvl w:val="1"/>
    </w:pPr>
    <w:rPr>
      <w:rFonts w:ascii="Verdana" w:eastAsiaTheme="majorEastAsia" w:hAnsi="Verdan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7B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947F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947F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993"/>
    <w:pPr>
      <w:spacing w:after="0" w:line="240" w:lineRule="auto"/>
    </w:pPr>
    <w:rPr>
      <w:rFonts w:ascii="Verdana" w:hAnsi="Verdana"/>
    </w:rPr>
  </w:style>
  <w:style w:type="character" w:customStyle="1" w:styleId="Heading1Char">
    <w:name w:val="Heading 1 Char"/>
    <w:basedOn w:val="DefaultParagraphFont"/>
    <w:link w:val="Heading1"/>
    <w:uiPriority w:val="9"/>
    <w:rsid w:val="00536993"/>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rsid w:val="00536993"/>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536993"/>
    <w:pPr>
      <w:spacing w:after="0" w:line="240" w:lineRule="auto"/>
      <w:contextualSpacing/>
    </w:pPr>
    <w:rPr>
      <w:rFonts w:ascii="Verdana" w:eastAsiaTheme="majorEastAsia" w:hAnsi="Verdana" w:cstheme="majorBidi"/>
      <w:spacing w:val="-10"/>
      <w:kern w:val="28"/>
      <w:sz w:val="56"/>
      <w:szCs w:val="56"/>
    </w:rPr>
  </w:style>
  <w:style w:type="character" w:customStyle="1" w:styleId="TitleChar">
    <w:name w:val="Title Char"/>
    <w:basedOn w:val="DefaultParagraphFont"/>
    <w:link w:val="Title"/>
    <w:uiPriority w:val="10"/>
    <w:rsid w:val="00536993"/>
    <w:rPr>
      <w:rFonts w:ascii="Verdana" w:eastAsiaTheme="majorEastAsia" w:hAnsi="Verdana" w:cstheme="majorBidi"/>
      <w:spacing w:val="-10"/>
      <w:kern w:val="28"/>
      <w:sz w:val="56"/>
      <w:szCs w:val="56"/>
    </w:rPr>
  </w:style>
  <w:style w:type="character" w:customStyle="1" w:styleId="Heading3Char">
    <w:name w:val="Heading 3 Char"/>
    <w:basedOn w:val="DefaultParagraphFont"/>
    <w:link w:val="Heading3"/>
    <w:uiPriority w:val="9"/>
    <w:rsid w:val="00517B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47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947F3"/>
    <w:rPr>
      <w:rFonts w:asciiTheme="majorHAnsi" w:eastAsiaTheme="majorEastAsia" w:hAnsiTheme="majorHAnsi" w:cstheme="majorBidi"/>
      <w:color w:val="2E74B5" w:themeColor="accent1" w:themeShade="BF"/>
    </w:rPr>
  </w:style>
  <w:style w:type="paragraph" w:customStyle="1" w:styleId="Bodycopy">
    <w:name w:val="Body copy"/>
    <w:link w:val="BodycopyChar"/>
    <w:qFormat/>
    <w:rsid w:val="00475C23"/>
    <w:pPr>
      <w:suppressAutoHyphens/>
      <w:spacing w:after="240" w:line="240" w:lineRule="exact"/>
    </w:pPr>
    <w:rPr>
      <w:rFonts w:ascii="Arial" w:eastAsia="Times" w:hAnsi="Arial" w:cs="Times New Roman"/>
      <w:color w:val="000000"/>
      <w:sz w:val="19"/>
      <w:szCs w:val="20"/>
    </w:rPr>
  </w:style>
  <w:style w:type="character" w:customStyle="1" w:styleId="BodycopyChar">
    <w:name w:val="Body copy Char"/>
    <w:basedOn w:val="DefaultParagraphFont"/>
    <w:link w:val="Bodycopy"/>
    <w:rsid w:val="00475C23"/>
    <w:rPr>
      <w:rFonts w:ascii="Arial" w:eastAsia="Times" w:hAnsi="Arial" w:cs="Times New Roman"/>
      <w:color w:val="000000"/>
      <w:sz w:val="19"/>
      <w:szCs w:val="20"/>
    </w:rPr>
  </w:style>
  <w:style w:type="table" w:customStyle="1" w:styleId="Table-Grid">
    <w:name w:val="Table-Grid"/>
    <w:basedOn w:val="TableNormal"/>
    <w:uiPriority w:val="99"/>
    <w:rsid w:val="00475C23"/>
    <w:pPr>
      <w:spacing w:after="0" w:line="240" w:lineRule="auto"/>
    </w:pPr>
    <w:rPr>
      <w:rFonts w:ascii="Times New Roman" w:eastAsia="Times New Roman" w:hAnsi="Times New Roman" w:cs="Times New Roman"/>
      <w:sz w:val="20"/>
      <w:szCs w:val="20"/>
      <w:lang w:val="en-NZ"/>
    </w:rPr>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paragraph" w:customStyle="1" w:styleId="Sectionsub-heading">
    <w:name w:val="Section sub-heading"/>
    <w:basedOn w:val="Normal"/>
    <w:link w:val="Sectionsub-headingChar"/>
    <w:rsid w:val="00475C23"/>
    <w:pPr>
      <w:keepNext/>
      <w:spacing w:after="240" w:line="240" w:lineRule="auto"/>
      <w:ind w:left="720" w:hanging="720"/>
      <w:jc w:val="both"/>
    </w:pPr>
    <w:rPr>
      <w:rFonts w:ascii="Arial" w:eastAsia="Times New Roman" w:hAnsi="Arial" w:cs="Arial"/>
      <w:b/>
      <w:color w:val="44546A" w:themeColor="text2"/>
      <w:szCs w:val="20"/>
      <w:lang w:val="en-NZ"/>
    </w:rPr>
  </w:style>
  <w:style w:type="character" w:customStyle="1" w:styleId="Sectionsub-headingChar">
    <w:name w:val="Section sub-heading Char"/>
    <w:basedOn w:val="DefaultParagraphFont"/>
    <w:link w:val="Sectionsub-heading"/>
    <w:rsid w:val="00475C23"/>
    <w:rPr>
      <w:rFonts w:ascii="Arial" w:eastAsia="Times New Roman" w:hAnsi="Arial" w:cs="Arial"/>
      <w:b/>
      <w:color w:val="44546A" w:themeColor="text2"/>
      <w:szCs w:val="20"/>
      <w:lang w:val="en-NZ"/>
    </w:rPr>
  </w:style>
  <w:style w:type="paragraph" w:styleId="ListNumber2">
    <w:name w:val="List Number 2"/>
    <w:basedOn w:val="ListNumber"/>
    <w:qFormat/>
    <w:rsid w:val="00347CCF"/>
    <w:pPr>
      <w:numPr>
        <w:numId w:val="1"/>
      </w:numPr>
      <w:tabs>
        <w:tab w:val="clear" w:pos="868"/>
        <w:tab w:val="num" w:pos="360"/>
        <w:tab w:val="left" w:pos="426"/>
      </w:tabs>
      <w:spacing w:after="120" w:line="280" w:lineRule="exact"/>
      <w:ind w:left="360" w:hanging="360"/>
      <w:contextualSpacing w:val="0"/>
    </w:pPr>
    <w:rPr>
      <w:rFonts w:ascii="Franklin Gothic Book" w:eastAsia="Times New Roman" w:hAnsi="Franklin Gothic Book" w:cs="Times New Roman"/>
      <w:color w:val="000000" w:themeColor="text1"/>
      <w:sz w:val="20"/>
      <w:szCs w:val="20"/>
    </w:rPr>
  </w:style>
  <w:style w:type="character" w:styleId="Hyperlink">
    <w:name w:val="Hyperlink"/>
    <w:uiPriority w:val="99"/>
    <w:rsid w:val="00347CCF"/>
    <w:rPr>
      <w:color w:val="00467F"/>
      <w:sz w:val="20"/>
      <w:szCs w:val="20"/>
      <w:u w:val="none"/>
    </w:rPr>
  </w:style>
  <w:style w:type="paragraph" w:styleId="FootnoteText">
    <w:name w:val="footnote text"/>
    <w:aliases w:val="ft,single space,footnote text Char Char Char,footnote text Char,footnote text Char Char,footnote text Char Char Char Char Char,FOOTNOTES,fn,Footnote Text Char Char Char Char,Footnote Text Char Char Char,ADB,Fußnotentext Char,A"/>
    <w:basedOn w:val="BodyText"/>
    <w:link w:val="FootnoteTextChar"/>
    <w:uiPriority w:val="99"/>
    <w:unhideWhenUsed/>
    <w:qFormat/>
    <w:rsid w:val="00347CCF"/>
    <w:pPr>
      <w:spacing w:after="0" w:line="240" w:lineRule="auto"/>
      <w:contextualSpacing/>
    </w:pPr>
    <w:rPr>
      <w:rFonts w:ascii="Franklin Gothic Book" w:eastAsia="Times New Roman" w:hAnsi="Franklin Gothic Book" w:cs="Times New Roman"/>
      <w:color w:val="000000" w:themeColor="text1"/>
      <w:sz w:val="16"/>
      <w:szCs w:val="20"/>
      <w:lang w:val="en-AU"/>
    </w:rPr>
  </w:style>
  <w:style w:type="character" w:customStyle="1" w:styleId="FootnoteTextChar">
    <w:name w:val="Footnote Text Char"/>
    <w:aliases w:val="ft Char,single space Char,footnote text Char Char Char Char,footnote text Char Char1,footnote text Char Char Char1,footnote text Char Char Char Char Char Char,FOOTNOTES Char,fn Char,Footnote Text Char Char Char Char Char,ADB Char"/>
    <w:basedOn w:val="DefaultParagraphFont"/>
    <w:link w:val="FootnoteText"/>
    <w:uiPriority w:val="99"/>
    <w:rsid w:val="00347CCF"/>
    <w:rPr>
      <w:rFonts w:ascii="Franklin Gothic Book" w:eastAsia="Times New Roman" w:hAnsi="Franklin Gothic Book" w:cs="Times New Roman"/>
      <w:color w:val="000000" w:themeColor="text1"/>
      <w:sz w:val="16"/>
      <w:szCs w:val="20"/>
      <w:lang w:val="en-AU"/>
    </w:rPr>
  </w:style>
  <w:style w:type="character" w:styleId="FootnoteReference">
    <w:name w:val="footnote reference"/>
    <w:aliases w:val="Normal + Font:9 Point,Superscript 3 Point Times,ftref,BVI fnr,footnote ref,16 Point,Superscript 6 Point,Footnote text,fr,(NECG) Footnote Reference,Footnote + Arial,10 pt,Black,SUPERS,Footnote"/>
    <w:uiPriority w:val="99"/>
    <w:rsid w:val="00347CCF"/>
    <w:rPr>
      <w:rFonts w:ascii="Times New Roman" w:hAnsi="Times New Roman"/>
      <w:w w:val="100"/>
      <w:position w:val="6"/>
      <w:sz w:val="16"/>
      <w:szCs w:val="12"/>
      <w:vertAlign w:val="baseline"/>
    </w:rPr>
  </w:style>
  <w:style w:type="paragraph" w:styleId="ListParagraph">
    <w:name w:val="List Paragraph"/>
    <w:aliases w:val="List Paragraph1,List Paragraph11,L,Recommendation,CV text,Table text,Bullets level 1,List Paragraph - Dani,List Paragraph 1 - Dani,Akapit z listą BS,Table/Figure Heading,F5 List Paragraph,Dot pt,List Paragraph111,Medium Grid 1 - Accent 21"/>
    <w:basedOn w:val="BodyText"/>
    <w:link w:val="ListParagraphChar"/>
    <w:uiPriority w:val="34"/>
    <w:qFormat/>
    <w:rsid w:val="00347CCF"/>
    <w:pPr>
      <w:numPr>
        <w:numId w:val="17"/>
      </w:numPr>
      <w:spacing w:before="80" w:line="276" w:lineRule="auto"/>
      <w:ind w:left="142" w:hanging="426"/>
    </w:pPr>
    <w:rPr>
      <w:rFonts w:ascii="Franklin Gothic Book" w:eastAsia="SimSun" w:hAnsi="Franklin Gothic Book" w:cs="Times New Roman"/>
      <w:color w:val="000000" w:themeColor="text1"/>
      <w:sz w:val="20"/>
      <w:szCs w:val="20"/>
    </w:rPr>
  </w:style>
  <w:style w:type="paragraph" w:customStyle="1" w:styleId="List-number-1">
    <w:name w:val="List-number-1"/>
    <w:basedOn w:val="ListParagraph"/>
    <w:link w:val="List-number-1Char"/>
    <w:qFormat/>
    <w:rsid w:val="00347CCF"/>
    <w:pPr>
      <w:numPr>
        <w:ilvl w:val="2"/>
        <w:numId w:val="2"/>
      </w:numPr>
      <w:tabs>
        <w:tab w:val="num" w:pos="360"/>
      </w:tabs>
      <w:ind w:left="142" w:hanging="426"/>
    </w:pPr>
  </w:style>
  <w:style w:type="character" w:customStyle="1" w:styleId="List-number-1Char">
    <w:name w:val="List-number-1 Char"/>
    <w:link w:val="List-number-1"/>
    <w:rsid w:val="00347CCF"/>
    <w:rPr>
      <w:rFonts w:ascii="Franklin Gothic Book" w:eastAsia="SimSun" w:hAnsi="Franklin Gothic Book" w:cs="Times New Roman"/>
      <w:color w:val="000000" w:themeColor="text1"/>
      <w:sz w:val="20"/>
      <w:szCs w:val="20"/>
    </w:rPr>
  </w:style>
  <w:style w:type="character" w:customStyle="1" w:styleId="ListParagraphChar">
    <w:name w:val="List Paragraph Char"/>
    <w:aliases w:val="List Paragraph1 Char,List Paragraph11 Char,L Char,Recommendation Char,CV text Char,Table text Char,Bullets level 1 Char,List Paragraph - Dani Char,List Paragraph 1 - Dani Char,Akapit z listą BS Char,Table/Figure Heading Char"/>
    <w:basedOn w:val="DefaultParagraphFont"/>
    <w:link w:val="ListParagraph"/>
    <w:uiPriority w:val="34"/>
    <w:locked/>
    <w:rsid w:val="00347CCF"/>
    <w:rPr>
      <w:rFonts w:ascii="Franklin Gothic Book" w:eastAsia="SimSun" w:hAnsi="Franklin Gothic Book" w:cs="Times New Roman"/>
      <w:color w:val="000000" w:themeColor="text1"/>
      <w:sz w:val="20"/>
      <w:szCs w:val="20"/>
    </w:rPr>
  </w:style>
  <w:style w:type="paragraph" w:styleId="ListNumber">
    <w:name w:val="List Number"/>
    <w:basedOn w:val="Normal"/>
    <w:uiPriority w:val="99"/>
    <w:semiHidden/>
    <w:unhideWhenUsed/>
    <w:rsid w:val="00347CCF"/>
    <w:pPr>
      <w:numPr>
        <w:numId w:val="2"/>
      </w:numPr>
      <w:contextualSpacing/>
    </w:pPr>
  </w:style>
  <w:style w:type="paragraph" w:styleId="BodyText">
    <w:name w:val="Body Text"/>
    <w:basedOn w:val="Normal"/>
    <w:link w:val="BodyTextChar"/>
    <w:uiPriority w:val="99"/>
    <w:unhideWhenUsed/>
    <w:rsid w:val="00347CCF"/>
    <w:pPr>
      <w:spacing w:after="120"/>
    </w:pPr>
  </w:style>
  <w:style w:type="character" w:customStyle="1" w:styleId="BodyTextChar">
    <w:name w:val="Body Text Char"/>
    <w:basedOn w:val="DefaultParagraphFont"/>
    <w:link w:val="BodyText"/>
    <w:uiPriority w:val="99"/>
    <w:rsid w:val="00347CCF"/>
  </w:style>
  <w:style w:type="paragraph" w:styleId="Header">
    <w:name w:val="header"/>
    <w:basedOn w:val="Normal"/>
    <w:link w:val="HeaderChar"/>
    <w:uiPriority w:val="99"/>
    <w:unhideWhenUsed/>
    <w:rsid w:val="00623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F3B"/>
  </w:style>
  <w:style w:type="paragraph" w:styleId="Footer">
    <w:name w:val="footer"/>
    <w:basedOn w:val="Normal"/>
    <w:link w:val="FooterChar"/>
    <w:uiPriority w:val="99"/>
    <w:unhideWhenUsed/>
    <w:rsid w:val="00623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F3B"/>
  </w:style>
  <w:style w:type="paragraph" w:customStyle="1" w:styleId="TableHeaderRow">
    <w:name w:val="Table Header Row"/>
    <w:basedOn w:val="Normal"/>
    <w:uiPriority w:val="99"/>
    <w:rsid w:val="00623F3B"/>
    <w:pPr>
      <w:spacing w:before="60" w:after="60" w:line="260" w:lineRule="atLeast"/>
    </w:pPr>
    <w:rPr>
      <w:rFonts w:ascii="Calibri" w:hAnsi="Calibri" w:cs="Calibri"/>
      <w:b/>
      <w:bCs/>
      <w:color w:val="FFFFFF"/>
    </w:rPr>
  </w:style>
  <w:style w:type="table" w:styleId="TableGrid">
    <w:name w:val="Table Grid"/>
    <w:basedOn w:val="TableNormal"/>
    <w:uiPriority w:val="39"/>
    <w:rsid w:val="00773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FATTable1">
    <w:name w:val="DFAT Table 1"/>
    <w:basedOn w:val="TableNormal"/>
    <w:uiPriority w:val="99"/>
    <w:rsid w:val="00773591"/>
    <w:pPr>
      <w:spacing w:before="60" w:after="60" w:line="260" w:lineRule="atLeast"/>
    </w:pPr>
    <w:rPr>
      <w:rFonts w:ascii="Calibri" w:hAnsi="Calibri"/>
      <w:color w:val="44546A" w:themeColor="text2"/>
      <w:lang w:val="en-AU"/>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customStyle="1" w:styleId="Default">
    <w:name w:val="Default"/>
    <w:rsid w:val="005449C9"/>
    <w:pPr>
      <w:autoSpaceDE w:val="0"/>
      <w:autoSpaceDN w:val="0"/>
      <w:adjustRightInd w:val="0"/>
      <w:spacing w:after="0" w:line="240" w:lineRule="auto"/>
    </w:pPr>
    <w:rPr>
      <w:rFonts w:ascii="Cambria" w:hAnsi="Cambria" w:cs="Cambria"/>
      <w:color w:val="000000"/>
      <w:sz w:val="24"/>
      <w:szCs w:val="24"/>
      <w:lang w:val="en-AU"/>
    </w:rPr>
  </w:style>
  <w:style w:type="paragraph" w:styleId="BalloonText">
    <w:name w:val="Balloon Text"/>
    <w:basedOn w:val="Normal"/>
    <w:link w:val="BalloonTextChar"/>
    <w:uiPriority w:val="99"/>
    <w:semiHidden/>
    <w:unhideWhenUsed/>
    <w:rsid w:val="009D5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EB6"/>
    <w:rPr>
      <w:rFonts w:ascii="Segoe UI" w:hAnsi="Segoe UI" w:cs="Segoe UI"/>
      <w:sz w:val="18"/>
      <w:szCs w:val="18"/>
    </w:rPr>
  </w:style>
  <w:style w:type="character" w:styleId="CommentReference">
    <w:name w:val="annotation reference"/>
    <w:basedOn w:val="DefaultParagraphFont"/>
    <w:uiPriority w:val="99"/>
    <w:semiHidden/>
    <w:unhideWhenUsed/>
    <w:rsid w:val="00513410"/>
    <w:rPr>
      <w:sz w:val="16"/>
      <w:szCs w:val="16"/>
    </w:rPr>
  </w:style>
  <w:style w:type="paragraph" w:styleId="CommentText">
    <w:name w:val="annotation text"/>
    <w:basedOn w:val="Normal"/>
    <w:link w:val="CommentTextChar"/>
    <w:uiPriority w:val="99"/>
    <w:semiHidden/>
    <w:unhideWhenUsed/>
    <w:rsid w:val="00513410"/>
    <w:pPr>
      <w:spacing w:line="240" w:lineRule="auto"/>
    </w:pPr>
    <w:rPr>
      <w:sz w:val="20"/>
      <w:szCs w:val="20"/>
    </w:rPr>
  </w:style>
  <w:style w:type="character" w:customStyle="1" w:styleId="CommentTextChar">
    <w:name w:val="Comment Text Char"/>
    <w:basedOn w:val="DefaultParagraphFont"/>
    <w:link w:val="CommentText"/>
    <w:uiPriority w:val="99"/>
    <w:semiHidden/>
    <w:rsid w:val="00513410"/>
    <w:rPr>
      <w:sz w:val="20"/>
      <w:szCs w:val="20"/>
    </w:rPr>
  </w:style>
  <w:style w:type="paragraph" w:styleId="CommentSubject">
    <w:name w:val="annotation subject"/>
    <w:basedOn w:val="CommentText"/>
    <w:next w:val="CommentText"/>
    <w:link w:val="CommentSubjectChar"/>
    <w:uiPriority w:val="99"/>
    <w:semiHidden/>
    <w:unhideWhenUsed/>
    <w:rsid w:val="00513410"/>
    <w:rPr>
      <w:b/>
      <w:bCs/>
    </w:rPr>
  </w:style>
  <w:style w:type="character" w:customStyle="1" w:styleId="CommentSubjectChar">
    <w:name w:val="Comment Subject Char"/>
    <w:basedOn w:val="CommentTextChar"/>
    <w:link w:val="CommentSubject"/>
    <w:uiPriority w:val="99"/>
    <w:semiHidden/>
    <w:rsid w:val="005134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44675">
      <w:bodyDiv w:val="1"/>
      <w:marLeft w:val="0"/>
      <w:marRight w:val="0"/>
      <w:marTop w:val="0"/>
      <w:marBottom w:val="0"/>
      <w:divBdr>
        <w:top w:val="none" w:sz="0" w:space="0" w:color="auto"/>
        <w:left w:val="none" w:sz="0" w:space="0" w:color="auto"/>
        <w:bottom w:val="none" w:sz="0" w:space="0" w:color="auto"/>
        <w:right w:val="none" w:sz="0" w:space="0" w:color="auto"/>
      </w:divBdr>
    </w:div>
    <w:div w:id="367336183">
      <w:bodyDiv w:val="1"/>
      <w:marLeft w:val="0"/>
      <w:marRight w:val="0"/>
      <w:marTop w:val="0"/>
      <w:marBottom w:val="0"/>
      <w:divBdr>
        <w:top w:val="none" w:sz="0" w:space="0" w:color="auto"/>
        <w:left w:val="none" w:sz="0" w:space="0" w:color="auto"/>
        <w:bottom w:val="none" w:sz="0" w:space="0" w:color="auto"/>
        <w:right w:val="none" w:sz="0" w:space="0" w:color="auto"/>
      </w:divBdr>
    </w:div>
    <w:div w:id="1043168033">
      <w:bodyDiv w:val="1"/>
      <w:marLeft w:val="0"/>
      <w:marRight w:val="0"/>
      <w:marTop w:val="0"/>
      <w:marBottom w:val="0"/>
      <w:divBdr>
        <w:top w:val="none" w:sz="0" w:space="0" w:color="auto"/>
        <w:left w:val="none" w:sz="0" w:space="0" w:color="auto"/>
        <w:bottom w:val="none" w:sz="0" w:space="0" w:color="auto"/>
        <w:right w:val="none" w:sz="0" w:space="0" w:color="auto"/>
      </w:divBdr>
    </w:div>
    <w:div w:id="191701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641CB-2B14-4AA8-B219-C1A7A8D3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2169</Words>
  <Characters>12364</Characters>
  <Application>Microsoft Office Word</Application>
  <DocSecurity>0</DocSecurity>
  <Lines>103</Lines>
  <Paragraphs>29</Paragraphs>
  <ScaleCrop>false</ScaleCrop>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to Independent Review Report of ASEAN-Australia Development Cooperation Program Phase II (AADCP II)</dc:title>
  <dc:subject/>
  <dc:creator/>
  <cp:keywords/>
  <dc:description/>
  <cp:lastModifiedBy/>
  <cp:revision>1</cp:revision>
  <dcterms:created xsi:type="dcterms:W3CDTF">2020-11-03T23:20:00Z</dcterms:created>
  <dcterms:modified xsi:type="dcterms:W3CDTF">2020-11-03T23:20:00Z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e000db2a-b9af-4e66-9e00-d2cbfbb6adae</vt:lpwstr>
  </property>
  <property fmtid="{D5CDD505-2E9C-101B-9397-08002B2CF9AE}" pid="3" name="SEC">
    <vt:lpwstr>OFFICIAL</vt:lpwstr>
  </property>
</Properties>
</file>