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505" w:rsidRPr="00FB16A2" w:rsidRDefault="0049206A" w:rsidP="00761A73">
      <w:pPr>
        <w:jc w:val="center"/>
      </w:pPr>
      <w:r>
        <w:rPr>
          <w:noProof/>
          <w:lang w:eastAsia="en-AU"/>
        </w:rPr>
        <w:drawing>
          <wp:anchor distT="0" distB="0" distL="114300" distR="114300" simplePos="0" relativeHeight="251657216" behindDoc="1" locked="0" layoutInCell="1" allowOverlap="1" wp14:anchorId="5F9EEE3F" wp14:editId="6F26CC0A">
            <wp:simplePos x="0" y="0"/>
            <wp:positionH relativeFrom="column">
              <wp:posOffset>-114300</wp:posOffset>
            </wp:positionH>
            <wp:positionV relativeFrom="paragraph">
              <wp:posOffset>-342900</wp:posOffset>
            </wp:positionV>
            <wp:extent cx="3200400" cy="887095"/>
            <wp:effectExtent l="0" t="0" r="0" b="8255"/>
            <wp:wrapTight wrapText="bothSides">
              <wp:wrapPolygon edited="0">
                <wp:start x="0" y="0"/>
                <wp:lineTo x="0" y="21337"/>
                <wp:lineTo x="21471" y="21337"/>
                <wp:lineTo x="21471"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D26505" w:rsidRPr="00C54467">
        <w:rPr>
          <w:b/>
          <w:bCs/>
          <w:sz w:val="28"/>
          <w:szCs w:val="28"/>
        </w:rPr>
        <w:t>ADDENDUM</w:t>
      </w:r>
      <w:r w:rsidR="002D5F54" w:rsidRPr="00C54467">
        <w:rPr>
          <w:b/>
          <w:bCs/>
          <w:sz w:val="28"/>
          <w:szCs w:val="28"/>
        </w:rPr>
        <w:t xml:space="preserve"> </w:t>
      </w:r>
      <w:r w:rsidR="00EE0B25">
        <w:rPr>
          <w:b/>
          <w:bCs/>
          <w:sz w:val="28"/>
          <w:szCs w:val="28"/>
        </w:rPr>
        <w:t>1</w:t>
      </w:r>
    </w:p>
    <w:p w:rsidR="00D26505" w:rsidRDefault="00D26505" w:rsidP="00761A73"/>
    <w:p w:rsidR="00D26505" w:rsidRDefault="00D26505" w:rsidP="00761A73"/>
    <w:p w:rsidR="00D26505" w:rsidRDefault="00D26505" w:rsidP="00761A73"/>
    <w:p w:rsidR="00C54467" w:rsidRDefault="00D26505" w:rsidP="00761A73">
      <w:pPr>
        <w:autoSpaceDE w:val="0"/>
        <w:autoSpaceDN w:val="0"/>
        <w:adjustRightInd w:val="0"/>
        <w:rPr>
          <w:lang w:val="en-US"/>
        </w:rPr>
      </w:pPr>
      <w:r w:rsidRPr="00746576">
        <w:rPr>
          <w:lang w:val="en-US"/>
        </w:rPr>
        <w:t>Date:</w:t>
      </w:r>
      <w:r w:rsidR="00C54467">
        <w:rPr>
          <w:lang w:val="en-US"/>
        </w:rPr>
        <w:t xml:space="preserve"> </w:t>
      </w:r>
      <w:r w:rsidR="00761A73">
        <w:rPr>
          <w:lang w:val="en-US"/>
        </w:rPr>
        <w:tab/>
      </w:r>
      <w:r w:rsidR="00761A73">
        <w:rPr>
          <w:lang w:val="en-US"/>
        </w:rPr>
        <w:tab/>
      </w:r>
      <w:r w:rsidR="004B5741">
        <w:rPr>
          <w:b/>
          <w:lang w:val="en-US"/>
        </w:rPr>
        <w:t>24 May 2013</w:t>
      </w:r>
      <w:r w:rsidRPr="00FB16A2">
        <w:rPr>
          <w:lang w:val="en-US"/>
        </w:rPr>
        <w:tab/>
      </w:r>
      <w:r w:rsidRPr="00FB16A2">
        <w:rPr>
          <w:lang w:val="en-US"/>
        </w:rPr>
        <w:tab/>
      </w:r>
      <w:r w:rsidRPr="00FB16A2">
        <w:rPr>
          <w:lang w:val="en-US"/>
        </w:rPr>
        <w:tab/>
      </w:r>
    </w:p>
    <w:p w:rsidR="00D26505" w:rsidRPr="00FB16A2" w:rsidRDefault="00D26505" w:rsidP="00761A73">
      <w:pPr>
        <w:autoSpaceDE w:val="0"/>
        <w:autoSpaceDN w:val="0"/>
        <w:adjustRightInd w:val="0"/>
        <w:rPr>
          <w:lang w:val="en-US"/>
        </w:rPr>
      </w:pPr>
      <w:r w:rsidRPr="00FB16A2">
        <w:rPr>
          <w:lang w:val="en-US"/>
        </w:rPr>
        <w:t>Pages:</w:t>
      </w:r>
      <w:r w:rsidR="00C54467" w:rsidRPr="002E2F00">
        <w:rPr>
          <w:b/>
          <w:lang w:val="en-US"/>
        </w:rPr>
        <w:t xml:space="preserve"> </w:t>
      </w:r>
      <w:r w:rsidR="00761A73">
        <w:rPr>
          <w:b/>
          <w:lang w:val="en-US"/>
        </w:rPr>
        <w:tab/>
        <w:t>1</w:t>
      </w:r>
      <w:r w:rsidR="00C84BF5">
        <w:rPr>
          <w:b/>
          <w:lang w:val="en-US"/>
        </w:rPr>
        <w:t>2</w:t>
      </w:r>
      <w:bookmarkStart w:id="0" w:name="_GoBack"/>
      <w:bookmarkEnd w:id="0"/>
    </w:p>
    <w:p w:rsidR="00D26505" w:rsidRPr="00FB16A2" w:rsidRDefault="00D26505" w:rsidP="00761A73">
      <w:pPr>
        <w:pBdr>
          <w:bottom w:val="single" w:sz="6" w:space="1" w:color="auto"/>
        </w:pBdr>
        <w:autoSpaceDE w:val="0"/>
        <w:autoSpaceDN w:val="0"/>
        <w:adjustRightInd w:val="0"/>
        <w:ind w:left="1418" w:hanging="1418"/>
        <w:rPr>
          <w:lang w:val="en-US"/>
        </w:rPr>
      </w:pPr>
      <w:r w:rsidRPr="00FB16A2">
        <w:rPr>
          <w:lang w:val="en-US"/>
        </w:rPr>
        <w:t xml:space="preserve">Subject: </w:t>
      </w:r>
      <w:r w:rsidR="00761A73">
        <w:rPr>
          <w:lang w:val="en-US"/>
        </w:rPr>
        <w:tab/>
      </w:r>
      <w:r w:rsidRPr="002E2F00">
        <w:rPr>
          <w:b/>
          <w:lang w:val="en-US"/>
        </w:rPr>
        <w:t xml:space="preserve">Addendum </w:t>
      </w:r>
      <w:r w:rsidR="004B5741">
        <w:rPr>
          <w:b/>
          <w:lang w:val="en-US"/>
        </w:rPr>
        <w:t>1</w:t>
      </w:r>
      <w:r w:rsidR="002D5F54" w:rsidRPr="002E2F00">
        <w:rPr>
          <w:b/>
          <w:lang w:val="en-US"/>
        </w:rPr>
        <w:t xml:space="preserve"> </w:t>
      </w:r>
      <w:r w:rsidRPr="002E2F00">
        <w:rPr>
          <w:b/>
          <w:lang w:val="en-US"/>
        </w:rPr>
        <w:t xml:space="preserve">to the </w:t>
      </w:r>
      <w:r w:rsidR="004B5741">
        <w:rPr>
          <w:b/>
          <w:lang w:val="en-US"/>
        </w:rPr>
        <w:t xml:space="preserve">Request for Submissions for the </w:t>
      </w:r>
      <w:r w:rsidR="004B5741" w:rsidRPr="002225B6">
        <w:rPr>
          <w:b/>
          <w:i/>
          <w:lang w:val="en-US"/>
        </w:rPr>
        <w:t xml:space="preserve">Australia Afghanistan Community Resilience Scheme </w:t>
      </w:r>
      <w:r w:rsidR="00761A73" w:rsidRPr="00761A73">
        <w:rPr>
          <w:b/>
          <w:lang w:val="en-US"/>
        </w:rPr>
        <w:t>(AACRS)</w:t>
      </w:r>
    </w:p>
    <w:p w:rsidR="00D26505" w:rsidRDefault="00D26505" w:rsidP="00761A73">
      <w:pPr>
        <w:autoSpaceDE w:val="0"/>
        <w:autoSpaceDN w:val="0"/>
        <w:adjustRightInd w:val="0"/>
        <w:rPr>
          <w:rFonts w:ascii="Times New Roman" w:hAnsi="Times New Roman" w:cs="Times New Roman"/>
          <w:sz w:val="23"/>
          <w:szCs w:val="23"/>
          <w:lang w:val="en-US"/>
        </w:rPr>
      </w:pPr>
    </w:p>
    <w:p w:rsidR="00231C24" w:rsidRDefault="004B5741" w:rsidP="00761A73">
      <w:pPr>
        <w:rPr>
          <w:b/>
          <w:bCs/>
        </w:rPr>
      </w:pPr>
      <w:r>
        <w:rPr>
          <w:b/>
          <w:bCs/>
        </w:rPr>
        <w:t>Applicants</w:t>
      </w:r>
      <w:r w:rsidR="00830182">
        <w:rPr>
          <w:b/>
          <w:bCs/>
        </w:rPr>
        <w:t xml:space="preserve"> are advised of the following</w:t>
      </w:r>
      <w:r w:rsidR="00231C24">
        <w:rPr>
          <w:b/>
          <w:bCs/>
        </w:rPr>
        <w:t xml:space="preserve"> responses to </w:t>
      </w:r>
      <w:r w:rsidR="00231C24" w:rsidRPr="00231C24">
        <w:rPr>
          <w:b/>
          <w:bCs/>
        </w:rPr>
        <w:t xml:space="preserve">questions </w:t>
      </w:r>
      <w:r w:rsidR="00761A73">
        <w:rPr>
          <w:b/>
          <w:bCs/>
        </w:rPr>
        <w:t>asked at the</w:t>
      </w:r>
      <w:r w:rsidR="00231C24" w:rsidRPr="00231C24">
        <w:rPr>
          <w:b/>
          <w:bCs/>
        </w:rPr>
        <w:t xml:space="preserve"> AACRS Potential Applicant Briefing, </w:t>
      </w:r>
      <w:r w:rsidR="00C50274">
        <w:rPr>
          <w:b/>
          <w:bCs/>
        </w:rPr>
        <w:t>held</w:t>
      </w:r>
      <w:r w:rsidR="00231C24" w:rsidRPr="00231C24">
        <w:rPr>
          <w:b/>
          <w:bCs/>
        </w:rPr>
        <w:t xml:space="preserve"> 14 May 2013</w:t>
      </w:r>
      <w:r w:rsidR="00761A73">
        <w:rPr>
          <w:b/>
          <w:bCs/>
        </w:rPr>
        <w:t>.</w:t>
      </w:r>
    </w:p>
    <w:p w:rsidR="00761A73" w:rsidRPr="00231C24" w:rsidRDefault="00761A73" w:rsidP="00761A73">
      <w:pPr>
        <w:rPr>
          <w:b/>
          <w:bCs/>
        </w:rPr>
      </w:pPr>
    </w:p>
    <w:tbl>
      <w:tblPr>
        <w:tblStyle w:val="TableGrid"/>
        <w:tblW w:w="0" w:type="auto"/>
        <w:tblLook w:val="04A0" w:firstRow="1" w:lastRow="0" w:firstColumn="1" w:lastColumn="0" w:noHBand="0" w:noVBand="1"/>
      </w:tblPr>
      <w:tblGrid>
        <w:gridCol w:w="8856"/>
      </w:tblGrid>
      <w:tr w:rsidR="00FD6682" w:rsidRPr="00335371" w:rsidTr="00FD6682">
        <w:tc>
          <w:tcPr>
            <w:tcW w:w="8856" w:type="dxa"/>
            <w:shd w:val="pct10" w:color="auto" w:fill="auto"/>
          </w:tcPr>
          <w:p w:rsidR="00FD6682" w:rsidRPr="00335371" w:rsidRDefault="00FD6682" w:rsidP="00574C67">
            <w:pPr>
              <w:spacing w:before="30" w:after="30"/>
              <w:rPr>
                <w:b/>
              </w:rPr>
            </w:pPr>
            <w:r w:rsidRPr="00335371">
              <w:rPr>
                <w:b/>
              </w:rPr>
              <w:t>Eligibility</w:t>
            </w:r>
          </w:p>
        </w:tc>
      </w:tr>
      <w:tr w:rsidR="00FD6682" w:rsidRPr="00335371" w:rsidTr="00FD6682">
        <w:trPr>
          <w:trHeight w:val="1890"/>
        </w:trPr>
        <w:tc>
          <w:tcPr>
            <w:tcW w:w="8856" w:type="dxa"/>
          </w:tcPr>
          <w:p w:rsidR="00FD6682" w:rsidRPr="00D24183" w:rsidRDefault="00FD6682" w:rsidP="00761A73">
            <w:pPr>
              <w:rPr>
                <w:b/>
              </w:rPr>
            </w:pPr>
            <w:r w:rsidRPr="00D24183">
              <w:rPr>
                <w:b/>
              </w:rPr>
              <w:t>Question</w:t>
            </w:r>
            <w:r w:rsidR="00231C24" w:rsidRPr="00D24183">
              <w:rPr>
                <w:b/>
              </w:rPr>
              <w:t xml:space="preserve"> 1:</w:t>
            </w:r>
          </w:p>
          <w:p w:rsidR="00FD6682" w:rsidRPr="00335371" w:rsidRDefault="00FD6682" w:rsidP="00761A73">
            <w:r w:rsidRPr="00335371">
              <w:t>Are Afghan NGOs eligible to apply for AACRS funding?</w:t>
            </w:r>
          </w:p>
          <w:p w:rsidR="00FD6682" w:rsidRPr="00335371" w:rsidRDefault="00FD6682" w:rsidP="00761A73"/>
          <w:p w:rsidR="00FD6682" w:rsidRPr="00335371" w:rsidRDefault="00FD6682" w:rsidP="00761A73">
            <w:pPr>
              <w:rPr>
                <w:b/>
              </w:rPr>
            </w:pPr>
            <w:r w:rsidRPr="00335371">
              <w:rPr>
                <w:b/>
              </w:rPr>
              <w:t>Answer</w:t>
            </w:r>
            <w:r w:rsidR="00D24183">
              <w:rPr>
                <w:b/>
              </w:rPr>
              <w:t>:</w:t>
            </w:r>
          </w:p>
          <w:p w:rsidR="00FD6682" w:rsidRPr="00E63C30" w:rsidRDefault="00FD6682" w:rsidP="00761A73">
            <w:r w:rsidRPr="00E63C30">
              <w:t>Yes</w:t>
            </w:r>
            <w:r w:rsidR="00761A73">
              <w:t xml:space="preserve">.  </w:t>
            </w:r>
            <w:r w:rsidRPr="00E63C30">
              <w:t xml:space="preserve">The AACRS is open </w:t>
            </w:r>
            <w:r w:rsidR="00D126B2">
              <w:t>to Australian</w:t>
            </w:r>
            <w:r w:rsidR="00226541">
              <w:t>, Afghan</w:t>
            </w:r>
            <w:r w:rsidR="00D126B2">
              <w:t xml:space="preserve"> and international</w:t>
            </w:r>
            <w:r w:rsidR="00226541">
              <w:t xml:space="preserve"> NGOs</w:t>
            </w:r>
            <w:r w:rsidRPr="00E63C30">
              <w:t xml:space="preserve">, and is </w:t>
            </w:r>
            <w:r w:rsidRPr="00E63C30">
              <w:rPr>
                <w:u w:val="single"/>
              </w:rPr>
              <w:t>not</w:t>
            </w:r>
            <w:r w:rsidRPr="00E63C30">
              <w:t xml:space="preserve"> limited to organisations that have AusAID accreditation through the AusAID–NGO Cooperation Program (ANCP)</w:t>
            </w:r>
            <w:r w:rsidR="00761A73">
              <w:t xml:space="preserve">.  </w:t>
            </w:r>
            <w:r w:rsidRPr="00E63C30">
              <w:t xml:space="preserve">Eligibility details are set out in the </w:t>
            </w:r>
            <w:r w:rsidRPr="00E63C30">
              <w:rPr>
                <w:i/>
              </w:rPr>
              <w:t>AACRS Competitive Grant Guidelines</w:t>
            </w:r>
            <w:r w:rsidRPr="00E63C30">
              <w:t>.</w:t>
            </w:r>
          </w:p>
          <w:p w:rsidR="00FD6682" w:rsidRPr="00335371" w:rsidRDefault="00FD6682" w:rsidP="00761A73"/>
        </w:tc>
      </w:tr>
      <w:tr w:rsidR="00FD6682" w:rsidRPr="00335371" w:rsidTr="00FD6682">
        <w:tc>
          <w:tcPr>
            <w:tcW w:w="8856" w:type="dxa"/>
            <w:shd w:val="pct10" w:color="auto" w:fill="auto"/>
          </w:tcPr>
          <w:p w:rsidR="00FD6682" w:rsidRPr="00574C67" w:rsidRDefault="00FD6682" w:rsidP="00574C67">
            <w:pPr>
              <w:spacing w:before="30" w:after="30"/>
              <w:rPr>
                <w:b/>
              </w:rPr>
            </w:pPr>
            <w:r w:rsidRPr="00335371">
              <w:rPr>
                <w:b/>
              </w:rPr>
              <w:t>Code of Conduct</w:t>
            </w:r>
          </w:p>
        </w:tc>
      </w:tr>
      <w:tr w:rsidR="00FD6682" w:rsidRPr="00335371" w:rsidTr="00FD6682">
        <w:trPr>
          <w:trHeight w:val="3501"/>
        </w:trPr>
        <w:tc>
          <w:tcPr>
            <w:tcW w:w="8856" w:type="dxa"/>
          </w:tcPr>
          <w:p w:rsidR="00FD6682" w:rsidRPr="00D24183" w:rsidRDefault="00FD6682" w:rsidP="00761A73">
            <w:pPr>
              <w:rPr>
                <w:b/>
              </w:rPr>
            </w:pPr>
            <w:r w:rsidRPr="00D24183">
              <w:rPr>
                <w:b/>
              </w:rPr>
              <w:t>Question</w:t>
            </w:r>
            <w:r w:rsidR="00231C24" w:rsidRPr="00D24183">
              <w:rPr>
                <w:b/>
              </w:rPr>
              <w:t xml:space="preserve"> 2:</w:t>
            </w:r>
          </w:p>
          <w:p w:rsidR="00FD6682" w:rsidRPr="00335371" w:rsidRDefault="00FD6682" w:rsidP="00761A73">
            <w:pPr>
              <w:rPr>
                <w:lang w:val="en-US"/>
              </w:rPr>
            </w:pPr>
            <w:r w:rsidRPr="00335371">
              <w:rPr>
                <w:lang w:val="en-US"/>
              </w:rPr>
              <w:t>We are not an Australian NGO</w:t>
            </w:r>
            <w:r w:rsidR="00761A73">
              <w:rPr>
                <w:lang w:val="en-US"/>
              </w:rPr>
              <w:t xml:space="preserve">.  </w:t>
            </w:r>
            <w:r w:rsidRPr="00335371">
              <w:rPr>
                <w:lang w:val="en-US"/>
              </w:rPr>
              <w:t>Is it possible for us to become a signatory to the Australian Council for International Development</w:t>
            </w:r>
            <w:r w:rsidR="00D126B2">
              <w:rPr>
                <w:lang w:val="en-US"/>
              </w:rPr>
              <w:t>’s</w:t>
            </w:r>
            <w:r w:rsidRPr="00335371">
              <w:rPr>
                <w:lang w:val="en-US"/>
              </w:rPr>
              <w:t xml:space="preserve"> (ACFID) Code of Conduct?</w:t>
            </w:r>
          </w:p>
          <w:p w:rsidR="00FD6682" w:rsidRPr="00335371" w:rsidRDefault="00FD6682" w:rsidP="00761A73"/>
          <w:p w:rsidR="00FD6682" w:rsidRPr="00335371" w:rsidRDefault="00FD6682" w:rsidP="00761A73">
            <w:pPr>
              <w:rPr>
                <w:b/>
              </w:rPr>
            </w:pPr>
            <w:r w:rsidRPr="00335371">
              <w:rPr>
                <w:b/>
              </w:rPr>
              <w:t>Answer</w:t>
            </w:r>
            <w:r w:rsidR="00D24183">
              <w:rPr>
                <w:b/>
              </w:rPr>
              <w:t>:</w:t>
            </w:r>
          </w:p>
          <w:p w:rsidR="00FD6682" w:rsidRPr="00E63C30" w:rsidRDefault="00FD6682" w:rsidP="00761A73">
            <w:pPr>
              <w:pStyle w:val="Default"/>
              <w:rPr>
                <w:color w:val="auto"/>
                <w:lang w:eastAsia="en-US"/>
              </w:rPr>
            </w:pPr>
            <w:r w:rsidRPr="00E63C30">
              <w:rPr>
                <w:color w:val="auto"/>
                <w:lang w:eastAsia="en-US"/>
              </w:rPr>
              <w:t>No</w:t>
            </w:r>
            <w:r w:rsidR="00761A73">
              <w:rPr>
                <w:color w:val="auto"/>
                <w:lang w:eastAsia="en-US"/>
              </w:rPr>
              <w:t xml:space="preserve">.  </w:t>
            </w:r>
            <w:r w:rsidRPr="00E63C30">
              <w:rPr>
                <w:color w:val="auto"/>
                <w:lang w:eastAsia="en-US"/>
              </w:rPr>
              <w:t>NGOs must be Australian to be signatory to ACFID’s Code of Conduct</w:t>
            </w:r>
            <w:r w:rsidR="00761A73">
              <w:rPr>
                <w:color w:val="auto"/>
                <w:lang w:eastAsia="en-US"/>
              </w:rPr>
              <w:t xml:space="preserve">.  </w:t>
            </w:r>
            <w:r w:rsidRPr="00E63C30">
              <w:rPr>
                <w:color w:val="auto"/>
                <w:lang w:eastAsia="en-US"/>
              </w:rPr>
              <w:t xml:space="preserve">Details on ACFID’s Code of Conduct are available at: </w:t>
            </w:r>
            <w:hyperlink r:id="rId10" w:history="1">
              <w:r w:rsidRPr="00E63C30">
                <w:rPr>
                  <w:color w:val="auto"/>
                  <w:lang w:eastAsia="en-US"/>
                </w:rPr>
                <w:t>www.acfid.asn.au/code-of-conduct/about-the-code</w:t>
              </w:r>
            </w:hyperlink>
            <w:r w:rsidR="00761A73">
              <w:rPr>
                <w:color w:val="auto"/>
                <w:lang w:eastAsia="en-US"/>
              </w:rPr>
              <w:t xml:space="preserve">.  </w:t>
            </w:r>
          </w:p>
          <w:p w:rsidR="00FD6682" w:rsidRPr="00E63C30" w:rsidRDefault="00FD6682" w:rsidP="00761A73">
            <w:pPr>
              <w:pStyle w:val="Default"/>
              <w:rPr>
                <w:color w:val="auto"/>
                <w:lang w:eastAsia="en-US"/>
              </w:rPr>
            </w:pPr>
          </w:p>
          <w:p w:rsidR="00FD6682" w:rsidRDefault="00FD6682" w:rsidP="00761A73">
            <w:pPr>
              <w:pStyle w:val="Default"/>
              <w:rPr>
                <w:color w:val="auto"/>
                <w:lang w:eastAsia="en-US"/>
              </w:rPr>
            </w:pPr>
            <w:r w:rsidRPr="00E63C30">
              <w:rPr>
                <w:color w:val="auto"/>
                <w:lang w:eastAsia="en-US"/>
              </w:rPr>
              <w:t>However, organisations do not need to be signatory to ACFID’s Code of Conduct to be eligible to apply for AACRS Detailed Design and project funding</w:t>
            </w:r>
            <w:r w:rsidR="00761A73">
              <w:rPr>
                <w:color w:val="auto"/>
                <w:lang w:eastAsia="en-US"/>
              </w:rPr>
              <w:t xml:space="preserve">.  </w:t>
            </w:r>
            <w:r w:rsidRPr="00E63C30">
              <w:rPr>
                <w:color w:val="auto"/>
                <w:lang w:eastAsia="en-US"/>
              </w:rPr>
              <w:t xml:space="preserve">Part 2.1 of the </w:t>
            </w:r>
            <w:r w:rsidRPr="00E63C30">
              <w:rPr>
                <w:i/>
                <w:color w:val="auto"/>
                <w:lang w:eastAsia="en-US"/>
              </w:rPr>
              <w:t>AACRS Competitive Grant Guidelines</w:t>
            </w:r>
            <w:r w:rsidRPr="00E63C30">
              <w:rPr>
                <w:color w:val="auto"/>
                <w:lang w:eastAsia="en-US"/>
              </w:rPr>
              <w:t xml:space="preserve"> state that NGOs must be signatory to the ACFID Code of Conduct, </w:t>
            </w:r>
            <w:r w:rsidRPr="00D126B2">
              <w:rPr>
                <w:b/>
                <w:color w:val="auto"/>
                <w:lang w:eastAsia="en-US"/>
              </w:rPr>
              <w:t>or an international equivalent</w:t>
            </w:r>
            <w:r w:rsidR="00761A73">
              <w:rPr>
                <w:color w:val="auto"/>
                <w:lang w:eastAsia="en-US"/>
              </w:rPr>
              <w:t xml:space="preserve">.  </w:t>
            </w:r>
            <w:r w:rsidRPr="00E63C30">
              <w:rPr>
                <w:color w:val="auto"/>
                <w:lang w:eastAsia="en-US"/>
              </w:rPr>
              <w:t xml:space="preserve">Applicants </w:t>
            </w:r>
            <w:r w:rsidR="00D126B2">
              <w:rPr>
                <w:color w:val="auto"/>
                <w:lang w:eastAsia="en-US"/>
              </w:rPr>
              <w:t>must</w:t>
            </w:r>
            <w:r w:rsidRPr="00E63C30">
              <w:rPr>
                <w:color w:val="auto"/>
                <w:lang w:eastAsia="en-US"/>
              </w:rPr>
              <w:t xml:space="preserve"> provide details on the international code to which they are signatory</w:t>
            </w:r>
            <w:r w:rsidR="00D126B2">
              <w:rPr>
                <w:color w:val="auto"/>
                <w:lang w:eastAsia="en-US"/>
              </w:rPr>
              <w:t xml:space="preserve"> in their response to Annex F, Part 4</w:t>
            </w:r>
            <w:r w:rsidR="00761A73">
              <w:rPr>
                <w:color w:val="auto"/>
                <w:lang w:eastAsia="en-US"/>
              </w:rPr>
              <w:t xml:space="preserve">.  </w:t>
            </w:r>
          </w:p>
          <w:p w:rsidR="00761A73" w:rsidRPr="00335371" w:rsidRDefault="00761A73" w:rsidP="00761A73">
            <w:pPr>
              <w:pStyle w:val="Default"/>
              <w:rPr>
                <w:lang w:val="en-US"/>
              </w:rPr>
            </w:pPr>
          </w:p>
        </w:tc>
      </w:tr>
      <w:tr w:rsidR="00761A73" w:rsidRPr="00335371" w:rsidTr="00761A73">
        <w:trPr>
          <w:trHeight w:val="841"/>
        </w:trPr>
        <w:tc>
          <w:tcPr>
            <w:tcW w:w="8856" w:type="dxa"/>
          </w:tcPr>
          <w:p w:rsidR="00761A73" w:rsidRPr="00D24183" w:rsidRDefault="00761A73" w:rsidP="00761A73">
            <w:pPr>
              <w:rPr>
                <w:b/>
              </w:rPr>
            </w:pPr>
            <w:r w:rsidRPr="00D24183">
              <w:rPr>
                <w:b/>
              </w:rPr>
              <w:t>Question 3:</w:t>
            </w:r>
          </w:p>
          <w:p w:rsidR="00761A73" w:rsidRPr="00335371" w:rsidRDefault="00761A73" w:rsidP="00761A73">
            <w:r w:rsidRPr="00335371">
              <w:t>What is an example of an international equivalent to the ACFID Code of Conduct?</w:t>
            </w:r>
          </w:p>
          <w:p w:rsidR="00761A73" w:rsidRPr="00335371" w:rsidRDefault="00761A73" w:rsidP="00761A73"/>
          <w:p w:rsidR="00761A73" w:rsidRPr="00335371" w:rsidRDefault="00761A73" w:rsidP="00761A73">
            <w:pPr>
              <w:rPr>
                <w:b/>
              </w:rPr>
            </w:pPr>
            <w:r w:rsidRPr="00335371">
              <w:rPr>
                <w:b/>
              </w:rPr>
              <w:t>Answer</w:t>
            </w:r>
            <w:r>
              <w:rPr>
                <w:b/>
              </w:rPr>
              <w:t>:</w:t>
            </w:r>
          </w:p>
          <w:p w:rsidR="00761A73" w:rsidRPr="00761A73" w:rsidRDefault="00761A73" w:rsidP="00761A73">
            <w:r w:rsidRPr="00E63C30">
              <w:t>If applicants are not signatory to the ACFID Code of Conduct, they will need to demonstrate they are signatory to an equivalent code</w:t>
            </w:r>
            <w:r>
              <w:t xml:space="preserve">.  </w:t>
            </w:r>
            <w:r w:rsidRPr="00E63C30">
              <w:t xml:space="preserve">Examples of similar codes include: the British Overseas NGOs for Development (BOND) </w:t>
            </w:r>
            <w:r w:rsidRPr="00E63C30">
              <w:rPr>
                <w:i/>
              </w:rPr>
              <w:t xml:space="preserve">Statement </w:t>
            </w:r>
            <w:r w:rsidRPr="00E63C30">
              <w:rPr>
                <w:i/>
              </w:rPr>
              <w:lastRenderedPageBreak/>
              <w:t>of Principles</w:t>
            </w:r>
            <w:r w:rsidRPr="00E63C30">
              <w:t xml:space="preserve">, and the Canadian Council for International Cooperation’s </w:t>
            </w:r>
            <w:r w:rsidRPr="00E63C30">
              <w:rPr>
                <w:i/>
                <w:iCs/>
              </w:rPr>
              <w:t>Code of Ethics and Operational Standards.</w:t>
            </w:r>
            <w:r w:rsidRPr="00E63C30">
              <w:t xml:space="preserve"> Applicants should note that ten (10) per cent of the </w:t>
            </w:r>
            <w:r w:rsidR="00D126B2">
              <w:t xml:space="preserve">AACRS </w:t>
            </w:r>
            <w:r w:rsidRPr="00E63C30">
              <w:t xml:space="preserve">Capacity and Technical Assessment </w:t>
            </w:r>
            <w:proofErr w:type="gramStart"/>
            <w:r w:rsidRPr="00E63C30">
              <w:t>is</w:t>
            </w:r>
            <w:proofErr w:type="gramEnd"/>
            <w:r w:rsidRPr="00E63C30">
              <w:t xml:space="preserve"> of an applicant’s financial probity, including details of any formal accreditation and/or compliance to relevant codes of conduct</w:t>
            </w:r>
            <w:r>
              <w:t xml:space="preserve">.  </w:t>
            </w:r>
            <w:r w:rsidRPr="00E63C30">
              <w:t>As such, applicants will be assessed against the robustness of the code to which they are signatory</w:t>
            </w:r>
            <w:r>
              <w:t xml:space="preserve">.  </w:t>
            </w:r>
          </w:p>
          <w:p w:rsidR="00761A73" w:rsidRPr="00D24183" w:rsidRDefault="00761A73" w:rsidP="00761A73">
            <w:pPr>
              <w:rPr>
                <w:b/>
              </w:rPr>
            </w:pPr>
          </w:p>
        </w:tc>
      </w:tr>
      <w:tr w:rsidR="00FD6682" w:rsidRPr="00335371" w:rsidTr="00FD6682">
        <w:trPr>
          <w:trHeight w:val="1621"/>
        </w:trPr>
        <w:tc>
          <w:tcPr>
            <w:tcW w:w="8856" w:type="dxa"/>
          </w:tcPr>
          <w:p w:rsidR="00FD6682" w:rsidRPr="00D24183" w:rsidRDefault="00FD6682" w:rsidP="00761A73">
            <w:pPr>
              <w:rPr>
                <w:b/>
                <w:highlight w:val="yellow"/>
              </w:rPr>
            </w:pPr>
            <w:r w:rsidRPr="00D24183">
              <w:rPr>
                <w:b/>
              </w:rPr>
              <w:lastRenderedPageBreak/>
              <w:t>Question</w:t>
            </w:r>
            <w:r w:rsidR="00231C24" w:rsidRPr="00D24183">
              <w:rPr>
                <w:b/>
              </w:rPr>
              <w:t xml:space="preserve"> 4:</w:t>
            </w:r>
          </w:p>
          <w:p w:rsidR="00FD6682" w:rsidRPr="00335371" w:rsidRDefault="00FD6682" w:rsidP="00761A73">
            <w:r w:rsidRPr="00335371">
              <w:t xml:space="preserve">Are organisations which are signatory to the Agency Coordinating Body for Afghan Relief’s (ACBAR) Code of Conduct eligible for AACRS funding? </w:t>
            </w:r>
          </w:p>
          <w:p w:rsidR="00FD6682" w:rsidRPr="00335371" w:rsidRDefault="00FD6682" w:rsidP="00761A73"/>
          <w:p w:rsidR="00FD6682" w:rsidRPr="00335371" w:rsidRDefault="00FD6682" w:rsidP="00761A73">
            <w:pPr>
              <w:rPr>
                <w:b/>
                <w:highlight w:val="yellow"/>
              </w:rPr>
            </w:pPr>
            <w:r w:rsidRPr="00335371">
              <w:rPr>
                <w:b/>
              </w:rPr>
              <w:t>Answer</w:t>
            </w:r>
            <w:r w:rsidR="00D24183">
              <w:rPr>
                <w:b/>
              </w:rPr>
              <w:t>:</w:t>
            </w:r>
          </w:p>
          <w:p w:rsidR="00FD6682" w:rsidRPr="00E63C30" w:rsidRDefault="00FD6682" w:rsidP="00761A73">
            <w:r w:rsidRPr="00E63C30">
              <w:t>Yes, organisations signatory to the ACBAR Code of Conduct are eligible for AACRS funding.</w:t>
            </w:r>
          </w:p>
          <w:p w:rsidR="00FD6682" w:rsidRPr="00335371" w:rsidRDefault="00FD6682" w:rsidP="00761A73">
            <w:pPr>
              <w:rPr>
                <w:highlight w:val="yellow"/>
              </w:rPr>
            </w:pPr>
          </w:p>
        </w:tc>
      </w:tr>
      <w:tr w:rsidR="004B5741" w:rsidRPr="00335371" w:rsidTr="004F4CE9">
        <w:tc>
          <w:tcPr>
            <w:tcW w:w="8856" w:type="dxa"/>
            <w:shd w:val="pct10" w:color="auto" w:fill="auto"/>
          </w:tcPr>
          <w:p w:rsidR="004B5741" w:rsidRPr="00335371" w:rsidRDefault="004B5741" w:rsidP="00574C67">
            <w:pPr>
              <w:spacing w:before="30" w:after="30"/>
              <w:rPr>
                <w:b/>
              </w:rPr>
            </w:pPr>
            <w:r w:rsidRPr="00335371">
              <w:rPr>
                <w:b/>
              </w:rPr>
              <w:t>Geographic Focus</w:t>
            </w:r>
          </w:p>
        </w:tc>
      </w:tr>
      <w:tr w:rsidR="004B5741" w:rsidRPr="00335371" w:rsidTr="004F4CE9">
        <w:trPr>
          <w:trHeight w:val="1353"/>
        </w:trPr>
        <w:tc>
          <w:tcPr>
            <w:tcW w:w="8856" w:type="dxa"/>
          </w:tcPr>
          <w:p w:rsidR="004B5741" w:rsidRPr="00D24183" w:rsidRDefault="00FD6682" w:rsidP="00761A73">
            <w:pPr>
              <w:rPr>
                <w:b/>
              </w:rPr>
            </w:pPr>
            <w:r w:rsidRPr="00D24183">
              <w:rPr>
                <w:b/>
              </w:rPr>
              <w:t>Question</w:t>
            </w:r>
            <w:r w:rsidR="00231C24" w:rsidRPr="00D24183">
              <w:rPr>
                <w:b/>
              </w:rPr>
              <w:t xml:space="preserve"> 5:</w:t>
            </w:r>
          </w:p>
          <w:p w:rsidR="004B5741" w:rsidRPr="00335371" w:rsidRDefault="004B5741" w:rsidP="00761A73">
            <w:r w:rsidRPr="00335371">
              <w:t>Does AusAID have preferred locations (for example, particular provinces and districts) for AACRS projects?</w:t>
            </w:r>
          </w:p>
          <w:p w:rsidR="004B5741" w:rsidRPr="00335371" w:rsidRDefault="004B5741" w:rsidP="00761A73">
            <w:pPr>
              <w:rPr>
                <w:b/>
              </w:rPr>
            </w:pPr>
          </w:p>
          <w:p w:rsidR="00D24183" w:rsidRDefault="004B5741" w:rsidP="00761A73">
            <w:pPr>
              <w:rPr>
                <w:b/>
              </w:rPr>
            </w:pPr>
            <w:r w:rsidRPr="00335371">
              <w:rPr>
                <w:b/>
              </w:rPr>
              <w:t xml:space="preserve">Answer: </w:t>
            </w:r>
          </w:p>
          <w:p w:rsidR="004B5741" w:rsidRPr="00E63C30" w:rsidRDefault="004B5741" w:rsidP="00761A73">
            <w:r w:rsidRPr="00E63C30">
              <w:t>No, the AACRS is a national-level program, with no provincial focus or preference</w:t>
            </w:r>
            <w:r w:rsidR="00761A73">
              <w:t xml:space="preserve">.  </w:t>
            </w:r>
          </w:p>
          <w:p w:rsidR="004B5741" w:rsidRPr="00335371" w:rsidRDefault="004B5741" w:rsidP="00761A73"/>
        </w:tc>
      </w:tr>
      <w:tr w:rsidR="004B5741" w:rsidRPr="00335371" w:rsidTr="004F4CE9">
        <w:trPr>
          <w:trHeight w:val="2964"/>
        </w:trPr>
        <w:tc>
          <w:tcPr>
            <w:tcW w:w="8856" w:type="dxa"/>
          </w:tcPr>
          <w:p w:rsidR="004B5741" w:rsidRPr="00D24183" w:rsidRDefault="00FD6682" w:rsidP="00761A73">
            <w:pPr>
              <w:rPr>
                <w:b/>
              </w:rPr>
            </w:pPr>
            <w:r w:rsidRPr="00D24183">
              <w:rPr>
                <w:b/>
              </w:rPr>
              <w:t>Question</w:t>
            </w:r>
            <w:r w:rsidR="00231C24" w:rsidRPr="00D24183">
              <w:rPr>
                <w:b/>
              </w:rPr>
              <w:t xml:space="preserve"> 6:</w:t>
            </w:r>
          </w:p>
          <w:p w:rsidR="004B5741" w:rsidRPr="00335371" w:rsidRDefault="004B5741" w:rsidP="00761A73">
            <w:r w:rsidRPr="00335371">
              <w:t>Noting that some areas of Afghanistan are more challenging to access than others, would AusAID look more or less favourably on applicants that wish to work in these difficult to access spaces?</w:t>
            </w:r>
          </w:p>
          <w:p w:rsidR="004B5741" w:rsidRPr="00335371" w:rsidRDefault="004B5741" w:rsidP="00761A73">
            <w:pPr>
              <w:rPr>
                <w:b/>
              </w:rPr>
            </w:pPr>
          </w:p>
          <w:p w:rsidR="004B5741" w:rsidRPr="00335371" w:rsidRDefault="004B5741" w:rsidP="00761A73">
            <w:pPr>
              <w:rPr>
                <w:b/>
              </w:rPr>
            </w:pPr>
            <w:r w:rsidRPr="00335371">
              <w:rPr>
                <w:b/>
              </w:rPr>
              <w:t>Answer:</w:t>
            </w:r>
          </w:p>
          <w:p w:rsidR="004B5741" w:rsidRDefault="004B5741" w:rsidP="00761A73">
            <w:r w:rsidRPr="00E63C30">
              <w:t>No, the AACRS is a national-level program, with no provincial focus</w:t>
            </w:r>
            <w:r w:rsidR="00761A73">
              <w:t xml:space="preserve">.  </w:t>
            </w:r>
            <w:r w:rsidRPr="00E63C30">
              <w:t xml:space="preserve">All applicants will need to demonstrate their risk and security management capacity and planning as part of their Submission (as set out in the </w:t>
            </w:r>
            <w:r w:rsidRPr="00E63C30">
              <w:rPr>
                <w:i/>
              </w:rPr>
              <w:t>AACRS Competitive Grant Guidelines</w:t>
            </w:r>
            <w:r w:rsidRPr="00E63C30">
              <w:t>, Annex B, Part 1.1)</w:t>
            </w:r>
            <w:r w:rsidR="00761A73">
              <w:t xml:space="preserve">.  </w:t>
            </w:r>
          </w:p>
          <w:p w:rsidR="004B5741" w:rsidRPr="00335371" w:rsidRDefault="004B5741" w:rsidP="00761A73"/>
        </w:tc>
      </w:tr>
      <w:tr w:rsidR="004B5741" w:rsidRPr="00335371" w:rsidTr="004F4CE9">
        <w:tc>
          <w:tcPr>
            <w:tcW w:w="8856" w:type="dxa"/>
            <w:shd w:val="pct10" w:color="auto" w:fill="auto"/>
          </w:tcPr>
          <w:p w:rsidR="004B5741" w:rsidRPr="00335371" w:rsidRDefault="004B5741" w:rsidP="00574C67">
            <w:pPr>
              <w:spacing w:before="30" w:after="30"/>
              <w:rPr>
                <w:b/>
              </w:rPr>
            </w:pPr>
            <w:r w:rsidRPr="00335371">
              <w:rPr>
                <w:b/>
              </w:rPr>
              <w:t xml:space="preserve">Consortia </w:t>
            </w:r>
            <w:r w:rsidR="00335371">
              <w:rPr>
                <w:b/>
              </w:rPr>
              <w:t>Applications</w:t>
            </w:r>
          </w:p>
        </w:tc>
      </w:tr>
      <w:tr w:rsidR="004B5741" w:rsidRPr="00335371" w:rsidTr="00761A73">
        <w:trPr>
          <w:trHeight w:val="416"/>
        </w:trPr>
        <w:tc>
          <w:tcPr>
            <w:tcW w:w="8856" w:type="dxa"/>
          </w:tcPr>
          <w:p w:rsidR="004B5741" w:rsidRPr="00335371" w:rsidRDefault="00231C24" w:rsidP="00761A73">
            <w:pPr>
              <w:rPr>
                <w:b/>
              </w:rPr>
            </w:pPr>
            <w:r>
              <w:rPr>
                <w:b/>
              </w:rPr>
              <w:t>Question 7:</w:t>
            </w:r>
          </w:p>
          <w:p w:rsidR="004B5741" w:rsidRPr="00335371" w:rsidRDefault="004B5741" w:rsidP="00761A73">
            <w:r w:rsidRPr="00335371">
              <w:t xml:space="preserve">Is a consortium approach preferred, or </w:t>
            </w:r>
            <w:r w:rsidR="00335371">
              <w:t>should</w:t>
            </w:r>
            <w:r w:rsidRPr="00335371">
              <w:t xml:space="preserve"> NGOs submit </w:t>
            </w:r>
            <w:r w:rsidR="00B048A2">
              <w:t xml:space="preserve">as </w:t>
            </w:r>
            <w:proofErr w:type="spellStart"/>
            <w:r w:rsidR="00B048A2">
              <w:t>indiciduals</w:t>
            </w:r>
            <w:proofErr w:type="spellEnd"/>
            <w:r w:rsidRPr="00335371">
              <w:t>?</w:t>
            </w:r>
          </w:p>
          <w:p w:rsidR="004B5741" w:rsidRPr="00335371" w:rsidRDefault="004B5741" w:rsidP="00761A73"/>
          <w:p w:rsidR="004B5741" w:rsidRPr="00335371" w:rsidRDefault="004B5741" w:rsidP="00761A73">
            <w:pPr>
              <w:rPr>
                <w:b/>
              </w:rPr>
            </w:pPr>
            <w:r w:rsidRPr="00335371">
              <w:rPr>
                <w:b/>
              </w:rPr>
              <w:t>Answer</w:t>
            </w:r>
            <w:r w:rsidR="00D24183">
              <w:rPr>
                <w:b/>
              </w:rPr>
              <w:t>:</w:t>
            </w:r>
          </w:p>
          <w:p w:rsidR="004B5741" w:rsidRDefault="004B5741" w:rsidP="00761A73">
            <w:r w:rsidRPr="00E63C30">
              <w:t>Applicants are able to apply for AACRS funding either as individual organisations or as members of a consortium – AusAID does not have a preferred approach</w:t>
            </w:r>
            <w:r w:rsidR="00761A73">
              <w:t xml:space="preserve">.  </w:t>
            </w:r>
            <w:r w:rsidRPr="00E63C30">
              <w:t xml:space="preserve">Requirements for consortia bids are set out in </w:t>
            </w:r>
            <w:r w:rsidR="00335371" w:rsidRPr="00E63C30">
              <w:t xml:space="preserve">Part 2.1 of </w:t>
            </w:r>
            <w:r w:rsidRPr="00E63C30">
              <w:t xml:space="preserve">the </w:t>
            </w:r>
            <w:r w:rsidRPr="00E63C30">
              <w:rPr>
                <w:i/>
              </w:rPr>
              <w:t>AACRS Competitive Grant Guidelines</w:t>
            </w:r>
            <w:r w:rsidR="00761A73">
              <w:rPr>
                <w:i/>
              </w:rPr>
              <w:t xml:space="preserve">.  </w:t>
            </w:r>
            <w:r w:rsidRPr="00E63C30">
              <w:t xml:space="preserve">For </w:t>
            </w:r>
            <w:r w:rsidR="00335371" w:rsidRPr="00E63C30">
              <w:t>consortia</w:t>
            </w:r>
            <w:r w:rsidRPr="00E63C30">
              <w:t xml:space="preserve"> </w:t>
            </w:r>
            <w:r w:rsidR="00335371" w:rsidRPr="00E63C30">
              <w:t>applications,</w:t>
            </w:r>
            <w:r w:rsidRPr="00E63C30">
              <w:t xml:space="preserve"> the responsibilities of different parties will need to be </w:t>
            </w:r>
            <w:r w:rsidR="00335371" w:rsidRPr="00E63C30">
              <w:t xml:space="preserve">set out in </w:t>
            </w:r>
            <w:r w:rsidR="003347EE">
              <w:t>the response</w:t>
            </w:r>
            <w:r w:rsidR="00335371" w:rsidRPr="00E63C30">
              <w:t xml:space="preserve"> to Annex A of the </w:t>
            </w:r>
            <w:r w:rsidR="00335371" w:rsidRPr="00E63C30">
              <w:rPr>
                <w:i/>
              </w:rPr>
              <w:t>AACRS Competitive Grant Guidelines</w:t>
            </w:r>
            <w:r w:rsidR="00761A73">
              <w:t xml:space="preserve">.  </w:t>
            </w:r>
          </w:p>
          <w:p w:rsidR="00761A73" w:rsidRPr="00761A73" w:rsidRDefault="00761A73" w:rsidP="00761A73">
            <w:pPr>
              <w:rPr>
                <w:i/>
              </w:rPr>
            </w:pPr>
          </w:p>
        </w:tc>
      </w:tr>
      <w:tr w:rsidR="004B5741" w:rsidRPr="00335371" w:rsidTr="004F4CE9">
        <w:trPr>
          <w:trHeight w:val="1621"/>
        </w:trPr>
        <w:tc>
          <w:tcPr>
            <w:tcW w:w="8856" w:type="dxa"/>
          </w:tcPr>
          <w:p w:rsidR="004B5741" w:rsidRPr="00335371" w:rsidRDefault="004B5741" w:rsidP="00761A73">
            <w:pPr>
              <w:rPr>
                <w:b/>
              </w:rPr>
            </w:pPr>
            <w:r w:rsidRPr="00335371">
              <w:rPr>
                <w:b/>
              </w:rPr>
              <w:lastRenderedPageBreak/>
              <w:t>Question</w:t>
            </w:r>
            <w:r w:rsidR="00231C24">
              <w:rPr>
                <w:b/>
              </w:rPr>
              <w:t xml:space="preserve"> 8:</w:t>
            </w:r>
          </w:p>
          <w:p w:rsidR="004B5741" w:rsidRPr="00335371" w:rsidRDefault="004B5741" w:rsidP="00761A73">
            <w:r w:rsidRPr="00335371">
              <w:t>If applying as part of a consortium, do all members need to be signatory to a code of conduct?</w:t>
            </w:r>
          </w:p>
          <w:p w:rsidR="004B5741" w:rsidRPr="00335371" w:rsidRDefault="004B5741" w:rsidP="00761A73"/>
          <w:p w:rsidR="004B5741" w:rsidRPr="00335371" w:rsidRDefault="004B5741" w:rsidP="00761A73">
            <w:pPr>
              <w:rPr>
                <w:b/>
              </w:rPr>
            </w:pPr>
            <w:r w:rsidRPr="00335371">
              <w:rPr>
                <w:b/>
              </w:rPr>
              <w:t>Answer</w:t>
            </w:r>
            <w:r w:rsidR="00D24183">
              <w:rPr>
                <w:b/>
              </w:rPr>
              <w:t>:</w:t>
            </w:r>
          </w:p>
          <w:p w:rsidR="004B5741" w:rsidRPr="00E63C30" w:rsidRDefault="004B5741" w:rsidP="00761A73">
            <w:r w:rsidRPr="00E63C30">
              <w:t>No</w:t>
            </w:r>
            <w:r w:rsidR="00761A73">
              <w:t xml:space="preserve">.  </w:t>
            </w:r>
            <w:r w:rsidRPr="00E63C30">
              <w:t xml:space="preserve">Only the Lead Applicant </w:t>
            </w:r>
            <w:r w:rsidR="00335371" w:rsidRPr="00E63C30">
              <w:t>of the consortium</w:t>
            </w:r>
            <w:r w:rsidRPr="00E63C30">
              <w:t xml:space="preserve"> needs to be signatory to an appropriate code of conduct.</w:t>
            </w:r>
          </w:p>
          <w:p w:rsidR="004B5741" w:rsidRPr="00335371" w:rsidRDefault="004B5741" w:rsidP="00761A73"/>
        </w:tc>
      </w:tr>
      <w:tr w:rsidR="004B5741" w:rsidRPr="00335371" w:rsidTr="004F4CE9">
        <w:tc>
          <w:tcPr>
            <w:tcW w:w="8856" w:type="dxa"/>
            <w:shd w:val="pct10" w:color="auto" w:fill="auto"/>
          </w:tcPr>
          <w:p w:rsidR="004B5741" w:rsidRPr="00335371" w:rsidRDefault="004B5741" w:rsidP="00574C67">
            <w:pPr>
              <w:spacing w:before="30" w:after="30"/>
              <w:rPr>
                <w:b/>
              </w:rPr>
            </w:pPr>
            <w:r w:rsidRPr="00335371">
              <w:rPr>
                <w:b/>
              </w:rPr>
              <w:t>Submission Format</w:t>
            </w:r>
          </w:p>
        </w:tc>
      </w:tr>
      <w:tr w:rsidR="004B5741" w:rsidRPr="00335371" w:rsidTr="004F4CE9">
        <w:trPr>
          <w:trHeight w:val="1353"/>
        </w:trPr>
        <w:tc>
          <w:tcPr>
            <w:tcW w:w="8856" w:type="dxa"/>
          </w:tcPr>
          <w:p w:rsidR="004B5741" w:rsidRPr="00335371" w:rsidRDefault="004B5741" w:rsidP="00761A73">
            <w:pPr>
              <w:rPr>
                <w:b/>
              </w:rPr>
            </w:pPr>
            <w:r w:rsidRPr="00335371">
              <w:rPr>
                <w:b/>
              </w:rPr>
              <w:t>Question</w:t>
            </w:r>
            <w:r w:rsidR="00D24183">
              <w:rPr>
                <w:b/>
              </w:rPr>
              <w:t xml:space="preserve"> 9:</w:t>
            </w:r>
          </w:p>
          <w:p w:rsidR="004B5741" w:rsidRPr="00335371" w:rsidRDefault="004B5741" w:rsidP="00761A73">
            <w:r w:rsidRPr="00335371">
              <w:t xml:space="preserve">Is there a specific format for the Submission, and if so where can we find it? </w:t>
            </w:r>
          </w:p>
          <w:p w:rsidR="004B5741" w:rsidRPr="00335371" w:rsidRDefault="004B5741" w:rsidP="00761A73"/>
          <w:p w:rsidR="004B5741" w:rsidRPr="00335371" w:rsidRDefault="004B5741" w:rsidP="00761A73">
            <w:pPr>
              <w:rPr>
                <w:b/>
              </w:rPr>
            </w:pPr>
            <w:r w:rsidRPr="00335371">
              <w:rPr>
                <w:b/>
              </w:rPr>
              <w:t>Answer</w:t>
            </w:r>
            <w:r w:rsidR="00D24183">
              <w:rPr>
                <w:b/>
              </w:rPr>
              <w:t>:</w:t>
            </w:r>
          </w:p>
          <w:p w:rsidR="004B5741" w:rsidRPr="00E63C30" w:rsidRDefault="004B5741" w:rsidP="00761A73">
            <w:pPr>
              <w:pStyle w:val="Default"/>
              <w:rPr>
                <w:color w:val="auto"/>
                <w:lang w:eastAsia="en-US"/>
              </w:rPr>
            </w:pPr>
            <w:r w:rsidRPr="00E63C30">
              <w:rPr>
                <w:color w:val="auto"/>
                <w:lang w:eastAsia="en-US"/>
              </w:rPr>
              <w:t xml:space="preserve">Yes, Submissions must be in the specific format of the “Submission templates” </w:t>
            </w:r>
            <w:r w:rsidR="00335371" w:rsidRPr="00E63C30">
              <w:rPr>
                <w:color w:val="auto"/>
                <w:lang w:eastAsia="en-US"/>
              </w:rPr>
              <w:t xml:space="preserve">provided </w:t>
            </w:r>
            <w:r w:rsidRPr="00E63C30">
              <w:rPr>
                <w:color w:val="auto"/>
                <w:lang w:eastAsia="en-US"/>
              </w:rPr>
              <w:t xml:space="preserve">in the </w:t>
            </w:r>
            <w:r w:rsidRPr="00E63C30">
              <w:rPr>
                <w:i/>
                <w:color w:val="auto"/>
                <w:lang w:eastAsia="en-US"/>
              </w:rPr>
              <w:t>AACRS Competitive Grant Guidelines</w:t>
            </w:r>
            <w:r w:rsidR="00761A73">
              <w:rPr>
                <w:color w:val="auto"/>
                <w:lang w:eastAsia="en-US"/>
              </w:rPr>
              <w:t xml:space="preserve">.  </w:t>
            </w:r>
          </w:p>
          <w:p w:rsidR="004B5741" w:rsidRPr="00335371" w:rsidRDefault="004B5741" w:rsidP="00761A73"/>
        </w:tc>
      </w:tr>
      <w:tr w:rsidR="00757926" w:rsidRPr="00335371" w:rsidTr="004F4CE9">
        <w:trPr>
          <w:trHeight w:val="2936"/>
        </w:trPr>
        <w:tc>
          <w:tcPr>
            <w:tcW w:w="8856" w:type="dxa"/>
          </w:tcPr>
          <w:p w:rsidR="00757926" w:rsidRPr="00D24183" w:rsidRDefault="00757926" w:rsidP="00761A73">
            <w:pPr>
              <w:rPr>
                <w:b/>
              </w:rPr>
            </w:pPr>
            <w:r w:rsidRPr="00D24183">
              <w:rPr>
                <w:b/>
              </w:rPr>
              <w:t>Question</w:t>
            </w:r>
            <w:r w:rsidR="00D24183" w:rsidRPr="00D24183">
              <w:rPr>
                <w:b/>
              </w:rPr>
              <w:t xml:space="preserve"> 10:</w:t>
            </w:r>
          </w:p>
          <w:p w:rsidR="00757926" w:rsidRPr="00335371" w:rsidRDefault="00757926" w:rsidP="00761A73">
            <w:r w:rsidRPr="00335371">
              <w:t>Can applicants include additional material in their Submission</w:t>
            </w:r>
            <w:r>
              <w:t xml:space="preserve">, </w:t>
            </w:r>
            <w:r w:rsidR="003347EE">
              <w:t>which sets</w:t>
            </w:r>
            <w:r>
              <w:t xml:space="preserve"> out further details of</w:t>
            </w:r>
            <w:r w:rsidRPr="00335371">
              <w:t xml:space="preserve"> their proposed project?</w:t>
            </w:r>
          </w:p>
          <w:p w:rsidR="00757926" w:rsidRPr="00335371" w:rsidRDefault="00757926" w:rsidP="00761A73"/>
          <w:p w:rsidR="00757926" w:rsidRPr="00335371" w:rsidRDefault="00757926" w:rsidP="00761A73">
            <w:pPr>
              <w:rPr>
                <w:b/>
              </w:rPr>
            </w:pPr>
            <w:r w:rsidRPr="00335371">
              <w:rPr>
                <w:b/>
              </w:rPr>
              <w:t>Answer</w:t>
            </w:r>
            <w:r w:rsidR="00E63C30">
              <w:rPr>
                <w:b/>
              </w:rPr>
              <w:t>:</w:t>
            </w:r>
          </w:p>
          <w:p w:rsidR="00757926" w:rsidRPr="00E63C30" w:rsidRDefault="00757926" w:rsidP="00761A73">
            <w:r w:rsidRPr="00E63C30">
              <w:t xml:space="preserve">No, applicants should not provide material additional to what is requested in the </w:t>
            </w:r>
            <w:r w:rsidRPr="00E63C30">
              <w:rPr>
                <w:i/>
              </w:rPr>
              <w:t>AACRS Competitive Grant Guidelines</w:t>
            </w:r>
            <w:r w:rsidR="00761A73">
              <w:t xml:space="preserve">.  </w:t>
            </w:r>
            <w:r w:rsidRPr="00E63C30">
              <w:t>If additional material is provided by the applicant, AusAID reserves the right to consider the applicant proposal non-conforming, or to clarify information with the applicant during conformity, or to remove information in conformity.</w:t>
            </w:r>
          </w:p>
          <w:p w:rsidR="00757926" w:rsidRPr="00335371" w:rsidRDefault="00757926" w:rsidP="00761A73"/>
        </w:tc>
      </w:tr>
      <w:tr w:rsidR="00231C24" w:rsidRPr="00335371" w:rsidTr="00761A73">
        <w:trPr>
          <w:trHeight w:val="699"/>
        </w:trPr>
        <w:tc>
          <w:tcPr>
            <w:tcW w:w="8856" w:type="dxa"/>
          </w:tcPr>
          <w:p w:rsidR="00231C24" w:rsidRPr="00D24183" w:rsidRDefault="00231C24" w:rsidP="00761A73">
            <w:pPr>
              <w:rPr>
                <w:b/>
              </w:rPr>
            </w:pPr>
            <w:r w:rsidRPr="00D24183">
              <w:rPr>
                <w:b/>
              </w:rPr>
              <w:t>Question</w:t>
            </w:r>
            <w:r w:rsidR="00D24183" w:rsidRPr="00D24183">
              <w:rPr>
                <w:b/>
              </w:rPr>
              <w:t xml:space="preserve"> 11</w:t>
            </w:r>
            <w:r w:rsidRPr="00D24183">
              <w:rPr>
                <w:b/>
              </w:rPr>
              <w:t xml:space="preserve">: </w:t>
            </w:r>
          </w:p>
          <w:p w:rsidR="00231C24" w:rsidRPr="00335371" w:rsidRDefault="00231C24" w:rsidP="00761A73">
            <w:r w:rsidRPr="00335371">
              <w:t xml:space="preserve">Annex F, Part 4 of the </w:t>
            </w:r>
            <w:r w:rsidRPr="00335371">
              <w:rPr>
                <w:i/>
              </w:rPr>
              <w:t>AACRS Competitive Grant Guidelines</w:t>
            </w:r>
            <w:r w:rsidRPr="00335371">
              <w:t xml:space="preserve"> requests information from applicants that are not AusAID accredited</w:t>
            </w:r>
            <w:r>
              <w:t xml:space="preserve"> through </w:t>
            </w:r>
            <w:r w:rsidR="00B048A2">
              <w:t xml:space="preserve">the </w:t>
            </w:r>
            <w:r>
              <w:t>ANCP</w:t>
            </w:r>
            <w:r w:rsidR="00761A73">
              <w:t xml:space="preserve">.  </w:t>
            </w:r>
            <w:r w:rsidRPr="00335371">
              <w:t>Does this mean applicants with AusAID accreditation do not need to provide information under this Part?</w:t>
            </w:r>
          </w:p>
          <w:p w:rsidR="00231C24" w:rsidRPr="00335371" w:rsidRDefault="00231C24" w:rsidP="00761A73"/>
          <w:p w:rsidR="00231C24" w:rsidRPr="00335371" w:rsidRDefault="00231C24" w:rsidP="00761A73">
            <w:pPr>
              <w:rPr>
                <w:b/>
              </w:rPr>
            </w:pPr>
            <w:r w:rsidRPr="00335371">
              <w:rPr>
                <w:b/>
              </w:rPr>
              <w:t>Answer</w:t>
            </w:r>
            <w:r w:rsidR="00E63C30">
              <w:rPr>
                <w:b/>
              </w:rPr>
              <w:t>:</w:t>
            </w:r>
          </w:p>
          <w:p w:rsidR="00231C24" w:rsidRPr="00E63C30" w:rsidRDefault="00231C24" w:rsidP="00761A73">
            <w:r w:rsidRPr="00E63C30">
              <w:t xml:space="preserve">Applicants with AusAID accreditation should </w:t>
            </w:r>
            <w:r w:rsidRPr="003347EE">
              <w:rPr>
                <w:b/>
              </w:rPr>
              <w:t>not</w:t>
            </w:r>
            <w:r w:rsidRPr="00E63C30">
              <w:t xml:space="preserve"> provide information under Annex F, Part 4 of the </w:t>
            </w:r>
            <w:r w:rsidRPr="00E63C30">
              <w:rPr>
                <w:i/>
              </w:rPr>
              <w:t>AACRS Competitive Grant Guidelines</w:t>
            </w:r>
            <w:r w:rsidR="00761A73">
              <w:t xml:space="preserve">.  </w:t>
            </w:r>
            <w:r w:rsidRPr="00E63C30">
              <w:t xml:space="preserve">Applicants accredited through ANCP should provide details of their ANCP accreditation in </w:t>
            </w:r>
            <w:r w:rsidR="003347EE">
              <w:t xml:space="preserve">their response to </w:t>
            </w:r>
            <w:r w:rsidRPr="00E63C30">
              <w:t>Annex A.</w:t>
            </w:r>
          </w:p>
          <w:p w:rsidR="00231C24" w:rsidRPr="00335371" w:rsidRDefault="00231C24" w:rsidP="00761A73"/>
        </w:tc>
      </w:tr>
      <w:tr w:rsidR="003A5320" w:rsidRPr="00335371" w:rsidTr="00761A73">
        <w:trPr>
          <w:trHeight w:val="699"/>
        </w:trPr>
        <w:tc>
          <w:tcPr>
            <w:tcW w:w="8856" w:type="dxa"/>
          </w:tcPr>
          <w:p w:rsidR="003A5320" w:rsidRPr="00335371" w:rsidRDefault="003A5320" w:rsidP="003A5320">
            <w:pPr>
              <w:rPr>
                <w:b/>
              </w:rPr>
            </w:pPr>
            <w:r w:rsidRPr="00335371">
              <w:rPr>
                <w:b/>
              </w:rPr>
              <w:t>Question</w:t>
            </w:r>
            <w:r>
              <w:rPr>
                <w:b/>
              </w:rPr>
              <w:t xml:space="preserve"> 12:</w:t>
            </w:r>
          </w:p>
          <w:p w:rsidR="003A5320" w:rsidRPr="00335371" w:rsidRDefault="003A5320" w:rsidP="003A5320">
            <w:pPr>
              <w:rPr>
                <w:lang w:val="en-US"/>
              </w:rPr>
            </w:pPr>
            <w:r w:rsidRPr="00335371">
              <w:rPr>
                <w:lang w:val="en-US"/>
              </w:rPr>
              <w:t xml:space="preserve">Annex E in the </w:t>
            </w:r>
            <w:r w:rsidRPr="00335371">
              <w:rPr>
                <w:i/>
                <w:lang w:val="en-US"/>
              </w:rPr>
              <w:t>AACRS Competitive Grant Guidelines</w:t>
            </w:r>
            <w:r w:rsidRPr="00335371">
              <w:rPr>
                <w:lang w:val="en-US"/>
              </w:rPr>
              <w:t xml:space="preserve"> asks for </w:t>
            </w:r>
            <w:r w:rsidRPr="00335371">
              <w:t>details of two (2) relevant NGO projects</w:t>
            </w:r>
            <w:r>
              <w:t xml:space="preserve">.  </w:t>
            </w:r>
            <w:r w:rsidRPr="00335371">
              <w:t>The Guidelines state that applicants must respond with</w:t>
            </w:r>
            <w:r>
              <w:t xml:space="preserve">in a maximum of two (2) pages.  </w:t>
            </w:r>
            <w:r w:rsidRPr="00335371">
              <w:t>Does this mean two pages per example (i.e</w:t>
            </w:r>
            <w:r>
              <w:t xml:space="preserve">.  </w:t>
            </w:r>
            <w:r w:rsidRPr="00335371">
              <w:t>four pages in total) or one page for each example (i.e</w:t>
            </w:r>
            <w:r>
              <w:t xml:space="preserve">.  </w:t>
            </w:r>
            <w:r w:rsidRPr="00335371">
              <w:t>two pages in total)?</w:t>
            </w:r>
            <w:r w:rsidRPr="00335371">
              <w:rPr>
                <w:lang w:val="en-US"/>
              </w:rPr>
              <w:t xml:space="preserve"> </w:t>
            </w:r>
            <w:r w:rsidRPr="00335371">
              <w:rPr>
                <w:lang w:val="en-US"/>
              </w:rPr>
              <w:br/>
            </w:r>
          </w:p>
          <w:p w:rsidR="003A5320" w:rsidRDefault="003A5320" w:rsidP="003A5320">
            <w:pPr>
              <w:rPr>
                <w:b/>
              </w:rPr>
            </w:pPr>
            <w:r w:rsidRPr="00335371">
              <w:rPr>
                <w:b/>
              </w:rPr>
              <w:t>Answer</w:t>
            </w:r>
            <w:r>
              <w:rPr>
                <w:b/>
              </w:rPr>
              <w:t>:</w:t>
            </w:r>
          </w:p>
          <w:p w:rsidR="003A5320" w:rsidRPr="003A5320" w:rsidRDefault="003A5320" w:rsidP="00761A73">
            <w:pPr>
              <w:rPr>
                <w:b/>
                <w:lang w:val="en-US"/>
              </w:rPr>
            </w:pPr>
            <w:r w:rsidRPr="00E63C30">
              <w:rPr>
                <w:lang w:val="en-US"/>
              </w:rPr>
              <w:t xml:space="preserve">The page requirement for Annex E </w:t>
            </w:r>
            <w:r>
              <w:rPr>
                <w:lang w:val="en-US"/>
              </w:rPr>
              <w:t xml:space="preserve">of the </w:t>
            </w:r>
            <w:r w:rsidRPr="003347EE">
              <w:rPr>
                <w:i/>
                <w:lang w:val="en-US"/>
              </w:rPr>
              <w:t>AACRS Competitive Grant Guidelines</w:t>
            </w:r>
            <w:r>
              <w:rPr>
                <w:lang w:val="en-US"/>
              </w:rPr>
              <w:t xml:space="preserve"> </w:t>
            </w:r>
            <w:r w:rsidRPr="00E63C30">
              <w:rPr>
                <w:lang w:val="en-US"/>
              </w:rPr>
              <w:t>is one A4 page per example</w:t>
            </w:r>
            <w:r>
              <w:rPr>
                <w:lang w:val="en-US"/>
              </w:rPr>
              <w:t xml:space="preserve">.  </w:t>
            </w:r>
            <w:r w:rsidRPr="00E63C30">
              <w:rPr>
                <w:lang w:val="en-US"/>
              </w:rPr>
              <w:t>That is, two (2) pages in total</w:t>
            </w:r>
            <w:r w:rsidRPr="00335371">
              <w:rPr>
                <w:b/>
                <w:lang w:val="en-US"/>
              </w:rPr>
              <w:t>.</w:t>
            </w:r>
          </w:p>
        </w:tc>
      </w:tr>
      <w:tr w:rsidR="004879A9" w:rsidRPr="00335371" w:rsidTr="00C07220">
        <w:tc>
          <w:tcPr>
            <w:tcW w:w="8856" w:type="dxa"/>
            <w:shd w:val="pct10" w:color="auto" w:fill="auto"/>
          </w:tcPr>
          <w:p w:rsidR="004879A9" w:rsidRPr="00335371" w:rsidRDefault="004879A9" w:rsidP="00574C67">
            <w:pPr>
              <w:spacing w:before="30" w:after="30"/>
              <w:rPr>
                <w:b/>
              </w:rPr>
            </w:pPr>
            <w:r w:rsidRPr="00335371">
              <w:rPr>
                <w:b/>
              </w:rPr>
              <w:lastRenderedPageBreak/>
              <w:t>Funding Amounts</w:t>
            </w:r>
          </w:p>
        </w:tc>
      </w:tr>
      <w:tr w:rsidR="004879A9" w:rsidRPr="00335371" w:rsidTr="00C07220">
        <w:trPr>
          <w:trHeight w:val="4844"/>
        </w:trPr>
        <w:tc>
          <w:tcPr>
            <w:tcW w:w="8856" w:type="dxa"/>
          </w:tcPr>
          <w:p w:rsidR="004879A9" w:rsidRPr="00E63C30" w:rsidRDefault="004879A9" w:rsidP="00761A73">
            <w:pPr>
              <w:rPr>
                <w:b/>
              </w:rPr>
            </w:pPr>
            <w:r w:rsidRPr="00E63C30">
              <w:rPr>
                <w:b/>
              </w:rPr>
              <w:t>Question</w:t>
            </w:r>
            <w:r w:rsidR="00E63C30" w:rsidRPr="00E63C30">
              <w:rPr>
                <w:b/>
              </w:rPr>
              <w:t xml:space="preserve"> 13:</w:t>
            </w:r>
          </w:p>
          <w:p w:rsidR="004879A9" w:rsidRPr="00335371" w:rsidRDefault="004879A9" w:rsidP="00761A73">
            <w:r w:rsidRPr="00335371">
              <w:t>How much funding should my organisation apply for?</w:t>
            </w:r>
          </w:p>
          <w:p w:rsidR="004879A9" w:rsidRPr="00335371" w:rsidRDefault="004879A9" w:rsidP="00761A73"/>
          <w:p w:rsidR="004879A9" w:rsidRPr="00335371" w:rsidRDefault="004879A9" w:rsidP="00761A73">
            <w:pPr>
              <w:rPr>
                <w:b/>
              </w:rPr>
            </w:pPr>
            <w:r w:rsidRPr="00335371">
              <w:rPr>
                <w:b/>
              </w:rPr>
              <w:t>Answer</w:t>
            </w:r>
            <w:r w:rsidR="00E63C30">
              <w:rPr>
                <w:b/>
              </w:rPr>
              <w:t>:</w:t>
            </w:r>
          </w:p>
          <w:p w:rsidR="004879A9" w:rsidRPr="00E63C30" w:rsidRDefault="004879A9" w:rsidP="00761A73">
            <w:r w:rsidRPr="00E63C30">
              <w:t>It is up to applicants to decide how much funding they will apply for – there is no minimum or maximum grant amount that NGOs can apply for</w:t>
            </w:r>
            <w:r w:rsidR="00761A73">
              <w:t xml:space="preserve">.  </w:t>
            </w:r>
            <w:r w:rsidRPr="00E63C30">
              <w:t>Applicants should base their funding request on their capacity; technical skills; project plan; and value for money.</w:t>
            </w:r>
          </w:p>
          <w:p w:rsidR="004879A9" w:rsidRPr="00E63C30" w:rsidRDefault="004879A9" w:rsidP="00761A73"/>
          <w:p w:rsidR="004879A9" w:rsidRPr="00E63C30" w:rsidRDefault="004879A9" w:rsidP="00761A73">
            <w:r w:rsidRPr="00E63C30">
              <w:t>Applicants should note that the AACRS Budget allocates up to AUD30 million to support NGO projects through grants</w:t>
            </w:r>
            <w:r w:rsidR="003347EE">
              <w:t>,</w:t>
            </w:r>
            <w:r w:rsidRPr="00E63C30">
              <w:t xml:space="preserve"> and that the AAC</w:t>
            </w:r>
            <w:r w:rsidR="00B91D46">
              <w:t>RS will fund up to five (5) NGO projects</w:t>
            </w:r>
            <w:r w:rsidR="00761A73">
              <w:t xml:space="preserve">.  </w:t>
            </w:r>
            <w:r w:rsidRPr="00E63C30">
              <w:t xml:space="preserve">It is not assumed </w:t>
            </w:r>
            <w:r w:rsidR="00B048A2">
              <w:t xml:space="preserve">that </w:t>
            </w:r>
            <w:r w:rsidRPr="00E63C30">
              <w:t>the budget will be divided evenly between each NGO, or that five (5) NGOs will necessarily be funded.</w:t>
            </w:r>
            <w:r w:rsidR="00036FF4">
              <w:t xml:space="preserve">  </w:t>
            </w:r>
            <w:r w:rsidRPr="00E63C30">
              <w:t>AusAID reserves the right to choose to fund less than five (5)</w:t>
            </w:r>
            <w:r w:rsidR="003347EE">
              <w:t xml:space="preserve"> NGOs</w:t>
            </w:r>
            <w:r w:rsidRPr="00E63C30">
              <w:t xml:space="preserve">, dependent on the strength of the assessed submissions, and to negotiate the final figure of support provided </w:t>
            </w:r>
            <w:r w:rsidR="00B048A2">
              <w:t>to each NGO,</w:t>
            </w:r>
            <w:r w:rsidRPr="00E63C30">
              <w:t xml:space="preserve"> after the assessment and initia</w:t>
            </w:r>
            <w:r w:rsidR="003347EE">
              <w:t>l D</w:t>
            </w:r>
            <w:r w:rsidRPr="00E63C30">
              <w:t xml:space="preserve">etailed </w:t>
            </w:r>
            <w:r w:rsidR="003347EE">
              <w:t>D</w:t>
            </w:r>
            <w:r w:rsidRPr="00E63C30">
              <w:t>esign</w:t>
            </w:r>
            <w:r w:rsidR="003347EE">
              <w:t xml:space="preserve"> Phase</w:t>
            </w:r>
            <w:r w:rsidRPr="00E63C30">
              <w:t xml:space="preserve"> has occurred</w:t>
            </w:r>
            <w:r w:rsidR="00761A73">
              <w:t xml:space="preserve">.  </w:t>
            </w:r>
            <w:r w:rsidRPr="00E63C30">
              <w:t>Applicants should also note that all Submissions will need to represent value for money for AusAID</w:t>
            </w:r>
            <w:r w:rsidR="00761A73">
              <w:t xml:space="preserve">.  </w:t>
            </w:r>
          </w:p>
          <w:p w:rsidR="004879A9" w:rsidRPr="00335371" w:rsidRDefault="004879A9" w:rsidP="00761A73"/>
        </w:tc>
      </w:tr>
      <w:tr w:rsidR="004879A9" w:rsidRPr="00335371" w:rsidTr="00C07220">
        <w:tc>
          <w:tcPr>
            <w:tcW w:w="8856" w:type="dxa"/>
            <w:shd w:val="pct10" w:color="auto" w:fill="auto"/>
          </w:tcPr>
          <w:p w:rsidR="004879A9" w:rsidRPr="00335371" w:rsidRDefault="004879A9" w:rsidP="00574C67">
            <w:pPr>
              <w:spacing w:before="30" w:after="30"/>
              <w:rPr>
                <w:b/>
              </w:rPr>
            </w:pPr>
            <w:r w:rsidRPr="00335371">
              <w:rPr>
                <w:b/>
              </w:rPr>
              <w:t>Budget</w:t>
            </w:r>
          </w:p>
        </w:tc>
      </w:tr>
      <w:tr w:rsidR="004879A9" w:rsidRPr="00335371" w:rsidTr="00761A73">
        <w:trPr>
          <w:trHeight w:val="274"/>
        </w:trPr>
        <w:tc>
          <w:tcPr>
            <w:tcW w:w="8856" w:type="dxa"/>
          </w:tcPr>
          <w:p w:rsidR="004879A9" w:rsidRPr="00E63C30" w:rsidRDefault="004879A9" w:rsidP="00761A73">
            <w:pPr>
              <w:rPr>
                <w:b/>
              </w:rPr>
            </w:pPr>
            <w:r w:rsidRPr="00E63C30">
              <w:rPr>
                <w:b/>
              </w:rPr>
              <w:t>Question</w:t>
            </w:r>
            <w:r w:rsidR="00E63C30" w:rsidRPr="00E63C30">
              <w:rPr>
                <w:b/>
              </w:rPr>
              <w:t xml:space="preserve"> 14:</w:t>
            </w:r>
          </w:p>
          <w:p w:rsidR="004879A9" w:rsidRPr="00335371" w:rsidRDefault="004879A9" w:rsidP="00761A73">
            <w:r w:rsidRPr="00335371">
              <w:t xml:space="preserve">Annex D of the </w:t>
            </w:r>
            <w:r w:rsidRPr="00335371">
              <w:rPr>
                <w:i/>
              </w:rPr>
              <w:t>AACRS Competitive Grant Guidelines</w:t>
            </w:r>
            <w:r w:rsidRPr="00335371">
              <w:t xml:space="preserve"> requires applicants to provide a proposed budget for their overall project</w:t>
            </w:r>
            <w:r w:rsidR="00761A73">
              <w:t xml:space="preserve">.  </w:t>
            </w:r>
            <w:r w:rsidRPr="00335371">
              <w:t>Should applicants include details of the indirect costs attached to their proposed project in this?</w:t>
            </w:r>
          </w:p>
          <w:p w:rsidR="004879A9" w:rsidRPr="00335371" w:rsidRDefault="004879A9" w:rsidP="00761A73"/>
          <w:p w:rsidR="004879A9" w:rsidRPr="00335371" w:rsidRDefault="004879A9" w:rsidP="00761A73">
            <w:pPr>
              <w:rPr>
                <w:b/>
              </w:rPr>
            </w:pPr>
            <w:r w:rsidRPr="00335371">
              <w:rPr>
                <w:b/>
              </w:rPr>
              <w:t>Answer</w:t>
            </w:r>
          </w:p>
          <w:p w:rsidR="004879A9" w:rsidRPr="00E63C30" w:rsidRDefault="004879A9" w:rsidP="00761A73">
            <w:r w:rsidRPr="00E63C30">
              <w:t>Yes</w:t>
            </w:r>
            <w:r w:rsidR="00761A73">
              <w:t xml:space="preserve">.  </w:t>
            </w:r>
            <w:r w:rsidRPr="00E63C30">
              <w:t xml:space="preserve">Applicants should provide details of both the direct and indirect costs attached to their proposed projects as part of their response to Annex D of the </w:t>
            </w:r>
            <w:r w:rsidRPr="00E63C30">
              <w:rPr>
                <w:i/>
              </w:rPr>
              <w:t>AACRS Competitive Grant Guidelines</w:t>
            </w:r>
            <w:r w:rsidR="00761A73">
              <w:rPr>
                <w:i/>
              </w:rPr>
              <w:t xml:space="preserve">.  </w:t>
            </w:r>
          </w:p>
          <w:p w:rsidR="004879A9" w:rsidRPr="00335371" w:rsidRDefault="004879A9" w:rsidP="00761A73"/>
        </w:tc>
      </w:tr>
      <w:tr w:rsidR="004879A9" w:rsidRPr="00335371" w:rsidTr="00C07220">
        <w:trPr>
          <w:trHeight w:val="3770"/>
        </w:trPr>
        <w:tc>
          <w:tcPr>
            <w:tcW w:w="8856" w:type="dxa"/>
          </w:tcPr>
          <w:p w:rsidR="004879A9" w:rsidRPr="00E63C30" w:rsidRDefault="004879A9" w:rsidP="00761A73">
            <w:pPr>
              <w:rPr>
                <w:b/>
              </w:rPr>
            </w:pPr>
            <w:r w:rsidRPr="00E63C30">
              <w:rPr>
                <w:b/>
              </w:rPr>
              <w:t>Question</w:t>
            </w:r>
            <w:r w:rsidR="00E63C30" w:rsidRPr="00E63C30">
              <w:rPr>
                <w:b/>
              </w:rPr>
              <w:t xml:space="preserve"> 15:</w:t>
            </w:r>
          </w:p>
          <w:p w:rsidR="004879A9" w:rsidRPr="00335371" w:rsidRDefault="004879A9" w:rsidP="00761A73">
            <w:r w:rsidRPr="00335371">
              <w:t xml:space="preserve">Annex D of the </w:t>
            </w:r>
            <w:r w:rsidRPr="00335371">
              <w:rPr>
                <w:i/>
              </w:rPr>
              <w:t>AACRS Competitive Grant Guidelines</w:t>
            </w:r>
            <w:r w:rsidRPr="00335371">
              <w:t xml:space="preserve"> requires applicants to provide a proposed budget for their overall project</w:t>
            </w:r>
            <w:r w:rsidR="00761A73">
              <w:t xml:space="preserve">.  </w:t>
            </w:r>
            <w:r w:rsidRPr="00335371">
              <w:t>Should applicants include details of cost sharing with other activities in the same geographical areas?</w:t>
            </w:r>
          </w:p>
          <w:p w:rsidR="004879A9" w:rsidRPr="00335371" w:rsidRDefault="004879A9" w:rsidP="00761A73"/>
          <w:p w:rsidR="004879A9" w:rsidRPr="00335371" w:rsidRDefault="004879A9" w:rsidP="00761A73">
            <w:pPr>
              <w:rPr>
                <w:b/>
              </w:rPr>
            </w:pPr>
            <w:r w:rsidRPr="00335371">
              <w:rPr>
                <w:b/>
              </w:rPr>
              <w:t>Answer</w:t>
            </w:r>
            <w:r w:rsidR="00E63C30">
              <w:rPr>
                <w:b/>
              </w:rPr>
              <w:t>:</w:t>
            </w:r>
          </w:p>
          <w:p w:rsidR="004879A9" w:rsidRPr="00E63C30" w:rsidRDefault="004879A9" w:rsidP="00761A73">
            <w:r w:rsidRPr="00E63C30">
              <w:t>Applicants should provide a stand-alone budget for their proposed project</w:t>
            </w:r>
            <w:r w:rsidR="00761A73">
              <w:t xml:space="preserve">.  </w:t>
            </w:r>
            <w:r w:rsidRPr="00E63C30">
              <w:t xml:space="preserve">This may include direct costs, and shared indirect costs, if attributable to the </w:t>
            </w:r>
            <w:r w:rsidR="003347EE">
              <w:t xml:space="preserve">proposed </w:t>
            </w:r>
            <w:r w:rsidRPr="00E63C30">
              <w:t>project</w:t>
            </w:r>
            <w:r w:rsidR="00761A73">
              <w:t xml:space="preserve">.  </w:t>
            </w:r>
          </w:p>
          <w:p w:rsidR="004879A9" w:rsidRPr="00E63C30" w:rsidRDefault="004879A9" w:rsidP="00761A73"/>
          <w:p w:rsidR="004879A9" w:rsidRPr="00E63C30" w:rsidRDefault="004879A9" w:rsidP="00761A73">
            <w:r w:rsidRPr="00E63C30">
              <w:t xml:space="preserve">Note that Annex A of the </w:t>
            </w:r>
            <w:r w:rsidRPr="00E63C30">
              <w:rPr>
                <w:i/>
              </w:rPr>
              <w:t xml:space="preserve">AACRS Competitive Grant Guidelines </w:t>
            </w:r>
            <w:r w:rsidRPr="00E63C30">
              <w:t>requires applicants to provide details of all other proposals or sources of funding (including Australian Government funding) that is related, or may impact, on the proposed project</w:t>
            </w:r>
            <w:r w:rsidR="00761A73">
              <w:t xml:space="preserve">.  </w:t>
            </w:r>
          </w:p>
          <w:p w:rsidR="004879A9" w:rsidRPr="00335371" w:rsidRDefault="004879A9" w:rsidP="00761A73"/>
        </w:tc>
      </w:tr>
      <w:tr w:rsidR="004879A9" w:rsidRPr="00335371" w:rsidTr="00C07220">
        <w:trPr>
          <w:trHeight w:val="3233"/>
        </w:trPr>
        <w:tc>
          <w:tcPr>
            <w:tcW w:w="8856" w:type="dxa"/>
          </w:tcPr>
          <w:p w:rsidR="004879A9" w:rsidRPr="00E63C30" w:rsidRDefault="004879A9" w:rsidP="00761A73">
            <w:pPr>
              <w:rPr>
                <w:b/>
              </w:rPr>
            </w:pPr>
            <w:r w:rsidRPr="00E63C30">
              <w:rPr>
                <w:b/>
              </w:rPr>
              <w:lastRenderedPageBreak/>
              <w:t>Question</w:t>
            </w:r>
            <w:r w:rsidR="00E63C30" w:rsidRPr="00E63C30">
              <w:rPr>
                <w:b/>
              </w:rPr>
              <w:t xml:space="preserve"> 16:</w:t>
            </w:r>
          </w:p>
          <w:p w:rsidR="004879A9" w:rsidRPr="00335371" w:rsidRDefault="004879A9" w:rsidP="00761A73">
            <w:r w:rsidRPr="00335371">
              <w:t xml:space="preserve">Annexes C and D of the </w:t>
            </w:r>
            <w:r w:rsidRPr="00335371">
              <w:rPr>
                <w:i/>
              </w:rPr>
              <w:t>AACRS Competitive Grant Guidelines</w:t>
            </w:r>
            <w:r w:rsidRPr="00335371">
              <w:t xml:space="preserve"> require applicants to provide proposed budgets in Australian dollars</w:t>
            </w:r>
            <w:r w:rsidR="00761A73">
              <w:t xml:space="preserve">.  </w:t>
            </w:r>
            <w:r w:rsidRPr="00335371">
              <w:t>Does AusAID require a specific source for details on exchange rates?</w:t>
            </w:r>
          </w:p>
          <w:p w:rsidR="004879A9" w:rsidRPr="00335371" w:rsidRDefault="004879A9" w:rsidP="00761A73"/>
          <w:p w:rsidR="004879A9" w:rsidRPr="00335371" w:rsidRDefault="004879A9" w:rsidP="00761A73">
            <w:pPr>
              <w:rPr>
                <w:b/>
              </w:rPr>
            </w:pPr>
            <w:r w:rsidRPr="00335371">
              <w:rPr>
                <w:b/>
              </w:rPr>
              <w:t>Answer</w:t>
            </w:r>
          </w:p>
          <w:p w:rsidR="004879A9" w:rsidRDefault="004879A9" w:rsidP="00761A73">
            <w:pPr>
              <w:pStyle w:val="NormalWeb"/>
              <w:rPr>
                <w:rFonts w:ascii="Arial" w:hAnsi="Arial" w:cs="Arial"/>
                <w:lang w:eastAsia="en-US"/>
              </w:rPr>
            </w:pPr>
            <w:bookmarkStart w:id="1" w:name="top"/>
            <w:bookmarkEnd w:id="1"/>
            <w:r w:rsidRPr="00E63C30">
              <w:rPr>
                <w:rFonts w:ascii="Arial" w:hAnsi="Arial" w:cs="Arial"/>
                <w:lang w:eastAsia="en-US"/>
              </w:rPr>
              <w:t>No</w:t>
            </w:r>
            <w:r w:rsidR="00761A73">
              <w:rPr>
                <w:rFonts w:ascii="Arial" w:hAnsi="Arial" w:cs="Arial"/>
                <w:lang w:eastAsia="en-US"/>
              </w:rPr>
              <w:t xml:space="preserve">.  </w:t>
            </w:r>
            <w:r w:rsidRPr="00E63C30">
              <w:rPr>
                <w:rFonts w:ascii="Arial" w:hAnsi="Arial" w:cs="Arial"/>
                <w:lang w:eastAsia="en-US"/>
              </w:rPr>
              <w:t>Applicants may use appropriate exchange rates provided by a banking institution operating in Australia including, where relevant, the banking institution through which your foreign income is received</w:t>
            </w:r>
            <w:r w:rsidR="00761A73">
              <w:rPr>
                <w:rFonts w:ascii="Arial" w:hAnsi="Arial" w:cs="Arial"/>
                <w:lang w:eastAsia="en-US"/>
              </w:rPr>
              <w:t xml:space="preserve">.  </w:t>
            </w:r>
            <w:r w:rsidRPr="00E63C30">
              <w:rPr>
                <w:rFonts w:ascii="Arial" w:hAnsi="Arial" w:cs="Arial"/>
                <w:lang w:eastAsia="en-US"/>
              </w:rPr>
              <w:t>Applicants can also use rates published by another reliable external source</w:t>
            </w:r>
            <w:r w:rsidR="00761A73">
              <w:rPr>
                <w:rFonts w:ascii="Arial" w:hAnsi="Arial" w:cs="Arial"/>
                <w:lang w:eastAsia="en-US"/>
              </w:rPr>
              <w:t xml:space="preserve">.  </w:t>
            </w:r>
            <w:r w:rsidRPr="00E63C30">
              <w:rPr>
                <w:rFonts w:ascii="Arial" w:hAnsi="Arial" w:cs="Arial"/>
                <w:lang w:eastAsia="en-US"/>
              </w:rPr>
              <w:t>The rate used and the source of rates should be kept with an applicant’s records</w:t>
            </w:r>
            <w:r w:rsidR="00761A73">
              <w:rPr>
                <w:rFonts w:ascii="Arial" w:hAnsi="Arial" w:cs="Arial"/>
                <w:lang w:eastAsia="en-US"/>
              </w:rPr>
              <w:t xml:space="preserve">.  </w:t>
            </w:r>
            <w:r w:rsidRPr="00E63C30">
              <w:rPr>
                <w:rFonts w:ascii="Arial" w:hAnsi="Arial" w:cs="Arial"/>
                <w:lang w:eastAsia="en-US"/>
              </w:rPr>
              <w:t>Applicants are reminded that all budgets must be in Australian dollars and that all AACRS grant agreements will be in Australian dollars.</w:t>
            </w:r>
          </w:p>
          <w:p w:rsidR="003347EE" w:rsidRPr="00E63C30" w:rsidRDefault="003347EE" w:rsidP="00761A73">
            <w:pPr>
              <w:pStyle w:val="NormalWeb"/>
              <w:rPr>
                <w:rFonts w:ascii="Arial" w:hAnsi="Arial" w:cs="Arial"/>
                <w:lang w:eastAsia="en-US"/>
              </w:rPr>
            </w:pPr>
          </w:p>
        </w:tc>
      </w:tr>
      <w:tr w:rsidR="004879A9" w:rsidRPr="00335371" w:rsidTr="00C07220">
        <w:trPr>
          <w:trHeight w:val="2158"/>
        </w:trPr>
        <w:tc>
          <w:tcPr>
            <w:tcW w:w="8856" w:type="dxa"/>
          </w:tcPr>
          <w:p w:rsidR="004879A9" w:rsidRPr="00E63C30" w:rsidRDefault="004879A9" w:rsidP="00761A73">
            <w:pPr>
              <w:rPr>
                <w:b/>
              </w:rPr>
            </w:pPr>
            <w:r w:rsidRPr="00E63C30">
              <w:rPr>
                <w:b/>
              </w:rPr>
              <w:t>Question</w:t>
            </w:r>
            <w:r w:rsidR="00E63C30" w:rsidRPr="00E63C30">
              <w:rPr>
                <w:b/>
              </w:rPr>
              <w:t>: 17</w:t>
            </w:r>
          </w:p>
          <w:p w:rsidR="004879A9" w:rsidRPr="00335371" w:rsidRDefault="004879A9" w:rsidP="00761A73">
            <w:r w:rsidRPr="00335371">
              <w:t xml:space="preserve">Annex D of the </w:t>
            </w:r>
            <w:r w:rsidRPr="00335371">
              <w:rPr>
                <w:i/>
              </w:rPr>
              <w:t>AACRS Competitive Grant Guidelines</w:t>
            </w:r>
            <w:r w:rsidRPr="00335371">
              <w:t xml:space="preserve"> requires applicants to provide a proposed budget for their overall project</w:t>
            </w:r>
            <w:r w:rsidR="00761A73">
              <w:t xml:space="preserve">.  </w:t>
            </w:r>
            <w:r w:rsidRPr="00335371">
              <w:t>Should applicants delineate how much is going to each local partner in the application?</w:t>
            </w:r>
          </w:p>
          <w:p w:rsidR="004879A9" w:rsidRPr="00335371" w:rsidRDefault="004879A9" w:rsidP="00761A73"/>
          <w:p w:rsidR="004879A9" w:rsidRPr="00335371" w:rsidRDefault="004879A9" w:rsidP="00761A73">
            <w:pPr>
              <w:rPr>
                <w:b/>
              </w:rPr>
            </w:pPr>
            <w:r w:rsidRPr="00335371">
              <w:rPr>
                <w:b/>
              </w:rPr>
              <w:t>Answer</w:t>
            </w:r>
            <w:r w:rsidR="00E63C30">
              <w:rPr>
                <w:b/>
              </w:rPr>
              <w:t xml:space="preserve">: </w:t>
            </w:r>
          </w:p>
          <w:p w:rsidR="004879A9" w:rsidRPr="00E63C30" w:rsidRDefault="004879A9" w:rsidP="00761A73">
            <w:r w:rsidRPr="00E63C30">
              <w:t xml:space="preserve">Applicants are not required to delineate their </w:t>
            </w:r>
            <w:r w:rsidR="003347EE">
              <w:t xml:space="preserve">proposed </w:t>
            </w:r>
            <w:r w:rsidRPr="00E63C30">
              <w:t>budget between each local partner, but can do so if they wish</w:t>
            </w:r>
            <w:r w:rsidR="00761A73">
              <w:t xml:space="preserve">.  </w:t>
            </w:r>
            <w:r w:rsidRPr="00E63C30">
              <w:t xml:space="preserve">Such delineation may provide value for money information to the </w:t>
            </w:r>
            <w:r w:rsidR="003347EE">
              <w:t xml:space="preserve">AACRS </w:t>
            </w:r>
            <w:r w:rsidRPr="00E63C30">
              <w:t>Technical Assessment Panel</w:t>
            </w:r>
            <w:r w:rsidR="00761A73">
              <w:t xml:space="preserve">.  </w:t>
            </w:r>
          </w:p>
          <w:p w:rsidR="004879A9" w:rsidRPr="00335371" w:rsidRDefault="004879A9" w:rsidP="00761A73"/>
        </w:tc>
      </w:tr>
      <w:tr w:rsidR="004879A9" w:rsidRPr="00335371" w:rsidTr="003347EE">
        <w:trPr>
          <w:trHeight w:val="274"/>
        </w:trPr>
        <w:tc>
          <w:tcPr>
            <w:tcW w:w="8856" w:type="dxa"/>
          </w:tcPr>
          <w:p w:rsidR="004879A9" w:rsidRPr="00E63C30" w:rsidRDefault="004879A9" w:rsidP="00761A73">
            <w:pPr>
              <w:rPr>
                <w:b/>
              </w:rPr>
            </w:pPr>
            <w:r w:rsidRPr="00E63C30">
              <w:rPr>
                <w:b/>
              </w:rPr>
              <w:t>Question</w:t>
            </w:r>
            <w:r w:rsidR="00E63C30" w:rsidRPr="00E63C30">
              <w:rPr>
                <w:b/>
              </w:rPr>
              <w:t xml:space="preserve"> 18:</w:t>
            </w:r>
          </w:p>
          <w:p w:rsidR="004879A9" w:rsidRPr="00335371" w:rsidRDefault="004879A9" w:rsidP="00761A73">
            <w:r w:rsidRPr="00335371">
              <w:t>Should applicants make reference to the AACRS Innovations Fund in their Submissions?</w:t>
            </w:r>
          </w:p>
          <w:p w:rsidR="004879A9" w:rsidRPr="00335371" w:rsidRDefault="004879A9" w:rsidP="00761A73"/>
          <w:p w:rsidR="004879A9" w:rsidRPr="00335371" w:rsidRDefault="004879A9" w:rsidP="00761A73">
            <w:pPr>
              <w:rPr>
                <w:b/>
              </w:rPr>
            </w:pPr>
            <w:r w:rsidRPr="00335371">
              <w:rPr>
                <w:b/>
              </w:rPr>
              <w:t>Answer</w:t>
            </w:r>
            <w:r w:rsidR="00761A73">
              <w:rPr>
                <w:b/>
              </w:rPr>
              <w:t>:</w:t>
            </w:r>
          </w:p>
          <w:p w:rsidR="004879A9" w:rsidRDefault="004879A9" w:rsidP="00761A73">
            <w:r w:rsidRPr="00E63C30">
              <w:t>No, applicants should not make reference to the AACRS Innovations Fund in their Submission</w:t>
            </w:r>
            <w:r w:rsidR="00761A73">
              <w:t xml:space="preserve">.  </w:t>
            </w:r>
            <w:r w:rsidRPr="00E63C30">
              <w:t>The Innovations Fund will be expensed in Years 3 and 4 of the AACRS, and at the discretion of AusAID</w:t>
            </w:r>
            <w:r w:rsidR="00761A73">
              <w:t xml:space="preserve">.  </w:t>
            </w:r>
            <w:r w:rsidRPr="00E63C30">
              <w:t xml:space="preserve">Details on the AACRS Innovations Fund are set out in the </w:t>
            </w:r>
            <w:r w:rsidRPr="00E63C30">
              <w:rPr>
                <w:i/>
              </w:rPr>
              <w:t>AACRS Design Document</w:t>
            </w:r>
            <w:r w:rsidR="00761A73">
              <w:t xml:space="preserve">.  </w:t>
            </w:r>
          </w:p>
          <w:p w:rsidR="009F09EB" w:rsidRPr="00335371" w:rsidRDefault="009F09EB" w:rsidP="00761A73"/>
        </w:tc>
      </w:tr>
      <w:tr w:rsidR="003A5320" w:rsidRPr="00335371" w:rsidTr="003347EE">
        <w:trPr>
          <w:trHeight w:val="274"/>
        </w:trPr>
        <w:tc>
          <w:tcPr>
            <w:tcW w:w="8856" w:type="dxa"/>
          </w:tcPr>
          <w:p w:rsidR="003A5320" w:rsidRPr="00761A73" w:rsidRDefault="003A5320" w:rsidP="003A5320">
            <w:pPr>
              <w:rPr>
                <w:b/>
              </w:rPr>
            </w:pPr>
            <w:r w:rsidRPr="00761A73">
              <w:rPr>
                <w:b/>
              </w:rPr>
              <w:t>Question 19:</w:t>
            </w:r>
          </w:p>
          <w:p w:rsidR="003A5320" w:rsidRPr="00335371" w:rsidRDefault="003A5320" w:rsidP="003A5320">
            <w:r w:rsidRPr="00335371">
              <w:t xml:space="preserve">What percentage of AACRS project budgets can be allocated to overheads, such as staffing? </w:t>
            </w:r>
          </w:p>
          <w:p w:rsidR="003A5320" w:rsidRPr="00335371" w:rsidRDefault="003A5320" w:rsidP="003A5320"/>
          <w:p w:rsidR="003A5320" w:rsidRPr="00335371" w:rsidRDefault="003A5320" w:rsidP="003A5320">
            <w:pPr>
              <w:rPr>
                <w:b/>
              </w:rPr>
            </w:pPr>
            <w:r w:rsidRPr="00335371">
              <w:rPr>
                <w:b/>
              </w:rPr>
              <w:t>Answer</w:t>
            </w:r>
            <w:r>
              <w:rPr>
                <w:b/>
              </w:rPr>
              <w:t xml:space="preserve">: </w:t>
            </w:r>
          </w:p>
          <w:p w:rsidR="003A5320" w:rsidRDefault="003A5320" w:rsidP="003A5320">
            <w:pPr>
              <w:autoSpaceDE w:val="0"/>
              <w:autoSpaceDN w:val="0"/>
              <w:adjustRightInd w:val="0"/>
            </w:pPr>
            <w:r w:rsidRPr="00E63C30">
              <w:t xml:space="preserve">AusAID is not stipulating </w:t>
            </w:r>
            <w:r w:rsidR="00B048A2">
              <w:t>the</w:t>
            </w:r>
            <w:r w:rsidRPr="00E63C30">
              <w:t xml:space="preserve"> percentage of proposed AACRS budgets </w:t>
            </w:r>
            <w:r w:rsidR="00B048A2">
              <w:t>to</w:t>
            </w:r>
            <w:r w:rsidRPr="00E63C30">
              <w:t xml:space="preserve"> be allocated to overheads</w:t>
            </w:r>
            <w:r>
              <w:t xml:space="preserve">.  </w:t>
            </w:r>
            <w:r w:rsidRPr="00E63C30">
              <w:t>Applicants should outline budgets suitable to their proposed project’s context and activities</w:t>
            </w:r>
            <w:r>
              <w:t xml:space="preserve">.  </w:t>
            </w:r>
            <w:r w:rsidRPr="00E63C30">
              <w:t>Applicants should note that:</w:t>
            </w:r>
          </w:p>
          <w:p w:rsidR="003A5320" w:rsidRPr="00E63C30" w:rsidRDefault="003A5320" w:rsidP="003A5320">
            <w:pPr>
              <w:autoSpaceDE w:val="0"/>
              <w:autoSpaceDN w:val="0"/>
              <w:adjustRightInd w:val="0"/>
            </w:pPr>
          </w:p>
          <w:p w:rsidR="003A5320" w:rsidRPr="00E63C30" w:rsidRDefault="003A5320" w:rsidP="003A5320">
            <w:pPr>
              <w:pStyle w:val="ListParagraph"/>
              <w:numPr>
                <w:ilvl w:val="0"/>
                <w:numId w:val="8"/>
              </w:numPr>
              <w:autoSpaceDE w:val="0"/>
              <w:autoSpaceDN w:val="0"/>
              <w:adjustRightInd w:val="0"/>
              <w:contextualSpacing w:val="0"/>
            </w:pPr>
            <w:r w:rsidRPr="00E63C30">
              <w:t>up to 20 per cent of individual applicant NGO b</w:t>
            </w:r>
            <w:r>
              <w:t>udgets may be used for program Monitoring and E</w:t>
            </w:r>
            <w:r w:rsidRPr="00E63C30">
              <w:t xml:space="preserve">valuation </w:t>
            </w:r>
            <w:r>
              <w:t xml:space="preserve">(M&amp;E) </w:t>
            </w:r>
            <w:r w:rsidRPr="00E63C30">
              <w:t xml:space="preserve">and learning activities; and, </w:t>
            </w:r>
          </w:p>
          <w:p w:rsidR="003A5320" w:rsidRPr="00E63C30" w:rsidRDefault="003A5320" w:rsidP="003A5320">
            <w:pPr>
              <w:pStyle w:val="ListParagraph"/>
              <w:numPr>
                <w:ilvl w:val="0"/>
                <w:numId w:val="8"/>
              </w:numPr>
              <w:autoSpaceDE w:val="0"/>
              <w:autoSpaceDN w:val="0"/>
              <w:adjustRightInd w:val="0"/>
              <w:contextualSpacing w:val="0"/>
            </w:pPr>
            <w:r w:rsidRPr="00E63C30">
              <w:t>support will NOT be provided for Submissions that seek funding for</w:t>
            </w:r>
            <w:r>
              <w:t>,</w:t>
            </w:r>
            <w:r w:rsidRPr="00E63C30">
              <w:t xml:space="preserve"> or include</w:t>
            </w:r>
            <w:r>
              <w:t>,</w:t>
            </w:r>
            <w:r w:rsidRPr="00E63C30">
              <w:t xml:space="preserve"> travel expenses that exceed 20 per cent of total project costs</w:t>
            </w:r>
            <w:r>
              <w:t xml:space="preserve">.  </w:t>
            </w:r>
          </w:p>
          <w:p w:rsidR="003A5320" w:rsidRPr="00E63C30" w:rsidRDefault="003A5320" w:rsidP="003A5320"/>
          <w:p w:rsidR="003A5320" w:rsidRPr="00E63C30" w:rsidRDefault="003A5320" w:rsidP="003A5320">
            <w:r w:rsidRPr="00E63C30">
              <w:lastRenderedPageBreak/>
              <w:t xml:space="preserve">Applicants will need to ensure their response to Annex D within the </w:t>
            </w:r>
            <w:r w:rsidRPr="00E63C30">
              <w:rPr>
                <w:i/>
              </w:rPr>
              <w:t>AACRS Competitive Grant Guideline</w:t>
            </w:r>
            <w:r w:rsidRPr="00E63C30">
              <w:t xml:space="preserve">s clearly identifies how costs are attributable to the project, and </w:t>
            </w:r>
            <w:r>
              <w:t xml:space="preserve">represent </w:t>
            </w:r>
            <w:r w:rsidRPr="00E63C30">
              <w:t>value for money to AusAID</w:t>
            </w:r>
            <w:r>
              <w:t xml:space="preserve">.  </w:t>
            </w:r>
            <w:r w:rsidRPr="00E63C30">
              <w:t xml:space="preserve">This will be considered by AusAID as ten (10) per cent of the overall </w:t>
            </w:r>
            <w:r>
              <w:t xml:space="preserve">Submission </w:t>
            </w:r>
            <w:r w:rsidRPr="00E63C30">
              <w:t xml:space="preserve">assessment, as outlined in Clause 3.1 of the </w:t>
            </w:r>
            <w:r w:rsidRPr="00E63C30">
              <w:rPr>
                <w:i/>
              </w:rPr>
              <w:t>AACRS Competitive Grant Guidelines</w:t>
            </w:r>
            <w:r w:rsidRPr="00E63C30">
              <w:t xml:space="preserve"> (page 11).</w:t>
            </w:r>
          </w:p>
          <w:p w:rsidR="003A5320" w:rsidRPr="00E63C30" w:rsidRDefault="003A5320" w:rsidP="00761A73">
            <w:pPr>
              <w:rPr>
                <w:b/>
              </w:rPr>
            </w:pPr>
          </w:p>
        </w:tc>
      </w:tr>
      <w:tr w:rsidR="004879A9" w:rsidRPr="00335371" w:rsidTr="00C07220">
        <w:trPr>
          <w:trHeight w:val="1621"/>
        </w:trPr>
        <w:tc>
          <w:tcPr>
            <w:tcW w:w="8856" w:type="dxa"/>
          </w:tcPr>
          <w:p w:rsidR="004879A9" w:rsidRPr="00761A73" w:rsidRDefault="004879A9" w:rsidP="00761A73">
            <w:pPr>
              <w:rPr>
                <w:b/>
              </w:rPr>
            </w:pPr>
            <w:r w:rsidRPr="00761A73">
              <w:rPr>
                <w:b/>
              </w:rPr>
              <w:lastRenderedPageBreak/>
              <w:t>Question</w:t>
            </w:r>
            <w:r w:rsidR="00E63C30" w:rsidRPr="00761A73">
              <w:rPr>
                <w:b/>
              </w:rPr>
              <w:t xml:space="preserve"> 20:</w:t>
            </w:r>
          </w:p>
          <w:p w:rsidR="004879A9" w:rsidRPr="00335371" w:rsidRDefault="004879A9" w:rsidP="00761A73">
            <w:r w:rsidRPr="00335371">
              <w:t>If an ANCP accredited NGO is successful under AACRS, will it be contracted under its Head Agreement with AusAID?</w:t>
            </w:r>
          </w:p>
          <w:p w:rsidR="004879A9" w:rsidRPr="00335371" w:rsidRDefault="004879A9" w:rsidP="00761A73"/>
          <w:p w:rsidR="004879A9" w:rsidRPr="00335371" w:rsidRDefault="004879A9" w:rsidP="00761A73">
            <w:pPr>
              <w:rPr>
                <w:b/>
              </w:rPr>
            </w:pPr>
            <w:r w:rsidRPr="00335371">
              <w:rPr>
                <w:b/>
              </w:rPr>
              <w:t>Answer</w:t>
            </w:r>
            <w:r w:rsidR="00E63C30">
              <w:rPr>
                <w:b/>
              </w:rPr>
              <w:t>:</w:t>
            </w:r>
          </w:p>
          <w:p w:rsidR="004879A9" w:rsidRPr="00E63C30" w:rsidRDefault="004879A9" w:rsidP="00761A73">
            <w:r w:rsidRPr="00E63C30">
              <w:t>Yes</w:t>
            </w:r>
            <w:r w:rsidR="00761A73">
              <w:t xml:space="preserve">.  </w:t>
            </w:r>
            <w:r w:rsidRPr="00E63C30">
              <w:t>It is expected that any ANCP accredited NGOs selected to be part of the AACRS will be contracted under their Head Agreements with AusAID</w:t>
            </w:r>
            <w:r w:rsidR="00761A73">
              <w:t xml:space="preserve">.  </w:t>
            </w:r>
          </w:p>
          <w:p w:rsidR="004879A9" w:rsidRPr="00335371" w:rsidRDefault="004879A9" w:rsidP="00761A73"/>
        </w:tc>
      </w:tr>
      <w:tr w:rsidR="004879A9" w:rsidRPr="00335371" w:rsidTr="00C07220">
        <w:tc>
          <w:tcPr>
            <w:tcW w:w="8856" w:type="dxa"/>
            <w:shd w:val="pct10" w:color="auto" w:fill="auto"/>
          </w:tcPr>
          <w:p w:rsidR="004879A9" w:rsidRPr="00335371" w:rsidRDefault="004879A9" w:rsidP="00574C67">
            <w:pPr>
              <w:spacing w:before="30" w:after="30"/>
              <w:rPr>
                <w:b/>
              </w:rPr>
            </w:pPr>
            <w:r w:rsidRPr="00335371">
              <w:rPr>
                <w:b/>
              </w:rPr>
              <w:t>Capacity Building</w:t>
            </w:r>
          </w:p>
        </w:tc>
      </w:tr>
      <w:tr w:rsidR="004879A9" w:rsidRPr="00335371" w:rsidTr="00C07220">
        <w:trPr>
          <w:trHeight w:val="1621"/>
        </w:trPr>
        <w:tc>
          <w:tcPr>
            <w:tcW w:w="8856" w:type="dxa"/>
          </w:tcPr>
          <w:p w:rsidR="004879A9" w:rsidRPr="00E63C30" w:rsidRDefault="004879A9" w:rsidP="00761A73">
            <w:pPr>
              <w:rPr>
                <w:b/>
              </w:rPr>
            </w:pPr>
            <w:r w:rsidRPr="00E63C30">
              <w:rPr>
                <w:b/>
              </w:rPr>
              <w:t>Question</w:t>
            </w:r>
            <w:r w:rsidR="00E63C30" w:rsidRPr="00E63C30">
              <w:rPr>
                <w:b/>
              </w:rPr>
              <w:t xml:space="preserve"> 21:</w:t>
            </w:r>
          </w:p>
          <w:p w:rsidR="004879A9" w:rsidRPr="00335371" w:rsidRDefault="004879A9" w:rsidP="00761A73">
            <w:r w:rsidRPr="00335371">
              <w:t>Will AACRS NGOs be expected to produce results against the capacity building component of their project?</w:t>
            </w:r>
          </w:p>
          <w:p w:rsidR="004879A9" w:rsidRPr="00335371" w:rsidRDefault="004879A9" w:rsidP="00761A73"/>
          <w:p w:rsidR="004879A9" w:rsidRPr="00335371" w:rsidRDefault="004879A9" w:rsidP="00761A73">
            <w:pPr>
              <w:rPr>
                <w:b/>
              </w:rPr>
            </w:pPr>
            <w:r w:rsidRPr="00335371">
              <w:rPr>
                <w:b/>
              </w:rPr>
              <w:t>Answer</w:t>
            </w:r>
            <w:r w:rsidR="00E63C30">
              <w:rPr>
                <w:b/>
              </w:rPr>
              <w:t>:</w:t>
            </w:r>
          </w:p>
          <w:p w:rsidR="004879A9" w:rsidRPr="00E63C30" w:rsidRDefault="004879A9" w:rsidP="00761A73">
            <w:r w:rsidRPr="00E63C30">
              <w:t>Yes, all AACRS projects must include a capacity building component, and as such, AusAID will expect results against this component</w:t>
            </w:r>
            <w:r w:rsidR="00761A73">
              <w:t xml:space="preserve">.  </w:t>
            </w:r>
          </w:p>
          <w:p w:rsidR="004879A9" w:rsidRPr="00335371" w:rsidRDefault="004879A9" w:rsidP="00761A73"/>
        </w:tc>
      </w:tr>
      <w:tr w:rsidR="00574C67" w:rsidRPr="00335371" w:rsidTr="00574C67">
        <w:trPr>
          <w:trHeight w:val="1408"/>
        </w:trPr>
        <w:tc>
          <w:tcPr>
            <w:tcW w:w="8856" w:type="dxa"/>
          </w:tcPr>
          <w:p w:rsidR="00574C67" w:rsidRPr="00E63C30" w:rsidRDefault="00574C67" w:rsidP="00574C67">
            <w:pPr>
              <w:rPr>
                <w:b/>
              </w:rPr>
            </w:pPr>
            <w:r w:rsidRPr="00E63C30">
              <w:rPr>
                <w:b/>
              </w:rPr>
              <w:t>Question 22:</w:t>
            </w:r>
          </w:p>
          <w:p w:rsidR="00574C67" w:rsidRPr="00335371" w:rsidRDefault="00574C67" w:rsidP="00574C67">
            <w:r w:rsidRPr="00335371">
              <w:t xml:space="preserve">Noting the requirement that AACRS projects include a capacity building component, does AusAID have a preference as to </w:t>
            </w:r>
            <w:r>
              <w:t xml:space="preserve">the type of local CSO </w:t>
            </w:r>
            <w:r w:rsidRPr="00335371">
              <w:t xml:space="preserve">that AACRS NGOs should work with? </w:t>
            </w:r>
          </w:p>
          <w:p w:rsidR="00574C67" w:rsidRPr="00335371" w:rsidRDefault="00574C67" w:rsidP="00574C67"/>
          <w:p w:rsidR="00574C67" w:rsidRPr="00335371" w:rsidRDefault="00574C67" w:rsidP="00574C67">
            <w:pPr>
              <w:rPr>
                <w:b/>
              </w:rPr>
            </w:pPr>
            <w:r w:rsidRPr="00335371">
              <w:rPr>
                <w:b/>
              </w:rPr>
              <w:t>Answer</w:t>
            </w:r>
            <w:r>
              <w:rPr>
                <w:b/>
              </w:rPr>
              <w:t>:</w:t>
            </w:r>
          </w:p>
          <w:p w:rsidR="00574C67" w:rsidRDefault="00574C67" w:rsidP="00574C67">
            <w:r w:rsidRPr="00E63C30">
              <w:t>No</w:t>
            </w:r>
            <w:r>
              <w:t xml:space="preserve">.  </w:t>
            </w:r>
            <w:r w:rsidRPr="00E63C30">
              <w:t>For the AACRS, Afghan CSOs may include Community Development Councils, traditional Shuras, farmers’ organisations, local NGOs (including women’s organisations) or other local entities which are non-profit distributing and/or community based</w:t>
            </w:r>
            <w:r>
              <w:t xml:space="preserve">.  </w:t>
            </w:r>
            <w:r w:rsidRPr="00E63C30">
              <w:t xml:space="preserve">Applicants should note that the AACRS Capacity and Technical Assessment Criteria (set out in Table 3 of the </w:t>
            </w:r>
            <w:r w:rsidRPr="00E63C30">
              <w:rPr>
                <w:i/>
              </w:rPr>
              <w:t>AACRS Competitive Grant Guidelines</w:t>
            </w:r>
            <w:r w:rsidRPr="00E63C30">
              <w:t>) includes a criterion on the project’s contribution to addressing the needs of vulnerable groups, including women and girls</w:t>
            </w:r>
            <w:r>
              <w:t xml:space="preserve">.  </w:t>
            </w:r>
            <w:r w:rsidRPr="00E63C30">
              <w:t xml:space="preserve">Applicants may wish to address this criterion through working with appropriate local CSOs </w:t>
            </w:r>
            <w:r>
              <w:t xml:space="preserve">as part of </w:t>
            </w:r>
            <w:r w:rsidRPr="00E63C30">
              <w:t xml:space="preserve">their </w:t>
            </w:r>
            <w:r>
              <w:t xml:space="preserve">proposed </w:t>
            </w:r>
            <w:r w:rsidRPr="00E63C30">
              <w:t>project</w:t>
            </w:r>
            <w:r>
              <w:t>.</w:t>
            </w:r>
          </w:p>
          <w:p w:rsidR="00574C67" w:rsidRPr="00574C67" w:rsidRDefault="00574C67" w:rsidP="00574C67"/>
        </w:tc>
      </w:tr>
      <w:tr w:rsidR="004879A9" w:rsidRPr="00335371" w:rsidTr="00C07220">
        <w:tc>
          <w:tcPr>
            <w:tcW w:w="8856" w:type="dxa"/>
            <w:shd w:val="pct10" w:color="auto" w:fill="auto"/>
          </w:tcPr>
          <w:p w:rsidR="004879A9" w:rsidRPr="00335371" w:rsidRDefault="004879A9" w:rsidP="00574C67">
            <w:pPr>
              <w:spacing w:before="30" w:after="30"/>
              <w:rPr>
                <w:b/>
              </w:rPr>
            </w:pPr>
            <w:r w:rsidRPr="00335371">
              <w:rPr>
                <w:b/>
              </w:rPr>
              <w:t>Letters of Support</w:t>
            </w:r>
          </w:p>
        </w:tc>
      </w:tr>
      <w:tr w:rsidR="004879A9" w:rsidRPr="00335371" w:rsidTr="003A5320">
        <w:trPr>
          <w:trHeight w:val="557"/>
        </w:trPr>
        <w:tc>
          <w:tcPr>
            <w:tcW w:w="8856" w:type="dxa"/>
          </w:tcPr>
          <w:p w:rsidR="004879A9" w:rsidRPr="00E63C30" w:rsidRDefault="004879A9" w:rsidP="00761A73">
            <w:pPr>
              <w:rPr>
                <w:b/>
              </w:rPr>
            </w:pPr>
            <w:r w:rsidRPr="00E63C30">
              <w:rPr>
                <w:b/>
              </w:rPr>
              <w:t>Question</w:t>
            </w:r>
            <w:r w:rsidR="00E63C30" w:rsidRPr="00E63C30">
              <w:rPr>
                <w:b/>
              </w:rPr>
              <w:t xml:space="preserve"> 23:</w:t>
            </w:r>
          </w:p>
          <w:p w:rsidR="004879A9" w:rsidRPr="00335371" w:rsidRDefault="004879A9" w:rsidP="00761A73">
            <w:r w:rsidRPr="00335371">
              <w:t xml:space="preserve">Annex F of the </w:t>
            </w:r>
            <w:r w:rsidRPr="00335371">
              <w:rPr>
                <w:i/>
              </w:rPr>
              <w:t>AACRS Competitive Grant Guidelines</w:t>
            </w:r>
            <w:r w:rsidRPr="00335371">
              <w:t xml:space="preserve"> requires applicants to provide a letter of support from Afghan organisation</w:t>
            </w:r>
            <w:r w:rsidR="00FC33D2">
              <w:t>s</w:t>
            </w:r>
            <w:r w:rsidRPr="00335371">
              <w:t xml:space="preserve"> to be involved in the project</w:t>
            </w:r>
            <w:r w:rsidR="00761A73">
              <w:t xml:space="preserve">.  </w:t>
            </w:r>
            <w:r w:rsidRPr="00335371">
              <w:t>Are these due as part of the Submissi</w:t>
            </w:r>
            <w:r w:rsidR="00FC33D2">
              <w:t xml:space="preserve">on, or can they be provided </w:t>
            </w:r>
            <w:r w:rsidRPr="00335371">
              <w:t>later?</w:t>
            </w:r>
          </w:p>
          <w:p w:rsidR="004879A9" w:rsidRPr="00335371" w:rsidRDefault="004879A9" w:rsidP="00761A73"/>
          <w:p w:rsidR="004879A9" w:rsidRPr="00335371" w:rsidRDefault="004879A9" w:rsidP="00761A73">
            <w:pPr>
              <w:rPr>
                <w:b/>
              </w:rPr>
            </w:pPr>
            <w:r w:rsidRPr="00335371">
              <w:rPr>
                <w:b/>
              </w:rPr>
              <w:t>Answer</w:t>
            </w:r>
            <w:r w:rsidR="00E63C30">
              <w:rPr>
                <w:b/>
              </w:rPr>
              <w:t>:</w:t>
            </w:r>
          </w:p>
          <w:p w:rsidR="004879A9" w:rsidRPr="00335371" w:rsidRDefault="004879A9" w:rsidP="00FC33D2">
            <w:r w:rsidRPr="00E63C30">
              <w:t xml:space="preserve">The letters of support are due as part of the Submission, and cannot be provided </w:t>
            </w:r>
            <w:r w:rsidRPr="00E63C30">
              <w:lastRenderedPageBreak/>
              <w:t>at a later date</w:t>
            </w:r>
            <w:r w:rsidR="00761A73">
              <w:t xml:space="preserve">.  </w:t>
            </w:r>
          </w:p>
        </w:tc>
      </w:tr>
      <w:tr w:rsidR="004879A9" w:rsidRPr="00335371" w:rsidTr="00C07220">
        <w:trPr>
          <w:trHeight w:val="2158"/>
        </w:trPr>
        <w:tc>
          <w:tcPr>
            <w:tcW w:w="8856" w:type="dxa"/>
          </w:tcPr>
          <w:p w:rsidR="004879A9" w:rsidRPr="00761A73" w:rsidRDefault="004879A9" w:rsidP="00761A73">
            <w:pPr>
              <w:rPr>
                <w:b/>
              </w:rPr>
            </w:pPr>
            <w:r w:rsidRPr="00761A73">
              <w:rPr>
                <w:b/>
              </w:rPr>
              <w:lastRenderedPageBreak/>
              <w:t>Question</w:t>
            </w:r>
            <w:r w:rsidR="00E63C30" w:rsidRPr="00761A73">
              <w:rPr>
                <w:b/>
              </w:rPr>
              <w:t xml:space="preserve"> 24:</w:t>
            </w:r>
          </w:p>
          <w:p w:rsidR="004879A9" w:rsidRPr="00335371" w:rsidRDefault="004879A9" w:rsidP="00761A73">
            <w:r w:rsidRPr="00335371">
              <w:t xml:space="preserve">Annex F of the </w:t>
            </w:r>
            <w:r w:rsidRPr="00335371">
              <w:rPr>
                <w:i/>
              </w:rPr>
              <w:t>AACRS Competitive Grant Guidelines</w:t>
            </w:r>
            <w:r w:rsidRPr="00335371">
              <w:t xml:space="preserve"> requires applicants to provide a letter of support or association from each Afghan partner organisation to be involved in the project in English</w:t>
            </w:r>
            <w:r w:rsidR="00761A73">
              <w:t xml:space="preserve">.  </w:t>
            </w:r>
            <w:r w:rsidRPr="00335371">
              <w:t>Does AusAID have any translation requirements?</w:t>
            </w:r>
          </w:p>
          <w:p w:rsidR="004879A9" w:rsidRPr="00335371" w:rsidRDefault="004879A9" w:rsidP="00761A73"/>
          <w:p w:rsidR="004879A9" w:rsidRPr="00335371" w:rsidRDefault="004879A9" w:rsidP="00761A73">
            <w:pPr>
              <w:rPr>
                <w:b/>
              </w:rPr>
            </w:pPr>
            <w:r w:rsidRPr="00335371">
              <w:rPr>
                <w:b/>
              </w:rPr>
              <w:t>Answer</w:t>
            </w:r>
            <w:r w:rsidR="00761A73">
              <w:rPr>
                <w:b/>
              </w:rPr>
              <w:t>:</w:t>
            </w:r>
          </w:p>
          <w:p w:rsidR="004879A9" w:rsidRPr="00E63C30" w:rsidRDefault="004879A9" w:rsidP="00761A73">
            <w:r w:rsidRPr="00E63C30">
              <w:t>Yes</w:t>
            </w:r>
            <w:r w:rsidR="00761A73">
              <w:t xml:space="preserve">.  </w:t>
            </w:r>
            <w:r w:rsidRPr="00E63C30">
              <w:t>Applicants should provide the letter of support or association in both the original language and in English</w:t>
            </w:r>
            <w:r w:rsidR="00761A73">
              <w:t xml:space="preserve">.  </w:t>
            </w:r>
            <w:r w:rsidRPr="00E63C30">
              <w:t>The applicant should state that the translation accurately reflects the original.</w:t>
            </w:r>
          </w:p>
          <w:p w:rsidR="004879A9" w:rsidRPr="00335371" w:rsidRDefault="004879A9" w:rsidP="00761A73"/>
        </w:tc>
      </w:tr>
      <w:tr w:rsidR="004879A9" w:rsidRPr="00335371" w:rsidTr="00C07220">
        <w:trPr>
          <w:trHeight w:val="2696"/>
        </w:trPr>
        <w:tc>
          <w:tcPr>
            <w:tcW w:w="8856" w:type="dxa"/>
          </w:tcPr>
          <w:p w:rsidR="004879A9" w:rsidRPr="00E63C30" w:rsidRDefault="004879A9" w:rsidP="00761A73">
            <w:pPr>
              <w:rPr>
                <w:b/>
              </w:rPr>
            </w:pPr>
            <w:r w:rsidRPr="00E63C30">
              <w:rPr>
                <w:b/>
              </w:rPr>
              <w:t>Question</w:t>
            </w:r>
            <w:r w:rsidR="00E63C30" w:rsidRPr="00E63C30">
              <w:rPr>
                <w:b/>
              </w:rPr>
              <w:t xml:space="preserve"> 25:</w:t>
            </w:r>
          </w:p>
          <w:p w:rsidR="004879A9" w:rsidRPr="00335371" w:rsidRDefault="004879A9" w:rsidP="00761A73">
            <w:r w:rsidRPr="00335371">
              <w:t xml:space="preserve">Annex F of the </w:t>
            </w:r>
            <w:r w:rsidRPr="00335371">
              <w:rPr>
                <w:i/>
              </w:rPr>
              <w:t>AACRS Competitive Grant Guidelines</w:t>
            </w:r>
            <w:r w:rsidRPr="00335371">
              <w:t xml:space="preserve"> requires applicants to provide a letter of support or association from each Afghan partner organisation to be involved in the project</w:t>
            </w:r>
            <w:r w:rsidR="00761A73">
              <w:t xml:space="preserve">.  </w:t>
            </w:r>
            <w:r w:rsidRPr="00335371">
              <w:t>Can the partner organisation be a government partner?</w:t>
            </w:r>
          </w:p>
          <w:p w:rsidR="004879A9" w:rsidRPr="00335371" w:rsidRDefault="004879A9" w:rsidP="00761A73"/>
          <w:p w:rsidR="004879A9" w:rsidRPr="00335371" w:rsidRDefault="004879A9" w:rsidP="00761A73">
            <w:pPr>
              <w:rPr>
                <w:b/>
              </w:rPr>
            </w:pPr>
            <w:r w:rsidRPr="00335371">
              <w:rPr>
                <w:b/>
              </w:rPr>
              <w:t>Answer</w:t>
            </w:r>
            <w:r w:rsidR="00E63C30">
              <w:rPr>
                <w:b/>
              </w:rPr>
              <w:t>:</w:t>
            </w:r>
          </w:p>
          <w:p w:rsidR="004879A9" w:rsidRPr="00E63C30" w:rsidRDefault="004879A9" w:rsidP="00761A73">
            <w:r w:rsidRPr="00E63C30">
              <w:t>No</w:t>
            </w:r>
            <w:r w:rsidR="00761A73">
              <w:t xml:space="preserve">.  </w:t>
            </w:r>
            <w:r w:rsidRPr="00E63C30">
              <w:t>The letter</w:t>
            </w:r>
            <w:r w:rsidR="003347EE">
              <w:t>s</w:t>
            </w:r>
            <w:r w:rsidRPr="00E63C30">
              <w:t xml:space="preserve"> of support should only be from Afghan </w:t>
            </w:r>
            <w:r w:rsidR="003347EE">
              <w:t>CSOs</w:t>
            </w:r>
            <w:r w:rsidRPr="00E63C30">
              <w:t xml:space="preserve"> (as defined in the </w:t>
            </w:r>
            <w:r w:rsidRPr="00E63C30">
              <w:rPr>
                <w:i/>
              </w:rPr>
              <w:t>AACRS Competitive Grant Guidelines</w:t>
            </w:r>
            <w:r w:rsidRPr="00E63C30">
              <w:t>)</w:t>
            </w:r>
            <w:r w:rsidR="00761A73">
              <w:t xml:space="preserve">.  </w:t>
            </w:r>
            <w:r w:rsidRPr="00E63C30">
              <w:t xml:space="preserve">However, applicants should include </w:t>
            </w:r>
            <w:r w:rsidR="003347EE">
              <w:t xml:space="preserve">information on </w:t>
            </w:r>
            <w:r w:rsidR="003347EE" w:rsidRPr="00E63C30">
              <w:t>their experience engaging with Afghan government authorities</w:t>
            </w:r>
            <w:r w:rsidRPr="00E63C30">
              <w:t xml:space="preserve"> </w:t>
            </w:r>
            <w:r w:rsidR="003347EE">
              <w:t xml:space="preserve">in their response </w:t>
            </w:r>
            <w:r w:rsidRPr="00E63C30">
              <w:t xml:space="preserve">to Annex B, Part 1.4 of the </w:t>
            </w:r>
            <w:r w:rsidRPr="00E63C30">
              <w:rPr>
                <w:i/>
              </w:rPr>
              <w:t>AACRS Competitive Grant Guidelines</w:t>
            </w:r>
            <w:r w:rsidR="00761A73">
              <w:t xml:space="preserve">.  </w:t>
            </w:r>
          </w:p>
          <w:p w:rsidR="004879A9" w:rsidRPr="00335371" w:rsidRDefault="004879A9" w:rsidP="00761A73"/>
        </w:tc>
      </w:tr>
      <w:tr w:rsidR="004879A9" w:rsidRPr="00335371" w:rsidTr="00574C67">
        <w:tc>
          <w:tcPr>
            <w:tcW w:w="8856" w:type="dxa"/>
            <w:tcBorders>
              <w:bottom w:val="single" w:sz="4" w:space="0" w:color="auto"/>
            </w:tcBorders>
            <w:shd w:val="pct10" w:color="auto" w:fill="auto"/>
          </w:tcPr>
          <w:p w:rsidR="004879A9" w:rsidRPr="00335371" w:rsidRDefault="004879A9" w:rsidP="00574C67">
            <w:pPr>
              <w:spacing w:before="30" w:after="30"/>
              <w:rPr>
                <w:b/>
              </w:rPr>
            </w:pPr>
            <w:r w:rsidRPr="00335371">
              <w:rPr>
                <w:b/>
              </w:rPr>
              <w:t>Assessment</w:t>
            </w:r>
          </w:p>
        </w:tc>
      </w:tr>
      <w:tr w:rsidR="00574C67" w:rsidRPr="00335371" w:rsidTr="00574C67">
        <w:tc>
          <w:tcPr>
            <w:tcW w:w="8856" w:type="dxa"/>
            <w:shd w:val="clear" w:color="auto" w:fill="auto"/>
          </w:tcPr>
          <w:p w:rsidR="00574C67" w:rsidRPr="00761A73" w:rsidRDefault="00574C67" w:rsidP="00574C67">
            <w:pPr>
              <w:rPr>
                <w:b/>
              </w:rPr>
            </w:pPr>
            <w:r w:rsidRPr="00761A73">
              <w:rPr>
                <w:b/>
              </w:rPr>
              <w:t>Question 26:</w:t>
            </w:r>
          </w:p>
          <w:p w:rsidR="00574C67" w:rsidRPr="00335371" w:rsidRDefault="00574C67" w:rsidP="00574C67">
            <w:r w:rsidRPr="00E63C30">
              <w:t xml:space="preserve">Annex E of the </w:t>
            </w:r>
            <w:r w:rsidRPr="00E63C30">
              <w:rPr>
                <w:i/>
              </w:rPr>
              <w:t>AACRS Competitive Grant Guidelines</w:t>
            </w:r>
            <w:r w:rsidRPr="00E63C30">
              <w:t xml:space="preserve"> requires applicants to provide details of two (2) relevant NGO programs or projects that demonstrate their ability to fulfil the AACRS objective</w:t>
            </w:r>
            <w:r>
              <w:t xml:space="preserve">.  </w:t>
            </w:r>
            <w:r w:rsidRPr="00335371">
              <w:t xml:space="preserve">Do NGOs have to provide </w:t>
            </w:r>
            <w:r>
              <w:t>examples</w:t>
            </w:r>
            <w:r w:rsidRPr="00335371">
              <w:t xml:space="preserve"> from Afghanistan?</w:t>
            </w:r>
          </w:p>
          <w:p w:rsidR="00574C67" w:rsidRPr="00335371" w:rsidRDefault="00574C67" w:rsidP="00574C67"/>
          <w:p w:rsidR="00574C67" w:rsidRPr="00335371" w:rsidRDefault="00574C67" w:rsidP="00574C67">
            <w:pPr>
              <w:rPr>
                <w:b/>
              </w:rPr>
            </w:pPr>
            <w:r w:rsidRPr="00335371">
              <w:rPr>
                <w:b/>
              </w:rPr>
              <w:t>Answer</w:t>
            </w:r>
            <w:r>
              <w:rPr>
                <w:b/>
              </w:rPr>
              <w:t>:</w:t>
            </w:r>
          </w:p>
          <w:p w:rsidR="00574C67" w:rsidRDefault="00574C67" w:rsidP="00761A73">
            <w:r w:rsidRPr="00E63C30">
              <w:t>No, but it is recommended</w:t>
            </w:r>
            <w:r>
              <w:t xml:space="preserve">.    </w:t>
            </w:r>
          </w:p>
          <w:p w:rsidR="003A5320" w:rsidRPr="00574C67" w:rsidRDefault="003A5320" w:rsidP="00761A73"/>
        </w:tc>
      </w:tr>
      <w:tr w:rsidR="004879A9" w:rsidRPr="00335371" w:rsidTr="00C07220">
        <w:trPr>
          <w:trHeight w:val="2964"/>
        </w:trPr>
        <w:tc>
          <w:tcPr>
            <w:tcW w:w="8856" w:type="dxa"/>
          </w:tcPr>
          <w:p w:rsidR="004879A9" w:rsidRPr="00761A73" w:rsidRDefault="004879A9" w:rsidP="00761A73">
            <w:pPr>
              <w:rPr>
                <w:b/>
              </w:rPr>
            </w:pPr>
            <w:r w:rsidRPr="00761A73">
              <w:rPr>
                <w:b/>
              </w:rPr>
              <w:t>Question</w:t>
            </w:r>
            <w:r w:rsidR="00E63C30" w:rsidRPr="00761A73">
              <w:rPr>
                <w:b/>
              </w:rPr>
              <w:t xml:space="preserve"> 27:</w:t>
            </w:r>
          </w:p>
          <w:p w:rsidR="004879A9" w:rsidRPr="00335371" w:rsidRDefault="004879A9" w:rsidP="00761A73">
            <w:r w:rsidRPr="00335371">
              <w:t xml:space="preserve">Annex E within the </w:t>
            </w:r>
            <w:r w:rsidRPr="00335371">
              <w:rPr>
                <w:i/>
              </w:rPr>
              <w:t>AACRS Competitive Grant Guidelines</w:t>
            </w:r>
            <w:r w:rsidRPr="00335371">
              <w:t xml:space="preserve"> asks for details of two (2) project referees? Can AusAID staff be a referee?  </w:t>
            </w:r>
          </w:p>
          <w:p w:rsidR="004879A9" w:rsidRPr="00335371" w:rsidRDefault="004879A9" w:rsidP="00761A73"/>
          <w:p w:rsidR="004879A9" w:rsidRPr="00335371" w:rsidRDefault="004879A9" w:rsidP="00761A73">
            <w:pPr>
              <w:rPr>
                <w:b/>
              </w:rPr>
            </w:pPr>
            <w:r w:rsidRPr="00335371">
              <w:rPr>
                <w:b/>
              </w:rPr>
              <w:t>Answer</w:t>
            </w:r>
            <w:r w:rsidR="00E63C30">
              <w:rPr>
                <w:b/>
              </w:rPr>
              <w:t>:</w:t>
            </w:r>
          </w:p>
          <w:p w:rsidR="004879A9" w:rsidRPr="00E63C30" w:rsidRDefault="004879A9" w:rsidP="00761A73">
            <w:pPr>
              <w:pStyle w:val="Default"/>
              <w:rPr>
                <w:rFonts w:eastAsia="Times New Roman"/>
              </w:rPr>
            </w:pPr>
            <w:r w:rsidRPr="00E63C30">
              <w:t>No</w:t>
            </w:r>
            <w:r w:rsidR="003347EE">
              <w:t xml:space="preserve">, </w:t>
            </w:r>
            <w:r w:rsidRPr="00E63C30">
              <w:t xml:space="preserve">AusAID staff </w:t>
            </w:r>
            <w:r w:rsidRPr="003347EE">
              <w:rPr>
                <w:b/>
              </w:rPr>
              <w:t>cannot</w:t>
            </w:r>
            <w:r w:rsidRPr="00E63C30">
              <w:t xml:space="preserve"> be listed as referees</w:t>
            </w:r>
            <w:r w:rsidR="00761A73">
              <w:t xml:space="preserve">.  </w:t>
            </w:r>
            <w:r w:rsidRPr="00E63C30">
              <w:t>AusAID reserves the right to check with nominated referees, and with other persons as AusAID chooses, to check the accuracy of information</w:t>
            </w:r>
            <w:r w:rsidR="003347EE">
              <w:t xml:space="preserve"> provided</w:t>
            </w:r>
            <w:r w:rsidRPr="00E63C30">
              <w:t xml:space="preserve"> and </w:t>
            </w:r>
            <w:r w:rsidR="003347EE">
              <w:t xml:space="preserve">the </w:t>
            </w:r>
            <w:r w:rsidRPr="00E63C30">
              <w:t>quality of work performed</w:t>
            </w:r>
            <w:r w:rsidR="00761A73">
              <w:t xml:space="preserve">.  </w:t>
            </w:r>
            <w:r w:rsidRPr="00E63C30">
              <w:t xml:space="preserve">Previous performance information may be considered, </w:t>
            </w:r>
            <w:r w:rsidR="003347EE">
              <w:t>if</w:t>
            </w:r>
            <w:r w:rsidRPr="00E63C30">
              <w:t xml:space="preserve"> the applicant </w:t>
            </w:r>
            <w:r w:rsidR="003347EE">
              <w:t xml:space="preserve">has had the opportunity </w:t>
            </w:r>
            <w:r w:rsidRPr="00E63C30">
              <w:t>to respond to it</w:t>
            </w:r>
            <w:r w:rsidR="00761A73">
              <w:t xml:space="preserve">.  </w:t>
            </w:r>
            <w:r w:rsidRPr="00E63C30">
              <w:t>Such information may be the result of inquiries made by AusAID, and will be raised with the NGO at interview if needed.</w:t>
            </w:r>
          </w:p>
          <w:p w:rsidR="00FC33D2" w:rsidRPr="00335371" w:rsidRDefault="00FC33D2" w:rsidP="00761A73"/>
        </w:tc>
      </w:tr>
      <w:tr w:rsidR="004879A9" w:rsidRPr="00335371" w:rsidTr="00C07220">
        <w:tc>
          <w:tcPr>
            <w:tcW w:w="8856" w:type="dxa"/>
            <w:shd w:val="pct10" w:color="auto" w:fill="auto"/>
          </w:tcPr>
          <w:p w:rsidR="004879A9" w:rsidRPr="00335371" w:rsidRDefault="004879A9" w:rsidP="00574C67">
            <w:pPr>
              <w:spacing w:before="30" w:after="30"/>
              <w:rPr>
                <w:b/>
              </w:rPr>
            </w:pPr>
            <w:r w:rsidRPr="00335371">
              <w:rPr>
                <w:b/>
              </w:rPr>
              <w:lastRenderedPageBreak/>
              <w:t>Technical Assessment Panel</w:t>
            </w:r>
          </w:p>
        </w:tc>
      </w:tr>
      <w:tr w:rsidR="004879A9" w:rsidRPr="00335371" w:rsidTr="00C07220">
        <w:trPr>
          <w:trHeight w:val="1621"/>
        </w:trPr>
        <w:tc>
          <w:tcPr>
            <w:tcW w:w="8856" w:type="dxa"/>
          </w:tcPr>
          <w:p w:rsidR="004879A9" w:rsidRPr="00E63C30" w:rsidRDefault="004879A9" w:rsidP="00761A73">
            <w:pPr>
              <w:rPr>
                <w:b/>
              </w:rPr>
            </w:pPr>
            <w:r w:rsidRPr="00E63C30">
              <w:rPr>
                <w:b/>
              </w:rPr>
              <w:t>Question</w:t>
            </w:r>
            <w:r w:rsidR="00E63C30" w:rsidRPr="00E63C30">
              <w:rPr>
                <w:b/>
              </w:rPr>
              <w:t xml:space="preserve"> 28:</w:t>
            </w:r>
          </w:p>
          <w:p w:rsidR="004879A9" w:rsidRPr="00335371" w:rsidRDefault="004879A9" w:rsidP="00761A73">
            <w:r w:rsidRPr="00335371">
              <w:t>Will the two (2) non-AusAID members of the Technical Assessment Panel be independent?</w:t>
            </w:r>
          </w:p>
          <w:p w:rsidR="004879A9" w:rsidRPr="00335371" w:rsidRDefault="004879A9" w:rsidP="00761A73"/>
          <w:p w:rsidR="004879A9" w:rsidRPr="00335371" w:rsidRDefault="004879A9" w:rsidP="00761A73">
            <w:pPr>
              <w:rPr>
                <w:b/>
              </w:rPr>
            </w:pPr>
            <w:r w:rsidRPr="00335371">
              <w:rPr>
                <w:b/>
              </w:rPr>
              <w:t>Answer</w:t>
            </w:r>
            <w:r w:rsidR="00761A73">
              <w:rPr>
                <w:b/>
              </w:rPr>
              <w:t>:</w:t>
            </w:r>
          </w:p>
          <w:p w:rsidR="004879A9" w:rsidRPr="00E63C30" w:rsidRDefault="004879A9" w:rsidP="00761A73">
            <w:r w:rsidRPr="00E63C30">
              <w:t>Yes</w:t>
            </w:r>
            <w:r w:rsidR="00761A73">
              <w:t xml:space="preserve">.  </w:t>
            </w:r>
            <w:r w:rsidRPr="00E63C30">
              <w:t>The Technical Assessment Panel will be made up of two (2) AusAID staff and two independent external assessors.</w:t>
            </w:r>
          </w:p>
          <w:p w:rsidR="004879A9" w:rsidRPr="00335371" w:rsidRDefault="004879A9" w:rsidP="00761A73"/>
        </w:tc>
      </w:tr>
      <w:tr w:rsidR="004879A9" w:rsidRPr="00335371" w:rsidTr="003347EE">
        <w:trPr>
          <w:trHeight w:val="557"/>
        </w:trPr>
        <w:tc>
          <w:tcPr>
            <w:tcW w:w="8856" w:type="dxa"/>
          </w:tcPr>
          <w:p w:rsidR="004879A9" w:rsidRPr="00E63C30" w:rsidRDefault="004879A9" w:rsidP="00761A73">
            <w:pPr>
              <w:rPr>
                <w:b/>
              </w:rPr>
            </w:pPr>
            <w:r w:rsidRPr="00E63C30">
              <w:rPr>
                <w:b/>
              </w:rPr>
              <w:t>Question</w:t>
            </w:r>
            <w:r w:rsidR="00E63C30" w:rsidRPr="00E63C30">
              <w:rPr>
                <w:b/>
              </w:rPr>
              <w:t xml:space="preserve"> 29:</w:t>
            </w:r>
          </w:p>
          <w:p w:rsidR="004879A9" w:rsidRPr="00335371" w:rsidRDefault="004879A9" w:rsidP="00761A73">
            <w:r w:rsidRPr="00335371">
              <w:t>Will the Technical Assessment Panel include an Afghan?</w:t>
            </w:r>
          </w:p>
          <w:p w:rsidR="004879A9" w:rsidRPr="00335371" w:rsidRDefault="004879A9" w:rsidP="00761A73"/>
          <w:p w:rsidR="004879A9" w:rsidRPr="00335371" w:rsidRDefault="004879A9" w:rsidP="00761A73">
            <w:pPr>
              <w:rPr>
                <w:b/>
              </w:rPr>
            </w:pPr>
            <w:r w:rsidRPr="00335371">
              <w:rPr>
                <w:b/>
              </w:rPr>
              <w:t>Answer</w:t>
            </w:r>
            <w:r w:rsidR="00E63C30">
              <w:rPr>
                <w:b/>
              </w:rPr>
              <w:t>:</w:t>
            </w:r>
          </w:p>
          <w:p w:rsidR="004879A9" w:rsidRPr="00E63C30" w:rsidRDefault="004879A9" w:rsidP="00761A73">
            <w:r w:rsidRPr="00E63C30">
              <w:t>Yes</w:t>
            </w:r>
            <w:r w:rsidR="00761A73">
              <w:t xml:space="preserve">.  </w:t>
            </w:r>
            <w:r w:rsidRPr="00E63C30">
              <w:t>Note that the membership of the Technical Assessment Panel is confidential.</w:t>
            </w:r>
          </w:p>
          <w:p w:rsidR="004879A9" w:rsidRPr="00335371" w:rsidRDefault="004879A9" w:rsidP="00761A73"/>
        </w:tc>
      </w:tr>
      <w:tr w:rsidR="00757926" w:rsidRPr="00335371" w:rsidTr="004F4CE9">
        <w:tc>
          <w:tcPr>
            <w:tcW w:w="8856" w:type="dxa"/>
            <w:shd w:val="pct10" w:color="auto" w:fill="auto"/>
          </w:tcPr>
          <w:p w:rsidR="00757926" w:rsidRPr="00335371" w:rsidRDefault="00757926" w:rsidP="00574C67">
            <w:pPr>
              <w:spacing w:before="30" w:after="30"/>
              <w:rPr>
                <w:b/>
              </w:rPr>
            </w:pPr>
            <w:r w:rsidRPr="00335371">
              <w:rPr>
                <w:b/>
              </w:rPr>
              <w:t>Detailed Design Phase</w:t>
            </w:r>
          </w:p>
        </w:tc>
      </w:tr>
      <w:tr w:rsidR="00757926" w:rsidRPr="00335371" w:rsidTr="004F4CE9">
        <w:trPr>
          <w:trHeight w:val="2696"/>
        </w:trPr>
        <w:tc>
          <w:tcPr>
            <w:tcW w:w="8856" w:type="dxa"/>
          </w:tcPr>
          <w:p w:rsidR="00757926" w:rsidRPr="00335371" w:rsidRDefault="00757926" w:rsidP="00761A73">
            <w:pPr>
              <w:rPr>
                <w:b/>
              </w:rPr>
            </w:pPr>
            <w:r w:rsidRPr="00335371">
              <w:rPr>
                <w:b/>
              </w:rPr>
              <w:t>Question</w:t>
            </w:r>
            <w:r w:rsidR="00E63C30">
              <w:rPr>
                <w:b/>
              </w:rPr>
              <w:t xml:space="preserve"> 30:</w:t>
            </w:r>
          </w:p>
          <w:p w:rsidR="00757926" w:rsidRPr="00335371" w:rsidRDefault="00757926" w:rsidP="00761A73">
            <w:r w:rsidRPr="00335371">
              <w:t xml:space="preserve">The </w:t>
            </w:r>
            <w:r w:rsidRPr="00335371">
              <w:rPr>
                <w:i/>
              </w:rPr>
              <w:t>AACRS Competitive Grant Guidelines</w:t>
            </w:r>
            <w:r w:rsidRPr="00335371">
              <w:t xml:space="preserve"> state that, ‘AusAID will support the development of Detailed Designs through grant agreements of up to AUD50,000’</w:t>
            </w:r>
            <w:r w:rsidR="00761A73">
              <w:t xml:space="preserve">.  </w:t>
            </w:r>
            <w:r w:rsidRPr="00335371">
              <w:t>What is meant by this?</w:t>
            </w:r>
          </w:p>
          <w:p w:rsidR="00757926" w:rsidRPr="00335371" w:rsidRDefault="00757926" w:rsidP="00761A73"/>
          <w:p w:rsidR="00757926" w:rsidRPr="00335371" w:rsidRDefault="00757926" w:rsidP="00761A73">
            <w:pPr>
              <w:rPr>
                <w:b/>
              </w:rPr>
            </w:pPr>
            <w:r w:rsidRPr="00335371">
              <w:rPr>
                <w:b/>
              </w:rPr>
              <w:t>Answer</w:t>
            </w:r>
            <w:r w:rsidR="00E63C30">
              <w:rPr>
                <w:b/>
              </w:rPr>
              <w:t>:</w:t>
            </w:r>
          </w:p>
          <w:p w:rsidR="00757926" w:rsidRPr="00E63C30" w:rsidRDefault="00757926" w:rsidP="00761A73">
            <w:pPr>
              <w:pStyle w:val="Default"/>
              <w:rPr>
                <w:color w:val="auto"/>
                <w:lang w:val="en-US" w:eastAsia="en-US"/>
              </w:rPr>
            </w:pPr>
            <w:r w:rsidRPr="00E63C30">
              <w:rPr>
                <w:color w:val="auto"/>
                <w:lang w:val="en-US" w:eastAsia="en-US"/>
              </w:rPr>
              <w:t>Up to five (5) NGOs will be selected through the AACRS Request for Submissions</w:t>
            </w:r>
            <w:r w:rsidR="00761A73">
              <w:rPr>
                <w:color w:val="auto"/>
                <w:lang w:val="en-US" w:eastAsia="en-US"/>
              </w:rPr>
              <w:t xml:space="preserve">.  </w:t>
            </w:r>
            <w:r w:rsidRPr="00E63C30">
              <w:rPr>
                <w:color w:val="auto"/>
                <w:lang w:val="en-US" w:eastAsia="en-US"/>
              </w:rPr>
              <w:t xml:space="preserve">These NGOs will be invited to enter into initial grant agreements of up to AUD50,000 </w:t>
            </w:r>
            <w:r w:rsidR="003347EE">
              <w:rPr>
                <w:color w:val="auto"/>
                <w:lang w:val="en-US" w:eastAsia="en-US"/>
              </w:rPr>
              <w:t>which will</w:t>
            </w:r>
            <w:r w:rsidRPr="00E63C30">
              <w:rPr>
                <w:color w:val="auto"/>
                <w:lang w:val="en-US" w:eastAsia="en-US"/>
              </w:rPr>
              <w:t xml:space="preserve"> fund a three (3) month ‘Detailed Design Phase’ for their proposed </w:t>
            </w:r>
            <w:r w:rsidR="003347EE">
              <w:rPr>
                <w:color w:val="auto"/>
                <w:lang w:val="en-US" w:eastAsia="en-US"/>
              </w:rPr>
              <w:t xml:space="preserve">AACRS </w:t>
            </w:r>
            <w:r w:rsidRPr="00E63C30">
              <w:rPr>
                <w:color w:val="auto"/>
                <w:lang w:val="en-US" w:eastAsia="en-US"/>
              </w:rPr>
              <w:t>projects</w:t>
            </w:r>
            <w:r w:rsidR="00761A73">
              <w:rPr>
                <w:color w:val="auto"/>
                <w:lang w:val="en-US" w:eastAsia="en-US"/>
              </w:rPr>
              <w:t xml:space="preserve">.  </w:t>
            </w:r>
            <w:r w:rsidRPr="00E63C30">
              <w:rPr>
                <w:color w:val="auto"/>
                <w:lang w:val="en-US" w:eastAsia="en-US"/>
              </w:rPr>
              <w:t>AusAID will also provide ass</w:t>
            </w:r>
            <w:r w:rsidR="003347EE">
              <w:rPr>
                <w:color w:val="auto"/>
                <w:lang w:val="en-US" w:eastAsia="en-US"/>
              </w:rPr>
              <w:t>istance for the development of Detailed D</w:t>
            </w:r>
            <w:r w:rsidRPr="00E63C30">
              <w:rPr>
                <w:color w:val="auto"/>
                <w:lang w:val="en-US" w:eastAsia="en-US"/>
              </w:rPr>
              <w:t>esigns though the AACRS Technical Reference Group and support for attendance at the AACRS Partnership and Design Workshop (to an amount defined by AusAID).</w:t>
            </w:r>
          </w:p>
          <w:p w:rsidR="00757926" w:rsidRPr="00E63C30" w:rsidRDefault="00757926" w:rsidP="00761A73">
            <w:pPr>
              <w:pStyle w:val="Default"/>
              <w:rPr>
                <w:color w:val="auto"/>
                <w:lang w:val="en-US" w:eastAsia="en-US"/>
              </w:rPr>
            </w:pPr>
          </w:p>
          <w:p w:rsidR="00757926" w:rsidRPr="00E63C30" w:rsidRDefault="003347EE" w:rsidP="00761A73">
            <w:pPr>
              <w:pStyle w:val="Default"/>
              <w:rPr>
                <w:color w:val="auto"/>
                <w:lang w:val="en-US" w:eastAsia="en-US"/>
              </w:rPr>
            </w:pPr>
            <w:r>
              <w:rPr>
                <w:color w:val="auto"/>
                <w:lang w:val="en-US" w:eastAsia="en-US"/>
              </w:rPr>
              <w:t>The D</w:t>
            </w:r>
            <w:r w:rsidR="00757926" w:rsidRPr="00E63C30">
              <w:rPr>
                <w:color w:val="auto"/>
                <w:lang w:val="en-US" w:eastAsia="en-US"/>
              </w:rPr>
              <w:t>etail</w:t>
            </w:r>
            <w:r>
              <w:rPr>
                <w:color w:val="auto"/>
                <w:lang w:val="en-US" w:eastAsia="en-US"/>
              </w:rPr>
              <w:t>ed D</w:t>
            </w:r>
            <w:r w:rsidR="00757926" w:rsidRPr="00E63C30">
              <w:rPr>
                <w:color w:val="auto"/>
                <w:lang w:val="en-US" w:eastAsia="en-US"/>
              </w:rPr>
              <w:t>esigns will be subject to AusAID’s quality and peer review processes proportionate to their size</w:t>
            </w:r>
            <w:r w:rsidR="00761A73">
              <w:rPr>
                <w:color w:val="auto"/>
                <w:lang w:val="en-US" w:eastAsia="en-US"/>
              </w:rPr>
              <w:t xml:space="preserve">.  </w:t>
            </w:r>
            <w:r w:rsidR="00757926" w:rsidRPr="00E63C30">
              <w:rPr>
                <w:color w:val="auto"/>
                <w:lang w:val="en-US" w:eastAsia="en-US"/>
              </w:rPr>
              <w:t>NGOs whose detailed design documents are approved by AusAID will be invited to enter into full grant agreements that will cover the life of the AACRS</w:t>
            </w:r>
            <w:r w:rsidR="00761A73">
              <w:rPr>
                <w:color w:val="auto"/>
                <w:lang w:val="en-US" w:eastAsia="en-US"/>
              </w:rPr>
              <w:t xml:space="preserve">.  </w:t>
            </w:r>
          </w:p>
          <w:p w:rsidR="00757926" w:rsidRPr="00335371" w:rsidRDefault="00757926" w:rsidP="00761A73">
            <w:pPr>
              <w:pStyle w:val="Default"/>
            </w:pPr>
          </w:p>
        </w:tc>
      </w:tr>
      <w:tr w:rsidR="00757926" w:rsidRPr="00335371" w:rsidTr="00761A73">
        <w:trPr>
          <w:trHeight w:val="983"/>
        </w:trPr>
        <w:tc>
          <w:tcPr>
            <w:tcW w:w="8856" w:type="dxa"/>
          </w:tcPr>
          <w:p w:rsidR="00757926" w:rsidRPr="00E63C30" w:rsidRDefault="00757926" w:rsidP="00761A73">
            <w:pPr>
              <w:rPr>
                <w:b/>
              </w:rPr>
            </w:pPr>
            <w:r w:rsidRPr="00E63C30">
              <w:rPr>
                <w:b/>
              </w:rPr>
              <w:t>Question</w:t>
            </w:r>
            <w:r w:rsidR="00E63C30" w:rsidRPr="00E63C30">
              <w:rPr>
                <w:b/>
              </w:rPr>
              <w:t xml:space="preserve"> 31:</w:t>
            </w:r>
          </w:p>
          <w:p w:rsidR="00757926" w:rsidRPr="00335371" w:rsidRDefault="00757926" w:rsidP="00761A73">
            <w:r w:rsidRPr="00335371">
              <w:t xml:space="preserve">How does an applicant’s response to Annex C of the </w:t>
            </w:r>
            <w:r w:rsidRPr="00335371">
              <w:rPr>
                <w:i/>
              </w:rPr>
              <w:t>AACRS Competitive Grant Guidelines</w:t>
            </w:r>
            <w:r w:rsidRPr="00335371">
              <w:t xml:space="preserve"> (which sets out their approach to the Detailed Design Phase) feed into the overall assessment of their Submission?  Annex C does not appear to have a</w:t>
            </w:r>
            <w:r>
              <w:t xml:space="preserve"> weighting within the Capacity and</w:t>
            </w:r>
            <w:r w:rsidRPr="00335371">
              <w:t xml:space="preserve"> Technical Assessment Criteria</w:t>
            </w:r>
            <w:r>
              <w:t xml:space="preserve"> </w:t>
            </w:r>
            <w:r w:rsidRPr="00757926">
              <w:t xml:space="preserve">(set out in Table 3 of the </w:t>
            </w:r>
            <w:r w:rsidRPr="00757926">
              <w:rPr>
                <w:i/>
              </w:rPr>
              <w:t>AACRS Competitive Grant Guidelines</w:t>
            </w:r>
            <w:r w:rsidRPr="00757926">
              <w:t>).</w:t>
            </w:r>
          </w:p>
          <w:p w:rsidR="00757926" w:rsidRPr="00335371" w:rsidRDefault="00757926" w:rsidP="00761A73"/>
          <w:p w:rsidR="00757926" w:rsidRPr="00335371" w:rsidRDefault="00757926" w:rsidP="00761A73">
            <w:pPr>
              <w:rPr>
                <w:b/>
              </w:rPr>
            </w:pPr>
            <w:r w:rsidRPr="00335371">
              <w:rPr>
                <w:b/>
              </w:rPr>
              <w:t>Answer</w:t>
            </w:r>
            <w:r w:rsidR="00E63C30">
              <w:rPr>
                <w:b/>
              </w:rPr>
              <w:t>:</w:t>
            </w:r>
          </w:p>
          <w:p w:rsidR="00757926" w:rsidRPr="00E63C30" w:rsidRDefault="00757926" w:rsidP="00761A73">
            <w:r w:rsidRPr="00E63C30">
              <w:t>All requested Annexes will be considered in the assessment of Submissions</w:t>
            </w:r>
            <w:r w:rsidR="00761A73">
              <w:t xml:space="preserve">.  </w:t>
            </w:r>
            <w:r w:rsidRPr="00E63C30">
              <w:t>The Annexes provide additional information to support assessment against assessment criteria (for example</w:t>
            </w:r>
            <w:r w:rsidR="00761A73" w:rsidRPr="00E63C30">
              <w:t>, Annex</w:t>
            </w:r>
            <w:r w:rsidRPr="00E63C30">
              <w:t xml:space="preserve"> E provides information to assist </w:t>
            </w:r>
            <w:r w:rsidRPr="00E63C30">
              <w:lastRenderedPageBreak/>
              <w:t>assessmen</w:t>
            </w:r>
            <w:r w:rsidR="003347EE">
              <w:t>t against Assessment Criterion One</w:t>
            </w:r>
            <w:r w:rsidRPr="00E63C30">
              <w:t xml:space="preserve"> – NGO Capacity and Experience).</w:t>
            </w:r>
          </w:p>
          <w:p w:rsidR="00757926" w:rsidRPr="00E63C30" w:rsidRDefault="00757926" w:rsidP="00761A73"/>
          <w:p w:rsidR="00757926" w:rsidRDefault="00757926" w:rsidP="00761A73">
            <w:r w:rsidRPr="00E63C30">
              <w:t>An applicant’s responses to Annex C, which should set out how an organisation will undertake the Detailed Design Phase, is not assessed against a specific assessment criterion</w:t>
            </w:r>
            <w:r w:rsidR="00761A73">
              <w:t xml:space="preserve">.  </w:t>
            </w:r>
            <w:r w:rsidRPr="00E63C30">
              <w:t>However, the response to Annex C will feed into the overall assessment of the Submission as it provides AusAID with an understanding of an organisation’s capacity to deliver the proposed project and the feasibility of the proposed project</w:t>
            </w:r>
            <w:r w:rsidR="00761A73">
              <w:t xml:space="preserve">.  </w:t>
            </w:r>
            <w:r w:rsidRPr="00E63C30">
              <w:t>Applicants must include a response to all Submission Requirements, including all Annexes, or they will be deemed nonconforming, and excluded from any further consideration or assessment</w:t>
            </w:r>
            <w:r w:rsidR="00761A73">
              <w:t xml:space="preserve">.  </w:t>
            </w:r>
          </w:p>
          <w:p w:rsidR="00574C67" w:rsidRPr="00335371" w:rsidRDefault="00574C67" w:rsidP="00761A73"/>
        </w:tc>
      </w:tr>
      <w:tr w:rsidR="00757926" w:rsidRPr="00335371" w:rsidTr="004F4CE9">
        <w:trPr>
          <w:trHeight w:val="1890"/>
        </w:trPr>
        <w:tc>
          <w:tcPr>
            <w:tcW w:w="8856" w:type="dxa"/>
          </w:tcPr>
          <w:p w:rsidR="00757926" w:rsidRPr="00761A73" w:rsidRDefault="00757926" w:rsidP="00761A73">
            <w:pPr>
              <w:rPr>
                <w:b/>
              </w:rPr>
            </w:pPr>
            <w:r w:rsidRPr="00761A73">
              <w:rPr>
                <w:b/>
              </w:rPr>
              <w:lastRenderedPageBreak/>
              <w:t>Question</w:t>
            </w:r>
            <w:r w:rsidR="00E63C30" w:rsidRPr="00761A73">
              <w:rPr>
                <w:b/>
              </w:rPr>
              <w:t xml:space="preserve"> 32:</w:t>
            </w:r>
          </w:p>
          <w:p w:rsidR="00757926" w:rsidRPr="00335371" w:rsidRDefault="00757926" w:rsidP="00761A73">
            <w:r w:rsidRPr="00335371">
              <w:t>Where will the AACRS Partnership and Design Workshop (part of the Detailed Design Phase) be held?</w:t>
            </w:r>
          </w:p>
          <w:p w:rsidR="00757926" w:rsidRPr="00335371" w:rsidRDefault="00757926" w:rsidP="00761A73"/>
          <w:p w:rsidR="00757926" w:rsidRPr="00335371" w:rsidRDefault="00757926" w:rsidP="00761A73">
            <w:pPr>
              <w:rPr>
                <w:b/>
              </w:rPr>
            </w:pPr>
            <w:r w:rsidRPr="00335371">
              <w:rPr>
                <w:b/>
              </w:rPr>
              <w:t>Answer</w:t>
            </w:r>
            <w:r w:rsidR="00E63C30">
              <w:rPr>
                <w:b/>
              </w:rPr>
              <w:t>:</w:t>
            </w:r>
          </w:p>
          <w:p w:rsidR="00757926" w:rsidRPr="00E63C30" w:rsidRDefault="00757926" w:rsidP="00761A73">
            <w:r w:rsidRPr="00E63C30">
              <w:t xml:space="preserve">It is not yet confirmed where the AACRS Partnership and Design Workshop will take place, it may occur </w:t>
            </w:r>
            <w:r w:rsidR="003347EE">
              <w:t xml:space="preserve">in </w:t>
            </w:r>
            <w:r w:rsidRPr="00E63C30">
              <w:t>Australia or Afghanistan, or a third country (dependent on value for money and visa requirements)</w:t>
            </w:r>
            <w:r w:rsidR="00761A73">
              <w:t xml:space="preserve">.  </w:t>
            </w:r>
            <w:r w:rsidRPr="00E63C30">
              <w:t>AusAID will notify organisations selected through the AACRS Request for Submissions when confirmed.</w:t>
            </w:r>
          </w:p>
          <w:p w:rsidR="00757926" w:rsidRPr="00335371" w:rsidRDefault="00757926" w:rsidP="00761A73"/>
        </w:tc>
      </w:tr>
      <w:tr w:rsidR="00757926" w:rsidRPr="00335371" w:rsidTr="004F4CE9">
        <w:trPr>
          <w:trHeight w:val="2158"/>
        </w:trPr>
        <w:tc>
          <w:tcPr>
            <w:tcW w:w="8856" w:type="dxa"/>
          </w:tcPr>
          <w:p w:rsidR="00757926" w:rsidRPr="00E63C30" w:rsidRDefault="00757926" w:rsidP="00761A73">
            <w:pPr>
              <w:rPr>
                <w:b/>
              </w:rPr>
            </w:pPr>
            <w:r w:rsidRPr="00E63C30">
              <w:rPr>
                <w:b/>
              </w:rPr>
              <w:t>Question</w:t>
            </w:r>
            <w:r w:rsidR="00E63C30" w:rsidRPr="00E63C30">
              <w:rPr>
                <w:b/>
              </w:rPr>
              <w:t xml:space="preserve"> 33:</w:t>
            </w:r>
          </w:p>
          <w:p w:rsidR="00757926" w:rsidRPr="00335371" w:rsidRDefault="00757926" w:rsidP="00761A73">
            <w:r w:rsidRPr="00335371">
              <w:t>Will AusAID cover the costs of selected AACRS NGOs attending the AACRS Partnership and Design Workshop, or are the costs part of the AUD50,000 Detailed Design grant?</w:t>
            </w:r>
          </w:p>
          <w:p w:rsidR="00757926" w:rsidRPr="00335371" w:rsidRDefault="00757926" w:rsidP="00761A73"/>
          <w:p w:rsidR="00757926" w:rsidRPr="00335371" w:rsidRDefault="00757926" w:rsidP="00761A73">
            <w:pPr>
              <w:rPr>
                <w:b/>
              </w:rPr>
            </w:pPr>
            <w:r w:rsidRPr="00335371">
              <w:rPr>
                <w:b/>
              </w:rPr>
              <w:t>Answer</w:t>
            </w:r>
            <w:r w:rsidR="00E63C30">
              <w:rPr>
                <w:b/>
              </w:rPr>
              <w:t>:</w:t>
            </w:r>
          </w:p>
          <w:p w:rsidR="00757926" w:rsidRPr="00E63C30" w:rsidRDefault="00757926" w:rsidP="00761A73">
            <w:r w:rsidRPr="00E63C30">
              <w:t>AusAID will cover the costs of one representative from each NGO head office, and one local partner to attend the AACRS Partnership and Design Workshop (to an amount defined by AusAID)</w:t>
            </w:r>
            <w:r w:rsidR="00761A73">
              <w:t xml:space="preserve">.  </w:t>
            </w:r>
            <w:r w:rsidRPr="00E63C30">
              <w:t>These costs will not form part of the AUD50,000 Detailed Design grant, but will be provided separately by AusAID.</w:t>
            </w:r>
          </w:p>
          <w:p w:rsidR="00757926" w:rsidRPr="00335371" w:rsidRDefault="00757926" w:rsidP="00761A73"/>
        </w:tc>
      </w:tr>
      <w:tr w:rsidR="00574C67" w:rsidRPr="00335371" w:rsidTr="00574C67">
        <w:trPr>
          <w:trHeight w:val="983"/>
        </w:trPr>
        <w:tc>
          <w:tcPr>
            <w:tcW w:w="8856" w:type="dxa"/>
          </w:tcPr>
          <w:p w:rsidR="00574C67" w:rsidRPr="00E63C30" w:rsidRDefault="00574C67" w:rsidP="00574C67">
            <w:pPr>
              <w:rPr>
                <w:b/>
              </w:rPr>
            </w:pPr>
            <w:r w:rsidRPr="00E63C30">
              <w:rPr>
                <w:b/>
              </w:rPr>
              <w:t>Question 34:</w:t>
            </w:r>
          </w:p>
          <w:p w:rsidR="00574C67" w:rsidRPr="00335371" w:rsidRDefault="00574C67" w:rsidP="00574C67">
            <w:r w:rsidRPr="00335371">
              <w:t xml:space="preserve">Can AACRS NGOs use a portion of the AUD50,000 Detailed Design grant to send additional participants to the AACRS Partnership and Design Workshop? </w:t>
            </w:r>
          </w:p>
          <w:p w:rsidR="00574C67" w:rsidRPr="00335371" w:rsidRDefault="00574C67" w:rsidP="00574C67"/>
          <w:p w:rsidR="00574C67" w:rsidRPr="00335371" w:rsidRDefault="00574C67" w:rsidP="00574C67">
            <w:pPr>
              <w:rPr>
                <w:b/>
              </w:rPr>
            </w:pPr>
            <w:r w:rsidRPr="00335371">
              <w:rPr>
                <w:b/>
              </w:rPr>
              <w:t>Answer</w:t>
            </w:r>
            <w:r>
              <w:rPr>
                <w:b/>
              </w:rPr>
              <w:t>:</w:t>
            </w:r>
          </w:p>
          <w:p w:rsidR="00574C67" w:rsidRPr="00E63C30" w:rsidRDefault="00574C67" w:rsidP="00574C67">
            <w:r w:rsidRPr="00E63C30">
              <w:t>No</w:t>
            </w:r>
            <w:r>
              <w:t xml:space="preserve">.  </w:t>
            </w:r>
            <w:r w:rsidRPr="00E63C30">
              <w:t>Attendance at the AACRS Partnership and Design Workshop will be limited to one representative from the head office and one local partner, costs of which are outside of the initial grant costs, and will be provided separately by AusAID.</w:t>
            </w:r>
          </w:p>
          <w:p w:rsidR="00574C67" w:rsidRPr="00E63C30" w:rsidRDefault="00574C67" w:rsidP="00761A73">
            <w:pPr>
              <w:rPr>
                <w:b/>
              </w:rPr>
            </w:pPr>
          </w:p>
        </w:tc>
      </w:tr>
      <w:tr w:rsidR="00757926" w:rsidRPr="00335371" w:rsidTr="00B538BF">
        <w:tc>
          <w:tcPr>
            <w:tcW w:w="8856" w:type="dxa"/>
            <w:tcBorders>
              <w:bottom w:val="single" w:sz="4" w:space="0" w:color="auto"/>
            </w:tcBorders>
            <w:shd w:val="pct10" w:color="auto" w:fill="auto"/>
          </w:tcPr>
          <w:p w:rsidR="00757926" w:rsidRPr="00335371" w:rsidRDefault="00757926" w:rsidP="00574C67">
            <w:pPr>
              <w:spacing w:before="30" w:after="30"/>
              <w:rPr>
                <w:b/>
              </w:rPr>
            </w:pPr>
            <w:r w:rsidRPr="00335371">
              <w:rPr>
                <w:b/>
              </w:rPr>
              <w:t>Project Coordinator</w:t>
            </w:r>
          </w:p>
        </w:tc>
      </w:tr>
      <w:tr w:rsidR="003A5320" w:rsidRPr="00335371" w:rsidTr="00B538BF">
        <w:tc>
          <w:tcPr>
            <w:tcW w:w="8856" w:type="dxa"/>
            <w:shd w:val="clear" w:color="auto" w:fill="auto"/>
          </w:tcPr>
          <w:p w:rsidR="003A5320" w:rsidRPr="00E63C30" w:rsidRDefault="003A5320" w:rsidP="003A5320">
            <w:pPr>
              <w:rPr>
                <w:b/>
              </w:rPr>
            </w:pPr>
            <w:r w:rsidRPr="00E63C30">
              <w:rPr>
                <w:b/>
              </w:rPr>
              <w:t>Question 35:</w:t>
            </w:r>
          </w:p>
          <w:p w:rsidR="003A5320" w:rsidRPr="00B538BF" w:rsidRDefault="003A5320" w:rsidP="003A5320">
            <w:r w:rsidRPr="00B538BF">
              <w:t xml:space="preserve">Where does AusAID expect the NGO Project Coordinators to be based? </w:t>
            </w:r>
          </w:p>
          <w:p w:rsidR="003A5320" w:rsidRPr="003A5320" w:rsidRDefault="003A5320" w:rsidP="003A5320">
            <w:pPr>
              <w:rPr>
                <w:b/>
              </w:rPr>
            </w:pPr>
          </w:p>
          <w:p w:rsidR="003A5320" w:rsidRPr="00335371" w:rsidRDefault="003A5320" w:rsidP="003A5320">
            <w:pPr>
              <w:rPr>
                <w:b/>
              </w:rPr>
            </w:pPr>
            <w:r w:rsidRPr="00335371">
              <w:rPr>
                <w:b/>
              </w:rPr>
              <w:t>Answer</w:t>
            </w:r>
            <w:r>
              <w:rPr>
                <w:b/>
              </w:rPr>
              <w:t>:</w:t>
            </w:r>
          </w:p>
          <w:p w:rsidR="00B538BF" w:rsidRPr="00B538BF" w:rsidRDefault="003A5320" w:rsidP="00B538BF">
            <w:r w:rsidRPr="00B538BF">
              <w:t xml:space="preserve">AACRS NGO Project Coordinators should be based in Afghanistan.  </w:t>
            </w:r>
          </w:p>
        </w:tc>
      </w:tr>
      <w:tr w:rsidR="00757926" w:rsidRPr="00335371" w:rsidTr="003347EE">
        <w:trPr>
          <w:trHeight w:val="1125"/>
        </w:trPr>
        <w:tc>
          <w:tcPr>
            <w:tcW w:w="8856" w:type="dxa"/>
          </w:tcPr>
          <w:p w:rsidR="00757926" w:rsidRPr="00E63C30" w:rsidRDefault="00757926" w:rsidP="00761A73">
            <w:pPr>
              <w:rPr>
                <w:b/>
              </w:rPr>
            </w:pPr>
            <w:r w:rsidRPr="00E63C30">
              <w:rPr>
                <w:b/>
              </w:rPr>
              <w:lastRenderedPageBreak/>
              <w:t>Question</w:t>
            </w:r>
            <w:r w:rsidR="00E63C30" w:rsidRPr="00E63C30">
              <w:rPr>
                <w:b/>
              </w:rPr>
              <w:t xml:space="preserve"> 36:</w:t>
            </w:r>
          </w:p>
          <w:p w:rsidR="00757926" w:rsidRPr="00335371" w:rsidRDefault="00757926" w:rsidP="00761A73">
            <w:r w:rsidRPr="00335371">
              <w:t xml:space="preserve">Annex F of the </w:t>
            </w:r>
            <w:r w:rsidRPr="00335371">
              <w:rPr>
                <w:i/>
              </w:rPr>
              <w:t>AACRS Competitive Grant Guidelines</w:t>
            </w:r>
            <w:r w:rsidRPr="00335371">
              <w:t xml:space="preserve"> requests the curriculum vitae (CV) of the main contact person in the lead NGO who will be the Project Coordinator</w:t>
            </w:r>
            <w:r w:rsidR="00761A73">
              <w:t xml:space="preserve">.  </w:t>
            </w:r>
            <w:r w:rsidRPr="00335371">
              <w:t>Can applicants provide two (2) CVs, one for the Project Coordinator in Afghanistan</w:t>
            </w:r>
            <w:r w:rsidR="003347EE">
              <w:t>,</w:t>
            </w:r>
            <w:r w:rsidRPr="00335371">
              <w:t xml:space="preserve"> and one for the Project Coordinator in the Head Office?</w:t>
            </w:r>
          </w:p>
          <w:p w:rsidR="00757926" w:rsidRPr="00335371" w:rsidRDefault="00757926" w:rsidP="00761A73"/>
          <w:p w:rsidR="00757926" w:rsidRPr="00335371" w:rsidRDefault="00757926" w:rsidP="00761A73">
            <w:pPr>
              <w:rPr>
                <w:b/>
              </w:rPr>
            </w:pPr>
            <w:r w:rsidRPr="00335371">
              <w:rPr>
                <w:b/>
              </w:rPr>
              <w:t>Answer</w:t>
            </w:r>
            <w:r w:rsidR="00E63C30">
              <w:rPr>
                <w:b/>
              </w:rPr>
              <w:t>:</w:t>
            </w:r>
          </w:p>
          <w:p w:rsidR="00757926" w:rsidRPr="00761A73" w:rsidRDefault="00757926" w:rsidP="00761A73">
            <w:r w:rsidRPr="00E63C30">
              <w:t>No</w:t>
            </w:r>
            <w:r w:rsidR="00761A73">
              <w:t xml:space="preserve">.  </w:t>
            </w:r>
            <w:r w:rsidRPr="00E63C30">
              <w:t>Applicants should provide only one (1) CV</w:t>
            </w:r>
            <w:r w:rsidR="00761A73">
              <w:t xml:space="preserve">.  </w:t>
            </w:r>
            <w:r w:rsidRPr="00E63C30">
              <w:t xml:space="preserve">Note that Annex B, Part 1.2 of the </w:t>
            </w:r>
            <w:r w:rsidRPr="00E63C30">
              <w:rPr>
                <w:i/>
              </w:rPr>
              <w:t>AACRS Competitive Grant Guidelines</w:t>
            </w:r>
            <w:r w:rsidRPr="00E63C30">
              <w:t xml:space="preserve"> requires applicants to outline the qualifications and experience of the Project Coordinator and organisation personnel who will fill key roles in managing and supporting the AACRS project</w:t>
            </w:r>
            <w:r w:rsidR="00761A73">
              <w:t xml:space="preserve">.  </w:t>
            </w:r>
            <w:r w:rsidRPr="00E63C30">
              <w:t xml:space="preserve">Further, the relevant experience of proposed personnel and Project Coordinator will be assessed against the Capacity and Technical Assessment Criteria (set out in Table 3 of the </w:t>
            </w:r>
            <w:r w:rsidRPr="00E63C30">
              <w:rPr>
                <w:i/>
              </w:rPr>
              <w:t>AACRS Competitive Grant Guidelines</w:t>
            </w:r>
            <w:r w:rsidRPr="00E63C30">
              <w:t>).</w:t>
            </w:r>
          </w:p>
          <w:p w:rsidR="00757926" w:rsidRPr="00335371" w:rsidRDefault="00757926" w:rsidP="00761A73"/>
        </w:tc>
      </w:tr>
      <w:tr w:rsidR="00757926" w:rsidRPr="00335371" w:rsidTr="004F4CE9">
        <w:tc>
          <w:tcPr>
            <w:tcW w:w="8856" w:type="dxa"/>
            <w:shd w:val="pct10" w:color="auto" w:fill="auto"/>
          </w:tcPr>
          <w:p w:rsidR="00757926" w:rsidRPr="00335371" w:rsidRDefault="00757926" w:rsidP="00574C67">
            <w:pPr>
              <w:spacing w:before="30" w:after="30"/>
              <w:rPr>
                <w:b/>
              </w:rPr>
            </w:pPr>
            <w:r w:rsidRPr="00335371">
              <w:rPr>
                <w:b/>
              </w:rPr>
              <w:t>Local Partners</w:t>
            </w:r>
          </w:p>
        </w:tc>
      </w:tr>
      <w:tr w:rsidR="00757926" w:rsidRPr="00335371" w:rsidTr="004F4CE9">
        <w:trPr>
          <w:trHeight w:val="1084"/>
        </w:trPr>
        <w:tc>
          <w:tcPr>
            <w:tcW w:w="8856" w:type="dxa"/>
          </w:tcPr>
          <w:p w:rsidR="00757926" w:rsidRPr="00E63C30" w:rsidRDefault="00757926" w:rsidP="00761A73">
            <w:pPr>
              <w:rPr>
                <w:b/>
              </w:rPr>
            </w:pPr>
            <w:r w:rsidRPr="00E63C30">
              <w:rPr>
                <w:b/>
              </w:rPr>
              <w:t>Question</w:t>
            </w:r>
            <w:r w:rsidR="00E63C30" w:rsidRPr="00E63C30">
              <w:rPr>
                <w:b/>
              </w:rPr>
              <w:t xml:space="preserve"> 37:</w:t>
            </w:r>
          </w:p>
          <w:p w:rsidR="00757926" w:rsidRPr="00335371" w:rsidRDefault="00757926" w:rsidP="00761A73">
            <w:r w:rsidRPr="00335371">
              <w:t>Are applicants able to work with more than one (1) local civil society partner?</w:t>
            </w:r>
          </w:p>
          <w:p w:rsidR="00757926" w:rsidRPr="00335371" w:rsidRDefault="00757926" w:rsidP="00761A73"/>
          <w:p w:rsidR="00757926" w:rsidRPr="00335371" w:rsidRDefault="00757926" w:rsidP="00761A73">
            <w:pPr>
              <w:rPr>
                <w:b/>
              </w:rPr>
            </w:pPr>
            <w:r w:rsidRPr="00335371">
              <w:rPr>
                <w:b/>
              </w:rPr>
              <w:t>Answer</w:t>
            </w:r>
            <w:r w:rsidR="00E63C30">
              <w:rPr>
                <w:b/>
              </w:rPr>
              <w:t>:</w:t>
            </w:r>
          </w:p>
          <w:p w:rsidR="00757926" w:rsidRPr="00E63C30" w:rsidRDefault="00757926" w:rsidP="00761A73">
            <w:r w:rsidRPr="00E63C30">
              <w:t>Yes, applicants are able to work with more than one (1) local civil society partner</w:t>
            </w:r>
            <w:r w:rsidR="00761A73">
              <w:t xml:space="preserve">.  </w:t>
            </w:r>
          </w:p>
          <w:p w:rsidR="00757926" w:rsidRPr="00335371" w:rsidRDefault="00757926" w:rsidP="00761A73"/>
        </w:tc>
      </w:tr>
      <w:tr w:rsidR="00757926" w:rsidRPr="00335371" w:rsidTr="00574C67">
        <w:tc>
          <w:tcPr>
            <w:tcW w:w="8856" w:type="dxa"/>
            <w:tcBorders>
              <w:bottom w:val="single" w:sz="4" w:space="0" w:color="auto"/>
            </w:tcBorders>
            <w:shd w:val="pct10" w:color="auto" w:fill="auto"/>
          </w:tcPr>
          <w:p w:rsidR="00757926" w:rsidRPr="00335371" w:rsidRDefault="00757926" w:rsidP="00574C67">
            <w:pPr>
              <w:spacing w:before="30" w:after="30"/>
              <w:rPr>
                <w:b/>
              </w:rPr>
            </w:pPr>
            <w:r w:rsidRPr="00335371">
              <w:rPr>
                <w:b/>
              </w:rPr>
              <w:t>Monitoring</w:t>
            </w:r>
          </w:p>
        </w:tc>
      </w:tr>
      <w:tr w:rsidR="00574C67" w:rsidRPr="00335371" w:rsidTr="00574C67">
        <w:tc>
          <w:tcPr>
            <w:tcW w:w="8856" w:type="dxa"/>
            <w:shd w:val="clear" w:color="auto" w:fill="auto"/>
          </w:tcPr>
          <w:p w:rsidR="00574C67" w:rsidRPr="00E63C30" w:rsidRDefault="00574C67" w:rsidP="00574C67">
            <w:pPr>
              <w:rPr>
                <w:b/>
              </w:rPr>
            </w:pPr>
            <w:r w:rsidRPr="00E63C30">
              <w:rPr>
                <w:b/>
              </w:rPr>
              <w:t>Question 38:</w:t>
            </w:r>
          </w:p>
          <w:p w:rsidR="00574C67" w:rsidRPr="00335371" w:rsidRDefault="00574C67" w:rsidP="00574C67">
            <w:r w:rsidRPr="00335371">
              <w:t xml:space="preserve">During AACRS implementation, if AusAID staff visit project sites, will they have armed guard escorts? </w:t>
            </w:r>
          </w:p>
          <w:p w:rsidR="00574C67" w:rsidRPr="00335371" w:rsidRDefault="00574C67" w:rsidP="00574C67"/>
          <w:p w:rsidR="00574C67" w:rsidRPr="00335371" w:rsidRDefault="00574C67" w:rsidP="00574C67">
            <w:pPr>
              <w:rPr>
                <w:b/>
              </w:rPr>
            </w:pPr>
            <w:r w:rsidRPr="00335371">
              <w:rPr>
                <w:b/>
              </w:rPr>
              <w:t>Answer</w:t>
            </w:r>
            <w:r>
              <w:rPr>
                <w:b/>
              </w:rPr>
              <w:t>:</w:t>
            </w:r>
          </w:p>
          <w:p w:rsidR="00C84BF5" w:rsidRPr="00C84BF5" w:rsidRDefault="00C84BF5" w:rsidP="00C84BF5">
            <w:pPr>
              <w:rPr>
                <w:iCs/>
              </w:rPr>
            </w:pPr>
            <w:r w:rsidRPr="00C84BF5">
              <w:rPr>
                <w:iCs/>
              </w:rPr>
              <w:t>Yes, all moves by AusAID staff</w:t>
            </w:r>
            <w:r>
              <w:rPr>
                <w:iCs/>
              </w:rPr>
              <w:t>,</w:t>
            </w:r>
            <w:r w:rsidRPr="00C84BF5">
              <w:rPr>
                <w:iCs/>
              </w:rPr>
              <w:t xml:space="preserve"> including to AACRS project sites</w:t>
            </w:r>
            <w:r>
              <w:rPr>
                <w:iCs/>
              </w:rPr>
              <w:t>,</w:t>
            </w:r>
            <w:r w:rsidRPr="00C84BF5">
              <w:rPr>
                <w:iCs/>
              </w:rPr>
              <w:t xml:space="preserve"> will likely use armed protection resources.  AusAID will ensure that an</w:t>
            </w:r>
            <w:r>
              <w:rPr>
                <w:iCs/>
              </w:rPr>
              <w:t>y visits to AACRS project sites</w:t>
            </w:r>
            <w:r w:rsidRPr="00C84BF5">
              <w:rPr>
                <w:iCs/>
              </w:rPr>
              <w:t xml:space="preserve"> undertaken by AusAID staff adopt a do no harm approach, meaning such interventions should “do no harm” to staff implementing the project or project beneficiaries now or in the future.  </w:t>
            </w:r>
          </w:p>
          <w:p w:rsidR="00C84BF5" w:rsidRPr="00C84BF5" w:rsidRDefault="00C84BF5" w:rsidP="00C84BF5">
            <w:pPr>
              <w:rPr>
                <w:iCs/>
              </w:rPr>
            </w:pPr>
          </w:p>
          <w:p w:rsidR="00C84BF5" w:rsidRPr="00C84BF5" w:rsidRDefault="00C84BF5" w:rsidP="00C84BF5">
            <w:pPr>
              <w:rPr>
                <w:iCs/>
              </w:rPr>
            </w:pPr>
            <w:r w:rsidRPr="00C84BF5">
              <w:rPr>
                <w:iCs/>
              </w:rPr>
              <w:t xml:space="preserve">As stated in the </w:t>
            </w:r>
            <w:r w:rsidRPr="00C84BF5">
              <w:rPr>
                <w:i/>
                <w:iCs/>
              </w:rPr>
              <w:t>AACRS Design Document</w:t>
            </w:r>
            <w:r w:rsidRPr="00C84BF5">
              <w:rPr>
                <w:iCs/>
              </w:rPr>
              <w:t xml:space="preserve"> and in line with AusAID’s standard grant agreement requirements, NGOs must permit AusAID to monitor and/or evaluate AACRS projects. </w:t>
            </w:r>
            <w:r>
              <w:rPr>
                <w:iCs/>
              </w:rPr>
              <w:t xml:space="preserve"> </w:t>
            </w:r>
            <w:r w:rsidRPr="00C84BF5">
              <w:rPr>
                <w:iCs/>
              </w:rPr>
              <w:t>In cases where a “</w:t>
            </w:r>
            <w:proofErr w:type="gramStart"/>
            <w:r w:rsidRPr="00C84BF5">
              <w:rPr>
                <w:iCs/>
              </w:rPr>
              <w:t>do</w:t>
            </w:r>
            <w:proofErr w:type="gramEnd"/>
            <w:r w:rsidRPr="00C84BF5">
              <w:rPr>
                <w:iCs/>
              </w:rPr>
              <w:t xml:space="preserve"> no harm” approach results in an inability for AusAID staff to visit project sites themselves, AusAID will use a third-party option for monitoring, evaluation or verification.</w:t>
            </w:r>
          </w:p>
          <w:p w:rsidR="00C84BF5" w:rsidRPr="00C84BF5" w:rsidRDefault="00C84BF5" w:rsidP="00C84BF5">
            <w:pPr>
              <w:rPr>
                <w:iCs/>
              </w:rPr>
            </w:pPr>
          </w:p>
          <w:p w:rsidR="00C84BF5" w:rsidRPr="00C84BF5" w:rsidRDefault="00C84BF5" w:rsidP="00C84BF5">
            <w:pPr>
              <w:rPr>
                <w:iCs/>
              </w:rPr>
            </w:pPr>
            <w:r w:rsidRPr="00C84BF5">
              <w:rPr>
                <w:iCs/>
              </w:rPr>
              <w:t xml:space="preserve">Applicants will need to make clear in their Submissions (particularly in their response to Annex B, Part 1.1 of the </w:t>
            </w:r>
            <w:r w:rsidRPr="00C84BF5">
              <w:rPr>
                <w:i/>
                <w:iCs/>
              </w:rPr>
              <w:t>AACRS Competitive Grant Guidelines</w:t>
            </w:r>
            <w:r w:rsidRPr="00C84BF5">
              <w:rPr>
                <w:iCs/>
              </w:rPr>
              <w:t>) how they propose to manage risk and security in the implementation of their projects.  This can include information on how they have previously supported the remote monitoring of their projects, such as through the use of innovative verification mechanisms (for example, third party monitoring, GPS, and photographic verification).</w:t>
            </w:r>
          </w:p>
          <w:p w:rsidR="00C84BF5" w:rsidRDefault="00C84BF5" w:rsidP="00C84BF5">
            <w:r>
              <w:t xml:space="preserve">AusAID will work with AACRS NGOs during the Detailed Design Phase to further refine M&amp;E for the AACRS, including through the development of third party monitoring mechanisms.  </w:t>
            </w:r>
          </w:p>
          <w:p w:rsidR="00286F64" w:rsidRPr="00574C67" w:rsidRDefault="00286F64" w:rsidP="00761A73"/>
        </w:tc>
      </w:tr>
      <w:tr w:rsidR="00B538BF" w:rsidRPr="00335371" w:rsidTr="00574C67">
        <w:tc>
          <w:tcPr>
            <w:tcW w:w="8856" w:type="dxa"/>
            <w:shd w:val="clear" w:color="auto" w:fill="auto"/>
          </w:tcPr>
          <w:p w:rsidR="00B538BF" w:rsidRPr="00E63C30" w:rsidRDefault="00B538BF" w:rsidP="00B538BF">
            <w:pPr>
              <w:rPr>
                <w:b/>
              </w:rPr>
            </w:pPr>
            <w:r w:rsidRPr="00E63C30">
              <w:rPr>
                <w:b/>
              </w:rPr>
              <w:lastRenderedPageBreak/>
              <w:t>Question 39:</w:t>
            </w:r>
          </w:p>
          <w:p w:rsidR="00B538BF" w:rsidRPr="00335371" w:rsidRDefault="00B538BF" w:rsidP="00B538BF">
            <w:r w:rsidRPr="00335371">
              <w:t>Should applicants note concerns about armed guards visiting project sites during their Submissions?</w:t>
            </w:r>
          </w:p>
          <w:p w:rsidR="00B538BF" w:rsidRPr="00335371" w:rsidRDefault="00B538BF" w:rsidP="00B538BF"/>
          <w:p w:rsidR="00B538BF" w:rsidRPr="00335371" w:rsidRDefault="00B538BF" w:rsidP="00B538BF">
            <w:pPr>
              <w:rPr>
                <w:b/>
              </w:rPr>
            </w:pPr>
            <w:r w:rsidRPr="00335371">
              <w:rPr>
                <w:b/>
              </w:rPr>
              <w:t>Answer</w:t>
            </w:r>
            <w:r>
              <w:rPr>
                <w:b/>
              </w:rPr>
              <w:t>:</w:t>
            </w:r>
          </w:p>
          <w:p w:rsidR="00C84BF5" w:rsidRDefault="00C84BF5" w:rsidP="00C84BF5">
            <w:r>
              <w:t>Applicants are required to demonstrate their risk and security management capacity and planning as part of their Submissions (</w:t>
            </w:r>
            <w:r>
              <w:rPr>
                <w:i/>
                <w:iCs/>
              </w:rPr>
              <w:t>AACRS Competitive Grant Guidelines</w:t>
            </w:r>
            <w:r>
              <w:t xml:space="preserve"> Annex B, Part 1.1).  Applicants may note their security concerns in their response.  </w:t>
            </w:r>
          </w:p>
          <w:p w:rsidR="00C84BF5" w:rsidRDefault="00C84BF5" w:rsidP="00C84BF5"/>
          <w:p w:rsidR="00C84BF5" w:rsidRDefault="00C84BF5" w:rsidP="00C84BF5">
            <w:r>
              <w:t xml:space="preserve">Applicants are reminded that, as stated in the </w:t>
            </w:r>
            <w:r>
              <w:rPr>
                <w:i/>
                <w:iCs/>
              </w:rPr>
              <w:t>AACRS</w:t>
            </w:r>
            <w:r>
              <w:t xml:space="preserve"> </w:t>
            </w:r>
            <w:r>
              <w:rPr>
                <w:i/>
                <w:iCs/>
              </w:rPr>
              <w:t>Design Document</w:t>
            </w:r>
            <w:r>
              <w:t xml:space="preserve"> and in line with AusAID’s standard grant agreement requirements, NGOs must permit AusAID to monitor and/or evaluate AACRS projects (noting that AusAID may employ a third party to do this).  AusAID will give NGOs at least two weeks’ notice of its intentions prior to commencing such a review.  In that event, the NGO must cooperate fully with any request for assistance pursuant to any such study, including allowing AusAID, or a third party, to visit project sites.  AusAID will, however, ensure that any visits to project sites adopt a ‘do no harm’ approach, meaning such interventions should “do no harm” to staff implementing the project or project beneficiaries now or in the future.  </w:t>
            </w:r>
          </w:p>
          <w:p w:rsidR="00B538BF" w:rsidRPr="00E63C30" w:rsidRDefault="00B538BF" w:rsidP="00574C67">
            <w:pPr>
              <w:rPr>
                <w:b/>
              </w:rPr>
            </w:pPr>
          </w:p>
        </w:tc>
      </w:tr>
      <w:tr w:rsidR="00E63C30" w:rsidRPr="00335371" w:rsidTr="00574C67">
        <w:tc>
          <w:tcPr>
            <w:tcW w:w="8856" w:type="dxa"/>
            <w:tcBorders>
              <w:bottom w:val="single" w:sz="4" w:space="0" w:color="auto"/>
            </w:tcBorders>
            <w:shd w:val="pct10" w:color="auto" w:fill="auto"/>
          </w:tcPr>
          <w:p w:rsidR="00E63C30" w:rsidRPr="00335371" w:rsidRDefault="00E63C30" w:rsidP="00574C67">
            <w:pPr>
              <w:spacing w:before="30" w:after="30"/>
              <w:rPr>
                <w:b/>
              </w:rPr>
            </w:pPr>
            <w:r w:rsidRPr="00335371">
              <w:rPr>
                <w:b/>
              </w:rPr>
              <w:t>Further Information</w:t>
            </w:r>
          </w:p>
        </w:tc>
      </w:tr>
      <w:tr w:rsidR="00574C67" w:rsidRPr="00335371" w:rsidTr="00574C67">
        <w:tc>
          <w:tcPr>
            <w:tcW w:w="8856" w:type="dxa"/>
            <w:shd w:val="clear" w:color="auto" w:fill="auto"/>
          </w:tcPr>
          <w:p w:rsidR="00574C67" w:rsidRPr="00E63C30" w:rsidRDefault="009B3D87" w:rsidP="00574C67">
            <w:pPr>
              <w:rPr>
                <w:b/>
              </w:rPr>
            </w:pPr>
            <w:r>
              <w:rPr>
                <w:b/>
              </w:rPr>
              <w:t>Question 40</w:t>
            </w:r>
            <w:r w:rsidR="00574C67" w:rsidRPr="00E63C30">
              <w:rPr>
                <w:b/>
              </w:rPr>
              <w:t>:</w:t>
            </w:r>
          </w:p>
          <w:p w:rsidR="00574C67" w:rsidRPr="00335371" w:rsidRDefault="00574C67" w:rsidP="00574C67">
            <w:r w:rsidRPr="00335371">
              <w:t xml:space="preserve">What happens if a Submission is made, and then information changes before the assessment process is complete?  </w:t>
            </w:r>
          </w:p>
          <w:p w:rsidR="00574C67" w:rsidRPr="00335371" w:rsidRDefault="00574C67" w:rsidP="00574C67"/>
          <w:p w:rsidR="00574C67" w:rsidRPr="00335371" w:rsidRDefault="00574C67" w:rsidP="00574C67">
            <w:pPr>
              <w:rPr>
                <w:b/>
              </w:rPr>
            </w:pPr>
            <w:r w:rsidRPr="00335371">
              <w:rPr>
                <w:b/>
              </w:rPr>
              <w:t>Answer</w:t>
            </w:r>
            <w:r>
              <w:rPr>
                <w:b/>
              </w:rPr>
              <w:t>:</w:t>
            </w:r>
          </w:p>
          <w:p w:rsidR="00574C67" w:rsidRPr="00E63C30" w:rsidRDefault="00574C67" w:rsidP="00574C67">
            <w:pPr>
              <w:autoSpaceDE w:val="0"/>
              <w:autoSpaceDN w:val="0"/>
              <w:adjustRightInd w:val="0"/>
            </w:pPr>
            <w:r w:rsidRPr="00E63C30">
              <w:t>AusAID will assess Submissions based on what is provided to AusAID by the AACRS Closing Date (14 June)</w:t>
            </w:r>
            <w:r>
              <w:t xml:space="preserve">.  </w:t>
            </w:r>
            <w:r w:rsidRPr="00E63C30">
              <w:t>Submission details cannot be changed until the assessment process is complete</w:t>
            </w:r>
            <w:r>
              <w:t xml:space="preserve">.  </w:t>
            </w:r>
            <w:r w:rsidRPr="00E63C30">
              <w:t>AusAID reserves the right not to fund an organisation if the details of their proposed project change</w:t>
            </w:r>
            <w:r>
              <w:t xml:space="preserve">.  </w:t>
            </w:r>
            <w:r w:rsidRPr="00E63C30">
              <w:t xml:space="preserve">Through their response to Annex G of the </w:t>
            </w:r>
            <w:r w:rsidRPr="00E63C30">
              <w:rPr>
                <w:i/>
              </w:rPr>
              <w:t>AACRS Competitive Grant Guidelines</w:t>
            </w:r>
            <w:r w:rsidRPr="00E63C30">
              <w:t>, applicants must warrant that the information included in their Submission is accurate, and that any partners and personnel have confirmed their availability.</w:t>
            </w:r>
          </w:p>
          <w:p w:rsidR="00574C67" w:rsidRPr="00335371" w:rsidRDefault="00574C67" w:rsidP="00761A73">
            <w:pPr>
              <w:rPr>
                <w:b/>
              </w:rPr>
            </w:pPr>
          </w:p>
        </w:tc>
      </w:tr>
      <w:tr w:rsidR="00E63C30" w:rsidRPr="00335371" w:rsidTr="00B538BF">
        <w:trPr>
          <w:trHeight w:val="983"/>
        </w:trPr>
        <w:tc>
          <w:tcPr>
            <w:tcW w:w="8856" w:type="dxa"/>
          </w:tcPr>
          <w:p w:rsidR="00E63C30" w:rsidRPr="00E63C30" w:rsidRDefault="00B1108B" w:rsidP="00761A73">
            <w:pPr>
              <w:rPr>
                <w:b/>
              </w:rPr>
            </w:pPr>
            <w:r>
              <w:rPr>
                <w:b/>
              </w:rPr>
              <w:t>Questi</w:t>
            </w:r>
            <w:r w:rsidR="009B3D87">
              <w:rPr>
                <w:b/>
              </w:rPr>
              <w:t>on 41</w:t>
            </w:r>
            <w:r w:rsidR="00E63C30" w:rsidRPr="00E63C30">
              <w:rPr>
                <w:b/>
              </w:rPr>
              <w:t>:</w:t>
            </w:r>
          </w:p>
          <w:p w:rsidR="00E63C30" w:rsidRPr="00335371" w:rsidRDefault="00E63C30" w:rsidP="00761A73">
            <w:r w:rsidRPr="00335371">
              <w:t>Can we meet with AusAID to discuss the AACRS?</w:t>
            </w:r>
          </w:p>
          <w:p w:rsidR="00E63C30" w:rsidRPr="00335371" w:rsidRDefault="00E63C30" w:rsidP="00761A73"/>
          <w:p w:rsidR="00E63C30" w:rsidRPr="00335371" w:rsidRDefault="00E63C30" w:rsidP="00761A73">
            <w:pPr>
              <w:rPr>
                <w:b/>
              </w:rPr>
            </w:pPr>
            <w:r w:rsidRPr="00335371">
              <w:rPr>
                <w:b/>
              </w:rPr>
              <w:t>Answer</w:t>
            </w:r>
            <w:r>
              <w:rPr>
                <w:b/>
              </w:rPr>
              <w:t>:</w:t>
            </w:r>
          </w:p>
          <w:p w:rsidR="00E63C30" w:rsidRPr="00335371" w:rsidRDefault="00E63C30" w:rsidP="009F09EB">
            <w:r w:rsidRPr="00E63C30">
              <w:t>No</w:t>
            </w:r>
            <w:r w:rsidR="00761A73">
              <w:t xml:space="preserve">.  </w:t>
            </w:r>
            <w:r w:rsidRPr="00E63C30">
              <w:t xml:space="preserve">For probity and fairness reasons, while the Request for Submissions </w:t>
            </w:r>
            <w:r w:rsidR="009F09EB">
              <w:t>is open</w:t>
            </w:r>
            <w:r w:rsidRPr="00E63C30">
              <w:t xml:space="preserve"> and responses are being assessed, AusAID cannot meet with applicants to discuss the AACRS Request for Submissions process</w:t>
            </w:r>
            <w:r w:rsidR="00761A73">
              <w:t xml:space="preserve">.  </w:t>
            </w:r>
            <w:r w:rsidRPr="00E63C30">
              <w:t xml:space="preserve">All questions and any correspondence must be emailed to the </w:t>
            </w:r>
            <w:r w:rsidRPr="00E63C30">
              <w:rPr>
                <w:i/>
              </w:rPr>
              <w:t>AACRS Competitive Grant Guidelines</w:t>
            </w:r>
            <w:r w:rsidRPr="00E63C30">
              <w:t xml:space="preserve"> contact point: aacrs@ausaid.gov.au</w:t>
            </w:r>
            <w:r w:rsidR="00761A73">
              <w:t xml:space="preserve">.  </w:t>
            </w:r>
            <w:r w:rsidRPr="00E63C30">
              <w:t xml:space="preserve">All relevant questions will be provided as answers in future Addenda to the </w:t>
            </w:r>
            <w:r w:rsidRPr="00E63C30">
              <w:rPr>
                <w:i/>
              </w:rPr>
              <w:t>AACRS Competitive Grant Guidelines</w:t>
            </w:r>
            <w:r w:rsidRPr="00E63C30">
              <w:t>, to ensure equal access to information for all interested parties</w:t>
            </w:r>
            <w:r w:rsidR="00761A73">
              <w:t xml:space="preserve">.  </w:t>
            </w:r>
            <w:r w:rsidRPr="00E63C30">
              <w:t>The party asking the question will not be identified in the addenda responses.</w:t>
            </w:r>
          </w:p>
        </w:tc>
      </w:tr>
    </w:tbl>
    <w:p w:rsidR="002A1345" w:rsidRDefault="002A1345" w:rsidP="009F09EB"/>
    <w:sectPr w:rsidR="002A1345" w:rsidSect="00B36C11">
      <w:footerReference w:type="even" r:id="rId11"/>
      <w:footerReference w:type="default" r:id="rId12"/>
      <w:headerReference w:type="first" r:id="rId13"/>
      <w:footerReference w:type="first" r:id="rId14"/>
      <w:pgSz w:w="12240" w:h="15840"/>
      <w:pgMar w:top="1258" w:right="1800" w:bottom="5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8A2" w:rsidRDefault="00B048A2">
      <w:r>
        <w:separator/>
      </w:r>
    </w:p>
  </w:endnote>
  <w:endnote w:type="continuationSeparator" w:id="0">
    <w:p w:rsidR="00B048A2" w:rsidRDefault="00B0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8A2" w:rsidRDefault="00B048A2">
    <w:pPr>
      <w:pStyle w:val="Footer"/>
      <w:framePr w:wrap="around" w:vAnchor="text" w:hAnchor="margin" w:xAlign="right"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12</w:t>
    </w:r>
    <w:r>
      <w:rPr>
        <w:rStyle w:val="PageNumber"/>
        <w:sz w:val="19"/>
      </w:rPr>
      <w:fldChar w:fldCharType="end"/>
    </w:r>
  </w:p>
  <w:p w:rsidR="00B048A2" w:rsidRDefault="00B048A2">
    <w:pPr>
      <w:pStyle w:val="Footer"/>
      <w:ind w:right="360"/>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634133"/>
      <w:docPartObj>
        <w:docPartGallery w:val="Page Numbers (Bottom of Page)"/>
        <w:docPartUnique/>
      </w:docPartObj>
    </w:sdtPr>
    <w:sdtEndPr>
      <w:rPr>
        <w:rFonts w:ascii="Arial" w:hAnsi="Arial" w:cs="Arial"/>
        <w:noProof/>
        <w:sz w:val="22"/>
        <w:szCs w:val="22"/>
      </w:rPr>
    </w:sdtEndPr>
    <w:sdtContent>
      <w:p w:rsidR="00B048A2" w:rsidRPr="00335371" w:rsidRDefault="00B048A2">
        <w:pPr>
          <w:pStyle w:val="Footer"/>
          <w:jc w:val="right"/>
          <w:rPr>
            <w:rFonts w:ascii="Arial" w:hAnsi="Arial" w:cs="Arial"/>
            <w:sz w:val="22"/>
            <w:szCs w:val="22"/>
          </w:rPr>
        </w:pPr>
        <w:r w:rsidRPr="00335371">
          <w:rPr>
            <w:rFonts w:ascii="Arial" w:hAnsi="Arial" w:cs="Arial"/>
            <w:sz w:val="22"/>
            <w:szCs w:val="22"/>
          </w:rPr>
          <w:fldChar w:fldCharType="begin"/>
        </w:r>
        <w:r w:rsidRPr="00335371">
          <w:rPr>
            <w:rFonts w:ascii="Arial" w:hAnsi="Arial" w:cs="Arial"/>
            <w:sz w:val="22"/>
            <w:szCs w:val="22"/>
          </w:rPr>
          <w:instrText xml:space="preserve"> PAGE   \* MERGEFORMAT </w:instrText>
        </w:r>
        <w:r w:rsidRPr="00335371">
          <w:rPr>
            <w:rFonts w:ascii="Arial" w:hAnsi="Arial" w:cs="Arial"/>
            <w:sz w:val="22"/>
            <w:szCs w:val="22"/>
          </w:rPr>
          <w:fldChar w:fldCharType="separate"/>
        </w:r>
        <w:r w:rsidR="00D43D26">
          <w:rPr>
            <w:rFonts w:ascii="Arial" w:hAnsi="Arial" w:cs="Arial"/>
            <w:noProof/>
            <w:sz w:val="22"/>
            <w:szCs w:val="22"/>
          </w:rPr>
          <w:t>12</w:t>
        </w:r>
        <w:r w:rsidRPr="00335371">
          <w:rPr>
            <w:rFonts w:ascii="Arial" w:hAnsi="Arial" w:cs="Arial"/>
            <w:noProof/>
            <w:sz w:val="22"/>
            <w:szCs w:val="22"/>
          </w:rPr>
          <w:fldChar w:fldCharType="end"/>
        </w:r>
      </w:p>
    </w:sdtContent>
  </w:sdt>
  <w:p w:rsidR="00B048A2" w:rsidRDefault="00B048A2">
    <w:pPr>
      <w:pStyle w:val="Footer"/>
      <w:tabs>
        <w:tab w:val="clear" w:pos="8306"/>
      </w:tabs>
      <w:ind w:right="170"/>
      <w:jc w:val="right"/>
      <w:rPr>
        <w:rFonts w:ascii="Arial" w:hAnsi="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188"/>
      <w:gridCol w:w="1894"/>
    </w:tblGrid>
    <w:tr w:rsidR="00B048A2">
      <w:tc>
        <w:tcPr>
          <w:tcW w:w="8188" w:type="dxa"/>
        </w:tcPr>
        <w:p w:rsidR="00B048A2" w:rsidRDefault="00B048A2">
          <w:pPr>
            <w:pStyle w:val="Footer"/>
            <w:rPr>
              <w:rFonts w:ascii="Arial" w:hAnsi="Arial"/>
              <w:sz w:val="20"/>
              <w:szCs w:val="20"/>
            </w:rPr>
          </w:pPr>
          <w:r>
            <w:rPr>
              <w:rFonts w:ascii="Arial" w:hAnsi="Arial"/>
              <w:sz w:val="20"/>
              <w:szCs w:val="20"/>
            </w:rPr>
            <w:t>Updated 10-11-06</w:t>
          </w:r>
        </w:p>
      </w:tc>
      <w:tc>
        <w:tcPr>
          <w:tcW w:w="1894" w:type="dxa"/>
        </w:tcPr>
        <w:p w:rsidR="00B048A2" w:rsidRDefault="00B048A2">
          <w:pPr>
            <w:pStyle w:val="Footer"/>
            <w:jc w:val="right"/>
            <w:rPr>
              <w:rFonts w:ascii="Arial" w:hAnsi="Arial"/>
              <w:sz w:val="20"/>
              <w:szCs w:val="20"/>
            </w:rPr>
          </w:pPr>
          <w:r>
            <w:rPr>
              <w:rStyle w:val="PageNumber"/>
              <w:rFonts w:ascii="Arial" w:hAnsi="Arial"/>
              <w:sz w:val="20"/>
              <w:szCs w:val="20"/>
            </w:rPr>
            <w:t xml:space="preserve">Page </w:t>
          </w:r>
          <w:r>
            <w:rPr>
              <w:rStyle w:val="PageNumber"/>
              <w:rFonts w:ascii="Arial" w:hAnsi="Arial"/>
              <w:sz w:val="20"/>
              <w:szCs w:val="20"/>
            </w:rPr>
            <w:fldChar w:fldCharType="begin"/>
          </w:r>
          <w:r>
            <w:rPr>
              <w:rStyle w:val="PageNumber"/>
              <w:rFonts w:ascii="Arial" w:hAnsi="Arial"/>
              <w:sz w:val="20"/>
              <w:szCs w:val="20"/>
            </w:rPr>
            <w:instrText xml:space="preserve">PAGE  </w:instrText>
          </w:r>
          <w:r>
            <w:rPr>
              <w:rStyle w:val="PageNumber"/>
              <w:rFonts w:ascii="Arial" w:hAnsi="Arial"/>
              <w:sz w:val="20"/>
              <w:szCs w:val="20"/>
            </w:rPr>
            <w:fldChar w:fldCharType="separate"/>
          </w:r>
          <w:r>
            <w:rPr>
              <w:rStyle w:val="PageNumber"/>
              <w:rFonts w:ascii="Arial" w:hAnsi="Arial"/>
              <w:noProof/>
              <w:sz w:val="20"/>
              <w:szCs w:val="20"/>
            </w:rPr>
            <w:t>12</w:t>
          </w:r>
          <w:r>
            <w:rPr>
              <w:rStyle w:val="PageNumber"/>
              <w:rFonts w:ascii="Arial" w:hAnsi="Arial"/>
              <w:sz w:val="20"/>
              <w:szCs w:val="20"/>
            </w:rPr>
            <w:fldChar w:fldCharType="end"/>
          </w:r>
        </w:p>
      </w:tc>
    </w:tr>
  </w:tbl>
  <w:p w:rsidR="00B048A2" w:rsidRDefault="00B048A2">
    <w:pPr>
      <w:pStyle w:val="Footer"/>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8A2" w:rsidRDefault="00B048A2">
      <w:r>
        <w:separator/>
      </w:r>
    </w:p>
  </w:footnote>
  <w:footnote w:type="continuationSeparator" w:id="0">
    <w:p w:rsidR="00B048A2" w:rsidRDefault="00B04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8A2" w:rsidRDefault="00B048A2">
    <w:pPr>
      <w:pStyle w:val="Header"/>
      <w:rPr>
        <w:sz w:val="19"/>
      </w:rPr>
    </w:pPr>
    <w:r>
      <w:rPr>
        <w:noProof/>
        <w:sz w:val="19"/>
        <w:lang w:val="en-AU" w:eastAsia="en-AU"/>
      </w:rPr>
      <w:drawing>
        <wp:inline distT="0" distB="0" distL="0" distR="0">
          <wp:extent cx="2867025" cy="752475"/>
          <wp:effectExtent l="0" t="0" r="9525" b="9525"/>
          <wp:docPr id="1" name="Picture 1" descr="Aus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752475"/>
                  </a:xfrm>
                  <a:prstGeom prst="rect">
                    <a:avLst/>
                  </a:prstGeom>
                  <a:noFill/>
                  <a:ln>
                    <a:noFill/>
                  </a:ln>
                </pic:spPr>
              </pic:pic>
            </a:graphicData>
          </a:graphic>
        </wp:inline>
      </w:drawing>
    </w:r>
    <w:r>
      <w:rPr>
        <w:noProof/>
        <w:sz w:val="20"/>
        <w:lang w:val="en-AU" w:eastAsia="en-AU"/>
      </w:rPr>
      <mc:AlternateContent>
        <mc:Choice Requires="wps">
          <w:drawing>
            <wp:anchor distT="0" distB="0" distL="114300" distR="114300" simplePos="0" relativeHeight="251657728" behindDoc="0" locked="0" layoutInCell="0" allowOverlap="1">
              <wp:simplePos x="0" y="0"/>
              <wp:positionH relativeFrom="page">
                <wp:posOffset>351155</wp:posOffset>
              </wp:positionH>
              <wp:positionV relativeFrom="page">
                <wp:posOffset>1233170</wp:posOffset>
              </wp:positionV>
              <wp:extent cx="6837045" cy="635"/>
              <wp:effectExtent l="8255" t="13970" r="12700" b="1397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7045" cy="635"/>
                      </a:xfrm>
                      <a:prstGeom prst="line">
                        <a:avLst/>
                      </a:prstGeom>
                      <a:noFill/>
                      <a:ln w="635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5pt,97.1pt" to="566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" o:allowincell="f" strokeweight=".5pt">
              <v:stroke startarrowwidth="narrow" startarrowlength="long" endarrowwidth="narrow" endarrowlength="long"/>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6015A0"/>
    <w:multiLevelType w:val="hybridMultilevel"/>
    <w:tmpl w:val="CD95EC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B"/>
    <w:multiLevelType w:val="multilevel"/>
    <w:tmpl w:val="26CCC808"/>
    <w:lvl w:ilvl="0">
      <w:start w:val="1"/>
      <w:numFmt w:val="decimal"/>
      <w:lvlText w:val="%1."/>
      <w:lvlJc w:val="left"/>
      <w:pPr>
        <w:tabs>
          <w:tab w:val="num" w:pos="0"/>
        </w:tabs>
        <w:ind w:left="567" w:hanging="567"/>
      </w:pPr>
    </w:lvl>
    <w:lvl w:ilvl="1">
      <w:start w:val="1"/>
      <w:numFmt w:val="decimal"/>
      <w:lvlText w:val="%1.%2"/>
      <w:lvlJc w:val="left"/>
      <w:pPr>
        <w:tabs>
          <w:tab w:val="num" w:pos="1134"/>
        </w:tabs>
        <w:ind w:left="1134" w:hanging="567"/>
      </w:pPr>
      <w:rPr>
        <w:rFonts w:ascii="Times New Roman" w:hAnsi="Times New Roman" w:hint="default"/>
        <w:sz w:val="24"/>
      </w:rPr>
    </w:lvl>
    <w:lvl w:ilvl="2">
      <w:start w:val="1"/>
      <w:numFmt w:val="lowerLetter"/>
      <w:suff w:val="space"/>
      <w:lvlText w:val="(%3)"/>
      <w:lvlJc w:val="left"/>
      <w:pPr>
        <w:ind w:left="1701" w:hanging="567"/>
      </w:pPr>
    </w:lvl>
    <w:lvl w:ilvl="3">
      <w:start w:val="1"/>
      <w:numFmt w:val="lowerRoman"/>
      <w:suff w:val="space"/>
      <w:lvlText w:val="(%4)"/>
      <w:lvlJc w:val="left"/>
      <w:pPr>
        <w:ind w:left="2275" w:hanging="576"/>
      </w:pPr>
    </w:lvl>
    <w:lvl w:ilvl="4">
      <w:start w:val="1"/>
      <w:numFmt w:val="decimal"/>
      <w:lvlText w:val="(%5)"/>
      <w:lvlJc w:val="left"/>
      <w:pPr>
        <w:tabs>
          <w:tab w:val="num" w:pos="0"/>
        </w:tabs>
        <w:ind w:left="2409" w:hanging="708"/>
      </w:pPr>
    </w:lvl>
    <w:lvl w:ilvl="5">
      <w:start w:val="1"/>
      <w:numFmt w:val="lowerLetter"/>
      <w:lvlText w:val="(%6)"/>
      <w:lvlJc w:val="left"/>
      <w:pPr>
        <w:tabs>
          <w:tab w:val="num" w:pos="0"/>
        </w:tabs>
        <w:ind w:left="3117" w:hanging="708"/>
      </w:pPr>
    </w:lvl>
    <w:lvl w:ilvl="6">
      <w:start w:val="1"/>
      <w:numFmt w:val="lowerRoman"/>
      <w:lvlText w:val="(%7)"/>
      <w:lvlJc w:val="left"/>
      <w:pPr>
        <w:tabs>
          <w:tab w:val="num" w:pos="0"/>
        </w:tabs>
        <w:ind w:left="3825" w:hanging="708"/>
      </w:pPr>
    </w:lvl>
    <w:lvl w:ilvl="7">
      <w:start w:val="1"/>
      <w:numFmt w:val="lowerLetter"/>
      <w:lvlText w:val="(%8)"/>
      <w:lvlJc w:val="left"/>
      <w:pPr>
        <w:tabs>
          <w:tab w:val="num" w:pos="0"/>
        </w:tabs>
        <w:ind w:left="4533" w:hanging="708"/>
      </w:pPr>
    </w:lvl>
    <w:lvl w:ilvl="8">
      <w:start w:val="1"/>
      <w:numFmt w:val="lowerRoman"/>
      <w:lvlText w:val="(%9)"/>
      <w:lvlJc w:val="left"/>
      <w:pPr>
        <w:tabs>
          <w:tab w:val="num" w:pos="0"/>
        </w:tabs>
        <w:ind w:left="5241" w:hanging="708"/>
      </w:pPr>
    </w:lvl>
  </w:abstractNum>
  <w:abstractNum w:abstractNumId="2">
    <w:nsid w:val="0262145C"/>
    <w:multiLevelType w:val="hybridMultilevel"/>
    <w:tmpl w:val="6D8AD2F4"/>
    <w:lvl w:ilvl="0" w:tplc="C0922DEE">
      <w:start w:val="1"/>
      <w:numFmt w:val="bullet"/>
      <w:lvlText w:val="−"/>
      <w:lvlJc w:val="left"/>
      <w:pPr>
        <w:ind w:left="720" w:hanging="360"/>
      </w:pPr>
      <w:rPr>
        <w:rFonts w:ascii="Tahoma" w:hAnsi="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CC6585"/>
    <w:multiLevelType w:val="hybridMultilevel"/>
    <w:tmpl w:val="D1C069CA"/>
    <w:lvl w:ilvl="0" w:tplc="F7B6899A">
      <w:start w:val="1"/>
      <w:numFmt w:val="bullet"/>
      <w:lvlText w:val="•"/>
      <w:lvlJc w:val="left"/>
      <w:pPr>
        <w:tabs>
          <w:tab w:val="num" w:pos="720"/>
        </w:tabs>
        <w:ind w:left="720" w:hanging="360"/>
      </w:pPr>
      <w:rPr>
        <w:rFonts w:ascii="Times New Roman" w:hAnsi="Times New Roman" w:hint="default"/>
      </w:rPr>
    </w:lvl>
    <w:lvl w:ilvl="1" w:tplc="53DA2A6A" w:tentative="1">
      <w:start w:val="1"/>
      <w:numFmt w:val="bullet"/>
      <w:lvlText w:val="•"/>
      <w:lvlJc w:val="left"/>
      <w:pPr>
        <w:tabs>
          <w:tab w:val="num" w:pos="1440"/>
        </w:tabs>
        <w:ind w:left="1440" w:hanging="360"/>
      </w:pPr>
      <w:rPr>
        <w:rFonts w:ascii="Times New Roman" w:hAnsi="Times New Roman" w:hint="default"/>
      </w:rPr>
    </w:lvl>
    <w:lvl w:ilvl="2" w:tplc="81507F10" w:tentative="1">
      <w:start w:val="1"/>
      <w:numFmt w:val="bullet"/>
      <w:lvlText w:val="•"/>
      <w:lvlJc w:val="left"/>
      <w:pPr>
        <w:tabs>
          <w:tab w:val="num" w:pos="2160"/>
        </w:tabs>
        <w:ind w:left="2160" w:hanging="360"/>
      </w:pPr>
      <w:rPr>
        <w:rFonts w:ascii="Times New Roman" w:hAnsi="Times New Roman" w:hint="default"/>
      </w:rPr>
    </w:lvl>
    <w:lvl w:ilvl="3" w:tplc="FB4E9228" w:tentative="1">
      <w:start w:val="1"/>
      <w:numFmt w:val="bullet"/>
      <w:lvlText w:val="•"/>
      <w:lvlJc w:val="left"/>
      <w:pPr>
        <w:tabs>
          <w:tab w:val="num" w:pos="2880"/>
        </w:tabs>
        <w:ind w:left="2880" w:hanging="360"/>
      </w:pPr>
      <w:rPr>
        <w:rFonts w:ascii="Times New Roman" w:hAnsi="Times New Roman" w:hint="default"/>
      </w:rPr>
    </w:lvl>
    <w:lvl w:ilvl="4" w:tplc="80DE4456" w:tentative="1">
      <w:start w:val="1"/>
      <w:numFmt w:val="bullet"/>
      <w:lvlText w:val="•"/>
      <w:lvlJc w:val="left"/>
      <w:pPr>
        <w:tabs>
          <w:tab w:val="num" w:pos="3600"/>
        </w:tabs>
        <w:ind w:left="3600" w:hanging="360"/>
      </w:pPr>
      <w:rPr>
        <w:rFonts w:ascii="Times New Roman" w:hAnsi="Times New Roman" w:hint="default"/>
      </w:rPr>
    </w:lvl>
    <w:lvl w:ilvl="5" w:tplc="F154E20A" w:tentative="1">
      <w:start w:val="1"/>
      <w:numFmt w:val="bullet"/>
      <w:lvlText w:val="•"/>
      <w:lvlJc w:val="left"/>
      <w:pPr>
        <w:tabs>
          <w:tab w:val="num" w:pos="4320"/>
        </w:tabs>
        <w:ind w:left="4320" w:hanging="360"/>
      </w:pPr>
      <w:rPr>
        <w:rFonts w:ascii="Times New Roman" w:hAnsi="Times New Roman" w:hint="default"/>
      </w:rPr>
    </w:lvl>
    <w:lvl w:ilvl="6" w:tplc="5E62547A" w:tentative="1">
      <w:start w:val="1"/>
      <w:numFmt w:val="bullet"/>
      <w:lvlText w:val="•"/>
      <w:lvlJc w:val="left"/>
      <w:pPr>
        <w:tabs>
          <w:tab w:val="num" w:pos="5040"/>
        </w:tabs>
        <w:ind w:left="5040" w:hanging="360"/>
      </w:pPr>
      <w:rPr>
        <w:rFonts w:ascii="Times New Roman" w:hAnsi="Times New Roman" w:hint="default"/>
      </w:rPr>
    </w:lvl>
    <w:lvl w:ilvl="7" w:tplc="51406F86" w:tentative="1">
      <w:start w:val="1"/>
      <w:numFmt w:val="bullet"/>
      <w:lvlText w:val="•"/>
      <w:lvlJc w:val="left"/>
      <w:pPr>
        <w:tabs>
          <w:tab w:val="num" w:pos="5760"/>
        </w:tabs>
        <w:ind w:left="5760" w:hanging="360"/>
      </w:pPr>
      <w:rPr>
        <w:rFonts w:ascii="Times New Roman" w:hAnsi="Times New Roman" w:hint="default"/>
      </w:rPr>
    </w:lvl>
    <w:lvl w:ilvl="8" w:tplc="FD96131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FEE631E"/>
    <w:multiLevelType w:val="multilevel"/>
    <w:tmpl w:val="48D237E8"/>
    <w:lvl w:ilvl="0">
      <w:start w:val="5"/>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12D2C8D"/>
    <w:multiLevelType w:val="hybridMultilevel"/>
    <w:tmpl w:val="48D237E8"/>
    <w:lvl w:ilvl="0" w:tplc="AD4E215C">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0C266D"/>
    <w:multiLevelType w:val="hybridMultilevel"/>
    <w:tmpl w:val="80DAC4B4"/>
    <w:lvl w:ilvl="0" w:tplc="277C3308">
      <w:start w:val="1"/>
      <w:numFmt w:val="decimal"/>
      <w:lvlText w:val="%1."/>
      <w:lvlJc w:val="left"/>
      <w:pPr>
        <w:tabs>
          <w:tab w:val="num" w:pos="1152"/>
        </w:tabs>
        <w:ind w:left="1152" w:hanging="79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5857B2"/>
    <w:multiLevelType w:val="hybridMultilevel"/>
    <w:tmpl w:val="063ECF16"/>
    <w:lvl w:ilvl="0" w:tplc="6A5CD702">
      <w:start w:val="1"/>
      <w:numFmt w:val="decimal"/>
      <w:lvlText w:val="(%1)"/>
      <w:lvlJc w:val="left"/>
      <w:pPr>
        <w:tabs>
          <w:tab w:val="num" w:pos="1440"/>
        </w:tabs>
        <w:ind w:left="144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8">
    <w:nsid w:val="634E6F93"/>
    <w:multiLevelType w:val="hybridMultilevel"/>
    <w:tmpl w:val="2AB849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2F2F325"/>
    <w:multiLevelType w:val="hybridMultilevel"/>
    <w:tmpl w:val="88AC83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75F50C78"/>
    <w:multiLevelType w:val="hybridMultilevel"/>
    <w:tmpl w:val="97CAB7B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B182796"/>
    <w:multiLevelType w:val="multilevel"/>
    <w:tmpl w:val="8342F2E4"/>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4"/>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9"/>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505"/>
    <w:rsid w:val="000053F9"/>
    <w:rsid w:val="0000722A"/>
    <w:rsid w:val="00014803"/>
    <w:rsid w:val="00015084"/>
    <w:rsid w:val="000157BC"/>
    <w:rsid w:val="000178F7"/>
    <w:rsid w:val="00025BC6"/>
    <w:rsid w:val="000313AD"/>
    <w:rsid w:val="00031AB8"/>
    <w:rsid w:val="00032509"/>
    <w:rsid w:val="00034F1B"/>
    <w:rsid w:val="00036FF4"/>
    <w:rsid w:val="00037931"/>
    <w:rsid w:val="00041A05"/>
    <w:rsid w:val="00044172"/>
    <w:rsid w:val="00050507"/>
    <w:rsid w:val="00050870"/>
    <w:rsid w:val="0005136D"/>
    <w:rsid w:val="0005313C"/>
    <w:rsid w:val="0005520D"/>
    <w:rsid w:val="0005608E"/>
    <w:rsid w:val="00061831"/>
    <w:rsid w:val="00062620"/>
    <w:rsid w:val="0006651D"/>
    <w:rsid w:val="00066EA8"/>
    <w:rsid w:val="00070240"/>
    <w:rsid w:val="000744A7"/>
    <w:rsid w:val="000757A5"/>
    <w:rsid w:val="00077F88"/>
    <w:rsid w:val="00080689"/>
    <w:rsid w:val="00082C10"/>
    <w:rsid w:val="00084AD6"/>
    <w:rsid w:val="00085484"/>
    <w:rsid w:val="0008671A"/>
    <w:rsid w:val="0008686F"/>
    <w:rsid w:val="00087D11"/>
    <w:rsid w:val="00090181"/>
    <w:rsid w:val="000930E0"/>
    <w:rsid w:val="00094CEF"/>
    <w:rsid w:val="000970B9"/>
    <w:rsid w:val="000A0D6D"/>
    <w:rsid w:val="000A1CCA"/>
    <w:rsid w:val="000A3EE3"/>
    <w:rsid w:val="000A44E8"/>
    <w:rsid w:val="000A5ED8"/>
    <w:rsid w:val="000B6647"/>
    <w:rsid w:val="000C1A21"/>
    <w:rsid w:val="000C48FE"/>
    <w:rsid w:val="000C5E93"/>
    <w:rsid w:val="000C6DC4"/>
    <w:rsid w:val="000D02EA"/>
    <w:rsid w:val="000D11A4"/>
    <w:rsid w:val="000D1AFC"/>
    <w:rsid w:val="000D216C"/>
    <w:rsid w:val="000D4E20"/>
    <w:rsid w:val="000D69F9"/>
    <w:rsid w:val="000D70FE"/>
    <w:rsid w:val="000E307C"/>
    <w:rsid w:val="000E49D1"/>
    <w:rsid w:val="000E6D77"/>
    <w:rsid w:val="000E704B"/>
    <w:rsid w:val="000E7738"/>
    <w:rsid w:val="000F35DF"/>
    <w:rsid w:val="000F5E36"/>
    <w:rsid w:val="001022A2"/>
    <w:rsid w:val="001025B7"/>
    <w:rsid w:val="00103337"/>
    <w:rsid w:val="00104A9D"/>
    <w:rsid w:val="00104DD9"/>
    <w:rsid w:val="0010519F"/>
    <w:rsid w:val="00110097"/>
    <w:rsid w:val="00111E7E"/>
    <w:rsid w:val="001136E4"/>
    <w:rsid w:val="0011384A"/>
    <w:rsid w:val="00114452"/>
    <w:rsid w:val="001149ED"/>
    <w:rsid w:val="0012002B"/>
    <w:rsid w:val="00125260"/>
    <w:rsid w:val="00127748"/>
    <w:rsid w:val="001334AC"/>
    <w:rsid w:val="00133AB2"/>
    <w:rsid w:val="00134AA9"/>
    <w:rsid w:val="00136032"/>
    <w:rsid w:val="00140F5A"/>
    <w:rsid w:val="00142262"/>
    <w:rsid w:val="00143E80"/>
    <w:rsid w:val="00151138"/>
    <w:rsid w:val="00152430"/>
    <w:rsid w:val="00153631"/>
    <w:rsid w:val="001537A7"/>
    <w:rsid w:val="00155C7A"/>
    <w:rsid w:val="001629FE"/>
    <w:rsid w:val="00163983"/>
    <w:rsid w:val="00166598"/>
    <w:rsid w:val="00167AE5"/>
    <w:rsid w:val="0017012D"/>
    <w:rsid w:val="001736F9"/>
    <w:rsid w:val="001741C1"/>
    <w:rsid w:val="0017547D"/>
    <w:rsid w:val="001765C0"/>
    <w:rsid w:val="00180F6B"/>
    <w:rsid w:val="001813CB"/>
    <w:rsid w:val="00190854"/>
    <w:rsid w:val="00190D72"/>
    <w:rsid w:val="0019413F"/>
    <w:rsid w:val="001960E8"/>
    <w:rsid w:val="00197EA0"/>
    <w:rsid w:val="001A2C7B"/>
    <w:rsid w:val="001B22C6"/>
    <w:rsid w:val="001B4427"/>
    <w:rsid w:val="001C6143"/>
    <w:rsid w:val="001D33B7"/>
    <w:rsid w:val="001D4B79"/>
    <w:rsid w:val="001D763E"/>
    <w:rsid w:val="001E3179"/>
    <w:rsid w:val="001E3834"/>
    <w:rsid w:val="001E68BA"/>
    <w:rsid w:val="001F1A48"/>
    <w:rsid w:val="001F23E9"/>
    <w:rsid w:val="001F4189"/>
    <w:rsid w:val="001F4FAA"/>
    <w:rsid w:val="001F4FEB"/>
    <w:rsid w:val="001F71B5"/>
    <w:rsid w:val="00200460"/>
    <w:rsid w:val="00200483"/>
    <w:rsid w:val="00200DD3"/>
    <w:rsid w:val="00201291"/>
    <w:rsid w:val="00201299"/>
    <w:rsid w:val="002040BE"/>
    <w:rsid w:val="00206DE6"/>
    <w:rsid w:val="0021047A"/>
    <w:rsid w:val="00210EB5"/>
    <w:rsid w:val="00211AFA"/>
    <w:rsid w:val="00212B1E"/>
    <w:rsid w:val="00213A30"/>
    <w:rsid w:val="00216071"/>
    <w:rsid w:val="002164F1"/>
    <w:rsid w:val="00217582"/>
    <w:rsid w:val="002225B6"/>
    <w:rsid w:val="00222987"/>
    <w:rsid w:val="00225B14"/>
    <w:rsid w:val="00226448"/>
    <w:rsid w:val="00226541"/>
    <w:rsid w:val="00227B11"/>
    <w:rsid w:val="00230D3E"/>
    <w:rsid w:val="00231C24"/>
    <w:rsid w:val="002323A3"/>
    <w:rsid w:val="00236E0D"/>
    <w:rsid w:val="00240DEF"/>
    <w:rsid w:val="00240DF6"/>
    <w:rsid w:val="00241964"/>
    <w:rsid w:val="00246842"/>
    <w:rsid w:val="00247FFD"/>
    <w:rsid w:val="002547B5"/>
    <w:rsid w:val="00261F4F"/>
    <w:rsid w:val="00262CEA"/>
    <w:rsid w:val="00264E36"/>
    <w:rsid w:val="002669DD"/>
    <w:rsid w:val="00274884"/>
    <w:rsid w:val="00274E28"/>
    <w:rsid w:val="00275FC4"/>
    <w:rsid w:val="002766EB"/>
    <w:rsid w:val="002835FC"/>
    <w:rsid w:val="00285D58"/>
    <w:rsid w:val="00285F60"/>
    <w:rsid w:val="00286F64"/>
    <w:rsid w:val="002873D1"/>
    <w:rsid w:val="00287AC5"/>
    <w:rsid w:val="002919A0"/>
    <w:rsid w:val="002937B7"/>
    <w:rsid w:val="00296D08"/>
    <w:rsid w:val="002A11E4"/>
    <w:rsid w:val="002A1345"/>
    <w:rsid w:val="002A2060"/>
    <w:rsid w:val="002A520D"/>
    <w:rsid w:val="002A611D"/>
    <w:rsid w:val="002A79AF"/>
    <w:rsid w:val="002B30C1"/>
    <w:rsid w:val="002B560A"/>
    <w:rsid w:val="002B799B"/>
    <w:rsid w:val="002C119C"/>
    <w:rsid w:val="002C16B8"/>
    <w:rsid w:val="002C1825"/>
    <w:rsid w:val="002C21DB"/>
    <w:rsid w:val="002C2875"/>
    <w:rsid w:val="002C28E8"/>
    <w:rsid w:val="002C2AF7"/>
    <w:rsid w:val="002C4754"/>
    <w:rsid w:val="002C6DD3"/>
    <w:rsid w:val="002D28AF"/>
    <w:rsid w:val="002D5876"/>
    <w:rsid w:val="002D5F54"/>
    <w:rsid w:val="002D7C9F"/>
    <w:rsid w:val="002E047E"/>
    <w:rsid w:val="002E2F00"/>
    <w:rsid w:val="002E312B"/>
    <w:rsid w:val="002E4C91"/>
    <w:rsid w:val="002E690E"/>
    <w:rsid w:val="002E730C"/>
    <w:rsid w:val="002F3242"/>
    <w:rsid w:val="002F36A6"/>
    <w:rsid w:val="002F5305"/>
    <w:rsid w:val="002F7713"/>
    <w:rsid w:val="0030189B"/>
    <w:rsid w:val="00305681"/>
    <w:rsid w:val="00305C29"/>
    <w:rsid w:val="00306D19"/>
    <w:rsid w:val="00307F1F"/>
    <w:rsid w:val="0031153C"/>
    <w:rsid w:val="00313A33"/>
    <w:rsid w:val="0031463E"/>
    <w:rsid w:val="00314A6C"/>
    <w:rsid w:val="00316286"/>
    <w:rsid w:val="00316D90"/>
    <w:rsid w:val="00317199"/>
    <w:rsid w:val="00322E73"/>
    <w:rsid w:val="00326017"/>
    <w:rsid w:val="003277EA"/>
    <w:rsid w:val="00327C91"/>
    <w:rsid w:val="00332926"/>
    <w:rsid w:val="0033330E"/>
    <w:rsid w:val="00333321"/>
    <w:rsid w:val="003347EE"/>
    <w:rsid w:val="00335371"/>
    <w:rsid w:val="00336D60"/>
    <w:rsid w:val="0033738B"/>
    <w:rsid w:val="003417BF"/>
    <w:rsid w:val="00341F7C"/>
    <w:rsid w:val="0034774F"/>
    <w:rsid w:val="003501EB"/>
    <w:rsid w:val="003510D6"/>
    <w:rsid w:val="00351FA7"/>
    <w:rsid w:val="00352B3F"/>
    <w:rsid w:val="00352E8D"/>
    <w:rsid w:val="003538B2"/>
    <w:rsid w:val="003558DE"/>
    <w:rsid w:val="00357632"/>
    <w:rsid w:val="003606D0"/>
    <w:rsid w:val="00367716"/>
    <w:rsid w:val="00374085"/>
    <w:rsid w:val="003850A3"/>
    <w:rsid w:val="00385532"/>
    <w:rsid w:val="0038559E"/>
    <w:rsid w:val="0038751E"/>
    <w:rsid w:val="0038797F"/>
    <w:rsid w:val="00387CA7"/>
    <w:rsid w:val="00391CE1"/>
    <w:rsid w:val="00392E4E"/>
    <w:rsid w:val="00392F5F"/>
    <w:rsid w:val="00393BEB"/>
    <w:rsid w:val="003A15D6"/>
    <w:rsid w:val="003A302B"/>
    <w:rsid w:val="003A365B"/>
    <w:rsid w:val="003A5320"/>
    <w:rsid w:val="003B114C"/>
    <w:rsid w:val="003B279F"/>
    <w:rsid w:val="003B30F1"/>
    <w:rsid w:val="003B3300"/>
    <w:rsid w:val="003B339A"/>
    <w:rsid w:val="003B384A"/>
    <w:rsid w:val="003B47F4"/>
    <w:rsid w:val="003B6CFA"/>
    <w:rsid w:val="003B739A"/>
    <w:rsid w:val="003C09ED"/>
    <w:rsid w:val="003C395E"/>
    <w:rsid w:val="003C6BD8"/>
    <w:rsid w:val="003D3024"/>
    <w:rsid w:val="003D4216"/>
    <w:rsid w:val="003D4562"/>
    <w:rsid w:val="003D5058"/>
    <w:rsid w:val="003E1C89"/>
    <w:rsid w:val="003E6A45"/>
    <w:rsid w:val="003F080C"/>
    <w:rsid w:val="003F0CE7"/>
    <w:rsid w:val="003F565B"/>
    <w:rsid w:val="003F5BE9"/>
    <w:rsid w:val="003F6A5E"/>
    <w:rsid w:val="00406842"/>
    <w:rsid w:val="00410E77"/>
    <w:rsid w:val="0041557F"/>
    <w:rsid w:val="0042551D"/>
    <w:rsid w:val="00425ECA"/>
    <w:rsid w:val="004267BE"/>
    <w:rsid w:val="00431DEC"/>
    <w:rsid w:val="004330BF"/>
    <w:rsid w:val="004374F0"/>
    <w:rsid w:val="0044129B"/>
    <w:rsid w:val="004430AC"/>
    <w:rsid w:val="00444CC1"/>
    <w:rsid w:val="00450074"/>
    <w:rsid w:val="00451644"/>
    <w:rsid w:val="00452FD7"/>
    <w:rsid w:val="004542FA"/>
    <w:rsid w:val="00455EC9"/>
    <w:rsid w:val="00460BAE"/>
    <w:rsid w:val="004638AC"/>
    <w:rsid w:val="00463A0E"/>
    <w:rsid w:val="00472DC8"/>
    <w:rsid w:val="00476ADE"/>
    <w:rsid w:val="00482667"/>
    <w:rsid w:val="00483E1B"/>
    <w:rsid w:val="0048426C"/>
    <w:rsid w:val="004848BE"/>
    <w:rsid w:val="004879A9"/>
    <w:rsid w:val="0049206A"/>
    <w:rsid w:val="00494815"/>
    <w:rsid w:val="0049544D"/>
    <w:rsid w:val="00496639"/>
    <w:rsid w:val="00497A8E"/>
    <w:rsid w:val="004A0749"/>
    <w:rsid w:val="004A0F9E"/>
    <w:rsid w:val="004A5B19"/>
    <w:rsid w:val="004B1FCA"/>
    <w:rsid w:val="004B248D"/>
    <w:rsid w:val="004B3263"/>
    <w:rsid w:val="004B40B2"/>
    <w:rsid w:val="004B49B3"/>
    <w:rsid w:val="004B4C93"/>
    <w:rsid w:val="004B5741"/>
    <w:rsid w:val="004B7B55"/>
    <w:rsid w:val="004C0E49"/>
    <w:rsid w:val="004C3D2A"/>
    <w:rsid w:val="004D0C03"/>
    <w:rsid w:val="004D3FF8"/>
    <w:rsid w:val="004D5179"/>
    <w:rsid w:val="004D584D"/>
    <w:rsid w:val="004D5DDD"/>
    <w:rsid w:val="004D7597"/>
    <w:rsid w:val="004E0510"/>
    <w:rsid w:val="004E183F"/>
    <w:rsid w:val="004E4219"/>
    <w:rsid w:val="004E762D"/>
    <w:rsid w:val="004F0AC4"/>
    <w:rsid w:val="004F48FA"/>
    <w:rsid w:val="004F4CE9"/>
    <w:rsid w:val="004F6B6A"/>
    <w:rsid w:val="004F7425"/>
    <w:rsid w:val="004F79DF"/>
    <w:rsid w:val="004F7E6C"/>
    <w:rsid w:val="00500198"/>
    <w:rsid w:val="00500586"/>
    <w:rsid w:val="005050BF"/>
    <w:rsid w:val="00506AD2"/>
    <w:rsid w:val="00507D4E"/>
    <w:rsid w:val="005104BD"/>
    <w:rsid w:val="005142D1"/>
    <w:rsid w:val="00517ADD"/>
    <w:rsid w:val="005226A3"/>
    <w:rsid w:val="00524D9A"/>
    <w:rsid w:val="0053174B"/>
    <w:rsid w:val="00532C46"/>
    <w:rsid w:val="00535884"/>
    <w:rsid w:val="00541F94"/>
    <w:rsid w:val="00542A4B"/>
    <w:rsid w:val="00544839"/>
    <w:rsid w:val="00544E54"/>
    <w:rsid w:val="005453D2"/>
    <w:rsid w:val="0054577B"/>
    <w:rsid w:val="00546EEC"/>
    <w:rsid w:val="00547660"/>
    <w:rsid w:val="00547A48"/>
    <w:rsid w:val="00550C3A"/>
    <w:rsid w:val="00555EFC"/>
    <w:rsid w:val="0056052C"/>
    <w:rsid w:val="00565D93"/>
    <w:rsid w:val="005739BD"/>
    <w:rsid w:val="00574C67"/>
    <w:rsid w:val="00577AF1"/>
    <w:rsid w:val="0058191A"/>
    <w:rsid w:val="00582B9E"/>
    <w:rsid w:val="00586B94"/>
    <w:rsid w:val="00587AE7"/>
    <w:rsid w:val="00590CAF"/>
    <w:rsid w:val="005915EF"/>
    <w:rsid w:val="00592183"/>
    <w:rsid w:val="005A102D"/>
    <w:rsid w:val="005A2084"/>
    <w:rsid w:val="005A2978"/>
    <w:rsid w:val="005A3469"/>
    <w:rsid w:val="005A4251"/>
    <w:rsid w:val="005A67E4"/>
    <w:rsid w:val="005B1096"/>
    <w:rsid w:val="005B1460"/>
    <w:rsid w:val="005B2902"/>
    <w:rsid w:val="005C2132"/>
    <w:rsid w:val="005C2BA0"/>
    <w:rsid w:val="005C439C"/>
    <w:rsid w:val="005C4A4E"/>
    <w:rsid w:val="005C50F3"/>
    <w:rsid w:val="005D04C2"/>
    <w:rsid w:val="005D1467"/>
    <w:rsid w:val="005D522E"/>
    <w:rsid w:val="005D5FDA"/>
    <w:rsid w:val="005D629B"/>
    <w:rsid w:val="005D64D2"/>
    <w:rsid w:val="005D6875"/>
    <w:rsid w:val="005E00C4"/>
    <w:rsid w:val="005E1640"/>
    <w:rsid w:val="005E2D7D"/>
    <w:rsid w:val="005E36B2"/>
    <w:rsid w:val="005E399B"/>
    <w:rsid w:val="005E42FF"/>
    <w:rsid w:val="005E7ED8"/>
    <w:rsid w:val="005F4486"/>
    <w:rsid w:val="005F68A2"/>
    <w:rsid w:val="00600263"/>
    <w:rsid w:val="00600813"/>
    <w:rsid w:val="0060099F"/>
    <w:rsid w:val="0060752D"/>
    <w:rsid w:val="006135D3"/>
    <w:rsid w:val="00616234"/>
    <w:rsid w:val="006202F6"/>
    <w:rsid w:val="00620319"/>
    <w:rsid w:val="00623A0E"/>
    <w:rsid w:val="0062406F"/>
    <w:rsid w:val="00625674"/>
    <w:rsid w:val="00632C7F"/>
    <w:rsid w:val="00637508"/>
    <w:rsid w:val="006377E4"/>
    <w:rsid w:val="006407F0"/>
    <w:rsid w:val="00641152"/>
    <w:rsid w:val="006412F5"/>
    <w:rsid w:val="00642695"/>
    <w:rsid w:val="006427E4"/>
    <w:rsid w:val="00643335"/>
    <w:rsid w:val="00645164"/>
    <w:rsid w:val="0064756D"/>
    <w:rsid w:val="00655E51"/>
    <w:rsid w:val="00656EE9"/>
    <w:rsid w:val="006605B0"/>
    <w:rsid w:val="006611E7"/>
    <w:rsid w:val="00662308"/>
    <w:rsid w:val="0066610A"/>
    <w:rsid w:val="00666927"/>
    <w:rsid w:val="006709CF"/>
    <w:rsid w:val="00674424"/>
    <w:rsid w:val="00675954"/>
    <w:rsid w:val="00676508"/>
    <w:rsid w:val="00677C79"/>
    <w:rsid w:val="00682FDE"/>
    <w:rsid w:val="0068342D"/>
    <w:rsid w:val="0068446C"/>
    <w:rsid w:val="006845D6"/>
    <w:rsid w:val="006975F4"/>
    <w:rsid w:val="006A071E"/>
    <w:rsid w:val="006A39B5"/>
    <w:rsid w:val="006A3E42"/>
    <w:rsid w:val="006A4FFA"/>
    <w:rsid w:val="006A50B3"/>
    <w:rsid w:val="006A50F9"/>
    <w:rsid w:val="006B3270"/>
    <w:rsid w:val="006B6BE4"/>
    <w:rsid w:val="006C3905"/>
    <w:rsid w:val="006C3F30"/>
    <w:rsid w:val="006C45F6"/>
    <w:rsid w:val="006C687A"/>
    <w:rsid w:val="006D0EF9"/>
    <w:rsid w:val="006D1E02"/>
    <w:rsid w:val="006D1F59"/>
    <w:rsid w:val="006D55B7"/>
    <w:rsid w:val="006E7AA4"/>
    <w:rsid w:val="006F381A"/>
    <w:rsid w:val="006F619A"/>
    <w:rsid w:val="006F7143"/>
    <w:rsid w:val="006F7C2E"/>
    <w:rsid w:val="00700E4F"/>
    <w:rsid w:val="00700FC9"/>
    <w:rsid w:val="0070260B"/>
    <w:rsid w:val="0070473F"/>
    <w:rsid w:val="00704C34"/>
    <w:rsid w:val="00705238"/>
    <w:rsid w:val="007054DB"/>
    <w:rsid w:val="00707B55"/>
    <w:rsid w:val="00715EE4"/>
    <w:rsid w:val="00715FCB"/>
    <w:rsid w:val="00715FED"/>
    <w:rsid w:val="00717801"/>
    <w:rsid w:val="007345CE"/>
    <w:rsid w:val="007379B1"/>
    <w:rsid w:val="007405B7"/>
    <w:rsid w:val="00743536"/>
    <w:rsid w:val="0075463F"/>
    <w:rsid w:val="00757926"/>
    <w:rsid w:val="00761A73"/>
    <w:rsid w:val="0076360D"/>
    <w:rsid w:val="00765473"/>
    <w:rsid w:val="007669BB"/>
    <w:rsid w:val="00777D75"/>
    <w:rsid w:val="0078509C"/>
    <w:rsid w:val="007861AA"/>
    <w:rsid w:val="007872D5"/>
    <w:rsid w:val="00787E3D"/>
    <w:rsid w:val="007915F1"/>
    <w:rsid w:val="00796E06"/>
    <w:rsid w:val="007975AC"/>
    <w:rsid w:val="007A4CC1"/>
    <w:rsid w:val="007A7C9B"/>
    <w:rsid w:val="007B0F18"/>
    <w:rsid w:val="007B42D3"/>
    <w:rsid w:val="007C0DB4"/>
    <w:rsid w:val="007C2DB5"/>
    <w:rsid w:val="007C629A"/>
    <w:rsid w:val="007D0516"/>
    <w:rsid w:val="007D0944"/>
    <w:rsid w:val="007D1D66"/>
    <w:rsid w:val="007D4F22"/>
    <w:rsid w:val="007D786C"/>
    <w:rsid w:val="007E27B1"/>
    <w:rsid w:val="007E4DD7"/>
    <w:rsid w:val="007F11CA"/>
    <w:rsid w:val="007F2023"/>
    <w:rsid w:val="007F4925"/>
    <w:rsid w:val="007F74E2"/>
    <w:rsid w:val="007F7900"/>
    <w:rsid w:val="007F7E9A"/>
    <w:rsid w:val="00801CA9"/>
    <w:rsid w:val="00802B37"/>
    <w:rsid w:val="008032D7"/>
    <w:rsid w:val="00805519"/>
    <w:rsid w:val="00810736"/>
    <w:rsid w:val="00813353"/>
    <w:rsid w:val="008138E7"/>
    <w:rsid w:val="0081461F"/>
    <w:rsid w:val="008202AE"/>
    <w:rsid w:val="008206A9"/>
    <w:rsid w:val="00824919"/>
    <w:rsid w:val="00830182"/>
    <w:rsid w:val="00832D8F"/>
    <w:rsid w:val="00832EFE"/>
    <w:rsid w:val="00833AAA"/>
    <w:rsid w:val="00835872"/>
    <w:rsid w:val="00840114"/>
    <w:rsid w:val="008409C7"/>
    <w:rsid w:val="00846D1C"/>
    <w:rsid w:val="00847137"/>
    <w:rsid w:val="00847289"/>
    <w:rsid w:val="008639CE"/>
    <w:rsid w:val="008649C5"/>
    <w:rsid w:val="00864FCE"/>
    <w:rsid w:val="008651B2"/>
    <w:rsid w:val="00872D15"/>
    <w:rsid w:val="008748CA"/>
    <w:rsid w:val="00875FE0"/>
    <w:rsid w:val="00876605"/>
    <w:rsid w:val="00877A92"/>
    <w:rsid w:val="00877F3C"/>
    <w:rsid w:val="00881C58"/>
    <w:rsid w:val="008850C9"/>
    <w:rsid w:val="008918E3"/>
    <w:rsid w:val="00892A10"/>
    <w:rsid w:val="00894B0D"/>
    <w:rsid w:val="008950DB"/>
    <w:rsid w:val="008966DF"/>
    <w:rsid w:val="00897015"/>
    <w:rsid w:val="0089779E"/>
    <w:rsid w:val="008A15A7"/>
    <w:rsid w:val="008A34DF"/>
    <w:rsid w:val="008B3BE5"/>
    <w:rsid w:val="008B417F"/>
    <w:rsid w:val="008B54B7"/>
    <w:rsid w:val="008C1123"/>
    <w:rsid w:val="008D0147"/>
    <w:rsid w:val="008D0D23"/>
    <w:rsid w:val="008D15B1"/>
    <w:rsid w:val="008D3279"/>
    <w:rsid w:val="008D3A2C"/>
    <w:rsid w:val="008D5F87"/>
    <w:rsid w:val="008D6A76"/>
    <w:rsid w:val="008D6C6D"/>
    <w:rsid w:val="008E2C8D"/>
    <w:rsid w:val="008E3286"/>
    <w:rsid w:val="008E3B5B"/>
    <w:rsid w:val="008E5572"/>
    <w:rsid w:val="008E5EC2"/>
    <w:rsid w:val="008E7E2C"/>
    <w:rsid w:val="008F3CCB"/>
    <w:rsid w:val="008F6D21"/>
    <w:rsid w:val="009070DC"/>
    <w:rsid w:val="00907392"/>
    <w:rsid w:val="009078B2"/>
    <w:rsid w:val="00910214"/>
    <w:rsid w:val="009107FB"/>
    <w:rsid w:val="009129A1"/>
    <w:rsid w:val="009131DD"/>
    <w:rsid w:val="00917AD1"/>
    <w:rsid w:val="00921925"/>
    <w:rsid w:val="00921D64"/>
    <w:rsid w:val="00926A7C"/>
    <w:rsid w:val="00927F73"/>
    <w:rsid w:val="00931710"/>
    <w:rsid w:val="0093424E"/>
    <w:rsid w:val="00937675"/>
    <w:rsid w:val="00940BE3"/>
    <w:rsid w:val="00941193"/>
    <w:rsid w:val="00941C43"/>
    <w:rsid w:val="009441E4"/>
    <w:rsid w:val="00945306"/>
    <w:rsid w:val="009464BA"/>
    <w:rsid w:val="00950126"/>
    <w:rsid w:val="00956001"/>
    <w:rsid w:val="00956C57"/>
    <w:rsid w:val="009616DC"/>
    <w:rsid w:val="0096693E"/>
    <w:rsid w:val="00972FDC"/>
    <w:rsid w:val="00975081"/>
    <w:rsid w:val="00976226"/>
    <w:rsid w:val="00977214"/>
    <w:rsid w:val="009816F5"/>
    <w:rsid w:val="00993687"/>
    <w:rsid w:val="009968E4"/>
    <w:rsid w:val="009A05AC"/>
    <w:rsid w:val="009A06CC"/>
    <w:rsid w:val="009A5F9F"/>
    <w:rsid w:val="009A7C7B"/>
    <w:rsid w:val="009B0E17"/>
    <w:rsid w:val="009B3D87"/>
    <w:rsid w:val="009B4A81"/>
    <w:rsid w:val="009B6680"/>
    <w:rsid w:val="009C0914"/>
    <w:rsid w:val="009C25F5"/>
    <w:rsid w:val="009C27B1"/>
    <w:rsid w:val="009C3DC2"/>
    <w:rsid w:val="009C4895"/>
    <w:rsid w:val="009C4AAF"/>
    <w:rsid w:val="009C6789"/>
    <w:rsid w:val="009C6C87"/>
    <w:rsid w:val="009C7194"/>
    <w:rsid w:val="009C7C68"/>
    <w:rsid w:val="009C7ECD"/>
    <w:rsid w:val="009D2AA3"/>
    <w:rsid w:val="009D643B"/>
    <w:rsid w:val="009D7ADA"/>
    <w:rsid w:val="009E0F12"/>
    <w:rsid w:val="009E41BC"/>
    <w:rsid w:val="009F09EB"/>
    <w:rsid w:val="009F0EF1"/>
    <w:rsid w:val="009F36FE"/>
    <w:rsid w:val="00A02017"/>
    <w:rsid w:val="00A024E1"/>
    <w:rsid w:val="00A05714"/>
    <w:rsid w:val="00A06608"/>
    <w:rsid w:val="00A102D9"/>
    <w:rsid w:val="00A1098C"/>
    <w:rsid w:val="00A11AC7"/>
    <w:rsid w:val="00A17B27"/>
    <w:rsid w:val="00A20B0E"/>
    <w:rsid w:val="00A22048"/>
    <w:rsid w:val="00A23787"/>
    <w:rsid w:val="00A24D53"/>
    <w:rsid w:val="00A25BD2"/>
    <w:rsid w:val="00A26360"/>
    <w:rsid w:val="00A27955"/>
    <w:rsid w:val="00A3457D"/>
    <w:rsid w:val="00A35032"/>
    <w:rsid w:val="00A37587"/>
    <w:rsid w:val="00A42213"/>
    <w:rsid w:val="00A47436"/>
    <w:rsid w:val="00A512DA"/>
    <w:rsid w:val="00A521FA"/>
    <w:rsid w:val="00A55CC1"/>
    <w:rsid w:val="00A564F5"/>
    <w:rsid w:val="00A61591"/>
    <w:rsid w:val="00A632B3"/>
    <w:rsid w:val="00A63A4D"/>
    <w:rsid w:val="00A63EDA"/>
    <w:rsid w:val="00A7011D"/>
    <w:rsid w:val="00A70EA3"/>
    <w:rsid w:val="00A75B92"/>
    <w:rsid w:val="00A75ECC"/>
    <w:rsid w:val="00A76F04"/>
    <w:rsid w:val="00A77F73"/>
    <w:rsid w:val="00A868C5"/>
    <w:rsid w:val="00A86E60"/>
    <w:rsid w:val="00A91309"/>
    <w:rsid w:val="00A930EA"/>
    <w:rsid w:val="00A938A2"/>
    <w:rsid w:val="00A94E86"/>
    <w:rsid w:val="00A95F19"/>
    <w:rsid w:val="00AA06BC"/>
    <w:rsid w:val="00AA1FC9"/>
    <w:rsid w:val="00AA4415"/>
    <w:rsid w:val="00AA443F"/>
    <w:rsid w:val="00AA460C"/>
    <w:rsid w:val="00AA7971"/>
    <w:rsid w:val="00AA7B68"/>
    <w:rsid w:val="00AB2972"/>
    <w:rsid w:val="00AB52BE"/>
    <w:rsid w:val="00AB5961"/>
    <w:rsid w:val="00AC00D2"/>
    <w:rsid w:val="00AC3446"/>
    <w:rsid w:val="00AC5D88"/>
    <w:rsid w:val="00AC68E1"/>
    <w:rsid w:val="00AC7550"/>
    <w:rsid w:val="00AD1373"/>
    <w:rsid w:val="00AD1523"/>
    <w:rsid w:val="00AD2D1A"/>
    <w:rsid w:val="00AD3F18"/>
    <w:rsid w:val="00AD7B22"/>
    <w:rsid w:val="00AE21FA"/>
    <w:rsid w:val="00AF0C8A"/>
    <w:rsid w:val="00AF24BF"/>
    <w:rsid w:val="00AF3750"/>
    <w:rsid w:val="00AF3D27"/>
    <w:rsid w:val="00AF71D1"/>
    <w:rsid w:val="00AF7F10"/>
    <w:rsid w:val="00B00681"/>
    <w:rsid w:val="00B01085"/>
    <w:rsid w:val="00B036A8"/>
    <w:rsid w:val="00B048A2"/>
    <w:rsid w:val="00B1108B"/>
    <w:rsid w:val="00B15396"/>
    <w:rsid w:val="00B15628"/>
    <w:rsid w:val="00B22292"/>
    <w:rsid w:val="00B2252C"/>
    <w:rsid w:val="00B26AE2"/>
    <w:rsid w:val="00B275BE"/>
    <w:rsid w:val="00B278FA"/>
    <w:rsid w:val="00B27BA7"/>
    <w:rsid w:val="00B30AE5"/>
    <w:rsid w:val="00B3198A"/>
    <w:rsid w:val="00B327B4"/>
    <w:rsid w:val="00B34768"/>
    <w:rsid w:val="00B36255"/>
    <w:rsid w:val="00B3653D"/>
    <w:rsid w:val="00B36C11"/>
    <w:rsid w:val="00B37BAB"/>
    <w:rsid w:val="00B433FF"/>
    <w:rsid w:val="00B457DB"/>
    <w:rsid w:val="00B50992"/>
    <w:rsid w:val="00B538BF"/>
    <w:rsid w:val="00B54DFD"/>
    <w:rsid w:val="00B57187"/>
    <w:rsid w:val="00B608EC"/>
    <w:rsid w:val="00B629D2"/>
    <w:rsid w:val="00B65545"/>
    <w:rsid w:val="00B67BCE"/>
    <w:rsid w:val="00B72CAE"/>
    <w:rsid w:val="00B755EC"/>
    <w:rsid w:val="00B75F0D"/>
    <w:rsid w:val="00B76ACC"/>
    <w:rsid w:val="00B76C4E"/>
    <w:rsid w:val="00B76FDE"/>
    <w:rsid w:val="00B7714A"/>
    <w:rsid w:val="00B82798"/>
    <w:rsid w:val="00B83277"/>
    <w:rsid w:val="00B83BE8"/>
    <w:rsid w:val="00B87504"/>
    <w:rsid w:val="00B87754"/>
    <w:rsid w:val="00B91D46"/>
    <w:rsid w:val="00B9346D"/>
    <w:rsid w:val="00B9361B"/>
    <w:rsid w:val="00B93A0B"/>
    <w:rsid w:val="00BA09D4"/>
    <w:rsid w:val="00BA33F8"/>
    <w:rsid w:val="00BA572B"/>
    <w:rsid w:val="00BA7209"/>
    <w:rsid w:val="00BB12F7"/>
    <w:rsid w:val="00BB2934"/>
    <w:rsid w:val="00BB2A5F"/>
    <w:rsid w:val="00BB46D7"/>
    <w:rsid w:val="00BB4864"/>
    <w:rsid w:val="00BB566E"/>
    <w:rsid w:val="00BC37F5"/>
    <w:rsid w:val="00BC4C84"/>
    <w:rsid w:val="00BD052E"/>
    <w:rsid w:val="00BD720B"/>
    <w:rsid w:val="00BE0440"/>
    <w:rsid w:val="00BE0EC5"/>
    <w:rsid w:val="00BE3233"/>
    <w:rsid w:val="00BE4DEE"/>
    <w:rsid w:val="00BE65A3"/>
    <w:rsid w:val="00BF1898"/>
    <w:rsid w:val="00BF2E6E"/>
    <w:rsid w:val="00BF311F"/>
    <w:rsid w:val="00C004AF"/>
    <w:rsid w:val="00C027E2"/>
    <w:rsid w:val="00C03D7B"/>
    <w:rsid w:val="00C0491B"/>
    <w:rsid w:val="00C05704"/>
    <w:rsid w:val="00C07220"/>
    <w:rsid w:val="00C11396"/>
    <w:rsid w:val="00C11B29"/>
    <w:rsid w:val="00C11E96"/>
    <w:rsid w:val="00C15B02"/>
    <w:rsid w:val="00C15C5E"/>
    <w:rsid w:val="00C16552"/>
    <w:rsid w:val="00C20070"/>
    <w:rsid w:val="00C225AF"/>
    <w:rsid w:val="00C23C3A"/>
    <w:rsid w:val="00C27153"/>
    <w:rsid w:val="00C30034"/>
    <w:rsid w:val="00C3439E"/>
    <w:rsid w:val="00C4086C"/>
    <w:rsid w:val="00C40D3E"/>
    <w:rsid w:val="00C4358D"/>
    <w:rsid w:val="00C45E62"/>
    <w:rsid w:val="00C470DD"/>
    <w:rsid w:val="00C473FD"/>
    <w:rsid w:val="00C47D08"/>
    <w:rsid w:val="00C50274"/>
    <w:rsid w:val="00C5044E"/>
    <w:rsid w:val="00C50797"/>
    <w:rsid w:val="00C50C56"/>
    <w:rsid w:val="00C52044"/>
    <w:rsid w:val="00C53FE4"/>
    <w:rsid w:val="00C54467"/>
    <w:rsid w:val="00C55BFD"/>
    <w:rsid w:val="00C56439"/>
    <w:rsid w:val="00C57FD5"/>
    <w:rsid w:val="00C60223"/>
    <w:rsid w:val="00C61D99"/>
    <w:rsid w:val="00C6709B"/>
    <w:rsid w:val="00C7264B"/>
    <w:rsid w:val="00C75408"/>
    <w:rsid w:val="00C76A69"/>
    <w:rsid w:val="00C825BF"/>
    <w:rsid w:val="00C83CA0"/>
    <w:rsid w:val="00C83FF0"/>
    <w:rsid w:val="00C84BF5"/>
    <w:rsid w:val="00C86D14"/>
    <w:rsid w:val="00C9067F"/>
    <w:rsid w:val="00C91875"/>
    <w:rsid w:val="00C93BDB"/>
    <w:rsid w:val="00CA0963"/>
    <w:rsid w:val="00CA5A53"/>
    <w:rsid w:val="00CA6D19"/>
    <w:rsid w:val="00CB0680"/>
    <w:rsid w:val="00CB1B2C"/>
    <w:rsid w:val="00CB281F"/>
    <w:rsid w:val="00CB3F10"/>
    <w:rsid w:val="00CB604A"/>
    <w:rsid w:val="00CB777B"/>
    <w:rsid w:val="00CC0D8B"/>
    <w:rsid w:val="00CC36D9"/>
    <w:rsid w:val="00CC5ED4"/>
    <w:rsid w:val="00CC63B1"/>
    <w:rsid w:val="00CD0201"/>
    <w:rsid w:val="00CD31BC"/>
    <w:rsid w:val="00CD3489"/>
    <w:rsid w:val="00CD6C08"/>
    <w:rsid w:val="00CE11EC"/>
    <w:rsid w:val="00CE5F6E"/>
    <w:rsid w:val="00CE74FC"/>
    <w:rsid w:val="00CE7808"/>
    <w:rsid w:val="00CF3A67"/>
    <w:rsid w:val="00CF3C92"/>
    <w:rsid w:val="00CF49AF"/>
    <w:rsid w:val="00D06308"/>
    <w:rsid w:val="00D07C49"/>
    <w:rsid w:val="00D126B2"/>
    <w:rsid w:val="00D159C0"/>
    <w:rsid w:val="00D20F37"/>
    <w:rsid w:val="00D21AA5"/>
    <w:rsid w:val="00D22C27"/>
    <w:rsid w:val="00D2350B"/>
    <w:rsid w:val="00D235CA"/>
    <w:rsid w:val="00D24183"/>
    <w:rsid w:val="00D247B1"/>
    <w:rsid w:val="00D26505"/>
    <w:rsid w:val="00D26ED1"/>
    <w:rsid w:val="00D30A66"/>
    <w:rsid w:val="00D313DF"/>
    <w:rsid w:val="00D31B58"/>
    <w:rsid w:val="00D3249C"/>
    <w:rsid w:val="00D33199"/>
    <w:rsid w:val="00D36680"/>
    <w:rsid w:val="00D36F6A"/>
    <w:rsid w:val="00D411CD"/>
    <w:rsid w:val="00D43D26"/>
    <w:rsid w:val="00D5398C"/>
    <w:rsid w:val="00D56667"/>
    <w:rsid w:val="00D60D42"/>
    <w:rsid w:val="00D61B15"/>
    <w:rsid w:val="00D6289F"/>
    <w:rsid w:val="00D636CB"/>
    <w:rsid w:val="00D6510E"/>
    <w:rsid w:val="00D70DC8"/>
    <w:rsid w:val="00D83928"/>
    <w:rsid w:val="00D83B1E"/>
    <w:rsid w:val="00D83CDE"/>
    <w:rsid w:val="00D84712"/>
    <w:rsid w:val="00D84FA2"/>
    <w:rsid w:val="00D85666"/>
    <w:rsid w:val="00D864F8"/>
    <w:rsid w:val="00D8799F"/>
    <w:rsid w:val="00D912B7"/>
    <w:rsid w:val="00D95664"/>
    <w:rsid w:val="00D95781"/>
    <w:rsid w:val="00D978F0"/>
    <w:rsid w:val="00DA1B63"/>
    <w:rsid w:val="00DA4BF7"/>
    <w:rsid w:val="00DA4F54"/>
    <w:rsid w:val="00DA637A"/>
    <w:rsid w:val="00DA6A1E"/>
    <w:rsid w:val="00DB2261"/>
    <w:rsid w:val="00DB3A2F"/>
    <w:rsid w:val="00DB6067"/>
    <w:rsid w:val="00DB6C62"/>
    <w:rsid w:val="00DB75F6"/>
    <w:rsid w:val="00DC0936"/>
    <w:rsid w:val="00DC26A1"/>
    <w:rsid w:val="00DC3255"/>
    <w:rsid w:val="00DC3900"/>
    <w:rsid w:val="00DC4CEB"/>
    <w:rsid w:val="00DC6657"/>
    <w:rsid w:val="00DC6705"/>
    <w:rsid w:val="00DD3F1E"/>
    <w:rsid w:val="00DD627B"/>
    <w:rsid w:val="00DD70A8"/>
    <w:rsid w:val="00DE1ABF"/>
    <w:rsid w:val="00DE2718"/>
    <w:rsid w:val="00DE6219"/>
    <w:rsid w:val="00DF2ECC"/>
    <w:rsid w:val="00DF3DD0"/>
    <w:rsid w:val="00DF4094"/>
    <w:rsid w:val="00DF4D7A"/>
    <w:rsid w:val="00DF7436"/>
    <w:rsid w:val="00DF7785"/>
    <w:rsid w:val="00E00387"/>
    <w:rsid w:val="00E0228E"/>
    <w:rsid w:val="00E02AE0"/>
    <w:rsid w:val="00E069AB"/>
    <w:rsid w:val="00E1621E"/>
    <w:rsid w:val="00E20279"/>
    <w:rsid w:val="00E21C16"/>
    <w:rsid w:val="00E22C55"/>
    <w:rsid w:val="00E22CF3"/>
    <w:rsid w:val="00E23399"/>
    <w:rsid w:val="00E3175B"/>
    <w:rsid w:val="00E3480F"/>
    <w:rsid w:val="00E35423"/>
    <w:rsid w:val="00E428DB"/>
    <w:rsid w:val="00E4357B"/>
    <w:rsid w:val="00E514C0"/>
    <w:rsid w:val="00E52407"/>
    <w:rsid w:val="00E54F3C"/>
    <w:rsid w:val="00E56A2A"/>
    <w:rsid w:val="00E611DF"/>
    <w:rsid w:val="00E638E0"/>
    <w:rsid w:val="00E63C30"/>
    <w:rsid w:val="00E653DB"/>
    <w:rsid w:val="00E65CD8"/>
    <w:rsid w:val="00E717CA"/>
    <w:rsid w:val="00E721E7"/>
    <w:rsid w:val="00E734EF"/>
    <w:rsid w:val="00E752AC"/>
    <w:rsid w:val="00E755C7"/>
    <w:rsid w:val="00E8451B"/>
    <w:rsid w:val="00E84C32"/>
    <w:rsid w:val="00E93965"/>
    <w:rsid w:val="00E94643"/>
    <w:rsid w:val="00E965D4"/>
    <w:rsid w:val="00EA0568"/>
    <w:rsid w:val="00EB1CD6"/>
    <w:rsid w:val="00EC0257"/>
    <w:rsid w:val="00EC06CC"/>
    <w:rsid w:val="00EC5B23"/>
    <w:rsid w:val="00EC669E"/>
    <w:rsid w:val="00EC6AC7"/>
    <w:rsid w:val="00ED0EE8"/>
    <w:rsid w:val="00ED22DE"/>
    <w:rsid w:val="00ED2392"/>
    <w:rsid w:val="00ED2841"/>
    <w:rsid w:val="00ED6771"/>
    <w:rsid w:val="00ED7049"/>
    <w:rsid w:val="00EE0076"/>
    <w:rsid w:val="00EE0B25"/>
    <w:rsid w:val="00EE27A9"/>
    <w:rsid w:val="00EE4084"/>
    <w:rsid w:val="00EE598D"/>
    <w:rsid w:val="00EE67EF"/>
    <w:rsid w:val="00EE7BB1"/>
    <w:rsid w:val="00EF26A7"/>
    <w:rsid w:val="00EF523E"/>
    <w:rsid w:val="00F0302A"/>
    <w:rsid w:val="00F16DAF"/>
    <w:rsid w:val="00F226C6"/>
    <w:rsid w:val="00F23C52"/>
    <w:rsid w:val="00F23DDF"/>
    <w:rsid w:val="00F2750C"/>
    <w:rsid w:val="00F30F59"/>
    <w:rsid w:val="00F33972"/>
    <w:rsid w:val="00F3611B"/>
    <w:rsid w:val="00F361F1"/>
    <w:rsid w:val="00F3685D"/>
    <w:rsid w:val="00F37346"/>
    <w:rsid w:val="00F427C6"/>
    <w:rsid w:val="00F450A4"/>
    <w:rsid w:val="00F508BF"/>
    <w:rsid w:val="00F50EE8"/>
    <w:rsid w:val="00F51119"/>
    <w:rsid w:val="00F53E2A"/>
    <w:rsid w:val="00F6056C"/>
    <w:rsid w:val="00F61789"/>
    <w:rsid w:val="00F627BA"/>
    <w:rsid w:val="00F67A59"/>
    <w:rsid w:val="00F7023C"/>
    <w:rsid w:val="00F75B31"/>
    <w:rsid w:val="00F77A6D"/>
    <w:rsid w:val="00F85F36"/>
    <w:rsid w:val="00F8641C"/>
    <w:rsid w:val="00F9497C"/>
    <w:rsid w:val="00F97434"/>
    <w:rsid w:val="00FA0D1D"/>
    <w:rsid w:val="00FA1783"/>
    <w:rsid w:val="00FA1B26"/>
    <w:rsid w:val="00FA6CD4"/>
    <w:rsid w:val="00FB16A2"/>
    <w:rsid w:val="00FB1950"/>
    <w:rsid w:val="00FC0B65"/>
    <w:rsid w:val="00FC1794"/>
    <w:rsid w:val="00FC33D2"/>
    <w:rsid w:val="00FC494B"/>
    <w:rsid w:val="00FC62D1"/>
    <w:rsid w:val="00FC6985"/>
    <w:rsid w:val="00FD0AEB"/>
    <w:rsid w:val="00FD3BF9"/>
    <w:rsid w:val="00FD4941"/>
    <w:rsid w:val="00FD6682"/>
    <w:rsid w:val="00FD776B"/>
    <w:rsid w:val="00FE0E76"/>
    <w:rsid w:val="00FE1659"/>
    <w:rsid w:val="00FE4940"/>
    <w:rsid w:val="00FE4C89"/>
    <w:rsid w:val="00FE522D"/>
    <w:rsid w:val="00FF4A63"/>
    <w:rsid w:val="00FF5A65"/>
    <w:rsid w:val="00FF76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505"/>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Level1">
    <w:name w:val=".CON  Level   1."/>
    <w:basedOn w:val="Normal"/>
    <w:next w:val="Normal"/>
    <w:rsid w:val="00D26505"/>
    <w:pPr>
      <w:keepNext/>
      <w:numPr>
        <w:numId w:val="1"/>
      </w:numPr>
      <w:spacing w:before="240"/>
      <w:outlineLvl w:val="1"/>
    </w:pPr>
    <w:rPr>
      <w:rFonts w:ascii="Times New Roman" w:hAnsi="Times New Roman" w:cs="Times New Roman"/>
      <w:b/>
      <w:szCs w:val="22"/>
    </w:rPr>
  </w:style>
  <w:style w:type="paragraph" w:customStyle="1" w:styleId="CONLevel11">
    <w:name w:val=".CON  Level   1.1"/>
    <w:basedOn w:val="Normal"/>
    <w:next w:val="Normal"/>
    <w:rsid w:val="00D26505"/>
    <w:pPr>
      <w:numPr>
        <w:ilvl w:val="1"/>
        <w:numId w:val="1"/>
      </w:numPr>
      <w:spacing w:before="240"/>
      <w:outlineLvl w:val="2"/>
    </w:pPr>
    <w:rPr>
      <w:rFonts w:ascii="Times New Roman" w:hAnsi="Times New Roman" w:cs="Times New Roman"/>
      <w:szCs w:val="22"/>
    </w:rPr>
  </w:style>
  <w:style w:type="paragraph" w:customStyle="1" w:styleId="CONLevela">
    <w:name w:val=".CON  Level  (a)"/>
    <w:basedOn w:val="Normal"/>
    <w:next w:val="Normal"/>
    <w:rsid w:val="00D26505"/>
    <w:pPr>
      <w:numPr>
        <w:ilvl w:val="2"/>
        <w:numId w:val="1"/>
      </w:numPr>
      <w:spacing w:before="240"/>
      <w:outlineLvl w:val="3"/>
    </w:pPr>
    <w:rPr>
      <w:rFonts w:ascii="Times New Roman" w:hAnsi="Times New Roman" w:cs="Times New Roman"/>
      <w:szCs w:val="22"/>
    </w:rPr>
  </w:style>
  <w:style w:type="paragraph" w:customStyle="1" w:styleId="CONLeveli">
    <w:name w:val=".CON  Level  (i)"/>
    <w:basedOn w:val="Normal"/>
    <w:next w:val="Normal"/>
    <w:rsid w:val="00D26505"/>
    <w:pPr>
      <w:numPr>
        <w:ilvl w:val="3"/>
        <w:numId w:val="1"/>
      </w:numPr>
      <w:spacing w:before="240"/>
      <w:outlineLvl w:val="4"/>
    </w:pPr>
    <w:rPr>
      <w:rFonts w:ascii="Times New Roman" w:hAnsi="Times New Roman" w:cs="Times New Roman"/>
      <w:szCs w:val="22"/>
    </w:rPr>
  </w:style>
  <w:style w:type="paragraph" w:customStyle="1" w:styleId="CONLevelA0">
    <w:name w:val=".CON  Level (A)"/>
    <w:basedOn w:val="Normal"/>
    <w:next w:val="Normal"/>
    <w:rsid w:val="00D26505"/>
    <w:pPr>
      <w:numPr>
        <w:ilvl w:val="4"/>
        <w:numId w:val="1"/>
      </w:numPr>
      <w:spacing w:before="240"/>
      <w:outlineLvl w:val="5"/>
    </w:pPr>
    <w:rPr>
      <w:rFonts w:ascii="Times New Roman" w:hAnsi="Times New Roman" w:cs="Times New Roman"/>
      <w:szCs w:val="22"/>
    </w:rPr>
  </w:style>
  <w:style w:type="paragraph" w:customStyle="1" w:styleId="CONLevelI0">
    <w:name w:val=".CON  Level (I)"/>
    <w:basedOn w:val="Normal"/>
    <w:next w:val="Normal"/>
    <w:rsid w:val="00D26505"/>
    <w:pPr>
      <w:numPr>
        <w:ilvl w:val="5"/>
        <w:numId w:val="1"/>
      </w:numPr>
      <w:spacing w:before="240"/>
      <w:outlineLvl w:val="6"/>
    </w:pPr>
    <w:rPr>
      <w:rFonts w:ascii="Times New Roman" w:hAnsi="Times New Roman" w:cs="Times New Roman"/>
      <w:szCs w:val="22"/>
    </w:rPr>
  </w:style>
  <w:style w:type="character" w:styleId="Hyperlink">
    <w:name w:val="Hyperlink"/>
    <w:basedOn w:val="DefaultParagraphFont"/>
    <w:rsid w:val="002A1345"/>
    <w:rPr>
      <w:color w:val="0000FF"/>
      <w:u w:val="single"/>
    </w:rPr>
  </w:style>
  <w:style w:type="paragraph" w:styleId="BalloonText">
    <w:name w:val="Balloon Text"/>
    <w:basedOn w:val="Normal"/>
    <w:semiHidden/>
    <w:rsid w:val="002A1345"/>
    <w:rPr>
      <w:rFonts w:ascii="Tahoma" w:hAnsi="Tahoma" w:cs="Tahoma"/>
      <w:sz w:val="16"/>
      <w:szCs w:val="16"/>
    </w:rPr>
  </w:style>
  <w:style w:type="paragraph" w:styleId="Header">
    <w:name w:val="header"/>
    <w:basedOn w:val="Normal"/>
    <w:rsid w:val="006C45F6"/>
    <w:pPr>
      <w:tabs>
        <w:tab w:val="center" w:pos="4153"/>
        <w:tab w:val="right" w:pos="8306"/>
      </w:tabs>
    </w:pPr>
    <w:rPr>
      <w:rFonts w:ascii="Times New Roman" w:hAnsi="Times New Roman" w:cs="Times New Roman"/>
      <w:lang w:val="en-GB"/>
    </w:rPr>
  </w:style>
  <w:style w:type="paragraph" w:styleId="Footer">
    <w:name w:val="footer"/>
    <w:basedOn w:val="Normal"/>
    <w:link w:val="FooterChar"/>
    <w:uiPriority w:val="99"/>
    <w:rsid w:val="006C45F6"/>
    <w:pPr>
      <w:tabs>
        <w:tab w:val="center" w:pos="4153"/>
        <w:tab w:val="right" w:pos="8306"/>
      </w:tabs>
    </w:pPr>
    <w:rPr>
      <w:rFonts w:ascii="Times New Roman" w:hAnsi="Times New Roman" w:cs="Times New Roman"/>
      <w:lang w:val="en-GB"/>
    </w:rPr>
  </w:style>
  <w:style w:type="character" w:styleId="PageNumber">
    <w:name w:val="page number"/>
    <w:basedOn w:val="DefaultParagraphFont"/>
    <w:rsid w:val="006C45F6"/>
  </w:style>
  <w:style w:type="paragraph" w:styleId="ListParagraph">
    <w:name w:val="List Paragraph"/>
    <w:basedOn w:val="Normal"/>
    <w:uiPriority w:val="34"/>
    <w:qFormat/>
    <w:rsid w:val="008649C5"/>
    <w:pPr>
      <w:ind w:left="720"/>
      <w:contextualSpacing/>
    </w:pPr>
  </w:style>
  <w:style w:type="table" w:styleId="TableGrid">
    <w:name w:val="Table Grid"/>
    <w:basedOn w:val="TableNormal"/>
    <w:uiPriority w:val="59"/>
    <w:rsid w:val="004B574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4B5741"/>
    <w:pPr>
      <w:autoSpaceDE w:val="0"/>
      <w:autoSpaceDN w:val="0"/>
    </w:pPr>
    <w:rPr>
      <w:rFonts w:eastAsiaTheme="minorHAnsi"/>
      <w:color w:val="000000"/>
      <w:lang w:eastAsia="en-AU"/>
    </w:rPr>
  </w:style>
  <w:style w:type="paragraph" w:styleId="NormalWeb">
    <w:name w:val="Normal (Web)"/>
    <w:basedOn w:val="Normal"/>
    <w:uiPriority w:val="99"/>
    <w:unhideWhenUsed/>
    <w:rsid w:val="004B5741"/>
    <w:rPr>
      <w:rFonts w:ascii="Times New Roman" w:hAnsi="Times New Roman" w:cs="Times New Roman"/>
      <w:lang w:eastAsia="en-AU"/>
    </w:rPr>
  </w:style>
  <w:style w:type="character" w:styleId="CommentReference">
    <w:name w:val="annotation reference"/>
    <w:basedOn w:val="DefaultParagraphFont"/>
    <w:uiPriority w:val="99"/>
    <w:unhideWhenUsed/>
    <w:rsid w:val="004B5741"/>
    <w:rPr>
      <w:sz w:val="16"/>
      <w:szCs w:val="16"/>
    </w:rPr>
  </w:style>
  <w:style w:type="paragraph" w:styleId="CommentText">
    <w:name w:val="annotation text"/>
    <w:basedOn w:val="Normal"/>
    <w:link w:val="CommentTextChar"/>
    <w:uiPriority w:val="99"/>
    <w:unhideWhenUsed/>
    <w:rsid w:val="004B5741"/>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B5741"/>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335371"/>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505"/>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Level1">
    <w:name w:val=".CON  Level   1."/>
    <w:basedOn w:val="Normal"/>
    <w:next w:val="Normal"/>
    <w:rsid w:val="00D26505"/>
    <w:pPr>
      <w:keepNext/>
      <w:numPr>
        <w:numId w:val="1"/>
      </w:numPr>
      <w:spacing w:before="240"/>
      <w:outlineLvl w:val="1"/>
    </w:pPr>
    <w:rPr>
      <w:rFonts w:ascii="Times New Roman" w:hAnsi="Times New Roman" w:cs="Times New Roman"/>
      <w:b/>
      <w:szCs w:val="22"/>
    </w:rPr>
  </w:style>
  <w:style w:type="paragraph" w:customStyle="1" w:styleId="CONLevel11">
    <w:name w:val=".CON  Level   1.1"/>
    <w:basedOn w:val="Normal"/>
    <w:next w:val="Normal"/>
    <w:rsid w:val="00D26505"/>
    <w:pPr>
      <w:numPr>
        <w:ilvl w:val="1"/>
        <w:numId w:val="1"/>
      </w:numPr>
      <w:spacing w:before="240"/>
      <w:outlineLvl w:val="2"/>
    </w:pPr>
    <w:rPr>
      <w:rFonts w:ascii="Times New Roman" w:hAnsi="Times New Roman" w:cs="Times New Roman"/>
      <w:szCs w:val="22"/>
    </w:rPr>
  </w:style>
  <w:style w:type="paragraph" w:customStyle="1" w:styleId="CONLevela">
    <w:name w:val=".CON  Level  (a)"/>
    <w:basedOn w:val="Normal"/>
    <w:next w:val="Normal"/>
    <w:rsid w:val="00D26505"/>
    <w:pPr>
      <w:numPr>
        <w:ilvl w:val="2"/>
        <w:numId w:val="1"/>
      </w:numPr>
      <w:spacing w:before="240"/>
      <w:outlineLvl w:val="3"/>
    </w:pPr>
    <w:rPr>
      <w:rFonts w:ascii="Times New Roman" w:hAnsi="Times New Roman" w:cs="Times New Roman"/>
      <w:szCs w:val="22"/>
    </w:rPr>
  </w:style>
  <w:style w:type="paragraph" w:customStyle="1" w:styleId="CONLeveli">
    <w:name w:val=".CON  Level  (i)"/>
    <w:basedOn w:val="Normal"/>
    <w:next w:val="Normal"/>
    <w:rsid w:val="00D26505"/>
    <w:pPr>
      <w:numPr>
        <w:ilvl w:val="3"/>
        <w:numId w:val="1"/>
      </w:numPr>
      <w:spacing w:before="240"/>
      <w:outlineLvl w:val="4"/>
    </w:pPr>
    <w:rPr>
      <w:rFonts w:ascii="Times New Roman" w:hAnsi="Times New Roman" w:cs="Times New Roman"/>
      <w:szCs w:val="22"/>
    </w:rPr>
  </w:style>
  <w:style w:type="paragraph" w:customStyle="1" w:styleId="CONLevelA0">
    <w:name w:val=".CON  Level (A)"/>
    <w:basedOn w:val="Normal"/>
    <w:next w:val="Normal"/>
    <w:rsid w:val="00D26505"/>
    <w:pPr>
      <w:numPr>
        <w:ilvl w:val="4"/>
        <w:numId w:val="1"/>
      </w:numPr>
      <w:spacing w:before="240"/>
      <w:outlineLvl w:val="5"/>
    </w:pPr>
    <w:rPr>
      <w:rFonts w:ascii="Times New Roman" w:hAnsi="Times New Roman" w:cs="Times New Roman"/>
      <w:szCs w:val="22"/>
    </w:rPr>
  </w:style>
  <w:style w:type="paragraph" w:customStyle="1" w:styleId="CONLevelI0">
    <w:name w:val=".CON  Level (I)"/>
    <w:basedOn w:val="Normal"/>
    <w:next w:val="Normal"/>
    <w:rsid w:val="00D26505"/>
    <w:pPr>
      <w:numPr>
        <w:ilvl w:val="5"/>
        <w:numId w:val="1"/>
      </w:numPr>
      <w:spacing w:before="240"/>
      <w:outlineLvl w:val="6"/>
    </w:pPr>
    <w:rPr>
      <w:rFonts w:ascii="Times New Roman" w:hAnsi="Times New Roman" w:cs="Times New Roman"/>
      <w:szCs w:val="22"/>
    </w:rPr>
  </w:style>
  <w:style w:type="character" w:styleId="Hyperlink">
    <w:name w:val="Hyperlink"/>
    <w:basedOn w:val="DefaultParagraphFont"/>
    <w:rsid w:val="002A1345"/>
    <w:rPr>
      <w:color w:val="0000FF"/>
      <w:u w:val="single"/>
    </w:rPr>
  </w:style>
  <w:style w:type="paragraph" w:styleId="BalloonText">
    <w:name w:val="Balloon Text"/>
    <w:basedOn w:val="Normal"/>
    <w:semiHidden/>
    <w:rsid w:val="002A1345"/>
    <w:rPr>
      <w:rFonts w:ascii="Tahoma" w:hAnsi="Tahoma" w:cs="Tahoma"/>
      <w:sz w:val="16"/>
      <w:szCs w:val="16"/>
    </w:rPr>
  </w:style>
  <w:style w:type="paragraph" w:styleId="Header">
    <w:name w:val="header"/>
    <w:basedOn w:val="Normal"/>
    <w:rsid w:val="006C45F6"/>
    <w:pPr>
      <w:tabs>
        <w:tab w:val="center" w:pos="4153"/>
        <w:tab w:val="right" w:pos="8306"/>
      </w:tabs>
    </w:pPr>
    <w:rPr>
      <w:rFonts w:ascii="Times New Roman" w:hAnsi="Times New Roman" w:cs="Times New Roman"/>
      <w:lang w:val="en-GB"/>
    </w:rPr>
  </w:style>
  <w:style w:type="paragraph" w:styleId="Footer">
    <w:name w:val="footer"/>
    <w:basedOn w:val="Normal"/>
    <w:link w:val="FooterChar"/>
    <w:uiPriority w:val="99"/>
    <w:rsid w:val="006C45F6"/>
    <w:pPr>
      <w:tabs>
        <w:tab w:val="center" w:pos="4153"/>
        <w:tab w:val="right" w:pos="8306"/>
      </w:tabs>
    </w:pPr>
    <w:rPr>
      <w:rFonts w:ascii="Times New Roman" w:hAnsi="Times New Roman" w:cs="Times New Roman"/>
      <w:lang w:val="en-GB"/>
    </w:rPr>
  </w:style>
  <w:style w:type="character" w:styleId="PageNumber">
    <w:name w:val="page number"/>
    <w:basedOn w:val="DefaultParagraphFont"/>
    <w:rsid w:val="006C45F6"/>
  </w:style>
  <w:style w:type="paragraph" w:styleId="ListParagraph">
    <w:name w:val="List Paragraph"/>
    <w:basedOn w:val="Normal"/>
    <w:uiPriority w:val="34"/>
    <w:qFormat/>
    <w:rsid w:val="008649C5"/>
    <w:pPr>
      <w:ind w:left="720"/>
      <w:contextualSpacing/>
    </w:pPr>
  </w:style>
  <w:style w:type="table" w:styleId="TableGrid">
    <w:name w:val="Table Grid"/>
    <w:basedOn w:val="TableNormal"/>
    <w:uiPriority w:val="59"/>
    <w:rsid w:val="004B574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4B5741"/>
    <w:pPr>
      <w:autoSpaceDE w:val="0"/>
      <w:autoSpaceDN w:val="0"/>
    </w:pPr>
    <w:rPr>
      <w:rFonts w:eastAsiaTheme="minorHAnsi"/>
      <w:color w:val="000000"/>
      <w:lang w:eastAsia="en-AU"/>
    </w:rPr>
  </w:style>
  <w:style w:type="paragraph" w:styleId="NormalWeb">
    <w:name w:val="Normal (Web)"/>
    <w:basedOn w:val="Normal"/>
    <w:uiPriority w:val="99"/>
    <w:unhideWhenUsed/>
    <w:rsid w:val="004B5741"/>
    <w:rPr>
      <w:rFonts w:ascii="Times New Roman" w:hAnsi="Times New Roman" w:cs="Times New Roman"/>
      <w:lang w:eastAsia="en-AU"/>
    </w:rPr>
  </w:style>
  <w:style w:type="character" w:styleId="CommentReference">
    <w:name w:val="annotation reference"/>
    <w:basedOn w:val="DefaultParagraphFont"/>
    <w:uiPriority w:val="99"/>
    <w:unhideWhenUsed/>
    <w:rsid w:val="004B5741"/>
    <w:rPr>
      <w:sz w:val="16"/>
      <w:szCs w:val="16"/>
    </w:rPr>
  </w:style>
  <w:style w:type="paragraph" w:styleId="CommentText">
    <w:name w:val="annotation text"/>
    <w:basedOn w:val="Normal"/>
    <w:link w:val="CommentTextChar"/>
    <w:uiPriority w:val="99"/>
    <w:unhideWhenUsed/>
    <w:rsid w:val="004B5741"/>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B5741"/>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335371"/>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626045">
      <w:bodyDiv w:val="1"/>
      <w:marLeft w:val="0"/>
      <w:marRight w:val="0"/>
      <w:marTop w:val="0"/>
      <w:marBottom w:val="0"/>
      <w:divBdr>
        <w:top w:val="none" w:sz="0" w:space="0" w:color="auto"/>
        <w:left w:val="none" w:sz="0" w:space="0" w:color="auto"/>
        <w:bottom w:val="none" w:sz="0" w:space="0" w:color="auto"/>
        <w:right w:val="none" w:sz="0" w:space="0" w:color="auto"/>
      </w:divBdr>
      <w:divsChild>
        <w:div w:id="1237059732">
          <w:marLeft w:val="547"/>
          <w:marRight w:val="0"/>
          <w:marTop w:val="0"/>
          <w:marBottom w:val="0"/>
          <w:divBdr>
            <w:top w:val="none" w:sz="0" w:space="0" w:color="auto"/>
            <w:left w:val="none" w:sz="0" w:space="0" w:color="auto"/>
            <w:bottom w:val="none" w:sz="0" w:space="0" w:color="auto"/>
            <w:right w:val="none" w:sz="0" w:space="0" w:color="auto"/>
          </w:divBdr>
        </w:div>
      </w:divsChild>
    </w:div>
    <w:div w:id="342171954">
      <w:bodyDiv w:val="1"/>
      <w:marLeft w:val="0"/>
      <w:marRight w:val="0"/>
      <w:marTop w:val="0"/>
      <w:marBottom w:val="0"/>
      <w:divBdr>
        <w:top w:val="none" w:sz="0" w:space="0" w:color="auto"/>
        <w:left w:val="none" w:sz="0" w:space="0" w:color="auto"/>
        <w:bottom w:val="none" w:sz="0" w:space="0" w:color="auto"/>
        <w:right w:val="none" w:sz="0" w:space="0" w:color="auto"/>
      </w:divBdr>
    </w:div>
    <w:div w:id="1041438540">
      <w:bodyDiv w:val="1"/>
      <w:marLeft w:val="0"/>
      <w:marRight w:val="0"/>
      <w:marTop w:val="0"/>
      <w:marBottom w:val="0"/>
      <w:divBdr>
        <w:top w:val="none" w:sz="0" w:space="0" w:color="auto"/>
        <w:left w:val="none" w:sz="0" w:space="0" w:color="auto"/>
        <w:bottom w:val="none" w:sz="0" w:space="0" w:color="auto"/>
        <w:right w:val="none" w:sz="0" w:space="0" w:color="auto"/>
      </w:divBdr>
    </w:div>
    <w:div w:id="1435050986">
      <w:bodyDiv w:val="1"/>
      <w:marLeft w:val="0"/>
      <w:marRight w:val="0"/>
      <w:marTop w:val="0"/>
      <w:marBottom w:val="0"/>
      <w:divBdr>
        <w:top w:val="none" w:sz="0" w:space="0" w:color="auto"/>
        <w:left w:val="none" w:sz="0" w:space="0" w:color="auto"/>
        <w:bottom w:val="none" w:sz="0" w:space="0" w:color="auto"/>
        <w:right w:val="none" w:sz="0" w:space="0" w:color="auto"/>
      </w:divBdr>
    </w:div>
    <w:div w:id="172448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cfid.asn.au/code-of-conduct/about-the-code"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AEC8F4-6F70-4BF3-A43D-7B36D6F85ADC}"/>
</file>

<file path=customXml/itemProps2.xml><?xml version="1.0" encoding="utf-8"?>
<ds:datastoreItem xmlns:ds="http://schemas.openxmlformats.org/officeDocument/2006/customXml" ds:itemID="{9CA58598-8C0E-4852-8F15-2DE375B08454}"/>
</file>

<file path=customXml/itemProps3.xml><?xml version="1.0" encoding="utf-8"?>
<ds:datastoreItem xmlns:ds="http://schemas.openxmlformats.org/officeDocument/2006/customXml" ds:itemID="{62EE910E-2D34-43C3-891E-0829F71FED2C}"/>
</file>

<file path=customXml/itemProps4.xml><?xml version="1.0" encoding="utf-8"?>
<ds:datastoreItem xmlns:ds="http://schemas.openxmlformats.org/officeDocument/2006/customXml" ds:itemID="{DDA6D47F-B0CF-407D-87AE-C382AB9E452C}"/>
</file>

<file path=docProps/app.xml><?xml version="1.0" encoding="utf-8"?>
<Properties xmlns="http://schemas.openxmlformats.org/officeDocument/2006/extended-properties" xmlns:vt="http://schemas.openxmlformats.org/officeDocument/2006/docPropsVTypes">
  <Template>Normal.dotm</Template>
  <TotalTime>343</TotalTime>
  <Pages>12</Pages>
  <Words>3613</Words>
  <Characters>19925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ADDENDUM 1</vt:lpstr>
    </vt:vector>
  </TitlesOfParts>
  <Company>AUSAID</Company>
  <LinksUpToDate>false</LinksUpToDate>
  <CharactersWithSpaces>23492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1</dc:title>
  <dc:creator>Administrator</dc:creator>
  <cp:lastModifiedBy>Gemma Edgar</cp:lastModifiedBy>
  <cp:revision>25</cp:revision>
  <cp:lastPrinted>2013-05-24T06:55:00Z</cp:lastPrinted>
  <dcterms:created xsi:type="dcterms:W3CDTF">2013-05-24T00:17:00Z</dcterms:created>
  <dcterms:modified xsi:type="dcterms:W3CDTF">2013-05-24T06:55:00Z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5100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