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39E" w:rsidRDefault="0080739E" w:rsidP="0080739E"/>
    <w:p w:rsidR="0080739E" w:rsidRDefault="0080739E" w:rsidP="0080739E"/>
    <w:p w:rsidR="0080739E" w:rsidRDefault="0080739E" w:rsidP="0080739E"/>
    <w:p w:rsidR="0080739E" w:rsidRDefault="0080739E" w:rsidP="0080739E"/>
    <w:p w:rsidR="0080739E" w:rsidRDefault="0080739E" w:rsidP="0080739E">
      <w:pPr>
        <w:jc w:val="center"/>
        <w:rPr>
          <w:rFonts w:ascii="Lucida Sans Unicode" w:hAnsi="Lucida Sans Unicode" w:cs="Lucida Sans Unicode"/>
          <w:b/>
          <w:bCs/>
          <w:sz w:val="48"/>
          <w:szCs w:val="48"/>
        </w:rPr>
      </w:pPr>
      <w:r w:rsidRPr="00446A3D">
        <w:rPr>
          <w:rFonts w:ascii="Lucida Sans Unicode" w:hAnsi="Lucida Sans Unicode" w:cs="Lucida Sans Unicode"/>
          <w:b/>
          <w:bCs/>
          <w:sz w:val="48"/>
          <w:szCs w:val="48"/>
        </w:rPr>
        <w:t xml:space="preserve">Australia </w:t>
      </w:r>
      <w:r>
        <w:rPr>
          <w:rFonts w:ascii="Lucida Sans Unicode" w:hAnsi="Lucida Sans Unicode" w:cs="Lucida Sans Unicode"/>
          <w:b/>
          <w:bCs/>
          <w:sz w:val="48"/>
          <w:szCs w:val="48"/>
        </w:rPr>
        <w:t>Afghanistan Community Resilience Scheme</w:t>
      </w:r>
    </w:p>
    <w:p w:rsidR="0080739E" w:rsidRDefault="0080739E" w:rsidP="0080739E">
      <w:pPr>
        <w:jc w:val="center"/>
        <w:rPr>
          <w:rFonts w:ascii="Lucida Sans Unicode" w:hAnsi="Lucida Sans Unicode" w:cs="Lucida Sans Unicode"/>
          <w:b/>
          <w:bCs/>
          <w:sz w:val="48"/>
          <w:szCs w:val="48"/>
        </w:rPr>
      </w:pPr>
    </w:p>
    <w:p w:rsidR="0080739E" w:rsidRDefault="0080739E" w:rsidP="0080739E">
      <w:pPr>
        <w:jc w:val="center"/>
        <w:rPr>
          <w:rFonts w:ascii="Lucida Sans Unicode" w:hAnsi="Lucida Sans Unicode" w:cs="Lucida Sans Unicode"/>
          <w:b/>
          <w:bCs/>
          <w:sz w:val="48"/>
          <w:szCs w:val="48"/>
        </w:rPr>
      </w:pPr>
      <w:r>
        <w:rPr>
          <w:rFonts w:ascii="Lucida Sans Unicode" w:hAnsi="Lucida Sans Unicode" w:cs="Lucida Sans Unicode"/>
          <w:b/>
          <w:bCs/>
          <w:sz w:val="48"/>
          <w:szCs w:val="48"/>
        </w:rPr>
        <w:t>Design Document</w:t>
      </w:r>
    </w:p>
    <w:p w:rsidR="0080739E" w:rsidRDefault="0080739E" w:rsidP="0080739E">
      <w:pPr>
        <w:jc w:val="center"/>
        <w:rPr>
          <w:rFonts w:ascii="Lucida Sans Unicode" w:hAnsi="Lucida Sans Unicode" w:cs="Lucida Sans Unicode"/>
          <w:b/>
          <w:bCs/>
          <w:sz w:val="48"/>
          <w:szCs w:val="48"/>
        </w:rPr>
      </w:pPr>
    </w:p>
    <w:p w:rsidR="0080739E" w:rsidRDefault="0080739E" w:rsidP="0080739E">
      <w:pPr>
        <w:jc w:val="center"/>
        <w:rPr>
          <w:rFonts w:ascii="Lucida Sans Unicode" w:hAnsi="Lucida Sans Unicode" w:cs="Lucida Sans Unicode"/>
          <w:b/>
          <w:bCs/>
          <w:sz w:val="48"/>
          <w:szCs w:val="48"/>
        </w:rPr>
      </w:pPr>
    </w:p>
    <w:p w:rsidR="0080739E" w:rsidRDefault="0080739E" w:rsidP="0080739E">
      <w:pPr>
        <w:jc w:val="center"/>
        <w:rPr>
          <w:rFonts w:ascii="Lucida Sans Unicode" w:hAnsi="Lucida Sans Unicode" w:cs="Lucida Sans Unicode"/>
          <w:b/>
          <w:bCs/>
          <w:sz w:val="48"/>
          <w:szCs w:val="48"/>
        </w:rPr>
      </w:pPr>
    </w:p>
    <w:p w:rsidR="0080739E" w:rsidRDefault="0080739E" w:rsidP="0080739E">
      <w:pPr>
        <w:jc w:val="center"/>
        <w:rPr>
          <w:rFonts w:ascii="Lucida Sans Unicode" w:hAnsi="Lucida Sans Unicode" w:cs="Lucida Sans Unicode"/>
          <w:b/>
          <w:bCs/>
          <w:sz w:val="48"/>
          <w:szCs w:val="48"/>
        </w:rPr>
      </w:pPr>
    </w:p>
    <w:p w:rsidR="0080739E" w:rsidRDefault="0080739E" w:rsidP="0080739E">
      <w:pPr>
        <w:jc w:val="center"/>
        <w:rPr>
          <w:rFonts w:ascii="Lucida Sans Unicode" w:hAnsi="Lucida Sans Unicode" w:cs="Lucida Sans Unicode"/>
          <w:b/>
          <w:bCs/>
          <w:sz w:val="48"/>
          <w:szCs w:val="48"/>
        </w:rPr>
      </w:pPr>
    </w:p>
    <w:p w:rsidR="0080739E" w:rsidRDefault="0080739E" w:rsidP="0080739E">
      <w:pPr>
        <w:jc w:val="center"/>
        <w:rPr>
          <w:rFonts w:ascii="Lucida Sans Unicode" w:hAnsi="Lucida Sans Unicode" w:cs="Lucida Sans Unicode"/>
          <w:b/>
          <w:bCs/>
          <w:sz w:val="48"/>
          <w:szCs w:val="48"/>
        </w:rPr>
      </w:pPr>
    </w:p>
    <w:p w:rsidR="0080739E" w:rsidRDefault="0080739E" w:rsidP="0080739E">
      <w:pPr>
        <w:jc w:val="center"/>
        <w:rPr>
          <w:rFonts w:ascii="Lucida Sans Unicode" w:hAnsi="Lucida Sans Unicode" w:cs="Lucida Sans Unicode"/>
          <w:b/>
          <w:bCs/>
          <w:sz w:val="48"/>
          <w:szCs w:val="48"/>
        </w:rPr>
      </w:pPr>
    </w:p>
    <w:p w:rsidR="0080739E" w:rsidRDefault="0080739E" w:rsidP="0080739E">
      <w:pPr>
        <w:jc w:val="center"/>
        <w:rPr>
          <w:rFonts w:ascii="Lucida Sans Unicode" w:hAnsi="Lucida Sans Unicode" w:cs="Lucida Sans Unicode"/>
          <w:b/>
          <w:bCs/>
          <w:sz w:val="48"/>
          <w:szCs w:val="48"/>
        </w:rPr>
      </w:pPr>
    </w:p>
    <w:p w:rsidR="0080739E" w:rsidRDefault="00CB0991" w:rsidP="0080739E">
      <w:pPr>
        <w:jc w:val="center"/>
        <w:rPr>
          <w:rFonts w:ascii="Lucida Sans Unicode" w:hAnsi="Lucida Sans Unicode" w:cs="Lucida Sans Unicode"/>
          <w:b/>
          <w:bCs/>
          <w:sz w:val="48"/>
          <w:szCs w:val="48"/>
        </w:rPr>
      </w:pPr>
      <w:r>
        <w:rPr>
          <w:rFonts w:ascii="Lucida Sans Unicode" w:hAnsi="Lucida Sans Unicode" w:cs="Lucida Sans Unicode"/>
          <w:b/>
          <w:bCs/>
          <w:sz w:val="48"/>
          <w:szCs w:val="48"/>
        </w:rPr>
        <w:t>2013</w:t>
      </w:r>
    </w:p>
    <w:p w:rsidR="0080739E" w:rsidRDefault="0080739E" w:rsidP="0080739E">
      <w:pPr>
        <w:jc w:val="center"/>
        <w:rPr>
          <w:rFonts w:ascii="Lucida Sans Unicode" w:hAnsi="Lucida Sans Unicode" w:cs="Lucida Sans Unicode"/>
          <w:b/>
          <w:bCs/>
          <w:sz w:val="48"/>
          <w:szCs w:val="48"/>
        </w:rPr>
      </w:pPr>
    </w:p>
    <w:p w:rsidR="0080739E" w:rsidRDefault="0080739E" w:rsidP="0080739E">
      <w:pPr>
        <w:jc w:val="center"/>
        <w:rPr>
          <w:rFonts w:ascii="Lucida Sans Unicode" w:hAnsi="Lucida Sans Unicode" w:cs="Lucida Sans Unicode"/>
          <w:b/>
          <w:bCs/>
          <w:sz w:val="48"/>
          <w:szCs w:val="48"/>
        </w:rPr>
        <w:sectPr w:rsidR="0080739E" w:rsidSect="008609A2">
          <w:headerReference w:type="default" r:id="rId9"/>
          <w:footerReference w:type="even" r:id="rId10"/>
          <w:footerReference w:type="default" r:id="rId11"/>
          <w:pgSz w:w="12240" w:h="15840"/>
          <w:pgMar w:top="1267" w:right="1440" w:bottom="1440" w:left="1440" w:header="720" w:footer="720" w:gutter="0"/>
          <w:cols w:space="720"/>
          <w:noEndnote/>
          <w:titlePg/>
          <w:docGrid w:linePitch="326"/>
        </w:sectPr>
      </w:pPr>
    </w:p>
    <w:p w:rsidR="0080739E" w:rsidRDefault="0080739E" w:rsidP="0080739E">
      <w:pPr>
        <w:jc w:val="center"/>
        <w:rPr>
          <w:rFonts w:ascii="Lucida Sans Unicode" w:hAnsi="Lucida Sans Unicode" w:cs="Lucida Sans Unicode"/>
          <w:b/>
          <w:bCs/>
          <w:sz w:val="48"/>
          <w:szCs w:val="48"/>
        </w:rPr>
      </w:pPr>
    </w:p>
    <w:p w:rsidR="0080739E" w:rsidRDefault="0080739E" w:rsidP="0080739E">
      <w:pPr>
        <w:jc w:val="center"/>
        <w:rPr>
          <w:rFonts w:ascii="Lucida Sans Unicode" w:hAnsi="Lucida Sans Unicode" w:cs="Lucida Sans Unicode"/>
          <w:b/>
          <w:bCs/>
          <w:sz w:val="48"/>
          <w:szCs w:val="48"/>
        </w:rPr>
      </w:pPr>
    </w:p>
    <w:p w:rsidR="0080739E" w:rsidRDefault="0080739E" w:rsidP="0080739E">
      <w:pPr>
        <w:jc w:val="center"/>
        <w:rPr>
          <w:rFonts w:ascii="Arial" w:hAnsi="Arial" w:cs="Arial"/>
          <w:b/>
          <w:bCs/>
          <w:sz w:val="28"/>
          <w:szCs w:val="28"/>
        </w:rPr>
      </w:pPr>
      <w:r w:rsidRPr="00446A3D">
        <w:rPr>
          <w:rFonts w:ascii="Arial" w:hAnsi="Arial" w:cs="Arial"/>
          <w:b/>
          <w:bCs/>
          <w:sz w:val="28"/>
          <w:szCs w:val="28"/>
        </w:rPr>
        <w:lastRenderedPageBreak/>
        <w:t>Contents</w:t>
      </w:r>
    </w:p>
    <w:p w:rsidR="00617C07" w:rsidRDefault="009E35DA">
      <w:pPr>
        <w:pStyle w:val="TOC1"/>
        <w:tabs>
          <w:tab w:val="right" w:leader="dot" w:pos="9350"/>
        </w:tabs>
        <w:rPr>
          <w:rFonts w:asciiTheme="minorHAnsi" w:eastAsiaTheme="minorEastAsia" w:hAnsiTheme="minorHAnsi" w:cstheme="minorBidi"/>
          <w:noProof/>
          <w:sz w:val="22"/>
          <w:szCs w:val="22"/>
          <w:lang w:val="en-AU" w:eastAsia="en-AU"/>
        </w:rPr>
      </w:pPr>
      <w:r w:rsidRPr="00E34CC4">
        <w:rPr>
          <w:sz w:val="22"/>
          <w:szCs w:val="22"/>
        </w:rPr>
        <w:fldChar w:fldCharType="begin"/>
      </w:r>
      <w:r w:rsidR="0080739E" w:rsidRPr="00E34CC4">
        <w:rPr>
          <w:sz w:val="22"/>
          <w:szCs w:val="22"/>
        </w:rPr>
        <w:instrText xml:space="preserve"> TOC \o "1-2" \h \z \u </w:instrText>
      </w:r>
      <w:r w:rsidRPr="00E34CC4">
        <w:rPr>
          <w:sz w:val="22"/>
          <w:szCs w:val="22"/>
        </w:rPr>
        <w:fldChar w:fldCharType="separate"/>
      </w:r>
      <w:hyperlink w:anchor="_Toc353974420" w:history="1">
        <w:r w:rsidR="00617C07" w:rsidRPr="00AB5737">
          <w:rPr>
            <w:rStyle w:val="Hyperlink"/>
            <w:noProof/>
          </w:rPr>
          <w:t>Acronyms and Abbreviations</w:t>
        </w:r>
        <w:r w:rsidR="00617C07">
          <w:rPr>
            <w:noProof/>
            <w:webHidden/>
          </w:rPr>
          <w:tab/>
        </w:r>
        <w:r w:rsidR="00617C07">
          <w:rPr>
            <w:noProof/>
            <w:webHidden/>
          </w:rPr>
          <w:fldChar w:fldCharType="begin"/>
        </w:r>
        <w:r w:rsidR="00617C07">
          <w:rPr>
            <w:noProof/>
            <w:webHidden/>
          </w:rPr>
          <w:instrText xml:space="preserve"> PAGEREF _Toc353974420 \h </w:instrText>
        </w:r>
        <w:r w:rsidR="00617C07">
          <w:rPr>
            <w:noProof/>
            <w:webHidden/>
          </w:rPr>
        </w:r>
        <w:r w:rsidR="00617C07">
          <w:rPr>
            <w:noProof/>
            <w:webHidden/>
          </w:rPr>
          <w:fldChar w:fldCharType="separate"/>
        </w:r>
        <w:r w:rsidR="00645C55">
          <w:rPr>
            <w:noProof/>
            <w:webHidden/>
          </w:rPr>
          <w:t>iv</w:t>
        </w:r>
        <w:r w:rsidR="00617C07">
          <w:rPr>
            <w:noProof/>
            <w:webHidden/>
          </w:rPr>
          <w:fldChar w:fldCharType="end"/>
        </w:r>
      </w:hyperlink>
    </w:p>
    <w:p w:rsidR="00617C07" w:rsidRDefault="00E67977">
      <w:pPr>
        <w:pStyle w:val="TOC1"/>
        <w:tabs>
          <w:tab w:val="right" w:leader="dot" w:pos="9350"/>
        </w:tabs>
        <w:rPr>
          <w:rFonts w:asciiTheme="minorHAnsi" w:eastAsiaTheme="minorEastAsia" w:hAnsiTheme="minorHAnsi" w:cstheme="minorBidi"/>
          <w:noProof/>
          <w:sz w:val="22"/>
          <w:szCs w:val="22"/>
          <w:lang w:val="en-AU" w:eastAsia="en-AU"/>
        </w:rPr>
      </w:pPr>
      <w:hyperlink w:anchor="_Toc353974421" w:history="1">
        <w:r w:rsidR="00617C07" w:rsidRPr="00AB5737">
          <w:rPr>
            <w:rStyle w:val="Hyperlink"/>
            <w:noProof/>
          </w:rPr>
          <w:t>Glossary</w:t>
        </w:r>
        <w:r w:rsidR="00617C07">
          <w:rPr>
            <w:noProof/>
            <w:webHidden/>
          </w:rPr>
          <w:tab/>
        </w:r>
        <w:r w:rsidR="00617C07">
          <w:rPr>
            <w:noProof/>
            <w:webHidden/>
          </w:rPr>
          <w:fldChar w:fldCharType="begin"/>
        </w:r>
        <w:r w:rsidR="00617C07">
          <w:rPr>
            <w:noProof/>
            <w:webHidden/>
          </w:rPr>
          <w:instrText xml:space="preserve"> PAGEREF _Toc353974421 \h </w:instrText>
        </w:r>
        <w:r w:rsidR="00617C07">
          <w:rPr>
            <w:noProof/>
            <w:webHidden/>
          </w:rPr>
        </w:r>
        <w:r w:rsidR="00617C07">
          <w:rPr>
            <w:noProof/>
            <w:webHidden/>
          </w:rPr>
          <w:fldChar w:fldCharType="separate"/>
        </w:r>
        <w:r w:rsidR="00645C55">
          <w:rPr>
            <w:noProof/>
            <w:webHidden/>
          </w:rPr>
          <w:t>v</w:t>
        </w:r>
        <w:r w:rsidR="00617C07">
          <w:rPr>
            <w:noProof/>
            <w:webHidden/>
          </w:rPr>
          <w:fldChar w:fldCharType="end"/>
        </w:r>
      </w:hyperlink>
    </w:p>
    <w:p w:rsidR="00617C07" w:rsidRDefault="00E67977">
      <w:pPr>
        <w:pStyle w:val="TOC1"/>
        <w:tabs>
          <w:tab w:val="right" w:leader="dot" w:pos="9350"/>
        </w:tabs>
        <w:rPr>
          <w:rFonts w:asciiTheme="minorHAnsi" w:eastAsiaTheme="minorEastAsia" w:hAnsiTheme="minorHAnsi" w:cstheme="minorBidi"/>
          <w:noProof/>
          <w:sz w:val="22"/>
          <w:szCs w:val="22"/>
          <w:lang w:val="en-AU" w:eastAsia="en-AU"/>
        </w:rPr>
      </w:pPr>
      <w:hyperlink w:anchor="_Toc353974422" w:history="1">
        <w:r w:rsidR="00617C07" w:rsidRPr="00AB5737">
          <w:rPr>
            <w:rStyle w:val="Hyperlink"/>
            <w:noProof/>
          </w:rPr>
          <w:t>Executive Summary</w:t>
        </w:r>
        <w:r w:rsidR="00617C07">
          <w:rPr>
            <w:noProof/>
            <w:webHidden/>
          </w:rPr>
          <w:tab/>
        </w:r>
        <w:r w:rsidR="00617C07">
          <w:rPr>
            <w:noProof/>
            <w:webHidden/>
          </w:rPr>
          <w:fldChar w:fldCharType="begin"/>
        </w:r>
        <w:r w:rsidR="00617C07">
          <w:rPr>
            <w:noProof/>
            <w:webHidden/>
          </w:rPr>
          <w:instrText xml:space="preserve"> PAGEREF _Toc353974422 \h </w:instrText>
        </w:r>
        <w:r w:rsidR="00617C07">
          <w:rPr>
            <w:noProof/>
            <w:webHidden/>
          </w:rPr>
        </w:r>
        <w:r w:rsidR="00617C07">
          <w:rPr>
            <w:noProof/>
            <w:webHidden/>
          </w:rPr>
          <w:fldChar w:fldCharType="separate"/>
        </w:r>
        <w:r w:rsidR="00645C55">
          <w:rPr>
            <w:noProof/>
            <w:webHidden/>
          </w:rPr>
          <w:t>vi</w:t>
        </w:r>
        <w:r w:rsidR="00617C07">
          <w:rPr>
            <w:noProof/>
            <w:webHidden/>
          </w:rPr>
          <w:fldChar w:fldCharType="end"/>
        </w:r>
      </w:hyperlink>
    </w:p>
    <w:p w:rsidR="00617C07" w:rsidRDefault="00E67977">
      <w:pPr>
        <w:pStyle w:val="TOC1"/>
        <w:tabs>
          <w:tab w:val="left" w:pos="440"/>
          <w:tab w:val="right" w:leader="dot" w:pos="9350"/>
        </w:tabs>
        <w:rPr>
          <w:rFonts w:asciiTheme="minorHAnsi" w:eastAsiaTheme="minorEastAsia" w:hAnsiTheme="minorHAnsi" w:cstheme="minorBidi"/>
          <w:noProof/>
          <w:sz w:val="22"/>
          <w:szCs w:val="22"/>
          <w:lang w:val="en-AU" w:eastAsia="en-AU"/>
        </w:rPr>
      </w:pPr>
      <w:hyperlink w:anchor="_Toc353974423" w:history="1">
        <w:r w:rsidR="00617C07" w:rsidRPr="00AB5737">
          <w:rPr>
            <w:rStyle w:val="Hyperlink"/>
            <w:noProof/>
          </w:rPr>
          <w:t>1.</w:t>
        </w:r>
        <w:r w:rsidR="00617C07">
          <w:rPr>
            <w:rFonts w:asciiTheme="minorHAnsi" w:eastAsiaTheme="minorEastAsia" w:hAnsiTheme="minorHAnsi" w:cstheme="minorBidi"/>
            <w:noProof/>
            <w:sz w:val="22"/>
            <w:szCs w:val="22"/>
            <w:lang w:val="en-AU" w:eastAsia="en-AU"/>
          </w:rPr>
          <w:tab/>
        </w:r>
        <w:r w:rsidR="00617C07" w:rsidRPr="00AB5737">
          <w:rPr>
            <w:rStyle w:val="Hyperlink"/>
            <w:noProof/>
          </w:rPr>
          <w:t>Introduction</w:t>
        </w:r>
        <w:r w:rsidR="00617C07">
          <w:rPr>
            <w:noProof/>
            <w:webHidden/>
          </w:rPr>
          <w:tab/>
        </w:r>
        <w:r w:rsidR="00617C07">
          <w:rPr>
            <w:noProof/>
            <w:webHidden/>
          </w:rPr>
          <w:fldChar w:fldCharType="begin"/>
        </w:r>
        <w:r w:rsidR="00617C07">
          <w:rPr>
            <w:noProof/>
            <w:webHidden/>
          </w:rPr>
          <w:instrText xml:space="preserve"> PAGEREF _Toc353974423 \h </w:instrText>
        </w:r>
        <w:r w:rsidR="00617C07">
          <w:rPr>
            <w:noProof/>
            <w:webHidden/>
          </w:rPr>
        </w:r>
        <w:r w:rsidR="00617C07">
          <w:rPr>
            <w:noProof/>
            <w:webHidden/>
          </w:rPr>
          <w:fldChar w:fldCharType="separate"/>
        </w:r>
        <w:r w:rsidR="00645C55">
          <w:rPr>
            <w:noProof/>
            <w:webHidden/>
          </w:rPr>
          <w:t>1</w:t>
        </w:r>
        <w:r w:rsidR="00617C07">
          <w:rPr>
            <w:noProof/>
            <w:webHidden/>
          </w:rPr>
          <w:fldChar w:fldCharType="end"/>
        </w:r>
      </w:hyperlink>
    </w:p>
    <w:p w:rsidR="00617C07" w:rsidRDefault="00E67977">
      <w:pPr>
        <w:pStyle w:val="TOC1"/>
        <w:tabs>
          <w:tab w:val="left" w:pos="440"/>
          <w:tab w:val="right" w:leader="dot" w:pos="9350"/>
        </w:tabs>
        <w:rPr>
          <w:rFonts w:asciiTheme="minorHAnsi" w:eastAsiaTheme="minorEastAsia" w:hAnsiTheme="minorHAnsi" w:cstheme="minorBidi"/>
          <w:noProof/>
          <w:sz w:val="22"/>
          <w:szCs w:val="22"/>
          <w:lang w:val="en-AU" w:eastAsia="en-AU"/>
        </w:rPr>
      </w:pPr>
      <w:hyperlink w:anchor="_Toc353974424" w:history="1">
        <w:r w:rsidR="00617C07" w:rsidRPr="00AB5737">
          <w:rPr>
            <w:rStyle w:val="Hyperlink"/>
            <w:noProof/>
          </w:rPr>
          <w:t>2.</w:t>
        </w:r>
        <w:r w:rsidR="00617C07">
          <w:rPr>
            <w:rFonts w:asciiTheme="minorHAnsi" w:eastAsiaTheme="minorEastAsia" w:hAnsiTheme="minorHAnsi" w:cstheme="minorBidi"/>
            <w:noProof/>
            <w:sz w:val="22"/>
            <w:szCs w:val="22"/>
            <w:lang w:val="en-AU" w:eastAsia="en-AU"/>
          </w:rPr>
          <w:tab/>
        </w:r>
        <w:r w:rsidR="00617C07" w:rsidRPr="00AB5737">
          <w:rPr>
            <w:rStyle w:val="Hyperlink"/>
            <w:noProof/>
          </w:rPr>
          <w:t>Design Preparation</w:t>
        </w:r>
        <w:r w:rsidR="00617C07">
          <w:rPr>
            <w:noProof/>
            <w:webHidden/>
          </w:rPr>
          <w:tab/>
        </w:r>
        <w:r w:rsidR="00617C07">
          <w:rPr>
            <w:noProof/>
            <w:webHidden/>
          </w:rPr>
          <w:fldChar w:fldCharType="begin"/>
        </w:r>
        <w:r w:rsidR="00617C07">
          <w:rPr>
            <w:noProof/>
            <w:webHidden/>
          </w:rPr>
          <w:instrText xml:space="preserve"> PAGEREF _Toc353974424 \h </w:instrText>
        </w:r>
        <w:r w:rsidR="00617C07">
          <w:rPr>
            <w:noProof/>
            <w:webHidden/>
          </w:rPr>
        </w:r>
        <w:r w:rsidR="00617C07">
          <w:rPr>
            <w:noProof/>
            <w:webHidden/>
          </w:rPr>
          <w:fldChar w:fldCharType="separate"/>
        </w:r>
        <w:r w:rsidR="00645C55">
          <w:rPr>
            <w:noProof/>
            <w:webHidden/>
          </w:rPr>
          <w:t>1</w:t>
        </w:r>
        <w:r w:rsidR="00617C07">
          <w:rPr>
            <w:noProof/>
            <w:webHidden/>
          </w:rPr>
          <w:fldChar w:fldCharType="end"/>
        </w:r>
      </w:hyperlink>
    </w:p>
    <w:p w:rsidR="00617C07" w:rsidRDefault="00E67977">
      <w:pPr>
        <w:pStyle w:val="TOC1"/>
        <w:tabs>
          <w:tab w:val="left" w:pos="440"/>
          <w:tab w:val="right" w:leader="dot" w:pos="9350"/>
        </w:tabs>
        <w:rPr>
          <w:rFonts w:asciiTheme="minorHAnsi" w:eastAsiaTheme="minorEastAsia" w:hAnsiTheme="minorHAnsi" w:cstheme="minorBidi"/>
          <w:noProof/>
          <w:sz w:val="22"/>
          <w:szCs w:val="22"/>
          <w:lang w:val="en-AU" w:eastAsia="en-AU"/>
        </w:rPr>
      </w:pPr>
      <w:hyperlink w:anchor="_Toc353974425" w:history="1">
        <w:r w:rsidR="00617C07" w:rsidRPr="00AB5737">
          <w:rPr>
            <w:rStyle w:val="Hyperlink"/>
            <w:noProof/>
          </w:rPr>
          <w:t>3.</w:t>
        </w:r>
        <w:r w:rsidR="00617C07">
          <w:rPr>
            <w:rFonts w:asciiTheme="minorHAnsi" w:eastAsiaTheme="minorEastAsia" w:hAnsiTheme="minorHAnsi" w:cstheme="minorBidi"/>
            <w:noProof/>
            <w:sz w:val="22"/>
            <w:szCs w:val="22"/>
            <w:lang w:val="en-AU" w:eastAsia="en-AU"/>
          </w:rPr>
          <w:tab/>
        </w:r>
        <w:r w:rsidR="00617C07" w:rsidRPr="00AB5737">
          <w:rPr>
            <w:rStyle w:val="Hyperlink"/>
            <w:noProof/>
          </w:rPr>
          <w:t>Policy and Program Context</w:t>
        </w:r>
        <w:r w:rsidR="00617C07">
          <w:rPr>
            <w:noProof/>
            <w:webHidden/>
          </w:rPr>
          <w:tab/>
        </w:r>
        <w:r w:rsidR="00617C07">
          <w:rPr>
            <w:noProof/>
            <w:webHidden/>
          </w:rPr>
          <w:fldChar w:fldCharType="begin"/>
        </w:r>
        <w:r w:rsidR="00617C07">
          <w:rPr>
            <w:noProof/>
            <w:webHidden/>
          </w:rPr>
          <w:instrText xml:space="preserve"> PAGEREF _Toc353974425 \h </w:instrText>
        </w:r>
        <w:r w:rsidR="00617C07">
          <w:rPr>
            <w:noProof/>
            <w:webHidden/>
          </w:rPr>
        </w:r>
        <w:r w:rsidR="00617C07">
          <w:rPr>
            <w:noProof/>
            <w:webHidden/>
          </w:rPr>
          <w:fldChar w:fldCharType="separate"/>
        </w:r>
        <w:r w:rsidR="00645C55">
          <w:rPr>
            <w:noProof/>
            <w:webHidden/>
          </w:rPr>
          <w:t>2</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26" w:history="1">
        <w:r w:rsidR="00617C07" w:rsidRPr="00AB5737">
          <w:rPr>
            <w:rStyle w:val="Hyperlink"/>
            <w:noProof/>
            <w:lang w:eastAsia="en-AU"/>
          </w:rPr>
          <w:t>3.1</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Afghanistan Country Context</w:t>
        </w:r>
        <w:r w:rsidR="00617C07">
          <w:rPr>
            <w:noProof/>
            <w:webHidden/>
          </w:rPr>
          <w:tab/>
        </w:r>
        <w:r w:rsidR="00617C07">
          <w:rPr>
            <w:noProof/>
            <w:webHidden/>
          </w:rPr>
          <w:fldChar w:fldCharType="begin"/>
        </w:r>
        <w:r w:rsidR="00617C07">
          <w:rPr>
            <w:noProof/>
            <w:webHidden/>
          </w:rPr>
          <w:instrText xml:space="preserve"> PAGEREF _Toc353974426 \h </w:instrText>
        </w:r>
        <w:r w:rsidR="00617C07">
          <w:rPr>
            <w:noProof/>
            <w:webHidden/>
          </w:rPr>
        </w:r>
        <w:r w:rsidR="00617C07">
          <w:rPr>
            <w:noProof/>
            <w:webHidden/>
          </w:rPr>
          <w:fldChar w:fldCharType="separate"/>
        </w:r>
        <w:r w:rsidR="00645C55">
          <w:rPr>
            <w:noProof/>
            <w:webHidden/>
          </w:rPr>
          <w:t>2</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27" w:history="1">
        <w:r w:rsidR="00617C07" w:rsidRPr="00AB5737">
          <w:rPr>
            <w:rStyle w:val="Hyperlink"/>
            <w:noProof/>
            <w:lang w:eastAsia="en-AU"/>
          </w:rPr>
          <w:t>3.2</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Australia’s Aid Program in Afghanistan</w:t>
        </w:r>
        <w:r w:rsidR="00617C07">
          <w:rPr>
            <w:noProof/>
            <w:webHidden/>
          </w:rPr>
          <w:tab/>
        </w:r>
        <w:r w:rsidR="00617C07">
          <w:rPr>
            <w:noProof/>
            <w:webHidden/>
          </w:rPr>
          <w:fldChar w:fldCharType="begin"/>
        </w:r>
        <w:r w:rsidR="00617C07">
          <w:rPr>
            <w:noProof/>
            <w:webHidden/>
          </w:rPr>
          <w:instrText xml:space="preserve"> PAGEREF _Toc353974427 \h </w:instrText>
        </w:r>
        <w:r w:rsidR="00617C07">
          <w:rPr>
            <w:noProof/>
            <w:webHidden/>
          </w:rPr>
        </w:r>
        <w:r w:rsidR="00617C07">
          <w:rPr>
            <w:noProof/>
            <w:webHidden/>
          </w:rPr>
          <w:fldChar w:fldCharType="separate"/>
        </w:r>
        <w:r w:rsidR="00645C55">
          <w:rPr>
            <w:noProof/>
            <w:webHidden/>
          </w:rPr>
          <w:t>3</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28" w:history="1">
        <w:r w:rsidR="00617C07" w:rsidRPr="00AB5737">
          <w:rPr>
            <w:rStyle w:val="Hyperlink"/>
            <w:noProof/>
            <w:lang w:eastAsia="en-AU"/>
          </w:rPr>
          <w:t>3.3</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Civil Society in Afghanistan</w:t>
        </w:r>
        <w:r w:rsidR="00617C07">
          <w:rPr>
            <w:noProof/>
            <w:webHidden/>
          </w:rPr>
          <w:tab/>
        </w:r>
        <w:r w:rsidR="00617C07">
          <w:rPr>
            <w:noProof/>
            <w:webHidden/>
          </w:rPr>
          <w:fldChar w:fldCharType="begin"/>
        </w:r>
        <w:r w:rsidR="00617C07">
          <w:rPr>
            <w:noProof/>
            <w:webHidden/>
          </w:rPr>
          <w:instrText xml:space="preserve"> PAGEREF _Toc353974428 \h </w:instrText>
        </w:r>
        <w:r w:rsidR="00617C07">
          <w:rPr>
            <w:noProof/>
            <w:webHidden/>
          </w:rPr>
        </w:r>
        <w:r w:rsidR="00617C07">
          <w:rPr>
            <w:noProof/>
            <w:webHidden/>
          </w:rPr>
          <w:fldChar w:fldCharType="separate"/>
        </w:r>
        <w:r w:rsidR="00645C55">
          <w:rPr>
            <w:noProof/>
            <w:webHidden/>
          </w:rPr>
          <w:t>5</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29" w:history="1">
        <w:r w:rsidR="00617C07" w:rsidRPr="00AB5737">
          <w:rPr>
            <w:rStyle w:val="Hyperlink"/>
            <w:noProof/>
            <w:lang w:eastAsia="en-AU"/>
          </w:rPr>
          <w:t>3.4</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Community Resilience and Livelihoods</w:t>
        </w:r>
        <w:r w:rsidR="00617C07">
          <w:rPr>
            <w:noProof/>
            <w:webHidden/>
          </w:rPr>
          <w:tab/>
        </w:r>
        <w:r w:rsidR="00617C07">
          <w:rPr>
            <w:noProof/>
            <w:webHidden/>
          </w:rPr>
          <w:fldChar w:fldCharType="begin"/>
        </w:r>
        <w:r w:rsidR="00617C07">
          <w:rPr>
            <w:noProof/>
            <w:webHidden/>
          </w:rPr>
          <w:instrText xml:space="preserve"> PAGEREF _Toc353974429 \h </w:instrText>
        </w:r>
        <w:r w:rsidR="00617C07">
          <w:rPr>
            <w:noProof/>
            <w:webHidden/>
          </w:rPr>
        </w:r>
        <w:r w:rsidR="00617C07">
          <w:rPr>
            <w:noProof/>
            <w:webHidden/>
          </w:rPr>
          <w:fldChar w:fldCharType="separate"/>
        </w:r>
        <w:r w:rsidR="00645C55">
          <w:rPr>
            <w:noProof/>
            <w:webHidden/>
          </w:rPr>
          <w:t>6</w:t>
        </w:r>
        <w:r w:rsidR="00617C07">
          <w:rPr>
            <w:noProof/>
            <w:webHidden/>
          </w:rPr>
          <w:fldChar w:fldCharType="end"/>
        </w:r>
      </w:hyperlink>
    </w:p>
    <w:p w:rsidR="00617C07" w:rsidRDefault="00E67977">
      <w:pPr>
        <w:pStyle w:val="TOC1"/>
        <w:tabs>
          <w:tab w:val="left" w:pos="440"/>
          <w:tab w:val="right" w:leader="dot" w:pos="9350"/>
        </w:tabs>
        <w:rPr>
          <w:rFonts w:asciiTheme="minorHAnsi" w:eastAsiaTheme="minorEastAsia" w:hAnsiTheme="minorHAnsi" w:cstheme="minorBidi"/>
          <w:noProof/>
          <w:sz w:val="22"/>
          <w:szCs w:val="22"/>
          <w:lang w:val="en-AU" w:eastAsia="en-AU"/>
        </w:rPr>
      </w:pPr>
      <w:hyperlink w:anchor="_Toc353974430" w:history="1">
        <w:r w:rsidR="00617C07" w:rsidRPr="00AB5737">
          <w:rPr>
            <w:rStyle w:val="Hyperlink"/>
            <w:noProof/>
          </w:rPr>
          <w:t>4.</w:t>
        </w:r>
        <w:r w:rsidR="00617C07">
          <w:rPr>
            <w:rFonts w:asciiTheme="minorHAnsi" w:eastAsiaTheme="minorEastAsia" w:hAnsiTheme="minorHAnsi" w:cstheme="minorBidi"/>
            <w:noProof/>
            <w:sz w:val="22"/>
            <w:szCs w:val="22"/>
            <w:lang w:val="en-AU" w:eastAsia="en-AU"/>
          </w:rPr>
          <w:tab/>
        </w:r>
        <w:r w:rsidR="00617C07" w:rsidRPr="00AB5737">
          <w:rPr>
            <w:rStyle w:val="Hyperlink"/>
            <w:noProof/>
          </w:rPr>
          <w:t>Rationale</w:t>
        </w:r>
        <w:r w:rsidR="00617C07">
          <w:rPr>
            <w:noProof/>
            <w:webHidden/>
          </w:rPr>
          <w:tab/>
        </w:r>
        <w:r w:rsidR="00617C07">
          <w:rPr>
            <w:noProof/>
            <w:webHidden/>
          </w:rPr>
          <w:fldChar w:fldCharType="begin"/>
        </w:r>
        <w:r w:rsidR="00617C07">
          <w:rPr>
            <w:noProof/>
            <w:webHidden/>
          </w:rPr>
          <w:instrText xml:space="preserve"> PAGEREF _Toc353974430 \h </w:instrText>
        </w:r>
        <w:r w:rsidR="00617C07">
          <w:rPr>
            <w:noProof/>
            <w:webHidden/>
          </w:rPr>
        </w:r>
        <w:r w:rsidR="00617C07">
          <w:rPr>
            <w:noProof/>
            <w:webHidden/>
          </w:rPr>
          <w:fldChar w:fldCharType="separate"/>
        </w:r>
        <w:r w:rsidR="00645C55">
          <w:rPr>
            <w:noProof/>
            <w:webHidden/>
          </w:rPr>
          <w:t>8</w:t>
        </w:r>
        <w:r w:rsidR="00617C07">
          <w:rPr>
            <w:noProof/>
            <w:webHidden/>
          </w:rPr>
          <w:fldChar w:fldCharType="end"/>
        </w:r>
      </w:hyperlink>
    </w:p>
    <w:p w:rsidR="00617C07" w:rsidRDefault="00E67977">
      <w:pPr>
        <w:pStyle w:val="TOC1"/>
        <w:tabs>
          <w:tab w:val="left" w:pos="440"/>
          <w:tab w:val="right" w:leader="dot" w:pos="9350"/>
        </w:tabs>
        <w:rPr>
          <w:rFonts w:asciiTheme="minorHAnsi" w:eastAsiaTheme="minorEastAsia" w:hAnsiTheme="minorHAnsi" w:cstheme="minorBidi"/>
          <w:noProof/>
          <w:sz w:val="22"/>
          <w:szCs w:val="22"/>
          <w:lang w:val="en-AU" w:eastAsia="en-AU"/>
        </w:rPr>
      </w:pPr>
      <w:hyperlink w:anchor="_Toc353974431" w:history="1">
        <w:r w:rsidR="00617C07" w:rsidRPr="00AB5737">
          <w:rPr>
            <w:rStyle w:val="Hyperlink"/>
            <w:noProof/>
          </w:rPr>
          <w:t>5.</w:t>
        </w:r>
        <w:r w:rsidR="00617C07">
          <w:rPr>
            <w:rFonts w:asciiTheme="minorHAnsi" w:eastAsiaTheme="minorEastAsia" w:hAnsiTheme="minorHAnsi" w:cstheme="minorBidi"/>
            <w:noProof/>
            <w:sz w:val="22"/>
            <w:szCs w:val="22"/>
            <w:lang w:val="en-AU" w:eastAsia="en-AU"/>
          </w:rPr>
          <w:tab/>
        </w:r>
        <w:r w:rsidR="00617C07" w:rsidRPr="00AB5737">
          <w:rPr>
            <w:rStyle w:val="Hyperlink"/>
            <w:noProof/>
          </w:rPr>
          <w:t>A Partnership Approach</w:t>
        </w:r>
        <w:r w:rsidR="00617C07">
          <w:rPr>
            <w:noProof/>
            <w:webHidden/>
          </w:rPr>
          <w:tab/>
        </w:r>
        <w:r w:rsidR="00617C07">
          <w:rPr>
            <w:noProof/>
            <w:webHidden/>
          </w:rPr>
          <w:fldChar w:fldCharType="begin"/>
        </w:r>
        <w:r w:rsidR="00617C07">
          <w:rPr>
            <w:noProof/>
            <w:webHidden/>
          </w:rPr>
          <w:instrText xml:space="preserve"> PAGEREF _Toc353974431 \h </w:instrText>
        </w:r>
        <w:r w:rsidR="00617C07">
          <w:rPr>
            <w:noProof/>
            <w:webHidden/>
          </w:rPr>
        </w:r>
        <w:r w:rsidR="00617C07">
          <w:rPr>
            <w:noProof/>
            <w:webHidden/>
          </w:rPr>
          <w:fldChar w:fldCharType="separate"/>
        </w:r>
        <w:r w:rsidR="00645C55">
          <w:rPr>
            <w:noProof/>
            <w:webHidden/>
          </w:rPr>
          <w:t>10</w:t>
        </w:r>
        <w:r w:rsidR="00617C07">
          <w:rPr>
            <w:noProof/>
            <w:webHidden/>
          </w:rPr>
          <w:fldChar w:fldCharType="end"/>
        </w:r>
      </w:hyperlink>
    </w:p>
    <w:p w:rsidR="00617C07" w:rsidRDefault="00E67977">
      <w:pPr>
        <w:pStyle w:val="TOC1"/>
        <w:tabs>
          <w:tab w:val="left" w:pos="440"/>
          <w:tab w:val="right" w:leader="dot" w:pos="9350"/>
        </w:tabs>
        <w:rPr>
          <w:rFonts w:asciiTheme="minorHAnsi" w:eastAsiaTheme="minorEastAsia" w:hAnsiTheme="minorHAnsi" w:cstheme="minorBidi"/>
          <w:noProof/>
          <w:sz w:val="22"/>
          <w:szCs w:val="22"/>
          <w:lang w:val="en-AU" w:eastAsia="en-AU"/>
        </w:rPr>
      </w:pPr>
      <w:hyperlink w:anchor="_Toc353974432" w:history="1">
        <w:r w:rsidR="00617C07" w:rsidRPr="00AB5737">
          <w:rPr>
            <w:rStyle w:val="Hyperlink"/>
            <w:noProof/>
          </w:rPr>
          <w:t>6.</w:t>
        </w:r>
        <w:r w:rsidR="00617C07">
          <w:rPr>
            <w:rFonts w:asciiTheme="minorHAnsi" w:eastAsiaTheme="minorEastAsia" w:hAnsiTheme="minorHAnsi" w:cstheme="minorBidi"/>
            <w:noProof/>
            <w:sz w:val="22"/>
            <w:szCs w:val="22"/>
            <w:lang w:val="en-AU" w:eastAsia="en-AU"/>
          </w:rPr>
          <w:tab/>
        </w:r>
        <w:r w:rsidR="00617C07" w:rsidRPr="00AB5737">
          <w:rPr>
            <w:rStyle w:val="Hyperlink"/>
            <w:noProof/>
          </w:rPr>
          <w:t>Program Description</w:t>
        </w:r>
        <w:r w:rsidR="00617C07">
          <w:rPr>
            <w:noProof/>
            <w:webHidden/>
          </w:rPr>
          <w:tab/>
        </w:r>
        <w:r w:rsidR="00617C07">
          <w:rPr>
            <w:noProof/>
            <w:webHidden/>
          </w:rPr>
          <w:fldChar w:fldCharType="begin"/>
        </w:r>
        <w:r w:rsidR="00617C07">
          <w:rPr>
            <w:noProof/>
            <w:webHidden/>
          </w:rPr>
          <w:instrText xml:space="preserve"> PAGEREF _Toc353974432 \h </w:instrText>
        </w:r>
        <w:r w:rsidR="00617C07">
          <w:rPr>
            <w:noProof/>
            <w:webHidden/>
          </w:rPr>
        </w:r>
        <w:r w:rsidR="00617C07">
          <w:rPr>
            <w:noProof/>
            <w:webHidden/>
          </w:rPr>
          <w:fldChar w:fldCharType="separate"/>
        </w:r>
        <w:r w:rsidR="00645C55">
          <w:rPr>
            <w:noProof/>
            <w:webHidden/>
          </w:rPr>
          <w:t>15</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33" w:history="1">
        <w:r w:rsidR="00617C07" w:rsidRPr="00AB5737">
          <w:rPr>
            <w:rStyle w:val="Hyperlink"/>
            <w:noProof/>
            <w:lang w:eastAsia="en-AU"/>
          </w:rPr>
          <w:t>6.1</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AACRS Theories of Change</w:t>
        </w:r>
        <w:r w:rsidR="00617C07">
          <w:rPr>
            <w:noProof/>
            <w:webHidden/>
          </w:rPr>
          <w:tab/>
        </w:r>
        <w:r w:rsidR="00617C07">
          <w:rPr>
            <w:noProof/>
            <w:webHidden/>
          </w:rPr>
          <w:fldChar w:fldCharType="begin"/>
        </w:r>
        <w:r w:rsidR="00617C07">
          <w:rPr>
            <w:noProof/>
            <w:webHidden/>
          </w:rPr>
          <w:instrText xml:space="preserve"> PAGEREF _Toc353974433 \h </w:instrText>
        </w:r>
        <w:r w:rsidR="00617C07">
          <w:rPr>
            <w:noProof/>
            <w:webHidden/>
          </w:rPr>
        </w:r>
        <w:r w:rsidR="00617C07">
          <w:rPr>
            <w:noProof/>
            <w:webHidden/>
          </w:rPr>
          <w:fldChar w:fldCharType="separate"/>
        </w:r>
        <w:r w:rsidR="00645C55">
          <w:rPr>
            <w:noProof/>
            <w:webHidden/>
          </w:rPr>
          <w:t>15</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34" w:history="1">
        <w:r w:rsidR="00617C07" w:rsidRPr="00AB5737">
          <w:rPr>
            <w:rStyle w:val="Hyperlink"/>
            <w:noProof/>
            <w:lang w:eastAsia="en-AU"/>
          </w:rPr>
          <w:t>6.2</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Program Scope</w:t>
        </w:r>
        <w:r w:rsidR="00617C07">
          <w:rPr>
            <w:noProof/>
            <w:webHidden/>
          </w:rPr>
          <w:tab/>
        </w:r>
        <w:r w:rsidR="00617C07">
          <w:rPr>
            <w:noProof/>
            <w:webHidden/>
          </w:rPr>
          <w:fldChar w:fldCharType="begin"/>
        </w:r>
        <w:r w:rsidR="00617C07">
          <w:rPr>
            <w:noProof/>
            <w:webHidden/>
          </w:rPr>
          <w:instrText xml:space="preserve"> PAGEREF _Toc353974434 \h </w:instrText>
        </w:r>
        <w:r w:rsidR="00617C07">
          <w:rPr>
            <w:noProof/>
            <w:webHidden/>
          </w:rPr>
        </w:r>
        <w:r w:rsidR="00617C07">
          <w:rPr>
            <w:noProof/>
            <w:webHidden/>
          </w:rPr>
          <w:fldChar w:fldCharType="separate"/>
        </w:r>
        <w:r w:rsidR="00645C55">
          <w:rPr>
            <w:noProof/>
            <w:webHidden/>
          </w:rPr>
          <w:t>15</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35" w:history="1">
        <w:r w:rsidR="00617C07" w:rsidRPr="00AB5737">
          <w:rPr>
            <w:rStyle w:val="Hyperlink"/>
            <w:noProof/>
            <w:lang w:eastAsia="en-AU"/>
          </w:rPr>
          <w:t>6.3</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Indicative Budget</w:t>
        </w:r>
        <w:r w:rsidR="00617C07">
          <w:rPr>
            <w:noProof/>
            <w:webHidden/>
          </w:rPr>
          <w:tab/>
        </w:r>
        <w:r w:rsidR="00617C07">
          <w:rPr>
            <w:noProof/>
            <w:webHidden/>
          </w:rPr>
          <w:fldChar w:fldCharType="begin"/>
        </w:r>
        <w:r w:rsidR="00617C07">
          <w:rPr>
            <w:noProof/>
            <w:webHidden/>
          </w:rPr>
          <w:instrText xml:space="preserve"> PAGEREF _Toc353974435 \h </w:instrText>
        </w:r>
        <w:r w:rsidR="00617C07">
          <w:rPr>
            <w:noProof/>
            <w:webHidden/>
          </w:rPr>
        </w:r>
        <w:r w:rsidR="00617C07">
          <w:rPr>
            <w:noProof/>
            <w:webHidden/>
          </w:rPr>
          <w:fldChar w:fldCharType="separate"/>
        </w:r>
        <w:r w:rsidR="00645C55">
          <w:rPr>
            <w:noProof/>
            <w:webHidden/>
          </w:rPr>
          <w:t>16</w:t>
        </w:r>
        <w:r w:rsidR="00617C07">
          <w:rPr>
            <w:noProof/>
            <w:webHidden/>
          </w:rPr>
          <w:fldChar w:fldCharType="end"/>
        </w:r>
      </w:hyperlink>
    </w:p>
    <w:p w:rsidR="00617C07" w:rsidRDefault="00E67977">
      <w:pPr>
        <w:pStyle w:val="TOC1"/>
        <w:tabs>
          <w:tab w:val="left" w:pos="440"/>
          <w:tab w:val="right" w:leader="dot" w:pos="9350"/>
        </w:tabs>
        <w:rPr>
          <w:rFonts w:asciiTheme="minorHAnsi" w:eastAsiaTheme="minorEastAsia" w:hAnsiTheme="minorHAnsi" w:cstheme="minorBidi"/>
          <w:noProof/>
          <w:sz w:val="22"/>
          <w:szCs w:val="22"/>
          <w:lang w:val="en-AU" w:eastAsia="en-AU"/>
        </w:rPr>
      </w:pPr>
      <w:hyperlink w:anchor="_Toc353974436" w:history="1">
        <w:r w:rsidR="00617C07" w:rsidRPr="00AB5737">
          <w:rPr>
            <w:rStyle w:val="Hyperlink"/>
            <w:noProof/>
          </w:rPr>
          <w:t>7.</w:t>
        </w:r>
        <w:r w:rsidR="00617C07">
          <w:rPr>
            <w:rFonts w:asciiTheme="minorHAnsi" w:eastAsiaTheme="minorEastAsia" w:hAnsiTheme="minorHAnsi" w:cstheme="minorBidi"/>
            <w:noProof/>
            <w:sz w:val="22"/>
            <w:szCs w:val="22"/>
            <w:lang w:val="en-AU" w:eastAsia="en-AU"/>
          </w:rPr>
          <w:tab/>
        </w:r>
        <w:r w:rsidR="00617C07" w:rsidRPr="00AB5737">
          <w:rPr>
            <w:rStyle w:val="Hyperlink"/>
            <w:noProof/>
          </w:rPr>
          <w:t>Program Implementation</w:t>
        </w:r>
        <w:r w:rsidR="00617C07">
          <w:rPr>
            <w:noProof/>
            <w:webHidden/>
          </w:rPr>
          <w:tab/>
        </w:r>
        <w:r w:rsidR="00617C07">
          <w:rPr>
            <w:noProof/>
            <w:webHidden/>
          </w:rPr>
          <w:fldChar w:fldCharType="begin"/>
        </w:r>
        <w:r w:rsidR="00617C07">
          <w:rPr>
            <w:noProof/>
            <w:webHidden/>
          </w:rPr>
          <w:instrText xml:space="preserve"> PAGEREF _Toc353974436 \h </w:instrText>
        </w:r>
        <w:r w:rsidR="00617C07">
          <w:rPr>
            <w:noProof/>
            <w:webHidden/>
          </w:rPr>
        </w:r>
        <w:r w:rsidR="00617C07">
          <w:rPr>
            <w:noProof/>
            <w:webHidden/>
          </w:rPr>
          <w:fldChar w:fldCharType="separate"/>
        </w:r>
        <w:r w:rsidR="00645C55">
          <w:rPr>
            <w:noProof/>
            <w:webHidden/>
          </w:rPr>
          <w:t>18</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37" w:history="1">
        <w:r w:rsidR="00617C07" w:rsidRPr="00AB5737">
          <w:rPr>
            <w:rStyle w:val="Hyperlink"/>
            <w:noProof/>
            <w:lang w:eastAsia="en-AU"/>
          </w:rPr>
          <w:t>7.1</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Partnership Principles</w:t>
        </w:r>
        <w:r w:rsidR="00617C07">
          <w:rPr>
            <w:noProof/>
            <w:webHidden/>
          </w:rPr>
          <w:tab/>
        </w:r>
        <w:r w:rsidR="00617C07">
          <w:rPr>
            <w:noProof/>
            <w:webHidden/>
          </w:rPr>
          <w:fldChar w:fldCharType="begin"/>
        </w:r>
        <w:r w:rsidR="00617C07">
          <w:rPr>
            <w:noProof/>
            <w:webHidden/>
          </w:rPr>
          <w:instrText xml:space="preserve"> PAGEREF _Toc353974437 \h </w:instrText>
        </w:r>
        <w:r w:rsidR="00617C07">
          <w:rPr>
            <w:noProof/>
            <w:webHidden/>
          </w:rPr>
        </w:r>
        <w:r w:rsidR="00617C07">
          <w:rPr>
            <w:noProof/>
            <w:webHidden/>
          </w:rPr>
          <w:fldChar w:fldCharType="separate"/>
        </w:r>
        <w:r w:rsidR="00645C55">
          <w:rPr>
            <w:noProof/>
            <w:webHidden/>
          </w:rPr>
          <w:t>18</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38" w:history="1">
        <w:r w:rsidR="00617C07" w:rsidRPr="00AB5737">
          <w:rPr>
            <w:rStyle w:val="Hyperlink"/>
            <w:noProof/>
            <w:lang w:eastAsia="en-AU"/>
          </w:rPr>
          <w:t>7.2</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NGO Eligibility and Project Selection</w:t>
        </w:r>
        <w:r w:rsidR="00617C07">
          <w:rPr>
            <w:noProof/>
            <w:webHidden/>
          </w:rPr>
          <w:tab/>
        </w:r>
        <w:r w:rsidR="00617C07">
          <w:rPr>
            <w:noProof/>
            <w:webHidden/>
          </w:rPr>
          <w:fldChar w:fldCharType="begin"/>
        </w:r>
        <w:r w:rsidR="00617C07">
          <w:rPr>
            <w:noProof/>
            <w:webHidden/>
          </w:rPr>
          <w:instrText xml:space="preserve"> PAGEREF _Toc353974438 \h </w:instrText>
        </w:r>
        <w:r w:rsidR="00617C07">
          <w:rPr>
            <w:noProof/>
            <w:webHidden/>
          </w:rPr>
        </w:r>
        <w:r w:rsidR="00617C07">
          <w:rPr>
            <w:noProof/>
            <w:webHidden/>
          </w:rPr>
          <w:fldChar w:fldCharType="separate"/>
        </w:r>
        <w:r w:rsidR="00645C55">
          <w:rPr>
            <w:noProof/>
            <w:webHidden/>
          </w:rPr>
          <w:t>19</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39" w:history="1">
        <w:r w:rsidR="00617C07" w:rsidRPr="00AB5737">
          <w:rPr>
            <w:rStyle w:val="Hyperlink"/>
            <w:noProof/>
            <w:lang w:eastAsia="en-AU"/>
          </w:rPr>
          <w:t>7.3</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Project Design</w:t>
        </w:r>
        <w:r w:rsidR="00617C07">
          <w:rPr>
            <w:noProof/>
            <w:webHidden/>
          </w:rPr>
          <w:tab/>
        </w:r>
        <w:r w:rsidR="00617C07">
          <w:rPr>
            <w:noProof/>
            <w:webHidden/>
          </w:rPr>
          <w:fldChar w:fldCharType="begin"/>
        </w:r>
        <w:r w:rsidR="00617C07">
          <w:rPr>
            <w:noProof/>
            <w:webHidden/>
          </w:rPr>
          <w:instrText xml:space="preserve"> PAGEREF _Toc353974439 \h </w:instrText>
        </w:r>
        <w:r w:rsidR="00617C07">
          <w:rPr>
            <w:noProof/>
            <w:webHidden/>
          </w:rPr>
        </w:r>
        <w:r w:rsidR="00617C07">
          <w:rPr>
            <w:noProof/>
            <w:webHidden/>
          </w:rPr>
          <w:fldChar w:fldCharType="separate"/>
        </w:r>
        <w:r w:rsidR="00645C55">
          <w:rPr>
            <w:noProof/>
            <w:webHidden/>
          </w:rPr>
          <w:t>20</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40" w:history="1">
        <w:r w:rsidR="00617C07" w:rsidRPr="00AB5737">
          <w:rPr>
            <w:rStyle w:val="Hyperlink"/>
            <w:noProof/>
            <w:lang w:eastAsia="en-AU"/>
          </w:rPr>
          <w:t>7.4</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Innovations Fund</w:t>
        </w:r>
        <w:r w:rsidR="00617C07">
          <w:rPr>
            <w:noProof/>
            <w:webHidden/>
          </w:rPr>
          <w:tab/>
        </w:r>
        <w:r w:rsidR="00617C07">
          <w:rPr>
            <w:noProof/>
            <w:webHidden/>
          </w:rPr>
          <w:fldChar w:fldCharType="begin"/>
        </w:r>
        <w:r w:rsidR="00617C07">
          <w:rPr>
            <w:noProof/>
            <w:webHidden/>
          </w:rPr>
          <w:instrText xml:space="preserve"> PAGEREF _Toc353974440 \h </w:instrText>
        </w:r>
        <w:r w:rsidR="00617C07">
          <w:rPr>
            <w:noProof/>
            <w:webHidden/>
          </w:rPr>
        </w:r>
        <w:r w:rsidR="00617C07">
          <w:rPr>
            <w:noProof/>
            <w:webHidden/>
          </w:rPr>
          <w:fldChar w:fldCharType="separate"/>
        </w:r>
        <w:r w:rsidR="00645C55">
          <w:rPr>
            <w:noProof/>
            <w:webHidden/>
          </w:rPr>
          <w:t>22</w:t>
        </w:r>
        <w:r w:rsidR="00617C07">
          <w:rPr>
            <w:noProof/>
            <w:webHidden/>
          </w:rPr>
          <w:fldChar w:fldCharType="end"/>
        </w:r>
      </w:hyperlink>
    </w:p>
    <w:p w:rsidR="00617C07" w:rsidRDefault="00E67977">
      <w:pPr>
        <w:pStyle w:val="TOC1"/>
        <w:tabs>
          <w:tab w:val="left" w:pos="440"/>
          <w:tab w:val="right" w:leader="dot" w:pos="9350"/>
        </w:tabs>
        <w:rPr>
          <w:rFonts w:asciiTheme="minorHAnsi" w:eastAsiaTheme="minorEastAsia" w:hAnsiTheme="minorHAnsi" w:cstheme="minorBidi"/>
          <w:noProof/>
          <w:sz w:val="22"/>
          <w:szCs w:val="22"/>
          <w:lang w:val="en-AU" w:eastAsia="en-AU"/>
        </w:rPr>
      </w:pPr>
      <w:hyperlink w:anchor="_Toc353974441" w:history="1">
        <w:r w:rsidR="00617C07" w:rsidRPr="00AB5737">
          <w:rPr>
            <w:rStyle w:val="Hyperlink"/>
            <w:noProof/>
          </w:rPr>
          <w:t>8.</w:t>
        </w:r>
        <w:r w:rsidR="00617C07">
          <w:rPr>
            <w:rFonts w:asciiTheme="minorHAnsi" w:eastAsiaTheme="minorEastAsia" w:hAnsiTheme="minorHAnsi" w:cstheme="minorBidi"/>
            <w:noProof/>
            <w:sz w:val="22"/>
            <w:szCs w:val="22"/>
            <w:lang w:val="en-AU" w:eastAsia="en-AU"/>
          </w:rPr>
          <w:tab/>
        </w:r>
        <w:r w:rsidR="00617C07" w:rsidRPr="00AB5737">
          <w:rPr>
            <w:rStyle w:val="Hyperlink"/>
            <w:noProof/>
          </w:rPr>
          <w:t>Cross-Cutting Issues</w:t>
        </w:r>
        <w:r w:rsidR="00617C07">
          <w:rPr>
            <w:noProof/>
            <w:webHidden/>
          </w:rPr>
          <w:tab/>
        </w:r>
        <w:r w:rsidR="00617C07">
          <w:rPr>
            <w:noProof/>
            <w:webHidden/>
          </w:rPr>
          <w:fldChar w:fldCharType="begin"/>
        </w:r>
        <w:r w:rsidR="00617C07">
          <w:rPr>
            <w:noProof/>
            <w:webHidden/>
          </w:rPr>
          <w:instrText xml:space="preserve"> PAGEREF _Toc353974441 \h </w:instrText>
        </w:r>
        <w:r w:rsidR="00617C07">
          <w:rPr>
            <w:noProof/>
            <w:webHidden/>
          </w:rPr>
        </w:r>
        <w:r w:rsidR="00617C07">
          <w:rPr>
            <w:noProof/>
            <w:webHidden/>
          </w:rPr>
          <w:fldChar w:fldCharType="separate"/>
        </w:r>
        <w:r w:rsidR="00645C55">
          <w:rPr>
            <w:noProof/>
            <w:webHidden/>
          </w:rPr>
          <w:t>22</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42" w:history="1">
        <w:r w:rsidR="00617C07" w:rsidRPr="00AB5737">
          <w:rPr>
            <w:rStyle w:val="Hyperlink"/>
            <w:noProof/>
            <w:lang w:eastAsia="en-AU"/>
          </w:rPr>
          <w:t>8.1</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Gender Equality</w:t>
        </w:r>
        <w:r w:rsidR="00617C07">
          <w:rPr>
            <w:noProof/>
            <w:webHidden/>
          </w:rPr>
          <w:tab/>
        </w:r>
        <w:r w:rsidR="00617C07">
          <w:rPr>
            <w:noProof/>
            <w:webHidden/>
          </w:rPr>
          <w:fldChar w:fldCharType="begin"/>
        </w:r>
        <w:r w:rsidR="00617C07">
          <w:rPr>
            <w:noProof/>
            <w:webHidden/>
          </w:rPr>
          <w:instrText xml:space="preserve"> PAGEREF _Toc353974442 \h </w:instrText>
        </w:r>
        <w:r w:rsidR="00617C07">
          <w:rPr>
            <w:noProof/>
            <w:webHidden/>
          </w:rPr>
        </w:r>
        <w:r w:rsidR="00617C07">
          <w:rPr>
            <w:noProof/>
            <w:webHidden/>
          </w:rPr>
          <w:fldChar w:fldCharType="separate"/>
        </w:r>
        <w:r w:rsidR="00645C55">
          <w:rPr>
            <w:noProof/>
            <w:webHidden/>
          </w:rPr>
          <w:t>22</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43" w:history="1">
        <w:r w:rsidR="00617C07" w:rsidRPr="00AB5737">
          <w:rPr>
            <w:rStyle w:val="Hyperlink"/>
            <w:noProof/>
            <w:lang w:eastAsia="en-AU"/>
          </w:rPr>
          <w:t>8.2</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Child Protection</w:t>
        </w:r>
        <w:r w:rsidR="00617C07">
          <w:rPr>
            <w:noProof/>
            <w:webHidden/>
          </w:rPr>
          <w:tab/>
        </w:r>
        <w:r w:rsidR="00617C07">
          <w:rPr>
            <w:noProof/>
            <w:webHidden/>
          </w:rPr>
          <w:fldChar w:fldCharType="begin"/>
        </w:r>
        <w:r w:rsidR="00617C07">
          <w:rPr>
            <w:noProof/>
            <w:webHidden/>
          </w:rPr>
          <w:instrText xml:space="preserve"> PAGEREF _Toc353974443 \h </w:instrText>
        </w:r>
        <w:r w:rsidR="00617C07">
          <w:rPr>
            <w:noProof/>
            <w:webHidden/>
          </w:rPr>
        </w:r>
        <w:r w:rsidR="00617C07">
          <w:rPr>
            <w:noProof/>
            <w:webHidden/>
          </w:rPr>
          <w:fldChar w:fldCharType="separate"/>
        </w:r>
        <w:r w:rsidR="00645C55">
          <w:rPr>
            <w:noProof/>
            <w:webHidden/>
          </w:rPr>
          <w:t>24</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44" w:history="1">
        <w:r w:rsidR="00617C07" w:rsidRPr="00AB5737">
          <w:rPr>
            <w:rStyle w:val="Hyperlink"/>
            <w:noProof/>
            <w:lang w:eastAsia="en-AU"/>
          </w:rPr>
          <w:t>8.3</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Disability Inclusiveness</w:t>
        </w:r>
        <w:r w:rsidR="00617C07">
          <w:rPr>
            <w:noProof/>
            <w:webHidden/>
          </w:rPr>
          <w:tab/>
        </w:r>
        <w:r w:rsidR="00617C07">
          <w:rPr>
            <w:noProof/>
            <w:webHidden/>
          </w:rPr>
          <w:fldChar w:fldCharType="begin"/>
        </w:r>
        <w:r w:rsidR="00617C07">
          <w:rPr>
            <w:noProof/>
            <w:webHidden/>
          </w:rPr>
          <w:instrText xml:space="preserve"> PAGEREF _Toc353974444 \h </w:instrText>
        </w:r>
        <w:r w:rsidR="00617C07">
          <w:rPr>
            <w:noProof/>
            <w:webHidden/>
          </w:rPr>
        </w:r>
        <w:r w:rsidR="00617C07">
          <w:rPr>
            <w:noProof/>
            <w:webHidden/>
          </w:rPr>
          <w:fldChar w:fldCharType="separate"/>
        </w:r>
        <w:r w:rsidR="00645C55">
          <w:rPr>
            <w:noProof/>
            <w:webHidden/>
          </w:rPr>
          <w:t>24</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45" w:history="1">
        <w:r w:rsidR="00617C07" w:rsidRPr="00AB5737">
          <w:rPr>
            <w:rStyle w:val="Hyperlink"/>
            <w:noProof/>
            <w:lang w:eastAsia="en-AU"/>
          </w:rPr>
          <w:t>8.4</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Disaster Risk Reduction</w:t>
        </w:r>
        <w:r w:rsidR="00617C07">
          <w:rPr>
            <w:noProof/>
            <w:webHidden/>
          </w:rPr>
          <w:tab/>
        </w:r>
        <w:r w:rsidR="00617C07">
          <w:rPr>
            <w:noProof/>
            <w:webHidden/>
          </w:rPr>
          <w:fldChar w:fldCharType="begin"/>
        </w:r>
        <w:r w:rsidR="00617C07">
          <w:rPr>
            <w:noProof/>
            <w:webHidden/>
          </w:rPr>
          <w:instrText xml:space="preserve"> PAGEREF _Toc353974445 \h </w:instrText>
        </w:r>
        <w:r w:rsidR="00617C07">
          <w:rPr>
            <w:noProof/>
            <w:webHidden/>
          </w:rPr>
        </w:r>
        <w:r w:rsidR="00617C07">
          <w:rPr>
            <w:noProof/>
            <w:webHidden/>
          </w:rPr>
          <w:fldChar w:fldCharType="separate"/>
        </w:r>
        <w:r w:rsidR="00645C55">
          <w:rPr>
            <w:noProof/>
            <w:webHidden/>
          </w:rPr>
          <w:t>25</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46" w:history="1">
        <w:r w:rsidR="00617C07" w:rsidRPr="00AB5737">
          <w:rPr>
            <w:rStyle w:val="Hyperlink"/>
            <w:noProof/>
            <w:lang w:eastAsia="en-AU"/>
          </w:rPr>
          <w:t>8.5</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Anti-Corruption &amp; Fraud Prevention</w:t>
        </w:r>
        <w:r w:rsidR="00617C07">
          <w:rPr>
            <w:noProof/>
            <w:webHidden/>
          </w:rPr>
          <w:tab/>
        </w:r>
        <w:r w:rsidR="00617C07">
          <w:rPr>
            <w:noProof/>
            <w:webHidden/>
          </w:rPr>
          <w:fldChar w:fldCharType="begin"/>
        </w:r>
        <w:r w:rsidR="00617C07">
          <w:rPr>
            <w:noProof/>
            <w:webHidden/>
          </w:rPr>
          <w:instrText xml:space="preserve"> PAGEREF _Toc353974446 \h </w:instrText>
        </w:r>
        <w:r w:rsidR="00617C07">
          <w:rPr>
            <w:noProof/>
            <w:webHidden/>
          </w:rPr>
        </w:r>
        <w:r w:rsidR="00617C07">
          <w:rPr>
            <w:noProof/>
            <w:webHidden/>
          </w:rPr>
          <w:fldChar w:fldCharType="separate"/>
        </w:r>
        <w:r w:rsidR="00645C55">
          <w:rPr>
            <w:noProof/>
            <w:webHidden/>
          </w:rPr>
          <w:t>25</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47" w:history="1">
        <w:r w:rsidR="00617C07" w:rsidRPr="00AB5737">
          <w:rPr>
            <w:rStyle w:val="Hyperlink"/>
            <w:noProof/>
            <w:lang w:val="pt-PT" w:eastAsia="en-AU"/>
          </w:rPr>
          <w:t>8.6</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val="pt-PT" w:eastAsia="en-AU"/>
          </w:rPr>
          <w:t>Fragile States – “Do No Harm”</w:t>
        </w:r>
        <w:r w:rsidR="00617C07">
          <w:rPr>
            <w:noProof/>
            <w:webHidden/>
          </w:rPr>
          <w:tab/>
        </w:r>
        <w:r w:rsidR="00617C07">
          <w:rPr>
            <w:noProof/>
            <w:webHidden/>
          </w:rPr>
          <w:fldChar w:fldCharType="begin"/>
        </w:r>
        <w:r w:rsidR="00617C07">
          <w:rPr>
            <w:noProof/>
            <w:webHidden/>
          </w:rPr>
          <w:instrText xml:space="preserve"> PAGEREF _Toc353974447 \h </w:instrText>
        </w:r>
        <w:r w:rsidR="00617C07">
          <w:rPr>
            <w:noProof/>
            <w:webHidden/>
          </w:rPr>
        </w:r>
        <w:r w:rsidR="00617C07">
          <w:rPr>
            <w:noProof/>
            <w:webHidden/>
          </w:rPr>
          <w:fldChar w:fldCharType="separate"/>
        </w:r>
        <w:r w:rsidR="00645C55">
          <w:rPr>
            <w:noProof/>
            <w:webHidden/>
          </w:rPr>
          <w:t>26</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48" w:history="1">
        <w:r w:rsidR="00617C07" w:rsidRPr="00AB5737">
          <w:rPr>
            <w:rStyle w:val="Hyperlink"/>
            <w:noProof/>
            <w:lang w:eastAsia="en-AU"/>
          </w:rPr>
          <w:t>8.7</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Environment</w:t>
        </w:r>
        <w:r w:rsidR="00617C07">
          <w:rPr>
            <w:noProof/>
            <w:webHidden/>
          </w:rPr>
          <w:tab/>
        </w:r>
        <w:r w:rsidR="00617C07">
          <w:rPr>
            <w:noProof/>
            <w:webHidden/>
          </w:rPr>
          <w:fldChar w:fldCharType="begin"/>
        </w:r>
        <w:r w:rsidR="00617C07">
          <w:rPr>
            <w:noProof/>
            <w:webHidden/>
          </w:rPr>
          <w:instrText xml:space="preserve"> PAGEREF _Toc353974448 \h </w:instrText>
        </w:r>
        <w:r w:rsidR="00617C07">
          <w:rPr>
            <w:noProof/>
            <w:webHidden/>
          </w:rPr>
        </w:r>
        <w:r w:rsidR="00617C07">
          <w:rPr>
            <w:noProof/>
            <w:webHidden/>
          </w:rPr>
          <w:fldChar w:fldCharType="separate"/>
        </w:r>
        <w:r w:rsidR="00645C55">
          <w:rPr>
            <w:noProof/>
            <w:webHidden/>
          </w:rPr>
          <w:t>28</w:t>
        </w:r>
        <w:r w:rsidR="00617C07">
          <w:rPr>
            <w:noProof/>
            <w:webHidden/>
          </w:rPr>
          <w:fldChar w:fldCharType="end"/>
        </w:r>
      </w:hyperlink>
    </w:p>
    <w:p w:rsidR="00617C07" w:rsidRDefault="00E67977">
      <w:pPr>
        <w:pStyle w:val="TOC1"/>
        <w:tabs>
          <w:tab w:val="left" w:pos="440"/>
          <w:tab w:val="right" w:leader="dot" w:pos="9350"/>
        </w:tabs>
        <w:rPr>
          <w:rFonts w:asciiTheme="minorHAnsi" w:eastAsiaTheme="minorEastAsia" w:hAnsiTheme="minorHAnsi" w:cstheme="minorBidi"/>
          <w:noProof/>
          <w:sz w:val="22"/>
          <w:szCs w:val="22"/>
          <w:lang w:val="en-AU" w:eastAsia="en-AU"/>
        </w:rPr>
      </w:pPr>
      <w:hyperlink w:anchor="_Toc353974449" w:history="1">
        <w:r w:rsidR="00617C07" w:rsidRPr="00AB5737">
          <w:rPr>
            <w:rStyle w:val="Hyperlink"/>
            <w:noProof/>
          </w:rPr>
          <w:t>9.</w:t>
        </w:r>
        <w:r w:rsidR="00617C07">
          <w:rPr>
            <w:rFonts w:asciiTheme="minorHAnsi" w:eastAsiaTheme="minorEastAsia" w:hAnsiTheme="minorHAnsi" w:cstheme="minorBidi"/>
            <w:noProof/>
            <w:sz w:val="22"/>
            <w:szCs w:val="22"/>
            <w:lang w:val="en-AU" w:eastAsia="en-AU"/>
          </w:rPr>
          <w:tab/>
        </w:r>
        <w:r w:rsidR="00617C07" w:rsidRPr="00AB5737">
          <w:rPr>
            <w:rStyle w:val="Hyperlink"/>
            <w:noProof/>
          </w:rPr>
          <w:t>Program Management</w:t>
        </w:r>
        <w:r w:rsidR="00617C07">
          <w:rPr>
            <w:noProof/>
            <w:webHidden/>
          </w:rPr>
          <w:tab/>
        </w:r>
        <w:r w:rsidR="00617C07">
          <w:rPr>
            <w:noProof/>
            <w:webHidden/>
          </w:rPr>
          <w:fldChar w:fldCharType="begin"/>
        </w:r>
        <w:r w:rsidR="00617C07">
          <w:rPr>
            <w:noProof/>
            <w:webHidden/>
          </w:rPr>
          <w:instrText xml:space="preserve"> PAGEREF _Toc353974449 \h </w:instrText>
        </w:r>
        <w:r w:rsidR="00617C07">
          <w:rPr>
            <w:noProof/>
            <w:webHidden/>
          </w:rPr>
        </w:r>
        <w:r w:rsidR="00617C07">
          <w:rPr>
            <w:noProof/>
            <w:webHidden/>
          </w:rPr>
          <w:fldChar w:fldCharType="separate"/>
        </w:r>
        <w:r w:rsidR="00645C55">
          <w:rPr>
            <w:noProof/>
            <w:webHidden/>
          </w:rPr>
          <w:t>29</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50" w:history="1">
        <w:r w:rsidR="00617C07" w:rsidRPr="00AB5737">
          <w:rPr>
            <w:rStyle w:val="Hyperlink"/>
            <w:noProof/>
            <w:lang w:eastAsia="en-AU"/>
          </w:rPr>
          <w:t>9.1</w:t>
        </w:r>
        <w:r w:rsidR="00617C07">
          <w:rPr>
            <w:rFonts w:asciiTheme="minorHAnsi" w:eastAsiaTheme="minorEastAsia" w:hAnsiTheme="minorHAnsi" w:cstheme="minorBidi"/>
            <w:noProof/>
            <w:sz w:val="22"/>
            <w:szCs w:val="22"/>
            <w:lang w:val="en-AU" w:eastAsia="en-AU"/>
          </w:rPr>
          <w:tab/>
        </w:r>
        <w:r w:rsidR="00617C07" w:rsidRPr="00AB5737">
          <w:rPr>
            <w:rStyle w:val="Hyperlink"/>
            <w:noProof/>
            <w:kern w:val="32"/>
          </w:rPr>
          <w:t>S</w:t>
        </w:r>
        <w:r w:rsidR="00617C07" w:rsidRPr="00AB5737">
          <w:rPr>
            <w:rStyle w:val="Hyperlink"/>
            <w:noProof/>
            <w:lang w:eastAsia="en-AU"/>
          </w:rPr>
          <w:t>cheme Governance</w:t>
        </w:r>
        <w:r w:rsidR="00617C07">
          <w:rPr>
            <w:noProof/>
            <w:webHidden/>
          </w:rPr>
          <w:tab/>
        </w:r>
        <w:r w:rsidR="00617C07">
          <w:rPr>
            <w:noProof/>
            <w:webHidden/>
          </w:rPr>
          <w:fldChar w:fldCharType="begin"/>
        </w:r>
        <w:r w:rsidR="00617C07">
          <w:rPr>
            <w:noProof/>
            <w:webHidden/>
          </w:rPr>
          <w:instrText xml:space="preserve"> PAGEREF _Toc353974450 \h </w:instrText>
        </w:r>
        <w:r w:rsidR="00617C07">
          <w:rPr>
            <w:noProof/>
            <w:webHidden/>
          </w:rPr>
        </w:r>
        <w:r w:rsidR="00617C07">
          <w:rPr>
            <w:noProof/>
            <w:webHidden/>
          </w:rPr>
          <w:fldChar w:fldCharType="separate"/>
        </w:r>
        <w:r w:rsidR="00645C55">
          <w:rPr>
            <w:noProof/>
            <w:webHidden/>
          </w:rPr>
          <w:t>29</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51" w:history="1">
        <w:r w:rsidR="00617C07" w:rsidRPr="00AB5737">
          <w:rPr>
            <w:rStyle w:val="Hyperlink"/>
            <w:noProof/>
            <w:kern w:val="32"/>
          </w:rPr>
          <w:t>9.2</w:t>
        </w:r>
        <w:r w:rsidR="00617C07">
          <w:rPr>
            <w:rFonts w:asciiTheme="minorHAnsi" w:eastAsiaTheme="minorEastAsia" w:hAnsiTheme="minorHAnsi" w:cstheme="minorBidi"/>
            <w:noProof/>
            <w:sz w:val="22"/>
            <w:szCs w:val="22"/>
            <w:lang w:val="en-AU" w:eastAsia="en-AU"/>
          </w:rPr>
          <w:tab/>
        </w:r>
        <w:r w:rsidR="00617C07" w:rsidRPr="00AB5737">
          <w:rPr>
            <w:rStyle w:val="Hyperlink"/>
            <w:noProof/>
            <w:kern w:val="32"/>
          </w:rPr>
          <w:t>Scheme Management</w:t>
        </w:r>
        <w:r w:rsidR="00617C07">
          <w:rPr>
            <w:noProof/>
            <w:webHidden/>
          </w:rPr>
          <w:tab/>
        </w:r>
        <w:r w:rsidR="00617C07">
          <w:rPr>
            <w:noProof/>
            <w:webHidden/>
          </w:rPr>
          <w:fldChar w:fldCharType="begin"/>
        </w:r>
        <w:r w:rsidR="00617C07">
          <w:rPr>
            <w:noProof/>
            <w:webHidden/>
          </w:rPr>
          <w:instrText xml:space="preserve"> PAGEREF _Toc353974451 \h </w:instrText>
        </w:r>
        <w:r w:rsidR="00617C07">
          <w:rPr>
            <w:noProof/>
            <w:webHidden/>
          </w:rPr>
        </w:r>
        <w:r w:rsidR="00617C07">
          <w:rPr>
            <w:noProof/>
            <w:webHidden/>
          </w:rPr>
          <w:fldChar w:fldCharType="separate"/>
        </w:r>
        <w:r w:rsidR="00645C55">
          <w:rPr>
            <w:noProof/>
            <w:webHidden/>
          </w:rPr>
          <w:t>29</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52" w:history="1">
        <w:r w:rsidR="00617C07" w:rsidRPr="00AB5737">
          <w:rPr>
            <w:rStyle w:val="Hyperlink"/>
            <w:noProof/>
            <w:lang w:eastAsia="en-AU"/>
          </w:rPr>
          <w:t>9.3</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Scheme Manager</w:t>
        </w:r>
        <w:r w:rsidR="00617C07">
          <w:rPr>
            <w:noProof/>
            <w:webHidden/>
          </w:rPr>
          <w:tab/>
        </w:r>
        <w:r w:rsidR="00617C07">
          <w:rPr>
            <w:noProof/>
            <w:webHidden/>
          </w:rPr>
          <w:fldChar w:fldCharType="begin"/>
        </w:r>
        <w:r w:rsidR="00617C07">
          <w:rPr>
            <w:noProof/>
            <w:webHidden/>
          </w:rPr>
          <w:instrText xml:space="preserve"> PAGEREF _Toc353974452 \h </w:instrText>
        </w:r>
        <w:r w:rsidR="00617C07">
          <w:rPr>
            <w:noProof/>
            <w:webHidden/>
          </w:rPr>
        </w:r>
        <w:r w:rsidR="00617C07">
          <w:rPr>
            <w:noProof/>
            <w:webHidden/>
          </w:rPr>
          <w:fldChar w:fldCharType="separate"/>
        </w:r>
        <w:r w:rsidR="00645C55">
          <w:rPr>
            <w:noProof/>
            <w:webHidden/>
          </w:rPr>
          <w:t>30</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53" w:history="1">
        <w:r w:rsidR="00617C07" w:rsidRPr="00AB5737">
          <w:rPr>
            <w:rStyle w:val="Hyperlink"/>
            <w:noProof/>
            <w:lang w:eastAsia="en-AU"/>
          </w:rPr>
          <w:t>9.4</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Technical Reference Group</w:t>
        </w:r>
        <w:r w:rsidR="00617C07">
          <w:rPr>
            <w:noProof/>
            <w:webHidden/>
          </w:rPr>
          <w:tab/>
        </w:r>
        <w:r w:rsidR="00617C07">
          <w:rPr>
            <w:noProof/>
            <w:webHidden/>
          </w:rPr>
          <w:fldChar w:fldCharType="begin"/>
        </w:r>
        <w:r w:rsidR="00617C07">
          <w:rPr>
            <w:noProof/>
            <w:webHidden/>
          </w:rPr>
          <w:instrText xml:space="preserve"> PAGEREF _Toc353974453 \h </w:instrText>
        </w:r>
        <w:r w:rsidR="00617C07">
          <w:rPr>
            <w:noProof/>
            <w:webHidden/>
          </w:rPr>
        </w:r>
        <w:r w:rsidR="00617C07">
          <w:rPr>
            <w:noProof/>
            <w:webHidden/>
          </w:rPr>
          <w:fldChar w:fldCharType="separate"/>
        </w:r>
        <w:r w:rsidR="00645C55">
          <w:rPr>
            <w:noProof/>
            <w:webHidden/>
          </w:rPr>
          <w:t>31</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54" w:history="1">
        <w:r w:rsidR="00617C07" w:rsidRPr="00AB5737">
          <w:rPr>
            <w:rStyle w:val="Hyperlink"/>
            <w:noProof/>
            <w:lang w:eastAsia="en-AU"/>
          </w:rPr>
          <w:t>9.5</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Agreements and Financial Management</w:t>
        </w:r>
        <w:r w:rsidR="00617C07">
          <w:rPr>
            <w:noProof/>
            <w:webHidden/>
          </w:rPr>
          <w:tab/>
        </w:r>
        <w:r w:rsidR="00617C07">
          <w:rPr>
            <w:noProof/>
            <w:webHidden/>
          </w:rPr>
          <w:fldChar w:fldCharType="begin"/>
        </w:r>
        <w:r w:rsidR="00617C07">
          <w:rPr>
            <w:noProof/>
            <w:webHidden/>
          </w:rPr>
          <w:instrText xml:space="preserve"> PAGEREF _Toc353974454 \h </w:instrText>
        </w:r>
        <w:r w:rsidR="00617C07">
          <w:rPr>
            <w:noProof/>
            <w:webHidden/>
          </w:rPr>
        </w:r>
        <w:r w:rsidR="00617C07">
          <w:rPr>
            <w:noProof/>
            <w:webHidden/>
          </w:rPr>
          <w:fldChar w:fldCharType="separate"/>
        </w:r>
        <w:r w:rsidR="00645C55">
          <w:rPr>
            <w:noProof/>
            <w:webHidden/>
          </w:rPr>
          <w:t>31</w:t>
        </w:r>
        <w:r w:rsidR="00617C07">
          <w:rPr>
            <w:noProof/>
            <w:webHidden/>
          </w:rPr>
          <w:fldChar w:fldCharType="end"/>
        </w:r>
      </w:hyperlink>
    </w:p>
    <w:p w:rsidR="00617C07" w:rsidRDefault="00E67977">
      <w:pPr>
        <w:pStyle w:val="TOC2"/>
        <w:tabs>
          <w:tab w:val="left" w:pos="880"/>
          <w:tab w:val="right" w:leader="dot" w:pos="9350"/>
        </w:tabs>
        <w:rPr>
          <w:rFonts w:asciiTheme="minorHAnsi" w:eastAsiaTheme="minorEastAsia" w:hAnsiTheme="minorHAnsi" w:cstheme="minorBidi"/>
          <w:noProof/>
          <w:sz w:val="22"/>
          <w:szCs w:val="22"/>
          <w:lang w:val="en-AU" w:eastAsia="en-AU"/>
        </w:rPr>
      </w:pPr>
      <w:hyperlink w:anchor="_Toc353974455" w:history="1">
        <w:r w:rsidR="00617C07" w:rsidRPr="00AB5737">
          <w:rPr>
            <w:rStyle w:val="Hyperlink"/>
            <w:noProof/>
            <w:lang w:eastAsia="en-AU"/>
          </w:rPr>
          <w:t>9.6</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Management Roles and Responsibilities</w:t>
        </w:r>
        <w:r w:rsidR="00617C07">
          <w:rPr>
            <w:noProof/>
            <w:webHidden/>
          </w:rPr>
          <w:tab/>
        </w:r>
        <w:r w:rsidR="00617C07">
          <w:rPr>
            <w:noProof/>
            <w:webHidden/>
          </w:rPr>
          <w:fldChar w:fldCharType="begin"/>
        </w:r>
        <w:r w:rsidR="00617C07">
          <w:rPr>
            <w:noProof/>
            <w:webHidden/>
          </w:rPr>
          <w:instrText xml:space="preserve"> PAGEREF _Toc353974455 \h </w:instrText>
        </w:r>
        <w:r w:rsidR="00617C07">
          <w:rPr>
            <w:noProof/>
            <w:webHidden/>
          </w:rPr>
        </w:r>
        <w:r w:rsidR="00617C07">
          <w:rPr>
            <w:noProof/>
            <w:webHidden/>
          </w:rPr>
          <w:fldChar w:fldCharType="separate"/>
        </w:r>
        <w:r w:rsidR="00645C55">
          <w:rPr>
            <w:noProof/>
            <w:webHidden/>
          </w:rPr>
          <w:t>32</w:t>
        </w:r>
        <w:r w:rsidR="00617C07">
          <w:rPr>
            <w:noProof/>
            <w:webHidden/>
          </w:rPr>
          <w:fldChar w:fldCharType="end"/>
        </w:r>
      </w:hyperlink>
    </w:p>
    <w:p w:rsidR="00617C07" w:rsidRDefault="00E67977">
      <w:pPr>
        <w:pStyle w:val="TOC1"/>
        <w:tabs>
          <w:tab w:val="left" w:pos="660"/>
          <w:tab w:val="right" w:leader="dot" w:pos="9350"/>
        </w:tabs>
        <w:rPr>
          <w:rFonts w:asciiTheme="minorHAnsi" w:eastAsiaTheme="minorEastAsia" w:hAnsiTheme="minorHAnsi" w:cstheme="minorBidi"/>
          <w:noProof/>
          <w:sz w:val="22"/>
          <w:szCs w:val="22"/>
          <w:lang w:val="en-AU" w:eastAsia="en-AU"/>
        </w:rPr>
      </w:pPr>
      <w:hyperlink w:anchor="_Toc353974456" w:history="1">
        <w:r w:rsidR="00617C07" w:rsidRPr="00AB5737">
          <w:rPr>
            <w:rStyle w:val="Hyperlink"/>
            <w:noProof/>
          </w:rPr>
          <w:t>10.</w:t>
        </w:r>
        <w:r w:rsidR="00617C07">
          <w:rPr>
            <w:rFonts w:asciiTheme="minorHAnsi" w:eastAsiaTheme="minorEastAsia" w:hAnsiTheme="minorHAnsi" w:cstheme="minorBidi"/>
            <w:noProof/>
            <w:sz w:val="22"/>
            <w:szCs w:val="22"/>
            <w:lang w:val="en-AU" w:eastAsia="en-AU"/>
          </w:rPr>
          <w:tab/>
        </w:r>
        <w:r w:rsidR="00617C07" w:rsidRPr="00AB5737">
          <w:rPr>
            <w:rStyle w:val="Hyperlink"/>
            <w:noProof/>
          </w:rPr>
          <w:t>Monitoring and Evaluation</w:t>
        </w:r>
        <w:r w:rsidR="00617C07">
          <w:rPr>
            <w:noProof/>
            <w:webHidden/>
          </w:rPr>
          <w:tab/>
        </w:r>
        <w:r w:rsidR="00617C07">
          <w:rPr>
            <w:noProof/>
            <w:webHidden/>
          </w:rPr>
          <w:fldChar w:fldCharType="begin"/>
        </w:r>
        <w:r w:rsidR="00617C07">
          <w:rPr>
            <w:noProof/>
            <w:webHidden/>
          </w:rPr>
          <w:instrText xml:space="preserve"> PAGEREF _Toc353974456 \h </w:instrText>
        </w:r>
        <w:r w:rsidR="00617C07">
          <w:rPr>
            <w:noProof/>
            <w:webHidden/>
          </w:rPr>
        </w:r>
        <w:r w:rsidR="00617C07">
          <w:rPr>
            <w:noProof/>
            <w:webHidden/>
          </w:rPr>
          <w:fldChar w:fldCharType="separate"/>
        </w:r>
        <w:r w:rsidR="00645C55">
          <w:rPr>
            <w:noProof/>
            <w:webHidden/>
          </w:rPr>
          <w:t>34</w:t>
        </w:r>
        <w:r w:rsidR="00617C07">
          <w:rPr>
            <w:noProof/>
            <w:webHidden/>
          </w:rPr>
          <w:fldChar w:fldCharType="end"/>
        </w:r>
      </w:hyperlink>
    </w:p>
    <w:p w:rsidR="00617C07" w:rsidRDefault="00E67977">
      <w:pPr>
        <w:pStyle w:val="TOC2"/>
        <w:tabs>
          <w:tab w:val="left" w:pos="1100"/>
          <w:tab w:val="right" w:leader="dot" w:pos="9350"/>
        </w:tabs>
        <w:rPr>
          <w:rFonts w:asciiTheme="minorHAnsi" w:eastAsiaTheme="minorEastAsia" w:hAnsiTheme="minorHAnsi" w:cstheme="minorBidi"/>
          <w:noProof/>
          <w:sz w:val="22"/>
          <w:szCs w:val="22"/>
          <w:lang w:val="en-AU" w:eastAsia="en-AU"/>
        </w:rPr>
      </w:pPr>
      <w:hyperlink w:anchor="_Toc353974457" w:history="1">
        <w:r w:rsidR="00617C07" w:rsidRPr="00AB5737">
          <w:rPr>
            <w:rStyle w:val="Hyperlink"/>
            <w:noProof/>
            <w:lang w:eastAsia="en-AU"/>
          </w:rPr>
          <w:t>10.1</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Monitoring and Evaluation Framework</w:t>
        </w:r>
        <w:r w:rsidR="00617C07">
          <w:rPr>
            <w:noProof/>
            <w:webHidden/>
          </w:rPr>
          <w:tab/>
        </w:r>
        <w:r w:rsidR="00617C07">
          <w:rPr>
            <w:noProof/>
            <w:webHidden/>
          </w:rPr>
          <w:fldChar w:fldCharType="begin"/>
        </w:r>
        <w:r w:rsidR="00617C07">
          <w:rPr>
            <w:noProof/>
            <w:webHidden/>
          </w:rPr>
          <w:instrText xml:space="preserve"> PAGEREF _Toc353974457 \h </w:instrText>
        </w:r>
        <w:r w:rsidR="00617C07">
          <w:rPr>
            <w:noProof/>
            <w:webHidden/>
          </w:rPr>
        </w:r>
        <w:r w:rsidR="00617C07">
          <w:rPr>
            <w:noProof/>
            <w:webHidden/>
          </w:rPr>
          <w:fldChar w:fldCharType="separate"/>
        </w:r>
        <w:r w:rsidR="00645C55">
          <w:rPr>
            <w:noProof/>
            <w:webHidden/>
          </w:rPr>
          <w:t>34</w:t>
        </w:r>
        <w:r w:rsidR="00617C07">
          <w:rPr>
            <w:noProof/>
            <w:webHidden/>
          </w:rPr>
          <w:fldChar w:fldCharType="end"/>
        </w:r>
      </w:hyperlink>
    </w:p>
    <w:p w:rsidR="00617C07" w:rsidRDefault="00E67977">
      <w:pPr>
        <w:pStyle w:val="TOC2"/>
        <w:tabs>
          <w:tab w:val="left" w:pos="1100"/>
          <w:tab w:val="right" w:leader="dot" w:pos="9350"/>
        </w:tabs>
        <w:rPr>
          <w:rFonts w:asciiTheme="minorHAnsi" w:eastAsiaTheme="minorEastAsia" w:hAnsiTheme="minorHAnsi" w:cstheme="minorBidi"/>
          <w:noProof/>
          <w:sz w:val="22"/>
          <w:szCs w:val="22"/>
          <w:lang w:val="en-AU" w:eastAsia="en-AU"/>
        </w:rPr>
      </w:pPr>
      <w:hyperlink w:anchor="_Toc353974458" w:history="1">
        <w:r w:rsidR="00617C07" w:rsidRPr="00AB5737">
          <w:rPr>
            <w:rStyle w:val="Hyperlink"/>
            <w:noProof/>
            <w:lang w:eastAsia="en-AU"/>
          </w:rPr>
          <w:t>10.2</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Project Level M&amp;E</w:t>
        </w:r>
        <w:r w:rsidR="00617C07">
          <w:rPr>
            <w:noProof/>
            <w:webHidden/>
          </w:rPr>
          <w:tab/>
        </w:r>
        <w:r w:rsidR="00617C07">
          <w:rPr>
            <w:noProof/>
            <w:webHidden/>
          </w:rPr>
          <w:fldChar w:fldCharType="begin"/>
        </w:r>
        <w:r w:rsidR="00617C07">
          <w:rPr>
            <w:noProof/>
            <w:webHidden/>
          </w:rPr>
          <w:instrText xml:space="preserve"> PAGEREF _Toc353974458 \h </w:instrText>
        </w:r>
        <w:r w:rsidR="00617C07">
          <w:rPr>
            <w:noProof/>
            <w:webHidden/>
          </w:rPr>
        </w:r>
        <w:r w:rsidR="00617C07">
          <w:rPr>
            <w:noProof/>
            <w:webHidden/>
          </w:rPr>
          <w:fldChar w:fldCharType="separate"/>
        </w:r>
        <w:r w:rsidR="00645C55">
          <w:rPr>
            <w:noProof/>
            <w:webHidden/>
          </w:rPr>
          <w:t>34</w:t>
        </w:r>
        <w:r w:rsidR="00617C07">
          <w:rPr>
            <w:noProof/>
            <w:webHidden/>
          </w:rPr>
          <w:fldChar w:fldCharType="end"/>
        </w:r>
      </w:hyperlink>
    </w:p>
    <w:p w:rsidR="00617C07" w:rsidRDefault="00E67977">
      <w:pPr>
        <w:pStyle w:val="TOC2"/>
        <w:tabs>
          <w:tab w:val="left" w:pos="1100"/>
          <w:tab w:val="right" w:leader="dot" w:pos="9350"/>
        </w:tabs>
        <w:rPr>
          <w:rFonts w:asciiTheme="minorHAnsi" w:eastAsiaTheme="minorEastAsia" w:hAnsiTheme="minorHAnsi" w:cstheme="minorBidi"/>
          <w:noProof/>
          <w:sz w:val="22"/>
          <w:szCs w:val="22"/>
          <w:lang w:val="en-AU" w:eastAsia="en-AU"/>
        </w:rPr>
      </w:pPr>
      <w:hyperlink w:anchor="_Toc353974459" w:history="1">
        <w:r w:rsidR="00617C07" w:rsidRPr="00AB5737">
          <w:rPr>
            <w:rStyle w:val="Hyperlink"/>
            <w:noProof/>
            <w:lang w:eastAsia="en-AU"/>
          </w:rPr>
          <w:t>10.3</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Program Level M&amp;E</w:t>
        </w:r>
        <w:r w:rsidR="00617C07">
          <w:rPr>
            <w:noProof/>
            <w:webHidden/>
          </w:rPr>
          <w:tab/>
        </w:r>
        <w:r w:rsidR="00617C07">
          <w:rPr>
            <w:noProof/>
            <w:webHidden/>
          </w:rPr>
          <w:fldChar w:fldCharType="begin"/>
        </w:r>
        <w:r w:rsidR="00617C07">
          <w:rPr>
            <w:noProof/>
            <w:webHidden/>
          </w:rPr>
          <w:instrText xml:space="preserve"> PAGEREF _Toc353974459 \h </w:instrText>
        </w:r>
        <w:r w:rsidR="00617C07">
          <w:rPr>
            <w:noProof/>
            <w:webHidden/>
          </w:rPr>
        </w:r>
        <w:r w:rsidR="00617C07">
          <w:rPr>
            <w:noProof/>
            <w:webHidden/>
          </w:rPr>
          <w:fldChar w:fldCharType="separate"/>
        </w:r>
        <w:r w:rsidR="00645C55">
          <w:rPr>
            <w:noProof/>
            <w:webHidden/>
          </w:rPr>
          <w:t>36</w:t>
        </w:r>
        <w:r w:rsidR="00617C07">
          <w:rPr>
            <w:noProof/>
            <w:webHidden/>
          </w:rPr>
          <w:fldChar w:fldCharType="end"/>
        </w:r>
      </w:hyperlink>
    </w:p>
    <w:p w:rsidR="00617C07" w:rsidRDefault="00E67977">
      <w:pPr>
        <w:pStyle w:val="TOC2"/>
        <w:tabs>
          <w:tab w:val="left" w:pos="1100"/>
          <w:tab w:val="right" w:leader="dot" w:pos="9350"/>
        </w:tabs>
        <w:rPr>
          <w:rFonts w:asciiTheme="minorHAnsi" w:eastAsiaTheme="minorEastAsia" w:hAnsiTheme="minorHAnsi" w:cstheme="minorBidi"/>
          <w:noProof/>
          <w:sz w:val="22"/>
          <w:szCs w:val="22"/>
          <w:lang w:val="en-AU" w:eastAsia="en-AU"/>
        </w:rPr>
      </w:pPr>
      <w:hyperlink w:anchor="_Toc353974460" w:history="1">
        <w:r w:rsidR="00617C07" w:rsidRPr="00AB5737">
          <w:rPr>
            <w:rStyle w:val="Hyperlink"/>
            <w:noProof/>
            <w:lang w:eastAsia="en-AU"/>
          </w:rPr>
          <w:t>10.4</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Independent Monitoring</w:t>
        </w:r>
        <w:r w:rsidR="00617C07">
          <w:rPr>
            <w:noProof/>
            <w:webHidden/>
          </w:rPr>
          <w:tab/>
        </w:r>
        <w:r w:rsidR="00617C07">
          <w:rPr>
            <w:noProof/>
            <w:webHidden/>
          </w:rPr>
          <w:fldChar w:fldCharType="begin"/>
        </w:r>
        <w:r w:rsidR="00617C07">
          <w:rPr>
            <w:noProof/>
            <w:webHidden/>
          </w:rPr>
          <w:instrText xml:space="preserve"> PAGEREF _Toc353974460 \h </w:instrText>
        </w:r>
        <w:r w:rsidR="00617C07">
          <w:rPr>
            <w:noProof/>
            <w:webHidden/>
          </w:rPr>
        </w:r>
        <w:r w:rsidR="00617C07">
          <w:rPr>
            <w:noProof/>
            <w:webHidden/>
          </w:rPr>
          <w:fldChar w:fldCharType="separate"/>
        </w:r>
        <w:r w:rsidR="00645C55">
          <w:rPr>
            <w:noProof/>
            <w:webHidden/>
          </w:rPr>
          <w:t>37</w:t>
        </w:r>
        <w:r w:rsidR="00617C07">
          <w:rPr>
            <w:noProof/>
            <w:webHidden/>
          </w:rPr>
          <w:fldChar w:fldCharType="end"/>
        </w:r>
      </w:hyperlink>
    </w:p>
    <w:p w:rsidR="00617C07" w:rsidRDefault="00E67977">
      <w:pPr>
        <w:pStyle w:val="TOC2"/>
        <w:tabs>
          <w:tab w:val="left" w:pos="1100"/>
          <w:tab w:val="right" w:leader="dot" w:pos="9350"/>
        </w:tabs>
        <w:rPr>
          <w:rFonts w:asciiTheme="minorHAnsi" w:eastAsiaTheme="minorEastAsia" w:hAnsiTheme="minorHAnsi" w:cstheme="minorBidi"/>
          <w:noProof/>
          <w:sz w:val="22"/>
          <w:szCs w:val="22"/>
          <w:lang w:val="en-AU" w:eastAsia="en-AU"/>
        </w:rPr>
      </w:pPr>
      <w:hyperlink w:anchor="_Toc353974461" w:history="1">
        <w:r w:rsidR="00617C07" w:rsidRPr="00AB5737">
          <w:rPr>
            <w:rStyle w:val="Hyperlink"/>
            <w:noProof/>
            <w:lang w:eastAsia="en-AU"/>
          </w:rPr>
          <w:t>10.5</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Reporting</w:t>
        </w:r>
        <w:r w:rsidR="00617C07">
          <w:rPr>
            <w:noProof/>
            <w:webHidden/>
          </w:rPr>
          <w:tab/>
        </w:r>
        <w:r w:rsidR="00617C07">
          <w:rPr>
            <w:noProof/>
            <w:webHidden/>
          </w:rPr>
          <w:fldChar w:fldCharType="begin"/>
        </w:r>
        <w:r w:rsidR="00617C07">
          <w:rPr>
            <w:noProof/>
            <w:webHidden/>
          </w:rPr>
          <w:instrText xml:space="preserve"> PAGEREF _Toc353974461 \h </w:instrText>
        </w:r>
        <w:r w:rsidR="00617C07">
          <w:rPr>
            <w:noProof/>
            <w:webHidden/>
          </w:rPr>
        </w:r>
        <w:r w:rsidR="00617C07">
          <w:rPr>
            <w:noProof/>
            <w:webHidden/>
          </w:rPr>
          <w:fldChar w:fldCharType="separate"/>
        </w:r>
        <w:r w:rsidR="00645C55">
          <w:rPr>
            <w:noProof/>
            <w:webHidden/>
          </w:rPr>
          <w:t>38</w:t>
        </w:r>
        <w:r w:rsidR="00617C07">
          <w:rPr>
            <w:noProof/>
            <w:webHidden/>
          </w:rPr>
          <w:fldChar w:fldCharType="end"/>
        </w:r>
      </w:hyperlink>
    </w:p>
    <w:p w:rsidR="00617C07" w:rsidRDefault="00E67977">
      <w:pPr>
        <w:pStyle w:val="TOC2"/>
        <w:tabs>
          <w:tab w:val="left" w:pos="1100"/>
          <w:tab w:val="right" w:leader="dot" w:pos="9350"/>
        </w:tabs>
        <w:rPr>
          <w:rFonts w:asciiTheme="minorHAnsi" w:eastAsiaTheme="minorEastAsia" w:hAnsiTheme="minorHAnsi" w:cstheme="minorBidi"/>
          <w:noProof/>
          <w:sz w:val="22"/>
          <w:szCs w:val="22"/>
          <w:lang w:val="en-AU" w:eastAsia="en-AU"/>
        </w:rPr>
      </w:pPr>
      <w:hyperlink w:anchor="_Toc353974462" w:history="1">
        <w:r w:rsidR="00617C07" w:rsidRPr="00AB5737">
          <w:rPr>
            <w:rStyle w:val="Hyperlink"/>
            <w:noProof/>
            <w:lang w:eastAsia="en-AU"/>
          </w:rPr>
          <w:t>10.6</w:t>
        </w:r>
        <w:r w:rsidR="00617C07">
          <w:rPr>
            <w:rFonts w:asciiTheme="minorHAnsi" w:eastAsiaTheme="minorEastAsia" w:hAnsiTheme="minorHAnsi" w:cstheme="minorBidi"/>
            <w:noProof/>
            <w:sz w:val="22"/>
            <w:szCs w:val="22"/>
            <w:lang w:val="en-AU" w:eastAsia="en-AU"/>
          </w:rPr>
          <w:tab/>
        </w:r>
        <w:r w:rsidR="00617C07" w:rsidRPr="00AB5737">
          <w:rPr>
            <w:rStyle w:val="Hyperlink"/>
            <w:noProof/>
            <w:lang w:eastAsia="en-AU"/>
          </w:rPr>
          <w:t>M&amp;E Roles and Responsibilities</w:t>
        </w:r>
        <w:r w:rsidR="00617C07">
          <w:rPr>
            <w:noProof/>
            <w:webHidden/>
          </w:rPr>
          <w:tab/>
        </w:r>
        <w:r w:rsidR="00617C07">
          <w:rPr>
            <w:noProof/>
            <w:webHidden/>
          </w:rPr>
          <w:fldChar w:fldCharType="begin"/>
        </w:r>
        <w:r w:rsidR="00617C07">
          <w:rPr>
            <w:noProof/>
            <w:webHidden/>
          </w:rPr>
          <w:instrText xml:space="preserve"> PAGEREF _Toc353974462 \h </w:instrText>
        </w:r>
        <w:r w:rsidR="00617C07">
          <w:rPr>
            <w:noProof/>
            <w:webHidden/>
          </w:rPr>
        </w:r>
        <w:r w:rsidR="00617C07">
          <w:rPr>
            <w:noProof/>
            <w:webHidden/>
          </w:rPr>
          <w:fldChar w:fldCharType="separate"/>
        </w:r>
        <w:r w:rsidR="00645C55">
          <w:rPr>
            <w:noProof/>
            <w:webHidden/>
          </w:rPr>
          <w:t>38</w:t>
        </w:r>
        <w:r w:rsidR="00617C07">
          <w:rPr>
            <w:noProof/>
            <w:webHidden/>
          </w:rPr>
          <w:fldChar w:fldCharType="end"/>
        </w:r>
      </w:hyperlink>
    </w:p>
    <w:p w:rsidR="00617C07" w:rsidRDefault="00E67977">
      <w:pPr>
        <w:pStyle w:val="TOC1"/>
        <w:tabs>
          <w:tab w:val="left" w:pos="660"/>
          <w:tab w:val="right" w:leader="dot" w:pos="9350"/>
        </w:tabs>
        <w:rPr>
          <w:rFonts w:asciiTheme="minorHAnsi" w:eastAsiaTheme="minorEastAsia" w:hAnsiTheme="minorHAnsi" w:cstheme="minorBidi"/>
          <w:noProof/>
          <w:sz w:val="22"/>
          <w:szCs w:val="22"/>
          <w:lang w:val="en-AU" w:eastAsia="en-AU"/>
        </w:rPr>
      </w:pPr>
      <w:hyperlink w:anchor="_Toc353974463" w:history="1">
        <w:r w:rsidR="00617C07" w:rsidRPr="00AB5737">
          <w:rPr>
            <w:rStyle w:val="Hyperlink"/>
            <w:noProof/>
          </w:rPr>
          <w:t>11.</w:t>
        </w:r>
        <w:r w:rsidR="00617C07">
          <w:rPr>
            <w:rFonts w:asciiTheme="minorHAnsi" w:eastAsiaTheme="minorEastAsia" w:hAnsiTheme="minorHAnsi" w:cstheme="minorBidi"/>
            <w:noProof/>
            <w:sz w:val="22"/>
            <w:szCs w:val="22"/>
            <w:lang w:val="en-AU" w:eastAsia="en-AU"/>
          </w:rPr>
          <w:tab/>
        </w:r>
        <w:r w:rsidR="00617C07" w:rsidRPr="00AB5737">
          <w:rPr>
            <w:rStyle w:val="Hyperlink"/>
            <w:noProof/>
          </w:rPr>
          <w:t>Risk Management and Security</w:t>
        </w:r>
        <w:r w:rsidR="00617C07">
          <w:rPr>
            <w:noProof/>
            <w:webHidden/>
          </w:rPr>
          <w:tab/>
        </w:r>
        <w:r w:rsidR="00617C07">
          <w:rPr>
            <w:noProof/>
            <w:webHidden/>
          </w:rPr>
          <w:fldChar w:fldCharType="begin"/>
        </w:r>
        <w:r w:rsidR="00617C07">
          <w:rPr>
            <w:noProof/>
            <w:webHidden/>
          </w:rPr>
          <w:instrText xml:space="preserve"> PAGEREF _Toc353974463 \h </w:instrText>
        </w:r>
        <w:r w:rsidR="00617C07">
          <w:rPr>
            <w:noProof/>
            <w:webHidden/>
          </w:rPr>
        </w:r>
        <w:r w:rsidR="00617C07">
          <w:rPr>
            <w:noProof/>
            <w:webHidden/>
          </w:rPr>
          <w:fldChar w:fldCharType="separate"/>
        </w:r>
        <w:r w:rsidR="00645C55">
          <w:rPr>
            <w:noProof/>
            <w:webHidden/>
          </w:rPr>
          <w:t>39</w:t>
        </w:r>
        <w:r w:rsidR="00617C07">
          <w:rPr>
            <w:noProof/>
            <w:webHidden/>
          </w:rPr>
          <w:fldChar w:fldCharType="end"/>
        </w:r>
      </w:hyperlink>
    </w:p>
    <w:p w:rsidR="00617C07" w:rsidRDefault="00E67977">
      <w:pPr>
        <w:pStyle w:val="TOC1"/>
        <w:tabs>
          <w:tab w:val="left" w:pos="660"/>
          <w:tab w:val="right" w:leader="dot" w:pos="9350"/>
        </w:tabs>
        <w:rPr>
          <w:rFonts w:asciiTheme="minorHAnsi" w:eastAsiaTheme="minorEastAsia" w:hAnsiTheme="minorHAnsi" w:cstheme="minorBidi"/>
          <w:noProof/>
          <w:sz w:val="22"/>
          <w:szCs w:val="22"/>
          <w:lang w:val="en-AU" w:eastAsia="en-AU"/>
        </w:rPr>
      </w:pPr>
      <w:hyperlink w:anchor="_Toc353974464" w:history="1">
        <w:r w:rsidR="00617C07" w:rsidRPr="00AB5737">
          <w:rPr>
            <w:rStyle w:val="Hyperlink"/>
            <w:noProof/>
          </w:rPr>
          <w:t>12.</w:t>
        </w:r>
        <w:r w:rsidR="00617C07">
          <w:rPr>
            <w:rFonts w:asciiTheme="minorHAnsi" w:eastAsiaTheme="minorEastAsia" w:hAnsiTheme="minorHAnsi" w:cstheme="minorBidi"/>
            <w:noProof/>
            <w:sz w:val="22"/>
            <w:szCs w:val="22"/>
            <w:lang w:val="en-AU" w:eastAsia="en-AU"/>
          </w:rPr>
          <w:tab/>
        </w:r>
        <w:r w:rsidR="00617C07" w:rsidRPr="00AB5737">
          <w:rPr>
            <w:rStyle w:val="Hyperlink"/>
            <w:noProof/>
          </w:rPr>
          <w:t>Sustainability</w:t>
        </w:r>
        <w:r w:rsidR="00617C07">
          <w:rPr>
            <w:noProof/>
            <w:webHidden/>
          </w:rPr>
          <w:tab/>
        </w:r>
        <w:r w:rsidR="00617C07">
          <w:rPr>
            <w:noProof/>
            <w:webHidden/>
          </w:rPr>
          <w:fldChar w:fldCharType="begin"/>
        </w:r>
        <w:r w:rsidR="00617C07">
          <w:rPr>
            <w:noProof/>
            <w:webHidden/>
          </w:rPr>
          <w:instrText xml:space="preserve"> PAGEREF _Toc353974464 \h </w:instrText>
        </w:r>
        <w:r w:rsidR="00617C07">
          <w:rPr>
            <w:noProof/>
            <w:webHidden/>
          </w:rPr>
        </w:r>
        <w:r w:rsidR="00617C07">
          <w:rPr>
            <w:noProof/>
            <w:webHidden/>
          </w:rPr>
          <w:fldChar w:fldCharType="separate"/>
        </w:r>
        <w:r w:rsidR="00645C55">
          <w:rPr>
            <w:noProof/>
            <w:webHidden/>
          </w:rPr>
          <w:t>40</w:t>
        </w:r>
        <w:r w:rsidR="00617C07">
          <w:rPr>
            <w:noProof/>
            <w:webHidden/>
          </w:rPr>
          <w:fldChar w:fldCharType="end"/>
        </w:r>
      </w:hyperlink>
    </w:p>
    <w:p w:rsidR="0080739E" w:rsidRDefault="009E35DA" w:rsidP="0080739E">
      <w:r w:rsidRPr="00E34CC4">
        <w:rPr>
          <w:sz w:val="22"/>
          <w:szCs w:val="22"/>
        </w:rPr>
        <w:fldChar w:fldCharType="end"/>
      </w:r>
    </w:p>
    <w:p w:rsidR="00E34CC4" w:rsidRDefault="00E34CC4" w:rsidP="0080739E">
      <w:pPr>
        <w:rPr>
          <w:rFonts w:ascii="Arial" w:hAnsi="Arial" w:cs="Arial"/>
          <w:b/>
          <w:bCs/>
          <w:lang w:val="en-AU"/>
        </w:rPr>
      </w:pPr>
    </w:p>
    <w:p w:rsidR="0080739E" w:rsidRPr="001577C5" w:rsidRDefault="0080739E" w:rsidP="0080739E">
      <w:pPr>
        <w:rPr>
          <w:rFonts w:ascii="Arial" w:hAnsi="Arial" w:cs="Arial"/>
          <w:b/>
          <w:bCs/>
          <w:lang w:val="en-AU"/>
        </w:rPr>
      </w:pPr>
      <w:r w:rsidRPr="001577C5">
        <w:rPr>
          <w:rFonts w:ascii="Arial" w:hAnsi="Arial" w:cs="Arial"/>
          <w:b/>
          <w:bCs/>
          <w:lang w:val="en-AU"/>
        </w:rPr>
        <w:t>Maps</w:t>
      </w:r>
    </w:p>
    <w:p w:rsidR="0080739E" w:rsidRPr="001577C5" w:rsidRDefault="0080739E" w:rsidP="0080739E">
      <w:pPr>
        <w:rPr>
          <w:rFonts w:ascii="Arial" w:hAnsi="Arial" w:cs="Arial"/>
          <w:b/>
          <w:bCs/>
          <w:lang w:val="en-AU"/>
        </w:rPr>
      </w:pPr>
    </w:p>
    <w:p w:rsidR="0080739E" w:rsidRPr="001577C5" w:rsidRDefault="00B473D7" w:rsidP="0080739E">
      <w:pPr>
        <w:rPr>
          <w:lang w:val="en-AU"/>
        </w:rPr>
      </w:pPr>
      <w:r>
        <w:rPr>
          <w:b/>
          <w:bCs/>
          <w:lang w:val="en-AU"/>
        </w:rPr>
        <w:t>Map 1</w:t>
      </w:r>
      <w:r w:rsidR="0080739E">
        <w:rPr>
          <w:b/>
          <w:bCs/>
          <w:lang w:val="en-AU"/>
        </w:rPr>
        <w:tab/>
      </w:r>
      <w:r w:rsidR="0080739E">
        <w:rPr>
          <w:b/>
          <w:bCs/>
          <w:lang w:val="en-AU"/>
        </w:rPr>
        <w:tab/>
      </w:r>
      <w:r w:rsidR="0080739E" w:rsidRPr="001577C5">
        <w:rPr>
          <w:lang w:val="en-AU"/>
        </w:rPr>
        <w:t>ANSO Map Showing Attack Volumes, Q1 2012</w:t>
      </w:r>
    </w:p>
    <w:p w:rsidR="0080739E" w:rsidRPr="003716B7" w:rsidRDefault="0080739E" w:rsidP="0080739E">
      <w:pPr>
        <w:rPr>
          <w:rFonts w:ascii="Arial" w:hAnsi="Arial" w:cs="Arial"/>
          <w:b/>
          <w:bCs/>
          <w:lang w:val="en-AU"/>
        </w:rPr>
      </w:pPr>
    </w:p>
    <w:p w:rsidR="0080739E" w:rsidRPr="001577C5" w:rsidRDefault="0080739E" w:rsidP="0080739E">
      <w:pPr>
        <w:rPr>
          <w:rFonts w:ascii="Arial" w:hAnsi="Arial" w:cs="Arial"/>
          <w:b/>
          <w:bCs/>
          <w:lang w:val="en-AU"/>
        </w:rPr>
      </w:pPr>
      <w:r w:rsidRPr="001577C5">
        <w:rPr>
          <w:rFonts w:ascii="Arial" w:hAnsi="Arial" w:cs="Arial"/>
          <w:b/>
          <w:bCs/>
          <w:lang w:val="en-AU"/>
        </w:rPr>
        <w:t>Diagrams</w:t>
      </w:r>
      <w:r w:rsidRPr="001577C5">
        <w:rPr>
          <w:rFonts w:ascii="Arial" w:hAnsi="Arial" w:cs="Arial"/>
          <w:b/>
          <w:bCs/>
          <w:lang w:val="en-AU"/>
        </w:rPr>
        <w:tab/>
      </w:r>
    </w:p>
    <w:p w:rsidR="0080739E" w:rsidRPr="001577C5" w:rsidRDefault="0080739E" w:rsidP="0080739E">
      <w:pPr>
        <w:rPr>
          <w:rFonts w:ascii="Arial" w:hAnsi="Arial" w:cs="Arial"/>
          <w:b/>
          <w:bCs/>
          <w:lang w:val="en-AU"/>
        </w:rPr>
      </w:pPr>
    </w:p>
    <w:p w:rsidR="0080739E" w:rsidRPr="003716B7" w:rsidRDefault="0080739E" w:rsidP="0080739E">
      <w:pPr>
        <w:rPr>
          <w:b/>
          <w:bCs/>
          <w:lang w:val="en-AU"/>
        </w:rPr>
      </w:pPr>
      <w:r w:rsidRPr="003716B7">
        <w:rPr>
          <w:b/>
          <w:bCs/>
          <w:lang w:val="en-AU"/>
        </w:rPr>
        <w:t>Diagram 1</w:t>
      </w:r>
      <w:r w:rsidRPr="003716B7">
        <w:rPr>
          <w:b/>
          <w:bCs/>
          <w:lang w:val="en-AU"/>
        </w:rPr>
        <w:tab/>
      </w:r>
      <w:r w:rsidRPr="001577C5">
        <w:rPr>
          <w:lang w:val="en-AU"/>
        </w:rPr>
        <w:t>AACRS Theories of Change and Partnership</w:t>
      </w:r>
    </w:p>
    <w:p w:rsidR="0080739E" w:rsidRPr="001577C5" w:rsidRDefault="0080739E" w:rsidP="0080739E">
      <w:pPr>
        <w:rPr>
          <w:rFonts w:ascii="Arial" w:hAnsi="Arial" w:cs="Arial"/>
          <w:b/>
          <w:bCs/>
          <w:lang w:val="en-AU"/>
        </w:rPr>
      </w:pPr>
    </w:p>
    <w:p w:rsidR="0080739E" w:rsidRPr="001577C5" w:rsidRDefault="0080739E" w:rsidP="0080739E">
      <w:pPr>
        <w:rPr>
          <w:rFonts w:ascii="Arial" w:hAnsi="Arial" w:cs="Arial"/>
          <w:b/>
          <w:bCs/>
          <w:lang w:val="en-AU"/>
        </w:rPr>
      </w:pPr>
      <w:r w:rsidRPr="001577C5">
        <w:rPr>
          <w:rFonts w:ascii="Arial" w:hAnsi="Arial" w:cs="Arial"/>
          <w:b/>
          <w:bCs/>
          <w:lang w:val="en-AU"/>
        </w:rPr>
        <w:t>Boxes</w:t>
      </w:r>
    </w:p>
    <w:p w:rsidR="0080739E" w:rsidRPr="001577C5" w:rsidRDefault="0080739E" w:rsidP="0080739E">
      <w:pPr>
        <w:rPr>
          <w:rFonts w:ascii="Arial" w:hAnsi="Arial" w:cs="Arial"/>
          <w:b/>
          <w:bCs/>
          <w:lang w:val="en-AU"/>
        </w:rPr>
      </w:pPr>
    </w:p>
    <w:p w:rsidR="0080739E" w:rsidRPr="00FC6DAA" w:rsidRDefault="0080739E" w:rsidP="0080739E">
      <w:pPr>
        <w:rPr>
          <w:b/>
          <w:bCs/>
        </w:rPr>
      </w:pPr>
      <w:r w:rsidRPr="00FC6DAA">
        <w:rPr>
          <w:b/>
          <w:bCs/>
        </w:rPr>
        <w:t>Box 1</w:t>
      </w:r>
      <w:r>
        <w:rPr>
          <w:b/>
          <w:bCs/>
        </w:rPr>
        <w:tab/>
      </w:r>
      <w:r>
        <w:rPr>
          <w:b/>
          <w:bCs/>
        </w:rPr>
        <w:tab/>
      </w:r>
      <w:r w:rsidRPr="001577C5">
        <w:t>Lessons Learned by NGOs Active in Afghanistan</w:t>
      </w:r>
    </w:p>
    <w:p w:rsidR="0080739E" w:rsidRPr="00FC6DAA" w:rsidRDefault="0080739E" w:rsidP="0080739E">
      <w:pPr>
        <w:rPr>
          <w:b/>
          <w:bCs/>
        </w:rPr>
      </w:pPr>
      <w:r w:rsidRPr="00FC6DAA">
        <w:rPr>
          <w:b/>
          <w:bCs/>
        </w:rPr>
        <w:t>Box 2</w:t>
      </w:r>
      <w:r>
        <w:rPr>
          <w:b/>
          <w:bCs/>
        </w:rPr>
        <w:tab/>
      </w:r>
      <w:r>
        <w:rPr>
          <w:b/>
          <w:bCs/>
        </w:rPr>
        <w:tab/>
      </w:r>
      <w:r w:rsidRPr="001577C5">
        <w:t>Features of Effective Partnerships</w:t>
      </w:r>
    </w:p>
    <w:p w:rsidR="0080739E" w:rsidRPr="00FC6DAA" w:rsidRDefault="0080739E" w:rsidP="0080739E">
      <w:pPr>
        <w:rPr>
          <w:b/>
          <w:bCs/>
        </w:rPr>
      </w:pPr>
      <w:r w:rsidRPr="00FC6DAA">
        <w:rPr>
          <w:b/>
          <w:bCs/>
        </w:rPr>
        <w:t>Box 3</w:t>
      </w:r>
      <w:r>
        <w:rPr>
          <w:b/>
          <w:bCs/>
        </w:rPr>
        <w:tab/>
      </w:r>
      <w:r>
        <w:rPr>
          <w:b/>
          <w:bCs/>
        </w:rPr>
        <w:tab/>
      </w:r>
      <w:r w:rsidRPr="001577C5">
        <w:t>Declaration of the Essential Rights of Afghan Women</w:t>
      </w:r>
    </w:p>
    <w:p w:rsidR="0080739E" w:rsidRPr="003716B7" w:rsidRDefault="0080739E" w:rsidP="0080739E">
      <w:pPr>
        <w:rPr>
          <w:rFonts w:ascii="Arial" w:hAnsi="Arial" w:cs="Arial"/>
          <w:b/>
          <w:bCs/>
          <w:lang w:val="en-AU"/>
        </w:rPr>
      </w:pPr>
    </w:p>
    <w:p w:rsidR="0080739E" w:rsidRPr="001577C5" w:rsidRDefault="0080739E" w:rsidP="0080739E">
      <w:pPr>
        <w:rPr>
          <w:rFonts w:ascii="Arial" w:hAnsi="Arial" w:cs="Arial"/>
          <w:b/>
          <w:bCs/>
          <w:lang w:val="en-AU"/>
        </w:rPr>
      </w:pPr>
      <w:r w:rsidRPr="001577C5">
        <w:rPr>
          <w:rFonts w:ascii="Arial" w:hAnsi="Arial" w:cs="Arial"/>
          <w:b/>
          <w:bCs/>
          <w:lang w:val="en-AU"/>
        </w:rPr>
        <w:t>Figures</w:t>
      </w:r>
    </w:p>
    <w:p w:rsidR="0080739E" w:rsidRPr="001577C5" w:rsidRDefault="0080739E" w:rsidP="0080739E">
      <w:pPr>
        <w:rPr>
          <w:rFonts w:ascii="Arial" w:hAnsi="Arial" w:cs="Arial"/>
          <w:b/>
          <w:bCs/>
          <w:lang w:val="en-AU"/>
        </w:rPr>
      </w:pPr>
    </w:p>
    <w:p w:rsidR="0080739E" w:rsidRPr="001577C5" w:rsidRDefault="000C7415" w:rsidP="0080739E">
      <w:r>
        <w:rPr>
          <w:b/>
          <w:bCs/>
        </w:rPr>
        <w:t>Figure 1</w:t>
      </w:r>
      <w:r w:rsidR="0080739E">
        <w:rPr>
          <w:b/>
          <w:bCs/>
        </w:rPr>
        <w:tab/>
      </w:r>
      <w:r w:rsidR="0080739E" w:rsidRPr="001577C5">
        <w:t>AACRS Monitoring and Evaluation Framework</w:t>
      </w:r>
    </w:p>
    <w:p w:rsidR="0080739E" w:rsidRPr="001577C5" w:rsidRDefault="0080739E" w:rsidP="0080739E">
      <w:pPr>
        <w:rPr>
          <w:rFonts w:ascii="Arial" w:hAnsi="Arial" w:cs="Arial"/>
          <w:lang w:val="en-AU"/>
        </w:rPr>
      </w:pPr>
    </w:p>
    <w:p w:rsidR="006946C2" w:rsidRDefault="006946C2" w:rsidP="006946C2">
      <w:pPr>
        <w:rPr>
          <w:rFonts w:ascii="Arial" w:hAnsi="Arial" w:cs="Arial"/>
          <w:b/>
          <w:bCs/>
          <w:lang w:val="en-AU"/>
        </w:rPr>
      </w:pPr>
      <w:r>
        <w:rPr>
          <w:rFonts w:ascii="Arial" w:hAnsi="Arial" w:cs="Arial"/>
          <w:b/>
          <w:bCs/>
          <w:lang w:val="en-AU"/>
        </w:rPr>
        <w:t>Tables</w:t>
      </w:r>
    </w:p>
    <w:p w:rsidR="006946C2" w:rsidRDefault="006946C2" w:rsidP="006946C2">
      <w:pPr>
        <w:rPr>
          <w:rFonts w:ascii="Arial" w:hAnsi="Arial" w:cs="Arial"/>
          <w:lang w:val="en-AU"/>
        </w:rPr>
      </w:pPr>
    </w:p>
    <w:p w:rsidR="006946C2" w:rsidRDefault="006946C2" w:rsidP="006946C2">
      <w:r>
        <w:rPr>
          <w:b/>
          <w:bCs/>
        </w:rPr>
        <w:t>Table 1</w:t>
      </w:r>
      <w:r>
        <w:rPr>
          <w:b/>
          <w:bCs/>
        </w:rPr>
        <w:tab/>
      </w:r>
      <w:r>
        <w:t>Management Roles and Responsibilities</w:t>
      </w:r>
    </w:p>
    <w:p w:rsidR="0080739E" w:rsidRDefault="0080739E" w:rsidP="0080739E">
      <w:pPr>
        <w:rPr>
          <w:rFonts w:ascii="Arial" w:hAnsi="Arial" w:cs="Arial"/>
          <w:b/>
          <w:bCs/>
        </w:rPr>
      </w:pPr>
    </w:p>
    <w:p w:rsidR="0080739E" w:rsidRDefault="0080739E" w:rsidP="0080739E">
      <w:pPr>
        <w:rPr>
          <w:rFonts w:ascii="Arial" w:hAnsi="Arial" w:cs="Arial"/>
          <w:b/>
          <w:bCs/>
        </w:rPr>
      </w:pPr>
      <w:r w:rsidRPr="006364D4">
        <w:rPr>
          <w:rFonts w:ascii="Arial" w:hAnsi="Arial" w:cs="Arial"/>
          <w:b/>
          <w:bCs/>
        </w:rPr>
        <w:t>Annexes</w:t>
      </w:r>
    </w:p>
    <w:p w:rsidR="0080739E" w:rsidRDefault="0080739E" w:rsidP="0080739E">
      <w:pPr>
        <w:rPr>
          <w:rFonts w:ascii="Arial" w:hAnsi="Arial" w:cs="Arial"/>
          <w:b/>
          <w:bCs/>
        </w:rPr>
      </w:pPr>
    </w:p>
    <w:p w:rsidR="007F448D" w:rsidRDefault="00D14870" w:rsidP="0080739E">
      <w:pPr>
        <w:rPr>
          <w:b/>
          <w:bCs/>
          <w:lang w:val="en-AU"/>
        </w:rPr>
      </w:pPr>
      <w:r>
        <w:rPr>
          <w:b/>
          <w:bCs/>
          <w:lang w:val="en-AU"/>
        </w:rPr>
        <w:t>Annex 1</w:t>
      </w:r>
      <w:r w:rsidR="0080739E" w:rsidRPr="009F1038">
        <w:rPr>
          <w:b/>
          <w:bCs/>
          <w:lang w:val="en-AU"/>
        </w:rPr>
        <w:tab/>
      </w:r>
      <w:r w:rsidR="007F448D" w:rsidRPr="007F448D">
        <w:rPr>
          <w:bCs/>
          <w:lang w:val="en-AU"/>
        </w:rPr>
        <w:t>AACRS Concept Note</w:t>
      </w:r>
    </w:p>
    <w:p w:rsidR="0080739E" w:rsidRDefault="007F448D" w:rsidP="007F448D">
      <w:pPr>
        <w:rPr>
          <w:lang w:val="en-AU"/>
        </w:rPr>
      </w:pPr>
      <w:r w:rsidRPr="007F448D">
        <w:rPr>
          <w:b/>
          <w:lang w:val="en-AU"/>
        </w:rPr>
        <w:t>Annex 2</w:t>
      </w:r>
      <w:r>
        <w:rPr>
          <w:lang w:val="en-AU"/>
        </w:rPr>
        <w:tab/>
      </w:r>
      <w:r w:rsidR="0080739E" w:rsidRPr="009F1038">
        <w:rPr>
          <w:lang w:val="en-AU"/>
        </w:rPr>
        <w:t>AACRS Design Workshop</w:t>
      </w:r>
      <w:r w:rsidR="0080739E">
        <w:rPr>
          <w:lang w:val="en-AU"/>
        </w:rPr>
        <w:t xml:space="preserve"> Program</w:t>
      </w:r>
    </w:p>
    <w:p w:rsidR="0080739E" w:rsidRDefault="007F448D" w:rsidP="0080739E">
      <w:pPr>
        <w:rPr>
          <w:lang w:val="en-AU"/>
        </w:rPr>
      </w:pPr>
      <w:r>
        <w:rPr>
          <w:b/>
          <w:bCs/>
          <w:lang w:val="en-AU"/>
        </w:rPr>
        <w:t>Annex 3</w:t>
      </w:r>
      <w:r w:rsidR="0080739E" w:rsidRPr="00FF6587">
        <w:rPr>
          <w:b/>
          <w:bCs/>
          <w:lang w:val="en-AU"/>
        </w:rPr>
        <w:tab/>
      </w:r>
      <w:r w:rsidR="0080739E" w:rsidRPr="00BD1C3E">
        <w:rPr>
          <w:lang w:val="en-AU"/>
        </w:rPr>
        <w:t>References</w:t>
      </w:r>
    </w:p>
    <w:p w:rsidR="0080739E" w:rsidRPr="00BD1C3E" w:rsidRDefault="007F448D" w:rsidP="0080739E">
      <w:pPr>
        <w:rPr>
          <w:b/>
          <w:bCs/>
          <w:lang w:val="en-AU"/>
        </w:rPr>
      </w:pPr>
      <w:r>
        <w:rPr>
          <w:b/>
          <w:bCs/>
          <w:lang w:val="en-AU"/>
        </w:rPr>
        <w:t>Annex 4</w:t>
      </w:r>
      <w:r w:rsidR="0080739E" w:rsidRPr="00BD1C3E">
        <w:rPr>
          <w:b/>
          <w:bCs/>
          <w:lang w:val="en-AU"/>
        </w:rPr>
        <w:tab/>
      </w:r>
      <w:r w:rsidR="0080739E" w:rsidRPr="00BD1C3E">
        <w:rPr>
          <w:lang w:val="en-AU"/>
        </w:rPr>
        <w:t>Provincial Data on Agricultural Employment and Food Security</w:t>
      </w:r>
    </w:p>
    <w:p w:rsidR="0080739E" w:rsidRPr="00262039" w:rsidRDefault="007F448D" w:rsidP="0080739E">
      <w:pPr>
        <w:rPr>
          <w:lang w:val="en-AU"/>
        </w:rPr>
      </w:pPr>
      <w:r>
        <w:rPr>
          <w:b/>
          <w:bCs/>
          <w:lang w:val="en-AU"/>
        </w:rPr>
        <w:t>Annex 5</w:t>
      </w:r>
      <w:r w:rsidR="0080739E" w:rsidRPr="00BD1C3E">
        <w:rPr>
          <w:b/>
          <w:bCs/>
          <w:lang w:val="en-AU"/>
        </w:rPr>
        <w:t xml:space="preserve"> </w:t>
      </w:r>
      <w:r w:rsidR="0080739E" w:rsidRPr="00BD1C3E">
        <w:rPr>
          <w:b/>
          <w:bCs/>
          <w:lang w:val="en-AU"/>
        </w:rPr>
        <w:tab/>
      </w:r>
      <w:r w:rsidR="0080739E" w:rsidRPr="00262039">
        <w:rPr>
          <w:lang w:val="en-AU"/>
        </w:rPr>
        <w:t>Current Australian NGO Activities in Afghanistan</w:t>
      </w:r>
    </w:p>
    <w:p w:rsidR="0080739E" w:rsidRDefault="007F448D" w:rsidP="0080739E">
      <w:pPr>
        <w:rPr>
          <w:b/>
          <w:bCs/>
          <w:lang w:val="en-AU"/>
        </w:rPr>
      </w:pPr>
      <w:r>
        <w:rPr>
          <w:b/>
          <w:bCs/>
          <w:lang w:val="en-AU"/>
        </w:rPr>
        <w:t>Annex 6</w:t>
      </w:r>
      <w:r w:rsidR="0080739E">
        <w:rPr>
          <w:b/>
          <w:bCs/>
          <w:lang w:val="en-AU"/>
        </w:rPr>
        <w:tab/>
      </w:r>
      <w:r w:rsidR="0080739E" w:rsidRPr="004F6BCA">
        <w:rPr>
          <w:lang w:val="en-AU"/>
        </w:rPr>
        <w:t>Four Management Models</w:t>
      </w:r>
      <w:bookmarkStart w:id="0" w:name="_GoBack"/>
      <w:bookmarkEnd w:id="0"/>
    </w:p>
    <w:p w:rsidR="0080739E" w:rsidRDefault="0080739E" w:rsidP="0080739E">
      <w:pPr>
        <w:rPr>
          <w:rStyle w:val="Heading1Char"/>
        </w:rPr>
      </w:pPr>
      <w:r w:rsidRPr="00BD1C3E">
        <w:rPr>
          <w:lang w:val="en-AU"/>
        </w:rPr>
        <w:br w:type="page"/>
      </w:r>
      <w:bookmarkStart w:id="1" w:name="_Toc207640588"/>
      <w:bookmarkStart w:id="2" w:name="_Toc353974420"/>
      <w:r w:rsidRPr="00E81F6E">
        <w:rPr>
          <w:rStyle w:val="Heading1Char"/>
        </w:rPr>
        <w:lastRenderedPageBreak/>
        <w:t>Acronyms</w:t>
      </w:r>
      <w:r>
        <w:rPr>
          <w:rStyle w:val="Heading1Char"/>
        </w:rPr>
        <w:t xml:space="preserve"> and Abbreviations</w:t>
      </w:r>
      <w:bookmarkEnd w:id="1"/>
      <w:bookmarkEnd w:id="2"/>
    </w:p>
    <w:p w:rsidR="00494A32" w:rsidRPr="00E81F6E" w:rsidRDefault="00494A32" w:rsidP="0080739E">
      <w:pPr>
        <w:rPr>
          <w:rStyle w:val="Heading1Char"/>
        </w:rPr>
      </w:pPr>
    </w:p>
    <w:tbl>
      <w:tblPr>
        <w:tblW w:w="9370" w:type="dxa"/>
        <w:tblInd w:w="94" w:type="dxa"/>
        <w:tblLook w:val="04A0" w:firstRow="1" w:lastRow="0" w:firstColumn="1" w:lastColumn="0" w:noHBand="0" w:noVBand="1"/>
      </w:tblPr>
      <w:tblGrid>
        <w:gridCol w:w="2220"/>
        <w:gridCol w:w="7150"/>
      </w:tblGrid>
      <w:tr w:rsidR="003F7392" w:rsidRPr="00034882" w:rsidTr="009175A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7392" w:rsidRPr="00034882" w:rsidRDefault="003F7392" w:rsidP="00CC63F9">
            <w:pPr>
              <w:rPr>
                <w:bCs/>
                <w:color w:val="000000"/>
              </w:rPr>
            </w:pPr>
            <w:r w:rsidRPr="00034882">
              <w:rPr>
                <w:bCs/>
                <w:color w:val="000000"/>
              </w:rPr>
              <w:t>AACES</w:t>
            </w:r>
          </w:p>
        </w:tc>
        <w:tc>
          <w:tcPr>
            <w:tcW w:w="7150" w:type="dxa"/>
            <w:tcBorders>
              <w:top w:val="single" w:sz="4" w:space="0" w:color="auto"/>
              <w:left w:val="nil"/>
              <w:bottom w:val="single" w:sz="4" w:space="0" w:color="auto"/>
              <w:right w:val="single" w:sz="4" w:space="0" w:color="auto"/>
            </w:tcBorders>
            <w:shd w:val="clear" w:color="auto" w:fill="auto"/>
            <w:noWrap/>
            <w:vAlign w:val="bottom"/>
          </w:tcPr>
          <w:p w:rsidR="003F7392" w:rsidRPr="00034882" w:rsidRDefault="003F7392" w:rsidP="003F7392">
            <w:pPr>
              <w:rPr>
                <w:bCs/>
                <w:color w:val="000000"/>
              </w:rPr>
            </w:pPr>
            <w:r w:rsidRPr="00034882">
              <w:t>Australia Africa Community Engagement Scheme</w:t>
            </w:r>
          </w:p>
        </w:tc>
      </w:tr>
      <w:tr w:rsidR="0080739E" w:rsidRPr="00034882" w:rsidTr="009175A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AACRS</w:t>
            </w:r>
          </w:p>
        </w:tc>
        <w:tc>
          <w:tcPr>
            <w:tcW w:w="7150" w:type="dxa"/>
            <w:tcBorders>
              <w:top w:val="single" w:sz="4" w:space="0" w:color="auto"/>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Australia Afghanistan Community Resilience Scheme</w:t>
            </w:r>
          </w:p>
        </w:tc>
      </w:tr>
      <w:tr w:rsidR="0080739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ACBAR</w:t>
            </w:r>
          </w:p>
        </w:tc>
        <w:tc>
          <w:tcPr>
            <w:tcW w:w="7150" w:type="dxa"/>
            <w:tcBorders>
              <w:top w:val="nil"/>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Agency Coordinating Body for Afghan Relief</w:t>
            </w:r>
          </w:p>
        </w:tc>
      </w:tr>
      <w:tr w:rsidR="0080739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ACFID</w:t>
            </w:r>
          </w:p>
        </w:tc>
        <w:tc>
          <w:tcPr>
            <w:tcW w:w="7150" w:type="dxa"/>
            <w:tcBorders>
              <w:top w:val="nil"/>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 xml:space="preserve">Australian Council for International Development </w:t>
            </w:r>
          </w:p>
        </w:tc>
      </w:tr>
      <w:tr w:rsidR="003F7392"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3F7392" w:rsidRPr="00034882" w:rsidRDefault="003F7392" w:rsidP="00CC63F9">
            <w:pPr>
              <w:rPr>
                <w:bCs/>
                <w:color w:val="000000"/>
              </w:rPr>
            </w:pPr>
            <w:r w:rsidRPr="00034882">
              <w:rPr>
                <w:bCs/>
                <w:color w:val="000000"/>
              </w:rPr>
              <w:t>AMENCA 2</w:t>
            </w:r>
          </w:p>
        </w:tc>
        <w:tc>
          <w:tcPr>
            <w:tcW w:w="7150" w:type="dxa"/>
            <w:tcBorders>
              <w:top w:val="nil"/>
              <w:left w:val="nil"/>
              <w:bottom w:val="single" w:sz="4" w:space="0" w:color="auto"/>
              <w:right w:val="single" w:sz="4" w:space="0" w:color="auto"/>
            </w:tcBorders>
            <w:shd w:val="clear" w:color="auto" w:fill="auto"/>
            <w:noWrap/>
            <w:vAlign w:val="bottom"/>
          </w:tcPr>
          <w:p w:rsidR="003F7392" w:rsidRPr="00034882" w:rsidRDefault="003F7392" w:rsidP="003F7392">
            <w:pPr>
              <w:rPr>
                <w:bCs/>
                <w:color w:val="000000"/>
              </w:rPr>
            </w:pPr>
            <w:r w:rsidRPr="00034882">
              <w:t>Australia Middle East NGO Cooperation Agreement 2</w:t>
            </w:r>
          </w:p>
        </w:tc>
      </w:tr>
      <w:tr w:rsidR="0080739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ANCP</w:t>
            </w:r>
          </w:p>
        </w:tc>
        <w:tc>
          <w:tcPr>
            <w:tcW w:w="7150" w:type="dxa"/>
            <w:tcBorders>
              <w:top w:val="nil"/>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AusAID NGO Cooperation Program</w:t>
            </w:r>
          </w:p>
        </w:tc>
      </w:tr>
      <w:tr w:rsidR="0080739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ANGO</w:t>
            </w:r>
          </w:p>
        </w:tc>
        <w:tc>
          <w:tcPr>
            <w:tcW w:w="7150" w:type="dxa"/>
            <w:tcBorders>
              <w:top w:val="nil"/>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Australian Non-Government Organisation</w:t>
            </w:r>
          </w:p>
        </w:tc>
      </w:tr>
      <w:tr w:rsidR="0080739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ANSO</w:t>
            </w:r>
          </w:p>
        </w:tc>
        <w:tc>
          <w:tcPr>
            <w:tcW w:w="7150" w:type="dxa"/>
            <w:tcBorders>
              <w:top w:val="nil"/>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Afghanistan NGO Safety Office</w:t>
            </w:r>
          </w:p>
        </w:tc>
      </w:tr>
      <w:tr w:rsidR="0080739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AusAID</w:t>
            </w:r>
          </w:p>
        </w:tc>
        <w:tc>
          <w:tcPr>
            <w:tcW w:w="7150" w:type="dxa"/>
            <w:tcBorders>
              <w:top w:val="nil"/>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Australian Agency for International Development</w:t>
            </w:r>
          </w:p>
        </w:tc>
      </w:tr>
      <w:tr w:rsidR="0080739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AWG</w:t>
            </w:r>
          </w:p>
        </w:tc>
        <w:tc>
          <w:tcPr>
            <w:tcW w:w="7150" w:type="dxa"/>
            <w:tcBorders>
              <w:top w:val="nil"/>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Afghanistan Working Group (of ACFID)</w:t>
            </w:r>
          </w:p>
        </w:tc>
      </w:tr>
      <w:tr w:rsidR="0080739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AWN</w:t>
            </w:r>
          </w:p>
        </w:tc>
        <w:tc>
          <w:tcPr>
            <w:tcW w:w="7150" w:type="dxa"/>
            <w:tcBorders>
              <w:top w:val="nil"/>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Afghan Women’s Network</w:t>
            </w:r>
          </w:p>
        </w:tc>
      </w:tr>
      <w:tr w:rsidR="0080739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CDC</w:t>
            </w:r>
          </w:p>
        </w:tc>
        <w:tc>
          <w:tcPr>
            <w:tcW w:w="7150" w:type="dxa"/>
            <w:tcBorders>
              <w:top w:val="nil"/>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 xml:space="preserve">Community Development Council </w:t>
            </w:r>
          </w:p>
        </w:tc>
      </w:tr>
      <w:tr w:rsidR="0080739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CSO</w:t>
            </w:r>
          </w:p>
        </w:tc>
        <w:tc>
          <w:tcPr>
            <w:tcW w:w="7150" w:type="dxa"/>
            <w:tcBorders>
              <w:top w:val="nil"/>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Civil Society Organisation</w:t>
            </w:r>
          </w:p>
        </w:tc>
      </w:tr>
      <w:tr w:rsidR="003A12DC"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3A12DC" w:rsidRPr="00034882" w:rsidRDefault="003A12DC" w:rsidP="00CC63F9">
            <w:pPr>
              <w:rPr>
                <w:bCs/>
                <w:color w:val="000000"/>
              </w:rPr>
            </w:pPr>
            <w:r w:rsidRPr="00034882">
              <w:rPr>
                <w:bCs/>
                <w:color w:val="000000"/>
              </w:rPr>
              <w:t>DAFA</w:t>
            </w:r>
          </w:p>
        </w:tc>
        <w:tc>
          <w:tcPr>
            <w:tcW w:w="7150" w:type="dxa"/>
            <w:tcBorders>
              <w:top w:val="nil"/>
              <w:left w:val="nil"/>
              <w:bottom w:val="single" w:sz="4" w:space="0" w:color="auto"/>
              <w:right w:val="single" w:sz="4" w:space="0" w:color="auto"/>
            </w:tcBorders>
            <w:shd w:val="clear" w:color="auto" w:fill="auto"/>
            <w:noWrap/>
            <w:vAlign w:val="bottom"/>
          </w:tcPr>
          <w:p w:rsidR="003A12DC" w:rsidRPr="00034882" w:rsidRDefault="003A12DC" w:rsidP="00CC63F9">
            <w:pPr>
              <w:rPr>
                <w:bCs/>
                <w:color w:val="000000"/>
              </w:rPr>
            </w:pPr>
            <w:r w:rsidRPr="00034882">
              <w:rPr>
                <w:bCs/>
                <w:color w:val="000000"/>
              </w:rPr>
              <w:t>Development Assistance Facility for Afghanistan</w:t>
            </w:r>
          </w:p>
        </w:tc>
      </w:tr>
      <w:tr w:rsidR="004845F4"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4845F4" w:rsidRPr="00034882" w:rsidRDefault="004845F4" w:rsidP="00CC63F9">
            <w:pPr>
              <w:rPr>
                <w:bCs/>
                <w:color w:val="000000"/>
              </w:rPr>
            </w:pPr>
            <w:r w:rsidRPr="00034882">
              <w:rPr>
                <w:bCs/>
                <w:color w:val="000000"/>
              </w:rPr>
              <w:t>DFID</w:t>
            </w:r>
          </w:p>
        </w:tc>
        <w:tc>
          <w:tcPr>
            <w:tcW w:w="7150" w:type="dxa"/>
            <w:tcBorders>
              <w:top w:val="nil"/>
              <w:left w:val="nil"/>
              <w:bottom w:val="single" w:sz="4" w:space="0" w:color="auto"/>
              <w:right w:val="single" w:sz="4" w:space="0" w:color="auto"/>
            </w:tcBorders>
            <w:shd w:val="clear" w:color="auto" w:fill="auto"/>
            <w:noWrap/>
            <w:vAlign w:val="bottom"/>
          </w:tcPr>
          <w:p w:rsidR="004845F4" w:rsidRPr="00034882" w:rsidRDefault="004845F4" w:rsidP="00CC63F9">
            <w:pPr>
              <w:rPr>
                <w:bCs/>
                <w:color w:val="000000"/>
              </w:rPr>
            </w:pPr>
            <w:r w:rsidRPr="00034882">
              <w:rPr>
                <w:bCs/>
                <w:color w:val="000000"/>
              </w:rPr>
              <w:t>Department for International Development</w:t>
            </w:r>
          </w:p>
        </w:tc>
      </w:tr>
      <w:tr w:rsidR="0080739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DPO</w:t>
            </w:r>
          </w:p>
        </w:tc>
        <w:tc>
          <w:tcPr>
            <w:tcW w:w="7150" w:type="dxa"/>
            <w:tcBorders>
              <w:top w:val="nil"/>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Disabled People’s Organisation</w:t>
            </w:r>
          </w:p>
        </w:tc>
      </w:tr>
      <w:tr w:rsidR="0080739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GIRoA</w:t>
            </w:r>
          </w:p>
        </w:tc>
        <w:tc>
          <w:tcPr>
            <w:tcW w:w="7150" w:type="dxa"/>
            <w:tcBorders>
              <w:top w:val="nil"/>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Government of the Islamic Republic of Afghanistan</w:t>
            </w:r>
          </w:p>
        </w:tc>
      </w:tr>
      <w:tr w:rsidR="003F7392"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3F7392" w:rsidRPr="00034882" w:rsidRDefault="003F7392" w:rsidP="00CC63F9">
            <w:pPr>
              <w:rPr>
                <w:bCs/>
                <w:color w:val="000000"/>
              </w:rPr>
            </w:pPr>
            <w:r w:rsidRPr="00034882">
              <w:rPr>
                <w:bCs/>
                <w:color w:val="000000"/>
              </w:rPr>
              <w:t>HPA</w:t>
            </w:r>
          </w:p>
        </w:tc>
        <w:tc>
          <w:tcPr>
            <w:tcW w:w="7150" w:type="dxa"/>
            <w:tcBorders>
              <w:top w:val="nil"/>
              <w:left w:val="nil"/>
              <w:bottom w:val="single" w:sz="4" w:space="0" w:color="auto"/>
              <w:right w:val="single" w:sz="4" w:space="0" w:color="auto"/>
            </w:tcBorders>
            <w:shd w:val="clear" w:color="auto" w:fill="auto"/>
            <w:noWrap/>
            <w:vAlign w:val="bottom"/>
          </w:tcPr>
          <w:p w:rsidR="003F7392" w:rsidRPr="00034882" w:rsidRDefault="003F7392" w:rsidP="003F7392">
            <w:pPr>
              <w:rPr>
                <w:bCs/>
                <w:color w:val="000000"/>
              </w:rPr>
            </w:pPr>
            <w:r w:rsidRPr="00034882">
              <w:t>Humanitarian Partnership Agreement</w:t>
            </w:r>
          </w:p>
        </w:tc>
      </w:tr>
      <w:tr w:rsidR="0080739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I-PACS</w:t>
            </w:r>
          </w:p>
        </w:tc>
        <w:tc>
          <w:tcPr>
            <w:tcW w:w="7150" w:type="dxa"/>
            <w:tcBorders>
              <w:top w:val="nil"/>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Initiative to Promote Afghan Civil Society</w:t>
            </w:r>
          </w:p>
        </w:tc>
      </w:tr>
      <w:tr w:rsidR="0080739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M&amp;E</w:t>
            </w:r>
          </w:p>
        </w:tc>
        <w:tc>
          <w:tcPr>
            <w:tcW w:w="7150" w:type="dxa"/>
            <w:tcBorders>
              <w:top w:val="nil"/>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Monitoring and Evaluation</w:t>
            </w:r>
          </w:p>
        </w:tc>
      </w:tr>
      <w:tr w:rsidR="00E0652C"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E0652C" w:rsidRPr="00034882" w:rsidRDefault="00E0652C" w:rsidP="00CC63F9">
            <w:pPr>
              <w:rPr>
                <w:bCs/>
                <w:color w:val="000000"/>
              </w:rPr>
            </w:pPr>
            <w:r w:rsidRPr="00034882">
              <w:rPr>
                <w:bCs/>
                <w:color w:val="000000"/>
              </w:rPr>
              <w:t>MAIL</w:t>
            </w:r>
          </w:p>
        </w:tc>
        <w:tc>
          <w:tcPr>
            <w:tcW w:w="7150" w:type="dxa"/>
            <w:tcBorders>
              <w:top w:val="nil"/>
              <w:left w:val="nil"/>
              <w:bottom w:val="single" w:sz="4" w:space="0" w:color="auto"/>
              <w:right w:val="single" w:sz="4" w:space="0" w:color="auto"/>
            </w:tcBorders>
            <w:shd w:val="clear" w:color="auto" w:fill="auto"/>
            <w:noWrap/>
            <w:vAlign w:val="bottom"/>
          </w:tcPr>
          <w:p w:rsidR="00E0652C" w:rsidRPr="00034882" w:rsidRDefault="00E0652C" w:rsidP="00CC63F9">
            <w:pPr>
              <w:rPr>
                <w:bCs/>
                <w:color w:val="000000"/>
              </w:rPr>
            </w:pPr>
            <w:r w:rsidRPr="00034882">
              <w:rPr>
                <w:bCs/>
                <w:color w:val="000000"/>
              </w:rPr>
              <w:t>Ministry of Agriculture</w:t>
            </w:r>
            <w:r w:rsidR="00A25036" w:rsidRPr="00034882">
              <w:rPr>
                <w:bCs/>
                <w:color w:val="000000"/>
              </w:rPr>
              <w:t>,</w:t>
            </w:r>
            <w:r w:rsidRPr="00034882">
              <w:rPr>
                <w:bCs/>
                <w:color w:val="000000"/>
              </w:rPr>
              <w:t xml:space="preserve"> Irrigation and Livestock</w:t>
            </w:r>
          </w:p>
        </w:tc>
      </w:tr>
      <w:tr w:rsidR="0080739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MDG</w:t>
            </w:r>
          </w:p>
        </w:tc>
        <w:tc>
          <w:tcPr>
            <w:tcW w:w="7150" w:type="dxa"/>
            <w:tcBorders>
              <w:top w:val="nil"/>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Millennium Development Goal</w:t>
            </w:r>
          </w:p>
        </w:tc>
      </w:tr>
      <w:tr w:rsidR="00EE2BD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EE2BDE" w:rsidRPr="00034882" w:rsidRDefault="00EE2BDE" w:rsidP="00CC63F9">
            <w:pPr>
              <w:rPr>
                <w:bCs/>
                <w:color w:val="000000"/>
              </w:rPr>
            </w:pPr>
            <w:r w:rsidRPr="00034882">
              <w:rPr>
                <w:bCs/>
                <w:color w:val="000000"/>
              </w:rPr>
              <w:t>MoE</w:t>
            </w:r>
          </w:p>
        </w:tc>
        <w:tc>
          <w:tcPr>
            <w:tcW w:w="7150" w:type="dxa"/>
            <w:tcBorders>
              <w:top w:val="nil"/>
              <w:left w:val="nil"/>
              <w:bottom w:val="single" w:sz="4" w:space="0" w:color="auto"/>
              <w:right w:val="single" w:sz="4" w:space="0" w:color="auto"/>
            </w:tcBorders>
            <w:shd w:val="clear" w:color="auto" w:fill="auto"/>
            <w:noWrap/>
            <w:vAlign w:val="bottom"/>
          </w:tcPr>
          <w:p w:rsidR="00EE2BDE" w:rsidRPr="00034882" w:rsidRDefault="00EE2BDE" w:rsidP="00CC63F9">
            <w:pPr>
              <w:rPr>
                <w:bCs/>
                <w:color w:val="000000"/>
              </w:rPr>
            </w:pPr>
            <w:r w:rsidRPr="00034882">
              <w:rPr>
                <w:bCs/>
                <w:color w:val="000000"/>
              </w:rPr>
              <w:t>Ministry of Economy</w:t>
            </w:r>
          </w:p>
        </w:tc>
      </w:tr>
      <w:tr w:rsidR="00E0652C"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E0652C" w:rsidRPr="00034882" w:rsidRDefault="00E0652C" w:rsidP="00CC63F9">
            <w:pPr>
              <w:rPr>
                <w:bCs/>
                <w:color w:val="000000"/>
              </w:rPr>
            </w:pPr>
            <w:r w:rsidRPr="00034882">
              <w:rPr>
                <w:bCs/>
                <w:color w:val="000000"/>
              </w:rPr>
              <w:t>MRRD</w:t>
            </w:r>
          </w:p>
        </w:tc>
        <w:tc>
          <w:tcPr>
            <w:tcW w:w="7150" w:type="dxa"/>
            <w:tcBorders>
              <w:top w:val="nil"/>
              <w:left w:val="nil"/>
              <w:bottom w:val="single" w:sz="4" w:space="0" w:color="auto"/>
              <w:right w:val="single" w:sz="4" w:space="0" w:color="auto"/>
            </w:tcBorders>
            <w:shd w:val="clear" w:color="auto" w:fill="auto"/>
            <w:noWrap/>
            <w:vAlign w:val="bottom"/>
          </w:tcPr>
          <w:p w:rsidR="00E0652C" w:rsidRPr="00034882" w:rsidRDefault="00E0652C" w:rsidP="00CC63F9">
            <w:pPr>
              <w:rPr>
                <w:bCs/>
                <w:color w:val="000000"/>
              </w:rPr>
            </w:pPr>
            <w:r w:rsidRPr="00034882">
              <w:rPr>
                <w:bCs/>
                <w:color w:val="000000"/>
              </w:rPr>
              <w:t>Ministry of Rural Rehabilitation and Development</w:t>
            </w:r>
          </w:p>
        </w:tc>
      </w:tr>
      <w:tr w:rsidR="006946C2" w:rsidRPr="00034882" w:rsidTr="006946C2">
        <w:trPr>
          <w:trHeight w:val="300"/>
        </w:trPr>
        <w:tc>
          <w:tcPr>
            <w:tcW w:w="2220" w:type="dxa"/>
            <w:tcBorders>
              <w:top w:val="nil"/>
              <w:left w:val="single" w:sz="4" w:space="0" w:color="auto"/>
              <w:bottom w:val="single" w:sz="4" w:space="0" w:color="auto"/>
              <w:right w:val="single" w:sz="4" w:space="0" w:color="auto"/>
            </w:tcBorders>
            <w:noWrap/>
            <w:vAlign w:val="bottom"/>
            <w:hideMark/>
          </w:tcPr>
          <w:p w:rsidR="006946C2" w:rsidRPr="00034882" w:rsidRDefault="006946C2" w:rsidP="00CC63F9">
            <w:pPr>
              <w:rPr>
                <w:bCs/>
                <w:color w:val="000000"/>
              </w:rPr>
            </w:pPr>
            <w:r w:rsidRPr="00034882">
              <w:rPr>
                <w:bCs/>
                <w:color w:val="000000"/>
              </w:rPr>
              <w:t>MTR</w:t>
            </w:r>
          </w:p>
        </w:tc>
        <w:tc>
          <w:tcPr>
            <w:tcW w:w="7150" w:type="dxa"/>
            <w:tcBorders>
              <w:top w:val="nil"/>
              <w:left w:val="nil"/>
              <w:bottom w:val="single" w:sz="4" w:space="0" w:color="auto"/>
              <w:right w:val="single" w:sz="4" w:space="0" w:color="auto"/>
            </w:tcBorders>
            <w:noWrap/>
            <w:vAlign w:val="bottom"/>
            <w:hideMark/>
          </w:tcPr>
          <w:p w:rsidR="006946C2" w:rsidRPr="00034882" w:rsidRDefault="006946C2" w:rsidP="00CC63F9">
            <w:pPr>
              <w:rPr>
                <w:bCs/>
                <w:color w:val="000000"/>
              </w:rPr>
            </w:pPr>
            <w:r w:rsidRPr="00034882">
              <w:rPr>
                <w:bCs/>
                <w:color w:val="000000"/>
              </w:rPr>
              <w:t>Mid-Term Review</w:t>
            </w:r>
          </w:p>
        </w:tc>
      </w:tr>
      <w:tr w:rsidR="0080739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NGO</w:t>
            </w:r>
          </w:p>
        </w:tc>
        <w:tc>
          <w:tcPr>
            <w:tcW w:w="7150" w:type="dxa"/>
            <w:tcBorders>
              <w:top w:val="nil"/>
              <w:left w:val="nil"/>
              <w:bottom w:val="single" w:sz="4" w:space="0" w:color="auto"/>
              <w:right w:val="single" w:sz="4" w:space="0" w:color="auto"/>
            </w:tcBorders>
            <w:shd w:val="clear" w:color="auto" w:fill="auto"/>
            <w:noWrap/>
            <w:vAlign w:val="bottom"/>
            <w:hideMark/>
          </w:tcPr>
          <w:p w:rsidR="0080739E" w:rsidRPr="00034882" w:rsidRDefault="00861BB3" w:rsidP="00CC63F9">
            <w:pPr>
              <w:rPr>
                <w:bCs/>
                <w:color w:val="000000"/>
              </w:rPr>
            </w:pPr>
            <w:r w:rsidRPr="00034882">
              <w:rPr>
                <w:bCs/>
                <w:color w:val="000000"/>
              </w:rPr>
              <w:t>Non-Government Organisation</w:t>
            </w:r>
            <w:r w:rsidR="0080739E" w:rsidRPr="00034882">
              <w:rPr>
                <w:bCs/>
                <w:color w:val="000000"/>
              </w:rPr>
              <w:t xml:space="preserve"> </w:t>
            </w:r>
          </w:p>
        </w:tc>
      </w:tr>
      <w:tr w:rsidR="0080739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NSP</w:t>
            </w:r>
          </w:p>
        </w:tc>
        <w:tc>
          <w:tcPr>
            <w:tcW w:w="7150" w:type="dxa"/>
            <w:tcBorders>
              <w:top w:val="nil"/>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National Solidarity Program</w:t>
            </w:r>
          </w:p>
        </w:tc>
      </w:tr>
      <w:tr w:rsidR="007F6854"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7F6854" w:rsidRPr="00034882" w:rsidRDefault="007F6854" w:rsidP="00CC63F9">
            <w:pPr>
              <w:rPr>
                <w:bCs/>
                <w:color w:val="000000"/>
              </w:rPr>
            </w:pPr>
            <w:r w:rsidRPr="00034882">
              <w:rPr>
                <w:bCs/>
                <w:color w:val="000000"/>
              </w:rPr>
              <w:t>ODA</w:t>
            </w:r>
          </w:p>
        </w:tc>
        <w:tc>
          <w:tcPr>
            <w:tcW w:w="7150" w:type="dxa"/>
            <w:tcBorders>
              <w:top w:val="nil"/>
              <w:left w:val="nil"/>
              <w:bottom w:val="single" w:sz="4" w:space="0" w:color="auto"/>
              <w:right w:val="single" w:sz="4" w:space="0" w:color="auto"/>
            </w:tcBorders>
            <w:shd w:val="clear" w:color="auto" w:fill="auto"/>
            <w:noWrap/>
            <w:vAlign w:val="bottom"/>
          </w:tcPr>
          <w:p w:rsidR="007F6854" w:rsidRPr="00034882" w:rsidRDefault="007F6854" w:rsidP="00CC63F9">
            <w:pPr>
              <w:rPr>
                <w:bCs/>
                <w:color w:val="000000"/>
              </w:rPr>
            </w:pPr>
            <w:r w:rsidRPr="00034882">
              <w:rPr>
                <w:bCs/>
                <w:color w:val="000000"/>
              </w:rPr>
              <w:t>Official Development Assistance</w:t>
            </w:r>
          </w:p>
        </w:tc>
      </w:tr>
      <w:tr w:rsidR="0080739E" w:rsidRPr="00034882" w:rsidTr="009175A3">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ODE</w:t>
            </w:r>
          </w:p>
        </w:tc>
        <w:tc>
          <w:tcPr>
            <w:tcW w:w="7150" w:type="dxa"/>
            <w:tcBorders>
              <w:top w:val="nil"/>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Office of Development Effectiveness</w:t>
            </w:r>
          </w:p>
        </w:tc>
      </w:tr>
      <w:tr w:rsidR="0080739E" w:rsidRPr="00034882" w:rsidTr="009175A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39E" w:rsidRPr="00034882" w:rsidRDefault="0080739E" w:rsidP="00CC63F9">
            <w:pPr>
              <w:rPr>
                <w:bCs/>
                <w:color w:val="000000"/>
              </w:rPr>
            </w:pPr>
            <w:r w:rsidRPr="00034882">
              <w:rPr>
                <w:bCs/>
                <w:color w:val="000000"/>
              </w:rPr>
              <w:t>PDD</w:t>
            </w:r>
          </w:p>
        </w:tc>
        <w:tc>
          <w:tcPr>
            <w:tcW w:w="7150" w:type="dxa"/>
            <w:tcBorders>
              <w:top w:val="single" w:sz="4" w:space="0" w:color="auto"/>
              <w:left w:val="nil"/>
              <w:bottom w:val="single" w:sz="4" w:space="0" w:color="auto"/>
              <w:right w:val="single" w:sz="4" w:space="0" w:color="auto"/>
            </w:tcBorders>
            <w:shd w:val="clear" w:color="auto" w:fill="auto"/>
            <w:noWrap/>
            <w:vAlign w:val="bottom"/>
          </w:tcPr>
          <w:p w:rsidR="0080739E" w:rsidRPr="00034882" w:rsidRDefault="0080739E" w:rsidP="00CC63F9">
            <w:pPr>
              <w:rPr>
                <w:bCs/>
                <w:color w:val="000000"/>
              </w:rPr>
            </w:pPr>
            <w:r w:rsidRPr="00034882">
              <w:rPr>
                <w:bCs/>
                <w:color w:val="000000"/>
              </w:rPr>
              <w:t>Program Design Document</w:t>
            </w:r>
          </w:p>
        </w:tc>
      </w:tr>
      <w:tr w:rsidR="0080739E" w:rsidRPr="00034882" w:rsidTr="009175A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SM</w:t>
            </w:r>
          </w:p>
        </w:tc>
        <w:tc>
          <w:tcPr>
            <w:tcW w:w="7150" w:type="dxa"/>
            <w:tcBorders>
              <w:top w:val="single" w:sz="4" w:space="0" w:color="auto"/>
              <w:left w:val="nil"/>
              <w:bottom w:val="single" w:sz="4" w:space="0" w:color="auto"/>
              <w:right w:val="single" w:sz="4" w:space="0" w:color="auto"/>
            </w:tcBorders>
            <w:shd w:val="clear" w:color="auto" w:fill="auto"/>
            <w:noWrap/>
            <w:vAlign w:val="bottom"/>
            <w:hideMark/>
          </w:tcPr>
          <w:p w:rsidR="0080739E" w:rsidRPr="00034882" w:rsidRDefault="00424900" w:rsidP="00CC63F9">
            <w:pPr>
              <w:rPr>
                <w:bCs/>
                <w:color w:val="000000"/>
              </w:rPr>
            </w:pPr>
            <w:r w:rsidRPr="00034882">
              <w:rPr>
                <w:bCs/>
                <w:color w:val="000000"/>
              </w:rPr>
              <w:t>Scheme Manager</w:t>
            </w:r>
          </w:p>
        </w:tc>
      </w:tr>
      <w:tr w:rsidR="0080739E" w:rsidRPr="00034882" w:rsidTr="009175A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TAP</w:t>
            </w:r>
          </w:p>
        </w:tc>
        <w:tc>
          <w:tcPr>
            <w:tcW w:w="7150" w:type="dxa"/>
            <w:tcBorders>
              <w:top w:val="single" w:sz="4" w:space="0" w:color="auto"/>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Technical Assessment Panel</w:t>
            </w:r>
          </w:p>
        </w:tc>
      </w:tr>
      <w:tr w:rsidR="002763D9" w:rsidRPr="00034882" w:rsidTr="009175A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763D9" w:rsidRPr="00034882" w:rsidRDefault="002763D9" w:rsidP="00CC63F9">
            <w:pPr>
              <w:rPr>
                <w:bCs/>
                <w:color w:val="000000"/>
              </w:rPr>
            </w:pPr>
            <w:r w:rsidRPr="00034882">
              <w:rPr>
                <w:bCs/>
                <w:color w:val="000000"/>
              </w:rPr>
              <w:t>TMAF</w:t>
            </w:r>
          </w:p>
        </w:tc>
        <w:tc>
          <w:tcPr>
            <w:tcW w:w="7150" w:type="dxa"/>
            <w:tcBorders>
              <w:top w:val="single" w:sz="4" w:space="0" w:color="auto"/>
              <w:left w:val="nil"/>
              <w:bottom w:val="single" w:sz="4" w:space="0" w:color="auto"/>
              <w:right w:val="single" w:sz="4" w:space="0" w:color="auto"/>
            </w:tcBorders>
            <w:shd w:val="clear" w:color="auto" w:fill="auto"/>
            <w:noWrap/>
            <w:vAlign w:val="bottom"/>
          </w:tcPr>
          <w:p w:rsidR="002763D9" w:rsidRPr="00034882" w:rsidRDefault="002763D9" w:rsidP="00CC63F9">
            <w:pPr>
              <w:rPr>
                <w:bCs/>
                <w:color w:val="000000"/>
              </w:rPr>
            </w:pPr>
            <w:r w:rsidRPr="00034882">
              <w:rPr>
                <w:bCs/>
                <w:color w:val="000000"/>
              </w:rPr>
              <w:t>Tokyo Mutual Accountability Framework</w:t>
            </w:r>
          </w:p>
        </w:tc>
      </w:tr>
      <w:tr w:rsidR="0080739E" w:rsidRPr="00034882" w:rsidTr="009175A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TRG</w:t>
            </w:r>
          </w:p>
        </w:tc>
        <w:tc>
          <w:tcPr>
            <w:tcW w:w="7150" w:type="dxa"/>
            <w:tcBorders>
              <w:top w:val="single" w:sz="4" w:space="0" w:color="auto"/>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Technical Reference Group</w:t>
            </w:r>
          </w:p>
        </w:tc>
      </w:tr>
      <w:tr w:rsidR="0080739E" w:rsidRPr="00034882" w:rsidTr="009175A3">
        <w:trPr>
          <w:trHeight w:val="30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USAID</w:t>
            </w:r>
          </w:p>
        </w:tc>
        <w:tc>
          <w:tcPr>
            <w:tcW w:w="7150" w:type="dxa"/>
            <w:tcBorders>
              <w:top w:val="single" w:sz="4" w:space="0" w:color="auto"/>
              <w:left w:val="nil"/>
              <w:bottom w:val="single" w:sz="4" w:space="0" w:color="auto"/>
              <w:right w:val="single" w:sz="4" w:space="0" w:color="auto"/>
            </w:tcBorders>
            <w:shd w:val="clear" w:color="auto" w:fill="auto"/>
            <w:noWrap/>
            <w:vAlign w:val="bottom"/>
            <w:hideMark/>
          </w:tcPr>
          <w:p w:rsidR="0080739E" w:rsidRPr="00034882" w:rsidRDefault="0080739E" w:rsidP="00CC63F9">
            <w:pPr>
              <w:rPr>
                <w:bCs/>
                <w:color w:val="000000"/>
              </w:rPr>
            </w:pPr>
            <w:r w:rsidRPr="00034882">
              <w:rPr>
                <w:bCs/>
                <w:color w:val="000000"/>
              </w:rPr>
              <w:t>United States Agency for International Development</w:t>
            </w:r>
          </w:p>
        </w:tc>
      </w:tr>
    </w:tbl>
    <w:p w:rsidR="0080739E" w:rsidRDefault="0080739E" w:rsidP="0080739E">
      <w:pPr>
        <w:spacing w:after="200" w:line="276" w:lineRule="auto"/>
      </w:pPr>
      <w:r>
        <w:br w:type="page"/>
      </w:r>
    </w:p>
    <w:p w:rsidR="0080739E" w:rsidRDefault="0080739E" w:rsidP="0080739E">
      <w:pPr>
        <w:spacing w:line="360" w:lineRule="auto"/>
      </w:pPr>
      <w:bookmarkStart w:id="3" w:name="_Toc353974421"/>
      <w:r>
        <w:rPr>
          <w:rStyle w:val="Heading1Char"/>
        </w:rPr>
        <w:lastRenderedPageBreak/>
        <w:t>Glossary</w:t>
      </w:r>
      <w:bookmarkEnd w:id="3"/>
      <w:r>
        <w:rPr>
          <w:rStyle w:val="Heading1Ch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08"/>
      </w:tblGrid>
      <w:tr w:rsidR="0080739E" w:rsidTr="00E151E5">
        <w:tc>
          <w:tcPr>
            <w:tcW w:w="1668" w:type="dxa"/>
          </w:tcPr>
          <w:p w:rsidR="0080739E" w:rsidRDefault="0080739E" w:rsidP="00FA425B">
            <w:r>
              <w:t>Accreditation</w:t>
            </w:r>
          </w:p>
        </w:tc>
        <w:tc>
          <w:tcPr>
            <w:tcW w:w="7908" w:type="dxa"/>
          </w:tcPr>
          <w:p w:rsidR="0080739E" w:rsidRDefault="0080739E" w:rsidP="00FA425B">
            <w:r>
              <w:t>In this PDD,</w:t>
            </w:r>
            <w:r w:rsidR="00D168B1">
              <w:t xml:space="preserve"> accreditation</w:t>
            </w:r>
            <w:r>
              <w:t xml:space="preserve"> refers to AusAID’s NGO accreditation process. </w:t>
            </w:r>
            <w:r w:rsidRPr="004D27F0">
              <w:t xml:space="preserve">Accreditation enables NGOs to participate in the AusAID–NGO Cooperation Program (ANCP). </w:t>
            </w:r>
            <w:r w:rsidRPr="00A931B4">
              <w:rPr>
                <w:lang w:val="en-GB"/>
              </w:rPr>
              <w:t xml:space="preserve">Accreditation acts as a front-end risk management process and ensures the </w:t>
            </w:r>
            <w:proofErr w:type="gramStart"/>
            <w:r w:rsidRPr="00A931B4">
              <w:rPr>
                <w:lang w:val="en-GB"/>
              </w:rPr>
              <w:t>accountable</w:t>
            </w:r>
            <w:proofErr w:type="gramEnd"/>
            <w:r w:rsidRPr="00A931B4">
              <w:rPr>
                <w:lang w:val="en-GB"/>
              </w:rPr>
              <w:t xml:space="preserve"> use of funding with minimal activity overview by AusAID.</w:t>
            </w:r>
            <w:r>
              <w:t xml:space="preserve"> The </w:t>
            </w:r>
            <w:r w:rsidRPr="00A931B4">
              <w:rPr>
                <w:i/>
                <w:iCs/>
              </w:rPr>
              <w:t>AusAID NGO Accreditation Manual</w:t>
            </w:r>
            <w:r w:rsidR="004845F4">
              <w:t xml:space="preserve"> (Feb 2012)</w:t>
            </w:r>
            <w:r>
              <w:t xml:space="preserve"> provides full details </w:t>
            </w:r>
            <w:hyperlink r:id="rId12" w:history="1">
              <w:r w:rsidR="00370477" w:rsidRPr="00C0515A">
                <w:rPr>
                  <w:rStyle w:val="Hyperlink"/>
                  <w:rFonts w:asciiTheme="majorBidi" w:hAnsiTheme="majorBidi" w:cstheme="majorBidi"/>
                </w:rPr>
                <w:t>www.ausaid.gov.au/ngos/documents/ngo-accreditation-manual.doc</w:t>
              </w:r>
            </w:hyperlink>
            <w:r w:rsidRPr="00A931B4">
              <w:rPr>
                <w:rStyle w:val="srch-url2"/>
                <w:rFonts w:ascii="Arial" w:hAnsi="Arial" w:cs="Arial"/>
                <w:sz w:val="18"/>
                <w:szCs w:val="18"/>
              </w:rPr>
              <w:t xml:space="preserve"> </w:t>
            </w:r>
          </w:p>
        </w:tc>
      </w:tr>
      <w:tr w:rsidR="00E151E5" w:rsidTr="00E151E5">
        <w:tc>
          <w:tcPr>
            <w:tcW w:w="1668" w:type="dxa"/>
          </w:tcPr>
          <w:p w:rsidR="00E151E5" w:rsidRDefault="00E151E5" w:rsidP="00FA425B">
            <w:r>
              <w:t>Capacity Development</w:t>
            </w:r>
          </w:p>
        </w:tc>
        <w:tc>
          <w:tcPr>
            <w:tcW w:w="7908" w:type="dxa"/>
          </w:tcPr>
          <w:p w:rsidR="00E151E5" w:rsidRDefault="00E151E5" w:rsidP="00E151E5">
            <w:r>
              <w:t xml:space="preserve">Capacity development in the context of </w:t>
            </w:r>
            <w:r w:rsidR="00B473D7">
              <w:t xml:space="preserve">the </w:t>
            </w:r>
            <w:r>
              <w:t>AACRS is broadly defined as a process of contributing to individual, organi</w:t>
            </w:r>
            <w:r w:rsidR="00323CEA">
              <w:t>s</w:t>
            </w:r>
            <w:r>
              <w:t>ational and community capacity to achieve self-determined and shared development objectives in the longer term</w:t>
            </w:r>
            <w:r w:rsidR="00A4457B">
              <w:t xml:space="preserve">. </w:t>
            </w:r>
            <w:r>
              <w:t>Capacity development should involve an emphasis on mutual learning and reflection, joint planning and monitoring and a range of contributions to systems, processes and skills, in response to each partner/context’s priorities.</w:t>
            </w:r>
          </w:p>
        </w:tc>
      </w:tr>
      <w:tr w:rsidR="0080739E" w:rsidTr="00E151E5">
        <w:tc>
          <w:tcPr>
            <w:tcW w:w="1668" w:type="dxa"/>
          </w:tcPr>
          <w:p w:rsidR="0080739E" w:rsidRDefault="0080739E" w:rsidP="00FA425B">
            <w:r>
              <w:t>Code of Conduct</w:t>
            </w:r>
          </w:p>
        </w:tc>
        <w:tc>
          <w:tcPr>
            <w:tcW w:w="7908" w:type="dxa"/>
          </w:tcPr>
          <w:p w:rsidR="0080739E" w:rsidRDefault="0080739E" w:rsidP="009175A3">
            <w:r>
              <w:t xml:space="preserve">ACFID members must abide by the ACFID Code of Conduct. This is also a prerequisite for NGOs seeking AusAID accreditation. </w:t>
            </w:r>
            <w:r w:rsidRPr="0074711A">
              <w:t>The Code is a voluntary, self-regulatory sector code of good practice that aims to improve international development outcomes and increase stakeholder trust by enhancing transparency and accountability.</w:t>
            </w:r>
          </w:p>
          <w:p w:rsidR="0080739E" w:rsidRDefault="00E67977" w:rsidP="00370477">
            <w:hyperlink r:id="rId13" w:history="1">
              <w:r w:rsidR="00370477" w:rsidRPr="00C0515A">
                <w:rPr>
                  <w:rStyle w:val="Hyperlink"/>
                </w:rPr>
                <w:t>www.acfid.asn.au/code-of-conduct/acfid-code-of-conduct/</w:t>
              </w:r>
            </w:hyperlink>
            <w:r w:rsidR="0080739E">
              <w:t xml:space="preserve"> </w:t>
            </w:r>
          </w:p>
        </w:tc>
      </w:tr>
      <w:tr w:rsidR="0080739E" w:rsidTr="00E151E5">
        <w:tc>
          <w:tcPr>
            <w:tcW w:w="1668" w:type="dxa"/>
          </w:tcPr>
          <w:p w:rsidR="0080739E" w:rsidRDefault="0080739E" w:rsidP="00FA425B">
            <w:r>
              <w:t>“Do no harm”</w:t>
            </w:r>
          </w:p>
        </w:tc>
        <w:tc>
          <w:tcPr>
            <w:tcW w:w="7908" w:type="dxa"/>
          </w:tcPr>
          <w:p w:rsidR="0080739E" w:rsidRDefault="0080739E" w:rsidP="009175A3">
            <w:r>
              <w:t xml:space="preserve">Approach to development that aims to ensure that interventions do not have inadvertent negative effects by leading to conflict or by undermining </w:t>
            </w:r>
            <w:r w:rsidR="001E681E">
              <w:t>state building</w:t>
            </w:r>
            <w:r>
              <w:t xml:space="preserve"> processes</w:t>
            </w:r>
          </w:p>
          <w:p w:rsidR="0080739E" w:rsidRDefault="00E67977" w:rsidP="00370477">
            <w:hyperlink r:id="rId14" w:history="1">
              <w:r w:rsidR="00370477" w:rsidRPr="00C0515A">
                <w:rPr>
                  <w:rStyle w:val="Hyperlink"/>
                </w:rPr>
                <w:t>www.ausaid.gov.au/Publications/Documents/aid-fragile-conflict-affected-states-staff-guidance.pdf</w:t>
              </w:r>
            </w:hyperlink>
          </w:p>
        </w:tc>
      </w:tr>
      <w:tr w:rsidR="0080739E" w:rsidTr="00E151E5">
        <w:tc>
          <w:tcPr>
            <w:tcW w:w="1668" w:type="dxa"/>
          </w:tcPr>
          <w:p w:rsidR="0080739E" w:rsidRDefault="0080739E" w:rsidP="00FA425B">
            <w:r>
              <w:t>Fragile s</w:t>
            </w:r>
            <w:r w:rsidRPr="00D34ABC">
              <w:t>tates</w:t>
            </w:r>
          </w:p>
        </w:tc>
        <w:tc>
          <w:tcPr>
            <w:tcW w:w="7908" w:type="dxa"/>
          </w:tcPr>
          <w:p w:rsidR="0080739E" w:rsidRDefault="0080739E" w:rsidP="009175A3">
            <w:r>
              <w:t xml:space="preserve">Fragile states have weak capacity to carry out </w:t>
            </w:r>
            <w:r w:rsidR="004845F4">
              <w:t xml:space="preserve">the </w:t>
            </w:r>
            <w:r>
              <w:t>basic functions of governing a population and its territory</w:t>
            </w:r>
            <w:r w:rsidR="004845F4">
              <w:t>,</w:t>
            </w:r>
            <w:r>
              <w:t xml:space="preserve"> and lack the ability to develop mutually constructive and reinforcing relations with society. As a consequence, trust and mutual obligations between the state and its citizen become weak (OECD DAC). </w:t>
            </w:r>
          </w:p>
        </w:tc>
      </w:tr>
      <w:tr w:rsidR="0080739E" w:rsidTr="00E151E5">
        <w:tc>
          <w:tcPr>
            <w:tcW w:w="1668" w:type="dxa"/>
          </w:tcPr>
          <w:p w:rsidR="0080739E" w:rsidRDefault="0080739E" w:rsidP="00FA425B">
            <w:r>
              <w:t>Livelihoods</w:t>
            </w:r>
          </w:p>
        </w:tc>
        <w:tc>
          <w:tcPr>
            <w:tcW w:w="7908" w:type="dxa"/>
          </w:tcPr>
          <w:p w:rsidR="0080739E" w:rsidRDefault="0080739E" w:rsidP="009175A3">
            <w:r w:rsidRPr="00853048">
              <w:t>The means of making a living, or the various activities and resources that allow people to live. It comprises the capabilities, assets (including material and social)</w:t>
            </w:r>
            <w:r>
              <w:t xml:space="preserve"> </w:t>
            </w:r>
            <w:r w:rsidRPr="00853048">
              <w:t>and activities required for a means of living. A livelihood is sustainable when it can cope with and recover from stress and shocks (e.g. drought, flood, war, etc.), maintain or enhance its capabilities and assets, while not undermining the natural resource base</w:t>
            </w:r>
            <w:r>
              <w:t>.</w:t>
            </w:r>
          </w:p>
        </w:tc>
      </w:tr>
      <w:tr w:rsidR="0080739E" w:rsidTr="00E151E5">
        <w:tc>
          <w:tcPr>
            <w:tcW w:w="1668" w:type="dxa"/>
          </w:tcPr>
          <w:p w:rsidR="0080739E" w:rsidRDefault="0080739E" w:rsidP="00FA425B">
            <w:r>
              <w:t>Millennium Development Goals</w:t>
            </w:r>
          </w:p>
        </w:tc>
        <w:tc>
          <w:tcPr>
            <w:tcW w:w="7908" w:type="dxa"/>
          </w:tcPr>
          <w:p w:rsidR="0080739E" w:rsidRPr="00F21B95" w:rsidRDefault="0080739E" w:rsidP="006D5D38">
            <w:r>
              <w:t>Eight international development g</w:t>
            </w:r>
            <w:r w:rsidR="006D5D38">
              <w:t>oals that all UN member</w:t>
            </w:r>
            <w:r w:rsidR="00B6086B">
              <w:t xml:space="preserve"> states have agreed to achieve </w:t>
            </w:r>
            <w:r>
              <w:t xml:space="preserve">by 2015. They include eradicating </w:t>
            </w:r>
            <w:r w:rsidR="00B6086B">
              <w:t xml:space="preserve">extreme poverty, reducing child </w:t>
            </w:r>
            <w:r>
              <w:t xml:space="preserve">mortality rates, </w:t>
            </w:r>
            <w:r w:rsidR="006D5D38">
              <w:t xml:space="preserve">and </w:t>
            </w:r>
            <w:r>
              <w:t>fighting dise</w:t>
            </w:r>
            <w:r w:rsidR="00B6086B">
              <w:t>ase epidemics</w:t>
            </w:r>
            <w:r w:rsidRPr="00F21B95">
              <w:t>. Afghanistan sign</w:t>
            </w:r>
            <w:r>
              <w:t>ed</w:t>
            </w:r>
            <w:r w:rsidRPr="00F21B95">
              <w:t xml:space="preserve"> the Millennium </w:t>
            </w:r>
            <w:r>
              <w:t>Declaration</w:t>
            </w:r>
            <w:r w:rsidRPr="00F21B95">
              <w:t xml:space="preserve"> in 2004</w:t>
            </w:r>
            <w:r>
              <w:t xml:space="preserve"> and</w:t>
            </w:r>
            <w:r w:rsidRPr="00F21B95">
              <w:t xml:space="preserve"> adapted the timelines and targets to make them meaningful to </w:t>
            </w:r>
            <w:r w:rsidR="004845F4">
              <w:t>an Afghan context. This included</w:t>
            </w:r>
            <w:r w:rsidRPr="00F21B95">
              <w:t xml:space="preserve"> extending the timelines to 2020</w:t>
            </w:r>
            <w:r>
              <w:t xml:space="preserve"> </w:t>
            </w:r>
            <w:r w:rsidRPr="00F21B95">
              <w:t>and adding a ninth MDG on enhancing security</w:t>
            </w:r>
            <w:r>
              <w:t>.</w:t>
            </w:r>
            <w:r w:rsidRPr="00F21B95">
              <w:t xml:space="preserve"> </w:t>
            </w:r>
          </w:p>
        </w:tc>
      </w:tr>
      <w:tr w:rsidR="0080739E" w:rsidTr="00E151E5">
        <w:tc>
          <w:tcPr>
            <w:tcW w:w="1668" w:type="dxa"/>
          </w:tcPr>
          <w:p w:rsidR="0080739E" w:rsidRDefault="0080739E" w:rsidP="00FA425B">
            <w:r>
              <w:t>Resilience</w:t>
            </w:r>
          </w:p>
        </w:tc>
        <w:tc>
          <w:tcPr>
            <w:tcW w:w="7908" w:type="dxa"/>
          </w:tcPr>
          <w:p w:rsidR="00B6086B" w:rsidRDefault="00B6086B" w:rsidP="00FA425B">
            <w:r w:rsidRPr="00B6086B">
              <w:t>The ability of</w:t>
            </w:r>
            <w:r>
              <w:t xml:space="preserve"> a system, community or society </w:t>
            </w:r>
            <w:r w:rsidRPr="00B6086B">
              <w:t>to res</w:t>
            </w:r>
            <w:r>
              <w:t xml:space="preserve">ist, accommodate </w:t>
            </w:r>
            <w:r w:rsidR="00FA425B">
              <w:t>or</w:t>
            </w:r>
            <w:r>
              <w:t xml:space="preserve"> </w:t>
            </w:r>
            <w:r w:rsidRPr="00B6086B">
              <w:t>recover from the effects of a h</w:t>
            </w:r>
            <w:r>
              <w:t xml:space="preserve">azard in a timely and efficient </w:t>
            </w:r>
            <w:r w:rsidRPr="00B6086B">
              <w:t>manner, including through the preservation and restoration of</w:t>
            </w:r>
            <w:r>
              <w:t xml:space="preserve"> </w:t>
            </w:r>
            <w:r w:rsidRPr="00B6086B">
              <w:t>its essential basic structures and functions.</w:t>
            </w:r>
          </w:p>
        </w:tc>
      </w:tr>
    </w:tbl>
    <w:p w:rsidR="0080739E" w:rsidRDefault="0080739E" w:rsidP="0080739E">
      <w:pPr>
        <w:spacing w:line="360" w:lineRule="auto"/>
        <w:sectPr w:rsidR="0080739E" w:rsidSect="008609A2">
          <w:footerReference w:type="default" r:id="rId15"/>
          <w:type w:val="continuous"/>
          <w:pgSz w:w="12240" w:h="15840"/>
          <w:pgMar w:top="1267" w:right="1440" w:bottom="1440" w:left="1440" w:header="720" w:footer="720" w:gutter="0"/>
          <w:pgNumType w:fmt="lowerRoman" w:start="1"/>
          <w:cols w:space="720"/>
          <w:noEndnote/>
          <w:docGrid w:linePitch="326"/>
        </w:sectPr>
      </w:pPr>
    </w:p>
    <w:p w:rsidR="0080739E" w:rsidRDefault="0080739E" w:rsidP="0080739E">
      <w:pPr>
        <w:pStyle w:val="Heading1"/>
        <w:jc w:val="center"/>
      </w:pPr>
      <w:bookmarkStart w:id="4" w:name="_Toc207640589"/>
      <w:bookmarkStart w:id="5" w:name="_Toc353974422"/>
      <w:r>
        <w:lastRenderedPageBreak/>
        <w:t>Executive Summary</w:t>
      </w:r>
      <w:bookmarkEnd w:id="4"/>
      <w:bookmarkEnd w:id="5"/>
    </w:p>
    <w:p w:rsidR="0080739E" w:rsidRDefault="0080739E" w:rsidP="0080739E"/>
    <w:p w:rsidR="004E370E" w:rsidRPr="004E370E" w:rsidRDefault="004E370E" w:rsidP="004E370E">
      <w:r w:rsidRPr="004E370E">
        <w:t>This Program Design Document for the</w:t>
      </w:r>
      <w:r w:rsidRPr="00C5052C">
        <w:rPr>
          <w:i/>
        </w:rPr>
        <w:t xml:space="preserve"> Australia</w:t>
      </w:r>
      <w:r w:rsidRPr="004E370E">
        <w:rPr>
          <w:i/>
        </w:rPr>
        <w:t xml:space="preserve"> Afghanistan Community Resilience Scheme</w:t>
      </w:r>
      <w:r w:rsidRPr="004E370E">
        <w:t xml:space="preserve"> (AACRS) sets out the design intent and implementation arrangements for a new AusAID program of support to Afghanistan’s agricultural and rural development. The AACRS objective is:</w:t>
      </w:r>
    </w:p>
    <w:p w:rsidR="004E370E" w:rsidRPr="004E370E" w:rsidRDefault="004E370E" w:rsidP="004E370E">
      <w:pPr>
        <w:pStyle w:val="BodyText"/>
        <w:tabs>
          <w:tab w:val="num" w:pos="-426"/>
        </w:tabs>
        <w:spacing w:before="0" w:after="0" w:line="240" w:lineRule="auto"/>
        <w:ind w:left="-425"/>
        <w:rPr>
          <w:rFonts w:ascii="Times New Roman" w:eastAsia="SimSun" w:hAnsi="Times New Roman"/>
          <w:sz w:val="24"/>
          <w:szCs w:val="24"/>
          <w:lang w:val="en-US" w:eastAsia="zh-CN"/>
        </w:rPr>
      </w:pPr>
    </w:p>
    <w:p w:rsidR="004E370E" w:rsidRPr="004E370E" w:rsidRDefault="004E370E" w:rsidP="004E370E">
      <w:pPr>
        <w:pStyle w:val="BodyText"/>
        <w:tabs>
          <w:tab w:val="num" w:pos="-426"/>
        </w:tabs>
        <w:spacing w:before="0" w:after="0" w:line="240" w:lineRule="auto"/>
        <w:ind w:left="-425" w:firstLine="425"/>
        <w:jc w:val="center"/>
        <w:rPr>
          <w:rFonts w:ascii="Times New Roman" w:eastAsia="SimSun" w:hAnsi="Times New Roman"/>
          <w:i/>
          <w:sz w:val="24"/>
          <w:szCs w:val="24"/>
          <w:lang w:val="en-US" w:eastAsia="zh-CN"/>
        </w:rPr>
      </w:pPr>
      <w:proofErr w:type="gramStart"/>
      <w:r w:rsidRPr="004E370E">
        <w:rPr>
          <w:rFonts w:ascii="Times New Roman" w:eastAsia="SimSun" w:hAnsi="Times New Roman"/>
          <w:i/>
          <w:sz w:val="24"/>
          <w:szCs w:val="24"/>
          <w:lang w:val="en-US" w:eastAsia="zh-CN"/>
        </w:rPr>
        <w:t>Improved resilience and livelihoods for Afghan rural communities.</w:t>
      </w:r>
      <w:proofErr w:type="gramEnd"/>
    </w:p>
    <w:p w:rsidR="004E370E" w:rsidRPr="004E370E" w:rsidRDefault="004E370E" w:rsidP="004E370E">
      <w:pPr>
        <w:pStyle w:val="BodyText"/>
        <w:tabs>
          <w:tab w:val="num" w:pos="-426"/>
        </w:tabs>
        <w:spacing w:before="0" w:after="0" w:line="240" w:lineRule="auto"/>
        <w:ind w:left="-425"/>
        <w:rPr>
          <w:rFonts w:ascii="Times New Roman" w:eastAsia="SimSun" w:hAnsi="Times New Roman"/>
          <w:sz w:val="24"/>
          <w:szCs w:val="24"/>
          <w:lang w:val="en-US" w:eastAsia="zh-CN"/>
        </w:rPr>
      </w:pPr>
    </w:p>
    <w:p w:rsidR="004E370E" w:rsidRPr="004E370E" w:rsidRDefault="004E370E" w:rsidP="004E370E">
      <w:r w:rsidRPr="004E370E">
        <w:t>AusAID will select up to five non</w:t>
      </w:r>
      <w:r>
        <w:t>-</w:t>
      </w:r>
      <w:r w:rsidRPr="004E370E">
        <w:t>government organisations (NGOs) to work with Afghan civil society organisations (CSOs) to deliver</w:t>
      </w:r>
      <w:r w:rsidR="007F448D">
        <w:t xml:space="preserve"> projects under</w:t>
      </w:r>
      <w:r w:rsidRPr="004E370E">
        <w:t xml:space="preserve"> the AACRS</w:t>
      </w:r>
      <w:r w:rsidR="002546F2">
        <w:t xml:space="preserve">. </w:t>
      </w:r>
      <w:r w:rsidRPr="004E370E">
        <w:t xml:space="preserve">The AACRS is open to Australian and international (including Afghan) NGOs, and is not limited to organisations that have AusAID accreditation. </w:t>
      </w:r>
    </w:p>
    <w:p w:rsidR="00861BB3" w:rsidRDefault="00861BB3" w:rsidP="00DB3DB1"/>
    <w:p w:rsidR="004E370E" w:rsidRPr="004E370E" w:rsidRDefault="004E370E" w:rsidP="004E370E">
      <w:r w:rsidRPr="004E370E">
        <w:t>Implementation of the AACRS will be over four years, with</w:t>
      </w:r>
      <w:r w:rsidR="007F448D">
        <w:t xml:space="preserve"> up to</w:t>
      </w:r>
      <w:r w:rsidRPr="004E370E">
        <w:t xml:space="preserve"> </w:t>
      </w:r>
      <w:r w:rsidR="007F448D">
        <w:t>AUD</w:t>
      </w:r>
      <w:r w:rsidRPr="004E370E">
        <w:t>30 million allocated to projects. The AACRS will fund up to five NGOs, however it is not assumed the budget will be divided evenly between each NGO, or that five NGOs will necessarily be funded. There is no minimum or maximum grant amount that NGOs can apply for.</w:t>
      </w:r>
    </w:p>
    <w:p w:rsidR="00352D4B" w:rsidRDefault="00352D4B" w:rsidP="00352D4B"/>
    <w:p w:rsidR="00352D4B" w:rsidRPr="004E370E" w:rsidRDefault="00352D4B" w:rsidP="00352D4B">
      <w:pPr>
        <w:rPr>
          <w:lang w:val="en-AU"/>
        </w:rPr>
      </w:pPr>
      <w:r>
        <w:t xml:space="preserve">The AACRS </w:t>
      </w:r>
      <w:r w:rsidRPr="004E370E">
        <w:t>aligns with commitments made in</w:t>
      </w:r>
      <w:r>
        <w:t xml:space="preserve"> Australia’s aid policy,</w:t>
      </w:r>
      <w:r w:rsidRPr="004E370E">
        <w:t xml:space="preserve"> </w:t>
      </w:r>
      <w:r>
        <w:rPr>
          <w:i/>
          <w:lang w:val="en-AU"/>
        </w:rPr>
        <w:t>An Effective Aid P</w:t>
      </w:r>
      <w:r w:rsidRPr="004E370E">
        <w:rPr>
          <w:i/>
          <w:lang w:val="en-AU"/>
        </w:rPr>
        <w:t>rogram for Australia: Making a real difference – Delivering real results</w:t>
      </w:r>
      <w:r w:rsidRPr="004E370E">
        <w:rPr>
          <w:vertAlign w:val="superscript"/>
          <w:lang w:val="en-AU"/>
        </w:rPr>
        <w:footnoteReference w:id="1"/>
      </w:r>
      <w:r w:rsidRPr="004E370E">
        <w:rPr>
          <w:lang w:val="en-AU"/>
        </w:rPr>
        <w:t xml:space="preserve"> (‘An Effective Aid Program for Australia</w:t>
      </w:r>
      <w:r>
        <w:rPr>
          <w:lang w:val="en-AU"/>
        </w:rPr>
        <w:t xml:space="preserve">’) </w:t>
      </w:r>
      <w:r w:rsidRPr="004E370E">
        <w:t xml:space="preserve">for the aid program to make greater use of NGOs that are effective in achieving results and efficient in delivering value for money. It will report against the aid program’s strategic goal of investing in food security, sustainable economic growth and private sector development, and reflects the principles of </w:t>
      </w:r>
      <w:r w:rsidRPr="004E370E">
        <w:rPr>
          <w:i/>
        </w:rPr>
        <w:t>AusAID’s Civil Society Engagement Framework</w:t>
      </w:r>
      <w:r w:rsidRPr="004E370E">
        <w:t>.</w:t>
      </w:r>
      <w:r w:rsidRPr="004E370E">
        <w:rPr>
          <w:vertAlign w:val="superscript"/>
        </w:rPr>
        <w:footnoteReference w:id="2"/>
      </w:r>
      <w:r w:rsidRPr="004E370E">
        <w:t xml:space="preserve"> </w:t>
      </w:r>
    </w:p>
    <w:p w:rsidR="00DB3DB1" w:rsidRDefault="00DB3DB1" w:rsidP="00DB3DB1"/>
    <w:p w:rsidR="004E370E" w:rsidRPr="004E370E" w:rsidRDefault="004E370E" w:rsidP="004E370E">
      <w:r w:rsidRPr="004E370E">
        <w:t xml:space="preserve">The AACRS aligns with the </w:t>
      </w:r>
      <w:r w:rsidRPr="004E370E">
        <w:rPr>
          <w:i/>
        </w:rPr>
        <w:t>Memorandum of Understanding: Development Framework Agreement between the Government of the Islamic Republic of Afghanistan</w:t>
      </w:r>
      <w:r>
        <w:rPr>
          <w:i/>
        </w:rPr>
        <w:t xml:space="preserve"> </w:t>
      </w:r>
      <w:r w:rsidRPr="004E370E">
        <w:rPr>
          <w:i/>
        </w:rPr>
        <w:t xml:space="preserve">and the Government of Australia </w:t>
      </w:r>
      <w:r w:rsidRPr="00C5052C">
        <w:rPr>
          <w:i/>
        </w:rPr>
        <w:t>2012-17</w:t>
      </w:r>
      <w:r w:rsidR="00B6002C">
        <w:t xml:space="preserve"> (the MoU)</w:t>
      </w:r>
      <w:r w:rsidR="00C5052C">
        <w:t>,</w:t>
      </w:r>
      <w:r w:rsidRPr="004E370E">
        <w:rPr>
          <w:vertAlign w:val="superscript"/>
        </w:rPr>
        <w:footnoteReference w:id="3"/>
      </w:r>
      <w:r w:rsidRPr="004E370E">
        <w:t xml:space="preserve"> which identifies agriculture as a sector where Australia has particular </w:t>
      </w:r>
      <w:proofErr w:type="gramStart"/>
      <w:r w:rsidRPr="004E370E">
        <w:t>expertise,</w:t>
      </w:r>
      <w:proofErr w:type="gramEnd"/>
      <w:r w:rsidRPr="004E370E">
        <w:t xml:space="preserve"> comparative advantage and can have the most impact. </w:t>
      </w:r>
    </w:p>
    <w:p w:rsidR="004E370E" w:rsidRPr="004E370E" w:rsidRDefault="004E370E" w:rsidP="004E370E">
      <w:pPr>
        <w:tabs>
          <w:tab w:val="num" w:pos="-426"/>
        </w:tabs>
      </w:pPr>
    </w:p>
    <w:p w:rsidR="004E370E" w:rsidRPr="004E370E" w:rsidRDefault="004E370E" w:rsidP="004E370E">
      <w:r w:rsidRPr="004E370E">
        <w:t xml:space="preserve">Applicant NGOs will be expected to demonstrate how their proposed activities align with the Afghan Government’s National Priority Programs (NPPs), particularly those within the Agriculture and Rural Development Cluster (NPPs 1, 2, 3 and 4). </w:t>
      </w:r>
    </w:p>
    <w:p w:rsidR="00EF3716" w:rsidRDefault="00EF3716" w:rsidP="00EF3716"/>
    <w:p w:rsidR="00EF3716" w:rsidRDefault="00EF3716" w:rsidP="00EF3716">
      <w:r>
        <w:t xml:space="preserve">The design builds on the parameters contained in the </w:t>
      </w:r>
      <w:r>
        <w:rPr>
          <w:i/>
          <w:iCs/>
        </w:rPr>
        <w:t>AACRS Concept Paper</w:t>
      </w:r>
      <w:r w:rsidR="00352D4B">
        <w:rPr>
          <w:i/>
          <w:iCs/>
        </w:rPr>
        <w:t xml:space="preserve"> </w:t>
      </w:r>
      <w:r w:rsidR="00352D4B" w:rsidRPr="00352D4B">
        <w:rPr>
          <w:iCs/>
        </w:rPr>
        <w:t>(</w:t>
      </w:r>
      <w:r w:rsidR="00352D4B" w:rsidRPr="00352D4B">
        <w:rPr>
          <w:iCs/>
          <w:u w:val="single"/>
        </w:rPr>
        <w:t>Annex 1</w:t>
      </w:r>
      <w:r w:rsidR="00352D4B" w:rsidRPr="00352D4B">
        <w:rPr>
          <w:iCs/>
        </w:rPr>
        <w:t>)</w:t>
      </w:r>
      <w:r w:rsidRPr="00352D4B">
        <w:rPr>
          <w:iCs/>
        </w:rPr>
        <w:t>,</w:t>
      </w:r>
      <w:r>
        <w:t xml:space="preserve"> which was developed by AusAID in consultation with the Australian Council for International Development’s (ACFID’s) Afghanistan Working Group and agreed at Peer Review in February 2012. The design also benefits from ideas put forward at a Design Workshop attended by nine Australian NGOs in July 2012.</w:t>
      </w:r>
      <w:r w:rsidR="00352D4B">
        <w:t xml:space="preserve"> The AACRS Design was agreed at Peer Review in late October 2012.</w:t>
      </w:r>
    </w:p>
    <w:p w:rsidR="00771F51" w:rsidRDefault="00771F51" w:rsidP="00DB3DB1"/>
    <w:p w:rsidR="00034882" w:rsidRDefault="00034882" w:rsidP="00DB3DB1"/>
    <w:p w:rsidR="00034882" w:rsidRDefault="00034882" w:rsidP="00DB3DB1"/>
    <w:p w:rsidR="00DB3DB1" w:rsidRDefault="00DB3DB1" w:rsidP="00DB3DB1">
      <w:pPr>
        <w:rPr>
          <w:b/>
        </w:rPr>
      </w:pPr>
      <w:r w:rsidRPr="007400D1">
        <w:rPr>
          <w:b/>
        </w:rPr>
        <w:t>Community Resilience and Livelihoods</w:t>
      </w:r>
    </w:p>
    <w:p w:rsidR="00DB3DB1" w:rsidRDefault="00DB3DB1" w:rsidP="00DB3DB1">
      <w:pPr>
        <w:autoSpaceDE w:val="0"/>
        <w:autoSpaceDN w:val="0"/>
        <w:adjustRightInd w:val="0"/>
      </w:pPr>
      <w:r>
        <w:rPr>
          <w:lang w:bidi="en-US"/>
        </w:rPr>
        <w:t xml:space="preserve">The AACRS objective, </w:t>
      </w:r>
      <w:r>
        <w:t xml:space="preserve">improved resilience and livelihoods for Afghan rural communities, </w:t>
      </w:r>
      <w:r>
        <w:rPr>
          <w:lang w:bidi="en-US"/>
        </w:rPr>
        <w:t xml:space="preserve">is </w:t>
      </w:r>
      <w:r>
        <w:t>based on the understanding that p</w:t>
      </w:r>
      <w:r w:rsidRPr="00A87F6C">
        <w:t>eople living in poverty are particularly vulnerable to crises</w:t>
      </w:r>
      <w:r>
        <w:t>, challenges and shocks</w:t>
      </w:r>
      <w:r w:rsidRPr="00A87F6C">
        <w:t xml:space="preserve">. </w:t>
      </w:r>
      <w:r w:rsidRPr="00747F56">
        <w:t xml:space="preserve">Negative shocks can </w:t>
      </w:r>
      <w:r>
        <w:t>have effects</w:t>
      </w:r>
      <w:r w:rsidRPr="00747F56">
        <w:t xml:space="preserve"> a</w:t>
      </w:r>
      <w:r>
        <w:t>long gender lines, and women and girls</w:t>
      </w:r>
      <w:r w:rsidRPr="00747F56">
        <w:t xml:space="preserve"> in poor households often bear the largest burden.</w:t>
      </w:r>
      <w:r>
        <w:rPr>
          <w:rStyle w:val="FootnoteReference"/>
        </w:rPr>
        <w:footnoteReference w:id="4"/>
      </w:r>
      <w:r>
        <w:t xml:space="preserve"> </w:t>
      </w:r>
      <w:r w:rsidRPr="00FC567D">
        <w:t xml:space="preserve">Resilience </w:t>
      </w:r>
      <w:r w:rsidR="00EF3716">
        <w:t>is the ability to resist</w:t>
      </w:r>
      <w:r>
        <w:t xml:space="preserve">, accommodate </w:t>
      </w:r>
      <w:r w:rsidR="00EF3716">
        <w:t>or</w:t>
      </w:r>
      <w:r>
        <w:t xml:space="preserve"> recover from </w:t>
      </w:r>
      <w:r w:rsidRPr="00FC567D">
        <w:t xml:space="preserve">the effects of a </w:t>
      </w:r>
      <w:r>
        <w:t>shock</w:t>
      </w:r>
      <w:r w:rsidRPr="00FC567D">
        <w:t>.</w:t>
      </w:r>
      <w:r>
        <w:rPr>
          <w:rStyle w:val="FootnoteReference"/>
        </w:rPr>
        <w:footnoteReference w:id="5"/>
      </w:r>
      <w:r>
        <w:t xml:space="preserve"> Improving</w:t>
      </w:r>
      <w:r>
        <w:rPr>
          <w:lang w:bidi="en-US"/>
        </w:rPr>
        <w:t xml:space="preserve"> community resilience is therefore about </w:t>
      </w:r>
      <w:r w:rsidRPr="00A87F6C">
        <w:rPr>
          <w:lang w:bidi="en-US"/>
        </w:rPr>
        <w:t>build</w:t>
      </w:r>
      <w:r>
        <w:rPr>
          <w:lang w:bidi="en-US"/>
        </w:rPr>
        <w:t>ing</w:t>
      </w:r>
      <w:r w:rsidRPr="00A87F6C">
        <w:rPr>
          <w:lang w:bidi="en-US"/>
        </w:rPr>
        <w:t xml:space="preserve"> stronger social and economic foundations in local communities so that they can respond more effectively to </w:t>
      </w:r>
      <w:r>
        <w:rPr>
          <w:lang w:bidi="en-US"/>
        </w:rPr>
        <w:t>shocks</w:t>
      </w:r>
      <w:r w:rsidRPr="00A87F6C">
        <w:rPr>
          <w:lang w:bidi="en-US"/>
        </w:rPr>
        <w:t>.</w:t>
      </w:r>
      <w:r>
        <w:rPr>
          <w:lang w:bidi="en-US"/>
        </w:rPr>
        <w:t xml:space="preserve"> In line with AusAID’s </w:t>
      </w:r>
      <w:r w:rsidR="00BB384A">
        <w:rPr>
          <w:lang w:bidi="en-US"/>
        </w:rPr>
        <w:t>approach to</w:t>
      </w:r>
      <w:r>
        <w:rPr>
          <w:lang w:bidi="en-US"/>
        </w:rPr>
        <w:t xml:space="preserve"> </w:t>
      </w:r>
      <w:r w:rsidR="00BB384A">
        <w:rPr>
          <w:lang w:bidi="en-US"/>
        </w:rPr>
        <w:t>agriculture and rural d</w:t>
      </w:r>
      <w:r w:rsidRPr="00BB384A">
        <w:rPr>
          <w:lang w:bidi="en-US"/>
        </w:rPr>
        <w:t>evelopment</w:t>
      </w:r>
      <w:r w:rsidR="00034882">
        <w:rPr>
          <w:lang w:bidi="en-US"/>
        </w:rPr>
        <w:t xml:space="preserve"> in Afghanistan</w:t>
      </w:r>
      <w:r w:rsidRPr="00BB384A">
        <w:rPr>
          <w:lang w:bidi="en-US"/>
        </w:rPr>
        <w:t>,</w:t>
      </w:r>
      <w:r>
        <w:rPr>
          <w:lang w:bidi="en-US"/>
        </w:rPr>
        <w:t xml:space="preserve"> </w:t>
      </w:r>
      <w:r w:rsidRPr="00861BB3">
        <w:rPr>
          <w:b/>
          <w:lang w:bidi="en-US"/>
        </w:rPr>
        <w:t>food security and economic livelihoods are central to the notion of community resilience envisaged under the AACRS</w:t>
      </w:r>
      <w:r>
        <w:rPr>
          <w:lang w:bidi="en-US"/>
        </w:rPr>
        <w:t xml:space="preserve">. </w:t>
      </w:r>
    </w:p>
    <w:p w:rsidR="00DB3DB1" w:rsidRDefault="00DB3DB1" w:rsidP="00DB3DB1">
      <w:pPr>
        <w:autoSpaceDE w:val="0"/>
        <w:autoSpaceDN w:val="0"/>
        <w:adjustRightInd w:val="0"/>
        <w:rPr>
          <w:lang w:bidi="en-US"/>
        </w:rPr>
      </w:pPr>
    </w:p>
    <w:p w:rsidR="00DB3DB1" w:rsidRDefault="00DB3DB1" w:rsidP="00DB3DB1">
      <w:pPr>
        <w:autoSpaceDE w:val="0"/>
        <w:autoSpaceDN w:val="0"/>
        <w:adjustRightInd w:val="0"/>
      </w:pPr>
      <w:r>
        <w:t xml:space="preserve">Improving rural livelihoods is about supporting and improving </w:t>
      </w:r>
      <w:r w:rsidRPr="00853048">
        <w:t xml:space="preserve">the various activities and resources </w:t>
      </w:r>
      <w:r>
        <w:t>that allow people to make</w:t>
      </w:r>
      <w:r w:rsidRPr="00853048">
        <w:t xml:space="preserve"> a living. </w:t>
      </w:r>
      <w:r>
        <w:t xml:space="preserve">It is likely to include </w:t>
      </w:r>
      <w:r w:rsidRPr="00085A17">
        <w:t>direct cooperation with the private sector</w:t>
      </w:r>
      <w:r>
        <w:t xml:space="preserve">, including </w:t>
      </w:r>
      <w:r w:rsidRPr="00085A17">
        <w:t>semi-subsistence farmers, the self-employed in the non-farm informal economy</w:t>
      </w:r>
      <w:r>
        <w:t>,</w:t>
      </w:r>
      <w:r w:rsidRPr="00085A17">
        <w:t xml:space="preserve"> as well as micro, small and medium-sized enterprises.</w:t>
      </w:r>
      <w:r>
        <w:rPr>
          <w:rStyle w:val="FootnoteReference"/>
        </w:rPr>
        <w:footnoteReference w:id="6"/>
      </w:r>
      <w:r w:rsidRPr="00DE4A38">
        <w:t xml:space="preserve"> </w:t>
      </w:r>
      <w:r w:rsidRPr="00853048">
        <w:t>A livelihood is sustainable when it can cope with and recover from stress and shocks</w:t>
      </w:r>
      <w:r>
        <w:t>, and</w:t>
      </w:r>
      <w:r w:rsidRPr="00853048">
        <w:t xml:space="preserve"> maintain or enhance its capabilities and assets, while not undermining the natural resource base</w:t>
      </w:r>
      <w:r>
        <w:t>.</w:t>
      </w:r>
    </w:p>
    <w:p w:rsidR="00DB3DB1" w:rsidRDefault="00DB3DB1" w:rsidP="00DB3DB1">
      <w:pPr>
        <w:autoSpaceDE w:val="0"/>
        <w:autoSpaceDN w:val="0"/>
        <w:adjustRightInd w:val="0"/>
        <w:rPr>
          <w:lang w:bidi="en-US"/>
        </w:rPr>
      </w:pPr>
    </w:p>
    <w:p w:rsidR="00DB3DB1" w:rsidRDefault="00DB3DB1" w:rsidP="00DB3DB1">
      <w:pPr>
        <w:rPr>
          <w:lang w:bidi="en-US"/>
        </w:rPr>
      </w:pPr>
      <w:r>
        <w:t xml:space="preserve">The AACRS will therefore prioritise activities that </w:t>
      </w:r>
      <w:r w:rsidR="00352D4B">
        <w:t>support</w:t>
      </w:r>
      <w:r>
        <w:t xml:space="preserve">: </w:t>
      </w:r>
    </w:p>
    <w:p w:rsidR="00DB3DB1" w:rsidRPr="0035033E" w:rsidRDefault="00DB3DB1" w:rsidP="00DB3DB1">
      <w:pPr>
        <w:rPr>
          <w:lang w:bidi="en-US"/>
        </w:rPr>
      </w:pPr>
    </w:p>
    <w:p w:rsidR="00DB3DB1" w:rsidRPr="0035033E" w:rsidRDefault="00DB3DB1" w:rsidP="00DB3DB1">
      <w:pPr>
        <w:pStyle w:val="ListParagraph"/>
        <w:numPr>
          <w:ilvl w:val="0"/>
          <w:numId w:val="24"/>
        </w:numPr>
        <w:contextualSpacing w:val="0"/>
        <w:rPr>
          <w:lang w:bidi="en-US"/>
        </w:rPr>
      </w:pPr>
      <w:r>
        <w:t>agricultural productivity and food security</w:t>
      </w:r>
      <w:r w:rsidR="00EF3716">
        <w:t>, including nutritional outcomes</w:t>
      </w:r>
    </w:p>
    <w:p w:rsidR="00DB3DB1" w:rsidRDefault="00DB3DB1" w:rsidP="00DB3DB1">
      <w:pPr>
        <w:pStyle w:val="ListParagraph"/>
        <w:numPr>
          <w:ilvl w:val="0"/>
          <w:numId w:val="24"/>
        </w:numPr>
        <w:contextualSpacing w:val="0"/>
        <w:rPr>
          <w:lang w:bidi="en-US"/>
        </w:rPr>
      </w:pPr>
      <w:r w:rsidRPr="0035033E">
        <w:rPr>
          <w:lang w:bidi="en-US"/>
        </w:rPr>
        <w:t>economic activity</w:t>
      </w:r>
      <w:r>
        <w:rPr>
          <w:lang w:bidi="en-US"/>
        </w:rPr>
        <w:t xml:space="preserve">, including </w:t>
      </w:r>
      <w:r>
        <w:t xml:space="preserve">access to </w:t>
      </w:r>
      <w:r w:rsidRPr="00FC567D">
        <w:t>micro-finance schemes</w:t>
      </w:r>
      <w:r>
        <w:t xml:space="preserve"> and markets </w:t>
      </w:r>
      <w:r w:rsidRPr="0035033E">
        <w:rPr>
          <w:lang w:bidi="en-US"/>
        </w:rPr>
        <w:t>for poor men and women</w:t>
      </w:r>
    </w:p>
    <w:p w:rsidR="00861BB3" w:rsidRPr="0035033E" w:rsidRDefault="00352D4B" w:rsidP="00DB3DB1">
      <w:pPr>
        <w:pStyle w:val="ListParagraph"/>
        <w:numPr>
          <w:ilvl w:val="0"/>
          <w:numId w:val="24"/>
        </w:numPr>
        <w:contextualSpacing w:val="0"/>
        <w:rPr>
          <w:lang w:bidi="en-US"/>
        </w:rPr>
      </w:pPr>
      <w:r>
        <w:rPr>
          <w:lang w:bidi="en-US"/>
        </w:rPr>
        <w:t>diversified</w:t>
      </w:r>
      <w:r w:rsidR="00861BB3">
        <w:rPr>
          <w:lang w:bidi="en-US"/>
        </w:rPr>
        <w:t xml:space="preserve"> livelihoods</w:t>
      </w:r>
    </w:p>
    <w:p w:rsidR="00DB3DB1" w:rsidRPr="0035033E" w:rsidRDefault="00DB3DB1" w:rsidP="00DB3DB1">
      <w:pPr>
        <w:pStyle w:val="ListParagraph"/>
        <w:numPr>
          <w:ilvl w:val="0"/>
          <w:numId w:val="24"/>
        </w:numPr>
        <w:contextualSpacing w:val="0"/>
        <w:rPr>
          <w:lang w:bidi="en-US"/>
        </w:rPr>
      </w:pPr>
      <w:r>
        <w:rPr>
          <w:lang w:bidi="en-US"/>
        </w:rPr>
        <w:t>increase</w:t>
      </w:r>
      <w:r w:rsidR="00352D4B">
        <w:rPr>
          <w:lang w:bidi="en-US"/>
        </w:rPr>
        <w:t>d</w:t>
      </w:r>
      <w:r w:rsidRPr="0035033E">
        <w:rPr>
          <w:lang w:bidi="en-US"/>
        </w:rPr>
        <w:t xml:space="preserve"> cash incomes</w:t>
      </w:r>
    </w:p>
    <w:p w:rsidR="00DB3DB1" w:rsidRDefault="00DB3DB1" w:rsidP="00DB3DB1">
      <w:pPr>
        <w:pStyle w:val="ListParagraph"/>
        <w:numPr>
          <w:ilvl w:val="0"/>
          <w:numId w:val="24"/>
        </w:numPr>
        <w:contextualSpacing w:val="0"/>
        <w:rPr>
          <w:lang w:bidi="en-US"/>
        </w:rPr>
      </w:pPr>
      <w:r w:rsidRPr="0035033E">
        <w:rPr>
          <w:lang w:bidi="en-US"/>
        </w:rPr>
        <w:t>local level disaster risk reduction and disaster preparedness activities</w:t>
      </w:r>
    </w:p>
    <w:p w:rsidR="00DB3DB1" w:rsidRDefault="00DB3DB1" w:rsidP="00DB3DB1">
      <w:pPr>
        <w:pStyle w:val="ListParagraph"/>
        <w:numPr>
          <w:ilvl w:val="0"/>
          <w:numId w:val="24"/>
        </w:numPr>
        <w:contextualSpacing w:val="0"/>
        <w:rPr>
          <w:lang w:bidi="en-US"/>
        </w:rPr>
      </w:pPr>
      <w:r>
        <w:t>natural resource management</w:t>
      </w:r>
    </w:p>
    <w:p w:rsidR="00DB3DB1" w:rsidRDefault="00DB3DB1" w:rsidP="00DB3DB1">
      <w:pPr>
        <w:pStyle w:val="ListParagraph"/>
        <w:numPr>
          <w:ilvl w:val="0"/>
          <w:numId w:val="24"/>
        </w:numPr>
        <w:contextualSpacing w:val="0"/>
      </w:pPr>
      <w:r>
        <w:t>vocational and enterprise skills development</w:t>
      </w:r>
    </w:p>
    <w:p w:rsidR="00DB3DB1" w:rsidRDefault="00352D4B" w:rsidP="00DB3DB1">
      <w:pPr>
        <w:pStyle w:val="ListParagraph"/>
        <w:numPr>
          <w:ilvl w:val="0"/>
          <w:numId w:val="24"/>
        </w:numPr>
        <w:contextualSpacing w:val="0"/>
      </w:pPr>
      <w:r>
        <w:t>mitigation of</w:t>
      </w:r>
      <w:r w:rsidR="00DB3DB1" w:rsidRPr="00FC567D">
        <w:t xml:space="preserve"> the impact of natural hazards</w:t>
      </w:r>
      <w:r w:rsidR="00DB3DB1">
        <w:t xml:space="preserve"> on food security and livelihoods</w:t>
      </w:r>
    </w:p>
    <w:p w:rsidR="00DB3DB1" w:rsidRDefault="00DB3DB1" w:rsidP="00DB3DB1">
      <w:pPr>
        <w:pStyle w:val="ListParagraph"/>
        <w:numPr>
          <w:ilvl w:val="0"/>
          <w:numId w:val="24"/>
        </w:numPr>
        <w:contextualSpacing w:val="0"/>
      </w:pPr>
      <w:proofErr w:type="gramStart"/>
      <w:r w:rsidRPr="00085A17">
        <w:t>women</w:t>
      </w:r>
      <w:proofErr w:type="gramEnd"/>
      <w:r w:rsidRPr="00085A17">
        <w:t xml:space="preserve"> </w:t>
      </w:r>
      <w:r w:rsidR="00352D4B">
        <w:t xml:space="preserve">to </w:t>
      </w:r>
      <w:r w:rsidRPr="00085A17">
        <w:t>graduate from pov</w:t>
      </w:r>
      <w:r>
        <w:t>erty to sustainable livelihoods.</w:t>
      </w:r>
    </w:p>
    <w:p w:rsidR="00DB3DB1" w:rsidRDefault="00DB3DB1" w:rsidP="00DB3DB1">
      <w:pPr>
        <w:pStyle w:val="ListParagraph"/>
        <w:contextualSpacing w:val="0"/>
      </w:pPr>
    </w:p>
    <w:p w:rsidR="00DB3DB1" w:rsidRPr="0035033E" w:rsidRDefault="00DB3DB1" w:rsidP="00DB3DB1">
      <w:pPr>
        <w:rPr>
          <w:lang w:bidi="en-US"/>
        </w:rPr>
      </w:pPr>
      <w:r>
        <w:rPr>
          <w:lang w:bidi="en-US"/>
        </w:rPr>
        <w:t>T</w:t>
      </w:r>
      <w:r w:rsidRPr="0035033E">
        <w:rPr>
          <w:lang w:bidi="en-US"/>
        </w:rPr>
        <w:t>he most likely avenues for NGOs</w:t>
      </w:r>
      <w:r>
        <w:rPr>
          <w:lang w:bidi="en-US"/>
        </w:rPr>
        <w:t xml:space="preserve"> and their civil society partners</w:t>
      </w:r>
      <w:r w:rsidRPr="0035033E">
        <w:rPr>
          <w:lang w:bidi="en-US"/>
        </w:rPr>
        <w:t xml:space="preserve"> to achieve results </w:t>
      </w:r>
      <w:r>
        <w:rPr>
          <w:lang w:bidi="en-US"/>
        </w:rPr>
        <w:t>will be</w:t>
      </w:r>
      <w:r w:rsidRPr="0035033E">
        <w:rPr>
          <w:lang w:bidi="en-US"/>
        </w:rPr>
        <w:t xml:space="preserve"> by working in areas</w:t>
      </w:r>
      <w:r>
        <w:rPr>
          <w:lang w:bidi="en-US"/>
        </w:rPr>
        <w:t xml:space="preserve"> that they have already worked. This can include</w:t>
      </w:r>
      <w:r w:rsidRPr="0035033E">
        <w:rPr>
          <w:lang w:bidi="en-US"/>
        </w:rPr>
        <w:t xml:space="preserve"> using the </w:t>
      </w:r>
      <w:r>
        <w:rPr>
          <w:lang w:bidi="en-US"/>
        </w:rPr>
        <w:t>AACRS</w:t>
      </w:r>
      <w:r w:rsidRPr="0035033E">
        <w:rPr>
          <w:lang w:bidi="en-US"/>
        </w:rPr>
        <w:t xml:space="preserve"> to extend </w:t>
      </w:r>
      <w:r w:rsidR="00352D4B">
        <w:rPr>
          <w:lang w:bidi="en-US"/>
        </w:rPr>
        <w:t xml:space="preserve">the life of </w:t>
      </w:r>
      <w:r w:rsidRPr="0035033E">
        <w:rPr>
          <w:lang w:bidi="en-US"/>
        </w:rPr>
        <w:t xml:space="preserve">successful activities, or </w:t>
      </w:r>
      <w:r w:rsidR="00352D4B">
        <w:rPr>
          <w:lang w:bidi="en-US"/>
        </w:rPr>
        <w:t>could be expanded (note that the AACRS will not fund retrospective activities)</w:t>
      </w:r>
      <w:r w:rsidR="00A4457B">
        <w:rPr>
          <w:lang w:bidi="en-US"/>
        </w:rPr>
        <w:t xml:space="preserve">. </w:t>
      </w:r>
    </w:p>
    <w:p w:rsidR="00DB3DB1" w:rsidRDefault="00DB3DB1" w:rsidP="00DB3DB1">
      <w:pPr>
        <w:rPr>
          <w:b/>
        </w:rPr>
      </w:pPr>
    </w:p>
    <w:p w:rsidR="00DB3DB1" w:rsidRDefault="00DB3DB1" w:rsidP="00DB3DB1">
      <w:pPr>
        <w:rPr>
          <w:lang w:eastAsia="en-AU"/>
        </w:rPr>
      </w:pPr>
      <w:r>
        <w:t xml:space="preserve">The decision to partner with NGOs to work with Afghan CSOs has a number of advantages. Local </w:t>
      </w:r>
      <w:r w:rsidRPr="00A43DAD">
        <w:t xml:space="preserve">civil society is a </w:t>
      </w:r>
      <w:r>
        <w:t xml:space="preserve">valuable partner </w:t>
      </w:r>
      <w:r w:rsidRPr="00A43DAD">
        <w:t>in post and on-going conflict situations</w:t>
      </w:r>
      <w:r>
        <w:t>.</w:t>
      </w:r>
      <w:r w:rsidRPr="00A43DAD">
        <w:t xml:space="preserve"> </w:t>
      </w:r>
      <w:r>
        <w:t>It can complement, extend and supplement</w:t>
      </w:r>
      <w:r w:rsidRPr="00A43DAD">
        <w:t xml:space="preserve"> the often nascent service delivery capabilities of government agencies, especially to vulnerable communities.</w:t>
      </w:r>
      <w:r>
        <w:t xml:space="preserve"> </w:t>
      </w:r>
      <w:r>
        <w:rPr>
          <w:lang w:eastAsia="en-AU"/>
        </w:rPr>
        <w:t>This model is appropriate in Afghanistan where the Afghan Government has limited absorptive capacity</w:t>
      </w:r>
      <w:r>
        <w:rPr>
          <w:rStyle w:val="FootnoteReference"/>
          <w:lang w:eastAsia="en-AU"/>
        </w:rPr>
        <w:footnoteReference w:id="7"/>
      </w:r>
      <w:r>
        <w:rPr>
          <w:lang w:eastAsia="en-AU"/>
        </w:rPr>
        <w:t xml:space="preserve"> and is unable to undertake service delivery in all parts of the country, particularly in rural and remote locations.</w:t>
      </w:r>
    </w:p>
    <w:p w:rsidR="00DB3DB1" w:rsidRDefault="00DB3DB1" w:rsidP="00DB3DB1">
      <w:pPr>
        <w:rPr>
          <w:lang w:eastAsia="en-AU"/>
        </w:rPr>
      </w:pPr>
    </w:p>
    <w:p w:rsidR="004E370E" w:rsidRPr="004E370E" w:rsidRDefault="004E370E" w:rsidP="004E370E">
      <w:pPr>
        <w:rPr>
          <w:lang w:val="en-AU"/>
        </w:rPr>
      </w:pPr>
      <w:r w:rsidRPr="004E370E">
        <w:rPr>
          <w:lang w:val="en-AU"/>
        </w:rPr>
        <w:t xml:space="preserve">The AACRS will also include capacity building of Afghan </w:t>
      </w:r>
      <w:r w:rsidR="003A4B52">
        <w:rPr>
          <w:lang w:val="en-AU"/>
        </w:rPr>
        <w:t>CSOs</w:t>
      </w:r>
      <w:r w:rsidRPr="004E370E">
        <w:rPr>
          <w:lang w:val="en-AU"/>
        </w:rPr>
        <w:t>.</w:t>
      </w:r>
      <w:r w:rsidRPr="004E370E">
        <w:rPr>
          <w:vertAlign w:val="superscript"/>
          <w:lang w:val="en-AU"/>
        </w:rPr>
        <w:footnoteReference w:id="8"/>
      </w:r>
      <w:r w:rsidRPr="004E370E">
        <w:rPr>
          <w:lang w:val="en-AU"/>
        </w:rPr>
        <w:t xml:space="preserve">  This is not the objective of the AACRS (which is focused on improving reliance and livelihoods), </w:t>
      </w:r>
      <w:r w:rsidR="003A4B52" w:rsidRPr="003A4B52">
        <w:rPr>
          <w:lang w:val="en-AU"/>
        </w:rPr>
        <w:t>but projects must include a capacity building component</w:t>
      </w:r>
      <w:r w:rsidR="003A4B52">
        <w:rPr>
          <w:lang w:val="en-AU"/>
        </w:rPr>
        <w:t>.</w:t>
      </w:r>
      <w:r w:rsidR="003A4B52" w:rsidRPr="003A4B52">
        <w:rPr>
          <w:lang w:val="en-AU"/>
        </w:rPr>
        <w:t xml:space="preserve"> </w:t>
      </w:r>
      <w:r w:rsidRPr="004E370E">
        <w:rPr>
          <w:lang w:val="en-AU"/>
        </w:rPr>
        <w:t xml:space="preserve">It is hoped that good partnerships between the NGOs and </w:t>
      </w:r>
      <w:r w:rsidR="003A4B52">
        <w:rPr>
          <w:lang w:val="en-AU"/>
        </w:rPr>
        <w:t>their Afghan CSO partners</w:t>
      </w:r>
      <w:r w:rsidRPr="004E370E">
        <w:rPr>
          <w:lang w:val="en-AU"/>
        </w:rPr>
        <w:t xml:space="preserve"> will result in shared learning, and possibly longer term improvements in capabilities and competencies. This will have the advantage of enhancing the sustainably of AACRS activities, as CSOs develop skills in organising and implementing effective community resilience and/or rural livelihood programs, as well as enhancing the social development of their local communities.</w:t>
      </w:r>
      <w:r w:rsidRPr="004E370E">
        <w:rPr>
          <w:vertAlign w:val="superscript"/>
          <w:lang w:val="en-AU"/>
        </w:rPr>
        <w:footnoteReference w:id="9"/>
      </w:r>
      <w:r w:rsidRPr="004E370E">
        <w:rPr>
          <w:lang w:val="en-AU"/>
        </w:rPr>
        <w:t xml:space="preserve">  </w:t>
      </w:r>
    </w:p>
    <w:p w:rsidR="00DB3DB1" w:rsidRDefault="00DB3DB1" w:rsidP="00DB3DB1">
      <w:pPr>
        <w:rPr>
          <w:b/>
        </w:rPr>
      </w:pPr>
    </w:p>
    <w:p w:rsidR="00DB3DB1" w:rsidRDefault="00DB3DB1" w:rsidP="00DB3DB1">
      <w:pPr>
        <w:rPr>
          <w:b/>
        </w:rPr>
      </w:pPr>
      <w:r>
        <w:rPr>
          <w:b/>
        </w:rPr>
        <w:t>Program Implementation</w:t>
      </w:r>
      <w:r w:rsidR="00CA515F">
        <w:rPr>
          <w:b/>
        </w:rPr>
        <w:t xml:space="preserve"> and Management</w:t>
      </w:r>
    </w:p>
    <w:p w:rsidR="00DB3DB1" w:rsidRDefault="00DB3DB1" w:rsidP="00DB3DB1">
      <w:pPr>
        <w:rPr>
          <w:lang w:eastAsia="en-AU"/>
        </w:rPr>
      </w:pPr>
      <w:r>
        <w:rPr>
          <w:lang w:eastAsia="en-AU"/>
        </w:rPr>
        <w:t>Participating NGOs will be s</w:t>
      </w:r>
      <w:r w:rsidR="00034882">
        <w:rPr>
          <w:lang w:eastAsia="en-AU"/>
        </w:rPr>
        <w:t>elected through a</w:t>
      </w:r>
      <w:r>
        <w:rPr>
          <w:lang w:eastAsia="en-AU"/>
        </w:rPr>
        <w:t xml:space="preserve"> </w:t>
      </w:r>
      <w:r w:rsidR="00F241AF">
        <w:rPr>
          <w:lang w:eastAsia="en-AU"/>
        </w:rPr>
        <w:t xml:space="preserve">Request for Submissions </w:t>
      </w:r>
      <w:r>
        <w:rPr>
          <w:lang w:eastAsia="en-AU"/>
        </w:rPr>
        <w:t xml:space="preserve">process. </w:t>
      </w:r>
      <w:r w:rsidR="00CA515F">
        <w:rPr>
          <w:lang w:eastAsia="en-AU"/>
        </w:rPr>
        <w:t xml:space="preserve">The </w:t>
      </w:r>
      <w:r>
        <w:rPr>
          <w:lang w:eastAsia="en-AU"/>
        </w:rPr>
        <w:t>AACRS will be open to both</w:t>
      </w:r>
      <w:r w:rsidR="00614E13">
        <w:rPr>
          <w:lang w:eastAsia="en-AU"/>
        </w:rPr>
        <w:t xml:space="preserve"> AusAID</w:t>
      </w:r>
      <w:r>
        <w:rPr>
          <w:lang w:eastAsia="en-AU"/>
        </w:rPr>
        <w:t xml:space="preserve"> accredited and non-accredited organisations. Eligibility provisions are articulated in </w:t>
      </w:r>
      <w:r w:rsidR="00D96B18">
        <w:rPr>
          <w:lang w:eastAsia="en-AU"/>
        </w:rPr>
        <w:t xml:space="preserve">the </w:t>
      </w:r>
      <w:r w:rsidR="004E370E" w:rsidRPr="003A4B52">
        <w:rPr>
          <w:i/>
          <w:lang w:eastAsia="en-AU"/>
        </w:rPr>
        <w:t xml:space="preserve">AACRS </w:t>
      </w:r>
      <w:r w:rsidR="007F78BE">
        <w:rPr>
          <w:i/>
          <w:lang w:eastAsia="en-AU"/>
        </w:rPr>
        <w:t xml:space="preserve">Grant </w:t>
      </w:r>
      <w:r w:rsidR="004E370E" w:rsidRPr="003A4B52">
        <w:rPr>
          <w:i/>
          <w:lang w:eastAsia="en-AU"/>
        </w:rPr>
        <w:t>Guidelines</w:t>
      </w:r>
      <w:r w:rsidR="00034882">
        <w:rPr>
          <w:lang w:eastAsia="en-AU"/>
        </w:rPr>
        <w:t xml:space="preserve"> and in Part 7 of this PDD.</w:t>
      </w:r>
    </w:p>
    <w:p w:rsidR="00DB3DB1" w:rsidRDefault="00DB3DB1" w:rsidP="00DB3DB1">
      <w:pPr>
        <w:rPr>
          <w:lang w:eastAsia="en-AU"/>
        </w:rPr>
      </w:pPr>
    </w:p>
    <w:p w:rsidR="00861BB3" w:rsidRDefault="00DB3DB1" w:rsidP="00861BB3">
      <w:r>
        <w:rPr>
          <w:lang w:eastAsia="en-AU"/>
        </w:rPr>
        <w:t xml:space="preserve">The </w:t>
      </w:r>
      <w:r w:rsidR="003A4B52">
        <w:rPr>
          <w:lang w:eastAsia="en-AU"/>
        </w:rPr>
        <w:t xml:space="preserve">AACRS </w:t>
      </w:r>
      <w:r>
        <w:rPr>
          <w:lang w:eastAsia="en-AU"/>
        </w:rPr>
        <w:t>design has benefitted from lessons learned by other NGO programs funded by AusAID.</w:t>
      </w:r>
      <w:r w:rsidR="00861BB3">
        <w:rPr>
          <w:lang w:eastAsia="en-AU"/>
        </w:rPr>
        <w:t xml:space="preserve"> </w:t>
      </w:r>
      <w:r w:rsidR="00861BB3" w:rsidRPr="00A43DAD">
        <w:t>AusAID experience suggests that a partnership approach</w:t>
      </w:r>
      <w:r w:rsidR="003A4B52">
        <w:t xml:space="preserve"> to working</w:t>
      </w:r>
      <w:r w:rsidR="00861BB3" w:rsidRPr="00A43DAD">
        <w:t xml:space="preserve"> with NGOs improves the efficiency and effectiveness of development outcomes.</w:t>
      </w:r>
      <w:r w:rsidR="00861BB3" w:rsidRPr="00A43DAD">
        <w:rPr>
          <w:rStyle w:val="FootnoteReference"/>
        </w:rPr>
        <w:footnoteReference w:id="10"/>
      </w:r>
      <w:r w:rsidR="00861BB3">
        <w:t xml:space="preserve"> In line with </w:t>
      </w:r>
      <w:r w:rsidR="003A4B52">
        <w:t>this understanding</w:t>
      </w:r>
      <w:r w:rsidR="00861BB3">
        <w:t xml:space="preserve">, the AACRS will adopt a strong partnership model. </w:t>
      </w:r>
    </w:p>
    <w:p w:rsidR="00861BB3" w:rsidRPr="00A02327" w:rsidRDefault="00861BB3" w:rsidP="00861BB3">
      <w:pPr>
        <w:rPr>
          <w:iCs/>
        </w:rPr>
      </w:pPr>
    </w:p>
    <w:p w:rsidR="00DB3DB1" w:rsidRDefault="003A4B52" w:rsidP="00DB3DB1">
      <w:pPr>
        <w:rPr>
          <w:lang w:eastAsia="en-AU"/>
        </w:rPr>
      </w:pPr>
      <w:r>
        <w:rPr>
          <w:lang w:eastAsia="en-AU"/>
        </w:rPr>
        <w:t>After the selection of the AACRS NGOs, the Scheme will have t</w:t>
      </w:r>
      <w:r w:rsidR="00480213">
        <w:rPr>
          <w:lang w:eastAsia="en-AU"/>
        </w:rPr>
        <w:t>wo</w:t>
      </w:r>
      <w:r w:rsidR="00DB3DB1">
        <w:rPr>
          <w:lang w:eastAsia="en-AU"/>
        </w:rPr>
        <w:t xml:space="preserve"> phases: </w:t>
      </w:r>
    </w:p>
    <w:p w:rsidR="00DB3DB1" w:rsidRDefault="00DB3DB1" w:rsidP="00DB3DB1">
      <w:pPr>
        <w:rPr>
          <w:lang w:eastAsia="en-AU"/>
        </w:rPr>
      </w:pPr>
    </w:p>
    <w:p w:rsidR="00DB3DB1" w:rsidRDefault="00DB3DB1" w:rsidP="00DB3DB1">
      <w:pPr>
        <w:pStyle w:val="ListParagraph"/>
        <w:numPr>
          <w:ilvl w:val="0"/>
          <w:numId w:val="28"/>
        </w:numPr>
      </w:pPr>
      <w:r>
        <w:rPr>
          <w:lang w:eastAsia="en-AU"/>
        </w:rPr>
        <w:t xml:space="preserve">a </w:t>
      </w:r>
      <w:r w:rsidR="004E370E" w:rsidRPr="004E370E">
        <w:rPr>
          <w:b/>
          <w:lang w:eastAsia="en-AU"/>
        </w:rPr>
        <w:t xml:space="preserve">Detailed </w:t>
      </w:r>
      <w:r w:rsidRPr="004E370E">
        <w:rPr>
          <w:b/>
          <w:lang w:eastAsia="en-AU"/>
        </w:rPr>
        <w:t>Design Phase</w:t>
      </w:r>
      <w:r>
        <w:rPr>
          <w:lang w:eastAsia="en-AU"/>
        </w:rPr>
        <w:t xml:space="preserve"> </w:t>
      </w:r>
      <w:r w:rsidR="00EF3716">
        <w:rPr>
          <w:lang w:eastAsia="en-AU"/>
        </w:rPr>
        <w:t>during which</w:t>
      </w:r>
      <w:r>
        <w:rPr>
          <w:lang w:eastAsia="en-AU"/>
        </w:rPr>
        <w:t xml:space="preserve"> the selected NGOs will be supported to produce high quality designs</w:t>
      </w:r>
      <w:r w:rsidR="00A72A79">
        <w:rPr>
          <w:lang w:eastAsia="en-AU"/>
        </w:rPr>
        <w:t xml:space="preserve"> (at up to </w:t>
      </w:r>
      <w:r w:rsidR="007F448D">
        <w:rPr>
          <w:lang w:eastAsia="en-AU"/>
        </w:rPr>
        <w:t>AUD</w:t>
      </w:r>
      <w:r w:rsidR="001A0F6B">
        <w:rPr>
          <w:lang w:eastAsia="en-AU"/>
        </w:rPr>
        <w:t>50,000 per design)</w:t>
      </w:r>
      <w:r>
        <w:rPr>
          <w:lang w:eastAsia="en-AU"/>
        </w:rPr>
        <w:t>;</w:t>
      </w:r>
    </w:p>
    <w:p w:rsidR="00DB3DB1" w:rsidRDefault="00DB3DB1" w:rsidP="00DB3DB1">
      <w:pPr>
        <w:pStyle w:val="ListParagraph"/>
        <w:numPr>
          <w:ilvl w:val="0"/>
          <w:numId w:val="28"/>
        </w:numPr>
      </w:pPr>
      <w:proofErr w:type="gramStart"/>
      <w:r>
        <w:rPr>
          <w:lang w:eastAsia="en-AU"/>
        </w:rPr>
        <w:t>a</w:t>
      </w:r>
      <w:proofErr w:type="gramEnd"/>
      <w:r>
        <w:rPr>
          <w:lang w:eastAsia="en-AU"/>
        </w:rPr>
        <w:t xml:space="preserve"> 4-year </w:t>
      </w:r>
      <w:r w:rsidRPr="004E370E">
        <w:rPr>
          <w:b/>
          <w:lang w:eastAsia="en-AU"/>
        </w:rPr>
        <w:t>Implementation Phase</w:t>
      </w:r>
      <w:r>
        <w:rPr>
          <w:lang w:eastAsia="en-AU"/>
        </w:rPr>
        <w:t xml:space="preserve"> </w:t>
      </w:r>
      <w:r w:rsidR="00EF3716">
        <w:rPr>
          <w:lang w:eastAsia="en-AU"/>
        </w:rPr>
        <w:t>during which p</w:t>
      </w:r>
      <w:r>
        <w:rPr>
          <w:lang w:eastAsia="en-AU"/>
        </w:rPr>
        <w:t>rojects will be implemented</w:t>
      </w:r>
      <w:r w:rsidR="003A4B52">
        <w:rPr>
          <w:lang w:eastAsia="en-AU"/>
        </w:rPr>
        <w:t>.</w:t>
      </w:r>
      <w:r>
        <w:rPr>
          <w:lang w:eastAsia="en-AU"/>
        </w:rPr>
        <w:t xml:space="preserve"> </w:t>
      </w:r>
    </w:p>
    <w:p w:rsidR="00DB3DB1" w:rsidRDefault="00DB3DB1" w:rsidP="00DB3DB1">
      <w:pPr>
        <w:pStyle w:val="ListParagraph"/>
        <w:ind w:left="1080"/>
      </w:pPr>
    </w:p>
    <w:p w:rsidR="004E370E" w:rsidRPr="004E370E" w:rsidRDefault="004E370E" w:rsidP="004E370E">
      <w:pPr>
        <w:rPr>
          <w:lang w:eastAsia="en-AU"/>
        </w:rPr>
      </w:pPr>
      <w:r w:rsidRPr="004E370E">
        <w:rPr>
          <w:lang w:eastAsia="en-AU"/>
        </w:rPr>
        <w:t xml:space="preserve">A </w:t>
      </w:r>
      <w:r w:rsidRPr="003A4B52">
        <w:rPr>
          <w:u w:val="single"/>
          <w:lang w:eastAsia="en-AU"/>
        </w:rPr>
        <w:t>Scheme Governance Committee</w:t>
      </w:r>
      <w:r w:rsidRPr="004E370E">
        <w:rPr>
          <w:lang w:eastAsia="en-AU"/>
        </w:rPr>
        <w:t xml:space="preserve"> (SGC), made up of representatives of AusAID, the Government of Afghanistan (through the Ministries of Economy; Agriculture</w:t>
      </w:r>
      <w:r w:rsidR="00D96B18">
        <w:rPr>
          <w:lang w:eastAsia="en-AU"/>
        </w:rPr>
        <w:t>,</w:t>
      </w:r>
      <w:r w:rsidRPr="004E370E">
        <w:rPr>
          <w:lang w:eastAsia="en-AU"/>
        </w:rPr>
        <w:t xml:space="preserve"> Irrigation and Livestock; and, Rural Rehabilitation and Development) and the AACRS NGOs, will provide leadership and oversight of the AACRS. The SGC will meet a minimum of once a year in Kabul</w:t>
      </w:r>
      <w:r w:rsidR="00424900">
        <w:rPr>
          <w:lang w:eastAsia="en-AU"/>
        </w:rPr>
        <w:t>.</w:t>
      </w:r>
      <w:r w:rsidR="00424900">
        <w:rPr>
          <w:rStyle w:val="FootnoteReference"/>
          <w:lang w:eastAsia="en-AU"/>
        </w:rPr>
        <w:footnoteReference w:id="11"/>
      </w:r>
      <w:r w:rsidRPr="004E370E">
        <w:rPr>
          <w:lang w:eastAsia="en-AU"/>
        </w:rPr>
        <w:t xml:space="preserve"> </w:t>
      </w:r>
    </w:p>
    <w:p w:rsidR="00DB3DB1" w:rsidRDefault="00DB3DB1" w:rsidP="00DB3DB1">
      <w:pPr>
        <w:rPr>
          <w:lang w:eastAsia="en-AU"/>
        </w:rPr>
      </w:pPr>
    </w:p>
    <w:p w:rsidR="00DB3DB1" w:rsidRDefault="00DB3DB1" w:rsidP="00DB3DB1">
      <w:pPr>
        <w:rPr>
          <w:lang w:eastAsia="en-AU"/>
        </w:rPr>
      </w:pPr>
      <w:r>
        <w:rPr>
          <w:lang w:eastAsia="en-AU"/>
        </w:rPr>
        <w:t xml:space="preserve">The design proposes </w:t>
      </w:r>
      <w:r w:rsidR="00861BB3">
        <w:rPr>
          <w:lang w:eastAsia="en-AU"/>
        </w:rPr>
        <w:t xml:space="preserve">a </w:t>
      </w:r>
      <w:r w:rsidR="00424900" w:rsidRPr="003A4B52">
        <w:rPr>
          <w:u w:val="single"/>
          <w:lang w:eastAsia="en-AU"/>
        </w:rPr>
        <w:t>Scheme Manager</w:t>
      </w:r>
      <w:r>
        <w:rPr>
          <w:lang w:eastAsia="en-AU"/>
        </w:rPr>
        <w:t xml:space="preserve"> be appointed to provide day to day </w:t>
      </w:r>
      <w:r w:rsidR="003A4B52">
        <w:rPr>
          <w:lang w:eastAsia="en-AU"/>
        </w:rPr>
        <w:t>management</w:t>
      </w:r>
      <w:r>
        <w:rPr>
          <w:lang w:eastAsia="en-AU"/>
        </w:rPr>
        <w:t xml:space="preserve"> and coordination betwee</w:t>
      </w:r>
      <w:r w:rsidR="00EF3716">
        <w:rPr>
          <w:lang w:eastAsia="en-AU"/>
        </w:rPr>
        <w:t>n the NGOs relating to overall p</w:t>
      </w:r>
      <w:r>
        <w:rPr>
          <w:lang w:eastAsia="en-AU"/>
        </w:rPr>
        <w:t>r</w:t>
      </w:r>
      <w:r w:rsidR="00861BB3">
        <w:rPr>
          <w:lang w:eastAsia="en-AU"/>
        </w:rPr>
        <w:t xml:space="preserve">ogram level </w:t>
      </w:r>
      <w:r w:rsidR="003A4B52">
        <w:rPr>
          <w:lang w:eastAsia="en-AU"/>
        </w:rPr>
        <w:t xml:space="preserve">activity, </w:t>
      </w:r>
      <w:r w:rsidR="00861BB3">
        <w:rPr>
          <w:lang w:eastAsia="en-AU"/>
        </w:rPr>
        <w:t>events and M&amp;E</w:t>
      </w:r>
      <w:r w:rsidR="003A4B52">
        <w:rPr>
          <w:lang w:eastAsia="en-AU"/>
        </w:rPr>
        <w:t xml:space="preserve"> requirements</w:t>
      </w:r>
      <w:r w:rsidR="00861BB3">
        <w:rPr>
          <w:lang w:eastAsia="en-AU"/>
        </w:rPr>
        <w:t xml:space="preserve">. The </w:t>
      </w:r>
      <w:r w:rsidR="00771F51">
        <w:rPr>
          <w:lang w:eastAsia="en-AU"/>
        </w:rPr>
        <w:t>Scheme Manager</w:t>
      </w:r>
      <w:r w:rsidR="003A4B52">
        <w:rPr>
          <w:lang w:eastAsia="en-AU"/>
        </w:rPr>
        <w:t>, in collaboration with the Technical Reference Group,</w:t>
      </w:r>
      <w:r w:rsidR="00771F51">
        <w:rPr>
          <w:lang w:eastAsia="en-AU"/>
        </w:rPr>
        <w:t xml:space="preserve"> </w:t>
      </w:r>
      <w:r>
        <w:rPr>
          <w:lang w:eastAsia="en-AU"/>
        </w:rPr>
        <w:t>will establish Scheme wide processes and systems, preparing templates</w:t>
      </w:r>
      <w:r w:rsidR="00EF3716">
        <w:rPr>
          <w:lang w:eastAsia="en-AU"/>
        </w:rPr>
        <w:t xml:space="preserve"> for standardised reporting by p</w:t>
      </w:r>
      <w:r>
        <w:rPr>
          <w:lang w:eastAsia="en-AU"/>
        </w:rPr>
        <w:t xml:space="preserve">rojects, a database and manage financial flows and acquittals for meetings and other management expenses. Project financial flows will be direct between AusAID and each NGO. </w:t>
      </w:r>
    </w:p>
    <w:p w:rsidR="00DB3DB1" w:rsidRDefault="00DB3DB1" w:rsidP="00DB3DB1">
      <w:pPr>
        <w:rPr>
          <w:lang w:eastAsia="en-AU"/>
        </w:rPr>
      </w:pPr>
    </w:p>
    <w:p w:rsidR="00DB3DB1" w:rsidRDefault="005F4B02" w:rsidP="00DB3DB1">
      <w:pPr>
        <w:rPr>
          <w:lang w:eastAsia="en-AU"/>
        </w:rPr>
      </w:pPr>
      <w:r>
        <w:rPr>
          <w:lang w:eastAsia="en-AU"/>
        </w:rPr>
        <w:t xml:space="preserve">The </w:t>
      </w:r>
      <w:r w:rsidR="00771F51">
        <w:rPr>
          <w:lang w:eastAsia="en-AU"/>
        </w:rPr>
        <w:t xml:space="preserve">Scheme Manager </w:t>
      </w:r>
      <w:r>
        <w:rPr>
          <w:lang w:eastAsia="en-AU"/>
        </w:rPr>
        <w:t xml:space="preserve">position will be contracted through </w:t>
      </w:r>
      <w:r w:rsidR="00034882">
        <w:rPr>
          <w:lang w:eastAsia="en-AU"/>
        </w:rPr>
        <w:t>AusAID’s</w:t>
      </w:r>
      <w:r w:rsidR="00DB3DB1">
        <w:rPr>
          <w:lang w:eastAsia="en-AU"/>
        </w:rPr>
        <w:t xml:space="preserve"> Development Assistance Facility for Afghanistan (DAFA)</w:t>
      </w:r>
      <w:r>
        <w:rPr>
          <w:lang w:eastAsia="en-AU"/>
        </w:rPr>
        <w:t>.</w:t>
      </w:r>
      <w:r w:rsidR="00DB3DB1">
        <w:rPr>
          <w:lang w:eastAsia="en-AU"/>
        </w:rPr>
        <w:t xml:space="preserve"> The </w:t>
      </w:r>
      <w:r w:rsidR="00771F51">
        <w:rPr>
          <w:lang w:eastAsia="en-AU"/>
        </w:rPr>
        <w:t xml:space="preserve">Scheme Manager </w:t>
      </w:r>
      <w:r w:rsidR="00DB3DB1">
        <w:rPr>
          <w:lang w:eastAsia="en-AU"/>
        </w:rPr>
        <w:t xml:space="preserve">will operate from an office in </w:t>
      </w:r>
      <w:r w:rsidR="00DB3DB1">
        <w:rPr>
          <w:lang w:eastAsia="en-AU"/>
        </w:rPr>
        <w:lastRenderedPageBreak/>
        <w:t xml:space="preserve">Australia. This will provide the </w:t>
      </w:r>
      <w:r w:rsidR="00771F51">
        <w:rPr>
          <w:lang w:eastAsia="en-AU"/>
        </w:rPr>
        <w:t xml:space="preserve">Scheme Manager </w:t>
      </w:r>
      <w:r w:rsidR="00DB3DB1">
        <w:rPr>
          <w:lang w:eastAsia="en-AU"/>
        </w:rPr>
        <w:t xml:space="preserve">with access to AusAID Canberra which, given the lack of full devolution to Kabul, leads on overall management of AACRS. </w:t>
      </w:r>
    </w:p>
    <w:p w:rsidR="00DB3DB1" w:rsidRDefault="00DB3DB1" w:rsidP="00DB3DB1">
      <w:pPr>
        <w:rPr>
          <w:lang w:eastAsia="en-AU"/>
        </w:rPr>
      </w:pPr>
    </w:p>
    <w:p w:rsidR="00DB3DB1" w:rsidRDefault="00DB3DB1" w:rsidP="00DB3DB1">
      <w:pPr>
        <w:rPr>
          <w:lang w:eastAsia="en-AU"/>
        </w:rPr>
      </w:pPr>
      <w:r>
        <w:rPr>
          <w:lang w:eastAsia="en-AU"/>
        </w:rPr>
        <w:t xml:space="preserve">A </w:t>
      </w:r>
      <w:r w:rsidRPr="003A4B52">
        <w:rPr>
          <w:u w:val="single"/>
          <w:lang w:eastAsia="en-AU"/>
        </w:rPr>
        <w:t>Technical Reference Group</w:t>
      </w:r>
      <w:r>
        <w:rPr>
          <w:lang w:eastAsia="en-AU"/>
        </w:rPr>
        <w:t xml:space="preserve"> </w:t>
      </w:r>
      <w:r w:rsidR="00EF3716">
        <w:rPr>
          <w:lang w:eastAsia="en-AU"/>
        </w:rPr>
        <w:t xml:space="preserve">(TRG) </w:t>
      </w:r>
      <w:r>
        <w:rPr>
          <w:lang w:eastAsia="en-AU"/>
        </w:rPr>
        <w:t>with design, M&amp;E</w:t>
      </w:r>
      <w:r w:rsidR="00771F51">
        <w:rPr>
          <w:lang w:eastAsia="en-AU"/>
        </w:rPr>
        <w:t>, gender</w:t>
      </w:r>
      <w:r w:rsidR="00B6002C">
        <w:rPr>
          <w:lang w:eastAsia="en-AU"/>
        </w:rPr>
        <w:t>,</w:t>
      </w:r>
      <w:r w:rsidR="00771F51">
        <w:rPr>
          <w:lang w:eastAsia="en-AU"/>
        </w:rPr>
        <w:t xml:space="preserve"> and</w:t>
      </w:r>
      <w:r>
        <w:rPr>
          <w:lang w:eastAsia="en-AU"/>
        </w:rPr>
        <w:t xml:space="preserve"> rural development expertise will also be appointed by AusAID through DAFA</w:t>
      </w:r>
      <w:r w:rsidR="002546F2">
        <w:rPr>
          <w:lang w:eastAsia="en-AU"/>
        </w:rPr>
        <w:t xml:space="preserve">. </w:t>
      </w:r>
      <w:r w:rsidR="00034882">
        <w:rPr>
          <w:lang w:eastAsia="en-AU"/>
        </w:rPr>
        <w:t xml:space="preserve">The TRG will support </w:t>
      </w:r>
      <w:r w:rsidR="00CE1010">
        <w:rPr>
          <w:lang w:eastAsia="en-AU"/>
        </w:rPr>
        <w:t xml:space="preserve">AACRS NGOs to develop </w:t>
      </w:r>
      <w:r w:rsidR="00034882">
        <w:rPr>
          <w:lang w:eastAsia="en-AU"/>
        </w:rPr>
        <w:t>detailed designs</w:t>
      </w:r>
      <w:r w:rsidR="00CE1010">
        <w:rPr>
          <w:lang w:eastAsia="en-AU"/>
        </w:rPr>
        <w:t xml:space="preserve">, and to provide expert advice over the life of the Scheme. </w:t>
      </w:r>
      <w:r w:rsidR="00034882">
        <w:rPr>
          <w:lang w:eastAsia="en-AU"/>
        </w:rPr>
        <w:t xml:space="preserve">The TRG will be available </w:t>
      </w:r>
      <w:r w:rsidR="003A4B52">
        <w:rPr>
          <w:lang w:eastAsia="en-AU"/>
        </w:rPr>
        <w:t>to AACRS NGOs as required, and at</w:t>
      </w:r>
      <w:r w:rsidR="00034882">
        <w:rPr>
          <w:lang w:eastAsia="en-AU"/>
        </w:rPr>
        <w:t xml:space="preserve"> AusAID’s discretion</w:t>
      </w:r>
      <w:r>
        <w:rPr>
          <w:lang w:eastAsia="en-AU"/>
        </w:rPr>
        <w:t xml:space="preserve">. </w:t>
      </w:r>
    </w:p>
    <w:p w:rsidR="00DB3DB1" w:rsidRDefault="00DB3DB1" w:rsidP="00DB3DB1">
      <w:pPr>
        <w:rPr>
          <w:lang w:eastAsia="en-AU"/>
        </w:rPr>
      </w:pPr>
    </w:p>
    <w:p w:rsidR="00DB3DB1" w:rsidRDefault="00DB3DB1" w:rsidP="00DB3DB1">
      <w:pPr>
        <w:rPr>
          <w:lang w:eastAsia="en-AU"/>
        </w:rPr>
      </w:pPr>
      <w:r>
        <w:rPr>
          <w:lang w:eastAsia="en-AU"/>
        </w:rPr>
        <w:t xml:space="preserve">A comprehensive </w:t>
      </w:r>
      <w:r w:rsidR="00B6002C">
        <w:rPr>
          <w:lang w:eastAsia="en-AU"/>
        </w:rPr>
        <w:t>Monitoring and Evaluation (</w:t>
      </w:r>
      <w:r>
        <w:rPr>
          <w:lang w:eastAsia="en-AU"/>
        </w:rPr>
        <w:t>M&amp;E</w:t>
      </w:r>
      <w:r w:rsidR="00B6002C">
        <w:rPr>
          <w:lang w:eastAsia="en-AU"/>
        </w:rPr>
        <w:t>)</w:t>
      </w:r>
      <w:r>
        <w:rPr>
          <w:lang w:eastAsia="en-AU"/>
        </w:rPr>
        <w:t xml:space="preserve"> Framework m</w:t>
      </w:r>
      <w:r w:rsidR="00EF3716">
        <w:rPr>
          <w:lang w:eastAsia="en-AU"/>
        </w:rPr>
        <w:t>akes provision for M&amp;E at both p</w:t>
      </w:r>
      <w:r>
        <w:rPr>
          <w:lang w:eastAsia="en-AU"/>
        </w:rPr>
        <w:t xml:space="preserve">roject and Scheme levels. The aim is to produce high quality M&amp;E findings for the purposes of </w:t>
      </w:r>
      <w:r w:rsidR="003A4B52">
        <w:rPr>
          <w:lang w:eastAsia="en-AU"/>
        </w:rPr>
        <w:t xml:space="preserve">shared </w:t>
      </w:r>
      <w:r>
        <w:rPr>
          <w:lang w:eastAsia="en-AU"/>
        </w:rPr>
        <w:t xml:space="preserve">learning, accountability and </w:t>
      </w:r>
      <w:r w:rsidR="003A4B52">
        <w:rPr>
          <w:lang w:eastAsia="en-AU"/>
        </w:rPr>
        <w:t>to build</w:t>
      </w:r>
      <w:r>
        <w:rPr>
          <w:lang w:eastAsia="en-AU"/>
        </w:rPr>
        <w:t xml:space="preserve"> an evidence base. There will be an annual timetable of events and reporting to ensure</w:t>
      </w:r>
      <w:r w:rsidR="003A4B52">
        <w:rPr>
          <w:lang w:eastAsia="en-AU"/>
        </w:rPr>
        <w:t xml:space="preserve"> dialogue and documentation</w:t>
      </w:r>
      <w:r>
        <w:rPr>
          <w:lang w:eastAsia="en-AU"/>
        </w:rPr>
        <w:t>. A Mid-Term Review is recommended.</w:t>
      </w:r>
    </w:p>
    <w:p w:rsidR="00955D89" w:rsidRDefault="00955D89" w:rsidP="00955D89"/>
    <w:p w:rsidR="00955D89" w:rsidRDefault="00CE1010" w:rsidP="00955D89">
      <w:pPr>
        <w:rPr>
          <w:lang w:eastAsia="en-AU"/>
        </w:rPr>
      </w:pPr>
      <w:r>
        <w:t xml:space="preserve">The </w:t>
      </w:r>
      <w:r w:rsidR="00955D89">
        <w:t xml:space="preserve">AACRS involves a range of relatively high risks in the operating environment and a range of moderate risks associated with the program approach. Risk management for </w:t>
      </w:r>
      <w:r>
        <w:t xml:space="preserve">the </w:t>
      </w:r>
      <w:r w:rsidR="00955D89">
        <w:t xml:space="preserve">AACRS will require </w:t>
      </w:r>
      <w:r w:rsidR="005F4B02">
        <w:t>the flexibility to adapt to changing circumstances, an effective partnership approach and close collaboration at many levels</w:t>
      </w:r>
      <w:r w:rsidR="00955D89">
        <w:t xml:space="preserve">, both in Australia and in Afghanistan. </w:t>
      </w:r>
    </w:p>
    <w:p w:rsidR="00955D89" w:rsidRPr="00955D89" w:rsidRDefault="00955D89" w:rsidP="00955D89">
      <w:pPr>
        <w:sectPr w:rsidR="00955D89" w:rsidRPr="00955D89" w:rsidSect="008609A2">
          <w:pgSz w:w="11906" w:h="16838"/>
          <w:pgMar w:top="1440" w:right="1440" w:bottom="1440" w:left="1440" w:header="708" w:footer="708" w:gutter="0"/>
          <w:pgNumType w:fmt="lowerRoman"/>
          <w:cols w:space="708"/>
          <w:docGrid w:linePitch="360"/>
        </w:sectPr>
      </w:pPr>
    </w:p>
    <w:p w:rsidR="0080739E" w:rsidRPr="00DD7017" w:rsidRDefault="0080739E" w:rsidP="0080739E">
      <w:pPr>
        <w:pStyle w:val="Heading1"/>
        <w:rPr>
          <w:sz w:val="24"/>
          <w:szCs w:val="24"/>
        </w:rPr>
      </w:pPr>
      <w:bookmarkStart w:id="6" w:name="_Toc207640590"/>
      <w:bookmarkStart w:id="7" w:name="_Toc353974423"/>
      <w:r>
        <w:lastRenderedPageBreak/>
        <w:t>1.</w:t>
      </w:r>
      <w:r>
        <w:tab/>
        <w:t>Introduction</w:t>
      </w:r>
      <w:bookmarkEnd w:id="6"/>
      <w:bookmarkEnd w:id="7"/>
    </w:p>
    <w:p w:rsidR="0080739E" w:rsidRDefault="0080739E" w:rsidP="0080739E">
      <w:pPr>
        <w:rPr>
          <w:rFonts w:ascii="Arial" w:hAnsi="Arial" w:cs="Arial"/>
          <w:b/>
          <w:bCs/>
          <w:sz w:val="28"/>
          <w:szCs w:val="28"/>
        </w:rPr>
      </w:pPr>
    </w:p>
    <w:p w:rsidR="004E370E" w:rsidRPr="004E370E" w:rsidRDefault="004E370E" w:rsidP="004E370E">
      <w:r w:rsidRPr="004E370E">
        <w:t xml:space="preserve">This Program Design Document for the </w:t>
      </w:r>
      <w:r w:rsidRPr="00B6002C">
        <w:rPr>
          <w:i/>
        </w:rPr>
        <w:t>A</w:t>
      </w:r>
      <w:r w:rsidRPr="004E370E">
        <w:rPr>
          <w:i/>
        </w:rPr>
        <w:t>ustralia Afghanistan Community Resilience Scheme</w:t>
      </w:r>
      <w:r w:rsidRPr="004E370E">
        <w:t xml:space="preserve"> (AACRS) sets out the design intent and implementation arrangements for a new AusAID program of support to Afghanistan’s agricultural and rural development. The AACRS objective is:</w:t>
      </w:r>
    </w:p>
    <w:p w:rsidR="004E370E" w:rsidRPr="004E370E" w:rsidRDefault="004E370E" w:rsidP="004E370E">
      <w:pPr>
        <w:pStyle w:val="BodyText"/>
        <w:tabs>
          <w:tab w:val="num" w:pos="-426"/>
        </w:tabs>
        <w:spacing w:before="0" w:after="0" w:line="240" w:lineRule="auto"/>
        <w:ind w:left="-425"/>
        <w:rPr>
          <w:rFonts w:ascii="Times New Roman" w:eastAsia="SimSun" w:hAnsi="Times New Roman"/>
          <w:sz w:val="24"/>
          <w:szCs w:val="24"/>
          <w:lang w:val="en-US" w:eastAsia="zh-CN"/>
        </w:rPr>
      </w:pPr>
    </w:p>
    <w:p w:rsidR="004E370E" w:rsidRPr="004E370E" w:rsidRDefault="004E370E" w:rsidP="004E370E">
      <w:pPr>
        <w:pStyle w:val="BodyText"/>
        <w:tabs>
          <w:tab w:val="num" w:pos="-426"/>
        </w:tabs>
        <w:spacing w:before="0" w:after="0" w:line="240" w:lineRule="auto"/>
        <w:ind w:left="-425" w:firstLine="425"/>
        <w:jc w:val="center"/>
        <w:rPr>
          <w:rFonts w:ascii="Times New Roman" w:eastAsia="SimSun" w:hAnsi="Times New Roman"/>
          <w:i/>
          <w:sz w:val="24"/>
          <w:szCs w:val="24"/>
          <w:lang w:val="en-US" w:eastAsia="zh-CN"/>
        </w:rPr>
      </w:pPr>
      <w:proofErr w:type="gramStart"/>
      <w:r w:rsidRPr="004E370E">
        <w:rPr>
          <w:rFonts w:ascii="Times New Roman" w:eastAsia="SimSun" w:hAnsi="Times New Roman"/>
          <w:i/>
          <w:sz w:val="24"/>
          <w:szCs w:val="24"/>
          <w:lang w:val="en-US" w:eastAsia="zh-CN"/>
        </w:rPr>
        <w:t>Improved resilience and livelihoods for Afghan rural communities.</w:t>
      </w:r>
      <w:proofErr w:type="gramEnd"/>
    </w:p>
    <w:p w:rsidR="004E370E" w:rsidRPr="004E370E" w:rsidRDefault="004E370E" w:rsidP="004E370E">
      <w:pPr>
        <w:pStyle w:val="BodyText"/>
        <w:tabs>
          <w:tab w:val="num" w:pos="-426"/>
        </w:tabs>
        <w:spacing w:before="0" w:after="0" w:line="240" w:lineRule="auto"/>
        <w:ind w:left="-425"/>
        <w:rPr>
          <w:rFonts w:ascii="Times New Roman" w:eastAsia="SimSun" w:hAnsi="Times New Roman"/>
          <w:sz w:val="24"/>
          <w:szCs w:val="24"/>
          <w:lang w:val="en-US" w:eastAsia="zh-CN"/>
        </w:rPr>
      </w:pPr>
    </w:p>
    <w:p w:rsidR="00CC0CA6" w:rsidRPr="004E370E" w:rsidRDefault="00CC0CA6" w:rsidP="00CC0CA6">
      <w:r w:rsidRPr="004E370E">
        <w:t>AusAID will select up to five non</w:t>
      </w:r>
      <w:r>
        <w:t>-</w:t>
      </w:r>
      <w:r w:rsidRPr="004E370E">
        <w:t xml:space="preserve">government organisations (NGOs) to work with Afghan civil society organisations (CSOs) to deliver </w:t>
      </w:r>
      <w:r w:rsidR="00561FA4">
        <w:t xml:space="preserve">agreed projects under </w:t>
      </w:r>
      <w:r w:rsidRPr="004E370E">
        <w:t>the AACRS</w:t>
      </w:r>
      <w:r w:rsidR="002546F2">
        <w:t xml:space="preserve">. </w:t>
      </w:r>
      <w:r w:rsidRPr="004E370E">
        <w:t xml:space="preserve">The AACRS is open to Australian and international (including Afghan) NGOs, and is not limited to organisations that have AusAID accreditation. </w:t>
      </w:r>
    </w:p>
    <w:p w:rsidR="004E370E" w:rsidRDefault="004E370E" w:rsidP="004E370E"/>
    <w:p w:rsidR="004E370E" w:rsidRPr="004E370E" w:rsidRDefault="004E370E" w:rsidP="004E370E">
      <w:r w:rsidRPr="004E370E">
        <w:t xml:space="preserve">Implementation of the AACRS will be over four years, with </w:t>
      </w:r>
      <w:r w:rsidR="00561FA4">
        <w:t xml:space="preserve">up to </w:t>
      </w:r>
      <w:r w:rsidR="007F448D">
        <w:t>AUD</w:t>
      </w:r>
      <w:r w:rsidRPr="004E370E">
        <w:t>30 million allocated to projects. The AACRS will fund up to five NGOs, however it is not assumed the budget will be divided evenly between each NGO, or that five NGOs will necessarily be funded. There is no minimum or maximum grant amount that NGOs can apply for.</w:t>
      </w:r>
    </w:p>
    <w:p w:rsidR="004E370E" w:rsidRPr="004E370E" w:rsidRDefault="004E370E" w:rsidP="004E370E">
      <w:pPr>
        <w:tabs>
          <w:tab w:val="num" w:pos="-426"/>
        </w:tabs>
      </w:pPr>
    </w:p>
    <w:p w:rsidR="00FD24FE" w:rsidRDefault="001E681E" w:rsidP="00FD24FE">
      <w:pPr>
        <w:autoSpaceDE w:val="0"/>
        <w:autoSpaceDN w:val="0"/>
        <w:adjustRightInd w:val="0"/>
      </w:pPr>
      <w:r>
        <w:t xml:space="preserve">The AACRS </w:t>
      </w:r>
      <w:r w:rsidRPr="004E370E">
        <w:t>aligns with commitments made in</w:t>
      </w:r>
      <w:r>
        <w:t xml:space="preserve"> Australia’s aid policy,</w:t>
      </w:r>
      <w:r w:rsidRPr="004E370E">
        <w:t xml:space="preserve"> </w:t>
      </w:r>
      <w:r>
        <w:rPr>
          <w:i/>
          <w:lang w:val="en-AU"/>
        </w:rPr>
        <w:t>An Effective Aid P</w:t>
      </w:r>
      <w:r w:rsidRPr="004E370E">
        <w:rPr>
          <w:i/>
          <w:lang w:val="en-AU"/>
        </w:rPr>
        <w:t>rogram for Australia: Making a real difference – Delivering real results</w:t>
      </w:r>
      <w:r w:rsidRPr="004E370E">
        <w:rPr>
          <w:lang w:val="en-AU"/>
        </w:rPr>
        <w:t xml:space="preserve"> (‘An Effective Aid Program for Australia</w:t>
      </w:r>
      <w:r>
        <w:rPr>
          <w:lang w:val="en-AU"/>
        </w:rPr>
        <w:t xml:space="preserve">’) </w:t>
      </w:r>
      <w:r w:rsidRPr="004E370E">
        <w:t xml:space="preserve">for the aid program to make greater use of NGOs that are effective in achieving results and efficient in delivering value for money. </w:t>
      </w:r>
      <w:r w:rsidR="004E370E" w:rsidRPr="004E370E">
        <w:t>It will report against the aid program’s strategic goal of investing in food security, sustainable economic growth</w:t>
      </w:r>
      <w:r w:rsidR="00FD24FE">
        <w:t xml:space="preserve"> and private sector development. It </w:t>
      </w:r>
      <w:r w:rsidR="004E370E" w:rsidRPr="004E370E">
        <w:t xml:space="preserve">reflects the principles of </w:t>
      </w:r>
      <w:r w:rsidR="004E370E" w:rsidRPr="004E370E">
        <w:rPr>
          <w:i/>
        </w:rPr>
        <w:t>AusAID’s Civil Society Engagement Framework</w:t>
      </w:r>
      <w:r w:rsidR="00FD24FE">
        <w:t>,</w:t>
      </w:r>
      <w:r w:rsidR="004E370E" w:rsidRPr="004E370E">
        <w:t xml:space="preserve"> </w:t>
      </w:r>
      <w:r w:rsidR="00FD24FE">
        <w:t xml:space="preserve">including open communication and consultation, appreciation of diversity and support to organisations that are embedded locally. </w:t>
      </w:r>
    </w:p>
    <w:p w:rsidR="00561FA4" w:rsidRDefault="00561FA4" w:rsidP="00FD24FE">
      <w:pPr>
        <w:autoSpaceDE w:val="0"/>
        <w:autoSpaceDN w:val="0"/>
        <w:adjustRightInd w:val="0"/>
      </w:pPr>
    </w:p>
    <w:p w:rsidR="00561FA4" w:rsidRPr="004E370E" w:rsidRDefault="00561FA4" w:rsidP="00561FA4">
      <w:r w:rsidRPr="004E370E">
        <w:t xml:space="preserve">The AACRS aligns with the </w:t>
      </w:r>
      <w:r w:rsidRPr="004E370E">
        <w:rPr>
          <w:i/>
        </w:rPr>
        <w:t>Memorandum of Understanding: Development Framework Agreement between the Government of the Islamic Republic of Afghanistan</w:t>
      </w:r>
      <w:r>
        <w:rPr>
          <w:i/>
        </w:rPr>
        <w:t xml:space="preserve"> </w:t>
      </w:r>
      <w:r w:rsidRPr="004E370E">
        <w:rPr>
          <w:i/>
        </w:rPr>
        <w:t>and the Government of Australia 2012-17</w:t>
      </w:r>
      <w:r>
        <w:rPr>
          <w:i/>
        </w:rPr>
        <w:t xml:space="preserve"> </w:t>
      </w:r>
      <w:r>
        <w:t xml:space="preserve">(the </w:t>
      </w:r>
      <w:proofErr w:type="spellStart"/>
      <w:r>
        <w:t>MoU</w:t>
      </w:r>
      <w:proofErr w:type="spellEnd"/>
      <w:r>
        <w:t>)</w:t>
      </w:r>
      <w:r w:rsidRPr="00B6002C">
        <w:t>,</w:t>
      </w:r>
      <w:r w:rsidRPr="004E370E">
        <w:t xml:space="preserve"> which identifies agriculture as a sector where Australia has particular </w:t>
      </w:r>
      <w:proofErr w:type="gramStart"/>
      <w:r w:rsidRPr="004E370E">
        <w:t>expertise,</w:t>
      </w:r>
      <w:proofErr w:type="gramEnd"/>
      <w:r w:rsidRPr="004E370E">
        <w:t xml:space="preserve"> comparative advantage and can have the most impact. </w:t>
      </w:r>
    </w:p>
    <w:p w:rsidR="004E370E" w:rsidRPr="004E370E" w:rsidRDefault="004E370E" w:rsidP="004E370E">
      <w:pPr>
        <w:tabs>
          <w:tab w:val="num" w:pos="-426"/>
        </w:tabs>
      </w:pPr>
    </w:p>
    <w:p w:rsidR="004E370E" w:rsidRDefault="004E370E" w:rsidP="004E370E">
      <w:r w:rsidRPr="004E370E">
        <w:t xml:space="preserve">Applicant NGOs will be expected to demonstrate how their proposed activities align with the Afghan Government’s National Priority Programs (NPPs), particularly those within the Agriculture and Rural Development Cluster (NPPs 1, 2, 3 and 4). </w:t>
      </w:r>
    </w:p>
    <w:p w:rsidR="0080739E" w:rsidRDefault="0080739E" w:rsidP="0080739E">
      <w:pPr>
        <w:pStyle w:val="Heading1"/>
      </w:pPr>
      <w:bookmarkStart w:id="8" w:name="_Toc353974424"/>
      <w:r>
        <w:t>2.</w:t>
      </w:r>
      <w:r>
        <w:tab/>
        <w:t>Design Preparation</w:t>
      </w:r>
      <w:bookmarkEnd w:id="8"/>
    </w:p>
    <w:p w:rsidR="0080739E" w:rsidRDefault="0080739E" w:rsidP="0080739E"/>
    <w:p w:rsidR="0080739E" w:rsidRDefault="00B42B42" w:rsidP="0080739E">
      <w:r>
        <w:t>This</w:t>
      </w:r>
      <w:r w:rsidR="001B5EC7">
        <w:t xml:space="preserve"> PDD builds on the AACRS Concept Paper developed by </w:t>
      </w:r>
      <w:r w:rsidR="00607417">
        <w:t>AusAID</w:t>
      </w:r>
      <w:r w:rsidR="001B5EC7">
        <w:t xml:space="preserve"> in consultation with Australian NGOs (ANGOs</w:t>
      </w:r>
      <w:r w:rsidR="00861BB3">
        <w:t>) and international NGOs</w:t>
      </w:r>
      <w:r w:rsidR="001B5EC7">
        <w:t xml:space="preserve"> in </w:t>
      </w:r>
      <w:r w:rsidR="00171985">
        <w:t>Kabul</w:t>
      </w:r>
      <w:r w:rsidR="001B5EC7" w:rsidRPr="00177EAA">
        <w:t>.</w:t>
      </w:r>
      <w:r w:rsidR="0072445E">
        <w:t xml:space="preserve"> </w:t>
      </w:r>
      <w:r w:rsidR="0080739E">
        <w:t xml:space="preserve">The rationale and scope of </w:t>
      </w:r>
      <w:r w:rsidR="00CE1010">
        <w:t xml:space="preserve">the </w:t>
      </w:r>
      <w:r w:rsidR="0080739E">
        <w:t>AACRS was developed by AusAID in partnership with the Australian Council for International Development’s (ACFID’s) Afghanistan Working Group (AWG). AusAID received feedback on the initial draft of the Concept</w:t>
      </w:r>
      <w:r w:rsidR="00B6002C">
        <w:t xml:space="preserve"> Paper from NGOs in Kabul on 15 </w:t>
      </w:r>
      <w:r w:rsidR="0080739E">
        <w:t xml:space="preserve">January 2012 and from ACFID members on 24 January 2012. A </w:t>
      </w:r>
      <w:r w:rsidR="00CE1010">
        <w:t>Concept Peer R</w:t>
      </w:r>
      <w:r w:rsidR="0080739E">
        <w:t>eview was conducted on 2 February 2012, and a revised version of the Concept Paper issued thereafter</w:t>
      </w:r>
      <w:r w:rsidR="00561FA4">
        <w:t xml:space="preserve"> (refer </w:t>
      </w:r>
      <w:r w:rsidR="00561FA4" w:rsidRPr="00561FA4">
        <w:rPr>
          <w:u w:val="single"/>
        </w:rPr>
        <w:t>Annex 1</w:t>
      </w:r>
      <w:r w:rsidR="00561FA4">
        <w:t>)</w:t>
      </w:r>
      <w:r w:rsidR="0080739E">
        <w:t xml:space="preserve">. </w:t>
      </w:r>
      <w:r w:rsidR="00561FA4">
        <w:t>The AACRS design was agreed at Peer Review in late October 2012.</w:t>
      </w:r>
    </w:p>
    <w:p w:rsidR="0080739E" w:rsidRDefault="0080739E" w:rsidP="0080739E"/>
    <w:p w:rsidR="0080739E" w:rsidRDefault="0080739E" w:rsidP="0080739E">
      <w:r>
        <w:t xml:space="preserve">An AACRS Design Workshop was held in Melbourne on 9 July 2012 for AWG members. </w:t>
      </w:r>
      <w:r w:rsidRPr="00C5052C">
        <w:rPr>
          <w:u w:val="single"/>
        </w:rPr>
        <w:t>Annex 2</w:t>
      </w:r>
      <w:r w:rsidRPr="00177EAA">
        <w:t xml:space="preserve"> provides</w:t>
      </w:r>
      <w:r w:rsidR="00EF3716">
        <w:t xml:space="preserve"> a copy of the p</w:t>
      </w:r>
      <w:r>
        <w:t xml:space="preserve">rogram. The participatory workshop was an opportunity for sharing ideas and networking between the </w:t>
      </w:r>
      <w:r w:rsidR="00EF3716">
        <w:t>AWG and</w:t>
      </w:r>
      <w:r>
        <w:t xml:space="preserve"> AusAID. Sections of this PDD on the theory of change, implementation, the management model and the risk analysis all benefit from these discussions. </w:t>
      </w:r>
    </w:p>
    <w:p w:rsidR="0080739E" w:rsidRDefault="0080739E" w:rsidP="0080739E"/>
    <w:p w:rsidR="0080739E" w:rsidRDefault="0080739E" w:rsidP="0080739E">
      <w:r>
        <w:t>The PDD also draws on consultations wit</w:t>
      </w:r>
      <w:r w:rsidR="00ED7B84">
        <w:t xml:space="preserve">h other relevant parties and a </w:t>
      </w:r>
      <w:r>
        <w:t xml:space="preserve">literature review. Key references are listed </w:t>
      </w:r>
      <w:r w:rsidRPr="00177EAA">
        <w:t xml:space="preserve">in </w:t>
      </w:r>
      <w:r w:rsidR="00D14870">
        <w:rPr>
          <w:u w:val="single"/>
        </w:rPr>
        <w:t>Annex 2</w:t>
      </w:r>
      <w:r w:rsidRPr="00177EAA">
        <w:t>. This reading (and consultation with some authors) has contributed to an understanding of lessons</w:t>
      </w:r>
      <w:r>
        <w:t xml:space="preserve"> learned through other AusAID NGO programs</w:t>
      </w:r>
      <w:r w:rsidR="00CB0631">
        <w:t>,</w:t>
      </w:r>
      <w:r>
        <w:t xml:space="preserve"> </w:t>
      </w:r>
      <w:r w:rsidR="00CB0631">
        <w:t>particularly</w:t>
      </w:r>
      <w:r>
        <w:t xml:space="preserve"> programs in the Mekong countries, Africa, the Solomon Islands and the Middle East. These programs, along with the joint AusAID-NGO Humanitarian Partnership Agreement (HPA), presented a range of management models considered in preparing this design.</w:t>
      </w:r>
    </w:p>
    <w:p w:rsidR="0080739E" w:rsidRDefault="0080739E" w:rsidP="0080739E">
      <w:pPr>
        <w:pStyle w:val="Heading1"/>
      </w:pPr>
      <w:bookmarkStart w:id="9" w:name="_Toc353974425"/>
      <w:bookmarkStart w:id="10" w:name="_Toc207640591"/>
      <w:r>
        <w:t>3.</w:t>
      </w:r>
      <w:r>
        <w:tab/>
        <w:t>Policy and Program Context</w:t>
      </w:r>
      <w:bookmarkEnd w:id="9"/>
      <w:r>
        <w:t xml:space="preserve"> </w:t>
      </w:r>
      <w:bookmarkEnd w:id="10"/>
    </w:p>
    <w:p w:rsidR="00311456" w:rsidRPr="00311456" w:rsidRDefault="00311456" w:rsidP="008C14ED">
      <w:pPr>
        <w:pStyle w:val="Heading2"/>
        <w:numPr>
          <w:ilvl w:val="1"/>
          <w:numId w:val="8"/>
        </w:numPr>
        <w:ind w:left="0" w:firstLine="0"/>
        <w:rPr>
          <w:lang w:eastAsia="en-AU"/>
        </w:rPr>
      </w:pPr>
      <w:bookmarkStart w:id="11" w:name="_Toc353974426"/>
      <w:bookmarkStart w:id="12" w:name="_Toc207640592"/>
      <w:r w:rsidRPr="00311456">
        <w:rPr>
          <w:lang w:eastAsia="en-AU"/>
        </w:rPr>
        <w:t>Afghanistan Country Context</w:t>
      </w:r>
      <w:bookmarkEnd w:id="11"/>
    </w:p>
    <w:p w:rsidR="00567834" w:rsidRDefault="00567834" w:rsidP="00311456">
      <w:pPr>
        <w:pStyle w:val="BodyText"/>
        <w:spacing w:before="0" w:after="0" w:line="240" w:lineRule="auto"/>
        <w:rPr>
          <w:rFonts w:ascii="Times New Roman" w:hAnsi="Times New Roman"/>
          <w:sz w:val="24"/>
          <w:szCs w:val="24"/>
        </w:rPr>
      </w:pPr>
    </w:p>
    <w:p w:rsidR="00311456" w:rsidRPr="00A43DAD" w:rsidRDefault="00311456" w:rsidP="00311456">
      <w:pPr>
        <w:pStyle w:val="BodyText"/>
        <w:spacing w:before="0" w:after="0" w:line="240" w:lineRule="auto"/>
        <w:rPr>
          <w:rFonts w:ascii="Times New Roman" w:hAnsi="Times New Roman"/>
          <w:sz w:val="24"/>
          <w:szCs w:val="24"/>
        </w:rPr>
      </w:pPr>
      <w:r w:rsidRPr="00A43DAD">
        <w:rPr>
          <w:rFonts w:ascii="Times New Roman" w:hAnsi="Times New Roman"/>
          <w:sz w:val="24"/>
          <w:szCs w:val="24"/>
        </w:rPr>
        <w:t>Afghanistan faces immense development challenges. It ranks 172nd out of 187 countries on the United Nations (UN) 2011 Human Development Index.</w:t>
      </w:r>
      <w:r w:rsidRPr="00A43DAD">
        <w:rPr>
          <w:rStyle w:val="FootnoteReference"/>
          <w:rFonts w:ascii="Times New Roman" w:hAnsi="Times New Roman"/>
          <w:sz w:val="24"/>
          <w:szCs w:val="24"/>
        </w:rPr>
        <w:footnoteReference w:id="12"/>
      </w:r>
      <w:r w:rsidRPr="00A43DAD">
        <w:rPr>
          <w:rFonts w:ascii="Times New Roman" w:hAnsi="Times New Roman"/>
          <w:sz w:val="24"/>
          <w:szCs w:val="24"/>
        </w:rPr>
        <w:t xml:space="preserve"> Life expectancy is 48 years for men and 44 years for women.</w:t>
      </w:r>
      <w:r w:rsidRPr="00A43DAD">
        <w:rPr>
          <w:rStyle w:val="FootnoteReference"/>
          <w:rFonts w:ascii="Times New Roman" w:hAnsi="Times New Roman"/>
          <w:sz w:val="24"/>
          <w:szCs w:val="24"/>
        </w:rPr>
        <w:footnoteReference w:id="13"/>
      </w:r>
      <w:r w:rsidRPr="00A43DAD">
        <w:rPr>
          <w:rFonts w:ascii="Times New Roman" w:hAnsi="Times New Roman"/>
          <w:sz w:val="24"/>
          <w:szCs w:val="24"/>
        </w:rPr>
        <w:t xml:space="preserve"> The majority of the population live without sustainable access to clean water and sanitation. Gender inequality is profoundly entrenched. Afghanistan ranks near the bottom of the United</w:t>
      </w:r>
      <w:r w:rsidR="00CE1010">
        <w:rPr>
          <w:rFonts w:ascii="Times New Roman" w:hAnsi="Times New Roman"/>
          <w:sz w:val="24"/>
          <w:szCs w:val="24"/>
        </w:rPr>
        <w:t xml:space="preserve"> Nations Gender Equality Index and g</w:t>
      </w:r>
      <w:r w:rsidRPr="00A43DAD">
        <w:rPr>
          <w:rFonts w:ascii="Times New Roman" w:hAnsi="Times New Roman"/>
          <w:sz w:val="24"/>
          <w:szCs w:val="24"/>
        </w:rPr>
        <w:t xml:space="preserve">ender-based violence is widespread. Girls attend school for less than half the number of years of Afghan boys and, despite improvements in recent years, the maternal mortality rate is amongst the highest in the world. </w:t>
      </w:r>
    </w:p>
    <w:p w:rsidR="00311456" w:rsidRPr="00A43DAD" w:rsidRDefault="00311456" w:rsidP="00311456">
      <w:pPr>
        <w:pStyle w:val="BodyText"/>
        <w:spacing w:before="0" w:after="0" w:line="240" w:lineRule="auto"/>
        <w:rPr>
          <w:rFonts w:ascii="Times New Roman" w:hAnsi="Times New Roman"/>
          <w:sz w:val="24"/>
          <w:szCs w:val="24"/>
        </w:rPr>
      </w:pPr>
    </w:p>
    <w:p w:rsidR="00311456" w:rsidRPr="00A43DAD" w:rsidRDefault="00311456" w:rsidP="00311456">
      <w:r w:rsidRPr="00A43DAD">
        <w:t xml:space="preserve">These statistics reflect the impact of decades of war. The World Bank’s </w:t>
      </w:r>
      <w:r w:rsidRPr="00A43DAD">
        <w:rPr>
          <w:i/>
        </w:rPr>
        <w:t>2011 World Development Report</w:t>
      </w:r>
      <w:r w:rsidRPr="00A43DAD">
        <w:t xml:space="preserve"> found that internal conflicts, on average, strip 30 years from a country’s previous level of development. Always a poor country, Afghanistan’s conflict has itself lasted over 30 years. Conflict has severely impeded the development of credible national institutions, human capital and physical infrastructure. It has also seriously constrained the development of private enterprise, investment and economic growth.</w:t>
      </w:r>
    </w:p>
    <w:p w:rsidR="00311456" w:rsidRPr="00A43DAD" w:rsidRDefault="00311456" w:rsidP="00311456"/>
    <w:p w:rsidR="00311456" w:rsidRPr="00A43DAD" w:rsidRDefault="00311456" w:rsidP="00311456">
      <w:r w:rsidRPr="00A43DAD">
        <w:t xml:space="preserve">Emerging from the rule of the Taliban in 2001, Afghanistan was a shattered country. Half of the country’s population </w:t>
      </w:r>
      <w:r w:rsidR="00ED7B84" w:rsidRPr="00A43DAD">
        <w:t>–</w:t>
      </w:r>
      <w:r w:rsidRPr="00A43DAD">
        <w:t xml:space="preserve"> Afghanistan’s women </w:t>
      </w:r>
      <w:r w:rsidR="00ED7B84" w:rsidRPr="00A43DAD">
        <w:t>–</w:t>
      </w:r>
      <w:r w:rsidRPr="00A43DAD">
        <w:t xml:space="preserve"> had been systematically excluded from public life, and prevented from receiving an education or accessing even basic forms of health care. Social services were virtually non-existent. Economic activity had basically ceased in all </w:t>
      </w:r>
      <w:r w:rsidR="00B6002C">
        <w:t xml:space="preserve">legitimate </w:t>
      </w:r>
      <w:r w:rsidRPr="00A43DAD">
        <w:t>sectors.</w:t>
      </w:r>
    </w:p>
    <w:p w:rsidR="00311456" w:rsidRPr="00A43DAD" w:rsidRDefault="00311456" w:rsidP="00311456"/>
    <w:p w:rsidR="00311456" w:rsidRPr="00A43DAD" w:rsidRDefault="00311456" w:rsidP="00311456">
      <w:pPr>
        <w:pStyle w:val="BodyText"/>
        <w:spacing w:before="0" w:after="0" w:line="240" w:lineRule="auto"/>
        <w:rPr>
          <w:rFonts w:ascii="Times New Roman" w:hAnsi="Times New Roman"/>
          <w:sz w:val="24"/>
          <w:szCs w:val="24"/>
        </w:rPr>
      </w:pPr>
      <w:r w:rsidRPr="00A43DAD">
        <w:rPr>
          <w:rFonts w:ascii="Times New Roman" w:hAnsi="Times New Roman"/>
          <w:sz w:val="24"/>
          <w:szCs w:val="24"/>
        </w:rPr>
        <w:t xml:space="preserve">In this context, the development gains made in Afghanistan over the past ten years have been </w:t>
      </w:r>
      <w:r w:rsidR="006127EB">
        <w:rPr>
          <w:rFonts w:ascii="Times New Roman" w:hAnsi="Times New Roman"/>
          <w:sz w:val="24"/>
          <w:szCs w:val="24"/>
        </w:rPr>
        <w:t>noteworthy</w:t>
      </w:r>
      <w:r w:rsidRPr="00A43DAD">
        <w:rPr>
          <w:rFonts w:ascii="Times New Roman" w:hAnsi="Times New Roman"/>
          <w:sz w:val="24"/>
          <w:szCs w:val="24"/>
        </w:rPr>
        <w:t xml:space="preserve">. GDP growth has averaged over 10 per cent. School enrolments have increased from less than one million in 2001 to almost eight million today, including over 2.7 million girls. Basic health services are now available to 85 per cent of the population, up from 10 per </w:t>
      </w:r>
      <w:r w:rsidRPr="00A43DAD">
        <w:rPr>
          <w:rFonts w:ascii="Times New Roman" w:hAnsi="Times New Roman"/>
          <w:sz w:val="24"/>
          <w:szCs w:val="24"/>
        </w:rPr>
        <w:lastRenderedPageBreak/>
        <w:t xml:space="preserve">cent under the Taliban. Over 10,000 kilometres of rural roads have been rehabilitated, providing employment, transport links and access to markets for ordinary Afghans. </w:t>
      </w:r>
    </w:p>
    <w:p w:rsidR="00311456" w:rsidRPr="00A43DAD" w:rsidRDefault="00311456" w:rsidP="00311456">
      <w:pPr>
        <w:pStyle w:val="BodyText"/>
        <w:spacing w:before="0" w:after="0" w:line="240" w:lineRule="auto"/>
        <w:rPr>
          <w:rFonts w:ascii="Times New Roman" w:hAnsi="Times New Roman"/>
          <w:sz w:val="24"/>
          <w:szCs w:val="24"/>
        </w:rPr>
      </w:pPr>
    </w:p>
    <w:p w:rsidR="00311456" w:rsidRPr="00A43DAD" w:rsidRDefault="00311456" w:rsidP="00311456">
      <w:pPr>
        <w:pStyle w:val="BodyText"/>
        <w:spacing w:before="0" w:after="0" w:line="240" w:lineRule="auto"/>
        <w:rPr>
          <w:rFonts w:ascii="Times New Roman" w:hAnsi="Times New Roman"/>
          <w:sz w:val="24"/>
          <w:szCs w:val="24"/>
        </w:rPr>
      </w:pPr>
      <w:r w:rsidRPr="00A43DAD">
        <w:rPr>
          <w:rFonts w:ascii="Times New Roman" w:hAnsi="Times New Roman"/>
          <w:sz w:val="24"/>
          <w:szCs w:val="24"/>
        </w:rPr>
        <w:t>These achievements have</w:t>
      </w:r>
      <w:r w:rsidR="00ED7B84">
        <w:rPr>
          <w:rFonts w:ascii="Times New Roman" w:hAnsi="Times New Roman"/>
          <w:sz w:val="24"/>
          <w:szCs w:val="24"/>
        </w:rPr>
        <w:t xml:space="preserve"> helped to mak</w:t>
      </w:r>
      <w:r w:rsidRPr="00A43DAD">
        <w:rPr>
          <w:rFonts w:ascii="Times New Roman" w:hAnsi="Times New Roman"/>
          <w:sz w:val="24"/>
          <w:szCs w:val="24"/>
        </w:rPr>
        <w:t>e a real difference to the lives of millions of Afghans. But they must be measured against the critically low base from which Afghanistan began in 2001. Afghanistan’s recent achievements must also be measured against the substantial challenges that the country faces as it enters th</w:t>
      </w:r>
      <w:r w:rsidR="00533ACD">
        <w:rPr>
          <w:rFonts w:ascii="Times New Roman" w:hAnsi="Times New Roman"/>
          <w:sz w:val="24"/>
          <w:szCs w:val="24"/>
        </w:rPr>
        <w:t>e ‘Transformation Decade’ (2014</w:t>
      </w:r>
      <w:r w:rsidR="00533ACD" w:rsidRPr="00A43DAD">
        <w:t>–</w:t>
      </w:r>
      <w:r w:rsidRPr="00A43DAD">
        <w:rPr>
          <w:rFonts w:ascii="Times New Roman" w:hAnsi="Times New Roman"/>
          <w:sz w:val="24"/>
          <w:szCs w:val="24"/>
        </w:rPr>
        <w:t xml:space="preserve">2024) following the transition to Afghan security authority by the end of 2014. These include, but are not limited to, ongoing conflict, slowing economic </w:t>
      </w:r>
      <w:r w:rsidR="00EF3716">
        <w:rPr>
          <w:rFonts w:ascii="Times New Roman" w:hAnsi="Times New Roman"/>
          <w:sz w:val="24"/>
          <w:szCs w:val="24"/>
        </w:rPr>
        <w:t>growth, a major fiscal deficit (</w:t>
      </w:r>
      <w:r w:rsidRPr="00A43DAD">
        <w:rPr>
          <w:rFonts w:ascii="Times New Roman" w:hAnsi="Times New Roman"/>
          <w:sz w:val="24"/>
          <w:szCs w:val="24"/>
        </w:rPr>
        <w:t>covered to an ext</w:t>
      </w:r>
      <w:r w:rsidR="00EF3716">
        <w:rPr>
          <w:rFonts w:ascii="Times New Roman" w:hAnsi="Times New Roman"/>
          <w:sz w:val="24"/>
          <w:szCs w:val="24"/>
        </w:rPr>
        <w:t xml:space="preserve">ent by donor pledges but likely </w:t>
      </w:r>
      <w:r w:rsidRPr="00A43DAD">
        <w:rPr>
          <w:rFonts w:ascii="Times New Roman" w:hAnsi="Times New Roman"/>
          <w:sz w:val="24"/>
          <w:szCs w:val="24"/>
        </w:rPr>
        <w:t>to re-emerge without donor support</w:t>
      </w:r>
      <w:r w:rsidR="00EF3716">
        <w:rPr>
          <w:rFonts w:ascii="Times New Roman" w:hAnsi="Times New Roman"/>
          <w:sz w:val="24"/>
          <w:szCs w:val="24"/>
        </w:rPr>
        <w:t>)</w:t>
      </w:r>
      <w:r w:rsidRPr="00A43DAD">
        <w:rPr>
          <w:rFonts w:ascii="Times New Roman" w:hAnsi="Times New Roman"/>
          <w:sz w:val="24"/>
          <w:szCs w:val="24"/>
        </w:rPr>
        <w:t xml:space="preserve"> and rising unemployment. </w:t>
      </w:r>
    </w:p>
    <w:p w:rsidR="00311456" w:rsidRPr="00A43DAD" w:rsidRDefault="00311456" w:rsidP="00311456">
      <w:pPr>
        <w:pStyle w:val="BodyText"/>
        <w:spacing w:before="0" w:after="0" w:line="240" w:lineRule="auto"/>
        <w:rPr>
          <w:rFonts w:ascii="Times New Roman" w:hAnsi="Times New Roman"/>
          <w:sz w:val="24"/>
          <w:szCs w:val="24"/>
        </w:rPr>
      </w:pPr>
    </w:p>
    <w:p w:rsidR="00311456" w:rsidRPr="00A43DAD" w:rsidRDefault="00311456" w:rsidP="00311456">
      <w:pPr>
        <w:pStyle w:val="BodyText"/>
        <w:spacing w:before="0" w:after="0" w:line="240" w:lineRule="auto"/>
        <w:rPr>
          <w:rFonts w:ascii="Times New Roman" w:hAnsi="Times New Roman"/>
          <w:sz w:val="24"/>
          <w:szCs w:val="24"/>
        </w:rPr>
      </w:pPr>
      <w:r w:rsidRPr="00A43DAD">
        <w:rPr>
          <w:rFonts w:ascii="Times New Roman" w:hAnsi="Times New Roman"/>
          <w:sz w:val="24"/>
          <w:szCs w:val="24"/>
        </w:rPr>
        <w:t xml:space="preserve">The </w:t>
      </w:r>
      <w:r w:rsidRPr="00A43DAD">
        <w:rPr>
          <w:rFonts w:ascii="Times New Roman" w:hAnsi="Times New Roman"/>
          <w:i/>
          <w:sz w:val="24"/>
          <w:szCs w:val="24"/>
        </w:rPr>
        <w:t>2011 World Development Report</w:t>
      </w:r>
      <w:r w:rsidRPr="00A43DAD">
        <w:rPr>
          <w:rFonts w:ascii="Times New Roman" w:hAnsi="Times New Roman"/>
          <w:sz w:val="24"/>
          <w:szCs w:val="24"/>
        </w:rPr>
        <w:t xml:space="preserve"> indicates t</w:t>
      </w:r>
      <w:r w:rsidR="00533ACD">
        <w:rPr>
          <w:rFonts w:ascii="Times New Roman" w:hAnsi="Times New Roman"/>
          <w:sz w:val="24"/>
          <w:szCs w:val="24"/>
        </w:rPr>
        <w:t>hat, over the course of the 20</w:t>
      </w:r>
      <w:r w:rsidR="00533ACD" w:rsidRPr="00533ACD">
        <w:rPr>
          <w:rFonts w:ascii="Times New Roman" w:hAnsi="Times New Roman"/>
          <w:sz w:val="24"/>
          <w:szCs w:val="24"/>
          <w:vertAlign w:val="superscript"/>
        </w:rPr>
        <w:t>th</w:t>
      </w:r>
      <w:r w:rsidR="00533ACD">
        <w:rPr>
          <w:rFonts w:ascii="Times New Roman" w:hAnsi="Times New Roman"/>
          <w:sz w:val="24"/>
          <w:szCs w:val="24"/>
        </w:rPr>
        <w:t xml:space="preserve"> </w:t>
      </w:r>
      <w:r w:rsidRPr="00A43DAD">
        <w:rPr>
          <w:rFonts w:ascii="Times New Roman" w:hAnsi="Times New Roman"/>
          <w:sz w:val="24"/>
          <w:szCs w:val="24"/>
        </w:rPr>
        <w:t xml:space="preserve">century, even the fastest performing countries took, on average, between 15 and 30 years to move from situations of fragility (such as the current situation in Haiti) to the development of an institutions-based state (such as Ghana). Afghanistan will require sustained international assistance over the coming decade and beyond in order to maintain recent development gains and to manage a transition to the point where </w:t>
      </w:r>
      <w:r w:rsidR="00607417">
        <w:rPr>
          <w:rFonts w:ascii="Times New Roman" w:hAnsi="Times New Roman"/>
          <w:sz w:val="24"/>
          <w:szCs w:val="24"/>
        </w:rPr>
        <w:t>it</w:t>
      </w:r>
      <w:r w:rsidRPr="00A43DAD">
        <w:rPr>
          <w:rFonts w:ascii="Times New Roman" w:hAnsi="Times New Roman"/>
          <w:sz w:val="24"/>
          <w:szCs w:val="24"/>
        </w:rPr>
        <w:t xml:space="preserve"> can generate sufficient domestic revenue to meet its major financing needs. </w:t>
      </w:r>
      <w:r w:rsidR="0087051C">
        <w:rPr>
          <w:rFonts w:ascii="Times New Roman" w:hAnsi="Times New Roman"/>
          <w:sz w:val="24"/>
          <w:szCs w:val="24"/>
        </w:rPr>
        <w:t>But w</w:t>
      </w:r>
      <w:r w:rsidR="00060FCA">
        <w:rPr>
          <w:rFonts w:ascii="Times New Roman" w:hAnsi="Times New Roman"/>
          <w:sz w:val="24"/>
          <w:szCs w:val="24"/>
        </w:rPr>
        <w:t xml:space="preserve">hile international assistance has an important role to play, a sustainable future for Afghanistan </w:t>
      </w:r>
      <w:r w:rsidR="0087051C">
        <w:rPr>
          <w:rFonts w:ascii="Times New Roman" w:hAnsi="Times New Roman"/>
          <w:sz w:val="24"/>
          <w:szCs w:val="24"/>
        </w:rPr>
        <w:t>will depend</w:t>
      </w:r>
      <w:r w:rsidR="00060FCA">
        <w:rPr>
          <w:rFonts w:ascii="Times New Roman" w:hAnsi="Times New Roman"/>
          <w:sz w:val="24"/>
          <w:szCs w:val="24"/>
        </w:rPr>
        <w:t xml:space="preserve"> on the development of domestic sources of revenue and economic growth. </w:t>
      </w:r>
    </w:p>
    <w:p w:rsidR="00311456" w:rsidRPr="00311456" w:rsidRDefault="00AD0541" w:rsidP="008C14ED">
      <w:pPr>
        <w:pStyle w:val="Heading2"/>
        <w:numPr>
          <w:ilvl w:val="1"/>
          <w:numId w:val="8"/>
        </w:numPr>
        <w:ind w:left="0" w:firstLine="0"/>
        <w:rPr>
          <w:lang w:eastAsia="en-AU"/>
        </w:rPr>
      </w:pPr>
      <w:bookmarkStart w:id="13" w:name="_Toc353974427"/>
      <w:r>
        <w:rPr>
          <w:lang w:eastAsia="en-AU"/>
        </w:rPr>
        <w:t>Australia’s Aid</w:t>
      </w:r>
      <w:r w:rsidR="00311456" w:rsidRPr="00311456">
        <w:rPr>
          <w:lang w:eastAsia="en-AU"/>
        </w:rPr>
        <w:t xml:space="preserve"> Program in Afghanistan</w:t>
      </w:r>
      <w:bookmarkEnd w:id="13"/>
    </w:p>
    <w:p w:rsidR="00311456" w:rsidRPr="00A43DAD" w:rsidRDefault="00311456" w:rsidP="00311456"/>
    <w:p w:rsidR="00311456" w:rsidRPr="00A43DAD" w:rsidRDefault="00311456" w:rsidP="00311456">
      <w:r w:rsidRPr="00A43DAD">
        <w:t xml:space="preserve">Australia’s goal in Afghanistan has been clearly stated by the </w:t>
      </w:r>
      <w:r w:rsidR="0087051C">
        <w:t xml:space="preserve">Australian </w:t>
      </w:r>
      <w:r w:rsidR="00D85E9D">
        <w:t>Government</w:t>
      </w:r>
      <w:r w:rsidRPr="00A43DAD">
        <w:t xml:space="preserve"> – to make sure that Afghanistan does not again become a safe haven for terrorists. </w:t>
      </w:r>
      <w:r w:rsidR="00D85E9D">
        <w:t>It</w:t>
      </w:r>
      <w:r w:rsidRPr="00A43DAD">
        <w:t xml:space="preserve"> has also made clear that </w:t>
      </w:r>
      <w:r w:rsidR="00060FCA">
        <w:t>Australia’s</w:t>
      </w:r>
      <w:r w:rsidRPr="00A43DAD">
        <w:t xml:space="preserve"> commitment to Afghanistan’s human and economic development is vital and that strengthen</w:t>
      </w:r>
      <w:r w:rsidR="004845F4">
        <w:t>ing the capacity of the Afghan G</w:t>
      </w:r>
      <w:r w:rsidRPr="00A43DAD">
        <w:t>overnment, economy and institutions is essential to ensuring that gains made to date are not reversed.</w:t>
      </w:r>
      <w:r w:rsidR="00D85E9D">
        <w:t xml:space="preserve"> The aid program is one element</w:t>
      </w:r>
      <w:r w:rsidRPr="00A43DAD">
        <w:t> </w:t>
      </w:r>
      <w:r w:rsidR="00D85E9D">
        <w:t xml:space="preserve">of an integrated whole-of-government effort in Afghanistan. This effort is in turn part of </w:t>
      </w:r>
      <w:proofErr w:type="gramStart"/>
      <w:r w:rsidR="00D85E9D">
        <w:t>a</w:t>
      </w:r>
      <w:proofErr w:type="gramEnd"/>
      <w:r w:rsidR="00D85E9D">
        <w:t xml:space="preserve"> UN-mandated International Security Assistance Force mission that includes 50 countries and involves inter-linked security, diplomatic and development objectives.</w:t>
      </w:r>
    </w:p>
    <w:p w:rsidR="00311456" w:rsidRPr="00A43DAD" w:rsidRDefault="00311456" w:rsidP="00311456">
      <w:pPr>
        <w:rPr>
          <w:rStyle w:val="IntenseEmphasis"/>
          <w:b w:val="0"/>
          <w:i w:val="0"/>
        </w:rPr>
      </w:pPr>
    </w:p>
    <w:p w:rsidR="00311456" w:rsidRPr="00A43DAD" w:rsidRDefault="00311456" w:rsidP="00311456">
      <w:r w:rsidRPr="00A43DAD">
        <w:rPr>
          <w:bCs/>
          <w:iCs/>
        </w:rPr>
        <w:t xml:space="preserve">AusAID delivers the bulk of Australia’s </w:t>
      </w:r>
      <w:r w:rsidR="0087051C">
        <w:rPr>
          <w:bCs/>
          <w:iCs/>
        </w:rPr>
        <w:t>Official Development Assistance (</w:t>
      </w:r>
      <w:r w:rsidRPr="00A43DAD">
        <w:rPr>
          <w:bCs/>
          <w:iCs/>
        </w:rPr>
        <w:t>ODA</w:t>
      </w:r>
      <w:r w:rsidR="0087051C">
        <w:rPr>
          <w:bCs/>
          <w:iCs/>
        </w:rPr>
        <w:t>)</w:t>
      </w:r>
      <w:r w:rsidRPr="00A43DAD">
        <w:rPr>
          <w:bCs/>
          <w:iCs/>
        </w:rPr>
        <w:t xml:space="preserve"> to Afghanistan. </w:t>
      </w:r>
      <w:r w:rsidRPr="00A43DAD">
        <w:t xml:space="preserve">In 2012-13 AusAID will </w:t>
      </w:r>
      <w:r w:rsidRPr="00B6002C">
        <w:rPr>
          <w:bCs/>
          <w:iCs/>
        </w:rPr>
        <w:t xml:space="preserve">deliver </w:t>
      </w:r>
      <w:r w:rsidR="00B6002C" w:rsidRPr="00B6002C">
        <w:rPr>
          <w:bCs/>
          <w:iCs/>
        </w:rPr>
        <w:t xml:space="preserve">approximately </w:t>
      </w:r>
      <w:r w:rsidR="007F448D">
        <w:rPr>
          <w:bCs/>
          <w:iCs/>
        </w:rPr>
        <w:t>AUD</w:t>
      </w:r>
      <w:r w:rsidR="00B6002C" w:rsidRPr="00B6002C">
        <w:rPr>
          <w:bCs/>
          <w:iCs/>
        </w:rPr>
        <w:t xml:space="preserve">144.9 million </w:t>
      </w:r>
      <w:r w:rsidRPr="00B6002C">
        <w:rPr>
          <w:bCs/>
          <w:iCs/>
        </w:rPr>
        <w:t>(or</w:t>
      </w:r>
      <w:r w:rsidRPr="00A43DAD">
        <w:t xml:space="preserve"> approximately 80 per cent) of an ODA commitment estimated at </w:t>
      </w:r>
      <w:r w:rsidR="007F448D">
        <w:t>AUD</w:t>
      </w:r>
      <w:r w:rsidR="00B6002C" w:rsidRPr="00B6002C">
        <w:t>181.2 million</w:t>
      </w:r>
      <w:r w:rsidRPr="00A43DAD">
        <w:t>. This makes Afghanistan the fourth largest</w:t>
      </w:r>
      <w:r w:rsidR="00EF3716">
        <w:t xml:space="preserve"> country</w:t>
      </w:r>
      <w:r w:rsidRPr="00A43DAD">
        <w:t xml:space="preserve"> recipient of Australian aid. </w:t>
      </w:r>
    </w:p>
    <w:p w:rsidR="00311456" w:rsidRPr="00A43DAD" w:rsidRDefault="00311456" w:rsidP="00311456"/>
    <w:p w:rsidR="00311456" w:rsidRPr="00A43DAD" w:rsidRDefault="00311456" w:rsidP="00311456">
      <w:pPr>
        <w:rPr>
          <w:rStyle w:val="IntenseEmphasis"/>
          <w:b w:val="0"/>
          <w:i w:val="0"/>
        </w:rPr>
      </w:pPr>
      <w:r w:rsidRPr="007B5739">
        <w:rPr>
          <w:rFonts w:eastAsia="ヒラギノ角ゴ Pro W3"/>
          <w:bCs/>
          <w:iCs/>
          <w:color w:val="000000"/>
          <w:lang w:eastAsia="en-AU"/>
        </w:rPr>
        <w:t>AusAID’s program to Afghanistan</w:t>
      </w:r>
      <w:r w:rsidR="00AE3D2B">
        <w:rPr>
          <w:rFonts w:eastAsia="ヒラギノ角ゴ Pro W3"/>
          <w:bCs/>
          <w:iCs/>
          <w:color w:val="000000"/>
          <w:lang w:eastAsia="en-AU"/>
        </w:rPr>
        <w:t>,</w:t>
      </w:r>
      <w:r w:rsidRPr="007B5739">
        <w:rPr>
          <w:rFonts w:eastAsia="ヒラギノ角ゴ Pro W3"/>
          <w:bCs/>
          <w:iCs/>
          <w:color w:val="000000"/>
          <w:lang w:eastAsia="en-AU"/>
        </w:rPr>
        <w:t xml:space="preserve"> </w:t>
      </w:r>
      <w:r w:rsidR="00AE3D2B">
        <w:rPr>
          <w:rFonts w:eastAsia="ヒラギノ角ゴ Pro W3"/>
          <w:bCs/>
          <w:iCs/>
          <w:color w:val="000000"/>
          <w:lang w:eastAsia="en-AU"/>
        </w:rPr>
        <w:t xml:space="preserve">as </w:t>
      </w:r>
      <w:r w:rsidR="00AE3D2B" w:rsidRPr="007B5739">
        <w:rPr>
          <w:rFonts w:eastAsia="ヒラギノ角ゴ Pro W3"/>
          <w:bCs/>
          <w:iCs/>
          <w:color w:val="000000"/>
          <w:lang w:eastAsia="en-AU"/>
        </w:rPr>
        <w:t>articulated in</w:t>
      </w:r>
      <w:r w:rsidR="00AE3D2B" w:rsidRPr="00A43DAD">
        <w:rPr>
          <w:rStyle w:val="IntenseEmphasis"/>
          <w:b w:val="0"/>
          <w:i w:val="0"/>
        </w:rPr>
        <w:t xml:space="preserve"> </w:t>
      </w:r>
      <w:r w:rsidR="00AE3D2B" w:rsidRPr="00A43DAD">
        <w:rPr>
          <w:rFonts w:eastAsia="ヒラギノ角ゴ Pro W3"/>
          <w:i/>
          <w:color w:val="000000"/>
        </w:rPr>
        <w:t>Australia’s Strategic Approach to Aid in Afghanistan 2010-2012</w:t>
      </w:r>
      <w:r w:rsidR="00AE3D2B">
        <w:rPr>
          <w:rFonts w:eastAsia="ヒラギノ角ゴ Pro W3"/>
          <w:i/>
          <w:color w:val="000000"/>
        </w:rPr>
        <w:t xml:space="preserve">, </w:t>
      </w:r>
      <w:r w:rsidRPr="007B5739">
        <w:rPr>
          <w:rFonts w:eastAsia="ヒラギノ角ゴ Pro W3"/>
          <w:bCs/>
          <w:iCs/>
          <w:color w:val="000000"/>
          <w:lang w:eastAsia="en-AU"/>
        </w:rPr>
        <w:t xml:space="preserve">is </w:t>
      </w:r>
      <w:r w:rsidR="00AE3D2B">
        <w:rPr>
          <w:rFonts w:eastAsia="ヒラギノ角ゴ Pro W3"/>
          <w:bCs/>
          <w:iCs/>
          <w:color w:val="000000"/>
          <w:lang w:eastAsia="en-AU"/>
        </w:rPr>
        <w:t>focused on four pillars</w:t>
      </w:r>
      <w:r w:rsidRPr="00A43DAD">
        <w:rPr>
          <w:rFonts w:eastAsia="ヒラギノ角ゴ Pro W3"/>
          <w:color w:val="000000"/>
        </w:rPr>
        <w:t>:</w:t>
      </w:r>
    </w:p>
    <w:p w:rsidR="00311456" w:rsidRPr="00A43DAD" w:rsidRDefault="00311456" w:rsidP="00311456">
      <w:pPr>
        <w:rPr>
          <w:rStyle w:val="IntenseEmphasis"/>
          <w:b w:val="0"/>
          <w:i w:val="0"/>
        </w:rPr>
      </w:pPr>
    </w:p>
    <w:p w:rsidR="00311456" w:rsidRPr="00A43DAD" w:rsidRDefault="00311456" w:rsidP="008C14ED">
      <w:pPr>
        <w:numPr>
          <w:ilvl w:val="0"/>
          <w:numId w:val="23"/>
        </w:numPr>
        <w:rPr>
          <w:rFonts w:eastAsia="ヒラギノ角ゴ Pro W3"/>
        </w:rPr>
      </w:pPr>
      <w:r w:rsidRPr="00A43DAD">
        <w:rPr>
          <w:rFonts w:eastAsia="ヒラギノ角ゴ Pro W3"/>
        </w:rPr>
        <w:t>enhancing basic service delivery in health and education</w:t>
      </w:r>
    </w:p>
    <w:p w:rsidR="00311456" w:rsidRPr="00A43DAD" w:rsidRDefault="00311456" w:rsidP="008C14ED">
      <w:pPr>
        <w:numPr>
          <w:ilvl w:val="0"/>
          <w:numId w:val="23"/>
        </w:numPr>
        <w:rPr>
          <w:rFonts w:eastAsia="ヒラギノ角ゴ Pro W3"/>
        </w:rPr>
      </w:pPr>
      <w:r w:rsidRPr="00A43DAD">
        <w:rPr>
          <w:rFonts w:eastAsia="ヒラギノ角ゴ Pro W3"/>
        </w:rPr>
        <w:t>supporting rural development and livelihoods</w:t>
      </w:r>
    </w:p>
    <w:p w:rsidR="00311456" w:rsidRPr="00A43DAD" w:rsidRDefault="00311456" w:rsidP="008C14ED">
      <w:pPr>
        <w:numPr>
          <w:ilvl w:val="0"/>
          <w:numId w:val="23"/>
        </w:numPr>
        <w:rPr>
          <w:rFonts w:eastAsia="ヒラギノ角ゴ Pro W3"/>
        </w:rPr>
      </w:pPr>
      <w:r w:rsidRPr="00A43DAD">
        <w:rPr>
          <w:rFonts w:eastAsia="ヒラギノ角ゴ Pro W3"/>
        </w:rPr>
        <w:t>improving governance and the effectiveness of the Afghan Government</w:t>
      </w:r>
    </w:p>
    <w:p w:rsidR="00311456" w:rsidRPr="00A43DAD" w:rsidRDefault="00311456" w:rsidP="008C14ED">
      <w:pPr>
        <w:numPr>
          <w:ilvl w:val="0"/>
          <w:numId w:val="23"/>
        </w:numPr>
        <w:rPr>
          <w:rFonts w:eastAsia="ヒラギノ角ゴ Pro W3"/>
        </w:rPr>
      </w:pPr>
      <w:proofErr w:type="gramStart"/>
      <w:r w:rsidRPr="00A43DAD">
        <w:rPr>
          <w:rFonts w:eastAsia="ヒラギノ角ゴ Pro W3"/>
        </w:rPr>
        <w:t>supporting</w:t>
      </w:r>
      <w:proofErr w:type="gramEnd"/>
      <w:r w:rsidRPr="00A43DAD">
        <w:rPr>
          <w:rFonts w:eastAsia="ヒラギノ角ゴ Pro W3"/>
        </w:rPr>
        <w:t xml:space="preserve"> vulnerable populations.</w:t>
      </w:r>
    </w:p>
    <w:p w:rsidR="00311456" w:rsidRPr="00A43DAD" w:rsidRDefault="00311456" w:rsidP="00311456">
      <w:pPr>
        <w:rPr>
          <w:rStyle w:val="IntenseEmphasis"/>
          <w:b w:val="0"/>
          <w:i w:val="0"/>
        </w:rPr>
      </w:pPr>
    </w:p>
    <w:p w:rsidR="00311456" w:rsidRDefault="00311456" w:rsidP="00311456">
      <w:pPr>
        <w:rPr>
          <w:rFonts w:eastAsia="ヒラギノ角ゴ Pro W3"/>
          <w:color w:val="000000"/>
          <w:lang w:eastAsia="en-AU"/>
        </w:rPr>
      </w:pPr>
      <w:r w:rsidRPr="007B5739">
        <w:rPr>
          <w:rFonts w:eastAsia="ヒラギノ角ゴ Pro W3"/>
          <w:color w:val="000000"/>
          <w:lang w:eastAsia="en-AU"/>
        </w:rPr>
        <w:t xml:space="preserve">A particular focus of Australian aid to Afghanistan </w:t>
      </w:r>
      <w:r w:rsidR="00B6002C">
        <w:rPr>
          <w:rFonts w:eastAsia="ヒラギノ角ゴ Pro W3"/>
          <w:color w:val="000000"/>
          <w:lang w:eastAsia="en-AU"/>
        </w:rPr>
        <w:t>has been</w:t>
      </w:r>
      <w:r w:rsidRPr="007B5739">
        <w:rPr>
          <w:rFonts w:eastAsia="ヒラギノ角ゴ Pro W3"/>
          <w:color w:val="000000"/>
          <w:lang w:eastAsia="en-AU"/>
        </w:rPr>
        <w:t xml:space="preserve"> placed on Uruzgan Province, where Australian troops are based and where AusAID works alongside Australian Defence Force personnel and other Australian civilian officials as part of a multi-national Provincial Reconstruction Team</w:t>
      </w:r>
      <w:r w:rsidR="0045168E">
        <w:rPr>
          <w:rFonts w:eastAsia="ヒラギノ角ゴ Pro W3"/>
          <w:color w:val="000000"/>
          <w:lang w:eastAsia="en-AU"/>
        </w:rPr>
        <w:t xml:space="preserve">. </w:t>
      </w:r>
    </w:p>
    <w:p w:rsidR="0087051C" w:rsidRDefault="0087051C" w:rsidP="00311456">
      <w:pPr>
        <w:rPr>
          <w:rFonts w:eastAsia="ヒラギノ角ゴ Pro W3"/>
          <w:color w:val="000000"/>
          <w:lang w:eastAsia="en-AU"/>
        </w:rPr>
      </w:pPr>
    </w:p>
    <w:p w:rsidR="0087051C" w:rsidRDefault="0087051C" w:rsidP="0087051C">
      <w:pPr>
        <w:ind w:left="49"/>
      </w:pPr>
      <w:r w:rsidRPr="008073A1">
        <w:t>Transition to Afghan security authority will take place by the end of 2014. AusAID will move to a Kabul-based presence, managing a nationally-focused aid program with residual programming in Uruzgan</w:t>
      </w:r>
      <w:r>
        <w:t xml:space="preserve"> Province</w:t>
      </w:r>
      <w:r w:rsidRPr="008073A1">
        <w:t>. Afghanistan is likely to face a substantial economic re-adjustment as transition occurs and international military forces draw down, including slowing economic growth, a major fiscal deficit and rising unemployment</w:t>
      </w:r>
      <w:r>
        <w:t xml:space="preserve">. </w:t>
      </w:r>
    </w:p>
    <w:p w:rsidR="00311456" w:rsidRPr="00A43DAD" w:rsidRDefault="00311456" w:rsidP="00D7030E">
      <w:pPr>
        <w:rPr>
          <w:rFonts w:eastAsia="ヒラギノ角ゴ Pro W3"/>
          <w:bCs/>
          <w:iCs/>
        </w:rPr>
      </w:pPr>
    </w:p>
    <w:p w:rsidR="00311456" w:rsidRPr="00A43DAD" w:rsidRDefault="00311456" w:rsidP="00D7030E">
      <w:pPr>
        <w:pStyle w:val="FreeForm"/>
        <w:rPr>
          <w:rFonts w:ascii="Times New Roman" w:hAnsi="Times New Roman"/>
          <w:color w:val="auto"/>
          <w:szCs w:val="24"/>
        </w:rPr>
      </w:pPr>
      <w:r w:rsidRPr="00A43DAD">
        <w:rPr>
          <w:rFonts w:ascii="Times New Roman" w:hAnsi="Times New Roman"/>
          <w:bCs/>
          <w:iCs/>
          <w:szCs w:val="24"/>
        </w:rPr>
        <w:t>The bulk of Australian assistance to Afghanistan (around 80 per cent) is delivered at the national level and is focused on supporting the Afghan Government to deliver improvements in basic services and livelihood opportunities across the country</w:t>
      </w:r>
      <w:r w:rsidR="0045168E">
        <w:rPr>
          <w:rFonts w:ascii="Times New Roman" w:hAnsi="Times New Roman"/>
          <w:bCs/>
          <w:iCs/>
          <w:szCs w:val="24"/>
        </w:rPr>
        <w:t xml:space="preserve">. </w:t>
      </w:r>
      <w:r w:rsidRPr="00A43DAD">
        <w:rPr>
          <w:rFonts w:ascii="Times New Roman" w:hAnsi="Times New Roman"/>
          <w:color w:val="auto"/>
          <w:szCs w:val="24"/>
        </w:rPr>
        <w:t xml:space="preserve">At both the national level and in Uruzgan, AusAID works in partnership with the Afghan Government to build its capacity and effectiveness. </w:t>
      </w:r>
    </w:p>
    <w:p w:rsidR="00311456" w:rsidRPr="00D7030E" w:rsidRDefault="00311456" w:rsidP="00D7030E">
      <w:pPr>
        <w:pStyle w:val="FreeForm"/>
        <w:rPr>
          <w:rFonts w:eastAsia="SimSun"/>
          <w:bCs/>
          <w:iCs/>
          <w:lang w:eastAsia="zh-CN"/>
        </w:rPr>
      </w:pPr>
    </w:p>
    <w:p w:rsidR="00560CBA" w:rsidRPr="00560CBA" w:rsidRDefault="00D7030E" w:rsidP="00560CBA">
      <w:pPr>
        <w:ind w:left="49"/>
      </w:pPr>
      <w:r>
        <w:t>A</w:t>
      </w:r>
      <w:r w:rsidRPr="00D7030E">
        <w:t xml:space="preserve">pproximately half of Australia’s aid program </w:t>
      </w:r>
      <w:r>
        <w:t>is</w:t>
      </w:r>
      <w:r w:rsidRPr="00D7030E">
        <w:t xml:space="preserve"> </w:t>
      </w:r>
      <w:r w:rsidR="00293999" w:rsidRPr="00D7030E">
        <w:t>channeled</w:t>
      </w:r>
      <w:r w:rsidRPr="00D7030E">
        <w:t xml:space="preserve"> through the multi-donor Afghanistan Reconstruction Trust Fund (ARTF). </w:t>
      </w:r>
      <w:r w:rsidR="00D174CB">
        <w:t>The ARTF</w:t>
      </w:r>
      <w:r w:rsidRPr="00D7030E">
        <w:t xml:space="preserve"> represents a reliable and relatively low-risk vehicle for donors to meet </w:t>
      </w:r>
      <w:r w:rsidR="00D174CB">
        <w:t>the</w:t>
      </w:r>
      <w:r w:rsidRPr="00D7030E">
        <w:t xml:space="preserve"> Kabul Conference commitment to deliver 50 per cent of assistance through Afghan Government systems. </w:t>
      </w:r>
      <w:r w:rsidR="00D174CB" w:rsidRPr="00D174CB">
        <w:t xml:space="preserve">To date, AusAID has provided a total of </w:t>
      </w:r>
      <w:r w:rsidR="007F448D">
        <w:t>AUD</w:t>
      </w:r>
      <w:r w:rsidR="00D174CB" w:rsidRPr="00D174CB">
        <w:t>210 million to the ARTF.</w:t>
      </w:r>
      <w:r w:rsidR="00560CBA">
        <w:t xml:space="preserve"> </w:t>
      </w:r>
      <w:r w:rsidR="00560CBA" w:rsidRPr="00560CBA">
        <w:t>The</w:t>
      </w:r>
      <w:r w:rsidR="0087051C">
        <w:t xml:space="preserve"> July 2012</w:t>
      </w:r>
      <w:r w:rsidR="00560CBA" w:rsidRPr="00560CBA">
        <w:t xml:space="preserve"> Tokyo Declaration also reaffirmed </w:t>
      </w:r>
      <w:r w:rsidR="0087051C">
        <w:t>donors’</w:t>
      </w:r>
      <w:r w:rsidR="00560CBA" w:rsidRPr="00560CBA">
        <w:t xml:space="preserve"> commitments to channel 50 per cent of donor assistance through Afghan Government systems and align 80 per cent of funding with Afghanistan’s </w:t>
      </w:r>
      <w:r w:rsidR="00B6002C">
        <w:t>NPPs</w:t>
      </w:r>
      <w:r w:rsidR="00EF3716">
        <w:t>.</w:t>
      </w:r>
    </w:p>
    <w:p w:rsidR="00D7030E" w:rsidRPr="00D7030E" w:rsidRDefault="00D7030E" w:rsidP="00D7030E">
      <w:pPr>
        <w:ind w:left="49"/>
      </w:pPr>
    </w:p>
    <w:p w:rsidR="00D7030E" w:rsidRPr="00D7030E" w:rsidRDefault="00D7030E" w:rsidP="00D7030E">
      <w:pPr>
        <w:ind w:left="49"/>
      </w:pPr>
      <w:r w:rsidRPr="00D7030E">
        <w:t xml:space="preserve">Australia </w:t>
      </w:r>
      <w:r w:rsidR="0087051C">
        <w:t>also provides support through</w:t>
      </w:r>
      <w:r w:rsidRPr="00D7030E">
        <w:t xml:space="preserve"> the Development Assistance Facility for Afghanistan (DAF</w:t>
      </w:r>
      <w:r w:rsidR="00560CBA">
        <w:t xml:space="preserve">A) </w:t>
      </w:r>
      <w:r w:rsidRPr="00D7030E">
        <w:t xml:space="preserve">managed by International Relief and Development. </w:t>
      </w:r>
      <w:r w:rsidR="0087051C">
        <w:t>The DAFA</w:t>
      </w:r>
      <w:r w:rsidRPr="00D7030E">
        <w:t xml:space="preserve"> provides practical, focused assistance to six Afghan Ministries: the Ministry of Rural Rehabilitation and Development (MR</w:t>
      </w:r>
      <w:r w:rsidR="00560CBA">
        <w:t xml:space="preserve">RD), the Ministry of </w:t>
      </w:r>
      <w:r w:rsidR="00293999">
        <w:t>Education,</w:t>
      </w:r>
      <w:r w:rsidR="00560CBA">
        <w:t xml:space="preserve"> the Ministry of Public Health</w:t>
      </w:r>
      <w:r w:rsidRPr="00D7030E">
        <w:t>, the Ministry of Agriculture, Irrigation and Livestock (</w:t>
      </w:r>
      <w:r w:rsidR="00560CBA">
        <w:t>MAIL), the Ministry of Finance and the Ministry of Mines</w:t>
      </w:r>
      <w:r w:rsidRPr="00D7030E">
        <w:t xml:space="preserve">, while also supporting Australian reconstruction efforts in Uruzgan. </w:t>
      </w:r>
      <w:r w:rsidR="0087051C">
        <w:t xml:space="preserve">The </w:t>
      </w:r>
      <w:r w:rsidRPr="00D7030E">
        <w:t>DAFA provides flexible funding, using a broad range of modes of assistance covering advisers deployed in counterpart Ministries; the provision of technical assistance through small projects; and support for trilateral training through the Malaysia-Australia Edu</w:t>
      </w:r>
      <w:r w:rsidR="0087051C">
        <w:t>cation Project for Afghanistan</w:t>
      </w:r>
      <w:r w:rsidRPr="00D7030E">
        <w:t xml:space="preserve">. </w:t>
      </w:r>
    </w:p>
    <w:p w:rsidR="004845F4" w:rsidRDefault="004845F4" w:rsidP="00D7030E">
      <w:pPr>
        <w:rPr>
          <w:rFonts w:eastAsia="ヒラギノ角ゴ Pro W3"/>
          <w:color w:val="000000"/>
        </w:rPr>
      </w:pPr>
    </w:p>
    <w:p w:rsidR="00970D7B" w:rsidRDefault="00970D7B" w:rsidP="00D7030E">
      <w:r w:rsidRPr="00EC6954">
        <w:t xml:space="preserve">The focus of Australia’s aid program is agreed with the Afghan Government through </w:t>
      </w:r>
      <w:proofErr w:type="gramStart"/>
      <w:r w:rsidR="00B6002C">
        <w:t>an</w:t>
      </w:r>
      <w:proofErr w:type="gramEnd"/>
      <w:r w:rsidR="00B6002C">
        <w:t xml:space="preserve"> MoU</w:t>
      </w:r>
      <w:r w:rsidRPr="00EC6954">
        <w:t xml:space="preserve">, and through various commitments made at international conferences on Afghanistan since 2001. </w:t>
      </w:r>
      <w:r>
        <w:t>Ongoing Australian and international</w:t>
      </w:r>
      <w:r w:rsidRPr="00EC6954">
        <w:t xml:space="preserve"> support will take into account Afghan Government progress on its commitments on economic reform and improved governance.</w:t>
      </w:r>
      <w:r>
        <w:t xml:space="preserve"> </w:t>
      </w:r>
      <w:r w:rsidRPr="00EC6954">
        <w:t>T</w:t>
      </w:r>
      <w:r>
        <w:t>hese commitments, include</w:t>
      </w:r>
      <w:r w:rsidRPr="00EC6954">
        <w:t xml:space="preserve"> address</w:t>
      </w:r>
      <w:r>
        <w:t>ing</w:t>
      </w:r>
      <w:r w:rsidRPr="00EC6954">
        <w:t xml:space="preserve"> corruption, human rights and credible elections, </w:t>
      </w:r>
      <w:r>
        <w:t xml:space="preserve">and </w:t>
      </w:r>
      <w:r w:rsidRPr="00EC6954">
        <w:t>are set out in the Tokyo Mutual Accountability</w:t>
      </w:r>
      <w:r>
        <w:t xml:space="preserve"> Framework</w:t>
      </w:r>
      <w:r w:rsidR="002763D9">
        <w:t xml:space="preserve"> (TMAF)</w:t>
      </w:r>
      <w:r>
        <w:t>.</w:t>
      </w:r>
      <w:r w:rsidR="0087051C">
        <w:rPr>
          <w:rStyle w:val="FootnoteReference"/>
        </w:rPr>
        <w:footnoteReference w:id="14"/>
      </w:r>
    </w:p>
    <w:p w:rsidR="002763D9" w:rsidRDefault="002763D9" w:rsidP="00970D7B"/>
    <w:p w:rsidR="00311456" w:rsidRPr="00A43DAD" w:rsidRDefault="00311456" w:rsidP="00311456">
      <w:r w:rsidRPr="00A43DAD">
        <w:rPr>
          <w:rFonts w:eastAsia="ヒラギノ角ゴ Pro W3"/>
          <w:color w:val="000000"/>
        </w:rPr>
        <w:t xml:space="preserve">Australia’s aid program will rise to </w:t>
      </w:r>
      <w:r w:rsidR="007F448D">
        <w:rPr>
          <w:rFonts w:eastAsia="ヒラギノ角ゴ Pro W3"/>
          <w:color w:val="000000"/>
        </w:rPr>
        <w:t>AUD</w:t>
      </w:r>
      <w:r w:rsidRPr="00A43DAD">
        <w:rPr>
          <w:rFonts w:eastAsia="ヒラギノ角ゴ Pro W3"/>
          <w:color w:val="000000"/>
        </w:rPr>
        <w:t xml:space="preserve">250 million per year by 2015-16. A new strategy is being developed to guide the aid program through this period, building on the direction set in </w:t>
      </w:r>
      <w:r w:rsidRPr="00A43DAD">
        <w:rPr>
          <w:rFonts w:eastAsia="ヒラギノ角ゴ Pro W3"/>
          <w:i/>
          <w:color w:val="000000"/>
        </w:rPr>
        <w:t>Australia’s Strategic Approach to Aid in Afghanistan 2010-2012</w:t>
      </w:r>
      <w:r w:rsidR="002546F2">
        <w:rPr>
          <w:rFonts w:eastAsia="ヒラギノ角ゴ Pro W3"/>
          <w:i/>
          <w:color w:val="000000"/>
        </w:rPr>
        <w:t xml:space="preserve">. </w:t>
      </w:r>
      <w:r w:rsidRPr="00A43DAD">
        <w:rPr>
          <w:rFonts w:eastAsia="ヒラギノ角ゴ Pro W3"/>
          <w:color w:val="000000"/>
        </w:rPr>
        <w:t xml:space="preserve">The new strategy will be guided by the Government’s aid policy, </w:t>
      </w:r>
      <w:r w:rsidRPr="00A43DAD">
        <w:rPr>
          <w:rFonts w:eastAsia="ヒラギノ角ゴ Pro W3"/>
          <w:i/>
          <w:color w:val="000000"/>
        </w:rPr>
        <w:t>An Effective Aid Program for Australia</w:t>
      </w:r>
      <w:r w:rsidRPr="00A43DAD">
        <w:rPr>
          <w:rFonts w:eastAsia="ヒラギノ角ゴ Pro W3"/>
          <w:color w:val="000000"/>
        </w:rPr>
        <w:t>, reflect support for the development priorities identified by the Government of Afghanistan and take into account the anticipated fiscal and</w:t>
      </w:r>
      <w:r w:rsidRPr="007B5739">
        <w:rPr>
          <w:rFonts w:eastAsia="ヒラギノ角ゴ Pro W3"/>
          <w:b/>
          <w:bCs/>
          <w:i/>
          <w:iCs/>
          <w:color w:val="000000"/>
        </w:rPr>
        <w:t xml:space="preserve"> </w:t>
      </w:r>
      <w:r w:rsidRPr="007B5739">
        <w:rPr>
          <w:rFonts w:eastAsia="ヒラギノ角ゴ Pro W3"/>
          <w:bCs/>
          <w:iCs/>
          <w:color w:val="000000"/>
        </w:rPr>
        <w:t>development implications of transition.</w:t>
      </w:r>
      <w:r w:rsidR="00607417">
        <w:rPr>
          <w:rFonts w:eastAsia="ヒラギノ角ゴ Pro W3"/>
          <w:bCs/>
          <w:iCs/>
          <w:color w:val="000000"/>
        </w:rPr>
        <w:t xml:space="preserve"> </w:t>
      </w:r>
      <w:r w:rsidR="00B6002C">
        <w:rPr>
          <w:rFonts w:eastAsia="ヒラギノ角ゴ Pro W3"/>
          <w:bCs/>
          <w:iCs/>
          <w:color w:val="000000"/>
        </w:rPr>
        <w:t xml:space="preserve">The </w:t>
      </w:r>
      <w:r w:rsidR="00607417">
        <w:rPr>
          <w:rFonts w:eastAsia="ヒラギノ角ゴ Pro W3"/>
          <w:bCs/>
          <w:iCs/>
          <w:color w:val="000000"/>
        </w:rPr>
        <w:t xml:space="preserve">AACRS will </w:t>
      </w:r>
      <w:r w:rsidR="004845F4">
        <w:rPr>
          <w:rFonts w:eastAsia="ヒラギノ角ゴ Pro W3"/>
          <w:bCs/>
          <w:iCs/>
          <w:color w:val="000000"/>
        </w:rPr>
        <w:t>sit</w:t>
      </w:r>
      <w:r w:rsidR="00607417">
        <w:rPr>
          <w:rFonts w:eastAsia="ヒラギノ角ゴ Pro W3"/>
          <w:bCs/>
          <w:iCs/>
          <w:color w:val="000000"/>
        </w:rPr>
        <w:t xml:space="preserve"> under this </w:t>
      </w:r>
      <w:r w:rsidR="004845F4">
        <w:rPr>
          <w:rFonts w:eastAsia="ヒラギノ角ゴ Pro W3"/>
          <w:bCs/>
          <w:iCs/>
          <w:color w:val="000000"/>
        </w:rPr>
        <w:t xml:space="preserve">new </w:t>
      </w:r>
      <w:r w:rsidR="00607417">
        <w:rPr>
          <w:rFonts w:eastAsia="ヒラギノ角ゴ Pro W3"/>
          <w:bCs/>
          <w:iCs/>
          <w:color w:val="000000"/>
        </w:rPr>
        <w:t xml:space="preserve">strategy, which will include </w:t>
      </w:r>
      <w:r w:rsidR="00607417">
        <w:t>‘</w:t>
      </w:r>
      <w:r w:rsidR="00607417" w:rsidRPr="00484CF8">
        <w:t xml:space="preserve">improving food and livelihoods security </w:t>
      </w:r>
      <w:r w:rsidR="00607417" w:rsidRPr="00484CF8">
        <w:lastRenderedPageBreak/>
        <w:t>through agricultural and rural development</w:t>
      </w:r>
      <w:r w:rsidR="00607417">
        <w:t>’ as a focus area for Australia’s future support to Afghanistan.</w:t>
      </w:r>
    </w:p>
    <w:p w:rsidR="00311456" w:rsidRPr="00311456" w:rsidRDefault="00311456" w:rsidP="008C14ED">
      <w:pPr>
        <w:pStyle w:val="Heading2"/>
        <w:numPr>
          <w:ilvl w:val="1"/>
          <w:numId w:val="8"/>
        </w:numPr>
        <w:ind w:left="0" w:firstLine="0"/>
        <w:rPr>
          <w:lang w:eastAsia="en-AU"/>
        </w:rPr>
      </w:pPr>
      <w:bookmarkStart w:id="14" w:name="_Toc353974428"/>
      <w:r w:rsidRPr="00311456">
        <w:rPr>
          <w:lang w:eastAsia="en-AU"/>
        </w:rPr>
        <w:t>Civil Society in Afghanistan</w:t>
      </w:r>
      <w:bookmarkEnd w:id="14"/>
      <w:r w:rsidRPr="00311456">
        <w:rPr>
          <w:lang w:eastAsia="en-AU"/>
        </w:rPr>
        <w:t xml:space="preserve"> </w:t>
      </w:r>
    </w:p>
    <w:p w:rsidR="00311456" w:rsidRPr="00A43DAD" w:rsidRDefault="00311456" w:rsidP="00311456">
      <w:pPr>
        <w:rPr>
          <w:b/>
          <w:bCs/>
        </w:rPr>
      </w:pPr>
    </w:p>
    <w:p w:rsidR="00311456" w:rsidRPr="00A43DAD" w:rsidRDefault="00311456" w:rsidP="00311456">
      <w:r w:rsidRPr="00A43DAD">
        <w:t>Despite decade</w:t>
      </w:r>
      <w:r w:rsidR="00AE3D2B">
        <w:t>s</w:t>
      </w:r>
      <w:r w:rsidRPr="00A43DAD">
        <w:t xml:space="preserve"> of conflict, Afghanistan has an </w:t>
      </w:r>
      <w:r w:rsidR="00296A58">
        <w:t>organis</w:t>
      </w:r>
      <w:r w:rsidR="000203BE">
        <w:t>ed, if still developing, civil society</w:t>
      </w:r>
      <w:r w:rsidRPr="00A43DAD">
        <w:t xml:space="preserve">. </w:t>
      </w:r>
      <w:r w:rsidR="004845F4">
        <w:t>The UK’s Department for International Development (</w:t>
      </w:r>
      <w:r w:rsidRPr="00A43DAD">
        <w:t>DFID</w:t>
      </w:r>
      <w:r w:rsidR="004845F4">
        <w:t>)</w:t>
      </w:r>
      <w:r w:rsidRPr="00A43DAD">
        <w:t xml:space="preserve"> assess</w:t>
      </w:r>
      <w:r w:rsidR="00AF02ED">
        <w:t>es</w:t>
      </w:r>
      <w:r w:rsidRPr="00A43DAD">
        <w:t xml:space="preserve"> that ‘Afghan civil society has a low capacity</w:t>
      </w:r>
      <w:r w:rsidR="00296A58">
        <w:t>’ but the</w:t>
      </w:r>
      <w:r w:rsidRPr="00A43DAD">
        <w:t xml:space="preserve"> potential </w:t>
      </w:r>
      <w:r w:rsidR="00296A58">
        <w:t xml:space="preserve">to </w:t>
      </w:r>
      <w:r w:rsidR="00305817">
        <w:t>‘</w:t>
      </w:r>
      <w:r w:rsidR="00296A58">
        <w:t xml:space="preserve">play a </w:t>
      </w:r>
      <w:r w:rsidRPr="00A43DAD">
        <w:t>stronger role in advocacy for rights and enhanced governance.’</w:t>
      </w:r>
      <w:r w:rsidRPr="00A43DAD">
        <w:rPr>
          <w:rStyle w:val="FootnoteReference"/>
        </w:rPr>
        <w:footnoteReference w:id="15"/>
      </w:r>
      <w:r w:rsidRPr="00A43DAD">
        <w:rPr>
          <w:rStyle w:val="FootnoteReference"/>
        </w:rPr>
        <w:t xml:space="preserve"> </w:t>
      </w:r>
      <w:r w:rsidRPr="00A43DAD">
        <w:t xml:space="preserve">A 2010 London School of Economics report described Afghan civil society as ‘alive and well and stronger than has been supposed.’ This same study found a </w:t>
      </w:r>
      <w:r w:rsidR="000203BE">
        <w:t xml:space="preserve">strong </w:t>
      </w:r>
      <w:r w:rsidRPr="00A43DAD">
        <w:t>desire among</w:t>
      </w:r>
      <w:r w:rsidR="00296A58">
        <w:t>st</w:t>
      </w:r>
      <w:r w:rsidRPr="00A43DAD">
        <w:t xml:space="preserve"> those working within Afghan </w:t>
      </w:r>
      <w:r w:rsidR="004845F4">
        <w:t>CSOs</w:t>
      </w:r>
      <w:r w:rsidRPr="00A43DAD">
        <w:t xml:space="preserve"> for the international community to </w:t>
      </w:r>
      <w:r w:rsidR="000203BE">
        <w:t xml:space="preserve">support the development of </w:t>
      </w:r>
      <w:r w:rsidR="00296A58">
        <w:t>Afghan</w:t>
      </w:r>
      <w:r w:rsidR="000203BE">
        <w:t xml:space="preserve"> </w:t>
      </w:r>
      <w:r w:rsidR="00296A58">
        <w:t>civil society,</w:t>
      </w:r>
      <w:r w:rsidRPr="00A43DAD">
        <w:rPr>
          <w:rStyle w:val="FootnoteReference"/>
        </w:rPr>
        <w:footnoteReference w:id="16"/>
      </w:r>
      <w:r w:rsidRPr="00A43DAD">
        <w:t xml:space="preserve"> </w:t>
      </w:r>
      <w:r w:rsidR="00296A58">
        <w:t>a</w:t>
      </w:r>
      <w:r w:rsidRPr="00A43DAD">
        <w:t xml:space="preserve"> </w:t>
      </w:r>
      <w:r w:rsidR="000203BE">
        <w:t>request</w:t>
      </w:r>
      <w:r w:rsidRPr="00A43DAD">
        <w:t xml:space="preserve"> </w:t>
      </w:r>
      <w:r w:rsidR="006E44EE">
        <w:t>also made</w:t>
      </w:r>
      <w:r w:rsidRPr="00A43DAD">
        <w:t xml:space="preserve"> at the 2011 Bonn Conference.</w:t>
      </w:r>
      <w:r w:rsidRPr="00A43DAD">
        <w:rPr>
          <w:rStyle w:val="FootnoteReference"/>
        </w:rPr>
        <w:footnoteReference w:id="17"/>
      </w:r>
    </w:p>
    <w:p w:rsidR="00311456" w:rsidRPr="00A43DAD" w:rsidRDefault="00311456" w:rsidP="00311456"/>
    <w:p w:rsidR="00311456" w:rsidRPr="00A43DAD" w:rsidRDefault="00B6002C" w:rsidP="00607417">
      <w:r>
        <w:t>Afghan</w:t>
      </w:r>
      <w:r w:rsidR="00311456" w:rsidRPr="00A43DAD">
        <w:t xml:space="preserve"> civil society includes </w:t>
      </w:r>
      <w:r w:rsidR="00B5506C">
        <w:t xml:space="preserve">formal NGO coordinating bodies, such as: </w:t>
      </w:r>
      <w:r w:rsidR="00607417">
        <w:t>t</w:t>
      </w:r>
      <w:r w:rsidR="0072445E">
        <w:t>he Agency C</w:t>
      </w:r>
      <w:r w:rsidR="0072445E" w:rsidRPr="00A43DAD">
        <w:t>oordinating</w:t>
      </w:r>
      <w:r w:rsidR="00311456" w:rsidRPr="00A43DAD">
        <w:t xml:space="preserve"> Body for Afghan Relief (ACBAR)</w:t>
      </w:r>
      <w:r w:rsidR="0072445E">
        <w:t>;</w:t>
      </w:r>
      <w:r w:rsidR="00607417">
        <w:t xml:space="preserve"> t</w:t>
      </w:r>
      <w:r w:rsidR="00311456" w:rsidRPr="00A43DAD">
        <w:t>he Afghan Civil Society Forum</w:t>
      </w:r>
      <w:r w:rsidR="00607417">
        <w:t>; t</w:t>
      </w:r>
      <w:r w:rsidR="004D22C7">
        <w:t>he Afghan NGO C</w:t>
      </w:r>
      <w:r w:rsidR="004D22C7" w:rsidRPr="00A43DAD">
        <w:t>oordinating</w:t>
      </w:r>
      <w:r w:rsidR="00311456" w:rsidRPr="00A43DAD">
        <w:t xml:space="preserve"> Bureau</w:t>
      </w:r>
      <w:r w:rsidR="00607417">
        <w:t xml:space="preserve"> (ANCB); and t</w:t>
      </w:r>
      <w:r w:rsidR="00311456" w:rsidRPr="00A43DAD">
        <w:t>he Afghan Women’s Network</w:t>
      </w:r>
      <w:r w:rsidR="00607417">
        <w:t>.</w:t>
      </w:r>
      <w:r w:rsidR="0072445E">
        <w:t xml:space="preserve"> </w:t>
      </w:r>
      <w:r w:rsidR="00A821C8">
        <w:t>It contains Afghan NGOs that relocated from Pakistan to Kabul after the fall of the</w:t>
      </w:r>
      <w:r w:rsidR="009B043A">
        <w:t xml:space="preserve"> Taliban</w:t>
      </w:r>
      <w:r w:rsidR="0072445E">
        <w:t>,</w:t>
      </w:r>
      <w:r w:rsidR="009B043A">
        <w:t xml:space="preserve"> and</w:t>
      </w:r>
      <w:r w:rsidR="00A821C8">
        <w:t xml:space="preserve"> new Afghan NGOs that </w:t>
      </w:r>
      <w:r w:rsidR="009B043A">
        <w:t xml:space="preserve">have </w:t>
      </w:r>
      <w:r w:rsidR="00A821C8">
        <w:t>developed in response to aid flows to the sector.</w:t>
      </w:r>
      <w:r w:rsidR="00CC23B5" w:rsidRPr="00CC23B5">
        <w:t xml:space="preserve"> </w:t>
      </w:r>
      <w:r w:rsidR="00AE1B40">
        <w:t>At more local levels, it</w:t>
      </w:r>
      <w:r w:rsidR="00CC23B5">
        <w:t xml:space="preserve"> </w:t>
      </w:r>
      <w:r w:rsidR="00CC23B5" w:rsidRPr="00CC23B5">
        <w:t>include</w:t>
      </w:r>
      <w:r w:rsidR="009B043A">
        <w:t>s</w:t>
      </w:r>
      <w:r w:rsidR="00CC23B5" w:rsidRPr="00CC23B5">
        <w:t xml:space="preserve"> Community Development Councils</w:t>
      </w:r>
      <w:r w:rsidR="00C76BF1">
        <w:rPr>
          <w:rStyle w:val="FootnoteReference"/>
        </w:rPr>
        <w:footnoteReference w:id="18"/>
      </w:r>
      <w:r w:rsidR="004845F4">
        <w:t xml:space="preserve"> (CDCs)</w:t>
      </w:r>
      <w:r w:rsidR="00CC23B5" w:rsidRPr="00CC23B5">
        <w:t xml:space="preserve">, traditional Shuras, local NGOs </w:t>
      </w:r>
      <w:r w:rsidR="009B043A">
        <w:t>and</w:t>
      </w:r>
      <w:r w:rsidR="00CC23B5" w:rsidRPr="00CC23B5">
        <w:t xml:space="preserve"> </w:t>
      </w:r>
      <w:r w:rsidR="00CC23B5">
        <w:t>other entities which are non-profit distributing and</w:t>
      </w:r>
      <w:r w:rsidR="0059394D">
        <w:t>/or</w:t>
      </w:r>
      <w:r w:rsidR="00CC23B5">
        <w:t xml:space="preserve"> community based.</w:t>
      </w:r>
    </w:p>
    <w:p w:rsidR="00311456" w:rsidRPr="00A43DAD" w:rsidRDefault="00311456" w:rsidP="00311456">
      <w:pPr>
        <w:rPr>
          <w:b/>
          <w:bCs/>
        </w:rPr>
      </w:pPr>
    </w:p>
    <w:p w:rsidR="00311456" w:rsidRPr="00A43DAD" w:rsidRDefault="00311456" w:rsidP="00AE1B40">
      <w:r w:rsidRPr="00A43DAD">
        <w:t>Afghan civil society representatives have increasingly taken part in international fora on Afghanistan</w:t>
      </w:r>
      <w:r w:rsidR="004D22C7">
        <w:t>, including</w:t>
      </w:r>
      <w:r w:rsidR="000203BE">
        <w:t xml:space="preserve"> the </w:t>
      </w:r>
      <w:r w:rsidR="00305817">
        <w:t xml:space="preserve">recent </w:t>
      </w:r>
      <w:r w:rsidR="004D22C7">
        <w:t>Tokyo and</w:t>
      </w:r>
      <w:r w:rsidR="000203BE">
        <w:t xml:space="preserve"> Bonn conferences</w:t>
      </w:r>
      <w:r w:rsidR="004845F4">
        <w:t xml:space="preserve">. </w:t>
      </w:r>
      <w:r w:rsidR="00AF02ED">
        <w:t>Sector representatives</w:t>
      </w:r>
      <w:r w:rsidRPr="00A43DAD">
        <w:t xml:space="preserve"> have called for both the intern</w:t>
      </w:r>
      <w:r w:rsidR="00AE1B40">
        <w:t xml:space="preserve">ational community and </w:t>
      </w:r>
      <w:r w:rsidR="004845F4">
        <w:t>the Afghan Government</w:t>
      </w:r>
      <w:r w:rsidR="00AE1B40">
        <w:t xml:space="preserve"> to </w:t>
      </w:r>
      <w:r w:rsidR="000203BE" w:rsidRPr="00A43DAD">
        <w:t xml:space="preserve">support the advocacy efforts of </w:t>
      </w:r>
      <w:r w:rsidR="00305817">
        <w:t xml:space="preserve">Afghan </w:t>
      </w:r>
      <w:r w:rsidR="004845F4">
        <w:t>CSOs</w:t>
      </w:r>
      <w:r w:rsidR="00AE1B40">
        <w:t xml:space="preserve"> and </w:t>
      </w:r>
      <w:r w:rsidR="004845F4">
        <w:t xml:space="preserve">to </w:t>
      </w:r>
      <w:r w:rsidR="00AE1B40">
        <w:t xml:space="preserve">support </w:t>
      </w:r>
      <w:r w:rsidR="004845F4">
        <w:t>them to</w:t>
      </w:r>
      <w:r w:rsidR="00AE1B40" w:rsidRPr="00A43DAD">
        <w:t xml:space="preserve"> </w:t>
      </w:r>
      <w:r w:rsidR="00AE1B40">
        <w:t>deliver</w:t>
      </w:r>
      <w:r w:rsidR="00AE1B40" w:rsidRPr="00A43DAD">
        <w:t xml:space="preserve"> </w:t>
      </w:r>
      <w:r w:rsidR="00AE1B40">
        <w:t>social services.</w:t>
      </w:r>
      <w:r w:rsidR="00AE1B40" w:rsidRPr="00A43DAD">
        <w:rPr>
          <w:rStyle w:val="FootnoteReference"/>
        </w:rPr>
        <w:t xml:space="preserve"> </w:t>
      </w:r>
      <w:r w:rsidR="000203BE" w:rsidRPr="00A43DAD">
        <w:rPr>
          <w:rStyle w:val="FootnoteReference"/>
        </w:rPr>
        <w:footnoteReference w:id="19"/>
      </w:r>
    </w:p>
    <w:p w:rsidR="00311456" w:rsidRPr="00A43DAD" w:rsidRDefault="00311456" w:rsidP="00311456">
      <w:pPr>
        <w:rPr>
          <w:b/>
          <w:bCs/>
        </w:rPr>
      </w:pPr>
    </w:p>
    <w:p w:rsidR="00311456" w:rsidRPr="00A43DAD" w:rsidRDefault="00311456" w:rsidP="00311456">
      <w:pPr>
        <w:rPr>
          <w:b/>
          <w:i/>
        </w:rPr>
      </w:pPr>
      <w:r w:rsidRPr="00A43DAD">
        <w:rPr>
          <w:b/>
          <w:i/>
        </w:rPr>
        <w:t>Donor NGO Programming in Afghanistan</w:t>
      </w:r>
    </w:p>
    <w:p w:rsidR="00311456" w:rsidRPr="00A43DAD" w:rsidRDefault="004D22C7" w:rsidP="00607417">
      <w:pPr>
        <w:pStyle w:val="Default"/>
      </w:pPr>
      <w:r w:rsidRPr="00607417">
        <w:rPr>
          <w:rFonts w:ascii="Times New Roman" w:hAnsi="Times New Roman" w:cs="Times New Roman"/>
          <w:lang w:val="en-US" w:eastAsia="en-US"/>
        </w:rPr>
        <w:t>In line with these requests, and in recognition of the important development role of civil society, d</w:t>
      </w:r>
      <w:r w:rsidR="00311456" w:rsidRPr="00607417">
        <w:rPr>
          <w:rFonts w:ascii="Times New Roman" w:hAnsi="Times New Roman" w:cs="Times New Roman"/>
          <w:lang w:val="en-US" w:eastAsia="en-US"/>
        </w:rPr>
        <w:t xml:space="preserve">onors have </w:t>
      </w:r>
      <w:r w:rsidR="004845F4">
        <w:rPr>
          <w:rFonts w:ascii="Times New Roman" w:hAnsi="Times New Roman" w:cs="Times New Roman"/>
          <w:lang w:val="en-US" w:eastAsia="en-US"/>
        </w:rPr>
        <w:t xml:space="preserve">increasingly </w:t>
      </w:r>
      <w:r w:rsidR="00311456" w:rsidRPr="00607417">
        <w:rPr>
          <w:rFonts w:ascii="Times New Roman" w:hAnsi="Times New Roman" w:cs="Times New Roman"/>
          <w:lang w:val="en-US" w:eastAsia="en-US"/>
        </w:rPr>
        <w:t>committed to support and work with Afghan civil society. For example, DFID has committed to ‘support more inclusive politics by strength</w:t>
      </w:r>
      <w:r w:rsidRPr="00607417">
        <w:rPr>
          <w:rFonts w:ascii="Times New Roman" w:hAnsi="Times New Roman" w:cs="Times New Roman"/>
          <w:lang w:val="en-US" w:eastAsia="en-US"/>
        </w:rPr>
        <w:t>ening support for civil society</w:t>
      </w:r>
      <w:r w:rsidR="00311456" w:rsidRPr="00607417">
        <w:rPr>
          <w:rFonts w:ascii="Times New Roman" w:hAnsi="Times New Roman" w:cs="Times New Roman"/>
          <w:lang w:val="en-US" w:eastAsia="en-US"/>
        </w:rPr>
        <w:t>’</w:t>
      </w:r>
      <w:r w:rsidR="00311456" w:rsidRPr="00607417">
        <w:rPr>
          <w:rStyle w:val="FootnoteReference"/>
          <w:rFonts w:ascii="Times New Roman" w:hAnsi="Times New Roman" w:cs="Times New Roman"/>
          <w:color w:val="auto"/>
        </w:rPr>
        <w:footnoteReference w:id="20"/>
      </w:r>
      <w:r w:rsidR="00311456" w:rsidRPr="00607417">
        <w:rPr>
          <w:rFonts w:ascii="Times New Roman" w:hAnsi="Times New Roman" w:cs="Times New Roman"/>
          <w:lang w:val="en-US" w:eastAsia="en-US"/>
        </w:rPr>
        <w:t xml:space="preserve"> </w:t>
      </w:r>
      <w:r w:rsidRPr="00607417">
        <w:rPr>
          <w:rFonts w:ascii="Times New Roman" w:hAnsi="Times New Roman" w:cs="Times New Roman"/>
          <w:lang w:val="en-US" w:eastAsia="en-US"/>
        </w:rPr>
        <w:t xml:space="preserve">and are doing </w:t>
      </w:r>
      <w:r w:rsidR="00477E8C">
        <w:rPr>
          <w:rFonts w:ascii="Times New Roman" w:hAnsi="Times New Roman" w:cs="Times New Roman"/>
          <w:lang w:val="en-US" w:eastAsia="en-US"/>
        </w:rPr>
        <w:t>so</w:t>
      </w:r>
      <w:r w:rsidRPr="00607417">
        <w:rPr>
          <w:rFonts w:ascii="Times New Roman" w:hAnsi="Times New Roman" w:cs="Times New Roman"/>
          <w:lang w:val="en-US" w:eastAsia="en-US"/>
        </w:rPr>
        <w:t xml:space="preserve"> </w:t>
      </w:r>
      <w:r w:rsidR="00311456" w:rsidRPr="00607417">
        <w:rPr>
          <w:rFonts w:ascii="Times New Roman" w:hAnsi="Times New Roman" w:cs="Times New Roman"/>
          <w:lang w:val="en-US" w:eastAsia="en-US"/>
        </w:rPr>
        <w:t xml:space="preserve">through </w:t>
      </w:r>
      <w:r w:rsidR="00F96C55">
        <w:rPr>
          <w:rFonts w:ascii="Times New Roman" w:hAnsi="Times New Roman" w:cs="Times New Roman"/>
          <w:lang w:val="en-US" w:eastAsia="en-US"/>
        </w:rPr>
        <w:t xml:space="preserve">support to </w:t>
      </w:r>
      <w:r w:rsidR="00311456" w:rsidRPr="00607417">
        <w:rPr>
          <w:rFonts w:ascii="Times New Roman" w:hAnsi="Times New Roman" w:cs="Times New Roman"/>
          <w:lang w:val="en-US" w:eastAsia="en-US"/>
        </w:rPr>
        <w:t>the Tawanmandi – Strengthening Civil Society in Afghanistan</w:t>
      </w:r>
      <w:r w:rsidR="00F96C55">
        <w:rPr>
          <w:rFonts w:ascii="Times New Roman" w:hAnsi="Times New Roman" w:cs="Times New Roman"/>
          <w:lang w:val="en-US" w:eastAsia="en-US"/>
        </w:rPr>
        <w:t xml:space="preserve"> program</w:t>
      </w:r>
      <w:r w:rsidR="00607417" w:rsidRPr="00607417">
        <w:rPr>
          <w:rFonts w:ascii="Times New Roman" w:hAnsi="Times New Roman" w:cs="Times New Roman"/>
          <w:lang w:val="en-US" w:eastAsia="en-US"/>
        </w:rPr>
        <w:t xml:space="preserve">, </w:t>
      </w:r>
      <w:r w:rsidR="00311456" w:rsidRPr="00607417">
        <w:rPr>
          <w:rFonts w:ascii="Times New Roman" w:hAnsi="Times New Roman" w:cs="Times New Roman"/>
        </w:rPr>
        <w:t>a five-year</w:t>
      </w:r>
      <w:r w:rsidR="00AF02ED">
        <w:rPr>
          <w:rFonts w:ascii="Times New Roman" w:hAnsi="Times New Roman" w:cs="Times New Roman"/>
        </w:rPr>
        <w:t xml:space="preserve"> (August 2011 to July 2016) £20 </w:t>
      </w:r>
      <w:r w:rsidR="00311456" w:rsidRPr="00607417">
        <w:rPr>
          <w:rFonts w:ascii="Times New Roman" w:hAnsi="Times New Roman" w:cs="Times New Roman"/>
        </w:rPr>
        <w:t xml:space="preserve">million small grants program which aims to strengthen Afghan civil society and its </w:t>
      </w:r>
      <w:r w:rsidR="00477E8C">
        <w:rPr>
          <w:rFonts w:ascii="Times New Roman" w:hAnsi="Times New Roman" w:cs="Times New Roman"/>
        </w:rPr>
        <w:t>engagement</w:t>
      </w:r>
      <w:r w:rsidR="00311456" w:rsidRPr="00607417">
        <w:rPr>
          <w:rFonts w:ascii="Times New Roman" w:hAnsi="Times New Roman" w:cs="Times New Roman"/>
        </w:rPr>
        <w:t xml:space="preserve"> with </w:t>
      </w:r>
      <w:r w:rsidR="00477E8C">
        <w:rPr>
          <w:rFonts w:ascii="Times New Roman" w:hAnsi="Times New Roman" w:cs="Times New Roman"/>
        </w:rPr>
        <w:t>the Afghan G</w:t>
      </w:r>
      <w:r w:rsidR="00311456" w:rsidRPr="00607417">
        <w:rPr>
          <w:rFonts w:ascii="Times New Roman" w:hAnsi="Times New Roman" w:cs="Times New Roman"/>
        </w:rPr>
        <w:t xml:space="preserve">overnment. </w:t>
      </w:r>
    </w:p>
    <w:p w:rsidR="00311456" w:rsidRPr="00A43DAD" w:rsidRDefault="00311456" w:rsidP="00311456">
      <w:pPr>
        <w:pStyle w:val="NormalWeb"/>
        <w:spacing w:before="0" w:beforeAutospacing="0" w:after="0" w:afterAutospacing="0"/>
      </w:pPr>
    </w:p>
    <w:p w:rsidR="00311456" w:rsidRDefault="00311456" w:rsidP="000203BE">
      <w:pPr>
        <w:pStyle w:val="NormalWeb"/>
        <w:spacing w:before="0" w:beforeAutospacing="0" w:after="0" w:afterAutospacing="0"/>
      </w:pPr>
      <w:r w:rsidRPr="00A43DAD">
        <w:t xml:space="preserve">USAID have similarly committed to support </w:t>
      </w:r>
      <w:r w:rsidR="004845F4">
        <w:t>the sector</w:t>
      </w:r>
      <w:r w:rsidRPr="00A43DAD">
        <w:t xml:space="preserve">. Since January 2005, </w:t>
      </w:r>
      <w:r w:rsidR="004D22C7">
        <w:t>through t</w:t>
      </w:r>
      <w:r w:rsidR="004D22C7" w:rsidRPr="00A43DAD">
        <w:t>heir Initiative to Promote Afghan Civil Society II (I-PACS II)</w:t>
      </w:r>
      <w:r w:rsidR="004D22C7">
        <w:t>,</w:t>
      </w:r>
      <w:r w:rsidR="004D22C7" w:rsidRPr="00A43DAD">
        <w:t xml:space="preserve"> </w:t>
      </w:r>
      <w:r w:rsidRPr="00A43DAD">
        <w:t xml:space="preserve">USAID has </w:t>
      </w:r>
      <w:r w:rsidR="000203BE">
        <w:t>aimed to strengthen</w:t>
      </w:r>
      <w:r w:rsidRPr="00A43DAD">
        <w:t xml:space="preserve"> the role and viability of </w:t>
      </w:r>
      <w:r w:rsidR="000203BE">
        <w:t xml:space="preserve">Afghan </w:t>
      </w:r>
      <w:r w:rsidRPr="00A43DAD">
        <w:t>civil society by providing technical assistance, capacity-</w:t>
      </w:r>
      <w:r w:rsidRPr="00A43DAD">
        <w:lastRenderedPageBreak/>
        <w:t>building training, and grant support to CSOs nationwide, working to enable Afghan citizens to effectively participate in the political process, solve community problems, and advocate for good governance from their leaders. USAID awarded a new US</w:t>
      </w:r>
      <w:r w:rsidR="007F448D">
        <w:t>$</w:t>
      </w:r>
      <w:r w:rsidRPr="00A43DAD">
        <w:t xml:space="preserve">45 million three-year phase of activity under I-PACS II in October 2010. </w:t>
      </w:r>
    </w:p>
    <w:p w:rsidR="004B5680" w:rsidRPr="004D22C7" w:rsidRDefault="004B5680" w:rsidP="000203BE">
      <w:pPr>
        <w:pStyle w:val="NormalWeb"/>
        <w:spacing w:before="0" w:beforeAutospacing="0" w:after="0" w:afterAutospacing="0"/>
      </w:pPr>
    </w:p>
    <w:p w:rsidR="00F00550" w:rsidRPr="00F00550" w:rsidRDefault="00F00550" w:rsidP="00F00550">
      <w:pPr>
        <w:autoSpaceDE w:val="0"/>
        <w:autoSpaceDN w:val="0"/>
        <w:adjustRightInd w:val="0"/>
        <w:rPr>
          <w:rFonts w:eastAsiaTheme="minorHAnsi"/>
          <w:lang w:val="en-AU" w:eastAsia="en-US"/>
        </w:rPr>
      </w:pPr>
      <w:r>
        <w:t xml:space="preserve">AusAID </w:t>
      </w:r>
      <w:r>
        <w:rPr>
          <w:rFonts w:eastAsiaTheme="minorHAnsi"/>
          <w:lang w:val="en-AU" w:eastAsia="en-US"/>
        </w:rPr>
        <w:t xml:space="preserve">has also provided support to projects involving Afghan civil society. For example, funding through the </w:t>
      </w:r>
      <w:r w:rsidRPr="00A0696B">
        <w:rPr>
          <w:rFonts w:eastAsiaTheme="minorHAnsi"/>
          <w:i/>
          <w:lang w:val="en-AU" w:eastAsia="en-US"/>
        </w:rPr>
        <w:t>AusAID-NGO Cooperation Program</w:t>
      </w:r>
      <w:r>
        <w:rPr>
          <w:rFonts w:eastAsiaTheme="minorHAnsi"/>
          <w:lang w:val="en-AU" w:eastAsia="en-US"/>
        </w:rPr>
        <w:t xml:space="preserve"> (ANCP) has supported TEAR Australia to operate health, rural livelihoods, and education projects in partnership with Afghan community organisations. </w:t>
      </w:r>
    </w:p>
    <w:p w:rsidR="00F00550" w:rsidRDefault="00F00550" w:rsidP="00F00550"/>
    <w:p w:rsidR="00311456" w:rsidRDefault="00AF02ED" w:rsidP="00311456">
      <w:pPr>
        <w:pStyle w:val="NormalWeb"/>
        <w:spacing w:before="0" w:beforeAutospacing="0" w:after="0" w:afterAutospacing="0"/>
      </w:pPr>
      <w:r>
        <w:t xml:space="preserve">More broadly, </w:t>
      </w:r>
      <w:proofErr w:type="gramStart"/>
      <w:r>
        <w:t>d</w:t>
      </w:r>
      <w:r w:rsidR="00311456" w:rsidRPr="00A43DAD">
        <w:t xml:space="preserve">onors also contribute to the NGO component of civil society in Afghanistan via national programs such as the </w:t>
      </w:r>
      <w:r w:rsidR="00EF3716" w:rsidRPr="00A0696B">
        <w:t xml:space="preserve">National Solidarity Program </w:t>
      </w:r>
      <w:r w:rsidR="00477E8C" w:rsidRPr="00A0696B">
        <w:t>(</w:t>
      </w:r>
      <w:r w:rsidR="0087051C" w:rsidRPr="00A0696B">
        <w:t>NSP</w:t>
      </w:r>
      <w:r w:rsidR="00477E8C">
        <w:rPr>
          <w:iCs/>
        </w:rPr>
        <w:t>)</w:t>
      </w:r>
      <w:r w:rsidR="00311456" w:rsidRPr="00B5506C">
        <w:t>,</w:t>
      </w:r>
      <w:r>
        <w:t xml:space="preserve"> led by MRRD</w:t>
      </w:r>
      <w:r w:rsidR="00305817">
        <w:t xml:space="preserve">, </w:t>
      </w:r>
      <w:r w:rsidR="00CE1010">
        <w:t>and</w:t>
      </w:r>
      <w:r w:rsidR="00305817">
        <w:t xml:space="preserve"> </w:t>
      </w:r>
      <w:r w:rsidR="004D22C7" w:rsidRPr="00A43DAD">
        <w:t>is</w:t>
      </w:r>
      <w:proofErr w:type="gramEnd"/>
      <w:r w:rsidR="004D22C7" w:rsidRPr="00A43DAD">
        <w:t xml:space="preserve"> funded </w:t>
      </w:r>
      <w:r w:rsidR="00305817">
        <w:t>through</w:t>
      </w:r>
      <w:r w:rsidR="004D22C7" w:rsidRPr="00A43DAD">
        <w:t xml:space="preserve"> the </w:t>
      </w:r>
      <w:r>
        <w:t>ARTF</w:t>
      </w:r>
      <w:r w:rsidR="004D22C7" w:rsidRPr="00A43DAD">
        <w:t xml:space="preserve">. </w:t>
      </w:r>
      <w:r w:rsidR="00607417">
        <w:t>T</w:t>
      </w:r>
      <w:r w:rsidR="00311456" w:rsidRPr="00A43DAD">
        <w:t>he NSP helps build trust and connect rural communities to the central government with the bottom-up delivery of services and the promotion of grassroots democracy through:</w:t>
      </w:r>
    </w:p>
    <w:p w:rsidR="00311456" w:rsidRPr="00A43DAD" w:rsidRDefault="00311456" w:rsidP="00311456">
      <w:pPr>
        <w:pStyle w:val="NormalWeb"/>
        <w:spacing w:before="0" w:beforeAutospacing="0" w:after="0" w:afterAutospacing="0"/>
      </w:pPr>
    </w:p>
    <w:p w:rsidR="00311456" w:rsidRPr="00A43DAD" w:rsidRDefault="001459CA" w:rsidP="008C14ED">
      <w:pPr>
        <w:pStyle w:val="NormalWeb"/>
        <w:numPr>
          <w:ilvl w:val="0"/>
          <w:numId w:val="22"/>
        </w:numPr>
        <w:spacing w:before="0" w:beforeAutospacing="0" w:after="0" w:afterAutospacing="0"/>
      </w:pPr>
      <w:r>
        <w:t>d</w:t>
      </w:r>
      <w:r w:rsidR="00311456" w:rsidRPr="00A43DAD">
        <w:t xml:space="preserve">eveloping local governance at the village level through the creation of </w:t>
      </w:r>
      <w:r>
        <w:t>CDCs</w:t>
      </w:r>
    </w:p>
    <w:p w:rsidR="00311456" w:rsidRDefault="001459CA" w:rsidP="008C14ED">
      <w:pPr>
        <w:pStyle w:val="NormalWeb"/>
        <w:numPr>
          <w:ilvl w:val="0"/>
          <w:numId w:val="22"/>
        </w:numPr>
        <w:spacing w:before="0" w:beforeAutospacing="0" w:after="0" w:afterAutospacing="0"/>
      </w:pPr>
      <w:proofErr w:type="gramStart"/>
      <w:r>
        <w:t>i</w:t>
      </w:r>
      <w:r w:rsidR="00311456" w:rsidRPr="00A43DAD">
        <w:t>mproving</w:t>
      </w:r>
      <w:proofErr w:type="gramEnd"/>
      <w:r w:rsidR="00311456" w:rsidRPr="00A43DAD">
        <w:t xml:space="preserve"> access to basic infrastructure and socio-economic development opportunities in rural communities across Afghanistan through grants programs.</w:t>
      </w:r>
    </w:p>
    <w:p w:rsidR="00311456" w:rsidRPr="00A43DAD" w:rsidRDefault="00311456" w:rsidP="00311456">
      <w:pPr>
        <w:pStyle w:val="NormalWeb"/>
        <w:spacing w:before="0" w:beforeAutospacing="0" w:after="0" w:afterAutospacing="0"/>
        <w:ind w:left="720"/>
      </w:pPr>
    </w:p>
    <w:p w:rsidR="00311456" w:rsidRDefault="00311456" w:rsidP="00311456">
      <w:pPr>
        <w:pStyle w:val="NormalWeb"/>
        <w:spacing w:before="0" w:beforeAutospacing="0" w:after="0" w:afterAutospacing="0"/>
      </w:pPr>
      <w:r w:rsidRPr="00A43DAD">
        <w:t>Due to its size and duration (almost a decade), NSP has had significant outreach in rural Afghanistan. As of late December 2011, the NSP had covered over 75 per cent of the rural population, establishing more than 28,243 CDCs in 357 of Afghanistan’s almost 400 districts and provincial centres. Since its inception, the program</w:t>
      </w:r>
      <w:r w:rsidR="00383600">
        <w:t xml:space="preserve"> has disbursed more than </w:t>
      </w:r>
      <w:r w:rsidR="007F448D">
        <w:t>AUD</w:t>
      </w:r>
      <w:r w:rsidR="00383600">
        <w:t>US914 </w:t>
      </w:r>
      <w:r w:rsidRPr="00A43DAD">
        <w:t>million in grants to rural communities, which have financed approximately 60,386 community prioritised sub-projects. In many remote parts of the country, the NSP is the only functioning government development program.</w:t>
      </w:r>
    </w:p>
    <w:p w:rsidR="00B5506C" w:rsidRPr="00A43DAD" w:rsidRDefault="00837A64" w:rsidP="008C14ED">
      <w:pPr>
        <w:pStyle w:val="Heading2"/>
        <w:numPr>
          <w:ilvl w:val="1"/>
          <w:numId w:val="8"/>
        </w:numPr>
        <w:ind w:left="0" w:firstLine="0"/>
        <w:rPr>
          <w:lang w:eastAsia="en-AU"/>
        </w:rPr>
      </w:pPr>
      <w:bookmarkStart w:id="15" w:name="_Toc353974429"/>
      <w:r>
        <w:rPr>
          <w:lang w:eastAsia="en-AU"/>
        </w:rPr>
        <w:t>Community Resilience and Livelihoods</w:t>
      </w:r>
      <w:bookmarkEnd w:id="15"/>
    </w:p>
    <w:p w:rsidR="00A821C8" w:rsidRDefault="00A821C8" w:rsidP="00B5506C"/>
    <w:p w:rsidR="00B5506C" w:rsidRPr="00A43DAD" w:rsidRDefault="00BB384A" w:rsidP="00B5506C">
      <w:r>
        <w:t>AusAID base</w:t>
      </w:r>
      <w:r w:rsidR="00F96C55">
        <w:t>s</w:t>
      </w:r>
      <w:r>
        <w:t xml:space="preserve"> its agriculture and rural development support to Afghanistan on </w:t>
      </w:r>
      <w:r w:rsidR="00B5506C">
        <w:t>three pillars</w:t>
      </w:r>
      <w:r w:rsidR="00B5506C" w:rsidRPr="00A43DAD">
        <w:t>:</w:t>
      </w:r>
    </w:p>
    <w:p w:rsidR="00B5506C" w:rsidRPr="00A43DAD" w:rsidRDefault="00B5506C" w:rsidP="00B5506C">
      <w:r w:rsidRPr="00A43DAD">
        <w:t xml:space="preserve"> </w:t>
      </w:r>
    </w:p>
    <w:p w:rsidR="00B5506C" w:rsidRPr="00A43DAD" w:rsidRDefault="00B5506C" w:rsidP="008C14ED">
      <w:pPr>
        <w:pStyle w:val="ListParagraph"/>
        <w:numPr>
          <w:ilvl w:val="0"/>
          <w:numId w:val="7"/>
        </w:numPr>
      </w:pPr>
      <w:r w:rsidRPr="00A43DAD">
        <w:rPr>
          <w:b/>
        </w:rPr>
        <w:t>Subsistence Livelihood Security</w:t>
      </w:r>
      <w:r w:rsidRPr="00A43DAD">
        <w:t>: Improving the basic food security and agricultural livelihoods of vulnerable rural communities through government, multilateral and civil society channels.</w:t>
      </w:r>
    </w:p>
    <w:p w:rsidR="00B5506C" w:rsidRPr="00A43DAD" w:rsidRDefault="00B5506C" w:rsidP="008C14ED">
      <w:pPr>
        <w:pStyle w:val="ListParagraph"/>
        <w:numPr>
          <w:ilvl w:val="0"/>
          <w:numId w:val="7"/>
        </w:numPr>
      </w:pPr>
      <w:r w:rsidRPr="00A43DAD">
        <w:rPr>
          <w:b/>
        </w:rPr>
        <w:t>Agricultural Livelihood Productivity</w:t>
      </w:r>
      <w:r w:rsidRPr="00A43DAD">
        <w:t>: Sustaining and improving the productivity of targeted Afghan farming systems in water scarce environments through adaptive research.</w:t>
      </w:r>
    </w:p>
    <w:p w:rsidR="00B5506C" w:rsidRPr="00A43DAD" w:rsidRDefault="00B5506C" w:rsidP="008C14ED">
      <w:pPr>
        <w:pStyle w:val="ListParagraph"/>
        <w:numPr>
          <w:ilvl w:val="0"/>
          <w:numId w:val="7"/>
        </w:numPr>
      </w:pPr>
      <w:r w:rsidRPr="00A43DAD">
        <w:rPr>
          <w:b/>
        </w:rPr>
        <w:t>Agricultural Livelihood Services</w:t>
      </w:r>
      <w:r w:rsidRPr="00A43DAD">
        <w:t>: Building the capacity of government agencies to plan for and service the agricultural livelihoods of rural communities.</w:t>
      </w:r>
    </w:p>
    <w:p w:rsidR="00B5506C" w:rsidRPr="00A43DAD" w:rsidRDefault="00B5506C" w:rsidP="00B5506C">
      <w:pPr>
        <w:pStyle w:val="ListParagraph"/>
      </w:pPr>
    </w:p>
    <w:p w:rsidR="00477E8C" w:rsidRDefault="00B5506C" w:rsidP="00837A64">
      <w:r>
        <w:rPr>
          <w:lang w:bidi="en-US"/>
        </w:rPr>
        <w:t>Through the AACRS, there is</w:t>
      </w:r>
      <w:r w:rsidRPr="0035033E">
        <w:rPr>
          <w:lang w:bidi="en-US"/>
        </w:rPr>
        <w:t xml:space="preserve"> scope for NGOs</w:t>
      </w:r>
      <w:r w:rsidR="00EF5D41">
        <w:rPr>
          <w:lang w:bidi="en-US"/>
        </w:rPr>
        <w:t xml:space="preserve"> and their local partners</w:t>
      </w:r>
      <w:r w:rsidRPr="0035033E">
        <w:rPr>
          <w:lang w:bidi="en-US"/>
        </w:rPr>
        <w:t xml:space="preserve"> to achieve </w:t>
      </w:r>
      <w:r>
        <w:rPr>
          <w:lang w:bidi="en-US"/>
        </w:rPr>
        <w:t>outputs</w:t>
      </w:r>
      <w:r w:rsidR="00EF5D41">
        <w:rPr>
          <w:lang w:bidi="en-US"/>
        </w:rPr>
        <w:t xml:space="preserve"> </w:t>
      </w:r>
      <w:r w:rsidR="00085A17">
        <w:rPr>
          <w:lang w:bidi="en-US"/>
        </w:rPr>
        <w:t xml:space="preserve">against </w:t>
      </w:r>
      <w:r w:rsidR="00EF5D41">
        <w:rPr>
          <w:lang w:bidi="en-US"/>
        </w:rPr>
        <w:t xml:space="preserve">all three </w:t>
      </w:r>
      <w:r w:rsidR="00085A17">
        <w:rPr>
          <w:lang w:bidi="en-US"/>
        </w:rPr>
        <w:t>pillars</w:t>
      </w:r>
      <w:r w:rsidR="00EF5D41">
        <w:rPr>
          <w:lang w:bidi="en-US"/>
        </w:rPr>
        <w:t xml:space="preserve">. However, </w:t>
      </w:r>
      <w:r w:rsidR="008F290B">
        <w:rPr>
          <w:lang w:bidi="en-US"/>
        </w:rPr>
        <w:t>the majority</w:t>
      </w:r>
      <w:r>
        <w:rPr>
          <w:lang w:bidi="en-US"/>
        </w:rPr>
        <w:t xml:space="preserve"> of the work, and the ultimate outcomes </w:t>
      </w:r>
      <w:r w:rsidRPr="0035033E">
        <w:rPr>
          <w:lang w:bidi="en-US"/>
        </w:rPr>
        <w:t xml:space="preserve">of the </w:t>
      </w:r>
      <w:r>
        <w:rPr>
          <w:lang w:bidi="en-US"/>
        </w:rPr>
        <w:t>AACRS,</w:t>
      </w:r>
      <w:r w:rsidRPr="0035033E">
        <w:rPr>
          <w:lang w:bidi="en-US"/>
        </w:rPr>
        <w:t xml:space="preserve"> </w:t>
      </w:r>
      <w:r w:rsidR="00EF5D41">
        <w:rPr>
          <w:lang w:bidi="en-US"/>
        </w:rPr>
        <w:t>will be</w:t>
      </w:r>
      <w:r>
        <w:rPr>
          <w:lang w:bidi="en-US"/>
        </w:rPr>
        <w:t xml:space="preserve"> through</w:t>
      </w:r>
      <w:r w:rsidRPr="0035033E">
        <w:rPr>
          <w:lang w:bidi="en-US"/>
        </w:rPr>
        <w:t xml:space="preserve"> supporting </w:t>
      </w:r>
      <w:r w:rsidR="00477E8C">
        <w:rPr>
          <w:lang w:bidi="en-US"/>
        </w:rPr>
        <w:t>Pillar One,</w:t>
      </w:r>
      <w:r w:rsidRPr="00AE3D2B">
        <w:rPr>
          <w:b/>
          <w:lang w:bidi="en-US"/>
        </w:rPr>
        <w:t xml:space="preserve"> Subsistence Livelihood Security</w:t>
      </w:r>
      <w:r w:rsidR="00477E8C">
        <w:rPr>
          <w:b/>
          <w:lang w:bidi="en-US"/>
        </w:rPr>
        <w:t xml:space="preserve">: </w:t>
      </w:r>
      <w:r w:rsidR="00477E8C" w:rsidRPr="00477E8C">
        <w:rPr>
          <w:b/>
          <w:lang w:bidi="en-US"/>
        </w:rPr>
        <w:t xml:space="preserve">improving </w:t>
      </w:r>
      <w:r w:rsidR="00477E8C" w:rsidRPr="00477E8C">
        <w:rPr>
          <w:b/>
        </w:rPr>
        <w:t>the basic food security and agricultural livelihoods of vulnerable rural communities.</w:t>
      </w:r>
    </w:p>
    <w:p w:rsidR="00837A64" w:rsidRDefault="00477E8C" w:rsidP="00837A64">
      <w:pPr>
        <w:rPr>
          <w:lang w:bidi="en-US"/>
        </w:rPr>
      </w:pPr>
      <w:r w:rsidRPr="00A43DAD">
        <w:t xml:space="preserve"> </w:t>
      </w:r>
    </w:p>
    <w:p w:rsidR="00CC6CB1" w:rsidRDefault="00567834" w:rsidP="00747F56">
      <w:pPr>
        <w:autoSpaceDE w:val="0"/>
        <w:autoSpaceDN w:val="0"/>
        <w:adjustRightInd w:val="0"/>
        <w:rPr>
          <w:lang w:bidi="en-US"/>
        </w:rPr>
      </w:pPr>
      <w:r>
        <w:rPr>
          <w:lang w:bidi="en-US"/>
        </w:rPr>
        <w:t xml:space="preserve">The AACRS objective, </w:t>
      </w:r>
      <w:r>
        <w:t>improved resilience and livelihoods for Afghan rural communities</w:t>
      </w:r>
      <w:r w:rsidR="00734D25">
        <w:t>,</w:t>
      </w:r>
      <w:r>
        <w:t xml:space="preserve"> </w:t>
      </w:r>
      <w:r>
        <w:rPr>
          <w:lang w:bidi="en-US"/>
        </w:rPr>
        <w:t xml:space="preserve">is </w:t>
      </w:r>
      <w:r>
        <w:t>based on the understanding that p</w:t>
      </w:r>
      <w:r w:rsidRPr="00A87F6C">
        <w:t xml:space="preserve">eople living in poverty are particularly vulnerable to </w:t>
      </w:r>
      <w:r w:rsidR="0001731C" w:rsidRPr="00A87F6C">
        <w:t>crises</w:t>
      </w:r>
      <w:r w:rsidR="00CC6CB1">
        <w:t>, challenges and shocks</w:t>
      </w:r>
      <w:r w:rsidRPr="00A87F6C">
        <w:t xml:space="preserve">. </w:t>
      </w:r>
      <w:r w:rsidR="00747F56" w:rsidRPr="00747F56">
        <w:t xml:space="preserve">Negative shocks can </w:t>
      </w:r>
      <w:r w:rsidR="00085A17">
        <w:t>have effects</w:t>
      </w:r>
      <w:r w:rsidR="00747F56" w:rsidRPr="00747F56">
        <w:t xml:space="preserve"> a</w:t>
      </w:r>
      <w:r w:rsidR="00364B73">
        <w:t xml:space="preserve">long gender lines, and women and </w:t>
      </w:r>
      <w:r w:rsidR="00364B73">
        <w:lastRenderedPageBreak/>
        <w:t>girls</w:t>
      </w:r>
      <w:r w:rsidR="00747F56" w:rsidRPr="00747F56">
        <w:t xml:space="preserve"> in poor households often bear the largest burden.</w:t>
      </w:r>
      <w:r w:rsidR="00747F56">
        <w:rPr>
          <w:rStyle w:val="FootnoteReference"/>
        </w:rPr>
        <w:footnoteReference w:id="21"/>
      </w:r>
      <w:r w:rsidR="00747F56">
        <w:t xml:space="preserve"> </w:t>
      </w:r>
      <w:r w:rsidR="00FC567D" w:rsidRPr="00FC567D">
        <w:t xml:space="preserve">Resilience </w:t>
      </w:r>
      <w:r w:rsidR="00FC567D">
        <w:t>is the ability to resist</w:t>
      </w:r>
      <w:r w:rsidR="00A9706D">
        <w:t>, accommodate</w:t>
      </w:r>
      <w:r w:rsidR="00FC567D">
        <w:t xml:space="preserve"> </w:t>
      </w:r>
      <w:r w:rsidR="00477E8C">
        <w:t>or</w:t>
      </w:r>
      <w:r w:rsidR="00FC567D">
        <w:t xml:space="preserve"> recover from </w:t>
      </w:r>
      <w:r w:rsidR="00FC567D" w:rsidRPr="00FC567D">
        <w:t xml:space="preserve">the effects of a </w:t>
      </w:r>
      <w:r w:rsidR="00CC6CB1">
        <w:t>shock</w:t>
      </w:r>
      <w:r w:rsidR="00FC567D" w:rsidRPr="00FC567D">
        <w:t>.</w:t>
      </w:r>
      <w:r w:rsidR="00FC567D">
        <w:rPr>
          <w:rStyle w:val="FootnoteReference"/>
        </w:rPr>
        <w:footnoteReference w:id="22"/>
      </w:r>
      <w:r w:rsidR="00FC567D">
        <w:t xml:space="preserve"> </w:t>
      </w:r>
      <w:r>
        <w:t>Improving</w:t>
      </w:r>
      <w:r>
        <w:rPr>
          <w:lang w:bidi="en-US"/>
        </w:rPr>
        <w:t xml:space="preserve"> community resilience is </w:t>
      </w:r>
      <w:r w:rsidR="00364B73">
        <w:rPr>
          <w:lang w:bidi="en-US"/>
        </w:rPr>
        <w:t xml:space="preserve">therefore </w:t>
      </w:r>
      <w:r>
        <w:rPr>
          <w:lang w:bidi="en-US"/>
        </w:rPr>
        <w:t xml:space="preserve">about </w:t>
      </w:r>
      <w:r w:rsidRPr="00A87F6C">
        <w:rPr>
          <w:lang w:bidi="en-US"/>
        </w:rPr>
        <w:t>build</w:t>
      </w:r>
      <w:r>
        <w:rPr>
          <w:lang w:bidi="en-US"/>
        </w:rPr>
        <w:t>ing</w:t>
      </w:r>
      <w:r w:rsidRPr="00A87F6C">
        <w:rPr>
          <w:lang w:bidi="en-US"/>
        </w:rPr>
        <w:t xml:space="preserve"> stronger social and economic foundations in local communities so that they can respond more effectively to </w:t>
      </w:r>
      <w:r w:rsidR="00364B73">
        <w:rPr>
          <w:lang w:bidi="en-US"/>
        </w:rPr>
        <w:t>shocks</w:t>
      </w:r>
      <w:r w:rsidRPr="0070353F">
        <w:rPr>
          <w:lang w:bidi="en-US"/>
        </w:rPr>
        <w:t>.</w:t>
      </w:r>
      <w:r w:rsidR="00A41479" w:rsidRPr="0070353F">
        <w:rPr>
          <w:lang w:bidi="en-US"/>
        </w:rPr>
        <w:t xml:space="preserve"> </w:t>
      </w:r>
    </w:p>
    <w:p w:rsidR="00CC6CB1" w:rsidRDefault="00CC6CB1" w:rsidP="00747F56">
      <w:pPr>
        <w:autoSpaceDE w:val="0"/>
        <w:autoSpaceDN w:val="0"/>
        <w:adjustRightInd w:val="0"/>
        <w:rPr>
          <w:lang w:bidi="en-US"/>
        </w:rPr>
      </w:pPr>
    </w:p>
    <w:p w:rsidR="00AF0B74" w:rsidRDefault="00EF0399" w:rsidP="00CC6CB1">
      <w:pPr>
        <w:autoSpaceDE w:val="0"/>
        <w:autoSpaceDN w:val="0"/>
        <w:adjustRightInd w:val="0"/>
      </w:pPr>
      <w:r>
        <w:rPr>
          <w:lang w:bidi="en-US"/>
        </w:rPr>
        <w:t xml:space="preserve">Community resilience can be addressed in such a wide range of ways as to risk making the concept incoherent. However, in line with AusAID’s </w:t>
      </w:r>
      <w:r w:rsidR="00BB384A">
        <w:rPr>
          <w:lang w:bidi="en-US"/>
        </w:rPr>
        <w:t xml:space="preserve">approach </w:t>
      </w:r>
      <w:r w:rsidR="00BB384A" w:rsidRPr="00BB384A">
        <w:rPr>
          <w:lang w:bidi="en-US"/>
        </w:rPr>
        <w:t>to agriculture and rural d</w:t>
      </w:r>
      <w:r w:rsidRPr="00BB384A">
        <w:rPr>
          <w:lang w:bidi="en-US"/>
        </w:rPr>
        <w:t>evelopment</w:t>
      </w:r>
      <w:r w:rsidR="00CE1010">
        <w:rPr>
          <w:lang w:bidi="en-US"/>
        </w:rPr>
        <w:t xml:space="preserve"> in Afghanistan</w:t>
      </w:r>
      <w:r w:rsidRPr="00BB384A">
        <w:rPr>
          <w:lang w:bidi="en-US"/>
        </w:rPr>
        <w:t>,</w:t>
      </w:r>
      <w:r>
        <w:rPr>
          <w:lang w:bidi="en-US"/>
        </w:rPr>
        <w:t xml:space="preserve"> </w:t>
      </w:r>
      <w:r w:rsidRPr="00AE3D2B">
        <w:rPr>
          <w:b/>
          <w:lang w:bidi="en-US"/>
        </w:rPr>
        <w:t>food security and economic livelihoods are central to the notion of community resilience envisaged under the AACRS</w:t>
      </w:r>
      <w:r>
        <w:rPr>
          <w:lang w:bidi="en-US"/>
        </w:rPr>
        <w:t>.</w:t>
      </w:r>
      <w:r w:rsidR="00CC6CB1">
        <w:rPr>
          <w:lang w:bidi="en-US"/>
        </w:rPr>
        <w:t xml:space="preserve"> I</w:t>
      </w:r>
      <w:r w:rsidR="0070353F" w:rsidRPr="0070353F">
        <w:rPr>
          <w:lang w:bidi="en-US"/>
        </w:rPr>
        <w:t xml:space="preserve">t enables the </w:t>
      </w:r>
      <w:r w:rsidR="0070353F" w:rsidRPr="0070353F">
        <w:t xml:space="preserve">poor to </w:t>
      </w:r>
      <w:r w:rsidR="00364B73">
        <w:t xml:space="preserve">engage in livelihood activities, allowing them to </w:t>
      </w:r>
      <w:r w:rsidR="0070353F" w:rsidRPr="0070353F">
        <w:t>earn money and become more resilient</w:t>
      </w:r>
      <w:r w:rsidR="0070353F">
        <w:t>.</w:t>
      </w:r>
      <w:r w:rsidR="0070353F" w:rsidRPr="007E1F0E">
        <w:rPr>
          <w:rStyle w:val="FootnoteReference"/>
          <w:lang w:bidi="en-US"/>
        </w:rPr>
        <w:footnoteReference w:id="23"/>
      </w:r>
      <w:r w:rsidR="00CC6CB1">
        <w:t xml:space="preserve"> </w:t>
      </w:r>
      <w:r w:rsidR="00CC6CB1" w:rsidRPr="00CC6CB1">
        <w:rPr>
          <w:lang w:bidi="en-US"/>
        </w:rPr>
        <w:t>Of course,</w:t>
      </w:r>
      <w:r w:rsidR="00AF0B74">
        <w:rPr>
          <w:lang w:bidi="en-US"/>
        </w:rPr>
        <w:t xml:space="preserve"> </w:t>
      </w:r>
      <w:r w:rsidR="00085A17">
        <w:rPr>
          <w:lang w:bidi="en-US"/>
        </w:rPr>
        <w:t xml:space="preserve">food security itself is often premised on </w:t>
      </w:r>
      <w:r w:rsidR="00AF0B74" w:rsidRPr="00AF0B74">
        <w:t xml:space="preserve">adequate income. The World Bank’s 2008 </w:t>
      </w:r>
      <w:r w:rsidR="00AF0B74">
        <w:rPr>
          <w:i/>
        </w:rPr>
        <w:t xml:space="preserve">World </w:t>
      </w:r>
      <w:r w:rsidR="00AF0B74" w:rsidRPr="00AF0B74">
        <w:rPr>
          <w:i/>
        </w:rPr>
        <w:t>Development Report</w:t>
      </w:r>
      <w:r w:rsidR="00AF0B74" w:rsidRPr="00AF0B74">
        <w:t xml:space="preserve"> found that agriculture’s most important c</w:t>
      </w:r>
      <w:r w:rsidR="00AF0B74">
        <w:t xml:space="preserve">ontribution to food security is </w:t>
      </w:r>
      <w:r w:rsidR="00AF0B74" w:rsidRPr="00AF0B74">
        <w:t>not subsistence production but the ability of the poor, particularly women, to earn money</w:t>
      </w:r>
      <w:r w:rsidR="00AF0B74">
        <w:t>.</w:t>
      </w:r>
      <w:r w:rsidR="00AF0B74">
        <w:rPr>
          <w:rStyle w:val="FootnoteReference"/>
        </w:rPr>
        <w:footnoteReference w:id="24"/>
      </w:r>
    </w:p>
    <w:p w:rsidR="00085A17" w:rsidRDefault="00085A17" w:rsidP="00CC6CB1">
      <w:pPr>
        <w:autoSpaceDE w:val="0"/>
        <w:autoSpaceDN w:val="0"/>
        <w:adjustRightInd w:val="0"/>
      </w:pPr>
    </w:p>
    <w:p w:rsidR="00085A17" w:rsidRDefault="00085A17" w:rsidP="00CC6CB1">
      <w:pPr>
        <w:autoSpaceDE w:val="0"/>
        <w:autoSpaceDN w:val="0"/>
        <w:adjustRightInd w:val="0"/>
      </w:pPr>
      <w:r>
        <w:t xml:space="preserve">Improving </w:t>
      </w:r>
      <w:r w:rsidR="00734F18">
        <w:t>rural</w:t>
      </w:r>
      <w:r>
        <w:t xml:space="preserve"> livelihoods is about supporting and improving </w:t>
      </w:r>
      <w:r w:rsidRPr="00853048">
        <w:t xml:space="preserve">the various activities and resources </w:t>
      </w:r>
      <w:r w:rsidR="00DE4A38">
        <w:t>that allow people to make</w:t>
      </w:r>
      <w:r w:rsidR="00DE4A38" w:rsidRPr="00853048">
        <w:t xml:space="preserve"> a living</w:t>
      </w:r>
      <w:r w:rsidRPr="00853048">
        <w:t xml:space="preserve">. </w:t>
      </w:r>
      <w:r>
        <w:t xml:space="preserve">It is likely to include </w:t>
      </w:r>
      <w:r w:rsidRPr="00085A17">
        <w:t>direct cooperation with the private sector</w:t>
      </w:r>
      <w:r>
        <w:t xml:space="preserve">, including </w:t>
      </w:r>
      <w:r w:rsidRPr="00085A17">
        <w:t>semi-subsistence farmers, the self-employed in the non-farm informal economy</w:t>
      </w:r>
      <w:r w:rsidR="0001731C">
        <w:t>,</w:t>
      </w:r>
      <w:r w:rsidRPr="00085A17">
        <w:t xml:space="preserve"> as well as micro, small and medium-sized enterprises.</w:t>
      </w:r>
      <w:r w:rsidR="0001731C">
        <w:rPr>
          <w:rStyle w:val="FootnoteReference"/>
        </w:rPr>
        <w:footnoteReference w:id="25"/>
      </w:r>
      <w:r w:rsidR="00DE4A38" w:rsidRPr="00DE4A38">
        <w:t xml:space="preserve"> </w:t>
      </w:r>
      <w:r w:rsidR="00DE4A38" w:rsidRPr="00853048">
        <w:t>A livelihood is sustainable when it can cope with and recover from stress and shocks</w:t>
      </w:r>
      <w:r w:rsidR="00DE4A38">
        <w:t>, and</w:t>
      </w:r>
      <w:r w:rsidR="00DE4A38" w:rsidRPr="00853048">
        <w:t xml:space="preserve"> maintain or enhance its capabilities and assets, while not undermining the natural resource base</w:t>
      </w:r>
      <w:r w:rsidR="00DE4A38">
        <w:t>.</w:t>
      </w:r>
    </w:p>
    <w:p w:rsidR="00AF0B74" w:rsidRPr="007E1F0E" w:rsidRDefault="00AF0B74" w:rsidP="00FC567D">
      <w:pPr>
        <w:autoSpaceDE w:val="0"/>
        <w:autoSpaceDN w:val="0"/>
        <w:adjustRightInd w:val="0"/>
      </w:pPr>
    </w:p>
    <w:p w:rsidR="00567834" w:rsidRDefault="00567834" w:rsidP="00567834">
      <w:pPr>
        <w:rPr>
          <w:lang w:bidi="en-US"/>
        </w:rPr>
      </w:pPr>
      <w:r>
        <w:t xml:space="preserve">The AACRS </w:t>
      </w:r>
      <w:r w:rsidR="00EF0399">
        <w:t>will</w:t>
      </w:r>
      <w:r>
        <w:t xml:space="preserve"> therefore </w:t>
      </w:r>
      <w:r w:rsidR="00EF0399">
        <w:t>prioritise</w:t>
      </w:r>
      <w:r>
        <w:t xml:space="preserve"> activities that </w:t>
      </w:r>
      <w:r w:rsidR="00561FA4">
        <w:t>support</w:t>
      </w:r>
      <w:r>
        <w:t xml:space="preserve">: </w:t>
      </w:r>
    </w:p>
    <w:p w:rsidR="00567834" w:rsidRPr="0035033E" w:rsidRDefault="00567834" w:rsidP="00567834">
      <w:pPr>
        <w:rPr>
          <w:lang w:bidi="en-US"/>
        </w:rPr>
      </w:pPr>
    </w:p>
    <w:p w:rsidR="00567834" w:rsidRPr="0035033E" w:rsidRDefault="00567834" w:rsidP="008C14ED">
      <w:pPr>
        <w:pStyle w:val="ListParagraph"/>
        <w:numPr>
          <w:ilvl w:val="0"/>
          <w:numId w:val="24"/>
        </w:numPr>
        <w:contextualSpacing w:val="0"/>
        <w:rPr>
          <w:lang w:bidi="en-US"/>
        </w:rPr>
      </w:pPr>
      <w:r>
        <w:t>agricultural productivity and food security</w:t>
      </w:r>
      <w:r w:rsidR="004276F5">
        <w:t>, including nutritional outcomes</w:t>
      </w:r>
    </w:p>
    <w:p w:rsidR="00567834" w:rsidRDefault="00567834" w:rsidP="008C14ED">
      <w:pPr>
        <w:pStyle w:val="ListParagraph"/>
        <w:numPr>
          <w:ilvl w:val="0"/>
          <w:numId w:val="24"/>
        </w:numPr>
        <w:contextualSpacing w:val="0"/>
        <w:rPr>
          <w:lang w:bidi="en-US"/>
        </w:rPr>
      </w:pPr>
      <w:r w:rsidRPr="0035033E">
        <w:rPr>
          <w:lang w:bidi="en-US"/>
        </w:rPr>
        <w:t>economic activity</w:t>
      </w:r>
      <w:r>
        <w:rPr>
          <w:lang w:bidi="en-US"/>
        </w:rPr>
        <w:t xml:space="preserve">, including </w:t>
      </w:r>
      <w:r>
        <w:t xml:space="preserve">access to </w:t>
      </w:r>
      <w:r w:rsidR="00DE4A38" w:rsidRPr="00FC567D">
        <w:t>micro-finance schemes</w:t>
      </w:r>
      <w:r w:rsidR="00DE4A38">
        <w:t xml:space="preserve"> and </w:t>
      </w:r>
      <w:r>
        <w:t>markets</w:t>
      </w:r>
      <w:r w:rsidR="00EF5D41">
        <w:t xml:space="preserve"> </w:t>
      </w:r>
      <w:r w:rsidR="00EF5D41" w:rsidRPr="0035033E">
        <w:rPr>
          <w:lang w:bidi="en-US"/>
        </w:rPr>
        <w:t>for poor men and women</w:t>
      </w:r>
    </w:p>
    <w:p w:rsidR="00861BB3" w:rsidRPr="0035033E" w:rsidRDefault="00561FA4" w:rsidP="00861BB3">
      <w:pPr>
        <w:pStyle w:val="ListParagraph"/>
        <w:numPr>
          <w:ilvl w:val="0"/>
          <w:numId w:val="24"/>
        </w:numPr>
        <w:contextualSpacing w:val="0"/>
        <w:rPr>
          <w:lang w:bidi="en-US"/>
        </w:rPr>
      </w:pPr>
      <w:r>
        <w:rPr>
          <w:lang w:bidi="en-US"/>
        </w:rPr>
        <w:t>diversified</w:t>
      </w:r>
      <w:r w:rsidR="00861BB3">
        <w:rPr>
          <w:lang w:bidi="en-US"/>
        </w:rPr>
        <w:t xml:space="preserve"> livelihoods</w:t>
      </w:r>
    </w:p>
    <w:p w:rsidR="00567834" w:rsidRPr="0035033E" w:rsidRDefault="00567834" w:rsidP="008C14ED">
      <w:pPr>
        <w:pStyle w:val="ListParagraph"/>
        <w:numPr>
          <w:ilvl w:val="0"/>
          <w:numId w:val="24"/>
        </w:numPr>
        <w:contextualSpacing w:val="0"/>
        <w:rPr>
          <w:lang w:bidi="en-US"/>
        </w:rPr>
      </w:pPr>
      <w:r>
        <w:rPr>
          <w:lang w:bidi="en-US"/>
        </w:rPr>
        <w:t>increase</w:t>
      </w:r>
      <w:r w:rsidR="00561FA4">
        <w:rPr>
          <w:lang w:bidi="en-US"/>
        </w:rPr>
        <w:t>d</w:t>
      </w:r>
      <w:r w:rsidRPr="0035033E">
        <w:rPr>
          <w:lang w:bidi="en-US"/>
        </w:rPr>
        <w:t xml:space="preserve"> cash incomes</w:t>
      </w:r>
    </w:p>
    <w:p w:rsidR="00567834" w:rsidRDefault="00567834" w:rsidP="008C14ED">
      <w:pPr>
        <w:pStyle w:val="ListParagraph"/>
        <w:numPr>
          <w:ilvl w:val="0"/>
          <w:numId w:val="24"/>
        </w:numPr>
        <w:contextualSpacing w:val="0"/>
        <w:rPr>
          <w:lang w:bidi="en-US"/>
        </w:rPr>
      </w:pPr>
      <w:r w:rsidRPr="0035033E">
        <w:rPr>
          <w:lang w:bidi="en-US"/>
        </w:rPr>
        <w:t>local level disaster risk reduction and disaster preparedness activities</w:t>
      </w:r>
    </w:p>
    <w:p w:rsidR="00567834" w:rsidRDefault="00567834" w:rsidP="008C14ED">
      <w:pPr>
        <w:pStyle w:val="ListParagraph"/>
        <w:numPr>
          <w:ilvl w:val="0"/>
          <w:numId w:val="24"/>
        </w:numPr>
        <w:contextualSpacing w:val="0"/>
        <w:rPr>
          <w:lang w:bidi="en-US"/>
        </w:rPr>
      </w:pPr>
      <w:r>
        <w:t>natural resource management</w:t>
      </w:r>
    </w:p>
    <w:p w:rsidR="00567834" w:rsidRDefault="00567834" w:rsidP="008C14ED">
      <w:pPr>
        <w:pStyle w:val="ListParagraph"/>
        <w:numPr>
          <w:ilvl w:val="0"/>
          <w:numId w:val="24"/>
        </w:numPr>
        <w:contextualSpacing w:val="0"/>
      </w:pPr>
      <w:r>
        <w:t>vocational and enterprise skills development</w:t>
      </w:r>
    </w:p>
    <w:p w:rsidR="00FC567D" w:rsidRDefault="00561FA4" w:rsidP="008C14ED">
      <w:pPr>
        <w:pStyle w:val="ListParagraph"/>
        <w:numPr>
          <w:ilvl w:val="0"/>
          <w:numId w:val="24"/>
        </w:numPr>
        <w:contextualSpacing w:val="0"/>
      </w:pPr>
      <w:r>
        <w:t>mitigation of</w:t>
      </w:r>
      <w:r w:rsidR="00FC567D" w:rsidRPr="00FC567D">
        <w:t xml:space="preserve"> the impact of natural hazards</w:t>
      </w:r>
      <w:r w:rsidR="00EF0399">
        <w:t xml:space="preserve"> on food security and livelihoods</w:t>
      </w:r>
    </w:p>
    <w:p w:rsidR="00085A17" w:rsidRDefault="00085A17" w:rsidP="008C14ED">
      <w:pPr>
        <w:pStyle w:val="ListParagraph"/>
        <w:numPr>
          <w:ilvl w:val="0"/>
          <w:numId w:val="24"/>
        </w:numPr>
        <w:contextualSpacing w:val="0"/>
      </w:pPr>
      <w:proofErr w:type="gramStart"/>
      <w:r w:rsidRPr="00085A17">
        <w:t>women</w:t>
      </w:r>
      <w:proofErr w:type="gramEnd"/>
      <w:r w:rsidR="00561FA4">
        <w:t xml:space="preserve"> to</w:t>
      </w:r>
      <w:r w:rsidRPr="00085A17">
        <w:t xml:space="preserve"> graduate from pov</w:t>
      </w:r>
      <w:r>
        <w:t>erty to sustainable livelihoods</w:t>
      </w:r>
      <w:r w:rsidR="00DE4A38">
        <w:t>.</w:t>
      </w:r>
    </w:p>
    <w:p w:rsidR="00FC567D" w:rsidRDefault="00FC567D" w:rsidP="00FC567D">
      <w:pPr>
        <w:pStyle w:val="ListParagraph"/>
        <w:contextualSpacing w:val="0"/>
      </w:pPr>
    </w:p>
    <w:p w:rsidR="00567834" w:rsidRDefault="00085A17" w:rsidP="001459CA">
      <w:pPr>
        <w:rPr>
          <w:lang w:bidi="en-US"/>
        </w:rPr>
      </w:pPr>
      <w:r>
        <w:rPr>
          <w:lang w:bidi="en-US"/>
        </w:rPr>
        <w:t>AACRS a</w:t>
      </w:r>
      <w:r w:rsidR="00567834">
        <w:rPr>
          <w:lang w:bidi="en-US"/>
        </w:rPr>
        <w:t xml:space="preserve">ctivities </w:t>
      </w:r>
      <w:r w:rsidR="001459CA">
        <w:rPr>
          <w:lang w:bidi="en-US"/>
        </w:rPr>
        <w:t>are</w:t>
      </w:r>
      <w:r w:rsidR="00567834">
        <w:rPr>
          <w:lang w:bidi="en-US"/>
        </w:rPr>
        <w:t xml:space="preserve"> </w:t>
      </w:r>
      <w:r w:rsidR="00EF5D41">
        <w:rPr>
          <w:lang w:bidi="en-US"/>
        </w:rPr>
        <w:t xml:space="preserve">therefore </w:t>
      </w:r>
      <w:r w:rsidR="001459CA">
        <w:rPr>
          <w:lang w:bidi="en-US"/>
        </w:rPr>
        <w:t xml:space="preserve">likely to </w:t>
      </w:r>
      <w:r w:rsidR="00567834">
        <w:rPr>
          <w:lang w:bidi="en-US"/>
        </w:rPr>
        <w:t>have different constituencies. For example</w:t>
      </w:r>
      <w:r w:rsidR="001459CA">
        <w:rPr>
          <w:lang w:bidi="en-US"/>
        </w:rPr>
        <w:t>,</w:t>
      </w:r>
      <w:r w:rsidR="00567834">
        <w:rPr>
          <w:lang w:bidi="en-US"/>
        </w:rPr>
        <w:t xml:space="preserve"> an activity to reduce individual vulnerability should focus on the poorest and most marginalised people</w:t>
      </w:r>
      <w:r w:rsidR="00837A64">
        <w:rPr>
          <w:lang w:bidi="en-US"/>
        </w:rPr>
        <w:t>,</w:t>
      </w:r>
      <w:r w:rsidR="00567834">
        <w:rPr>
          <w:lang w:bidi="en-US"/>
        </w:rPr>
        <w:t xml:space="preserve"> </w:t>
      </w:r>
      <w:r w:rsidR="00837A64">
        <w:rPr>
          <w:lang w:bidi="en-US"/>
        </w:rPr>
        <w:t>while</w:t>
      </w:r>
      <w:r w:rsidR="00567834">
        <w:rPr>
          <w:lang w:bidi="en-US"/>
        </w:rPr>
        <w:t xml:space="preserve"> work identified to improve broader agricultural productivity should instead support the best, most capable farmers as technical leaders who can in turn influence other farmers. </w:t>
      </w:r>
    </w:p>
    <w:p w:rsidR="00FC567D" w:rsidRDefault="00FC567D" w:rsidP="001459CA">
      <w:pPr>
        <w:rPr>
          <w:lang w:bidi="en-US"/>
        </w:rPr>
      </w:pPr>
    </w:p>
    <w:p w:rsidR="00FC567D" w:rsidRDefault="00FC567D" w:rsidP="00FC567D">
      <w:pPr>
        <w:rPr>
          <w:lang w:bidi="en-US"/>
        </w:rPr>
      </w:pPr>
      <w:r w:rsidRPr="00FC567D">
        <w:rPr>
          <w:lang w:bidi="en-US"/>
        </w:rPr>
        <w:t>It is also important to recognise that people can be both vulne</w:t>
      </w:r>
      <w:r>
        <w:rPr>
          <w:lang w:bidi="en-US"/>
        </w:rPr>
        <w:t xml:space="preserve">rable and resilient at the same </w:t>
      </w:r>
      <w:r w:rsidRPr="00FC567D">
        <w:rPr>
          <w:lang w:bidi="en-US"/>
        </w:rPr>
        <w:t>time. For example, an individual may be vulnerable due to</w:t>
      </w:r>
      <w:r>
        <w:rPr>
          <w:lang w:bidi="en-US"/>
        </w:rPr>
        <w:t xml:space="preserve"> poverty, old age or disability</w:t>
      </w:r>
      <w:r w:rsidR="00F96C55">
        <w:rPr>
          <w:lang w:bidi="en-US"/>
        </w:rPr>
        <w:t>,</w:t>
      </w:r>
      <w:r>
        <w:rPr>
          <w:lang w:bidi="en-US"/>
        </w:rPr>
        <w:t xml:space="preserve"> </w:t>
      </w:r>
      <w:r w:rsidRPr="00FC567D">
        <w:rPr>
          <w:lang w:bidi="en-US"/>
        </w:rPr>
        <w:t xml:space="preserve">but </w:t>
      </w:r>
      <w:r w:rsidRPr="00FC567D">
        <w:rPr>
          <w:lang w:bidi="en-US"/>
        </w:rPr>
        <w:lastRenderedPageBreak/>
        <w:t>may also be resilient due to a range of livelihood optio</w:t>
      </w:r>
      <w:r>
        <w:rPr>
          <w:lang w:bidi="en-US"/>
        </w:rPr>
        <w:t xml:space="preserve">ns, </w:t>
      </w:r>
      <w:r w:rsidR="00DA0280">
        <w:rPr>
          <w:lang w:bidi="en-US"/>
        </w:rPr>
        <w:t xml:space="preserve">such as </w:t>
      </w:r>
      <w:r>
        <w:rPr>
          <w:lang w:bidi="en-US"/>
        </w:rPr>
        <w:t xml:space="preserve">safe housing, insurance and </w:t>
      </w:r>
      <w:r w:rsidRPr="00FC567D">
        <w:rPr>
          <w:lang w:bidi="en-US"/>
        </w:rPr>
        <w:t>access to health systems.</w:t>
      </w:r>
      <w:r>
        <w:rPr>
          <w:rStyle w:val="FootnoteReference"/>
          <w:lang w:bidi="en-US"/>
        </w:rPr>
        <w:footnoteReference w:id="26"/>
      </w:r>
    </w:p>
    <w:p w:rsidR="00567834" w:rsidRPr="0035033E" w:rsidRDefault="00567834" w:rsidP="001459CA">
      <w:pPr>
        <w:rPr>
          <w:lang w:bidi="en-US"/>
        </w:rPr>
      </w:pPr>
    </w:p>
    <w:p w:rsidR="00B03F4B" w:rsidRPr="0035033E" w:rsidRDefault="00567834" w:rsidP="001459CA">
      <w:pPr>
        <w:rPr>
          <w:lang w:bidi="en-US"/>
        </w:rPr>
      </w:pPr>
      <w:r>
        <w:rPr>
          <w:lang w:bidi="en-US"/>
        </w:rPr>
        <w:t>T</w:t>
      </w:r>
      <w:r w:rsidRPr="0035033E">
        <w:rPr>
          <w:lang w:bidi="en-US"/>
        </w:rPr>
        <w:t>he most likely avenues for NGOs</w:t>
      </w:r>
      <w:r>
        <w:rPr>
          <w:lang w:bidi="en-US"/>
        </w:rPr>
        <w:t xml:space="preserve"> and their civil society partners</w:t>
      </w:r>
      <w:r w:rsidRPr="0035033E">
        <w:rPr>
          <w:lang w:bidi="en-US"/>
        </w:rPr>
        <w:t xml:space="preserve"> to achieve results </w:t>
      </w:r>
      <w:r w:rsidR="00F96C55">
        <w:rPr>
          <w:lang w:bidi="en-US"/>
        </w:rPr>
        <w:t xml:space="preserve">under the AACRS </w:t>
      </w:r>
      <w:r>
        <w:rPr>
          <w:lang w:bidi="en-US"/>
        </w:rPr>
        <w:t>will be</w:t>
      </w:r>
      <w:r w:rsidRPr="0035033E">
        <w:rPr>
          <w:lang w:bidi="en-US"/>
        </w:rPr>
        <w:t xml:space="preserve"> by working in areas</w:t>
      </w:r>
      <w:r>
        <w:rPr>
          <w:lang w:bidi="en-US"/>
        </w:rPr>
        <w:t xml:space="preserve"> that they have already worked. This can include</w:t>
      </w:r>
      <w:r w:rsidRPr="0035033E">
        <w:rPr>
          <w:lang w:bidi="en-US"/>
        </w:rPr>
        <w:t xml:space="preserve"> using the </w:t>
      </w:r>
      <w:r>
        <w:rPr>
          <w:lang w:bidi="en-US"/>
        </w:rPr>
        <w:t>AACRS</w:t>
      </w:r>
      <w:r w:rsidRPr="0035033E">
        <w:rPr>
          <w:lang w:bidi="en-US"/>
        </w:rPr>
        <w:t xml:space="preserve"> to extend </w:t>
      </w:r>
      <w:r w:rsidR="00561FA4">
        <w:rPr>
          <w:lang w:bidi="en-US"/>
        </w:rPr>
        <w:t xml:space="preserve">the life of </w:t>
      </w:r>
      <w:r w:rsidRPr="0035033E">
        <w:rPr>
          <w:lang w:bidi="en-US"/>
        </w:rPr>
        <w:t xml:space="preserve">successful activities that are underway, or </w:t>
      </w:r>
      <w:r w:rsidR="00561FA4">
        <w:rPr>
          <w:lang w:bidi="en-US"/>
        </w:rPr>
        <w:t>could be</w:t>
      </w:r>
      <w:r>
        <w:rPr>
          <w:lang w:bidi="en-US"/>
        </w:rPr>
        <w:t xml:space="preserve"> </w:t>
      </w:r>
      <w:proofErr w:type="gramStart"/>
      <w:r w:rsidR="00561FA4">
        <w:rPr>
          <w:lang w:bidi="en-US"/>
        </w:rPr>
        <w:t xml:space="preserve">expanded </w:t>
      </w:r>
      <w:r>
        <w:rPr>
          <w:lang w:bidi="en-US"/>
        </w:rPr>
        <w:t>. </w:t>
      </w:r>
      <w:proofErr w:type="gramEnd"/>
      <w:r w:rsidRPr="0035033E">
        <w:rPr>
          <w:lang w:bidi="en-US"/>
        </w:rPr>
        <w:t>This is</w:t>
      </w:r>
      <w:r>
        <w:rPr>
          <w:lang w:bidi="en-US"/>
        </w:rPr>
        <w:t xml:space="preserve"> valuable</w:t>
      </w:r>
      <w:r w:rsidRPr="0035033E">
        <w:rPr>
          <w:lang w:bidi="en-US"/>
        </w:rPr>
        <w:t xml:space="preserve"> in th</w:t>
      </w:r>
      <w:r>
        <w:rPr>
          <w:lang w:bidi="en-US"/>
        </w:rPr>
        <w:t>e Afghan environment where the barriers to entry</w:t>
      </w:r>
      <w:r w:rsidRPr="0035033E">
        <w:rPr>
          <w:lang w:bidi="en-US"/>
        </w:rPr>
        <w:t xml:space="preserve"> of new aid investments are hig</w:t>
      </w:r>
      <w:r w:rsidR="00EF0399">
        <w:rPr>
          <w:lang w:bidi="en-US"/>
        </w:rPr>
        <w:t xml:space="preserve">h, and where AusAID would prefer to build upon the existing proven work of trusted and capable partners, </w:t>
      </w:r>
      <w:r w:rsidRPr="0035033E">
        <w:rPr>
          <w:lang w:bidi="en-US"/>
        </w:rPr>
        <w:t xml:space="preserve">than to try to </w:t>
      </w:r>
      <w:r>
        <w:rPr>
          <w:lang w:bidi="en-US"/>
        </w:rPr>
        <w:t>develop</w:t>
      </w:r>
      <w:r w:rsidRPr="0035033E">
        <w:rPr>
          <w:lang w:bidi="en-US"/>
        </w:rPr>
        <w:t xml:space="preserve"> untested activities that will take </w:t>
      </w:r>
      <w:r>
        <w:rPr>
          <w:lang w:bidi="en-US"/>
        </w:rPr>
        <w:t>time</w:t>
      </w:r>
      <w:r w:rsidRPr="0035033E">
        <w:rPr>
          <w:lang w:bidi="en-US"/>
        </w:rPr>
        <w:t xml:space="preserve"> to gain traction.</w:t>
      </w:r>
      <w:r w:rsidR="009221B7">
        <w:rPr>
          <w:lang w:bidi="en-US"/>
        </w:rPr>
        <w:t xml:space="preserve"> </w:t>
      </w:r>
      <w:r w:rsidR="00B03F4B">
        <w:rPr>
          <w:lang w:bidi="en-US"/>
        </w:rPr>
        <w:t xml:space="preserve">AusAID notes that it will also be useful for AACRS partners that work in the areas of agricultural livelihoods to identify and capitalise upon links with technical agricultural research work being funded in Afghanistan by AusAID (in partnership with </w:t>
      </w:r>
      <w:r w:rsidR="00C4578B">
        <w:rPr>
          <w:lang w:bidi="en-US"/>
        </w:rPr>
        <w:t xml:space="preserve">the </w:t>
      </w:r>
      <w:r w:rsidR="00C4578B" w:rsidRPr="00C4578B">
        <w:rPr>
          <w:lang w:bidi="en-US"/>
        </w:rPr>
        <w:t>Australian Centre for International Agricultural Research</w:t>
      </w:r>
      <w:r w:rsidR="00B03F4B">
        <w:rPr>
          <w:lang w:bidi="en-US"/>
        </w:rPr>
        <w:t>) in the area of agricultural productivity improvement.</w:t>
      </w:r>
    </w:p>
    <w:p w:rsidR="00B67494" w:rsidRPr="00837A64" w:rsidRDefault="00B67494" w:rsidP="00C4578B">
      <w:pPr>
        <w:pStyle w:val="Heading1"/>
        <w:numPr>
          <w:ilvl w:val="0"/>
          <w:numId w:val="1"/>
        </w:numPr>
      </w:pPr>
      <w:bookmarkStart w:id="16" w:name="_Toc353974430"/>
      <w:r w:rsidRPr="00837A64">
        <w:t>Rationale</w:t>
      </w:r>
      <w:bookmarkEnd w:id="16"/>
      <w:r w:rsidR="00A87F6C" w:rsidRPr="00837A64">
        <w:t xml:space="preserve"> </w:t>
      </w:r>
    </w:p>
    <w:p w:rsidR="00A821C8" w:rsidRDefault="00A821C8" w:rsidP="00E32199">
      <w:pPr>
        <w:pStyle w:val="ListParagraph"/>
        <w:ind w:left="0"/>
      </w:pPr>
    </w:p>
    <w:p w:rsidR="00EA41A5" w:rsidRDefault="00F96C55" w:rsidP="00F96C55">
      <w:r w:rsidRPr="00A43DAD">
        <w:t>Ongoing and scaled-up support to the agricultur</w:t>
      </w:r>
      <w:r>
        <w:t>al and rural development sector</w:t>
      </w:r>
      <w:r w:rsidRPr="00A43DAD">
        <w:t xml:space="preserve"> </w:t>
      </w:r>
      <w:r>
        <w:t>is</w:t>
      </w:r>
      <w:r w:rsidRPr="00A43DAD">
        <w:t xml:space="preserve"> </w:t>
      </w:r>
      <w:r>
        <w:t xml:space="preserve">an agreed commitment within the MoU between Australia and Afghanistan. This recognises the sector’s </w:t>
      </w:r>
      <w:r w:rsidRPr="00A43DAD">
        <w:t>centrality to the food security and economic</w:t>
      </w:r>
      <w:r>
        <w:t xml:space="preserve"> prospects of the Afghan people,</w:t>
      </w:r>
      <w:r w:rsidRPr="00A43DAD">
        <w:t xml:space="preserve"> and Australia’s strengths in delivering development assistance in </w:t>
      </w:r>
      <w:r>
        <w:t xml:space="preserve">the sector. </w:t>
      </w:r>
      <w:r w:rsidR="00BB384A">
        <w:t xml:space="preserve">AusAID’s approach </w:t>
      </w:r>
      <w:r w:rsidR="00BB384A" w:rsidRPr="00BB384A">
        <w:t>to</w:t>
      </w:r>
      <w:r w:rsidR="00EA41A5" w:rsidRPr="00BB384A">
        <w:t xml:space="preserve"> </w:t>
      </w:r>
      <w:r w:rsidR="00BB384A" w:rsidRPr="00BB384A">
        <w:t>agriculture and rural d</w:t>
      </w:r>
      <w:r w:rsidR="00EA41A5" w:rsidRPr="00BB384A">
        <w:t>evelopment</w:t>
      </w:r>
      <w:r w:rsidR="00EA41A5" w:rsidRPr="004A1D70">
        <w:rPr>
          <w:i/>
        </w:rPr>
        <w:t xml:space="preserve"> </w:t>
      </w:r>
      <w:r w:rsidR="00BB384A">
        <w:t xml:space="preserve">identifies </w:t>
      </w:r>
      <w:r w:rsidR="00DA0280">
        <w:t>improving the basic food security and agricultural livelihoods of vulnerable rural communities</w:t>
      </w:r>
      <w:r w:rsidR="00E32199">
        <w:t xml:space="preserve"> as a pillar of focus. </w:t>
      </w:r>
      <w:r w:rsidR="00E32199">
        <w:rPr>
          <w:lang w:eastAsia="en-AU"/>
        </w:rPr>
        <w:t>This pillar</w:t>
      </w:r>
      <w:r w:rsidR="00EA41A5">
        <w:rPr>
          <w:lang w:eastAsia="en-AU"/>
        </w:rPr>
        <w:t xml:space="preserve"> will predominantly be delivered through on-budget support, </w:t>
      </w:r>
      <w:r w:rsidR="00EA41A5">
        <w:t>and within this, through</w:t>
      </w:r>
      <w:r w:rsidR="00EA41A5" w:rsidRPr="0092006A">
        <w:t xml:space="preserve"> AusAID</w:t>
      </w:r>
      <w:r w:rsidR="00EA41A5">
        <w:t>’s</w:t>
      </w:r>
      <w:r w:rsidR="00EA41A5" w:rsidRPr="0092006A">
        <w:t xml:space="preserve"> </w:t>
      </w:r>
      <w:r w:rsidR="00EA41A5">
        <w:t xml:space="preserve">ARTF contributions. </w:t>
      </w:r>
    </w:p>
    <w:p w:rsidR="00EA41A5" w:rsidRDefault="00EA41A5" w:rsidP="00EA41A5">
      <w:pPr>
        <w:rPr>
          <w:lang w:eastAsia="en-AU"/>
        </w:rPr>
      </w:pPr>
    </w:p>
    <w:p w:rsidR="00EA41A5" w:rsidRDefault="001459CA" w:rsidP="00EA41A5">
      <w:pPr>
        <w:rPr>
          <w:lang w:eastAsia="en-AU"/>
        </w:rPr>
      </w:pPr>
      <w:r>
        <w:t xml:space="preserve">The decision to partner with </w:t>
      </w:r>
      <w:r w:rsidR="00EA41A5">
        <w:t xml:space="preserve">NGOs to work with </w:t>
      </w:r>
      <w:r w:rsidR="00DA0280">
        <w:t>Afghan</w:t>
      </w:r>
      <w:r w:rsidR="00EA41A5">
        <w:t xml:space="preserve"> </w:t>
      </w:r>
      <w:r w:rsidR="00DA0280">
        <w:t>CSOs</w:t>
      </w:r>
      <w:r w:rsidR="00EA41A5">
        <w:t xml:space="preserve"> to deliver on Pillar One has a number of advantages. Local </w:t>
      </w:r>
      <w:r w:rsidR="00EA41A5" w:rsidRPr="00A43DAD">
        <w:t xml:space="preserve">civil society is a </w:t>
      </w:r>
      <w:r w:rsidR="00EA41A5">
        <w:t xml:space="preserve">valuable partner </w:t>
      </w:r>
      <w:r w:rsidR="00EA41A5" w:rsidRPr="00A43DAD">
        <w:t>in post and on-going conflict situations</w:t>
      </w:r>
      <w:r w:rsidR="00EA41A5">
        <w:t>.</w:t>
      </w:r>
      <w:r w:rsidR="00EA41A5" w:rsidRPr="00A43DAD">
        <w:t xml:space="preserve"> </w:t>
      </w:r>
      <w:r w:rsidR="00EA41A5">
        <w:t>It can complement, extend and supplement</w:t>
      </w:r>
      <w:r w:rsidR="00EA41A5" w:rsidRPr="00A43DAD">
        <w:t xml:space="preserve"> the often nascent service delivery capabilities of government agencies, especially to vulnerable communities.</w:t>
      </w:r>
      <w:r w:rsidR="00EA41A5">
        <w:t xml:space="preserve"> </w:t>
      </w:r>
      <w:r w:rsidR="00EA41A5">
        <w:rPr>
          <w:lang w:eastAsia="en-AU"/>
        </w:rPr>
        <w:t xml:space="preserve">This model is appropriate in Afghanistan where </w:t>
      </w:r>
      <w:r w:rsidR="00DA0280">
        <w:rPr>
          <w:lang w:eastAsia="en-AU"/>
        </w:rPr>
        <w:t>the Afghan Government</w:t>
      </w:r>
      <w:r w:rsidR="00EA41A5">
        <w:rPr>
          <w:lang w:eastAsia="en-AU"/>
        </w:rPr>
        <w:t xml:space="preserve"> has limited absorptive capacity</w:t>
      </w:r>
      <w:r w:rsidR="00EA41A5">
        <w:rPr>
          <w:rStyle w:val="FootnoteReference"/>
          <w:lang w:eastAsia="en-AU"/>
        </w:rPr>
        <w:footnoteReference w:id="27"/>
      </w:r>
      <w:r w:rsidR="00EA41A5">
        <w:rPr>
          <w:lang w:eastAsia="en-AU"/>
        </w:rPr>
        <w:t xml:space="preserve"> and </w:t>
      </w:r>
      <w:r w:rsidR="0055008A">
        <w:rPr>
          <w:lang w:eastAsia="en-AU"/>
        </w:rPr>
        <w:t>is unable to undertake</w:t>
      </w:r>
      <w:r w:rsidR="00EA41A5">
        <w:rPr>
          <w:lang w:eastAsia="en-AU"/>
        </w:rPr>
        <w:t xml:space="preserve"> service delivery in all </w:t>
      </w:r>
      <w:r w:rsidR="0055008A">
        <w:rPr>
          <w:lang w:eastAsia="en-AU"/>
        </w:rPr>
        <w:t>parts of the country</w:t>
      </w:r>
      <w:r w:rsidR="00EA41A5">
        <w:rPr>
          <w:lang w:eastAsia="en-AU"/>
        </w:rPr>
        <w:t xml:space="preserve">, particularly in rural and remote locations. This model </w:t>
      </w:r>
      <w:r w:rsidR="00EA41A5">
        <w:t xml:space="preserve">is also in line with AusAID’s </w:t>
      </w:r>
      <w:r w:rsidR="00EA41A5" w:rsidRPr="007F6629">
        <w:rPr>
          <w:i/>
        </w:rPr>
        <w:t>Framework for Working in Fragile and Conflict-Affected States</w:t>
      </w:r>
      <w:r w:rsidR="00EA41A5">
        <w:t>, which recommends working at two levels when state capacity is weak – both the state, and with civil society.</w:t>
      </w:r>
      <w:r w:rsidR="00EA41A5">
        <w:rPr>
          <w:rStyle w:val="FootnoteReference"/>
        </w:rPr>
        <w:footnoteReference w:id="28"/>
      </w:r>
      <w:r w:rsidR="00EA41A5">
        <w:t xml:space="preserve">  </w:t>
      </w:r>
    </w:p>
    <w:p w:rsidR="00A0696B" w:rsidRDefault="00A0696B" w:rsidP="00EA41A5"/>
    <w:p w:rsidR="00EA41A5" w:rsidRDefault="00EA41A5" w:rsidP="00EA41A5">
      <w:pPr>
        <w:rPr>
          <w:lang w:bidi="en-US"/>
        </w:rPr>
      </w:pPr>
      <w:r>
        <w:t xml:space="preserve">The AACRS model also complements </w:t>
      </w:r>
      <w:r w:rsidRPr="0092006A">
        <w:t>AusAID</w:t>
      </w:r>
      <w:r>
        <w:t>’s</w:t>
      </w:r>
      <w:r w:rsidRPr="0092006A">
        <w:t xml:space="preserve"> </w:t>
      </w:r>
      <w:r>
        <w:t>ARTF contributions. AACRS activities are expected to be small scale,</w:t>
      </w:r>
      <w:r w:rsidR="00DA0280">
        <w:t xml:space="preserve"> flexible, focused on specific needs</w:t>
      </w:r>
      <w:r>
        <w:t xml:space="preserve"> and community based. They may focus </w:t>
      </w:r>
      <w:r>
        <w:rPr>
          <w:lang w:bidi="en-US"/>
        </w:rPr>
        <w:t xml:space="preserve">attention towards very vulnerable groups, including children, people with a disability, </w:t>
      </w:r>
      <w:r w:rsidRPr="0092006A">
        <w:t>the landless, female</w:t>
      </w:r>
      <w:r>
        <w:t>-headed households,</w:t>
      </w:r>
      <w:r w:rsidRPr="0092006A">
        <w:t xml:space="preserve"> the aged, and the isolated</w:t>
      </w:r>
      <w:r>
        <w:t xml:space="preserve">. </w:t>
      </w:r>
      <w:r w:rsidRPr="0092006A">
        <w:t>These groups often find it difficult to gain equitable access to, and benefits from, national programs, and hence require additional assistance to ensure that thei</w:t>
      </w:r>
      <w:r>
        <w:t>r special needs are addressed.</w:t>
      </w:r>
      <w:r w:rsidR="00EF0399">
        <w:t xml:space="preserve"> </w:t>
      </w:r>
    </w:p>
    <w:p w:rsidR="00EA41A5" w:rsidRDefault="00EA41A5" w:rsidP="00EA41A5"/>
    <w:p w:rsidR="00664643" w:rsidRPr="00561FA4" w:rsidRDefault="00561FA4" w:rsidP="00EA41A5">
      <w:pPr>
        <w:rPr>
          <w:lang w:val="en-AU"/>
        </w:rPr>
      </w:pPr>
      <w:r w:rsidRPr="004E370E">
        <w:rPr>
          <w:lang w:val="en-AU"/>
        </w:rPr>
        <w:t xml:space="preserve">The AACRS will also include capacity building of Afghan </w:t>
      </w:r>
      <w:r>
        <w:rPr>
          <w:lang w:val="en-AU"/>
        </w:rPr>
        <w:t>CSOs</w:t>
      </w:r>
      <w:r w:rsidRPr="004E370E">
        <w:rPr>
          <w:lang w:val="en-AU"/>
        </w:rPr>
        <w:t xml:space="preserve">. This is not the objective of the AACRS (which is focused on improving reliance and livelihoods), </w:t>
      </w:r>
      <w:r w:rsidRPr="003A4B52">
        <w:rPr>
          <w:lang w:val="en-AU"/>
        </w:rPr>
        <w:t xml:space="preserve">but projects must </w:t>
      </w:r>
      <w:r w:rsidRPr="003A4B52">
        <w:rPr>
          <w:lang w:val="en-AU"/>
        </w:rPr>
        <w:lastRenderedPageBreak/>
        <w:t>include a capacity building component</w:t>
      </w:r>
      <w:r>
        <w:rPr>
          <w:lang w:val="en-AU"/>
        </w:rPr>
        <w:t>.</w:t>
      </w:r>
      <w:r w:rsidRPr="003A4B52">
        <w:rPr>
          <w:lang w:val="en-AU"/>
        </w:rPr>
        <w:t xml:space="preserve"> </w:t>
      </w:r>
      <w:r w:rsidRPr="004E370E">
        <w:rPr>
          <w:lang w:val="en-AU"/>
        </w:rPr>
        <w:t xml:space="preserve">It is hoped that good partnerships between the NGOs and </w:t>
      </w:r>
      <w:r>
        <w:rPr>
          <w:lang w:val="en-AU"/>
        </w:rPr>
        <w:t>their Afghan CSO partners</w:t>
      </w:r>
      <w:r w:rsidRPr="004E370E">
        <w:rPr>
          <w:lang w:val="en-AU"/>
        </w:rPr>
        <w:t xml:space="preserve"> will result in shared learning, and possibly longer term improvements in capabilities and competencies. This will have the advantage of enhancing the sustainably of AACRS activities, as CSOs develop skills in organising and implementing effective community resilience and/or rural livelihood programs, as well as enhancing the social development of their local communities.</w:t>
      </w:r>
      <w:r w:rsidRPr="004E370E">
        <w:rPr>
          <w:vertAlign w:val="superscript"/>
          <w:lang w:val="en-AU"/>
        </w:rPr>
        <w:footnoteReference w:id="29"/>
      </w:r>
      <w:r>
        <w:rPr>
          <w:lang w:val="en-AU"/>
        </w:rPr>
        <w:t xml:space="preserve">  </w:t>
      </w:r>
      <w:r w:rsidR="00664643">
        <w:t xml:space="preserve">In line with this, each NGO </w:t>
      </w:r>
      <w:r>
        <w:t>will</w:t>
      </w:r>
      <w:r w:rsidR="00664643">
        <w:t xml:space="preserve"> develop a </w:t>
      </w:r>
      <w:r w:rsidR="00664643" w:rsidRPr="00F6603E">
        <w:rPr>
          <w:rFonts w:cstheme="minorHAnsi"/>
          <w:i/>
        </w:rPr>
        <w:t>Capacity Building Framework</w:t>
      </w:r>
      <w:r w:rsidR="00664643">
        <w:t xml:space="preserve"> as part of their designs.</w:t>
      </w:r>
    </w:p>
    <w:p w:rsidR="00EA41A5" w:rsidRDefault="00EA41A5" w:rsidP="00EA41A5"/>
    <w:p w:rsidR="00EA41A5" w:rsidRPr="005D7429" w:rsidRDefault="00C4578B" w:rsidP="00EA41A5">
      <w:pPr>
        <w:autoSpaceDE w:val="0"/>
        <w:autoSpaceDN w:val="0"/>
        <w:adjustRightInd w:val="0"/>
        <w:rPr>
          <w:lang w:eastAsia="en-AU"/>
        </w:rPr>
      </w:pPr>
      <w:r>
        <w:rPr>
          <w:lang w:eastAsia="en-AU"/>
        </w:rPr>
        <w:t>W</w:t>
      </w:r>
      <w:r w:rsidR="00EA41A5" w:rsidRPr="00734250">
        <w:rPr>
          <w:lang w:eastAsia="en-AU"/>
        </w:rPr>
        <w:t xml:space="preserve">hile </w:t>
      </w:r>
      <w:r w:rsidR="00EA41A5">
        <w:rPr>
          <w:lang w:eastAsia="en-AU"/>
        </w:rPr>
        <w:t xml:space="preserve">strengthening the capacity of </w:t>
      </w:r>
      <w:r w:rsidR="00DA0280">
        <w:rPr>
          <w:lang w:eastAsia="en-AU"/>
        </w:rPr>
        <w:t>the Afghan Government</w:t>
      </w:r>
      <w:r w:rsidR="00EA41A5" w:rsidRPr="00734250">
        <w:rPr>
          <w:lang w:eastAsia="en-AU"/>
        </w:rPr>
        <w:t xml:space="preserve"> is </w:t>
      </w:r>
      <w:r w:rsidR="00EA41A5">
        <w:rPr>
          <w:lang w:eastAsia="en-AU"/>
        </w:rPr>
        <w:t>central to</w:t>
      </w:r>
      <w:r w:rsidR="00EA41A5" w:rsidRPr="00734250">
        <w:rPr>
          <w:lang w:eastAsia="en-AU"/>
        </w:rPr>
        <w:t xml:space="preserve"> Australia</w:t>
      </w:r>
      <w:r w:rsidR="00EA41A5">
        <w:rPr>
          <w:lang w:eastAsia="en-AU"/>
        </w:rPr>
        <w:t xml:space="preserve">’s engagement in Afghanistan, this does </w:t>
      </w:r>
      <w:r w:rsidR="00EA41A5" w:rsidRPr="00734250">
        <w:rPr>
          <w:lang w:eastAsia="en-AU"/>
        </w:rPr>
        <w:t>not only mean working with government b</w:t>
      </w:r>
      <w:r w:rsidR="00EA41A5">
        <w:rPr>
          <w:lang w:eastAsia="en-AU"/>
        </w:rPr>
        <w:t xml:space="preserve">odies. Building stronger states </w:t>
      </w:r>
      <w:r w:rsidR="00EA41A5" w:rsidRPr="00734250">
        <w:rPr>
          <w:lang w:eastAsia="en-AU"/>
        </w:rPr>
        <w:t xml:space="preserve">also requires working with </w:t>
      </w:r>
      <w:r w:rsidR="00EA41A5">
        <w:rPr>
          <w:lang w:eastAsia="en-AU"/>
        </w:rPr>
        <w:t>the community</w:t>
      </w:r>
      <w:r w:rsidR="00EA41A5" w:rsidRPr="00734250">
        <w:rPr>
          <w:lang w:eastAsia="en-AU"/>
        </w:rPr>
        <w:t xml:space="preserve"> more b</w:t>
      </w:r>
      <w:r w:rsidR="00EA41A5">
        <w:rPr>
          <w:lang w:eastAsia="en-AU"/>
        </w:rPr>
        <w:t xml:space="preserve">roadly, including </w:t>
      </w:r>
      <w:r w:rsidR="004845F4">
        <w:rPr>
          <w:lang w:eastAsia="en-AU"/>
        </w:rPr>
        <w:t>CSOs</w:t>
      </w:r>
      <w:r w:rsidR="00EA41A5" w:rsidRPr="00734250">
        <w:rPr>
          <w:lang w:eastAsia="en-AU"/>
        </w:rPr>
        <w:t>, the local private s</w:t>
      </w:r>
      <w:r w:rsidR="00EA41A5">
        <w:rPr>
          <w:lang w:eastAsia="en-AU"/>
        </w:rPr>
        <w:t xml:space="preserve">ector and the informal economy. </w:t>
      </w:r>
      <w:r w:rsidR="004845F4">
        <w:rPr>
          <w:lang w:eastAsia="en-AU"/>
        </w:rPr>
        <w:t>CSOs</w:t>
      </w:r>
      <w:r w:rsidR="00EA41A5" w:rsidRPr="00734250">
        <w:rPr>
          <w:lang w:eastAsia="en-AU"/>
        </w:rPr>
        <w:t xml:space="preserve"> can help hold</w:t>
      </w:r>
      <w:r w:rsidR="00EA41A5">
        <w:rPr>
          <w:lang w:eastAsia="en-AU"/>
        </w:rPr>
        <w:t xml:space="preserve"> their governments</w:t>
      </w:r>
      <w:r w:rsidR="00CB3EA4">
        <w:rPr>
          <w:lang w:eastAsia="en-AU"/>
        </w:rPr>
        <w:t xml:space="preserve"> to account</w:t>
      </w:r>
      <w:r w:rsidR="00EA41A5">
        <w:rPr>
          <w:lang w:eastAsia="en-AU"/>
        </w:rPr>
        <w:t xml:space="preserve">, </w:t>
      </w:r>
      <w:r w:rsidR="00EA41A5" w:rsidRPr="00734250">
        <w:rPr>
          <w:lang w:eastAsia="en-AU"/>
        </w:rPr>
        <w:t>broaden the political settlement</w:t>
      </w:r>
      <w:r w:rsidR="00CB3EA4">
        <w:rPr>
          <w:lang w:eastAsia="en-AU"/>
        </w:rPr>
        <w:t xml:space="preserve"> and</w:t>
      </w:r>
      <w:r w:rsidR="00EA41A5" w:rsidRPr="00734250">
        <w:rPr>
          <w:lang w:eastAsia="en-AU"/>
        </w:rPr>
        <w:t xml:space="preserve"> </w:t>
      </w:r>
      <w:r w:rsidR="00EA41A5">
        <w:rPr>
          <w:lang w:eastAsia="en-AU"/>
        </w:rPr>
        <w:t>be an important partner in the delivery of state services</w:t>
      </w:r>
      <w:r w:rsidR="00EA41A5" w:rsidRPr="00734250">
        <w:rPr>
          <w:lang w:eastAsia="en-AU"/>
        </w:rPr>
        <w:t>.</w:t>
      </w:r>
      <w:r w:rsidR="00EA41A5">
        <w:rPr>
          <w:rStyle w:val="FootnoteReference"/>
          <w:lang w:eastAsia="en-AU"/>
        </w:rPr>
        <w:footnoteReference w:id="30"/>
      </w:r>
      <w:r w:rsidR="00EA41A5">
        <w:rPr>
          <w:lang w:eastAsia="en-AU"/>
        </w:rPr>
        <w:t xml:space="preserve"> </w:t>
      </w:r>
      <w:r w:rsidR="00E32199">
        <w:rPr>
          <w:lang w:eastAsia="en-AU"/>
        </w:rPr>
        <w:t xml:space="preserve">This is in line with </w:t>
      </w:r>
      <w:r w:rsidR="00EA41A5">
        <w:rPr>
          <w:lang w:eastAsia="en-AU"/>
        </w:rPr>
        <w:t xml:space="preserve">AusAID’s </w:t>
      </w:r>
      <w:r w:rsidR="00EA41A5" w:rsidRPr="005D7429">
        <w:rPr>
          <w:i/>
          <w:lang w:eastAsia="en-AU"/>
        </w:rPr>
        <w:t>Effective Governance Thematic Strategy</w:t>
      </w:r>
      <w:r w:rsidR="00E32199">
        <w:rPr>
          <w:lang w:eastAsia="en-AU"/>
        </w:rPr>
        <w:t>, which</w:t>
      </w:r>
      <w:r w:rsidR="00EA41A5">
        <w:rPr>
          <w:lang w:eastAsia="en-AU"/>
        </w:rPr>
        <w:t xml:space="preserve"> commits Australia to support civil society programs </w:t>
      </w:r>
      <w:r w:rsidR="00E32199">
        <w:rPr>
          <w:lang w:eastAsia="en-AU"/>
        </w:rPr>
        <w:t xml:space="preserve">as </w:t>
      </w:r>
      <w:r w:rsidR="00EA41A5">
        <w:rPr>
          <w:lang w:eastAsia="en-AU"/>
        </w:rPr>
        <w:t>they ‘play a key role in ensuring transparency and accountability of government service delivery and can catalyse change in government policy’.</w:t>
      </w:r>
      <w:r w:rsidR="00EA41A5">
        <w:rPr>
          <w:rStyle w:val="FootnoteReference"/>
          <w:lang w:eastAsia="en-AU"/>
        </w:rPr>
        <w:footnoteReference w:id="31"/>
      </w:r>
    </w:p>
    <w:p w:rsidR="00EA41A5" w:rsidRDefault="00EA41A5" w:rsidP="00EA41A5"/>
    <w:p w:rsidR="00C4578B" w:rsidRDefault="00F96C55" w:rsidP="00C4578B">
      <w:pPr>
        <w:rPr>
          <w:lang w:val="en-AU" w:eastAsia="en-AU"/>
        </w:rPr>
      </w:pPr>
      <w:r>
        <w:rPr>
          <w:lang w:eastAsia="en-AU"/>
        </w:rPr>
        <w:t>The AACRS will partner with NGOs</w:t>
      </w:r>
      <w:r w:rsidR="00C4578B">
        <w:rPr>
          <w:lang w:eastAsia="en-AU"/>
        </w:rPr>
        <w:t xml:space="preserve"> that have strong in-country connections, including </w:t>
      </w:r>
      <w:r w:rsidR="00914E9E">
        <w:rPr>
          <w:lang w:eastAsia="en-AU"/>
        </w:rPr>
        <w:t xml:space="preserve">a range of </w:t>
      </w:r>
      <w:r w:rsidR="00C4578B">
        <w:rPr>
          <w:lang w:eastAsia="en-AU"/>
        </w:rPr>
        <w:t xml:space="preserve">partnership arrangements with local CSOs. As </w:t>
      </w:r>
      <w:r w:rsidR="00C4578B">
        <w:t>CSOs are closely connected with local communities, they are often able to operate in contexts that are difficult for donor and governments to access.</w:t>
      </w:r>
      <w:r w:rsidR="00C4578B">
        <w:rPr>
          <w:rStyle w:val="FootnoteReference"/>
        </w:rPr>
        <w:footnoteReference w:id="32"/>
      </w:r>
      <w:r w:rsidR="00C4578B">
        <w:t xml:space="preserve">  Nonetheless, security </w:t>
      </w:r>
      <w:r w:rsidR="00C4578B">
        <w:rPr>
          <w:lang w:val="en-AU" w:eastAsia="en-AU"/>
        </w:rPr>
        <w:t xml:space="preserve">risks remain for NGOs in working in </w:t>
      </w:r>
      <w:proofErr w:type="gramStart"/>
      <w:r w:rsidR="00C4578B">
        <w:rPr>
          <w:lang w:val="en-AU" w:eastAsia="en-AU"/>
        </w:rPr>
        <w:t>Afghanistan,</w:t>
      </w:r>
      <w:proofErr w:type="gramEnd"/>
      <w:r w:rsidR="00C4578B">
        <w:rPr>
          <w:lang w:val="en-AU" w:eastAsia="en-AU"/>
        </w:rPr>
        <w:t xml:space="preserve"> and AACRS activities and processes will need to be designed with care. </w:t>
      </w:r>
    </w:p>
    <w:p w:rsidR="00C4578B" w:rsidRDefault="00C4578B" w:rsidP="00EA41A5"/>
    <w:p w:rsidR="00EA41A5" w:rsidRDefault="001459CA" w:rsidP="00EA41A5">
      <w:pPr>
        <w:rPr>
          <w:lang w:eastAsia="en-AU"/>
        </w:rPr>
      </w:pPr>
      <w:r>
        <w:rPr>
          <w:lang w:eastAsia="en-AU"/>
        </w:rPr>
        <w:t xml:space="preserve">Working with up to five </w:t>
      </w:r>
      <w:r w:rsidR="00EA41A5">
        <w:rPr>
          <w:lang w:eastAsia="en-AU"/>
        </w:rPr>
        <w:t xml:space="preserve">NGOs will also expand the number of partners AusAID has in Afghanistan. </w:t>
      </w:r>
      <w:r w:rsidR="00EA41A5">
        <w:t>Australia’s</w:t>
      </w:r>
      <w:r w:rsidR="00EA41A5" w:rsidRPr="00283098">
        <w:t xml:space="preserve"> </w:t>
      </w:r>
      <w:r w:rsidR="00EA41A5">
        <w:t xml:space="preserve">capacity to </w:t>
      </w:r>
      <w:r w:rsidR="00560CBA">
        <w:t>deliver</w:t>
      </w:r>
      <w:r w:rsidR="00EA41A5">
        <w:t xml:space="preserve"> programs </w:t>
      </w:r>
      <w:r w:rsidR="00C4578B">
        <w:t xml:space="preserve">in Afghanistan </w:t>
      </w:r>
      <w:r w:rsidR="00EA41A5">
        <w:t xml:space="preserve">has been </w:t>
      </w:r>
      <w:r w:rsidR="00560CBA">
        <w:t xml:space="preserve">constrained by ongoing conflict, endemic corruption, improving but still weak governance systems, and </w:t>
      </w:r>
      <w:r w:rsidR="00EA41A5">
        <w:t>t</w:t>
      </w:r>
      <w:r w:rsidR="00EA41A5" w:rsidRPr="00283098">
        <w:t>he limited scale and capacity of</w:t>
      </w:r>
      <w:r w:rsidR="00EA41A5">
        <w:t xml:space="preserve"> all sectors of Afghan socie</w:t>
      </w:r>
      <w:r w:rsidR="0055008A">
        <w:t xml:space="preserve">ty </w:t>
      </w:r>
      <w:r w:rsidR="0055008A">
        <w:rPr>
          <w:lang w:eastAsia="en-AU"/>
        </w:rPr>
        <w:t>–</w:t>
      </w:r>
      <w:r w:rsidR="0055008A">
        <w:t xml:space="preserve"> </w:t>
      </w:r>
      <w:r w:rsidR="00EA41A5" w:rsidRPr="00283098">
        <w:t>government, civil society and the private sector</w:t>
      </w:r>
      <w:r w:rsidR="00EA41A5">
        <w:t>. T</w:t>
      </w:r>
      <w:r w:rsidR="00EA41A5" w:rsidRPr="00283098">
        <w:t xml:space="preserve">here are few </w:t>
      </w:r>
      <w:r w:rsidR="00560CBA">
        <w:t xml:space="preserve">credible </w:t>
      </w:r>
      <w:r w:rsidR="00EA41A5">
        <w:t xml:space="preserve">partners </w:t>
      </w:r>
      <w:r w:rsidR="00560CBA">
        <w:t xml:space="preserve">with a </w:t>
      </w:r>
      <w:r w:rsidR="008937D4">
        <w:t>strong</w:t>
      </w:r>
      <w:r w:rsidR="00560CBA">
        <w:t xml:space="preserve"> in-country presence, long term experience and demonstrated </w:t>
      </w:r>
      <w:r w:rsidR="008937D4">
        <w:t>effectiveness</w:t>
      </w:r>
      <w:r w:rsidR="00560CBA">
        <w:t xml:space="preserve"> in </w:t>
      </w:r>
      <w:r w:rsidR="008937D4">
        <w:t>Afghanistan</w:t>
      </w:r>
      <w:r w:rsidR="00EA41A5" w:rsidRPr="00283098">
        <w:t>.</w:t>
      </w:r>
      <w:r w:rsidR="00EA41A5">
        <w:t xml:space="preserve"> </w:t>
      </w:r>
      <w:r w:rsidR="008937D4">
        <w:t>By working with up to fiv</w:t>
      </w:r>
      <w:r w:rsidR="00CB3EA4">
        <w:t xml:space="preserve">e NGOs, </w:t>
      </w:r>
      <w:r w:rsidR="00EA41A5">
        <w:t xml:space="preserve">AACRS will give AusAID the opportunity to </w:t>
      </w:r>
      <w:r w:rsidR="00E32199">
        <w:t>increase its engagement</w:t>
      </w:r>
      <w:r w:rsidR="00EA41A5">
        <w:t xml:space="preserve"> with effective and experienced partners in Afghanistan.</w:t>
      </w:r>
    </w:p>
    <w:p w:rsidR="00EA41A5" w:rsidRDefault="00EA41A5" w:rsidP="00EA41A5">
      <w:pPr>
        <w:rPr>
          <w:lang w:eastAsia="en-AU"/>
        </w:rPr>
      </w:pPr>
    </w:p>
    <w:p w:rsidR="00607417" w:rsidRPr="00A43DAD" w:rsidRDefault="00E32199" w:rsidP="00607417">
      <w:r>
        <w:t>It is</w:t>
      </w:r>
      <w:r w:rsidR="00607417">
        <w:t xml:space="preserve"> also </w:t>
      </w:r>
      <w:r w:rsidR="00CB3EA4">
        <w:t>expected</w:t>
      </w:r>
      <w:r w:rsidR="00607417">
        <w:t xml:space="preserve"> that a </w:t>
      </w:r>
      <w:r w:rsidR="00CE1010">
        <w:t>Request for Submissions</w:t>
      </w:r>
      <w:r w:rsidR="00607417">
        <w:t xml:space="preserve"> will generate significant interest and a variety of potential activities, grounded in in-country experience. For example,</w:t>
      </w:r>
      <w:r w:rsidR="00607417" w:rsidRPr="00A43DAD">
        <w:t xml:space="preserve"> </w:t>
      </w:r>
      <w:r w:rsidR="00895F74">
        <w:rPr>
          <w:u w:val="single"/>
        </w:rPr>
        <w:t>Annex 4A</w:t>
      </w:r>
      <w:r w:rsidR="00607417" w:rsidRPr="00A43DAD">
        <w:t xml:space="preserve"> is a summary of Australian NGO activity in Afghanistan, based on information supplied to the design consul</w:t>
      </w:r>
      <w:r>
        <w:t>tants during the design process</w:t>
      </w:r>
      <w:r w:rsidR="00607417" w:rsidRPr="00A43DAD">
        <w:t>.</w:t>
      </w:r>
      <w:r w:rsidR="00607417">
        <w:rPr>
          <w:rStyle w:val="FootnoteReference"/>
        </w:rPr>
        <w:footnoteReference w:id="33"/>
      </w:r>
      <w:r w:rsidR="00607417" w:rsidRPr="00A43DAD">
        <w:t xml:space="preserve"> While it may not be an exhaustive list, it is evidence of a considerable level of activity. The total rep</w:t>
      </w:r>
      <w:r w:rsidR="001459CA">
        <w:t>orted value of these A</w:t>
      </w:r>
      <w:r w:rsidR="00D55B2A">
        <w:t xml:space="preserve">ustralian </w:t>
      </w:r>
      <w:r w:rsidR="001459CA">
        <w:t xml:space="preserve">NGO (and </w:t>
      </w:r>
      <w:r w:rsidR="00D55B2A">
        <w:t xml:space="preserve">international </w:t>
      </w:r>
      <w:r w:rsidR="00607417" w:rsidRPr="00A43DAD">
        <w:t>NG</w:t>
      </w:r>
      <w:r>
        <w:t xml:space="preserve">O) activities is </w:t>
      </w:r>
      <w:r w:rsidR="00477E8C">
        <w:t xml:space="preserve">over </w:t>
      </w:r>
      <w:r w:rsidR="007F448D">
        <w:t>AUD</w:t>
      </w:r>
      <w:r>
        <w:t>190 million.</w:t>
      </w:r>
      <w:r w:rsidR="00607417" w:rsidRPr="00A43DAD">
        <w:t xml:space="preserve"> Some of these activities are funded by AusAID through the </w:t>
      </w:r>
      <w:r w:rsidR="00C4578B">
        <w:t>ANCP</w:t>
      </w:r>
      <w:r w:rsidR="00607417" w:rsidRPr="00A43DAD">
        <w:t xml:space="preserve">, while others receive direct </w:t>
      </w:r>
      <w:r w:rsidR="00856DED">
        <w:t xml:space="preserve">AusAID </w:t>
      </w:r>
      <w:r w:rsidR="00607417" w:rsidRPr="00A43DAD">
        <w:t>funding</w:t>
      </w:r>
      <w:r w:rsidR="00131741">
        <w:t xml:space="preserve">. </w:t>
      </w:r>
      <w:r w:rsidR="00131741">
        <w:lastRenderedPageBreak/>
        <w:t>Geographically</w:t>
      </w:r>
      <w:r w:rsidR="00607417" w:rsidRPr="00A43DAD">
        <w:t xml:space="preserve"> they have a broad footprint with activities in 30 </w:t>
      </w:r>
      <w:r w:rsidR="00131741">
        <w:t>of Afghanistan’s 34 provinces</w:t>
      </w:r>
      <w:r w:rsidR="00DA0280">
        <w:t>.</w:t>
      </w:r>
      <w:r w:rsidR="00131741">
        <w:rPr>
          <w:rStyle w:val="FootnoteReference"/>
        </w:rPr>
        <w:footnoteReference w:id="34"/>
      </w:r>
    </w:p>
    <w:p w:rsidR="00607417" w:rsidRPr="00A43DAD" w:rsidRDefault="00607417" w:rsidP="00607417"/>
    <w:p w:rsidR="00EA41A5" w:rsidRDefault="0023252D" w:rsidP="00EA41A5">
      <w:r>
        <w:t>Finally</w:t>
      </w:r>
      <w:r w:rsidR="00EA41A5">
        <w:t xml:space="preserve">, the AACRS aligns with </w:t>
      </w:r>
      <w:r w:rsidR="00EA41A5" w:rsidRPr="00E85347">
        <w:rPr>
          <w:i/>
          <w:iCs/>
        </w:rPr>
        <w:t>An Effective Aid Program for Australia</w:t>
      </w:r>
      <w:r w:rsidR="00EA41A5" w:rsidRPr="00E85347">
        <w:rPr>
          <w:i/>
        </w:rPr>
        <w:t>’s</w:t>
      </w:r>
      <w:r w:rsidR="00EA41A5">
        <w:t xml:space="preserve"> commitment for </w:t>
      </w:r>
      <w:r w:rsidR="00EA41A5" w:rsidRPr="00A43DAD">
        <w:t xml:space="preserve">the aid program to strengthen and work more closely with civil society so that the aid program can benefit from NGOs’ and CSOs’ grass-roots networks, niche areas of </w:t>
      </w:r>
      <w:r w:rsidR="00EA41A5">
        <w:t>specialis</w:t>
      </w:r>
      <w:r w:rsidR="00EA41A5" w:rsidRPr="00A43DAD">
        <w:t>at</w:t>
      </w:r>
      <w:r w:rsidR="00EA41A5">
        <w:t xml:space="preserve">ion and presence on the ground. This includes engaging with civil society through policy dialogue. </w:t>
      </w:r>
    </w:p>
    <w:p w:rsidR="00EA41A5" w:rsidRPr="002578AF" w:rsidRDefault="00EA41A5" w:rsidP="00EA41A5">
      <w:pPr>
        <w:rPr>
          <w:lang w:eastAsia="en-AU"/>
        </w:rPr>
      </w:pPr>
      <w:r>
        <w:rPr>
          <w:lang w:eastAsia="en-AU"/>
        </w:rPr>
        <w:tab/>
      </w:r>
    </w:p>
    <w:p w:rsidR="00EA41A5" w:rsidRDefault="00EA41A5" w:rsidP="00EA41A5">
      <w:pPr>
        <w:rPr>
          <w:lang w:eastAsia="en-AU"/>
        </w:rPr>
      </w:pPr>
      <w:r>
        <w:rPr>
          <w:lang w:eastAsia="en-AU"/>
        </w:rPr>
        <w:t xml:space="preserve">For </w:t>
      </w:r>
      <w:r w:rsidR="00F96C55">
        <w:rPr>
          <w:lang w:eastAsia="en-AU"/>
        </w:rPr>
        <w:t xml:space="preserve">the </w:t>
      </w:r>
      <w:r>
        <w:rPr>
          <w:lang w:eastAsia="en-AU"/>
        </w:rPr>
        <w:t xml:space="preserve">AACRS to achieve sound development outcomes, it will be important to understand and build on what has been achieved to date, establish processes which ensure </w:t>
      </w:r>
      <w:r w:rsidR="00DA0280">
        <w:rPr>
          <w:lang w:eastAsia="en-AU"/>
        </w:rPr>
        <w:t xml:space="preserve">strong partnership, </w:t>
      </w:r>
      <w:r>
        <w:rPr>
          <w:lang w:eastAsia="en-AU"/>
        </w:rPr>
        <w:t>transparency and accountability and lead to a continually improving program though realistic M&amp;E processes. The remaining sections of this document address these issues and describe a management model and analysis of risks.</w:t>
      </w:r>
    </w:p>
    <w:p w:rsidR="00311456" w:rsidRPr="00EB14D6" w:rsidRDefault="00B67494" w:rsidP="00B67494">
      <w:pPr>
        <w:pStyle w:val="Heading1"/>
        <w:numPr>
          <w:ilvl w:val="0"/>
          <w:numId w:val="1"/>
        </w:numPr>
      </w:pPr>
      <w:bookmarkStart w:id="17" w:name="_Toc353974431"/>
      <w:r>
        <w:t>A Partnership Approach</w:t>
      </w:r>
      <w:bookmarkEnd w:id="17"/>
    </w:p>
    <w:p w:rsidR="0055008A" w:rsidRDefault="0055008A" w:rsidP="0055008A"/>
    <w:p w:rsidR="0055008A" w:rsidRPr="00A43DAD" w:rsidRDefault="0055008A" w:rsidP="0055008A">
      <w:r>
        <w:t>In June 2012, i</w:t>
      </w:r>
      <w:r w:rsidRPr="00A43DAD">
        <w:t xml:space="preserve">n line with commitments made in </w:t>
      </w:r>
      <w:r w:rsidRPr="00A43DAD">
        <w:rPr>
          <w:i/>
        </w:rPr>
        <w:t>An Effective Aid Program</w:t>
      </w:r>
      <w:r w:rsidRPr="00A43DAD">
        <w:t xml:space="preserve">, AusAID released its </w:t>
      </w:r>
      <w:r w:rsidRPr="00A43DAD">
        <w:rPr>
          <w:i/>
          <w:iCs/>
        </w:rPr>
        <w:t>Civil Society Engagement Framework.</w:t>
      </w:r>
      <w:r w:rsidRPr="00A43DAD">
        <w:rPr>
          <w:rStyle w:val="FootnoteReference"/>
          <w:i/>
          <w:iCs/>
        </w:rPr>
        <w:t xml:space="preserve"> </w:t>
      </w:r>
      <w:r w:rsidRPr="003D2673">
        <w:rPr>
          <w:rStyle w:val="FootnoteReference"/>
          <w:iCs/>
        </w:rPr>
        <w:footnoteReference w:id="35"/>
      </w:r>
      <w:r w:rsidRPr="00A43DAD">
        <w:rPr>
          <w:i/>
          <w:iCs/>
        </w:rPr>
        <w:t xml:space="preserve"> </w:t>
      </w:r>
      <w:r w:rsidRPr="00A43DAD">
        <w:t xml:space="preserve">The </w:t>
      </w:r>
      <w:r w:rsidR="00A0696B">
        <w:t>Framework</w:t>
      </w:r>
      <w:r w:rsidRPr="00A43DAD">
        <w:t xml:space="preserve"> is informed by findings of the </w:t>
      </w:r>
      <w:r w:rsidRPr="00A43DAD">
        <w:rPr>
          <w:i/>
        </w:rPr>
        <w:t>Independent Review of Aid Effectiveness</w:t>
      </w:r>
      <w:r w:rsidRPr="00A43DAD">
        <w:t xml:space="preserve">, the Office of Development Effectiveness (ODE) report, </w:t>
      </w:r>
      <w:r w:rsidRPr="00A43DAD">
        <w:rPr>
          <w:i/>
          <w:iCs/>
        </w:rPr>
        <w:t xml:space="preserve">Working </w:t>
      </w:r>
      <w:proofErr w:type="gramStart"/>
      <w:r w:rsidRPr="00A43DAD">
        <w:rPr>
          <w:i/>
          <w:iCs/>
        </w:rPr>
        <w:t>Beyond</w:t>
      </w:r>
      <w:proofErr w:type="gramEnd"/>
      <w:r w:rsidRPr="00A43DAD">
        <w:rPr>
          <w:i/>
          <w:iCs/>
        </w:rPr>
        <w:t xml:space="preserve"> Government: Evaluation of AusAID’s Engagement with Civil Society in Developing Countries</w:t>
      </w:r>
      <w:r w:rsidR="00FA425B">
        <w:rPr>
          <w:iCs/>
        </w:rPr>
        <w:t>,</w:t>
      </w:r>
      <w:r w:rsidRPr="0055008A">
        <w:rPr>
          <w:rStyle w:val="FootnoteReference"/>
        </w:rPr>
        <w:footnoteReference w:id="36"/>
      </w:r>
      <w:r w:rsidRPr="0055008A">
        <w:rPr>
          <w:iCs/>
        </w:rPr>
        <w:t xml:space="preserve"> </w:t>
      </w:r>
      <w:r w:rsidRPr="00A43DAD">
        <w:t xml:space="preserve">and consultations with ACFID and Australian NGOs. </w:t>
      </w:r>
    </w:p>
    <w:p w:rsidR="0055008A" w:rsidRPr="00A43DAD" w:rsidRDefault="0055008A" w:rsidP="0055008A"/>
    <w:p w:rsidR="0055008A" w:rsidRPr="00A43DAD" w:rsidRDefault="0055008A" w:rsidP="0055008A">
      <w:r w:rsidRPr="00A43DAD">
        <w:t xml:space="preserve">The </w:t>
      </w:r>
      <w:r w:rsidR="00A0696B" w:rsidRPr="00A0696B">
        <w:rPr>
          <w:iCs/>
        </w:rPr>
        <w:t>Framework</w:t>
      </w:r>
      <w:r w:rsidR="00A0696B">
        <w:rPr>
          <w:i/>
          <w:iCs/>
        </w:rPr>
        <w:t xml:space="preserve"> </w:t>
      </w:r>
      <w:r w:rsidRPr="00A43DAD">
        <w:t xml:space="preserve">sets out how Australia will work more effectively with </w:t>
      </w:r>
      <w:r w:rsidR="004845F4">
        <w:t>CSOs</w:t>
      </w:r>
      <w:r w:rsidRPr="00A43DAD">
        <w:t xml:space="preserve"> in Australia and overseas to increase the impact of aid for the world’s poorest. It provides the policy framework for all AusAID</w:t>
      </w:r>
      <w:r>
        <w:t xml:space="preserve"> NGO and civil society programs, and its principles </w:t>
      </w:r>
      <w:r w:rsidR="00C4578B">
        <w:t>are</w:t>
      </w:r>
      <w:r>
        <w:t xml:space="preserve"> therefore reflected in the AACRS</w:t>
      </w:r>
      <w:r w:rsidRPr="00A43DAD">
        <w:t xml:space="preserve">. The </w:t>
      </w:r>
      <w:r w:rsidR="00A0696B" w:rsidRPr="00A0696B">
        <w:rPr>
          <w:iCs/>
        </w:rPr>
        <w:t>Framework</w:t>
      </w:r>
      <w:r w:rsidRPr="00A43DAD">
        <w:t xml:space="preserve"> states that effective engagement between AusAID and </w:t>
      </w:r>
      <w:r w:rsidR="004845F4">
        <w:t>CSOs</w:t>
      </w:r>
      <w:r w:rsidRPr="00A43DAD">
        <w:t xml:space="preserve"> on international development issues will be guided by the following principles: </w:t>
      </w:r>
    </w:p>
    <w:p w:rsidR="0055008A" w:rsidRPr="00A43DAD" w:rsidRDefault="0055008A" w:rsidP="0055008A">
      <w:pPr>
        <w:ind w:left="360"/>
        <w:rPr>
          <w:i/>
          <w:iCs/>
        </w:rPr>
      </w:pPr>
    </w:p>
    <w:p w:rsidR="0055008A" w:rsidRPr="00A43DAD" w:rsidRDefault="00C4578B" w:rsidP="008C14ED">
      <w:pPr>
        <w:pStyle w:val="ListParagraph"/>
        <w:numPr>
          <w:ilvl w:val="0"/>
          <w:numId w:val="9"/>
        </w:numPr>
        <w:rPr>
          <w:iCs/>
        </w:rPr>
      </w:pPr>
      <w:r>
        <w:rPr>
          <w:iCs/>
        </w:rPr>
        <w:t>r</w:t>
      </w:r>
      <w:r w:rsidR="0055008A" w:rsidRPr="00A43DAD">
        <w:rPr>
          <w:iCs/>
        </w:rPr>
        <w:t xml:space="preserve">educing poverty </w:t>
      </w:r>
    </w:p>
    <w:p w:rsidR="0055008A" w:rsidRPr="00A43DAD" w:rsidRDefault="00C4578B" w:rsidP="008C14ED">
      <w:pPr>
        <w:pStyle w:val="ListParagraph"/>
        <w:numPr>
          <w:ilvl w:val="0"/>
          <w:numId w:val="9"/>
        </w:numPr>
        <w:rPr>
          <w:iCs/>
        </w:rPr>
      </w:pPr>
      <w:r>
        <w:rPr>
          <w:iCs/>
        </w:rPr>
        <w:t>m</w:t>
      </w:r>
      <w:r w:rsidR="0055008A" w:rsidRPr="00A43DAD">
        <w:rPr>
          <w:iCs/>
        </w:rPr>
        <w:t>utual accountability for results</w:t>
      </w:r>
    </w:p>
    <w:p w:rsidR="0055008A" w:rsidRPr="00A43DAD" w:rsidRDefault="00C4578B" w:rsidP="008C14ED">
      <w:pPr>
        <w:pStyle w:val="ListParagraph"/>
        <w:numPr>
          <w:ilvl w:val="0"/>
          <w:numId w:val="9"/>
        </w:numPr>
        <w:rPr>
          <w:iCs/>
        </w:rPr>
      </w:pPr>
      <w:r>
        <w:rPr>
          <w:iCs/>
        </w:rPr>
        <w:t>o</w:t>
      </w:r>
      <w:r w:rsidR="0055008A" w:rsidRPr="00A43DAD">
        <w:rPr>
          <w:iCs/>
        </w:rPr>
        <w:t>pen communication and consultation</w:t>
      </w:r>
    </w:p>
    <w:p w:rsidR="0055008A" w:rsidRPr="00A43DAD" w:rsidRDefault="00C4578B" w:rsidP="008C14ED">
      <w:pPr>
        <w:pStyle w:val="ListParagraph"/>
        <w:numPr>
          <w:ilvl w:val="0"/>
          <w:numId w:val="9"/>
        </w:numPr>
        <w:rPr>
          <w:iCs/>
        </w:rPr>
      </w:pPr>
      <w:r>
        <w:rPr>
          <w:iCs/>
        </w:rPr>
        <w:t>r</w:t>
      </w:r>
      <w:r w:rsidR="0055008A" w:rsidRPr="00A43DAD">
        <w:rPr>
          <w:iCs/>
        </w:rPr>
        <w:t>espect for independence</w:t>
      </w:r>
    </w:p>
    <w:p w:rsidR="0055008A" w:rsidRPr="00A43DAD" w:rsidRDefault="00C4578B" w:rsidP="008C14ED">
      <w:pPr>
        <w:pStyle w:val="ListParagraph"/>
        <w:numPr>
          <w:ilvl w:val="0"/>
          <w:numId w:val="9"/>
        </w:numPr>
        <w:rPr>
          <w:iCs/>
        </w:rPr>
      </w:pPr>
      <w:r>
        <w:rPr>
          <w:iCs/>
        </w:rPr>
        <w:t>a</w:t>
      </w:r>
      <w:r w:rsidR="0055008A" w:rsidRPr="00A43DAD">
        <w:rPr>
          <w:iCs/>
        </w:rPr>
        <w:t>ppreciation of diversity</w:t>
      </w:r>
    </w:p>
    <w:p w:rsidR="0055008A" w:rsidRPr="00A43DAD" w:rsidRDefault="00C4578B" w:rsidP="008C14ED">
      <w:pPr>
        <w:pStyle w:val="ListParagraph"/>
        <w:numPr>
          <w:ilvl w:val="0"/>
          <w:numId w:val="9"/>
        </w:numPr>
        <w:rPr>
          <w:iCs/>
        </w:rPr>
      </w:pPr>
      <w:r>
        <w:rPr>
          <w:iCs/>
        </w:rPr>
        <w:t>d</w:t>
      </w:r>
      <w:r w:rsidR="0055008A" w:rsidRPr="00A43DAD">
        <w:rPr>
          <w:iCs/>
        </w:rPr>
        <w:t>o no harm</w:t>
      </w:r>
    </w:p>
    <w:p w:rsidR="0055008A" w:rsidRPr="00A43DAD" w:rsidRDefault="00C4578B" w:rsidP="008C14ED">
      <w:pPr>
        <w:pStyle w:val="ListParagraph"/>
        <w:numPr>
          <w:ilvl w:val="0"/>
          <w:numId w:val="9"/>
        </w:numPr>
        <w:rPr>
          <w:iCs/>
        </w:rPr>
      </w:pPr>
      <w:r>
        <w:rPr>
          <w:iCs/>
        </w:rPr>
        <w:t>e</w:t>
      </w:r>
      <w:r w:rsidR="0055008A" w:rsidRPr="00A43DAD">
        <w:rPr>
          <w:iCs/>
        </w:rPr>
        <w:t>quity</w:t>
      </w:r>
    </w:p>
    <w:p w:rsidR="0055008A" w:rsidRPr="00A43DAD" w:rsidRDefault="00C4578B" w:rsidP="008C14ED">
      <w:pPr>
        <w:pStyle w:val="ListParagraph"/>
        <w:numPr>
          <w:ilvl w:val="0"/>
          <w:numId w:val="9"/>
        </w:numPr>
        <w:rPr>
          <w:iCs/>
        </w:rPr>
      </w:pPr>
      <w:r>
        <w:rPr>
          <w:iCs/>
        </w:rPr>
        <w:t>s</w:t>
      </w:r>
      <w:r w:rsidR="0055008A" w:rsidRPr="00A43DAD">
        <w:rPr>
          <w:iCs/>
        </w:rPr>
        <w:t>hared learning</w:t>
      </w:r>
    </w:p>
    <w:p w:rsidR="0055008A" w:rsidRPr="00A43DAD" w:rsidRDefault="00C4578B" w:rsidP="008C14ED">
      <w:pPr>
        <w:pStyle w:val="ListParagraph"/>
        <w:numPr>
          <w:ilvl w:val="0"/>
          <w:numId w:val="9"/>
        </w:numPr>
        <w:rPr>
          <w:iCs/>
        </w:rPr>
      </w:pPr>
      <w:r>
        <w:rPr>
          <w:iCs/>
        </w:rPr>
        <w:t>c</w:t>
      </w:r>
      <w:r w:rsidR="0055008A" w:rsidRPr="00A43DAD">
        <w:rPr>
          <w:iCs/>
        </w:rPr>
        <w:t>ollaboration</w:t>
      </w:r>
    </w:p>
    <w:p w:rsidR="0055008A" w:rsidRPr="00A43DAD" w:rsidRDefault="00C4578B" w:rsidP="008C14ED">
      <w:pPr>
        <w:pStyle w:val="ListParagraph"/>
        <w:numPr>
          <w:ilvl w:val="0"/>
          <w:numId w:val="9"/>
        </w:numPr>
        <w:rPr>
          <w:iCs/>
        </w:rPr>
      </w:pPr>
      <w:r>
        <w:rPr>
          <w:iCs/>
        </w:rPr>
        <w:t>s</w:t>
      </w:r>
      <w:r w:rsidR="0055008A" w:rsidRPr="00A43DAD">
        <w:rPr>
          <w:iCs/>
        </w:rPr>
        <w:t>trengthen local systems and ensure sustainability</w:t>
      </w:r>
    </w:p>
    <w:p w:rsidR="00B67494" w:rsidRDefault="00B67494" w:rsidP="00311456"/>
    <w:p w:rsidR="00B67494" w:rsidRPr="00A43DAD" w:rsidRDefault="00B67494" w:rsidP="00B67494">
      <w:r w:rsidRPr="00A43DAD">
        <w:rPr>
          <w:i/>
          <w:iCs/>
        </w:rPr>
        <w:t xml:space="preserve">An Effective Aid Program for Australia </w:t>
      </w:r>
      <w:r w:rsidR="0055008A" w:rsidRPr="0055008A">
        <w:rPr>
          <w:iCs/>
        </w:rPr>
        <w:t>also</w:t>
      </w:r>
      <w:r w:rsidR="0055008A">
        <w:rPr>
          <w:i/>
          <w:iCs/>
        </w:rPr>
        <w:t xml:space="preserve"> </w:t>
      </w:r>
      <w:r w:rsidRPr="00A43DAD">
        <w:t>states:</w:t>
      </w:r>
    </w:p>
    <w:p w:rsidR="00B67494" w:rsidRPr="00A43DAD" w:rsidRDefault="00B67494" w:rsidP="00B67494"/>
    <w:p w:rsidR="00B67494" w:rsidRPr="00494DBB" w:rsidRDefault="00B67494" w:rsidP="00B67494">
      <w:pPr>
        <w:ind w:left="720"/>
        <w:rPr>
          <w:iCs/>
        </w:rPr>
      </w:pPr>
      <w:r w:rsidRPr="00494DBB">
        <w:rPr>
          <w:iCs/>
        </w:rPr>
        <w:t xml:space="preserve">…partnerships enhance the reach of Australian aid, and enable the Australian Government and Australian NGOs to share lessons and experiences, jointly </w:t>
      </w:r>
      <w:r w:rsidRPr="00494DBB">
        <w:rPr>
          <w:iCs/>
        </w:rPr>
        <w:lastRenderedPageBreak/>
        <w:t>identifying the most effective ways to help people overcome poverty and make progress towards the MDGs</w:t>
      </w:r>
      <w:r w:rsidRPr="00494DBB">
        <w:t>.</w:t>
      </w:r>
      <w:r w:rsidRPr="00494DBB">
        <w:rPr>
          <w:rStyle w:val="FootnoteReference"/>
          <w:iCs/>
        </w:rPr>
        <w:t xml:space="preserve"> </w:t>
      </w:r>
      <w:r w:rsidRPr="00494DBB">
        <w:rPr>
          <w:rStyle w:val="FootnoteReference"/>
          <w:iCs/>
        </w:rPr>
        <w:footnoteReference w:id="37"/>
      </w:r>
    </w:p>
    <w:p w:rsidR="00B67494" w:rsidRPr="00A43DAD" w:rsidRDefault="00B67494" w:rsidP="00B67494"/>
    <w:p w:rsidR="00A02327" w:rsidRDefault="00B67494" w:rsidP="00A02327">
      <w:r w:rsidRPr="00A43DAD">
        <w:t>AusAID experience suggests that a partnership approach with NGOs improves the efficiency and effectiveness of development outcomes.</w:t>
      </w:r>
      <w:r w:rsidRPr="00A43DAD">
        <w:rPr>
          <w:rStyle w:val="FootnoteReference"/>
        </w:rPr>
        <w:footnoteReference w:id="38"/>
      </w:r>
      <w:r w:rsidR="00C4578B">
        <w:t xml:space="preserve"> In line with this</w:t>
      </w:r>
      <w:r w:rsidR="00561FA4">
        <w:t xml:space="preserve"> understanding</w:t>
      </w:r>
      <w:r w:rsidR="00C4578B">
        <w:t>, the AACRS will adopt a strong partnership model.</w:t>
      </w:r>
      <w:r w:rsidR="00F96C55">
        <w:t xml:space="preserve"> </w:t>
      </w:r>
      <w:r w:rsidR="00A02327">
        <w:t>The development of a strong partnership model for AACRS will include:</w:t>
      </w:r>
    </w:p>
    <w:p w:rsidR="00A02327" w:rsidRDefault="00A02327" w:rsidP="00A02327"/>
    <w:p w:rsidR="00A02327" w:rsidRPr="00A02327" w:rsidRDefault="00A02327" w:rsidP="008C14ED">
      <w:pPr>
        <w:pStyle w:val="ListParagraph"/>
        <w:numPr>
          <w:ilvl w:val="0"/>
          <w:numId w:val="9"/>
        </w:numPr>
        <w:rPr>
          <w:iCs/>
        </w:rPr>
      </w:pPr>
      <w:r>
        <w:rPr>
          <w:iCs/>
        </w:rPr>
        <w:t>d</w:t>
      </w:r>
      <w:r w:rsidRPr="00A02327">
        <w:rPr>
          <w:iCs/>
        </w:rPr>
        <w:t xml:space="preserve">eveloping a common understanding of what the term ‘partnership’ means in the context of </w:t>
      </w:r>
      <w:r w:rsidR="00C4578B">
        <w:rPr>
          <w:iCs/>
        </w:rPr>
        <w:t>the scheme</w:t>
      </w:r>
    </w:p>
    <w:p w:rsidR="00A02327" w:rsidRPr="00A02327" w:rsidRDefault="00A02327" w:rsidP="008C14ED">
      <w:pPr>
        <w:pStyle w:val="ListParagraph"/>
        <w:numPr>
          <w:ilvl w:val="0"/>
          <w:numId w:val="9"/>
        </w:numPr>
        <w:rPr>
          <w:iCs/>
        </w:rPr>
      </w:pPr>
      <w:r>
        <w:rPr>
          <w:iCs/>
        </w:rPr>
        <w:t>c</w:t>
      </w:r>
      <w:r w:rsidRPr="00A02327">
        <w:rPr>
          <w:iCs/>
        </w:rPr>
        <w:t>learly identifying the different goals, drivers and risks for all participating parties</w:t>
      </w:r>
    </w:p>
    <w:p w:rsidR="00A02327" w:rsidRPr="00A02327" w:rsidRDefault="00A02327" w:rsidP="008C14ED">
      <w:pPr>
        <w:pStyle w:val="ListParagraph"/>
        <w:numPr>
          <w:ilvl w:val="0"/>
          <w:numId w:val="9"/>
        </w:numPr>
        <w:rPr>
          <w:iCs/>
        </w:rPr>
      </w:pPr>
      <w:r>
        <w:rPr>
          <w:iCs/>
        </w:rPr>
        <w:t>d</w:t>
      </w:r>
      <w:r w:rsidRPr="00A02327">
        <w:rPr>
          <w:iCs/>
        </w:rPr>
        <w:t xml:space="preserve">rafting </w:t>
      </w:r>
      <w:r>
        <w:rPr>
          <w:iCs/>
        </w:rPr>
        <w:t>a Partnership Agreement</w:t>
      </w:r>
      <w:r w:rsidRPr="00A02327">
        <w:rPr>
          <w:iCs/>
        </w:rPr>
        <w:t xml:space="preserve"> which will spell out expectations for relationship management and behavior between the partners</w:t>
      </w:r>
    </w:p>
    <w:p w:rsidR="00A02327" w:rsidRPr="00A02327" w:rsidRDefault="00A02327" w:rsidP="008C14ED">
      <w:pPr>
        <w:pStyle w:val="ListParagraph"/>
        <w:numPr>
          <w:ilvl w:val="0"/>
          <w:numId w:val="9"/>
        </w:numPr>
        <w:rPr>
          <w:iCs/>
        </w:rPr>
      </w:pPr>
      <w:proofErr w:type="gramStart"/>
      <w:r>
        <w:rPr>
          <w:iCs/>
        </w:rPr>
        <w:t>d</w:t>
      </w:r>
      <w:r w:rsidRPr="00A02327">
        <w:rPr>
          <w:iCs/>
        </w:rPr>
        <w:t>eveloping</w:t>
      </w:r>
      <w:proofErr w:type="gramEnd"/>
      <w:r w:rsidRPr="00A02327">
        <w:rPr>
          <w:iCs/>
        </w:rPr>
        <w:t xml:space="preserve"> business processes for AACRS which support a partnership approach, including a communications plan</w:t>
      </w:r>
      <w:r>
        <w:rPr>
          <w:iCs/>
        </w:rPr>
        <w:t>.</w:t>
      </w:r>
    </w:p>
    <w:p w:rsidR="00746325" w:rsidRDefault="00746325" w:rsidP="00311456"/>
    <w:p w:rsidR="00C4578B" w:rsidRDefault="00914E9E" w:rsidP="00311456">
      <w:pPr>
        <w:rPr>
          <w:b/>
        </w:rPr>
      </w:pPr>
      <w:r>
        <w:t xml:space="preserve">Partnerships between </w:t>
      </w:r>
      <w:r w:rsidRPr="00E151E5">
        <w:t xml:space="preserve">AACRS NGO partners </w:t>
      </w:r>
      <w:r>
        <w:t xml:space="preserve">and </w:t>
      </w:r>
      <w:r w:rsidR="00F96C55">
        <w:t>CSOs</w:t>
      </w:r>
      <w:r w:rsidRPr="00E151E5">
        <w:t xml:space="preserve"> in Afghanistan</w:t>
      </w:r>
      <w:r>
        <w:t xml:space="preserve"> will be undertaken in ways which suit the particular context (e.g. topic of focus; availability of CSOs, level of previous engagement and interest in future collaboration)</w:t>
      </w:r>
      <w:r w:rsidRPr="00E151E5">
        <w:t xml:space="preserve">. </w:t>
      </w:r>
      <w:r>
        <w:t xml:space="preserve">Afghan </w:t>
      </w:r>
      <w:r w:rsidRPr="00E151E5">
        <w:t xml:space="preserve">CSOs may include Community Development Councils, traditional Shuras, </w:t>
      </w:r>
      <w:proofErr w:type="gramStart"/>
      <w:r w:rsidRPr="00E151E5">
        <w:t>local</w:t>
      </w:r>
      <w:proofErr w:type="gramEnd"/>
      <w:r w:rsidRPr="00E151E5">
        <w:t xml:space="preserve"> NGOs including women’s organisations or another local entity which will support implementation. </w:t>
      </w:r>
    </w:p>
    <w:p w:rsidR="00C4578B" w:rsidRDefault="00C4578B" w:rsidP="00311456">
      <w:pPr>
        <w:rPr>
          <w:b/>
        </w:rPr>
      </w:pPr>
    </w:p>
    <w:p w:rsidR="00FC54C2" w:rsidRPr="00FC54C2" w:rsidRDefault="00FC54C2" w:rsidP="00311456">
      <w:pPr>
        <w:rPr>
          <w:b/>
        </w:rPr>
      </w:pPr>
      <w:r w:rsidRPr="00FC54C2">
        <w:rPr>
          <w:b/>
        </w:rPr>
        <w:t>Lessons Learned</w:t>
      </w:r>
    </w:p>
    <w:p w:rsidR="00311456" w:rsidRPr="00A43DAD" w:rsidRDefault="00311456" w:rsidP="00311456">
      <w:r w:rsidRPr="00A43DAD">
        <w:t>Participants in the AACRS Design Workshop</w:t>
      </w:r>
      <w:r w:rsidRPr="00A43DAD">
        <w:rPr>
          <w:rStyle w:val="FootnoteReference"/>
        </w:rPr>
        <w:footnoteReference w:id="39"/>
      </w:r>
      <w:r w:rsidRPr="00A43DAD">
        <w:t xml:space="preserve"> reflected on their experience with donor funding of activities in Afghanistan and developed a list of lessons learned</w:t>
      </w:r>
      <w:r w:rsidR="0045168E">
        <w:t>.</w:t>
      </w:r>
      <w:r w:rsidR="0059394D">
        <w:t xml:space="preserve"> Many of these are consistent with lessons AusAID </w:t>
      </w:r>
      <w:r w:rsidR="000465C3">
        <w:t>understands about</w:t>
      </w:r>
      <w:r w:rsidR="005263F2">
        <w:t xml:space="preserve"> aid delivery </w:t>
      </w:r>
      <w:r w:rsidR="0059394D">
        <w:t>more generally</w:t>
      </w:r>
      <w:r w:rsidR="005263F2">
        <w:t>, and</w:t>
      </w:r>
      <w:r w:rsidR="000465C3">
        <w:t xml:space="preserve"> has</w:t>
      </w:r>
      <w:r w:rsidR="005263F2">
        <w:t xml:space="preserve"> adopted in </w:t>
      </w:r>
      <w:r w:rsidR="00210813">
        <w:t>Afghanistan</w:t>
      </w:r>
      <w:r w:rsidR="0059394D">
        <w:t>.</w:t>
      </w:r>
      <w:r w:rsidR="0045168E">
        <w:t xml:space="preserve"> </w:t>
      </w:r>
      <w:r w:rsidRPr="00A43DAD">
        <w:t>These are presented in Box 1 below.</w:t>
      </w:r>
    </w:p>
    <w:p w:rsidR="007F78BE" w:rsidRDefault="007F78BE" w:rsidP="00311456">
      <w:pPr>
        <w:rPr>
          <w:b/>
          <w:bCs/>
        </w:rPr>
      </w:pPr>
    </w:p>
    <w:p w:rsidR="00311456" w:rsidRPr="00A43DAD" w:rsidRDefault="00311456" w:rsidP="00311456">
      <w:pPr>
        <w:rPr>
          <w:b/>
          <w:bCs/>
        </w:rPr>
      </w:pPr>
      <w:r w:rsidRPr="00A43DAD">
        <w:rPr>
          <w:b/>
          <w:bCs/>
        </w:rPr>
        <w:t>Box 1: Lessons Learned by NGOs Active in Afghanistan</w:t>
      </w:r>
    </w:p>
    <w:p w:rsidR="00311456" w:rsidRPr="00A43DAD" w:rsidRDefault="00311456" w:rsidP="00311456"/>
    <w:p w:rsidR="00311456" w:rsidRPr="00A43DAD" w:rsidRDefault="00311456" w:rsidP="008C14ED">
      <w:pPr>
        <w:pStyle w:val="ListParagraph"/>
        <w:numPr>
          <w:ilvl w:val="0"/>
          <w:numId w:val="21"/>
        </w:numPr>
        <w:pBdr>
          <w:top w:val="single" w:sz="4" w:space="1" w:color="auto"/>
          <w:left w:val="single" w:sz="4" w:space="4" w:color="auto"/>
          <w:bottom w:val="single" w:sz="4" w:space="1" w:color="auto"/>
          <w:right w:val="single" w:sz="4" w:space="4" w:color="auto"/>
        </w:pBdr>
      </w:pPr>
      <w:r w:rsidRPr="00A43DAD">
        <w:t>Funding needs to be long-term as effective change takes time</w:t>
      </w:r>
      <w:r w:rsidR="00165D79">
        <w:t>.</w:t>
      </w:r>
    </w:p>
    <w:p w:rsidR="00311456" w:rsidRPr="00A43DAD" w:rsidRDefault="00311456" w:rsidP="008C14ED">
      <w:pPr>
        <w:pStyle w:val="ListParagraph"/>
        <w:numPr>
          <w:ilvl w:val="0"/>
          <w:numId w:val="21"/>
        </w:numPr>
        <w:pBdr>
          <w:top w:val="single" w:sz="4" w:space="1" w:color="auto"/>
          <w:left w:val="single" w:sz="4" w:space="4" w:color="auto"/>
          <w:bottom w:val="single" w:sz="4" w:space="1" w:color="auto"/>
          <w:right w:val="single" w:sz="4" w:space="4" w:color="auto"/>
        </w:pBdr>
      </w:pPr>
      <w:r w:rsidRPr="00A43DAD">
        <w:t>Funding needs to be flexible both to allow crises to be accommodated, and to allow scope for change so that lessons learned through monitoring can be applied</w:t>
      </w:r>
      <w:r w:rsidR="00165D79">
        <w:t>.</w:t>
      </w:r>
    </w:p>
    <w:p w:rsidR="00311456" w:rsidRPr="00A43DAD" w:rsidRDefault="00311456" w:rsidP="008C14ED">
      <w:pPr>
        <w:pStyle w:val="ListParagraph"/>
        <w:numPr>
          <w:ilvl w:val="0"/>
          <w:numId w:val="21"/>
        </w:numPr>
        <w:pBdr>
          <w:top w:val="single" w:sz="4" w:space="1" w:color="auto"/>
          <w:left w:val="single" w:sz="4" w:space="4" w:color="auto"/>
          <w:bottom w:val="single" w:sz="4" w:space="1" w:color="auto"/>
          <w:right w:val="single" w:sz="4" w:space="4" w:color="auto"/>
        </w:pBdr>
      </w:pPr>
      <w:r w:rsidRPr="00A43DAD">
        <w:t xml:space="preserve">Working </w:t>
      </w:r>
      <w:r w:rsidR="00D55B2A">
        <w:t>within the complex social and political environment of Afghanistan</w:t>
      </w:r>
      <w:r w:rsidRPr="00A43DAD">
        <w:t xml:space="preserve"> requires </w:t>
      </w:r>
      <w:r w:rsidR="00D55B2A">
        <w:t xml:space="preserve">the establishment of </w:t>
      </w:r>
      <w:r w:rsidRPr="00A43DAD">
        <w:t xml:space="preserve">very good relationships with </w:t>
      </w:r>
      <w:r w:rsidR="00D55B2A">
        <w:t xml:space="preserve">locals, including national and local government counterparts, so early and ongoing engagement is essential. </w:t>
      </w:r>
    </w:p>
    <w:p w:rsidR="00311456" w:rsidRPr="00A43DAD" w:rsidRDefault="00311456" w:rsidP="008C14ED">
      <w:pPr>
        <w:pStyle w:val="ListParagraph"/>
        <w:numPr>
          <w:ilvl w:val="0"/>
          <w:numId w:val="21"/>
        </w:numPr>
        <w:pBdr>
          <w:top w:val="single" w:sz="4" w:space="1" w:color="auto"/>
          <w:left w:val="single" w:sz="4" w:space="4" w:color="auto"/>
          <w:bottom w:val="single" w:sz="4" w:space="1" w:color="auto"/>
          <w:right w:val="single" w:sz="4" w:space="4" w:color="auto"/>
        </w:pBdr>
      </w:pPr>
      <w:r w:rsidRPr="00A43DAD">
        <w:t>Australian NGOs</w:t>
      </w:r>
      <w:r w:rsidR="00C4578B">
        <w:t>,</w:t>
      </w:r>
      <w:r w:rsidRPr="00A43DAD">
        <w:t xml:space="preserve"> by working through partners in Afghanistan, can ensure value for money, M&amp;E feasibility and effective outcomes</w:t>
      </w:r>
      <w:r w:rsidR="00165D79">
        <w:t>.</w:t>
      </w:r>
    </w:p>
    <w:p w:rsidR="00311456" w:rsidRPr="00A43DAD" w:rsidRDefault="00311456" w:rsidP="008C14ED">
      <w:pPr>
        <w:pStyle w:val="ListParagraph"/>
        <w:numPr>
          <w:ilvl w:val="0"/>
          <w:numId w:val="21"/>
        </w:numPr>
        <w:pBdr>
          <w:top w:val="single" w:sz="4" w:space="1" w:color="auto"/>
          <w:left w:val="single" w:sz="4" w:space="4" w:color="auto"/>
          <w:bottom w:val="single" w:sz="4" w:space="1" w:color="auto"/>
          <w:right w:val="single" w:sz="4" w:space="4" w:color="auto"/>
        </w:pBdr>
      </w:pPr>
      <w:r w:rsidRPr="00A43DAD">
        <w:t>Partnership models are diverse, and depend on each NGO’s ways of working</w:t>
      </w:r>
    </w:p>
    <w:p w:rsidR="00311456" w:rsidRPr="00A43DAD" w:rsidRDefault="00311456" w:rsidP="008C14ED">
      <w:pPr>
        <w:pStyle w:val="ListParagraph"/>
        <w:numPr>
          <w:ilvl w:val="0"/>
          <w:numId w:val="21"/>
        </w:numPr>
        <w:pBdr>
          <w:top w:val="single" w:sz="4" w:space="1" w:color="auto"/>
          <w:left w:val="single" w:sz="4" w:space="4" w:color="auto"/>
          <w:bottom w:val="single" w:sz="4" w:space="1" w:color="auto"/>
          <w:right w:val="single" w:sz="4" w:space="4" w:color="auto"/>
        </w:pBdr>
      </w:pPr>
      <w:r w:rsidRPr="00A43DAD">
        <w:t xml:space="preserve">Good governance can be achieved through working through </w:t>
      </w:r>
      <w:r w:rsidR="00FC54C2">
        <w:t>CDCs</w:t>
      </w:r>
      <w:r w:rsidR="00165D79">
        <w:t>.</w:t>
      </w:r>
    </w:p>
    <w:p w:rsidR="00311456" w:rsidRPr="00A43DAD" w:rsidRDefault="00311456" w:rsidP="008C14ED">
      <w:pPr>
        <w:pStyle w:val="ListParagraph"/>
        <w:numPr>
          <w:ilvl w:val="0"/>
          <w:numId w:val="21"/>
        </w:numPr>
        <w:pBdr>
          <w:top w:val="single" w:sz="4" w:space="1" w:color="auto"/>
          <w:left w:val="single" w:sz="4" w:space="4" w:color="auto"/>
          <w:bottom w:val="single" w:sz="4" w:space="1" w:color="auto"/>
          <w:right w:val="single" w:sz="4" w:space="4" w:color="auto"/>
        </w:pBdr>
      </w:pPr>
      <w:r w:rsidRPr="00A43DAD">
        <w:t>It is important to establish trust and open communica</w:t>
      </w:r>
      <w:r w:rsidR="00165D79">
        <w:t>tions between the NGO and donor.</w:t>
      </w:r>
    </w:p>
    <w:p w:rsidR="00311456" w:rsidRPr="00A43DAD" w:rsidRDefault="00311456" w:rsidP="008C14ED">
      <w:pPr>
        <w:pStyle w:val="ListParagraph"/>
        <w:numPr>
          <w:ilvl w:val="0"/>
          <w:numId w:val="21"/>
        </w:numPr>
        <w:pBdr>
          <w:top w:val="single" w:sz="4" w:space="1" w:color="auto"/>
          <w:left w:val="single" w:sz="4" w:space="4" w:color="auto"/>
          <w:bottom w:val="single" w:sz="4" w:space="1" w:color="auto"/>
          <w:right w:val="single" w:sz="4" w:space="4" w:color="auto"/>
        </w:pBdr>
      </w:pPr>
      <w:r w:rsidRPr="00A43DAD">
        <w:lastRenderedPageBreak/>
        <w:t>Having an entity in-country assists with representation of NGOs as a group eg British/ Irish NGOs are members of</w:t>
      </w:r>
      <w:r w:rsidR="00FC54C2">
        <w:t xml:space="preserve"> the</w:t>
      </w:r>
      <w:r w:rsidRPr="00A43DAD">
        <w:t xml:space="preserve"> </w:t>
      </w:r>
      <w:r w:rsidR="00FC54C2" w:rsidRPr="00FC54C2">
        <w:t>British and Irish Agencies Afghanistan Group</w:t>
      </w:r>
      <w:r w:rsidR="00165D79">
        <w:t>.</w:t>
      </w:r>
    </w:p>
    <w:p w:rsidR="00311456" w:rsidRPr="00A43DAD" w:rsidRDefault="00311456" w:rsidP="008C14ED">
      <w:pPr>
        <w:pStyle w:val="ListParagraph"/>
        <w:numPr>
          <w:ilvl w:val="0"/>
          <w:numId w:val="21"/>
        </w:numPr>
        <w:pBdr>
          <w:top w:val="single" w:sz="4" w:space="1" w:color="auto"/>
          <w:left w:val="single" w:sz="4" w:space="4" w:color="auto"/>
          <w:bottom w:val="single" w:sz="4" w:space="1" w:color="auto"/>
          <w:right w:val="single" w:sz="4" w:space="4" w:color="auto"/>
        </w:pBdr>
      </w:pPr>
      <w:r w:rsidRPr="00A43DAD">
        <w:t>Broad guidelines and parameters for funding allow NGOs some flexibility when designing projects so they are able to meet priorities on the ground</w:t>
      </w:r>
      <w:r w:rsidR="00165D79">
        <w:t>.</w:t>
      </w:r>
    </w:p>
    <w:p w:rsidR="00311456" w:rsidRPr="00A43DAD" w:rsidRDefault="00311456" w:rsidP="008C14ED">
      <w:pPr>
        <w:pStyle w:val="ListParagraph"/>
        <w:numPr>
          <w:ilvl w:val="0"/>
          <w:numId w:val="21"/>
        </w:numPr>
        <w:pBdr>
          <w:top w:val="single" w:sz="4" w:space="1" w:color="auto"/>
          <w:left w:val="single" w:sz="4" w:space="4" w:color="auto"/>
          <w:bottom w:val="single" w:sz="4" w:space="1" w:color="auto"/>
          <w:right w:val="single" w:sz="4" w:space="4" w:color="auto"/>
        </w:pBdr>
      </w:pPr>
      <w:r w:rsidRPr="00A43DAD">
        <w:t>Having realistic expectations given that it takes time to make a difference is important in both the design and the M&amp;E framework</w:t>
      </w:r>
      <w:r w:rsidR="00165D79">
        <w:t>.</w:t>
      </w:r>
    </w:p>
    <w:p w:rsidR="00311456" w:rsidRPr="00A43DAD" w:rsidRDefault="00311456" w:rsidP="008C14ED">
      <w:pPr>
        <w:pStyle w:val="ListParagraph"/>
        <w:numPr>
          <w:ilvl w:val="0"/>
          <w:numId w:val="21"/>
        </w:numPr>
        <w:pBdr>
          <w:top w:val="single" w:sz="4" w:space="1" w:color="auto"/>
          <w:left w:val="single" w:sz="4" w:space="4" w:color="auto"/>
          <w:bottom w:val="single" w:sz="4" w:space="1" w:color="auto"/>
          <w:right w:val="single" w:sz="4" w:space="4" w:color="auto"/>
        </w:pBdr>
      </w:pPr>
      <w:r w:rsidRPr="00A43DAD">
        <w:t>Adequate funds are required for security</w:t>
      </w:r>
      <w:r w:rsidR="00165D79">
        <w:t>.</w:t>
      </w:r>
    </w:p>
    <w:p w:rsidR="00311456" w:rsidRPr="00A43DAD" w:rsidRDefault="00311456" w:rsidP="008C14ED">
      <w:pPr>
        <w:pStyle w:val="ListParagraph"/>
        <w:numPr>
          <w:ilvl w:val="0"/>
          <w:numId w:val="21"/>
        </w:numPr>
        <w:pBdr>
          <w:top w:val="single" w:sz="4" w:space="1" w:color="auto"/>
          <w:left w:val="single" w:sz="4" w:space="4" w:color="auto"/>
          <w:bottom w:val="single" w:sz="4" w:space="1" w:color="auto"/>
          <w:right w:val="single" w:sz="4" w:space="4" w:color="auto"/>
        </w:pBdr>
      </w:pPr>
      <w:r w:rsidRPr="00A43DAD">
        <w:t>NGOs focus on development objectives, which can be separate to political / military contact</w:t>
      </w:r>
      <w:r w:rsidR="00165D79">
        <w:t>.</w:t>
      </w:r>
    </w:p>
    <w:p w:rsidR="00311456" w:rsidRPr="00A43DAD" w:rsidRDefault="00311456" w:rsidP="008C14ED">
      <w:pPr>
        <w:pStyle w:val="ListParagraph"/>
        <w:numPr>
          <w:ilvl w:val="0"/>
          <w:numId w:val="21"/>
        </w:numPr>
        <w:pBdr>
          <w:top w:val="single" w:sz="4" w:space="1" w:color="auto"/>
          <w:left w:val="single" w:sz="4" w:space="4" w:color="auto"/>
          <w:bottom w:val="single" w:sz="4" w:space="1" w:color="auto"/>
          <w:right w:val="single" w:sz="4" w:space="4" w:color="auto"/>
        </w:pBdr>
      </w:pPr>
      <w:r w:rsidRPr="00A43DAD">
        <w:t>Effective projects involve women and</w:t>
      </w:r>
      <w:r w:rsidR="00C4578B">
        <w:t xml:space="preserve"> </w:t>
      </w:r>
      <w:r w:rsidRPr="00A43DAD">
        <w:t>/</w:t>
      </w:r>
      <w:r w:rsidR="00C4578B">
        <w:t xml:space="preserve"> </w:t>
      </w:r>
      <w:r w:rsidRPr="00A43DAD">
        <w:t>or girls</w:t>
      </w:r>
      <w:r w:rsidR="00165D79">
        <w:t>.</w:t>
      </w:r>
    </w:p>
    <w:p w:rsidR="00311456" w:rsidRPr="00A43DAD" w:rsidRDefault="00311456" w:rsidP="008C14ED">
      <w:pPr>
        <w:pStyle w:val="ListParagraph"/>
        <w:numPr>
          <w:ilvl w:val="0"/>
          <w:numId w:val="21"/>
        </w:numPr>
        <w:pBdr>
          <w:top w:val="single" w:sz="4" w:space="1" w:color="auto"/>
          <w:left w:val="single" w:sz="4" w:space="4" w:color="auto"/>
          <w:bottom w:val="single" w:sz="4" w:space="1" w:color="auto"/>
          <w:right w:val="single" w:sz="4" w:space="4" w:color="auto"/>
        </w:pBdr>
      </w:pPr>
      <w:r w:rsidRPr="00A43DAD">
        <w:t>Cultural sensitivity and respect underpin effective aid</w:t>
      </w:r>
      <w:r w:rsidR="00165D79">
        <w:t>.</w:t>
      </w:r>
    </w:p>
    <w:p w:rsidR="00311456" w:rsidRPr="00A43DAD" w:rsidRDefault="00311456" w:rsidP="008C14ED">
      <w:pPr>
        <w:pStyle w:val="ListParagraph"/>
        <w:numPr>
          <w:ilvl w:val="0"/>
          <w:numId w:val="21"/>
        </w:numPr>
        <w:pBdr>
          <w:top w:val="single" w:sz="4" w:space="1" w:color="auto"/>
          <w:left w:val="single" w:sz="4" w:space="4" w:color="auto"/>
          <w:bottom w:val="single" w:sz="4" w:space="1" w:color="auto"/>
          <w:right w:val="single" w:sz="4" w:space="4" w:color="auto"/>
        </w:pBdr>
      </w:pPr>
      <w:r w:rsidRPr="00A43DAD">
        <w:t>Sustainability of project benefits can only be achieved by through working through the community</w:t>
      </w:r>
      <w:r w:rsidR="00165D79">
        <w:t>.</w:t>
      </w:r>
    </w:p>
    <w:p w:rsidR="00311456" w:rsidRPr="00C13DA3" w:rsidRDefault="00311456" w:rsidP="00311456">
      <w:pPr>
        <w:rPr>
          <w:sz w:val="20"/>
          <w:szCs w:val="20"/>
        </w:rPr>
      </w:pPr>
      <w:r w:rsidRPr="00C13DA3">
        <w:rPr>
          <w:sz w:val="20"/>
          <w:szCs w:val="20"/>
        </w:rPr>
        <w:t>Source: Brainstorming at AACRS Consultative Design Workshop, 9 July 2012.</w:t>
      </w:r>
    </w:p>
    <w:p w:rsidR="00311456" w:rsidRPr="00A43DAD" w:rsidRDefault="00311456" w:rsidP="00311456"/>
    <w:p w:rsidR="00311456" w:rsidRPr="00A43DAD" w:rsidRDefault="00C4578B" w:rsidP="00311456">
      <w:r>
        <w:t xml:space="preserve">The </w:t>
      </w:r>
      <w:r w:rsidR="00311456" w:rsidRPr="00A43DAD">
        <w:t xml:space="preserve">AACRS has not been conceived as an NGO facility in the same vein as NGO facilities in other countries or regions. It is an agriculture and rural development program where delivery will be through NGO engagement. While it does not fully align with other AusAID NGO facilities, there are valuable lessons learned which inform this design. </w:t>
      </w:r>
    </w:p>
    <w:p w:rsidR="00311456" w:rsidRPr="00A43DAD" w:rsidRDefault="00311456" w:rsidP="00311456"/>
    <w:p w:rsidR="00311456" w:rsidRPr="00A43DAD" w:rsidRDefault="00311456" w:rsidP="00311456">
      <w:r w:rsidRPr="00A43DAD">
        <w:t>The lessons learned draw from design documentation prepared for: the Solomon Islands NGO Partnerships Agreements (SINPA); the Australia Africa Community Engagement Scheme (AACES); the Australia Middle East NGO Cooperation Agreement 2 (AMENCA 2); the AusAID Civil Society Water, Sanitation and Hygiene (WASH) Fund; and a review of Mekong programs</w:t>
      </w:r>
      <w:r w:rsidR="00C4578B">
        <w:t>.</w:t>
      </w:r>
      <w:r w:rsidRPr="00A43DAD">
        <w:rPr>
          <w:rStyle w:val="FootnoteReference"/>
        </w:rPr>
        <w:footnoteReference w:id="40"/>
      </w:r>
      <w:r w:rsidRPr="00A43DAD">
        <w:t xml:space="preserve"> Some lessons also derive from consultation with the Director of the HPA which is a partnership between AusAID and six Australian NGOs.</w:t>
      </w:r>
    </w:p>
    <w:p w:rsidR="00311456" w:rsidRPr="00A43DAD" w:rsidRDefault="00311456" w:rsidP="00311456"/>
    <w:p w:rsidR="00311456" w:rsidRPr="00A43DAD" w:rsidRDefault="00311456" w:rsidP="00311456">
      <w:r w:rsidRPr="00A43DAD">
        <w:t>During the AACRS Design Workshop, NGO participants raised examples of good practice from current NGO facilities. In particular, the AACES and AMENCA 2 programs are highly regarded by NGOs and co</w:t>
      </w:r>
      <w:r w:rsidR="00CE1010">
        <w:t xml:space="preserve">nsidered as relevant to AACRS. </w:t>
      </w:r>
      <w:r w:rsidRPr="00A43DAD">
        <w:t>Lessons drawn from various sources include:</w:t>
      </w:r>
    </w:p>
    <w:p w:rsidR="00311456" w:rsidRPr="00A43DAD" w:rsidRDefault="00311456" w:rsidP="00311456"/>
    <w:p w:rsidR="00311456" w:rsidRPr="00A43DAD" w:rsidRDefault="00311456" w:rsidP="00311456">
      <w:r w:rsidRPr="00A43DAD">
        <w:rPr>
          <w:b/>
          <w:bCs/>
          <w:i/>
          <w:iCs/>
        </w:rPr>
        <w:t>Partnership:</w:t>
      </w:r>
      <w:r w:rsidRPr="00A43DAD">
        <w:t xml:space="preserve"> investment of time and effort in developing partnerships between AusAID and the NGOs and among the NGOs has resulted in collaborative work practices, strong designs and more effective information sharing during both design and implementation in more recent programs. However, there has been concern that partnership is difficult to put into practice and requires sustained effort by all parties. </w:t>
      </w:r>
    </w:p>
    <w:p w:rsidR="00311456" w:rsidRPr="00A43DAD" w:rsidRDefault="00311456" w:rsidP="00311456"/>
    <w:p w:rsidR="00311456" w:rsidRPr="00A43DAD" w:rsidRDefault="00311456" w:rsidP="00311456">
      <w:r w:rsidRPr="00A43DAD">
        <w:rPr>
          <w:b/>
          <w:bCs/>
          <w:i/>
          <w:iCs/>
        </w:rPr>
        <w:t xml:space="preserve">Separating selection from detailed design: </w:t>
      </w:r>
      <w:r w:rsidRPr="00A43DAD">
        <w:t xml:space="preserve">a two-step process where detailed project design work comes after NGO selection has been found to be both effective and efficient. Effectiveness is linked to greater collaboration between NGOs once the threat of competition is removed. The process is more efficient as NGOs do not have to invest significant resources in designing activities which fail to be selected and therefore are not funded. </w:t>
      </w:r>
    </w:p>
    <w:p w:rsidR="00311456" w:rsidRPr="00A43DAD" w:rsidRDefault="00311456" w:rsidP="00311456"/>
    <w:p w:rsidR="00311456" w:rsidRPr="00A43DAD" w:rsidRDefault="00311456" w:rsidP="00311456">
      <w:pPr>
        <w:rPr>
          <w:b/>
          <w:bCs/>
          <w:i/>
          <w:iCs/>
        </w:rPr>
      </w:pPr>
      <w:r w:rsidRPr="00A43DAD">
        <w:rPr>
          <w:b/>
          <w:bCs/>
          <w:i/>
          <w:iCs/>
        </w:rPr>
        <w:t xml:space="preserve">Technical and financial support for design: </w:t>
      </w:r>
      <w:r w:rsidRPr="00A43DAD">
        <w:t xml:space="preserve">once NGOs have been selected, project design can proceed cooperatively. For AACES, joint design workshops allowed the program parameters to be fully understood, projects to be designed collaboratively and partnership to commence. Provision of design and M&amp;E expertise at design stage was seen as a good </w:t>
      </w:r>
      <w:r w:rsidRPr="00A43DAD">
        <w:lastRenderedPageBreak/>
        <w:t>investment in achieving a high standard project design. This in turn led to an efficient AusAID appraisal /</w:t>
      </w:r>
      <w:r w:rsidR="009A078A">
        <w:t xml:space="preserve"> </w:t>
      </w:r>
      <w:r w:rsidRPr="00A43DAD">
        <w:t>approval process and to maximising the benefits of Australian aid.</w:t>
      </w:r>
    </w:p>
    <w:p w:rsidR="00311456" w:rsidRPr="00A43DAD" w:rsidRDefault="00311456" w:rsidP="00311456"/>
    <w:p w:rsidR="00311456" w:rsidRPr="00A43DAD" w:rsidRDefault="00311456" w:rsidP="00311456">
      <w:r w:rsidRPr="00A43DAD">
        <w:rPr>
          <w:b/>
          <w:bCs/>
          <w:i/>
          <w:iCs/>
        </w:rPr>
        <w:t>Capacity development is important:</w:t>
      </w:r>
      <w:r w:rsidRPr="00A43DAD">
        <w:t xml:space="preserve"> project budgets should ensure adequate provision of resources to contribute towards the strengthened capacity of implementing teams and local NGO partners in order to maximise ownership and sustainability. Effective capacity development includes diverse forms of support, not just training workshops. It also requires project personnel to have a good understanding of drivers of change and organisational development concepts as well as high level cross-cultural competencies, facilitation skills and </w:t>
      </w:r>
      <w:proofErr w:type="gramStart"/>
      <w:r w:rsidRPr="00A43DAD">
        <w:t>an openness</w:t>
      </w:r>
      <w:proofErr w:type="gramEnd"/>
      <w:r w:rsidRPr="00A43DAD">
        <w:t xml:space="preserve"> to learn. A strengths-based approach to capacity development is recommended, as this will contribute to higher levels of confidence and motivation</w:t>
      </w:r>
      <w:r w:rsidR="00A4457B">
        <w:t xml:space="preserve">. </w:t>
      </w:r>
      <w:r w:rsidR="00710156">
        <w:t>AACRS does not expect specific pre-determined capacity outcomes among Afghan CSOs, but expects AACRS NGO partners to use a capacity development orientation in their collaboration with them.</w:t>
      </w:r>
    </w:p>
    <w:p w:rsidR="00311456" w:rsidRPr="00A43DAD" w:rsidRDefault="00311456" w:rsidP="00311456"/>
    <w:p w:rsidR="00311456" w:rsidRPr="00A43DAD" w:rsidRDefault="00311456" w:rsidP="00311456">
      <w:r w:rsidRPr="00A43DAD">
        <w:rPr>
          <w:b/>
          <w:bCs/>
          <w:i/>
          <w:iCs/>
        </w:rPr>
        <w:t>‘Program- level’ outcomes:</w:t>
      </w:r>
      <w:r w:rsidRPr="00A43DAD">
        <w:t xml:space="preserve"> these do not spontaneously manifest from a portfolio of discrete NGO projects. The program approach should be understood and owned by the NGOs and their collaboration fostered. Resources are required for program level leadership, coordination and reporting. Activities at program level should include mechanisms for sharing good practice, developing joint lessons learned and engaging as a group with government partners. In AACES, NGOs and AusAID signed a multi-party cooperative agreement to govern the program, as well as individual NGO project </w:t>
      </w:r>
      <w:r w:rsidR="004B5680">
        <w:t>agreements</w:t>
      </w:r>
      <w:r w:rsidRPr="00A43DAD">
        <w:t>.</w:t>
      </w:r>
    </w:p>
    <w:p w:rsidR="00311456" w:rsidRPr="00A43DAD" w:rsidRDefault="00311456" w:rsidP="00311456"/>
    <w:p w:rsidR="00311456" w:rsidRPr="00A43DAD" w:rsidRDefault="00311456" w:rsidP="00311456">
      <w:r w:rsidRPr="00A43DAD">
        <w:rPr>
          <w:b/>
          <w:bCs/>
          <w:i/>
          <w:iCs/>
        </w:rPr>
        <w:t>Flexible funding:</w:t>
      </w:r>
      <w:r w:rsidRPr="00A43DAD">
        <w:t xml:space="preserve"> a program normally has ability to develop and change as greater information comes to hand and lessons are learned during implementation. Flexible funding allows lessons learned to be acted upon. Most NGO facilities have fully committed funds in individual projects at the outset and have not had flexibility to make substantial changes or add new activities along the way. To address this finding, the most recent program, AACES, has included an Innovations Fund from Year 3 for allocation to emergent uses and innovative approaches not apparent during the </w:t>
      </w:r>
      <w:r w:rsidR="001F0FB2">
        <w:t>Detailed Design P</w:t>
      </w:r>
      <w:r w:rsidRPr="00A43DAD">
        <w:t>hase.</w:t>
      </w:r>
    </w:p>
    <w:p w:rsidR="00311456" w:rsidRPr="00A43DAD" w:rsidRDefault="00311456" w:rsidP="00311456"/>
    <w:p w:rsidR="00311456" w:rsidRPr="00A43DAD" w:rsidRDefault="00311456" w:rsidP="00311456">
      <w:r w:rsidRPr="00A43DAD">
        <w:rPr>
          <w:b/>
          <w:bCs/>
          <w:i/>
          <w:iCs/>
        </w:rPr>
        <w:t xml:space="preserve">Monitoring and evaluation: </w:t>
      </w:r>
      <w:r w:rsidRPr="00A43DAD">
        <w:t xml:space="preserve">in the past, some AusAID-funded programs for NGOs have lacked adequate M&amp;E at program level. This reduced AusAID’s ability to appreciate and promote program achievement. </w:t>
      </w:r>
      <w:r w:rsidR="00165D79">
        <w:t xml:space="preserve">Project level M&amp;E </w:t>
      </w:r>
      <w:r w:rsidRPr="00A43DAD">
        <w:t>has also, at times, been designed to provide performance information (accountability) while giving insufficient attention to learning and reflective practice. NGO partners have found M&amp;E</w:t>
      </w:r>
      <w:r w:rsidR="00165D79">
        <w:t xml:space="preserve"> challenging</w:t>
      </w:r>
      <w:r w:rsidRPr="00A43DAD">
        <w:t>, partic</w:t>
      </w:r>
      <w:r w:rsidR="00165D79">
        <w:t>ularly assessing program impact</w:t>
      </w:r>
      <w:r w:rsidRPr="00A43DAD">
        <w:t>. M&amp;E for an NGO program needs to be well resourced to cover the breadth of activities required (AACES has allocated 10 per cent of program costs to M&amp;E). Technical support throughout the program would lift the quality of M&amp;E and develop capacity of those who design and implement M&amp;E activities.</w:t>
      </w:r>
    </w:p>
    <w:p w:rsidR="00311456" w:rsidRPr="00A43DAD" w:rsidRDefault="00311456" w:rsidP="00311456"/>
    <w:p w:rsidR="00311456" w:rsidRPr="00A43DAD" w:rsidRDefault="00311456" w:rsidP="00311456">
      <w:r w:rsidRPr="00A43DAD">
        <w:rPr>
          <w:b/>
          <w:bCs/>
          <w:i/>
          <w:iCs/>
        </w:rPr>
        <w:t>Management models:</w:t>
      </w:r>
      <w:r w:rsidRPr="00A43DAD">
        <w:t xml:space="preserve"> these need to be designed so that AusAID staff members do not face too great an administrative burden. AusAID’s engagement should be focused on program effectiveness and policy dialogue, not administration. </w:t>
      </w:r>
    </w:p>
    <w:p w:rsidR="00311456" w:rsidRPr="00A43DAD" w:rsidRDefault="00311456" w:rsidP="00311456"/>
    <w:p w:rsidR="00311456" w:rsidRPr="00A43DAD" w:rsidRDefault="00311456" w:rsidP="00311456">
      <w:r w:rsidRPr="00A43DAD">
        <w:rPr>
          <w:b/>
          <w:bCs/>
          <w:i/>
          <w:iCs/>
        </w:rPr>
        <w:t xml:space="preserve">Timing: </w:t>
      </w:r>
      <w:r w:rsidRPr="00A43DAD">
        <w:t>ACFID has expressed concern to AusAID regarding timeframes applying both to project duration (the longer the better in terms of having time to make a difference) and NGO application timeframes and clarity about processes. Time invested in thorough designs up-front is considered a good investment in high quality projects.</w:t>
      </w:r>
    </w:p>
    <w:p w:rsidR="00311456" w:rsidRPr="00A43DAD" w:rsidRDefault="00311456" w:rsidP="00311456"/>
    <w:p w:rsidR="0049568A" w:rsidRDefault="00311456" w:rsidP="00311456">
      <w:r w:rsidRPr="00A43DAD">
        <w:rPr>
          <w:b/>
          <w:bCs/>
          <w:i/>
          <w:iCs/>
        </w:rPr>
        <w:lastRenderedPageBreak/>
        <w:t xml:space="preserve">Financial clarity: </w:t>
      </w:r>
      <w:r w:rsidRPr="00A43DAD">
        <w:t>project and program reporting needs to include financial statements and narrative. In recent years, the volatility of the Australian dollar has been important in financial management of overseas activities. NGO programs have lacked consistent approaches to treatment of foreign exchange gains and losses which, in part, reflects a lack of AusAID guidelines on foreign exchange reporting.</w:t>
      </w:r>
      <w:r>
        <w:t xml:space="preserve"> Sensitivity on AusAID’s part to the challenges of managing this issue will be </w:t>
      </w:r>
      <w:r w:rsidR="009A078A">
        <w:t>needed</w:t>
      </w:r>
      <w:r>
        <w:t>.</w:t>
      </w:r>
    </w:p>
    <w:p w:rsidR="0049568A" w:rsidRDefault="0049568A">
      <w:pPr>
        <w:spacing w:after="200" w:line="276" w:lineRule="auto"/>
      </w:pPr>
      <w:r>
        <w:br w:type="page"/>
      </w:r>
    </w:p>
    <w:p w:rsidR="0080739E" w:rsidRPr="008038E9" w:rsidRDefault="0080739E" w:rsidP="0080739E">
      <w:pPr>
        <w:pStyle w:val="Heading1"/>
        <w:numPr>
          <w:ilvl w:val="0"/>
          <w:numId w:val="1"/>
        </w:numPr>
      </w:pPr>
      <w:bookmarkStart w:id="18" w:name="_Toc353974432"/>
      <w:bookmarkEnd w:id="12"/>
      <w:r>
        <w:lastRenderedPageBreak/>
        <w:t>Program Description</w:t>
      </w:r>
      <w:bookmarkEnd w:id="18"/>
    </w:p>
    <w:p w:rsidR="0080739E" w:rsidRDefault="00DA4375" w:rsidP="0080739E">
      <w:pPr>
        <w:pStyle w:val="Heading2"/>
        <w:rPr>
          <w:lang w:eastAsia="en-AU"/>
        </w:rPr>
      </w:pPr>
      <w:bookmarkStart w:id="19" w:name="_Toc353974433"/>
      <w:r>
        <w:rPr>
          <w:lang w:eastAsia="en-AU"/>
        </w:rPr>
        <w:t>6</w:t>
      </w:r>
      <w:r w:rsidR="0080739E">
        <w:rPr>
          <w:lang w:eastAsia="en-AU"/>
        </w:rPr>
        <w:t>.1</w:t>
      </w:r>
      <w:r w:rsidR="0080739E">
        <w:rPr>
          <w:lang w:eastAsia="en-AU"/>
        </w:rPr>
        <w:tab/>
        <w:t>AACRS Theories of Change</w:t>
      </w:r>
      <w:bookmarkEnd w:id="19"/>
    </w:p>
    <w:p w:rsidR="0080739E" w:rsidRDefault="0080739E" w:rsidP="0080739E">
      <w:pPr>
        <w:rPr>
          <w:lang w:eastAsia="en-AU"/>
        </w:rPr>
      </w:pPr>
    </w:p>
    <w:p w:rsidR="0080739E" w:rsidRDefault="0080739E" w:rsidP="0080739E">
      <w:pPr>
        <w:rPr>
          <w:lang w:eastAsia="en-AU"/>
        </w:rPr>
      </w:pPr>
      <w:r>
        <w:rPr>
          <w:lang w:eastAsia="en-AU"/>
        </w:rPr>
        <w:t xml:space="preserve">The AACRS Concept Peer Review agreed a single objective (or “outcome”) for </w:t>
      </w:r>
      <w:r w:rsidR="00F96C55">
        <w:rPr>
          <w:lang w:eastAsia="en-AU"/>
        </w:rPr>
        <w:t xml:space="preserve">the </w:t>
      </w:r>
      <w:r>
        <w:rPr>
          <w:lang w:eastAsia="en-AU"/>
        </w:rPr>
        <w:t>AACRS</w:t>
      </w:r>
      <w:r w:rsidR="00C4578B">
        <w:rPr>
          <w:lang w:eastAsia="en-AU"/>
        </w:rPr>
        <w:t>:</w:t>
      </w:r>
    </w:p>
    <w:p w:rsidR="0080739E" w:rsidRDefault="0080739E" w:rsidP="0080739E">
      <w:pPr>
        <w:rPr>
          <w:lang w:eastAsia="en-AU"/>
        </w:rPr>
      </w:pPr>
    </w:p>
    <w:p w:rsidR="0080739E" w:rsidRPr="00EA41A5" w:rsidRDefault="0080739E" w:rsidP="00EA41A5">
      <w:pPr>
        <w:ind w:left="360"/>
        <w:rPr>
          <w:i/>
          <w:iCs/>
          <w:lang w:eastAsia="en-AU"/>
        </w:rPr>
      </w:pPr>
      <w:proofErr w:type="gramStart"/>
      <w:r w:rsidRPr="00EA41A5">
        <w:rPr>
          <w:i/>
          <w:iCs/>
          <w:lang w:eastAsia="en-AU"/>
        </w:rPr>
        <w:t xml:space="preserve">Improved </w:t>
      </w:r>
      <w:r w:rsidR="00165D79">
        <w:rPr>
          <w:i/>
          <w:iCs/>
          <w:lang w:eastAsia="en-AU"/>
        </w:rPr>
        <w:t>resilience</w:t>
      </w:r>
      <w:r w:rsidR="0080532E" w:rsidRPr="00EA41A5">
        <w:rPr>
          <w:i/>
          <w:iCs/>
          <w:lang w:eastAsia="en-AU"/>
        </w:rPr>
        <w:t xml:space="preserve"> </w:t>
      </w:r>
      <w:r w:rsidRPr="00EA41A5">
        <w:rPr>
          <w:i/>
          <w:iCs/>
          <w:lang w:eastAsia="en-AU"/>
        </w:rPr>
        <w:t>and livelihood</w:t>
      </w:r>
      <w:r w:rsidR="00165D79">
        <w:rPr>
          <w:i/>
          <w:iCs/>
          <w:lang w:eastAsia="en-AU"/>
        </w:rPr>
        <w:t>s</w:t>
      </w:r>
      <w:r w:rsidR="0080532E" w:rsidRPr="00EA41A5">
        <w:rPr>
          <w:i/>
          <w:iCs/>
          <w:lang w:eastAsia="en-AU"/>
        </w:rPr>
        <w:t xml:space="preserve"> </w:t>
      </w:r>
      <w:r w:rsidRPr="00EA41A5">
        <w:rPr>
          <w:i/>
          <w:iCs/>
          <w:lang w:eastAsia="en-AU"/>
        </w:rPr>
        <w:t>for Afghan rural communities</w:t>
      </w:r>
      <w:r w:rsidR="00746325">
        <w:rPr>
          <w:i/>
          <w:iCs/>
          <w:lang w:eastAsia="en-AU"/>
        </w:rPr>
        <w:t>.</w:t>
      </w:r>
      <w:proofErr w:type="gramEnd"/>
      <w:r w:rsidRPr="00EA41A5">
        <w:rPr>
          <w:i/>
          <w:iCs/>
          <w:lang w:eastAsia="en-AU"/>
        </w:rPr>
        <w:t xml:space="preserve"> </w:t>
      </w:r>
    </w:p>
    <w:p w:rsidR="0080739E" w:rsidRDefault="0080739E" w:rsidP="0080739E">
      <w:pPr>
        <w:rPr>
          <w:lang w:eastAsia="en-AU"/>
        </w:rPr>
      </w:pPr>
    </w:p>
    <w:p w:rsidR="0080739E" w:rsidRDefault="0080739E" w:rsidP="0080739E">
      <w:pPr>
        <w:rPr>
          <w:lang w:eastAsia="en-AU"/>
        </w:rPr>
      </w:pPr>
      <w:r>
        <w:rPr>
          <w:lang w:eastAsia="en-AU"/>
        </w:rPr>
        <w:t>During the Design Workshop, parti</w:t>
      </w:r>
      <w:r w:rsidR="007F78BE">
        <w:rPr>
          <w:lang w:eastAsia="en-AU"/>
        </w:rPr>
        <w:t>cipants brainstormed the AACRS Theory of C</w:t>
      </w:r>
      <w:r>
        <w:rPr>
          <w:lang w:eastAsia="en-AU"/>
        </w:rPr>
        <w:t xml:space="preserve">hange. </w:t>
      </w:r>
      <w:r w:rsidRPr="00177EAA">
        <w:rPr>
          <w:lang w:eastAsia="en-AU"/>
        </w:rPr>
        <w:t>Diagram 1</w:t>
      </w:r>
      <w:r>
        <w:rPr>
          <w:lang w:eastAsia="en-AU"/>
        </w:rPr>
        <w:t xml:space="preserve"> below reflects these discussions as well as the content of the Concept Paper and consultations during the design period. </w:t>
      </w:r>
    </w:p>
    <w:p w:rsidR="0080739E" w:rsidRDefault="0080739E" w:rsidP="0080739E">
      <w:pPr>
        <w:rPr>
          <w:lang w:eastAsia="en-AU"/>
        </w:rPr>
      </w:pPr>
    </w:p>
    <w:p w:rsidR="0080739E" w:rsidRDefault="0080739E" w:rsidP="0080739E">
      <w:pPr>
        <w:rPr>
          <w:lang w:eastAsia="en-AU"/>
        </w:rPr>
      </w:pPr>
      <w:r>
        <w:rPr>
          <w:lang w:eastAsia="en-AU"/>
        </w:rPr>
        <w:t xml:space="preserve">The diagram combines a traditional Theory of Change for the program and project logic on the left, with a Partnership Theory of Change on the right. This combination has been designed to capture the clear intent to foster partnership and dialogue during implementation of AACRS. </w:t>
      </w:r>
    </w:p>
    <w:p w:rsidR="0080739E" w:rsidRDefault="0080739E" w:rsidP="0080739E">
      <w:pPr>
        <w:rPr>
          <w:lang w:eastAsia="en-AU"/>
        </w:rPr>
      </w:pPr>
    </w:p>
    <w:p w:rsidR="0080739E" w:rsidRDefault="0080739E" w:rsidP="0080739E">
      <w:pPr>
        <w:rPr>
          <w:lang w:eastAsia="en-AU"/>
        </w:rPr>
      </w:pPr>
      <w:r w:rsidRPr="00177EAA">
        <w:rPr>
          <w:lang w:eastAsia="en-AU"/>
        </w:rPr>
        <w:t>Diagram 1 is incomplete because the individual projects of NGOs have yet to be designed. During the</w:t>
      </w:r>
      <w:r>
        <w:rPr>
          <w:lang w:eastAsia="en-AU"/>
        </w:rPr>
        <w:t xml:space="preserve"> </w:t>
      </w:r>
      <w:r w:rsidR="001F0FB2">
        <w:rPr>
          <w:lang w:eastAsia="en-AU"/>
        </w:rPr>
        <w:t>Detailed Design P</w:t>
      </w:r>
      <w:r>
        <w:rPr>
          <w:lang w:eastAsia="en-AU"/>
        </w:rPr>
        <w:t xml:space="preserve">hase, the missing part of the program logic will be completed. Following the selection of up to five NGOs through a competitive </w:t>
      </w:r>
      <w:r w:rsidR="007F78BE">
        <w:rPr>
          <w:lang w:eastAsia="en-AU"/>
        </w:rPr>
        <w:t>Request for Submissions</w:t>
      </w:r>
      <w:r>
        <w:rPr>
          <w:lang w:eastAsia="en-AU"/>
        </w:rPr>
        <w:t xml:space="preserve"> process, each NGO will develop a Theory of Change for its project, which will expand on the project outline submitted as part of the </w:t>
      </w:r>
      <w:r w:rsidR="007F78BE">
        <w:rPr>
          <w:lang w:eastAsia="en-AU"/>
        </w:rPr>
        <w:t>Request for Submissions</w:t>
      </w:r>
      <w:r>
        <w:rPr>
          <w:lang w:eastAsia="en-AU"/>
        </w:rPr>
        <w:t xml:space="preserve">. </w:t>
      </w:r>
    </w:p>
    <w:p w:rsidR="0080739E" w:rsidRDefault="0080739E" w:rsidP="0080739E">
      <w:pPr>
        <w:rPr>
          <w:lang w:eastAsia="en-AU"/>
        </w:rPr>
      </w:pPr>
    </w:p>
    <w:p w:rsidR="0080739E" w:rsidRDefault="00F96C55" w:rsidP="0080739E">
      <w:pPr>
        <w:rPr>
          <w:lang w:eastAsia="en-AU"/>
        </w:rPr>
      </w:pPr>
      <w:r>
        <w:rPr>
          <w:lang w:eastAsia="en-AU"/>
        </w:rPr>
        <w:t xml:space="preserve">The </w:t>
      </w:r>
      <w:r w:rsidR="0080739E">
        <w:rPr>
          <w:lang w:eastAsia="en-AU"/>
        </w:rPr>
        <w:t xml:space="preserve">AACRS has been designed as a program not a facility. In other words, all investment will be </w:t>
      </w:r>
      <w:r w:rsidR="0054256F">
        <w:rPr>
          <w:lang w:eastAsia="en-AU"/>
        </w:rPr>
        <w:t>channeled</w:t>
      </w:r>
      <w:r w:rsidR="0080739E">
        <w:rPr>
          <w:lang w:eastAsia="en-AU"/>
        </w:rPr>
        <w:t xml:space="preserve"> to achieving the single outcome</w:t>
      </w:r>
      <w:r w:rsidR="00710156">
        <w:rPr>
          <w:lang w:eastAsia="en-AU"/>
        </w:rPr>
        <w:t>, with individual NGO activities expected to contribute towards at least one of the four intermediate sectoral outcomes in Diagram 1</w:t>
      </w:r>
      <w:r w:rsidR="0080739E">
        <w:rPr>
          <w:lang w:eastAsia="en-AU"/>
        </w:rPr>
        <w:t xml:space="preserve">. This contrasts with a </w:t>
      </w:r>
      <w:r w:rsidR="0059394D">
        <w:rPr>
          <w:lang w:eastAsia="en-AU"/>
        </w:rPr>
        <w:t xml:space="preserve">facility </w:t>
      </w:r>
      <w:r w:rsidR="0080739E">
        <w:rPr>
          <w:lang w:eastAsia="en-AU"/>
        </w:rPr>
        <w:t xml:space="preserve">where multiple projects are funded but may not be integrated as tightly in the Theory of Change and M&amp;E processes. </w:t>
      </w:r>
    </w:p>
    <w:p w:rsidR="00165D79" w:rsidRDefault="00165D79" w:rsidP="00165D79">
      <w:pPr>
        <w:rPr>
          <w:lang w:eastAsia="en-AU"/>
        </w:rPr>
      </w:pPr>
    </w:p>
    <w:p w:rsidR="00AD0541" w:rsidRDefault="00165D79" w:rsidP="002B07B1">
      <w:pPr>
        <w:rPr>
          <w:lang w:eastAsia="en-AU"/>
        </w:rPr>
      </w:pPr>
      <w:r>
        <w:rPr>
          <w:lang w:eastAsia="en-AU"/>
        </w:rPr>
        <w:t xml:space="preserve">Each selected NGO will build on its own experience and partnerships in Afghanistan when designing their project. Project design will occur during the </w:t>
      </w:r>
      <w:r w:rsidR="001F0FB2">
        <w:rPr>
          <w:lang w:eastAsia="en-AU"/>
        </w:rPr>
        <w:t>Detailed Design P</w:t>
      </w:r>
      <w:r>
        <w:rPr>
          <w:lang w:eastAsia="en-AU"/>
        </w:rPr>
        <w:t xml:space="preserve">hase of AACRS, and be a funded non-competitive process with design and M&amp;E support. </w:t>
      </w:r>
      <w:r w:rsidR="00727BFA">
        <w:rPr>
          <w:lang w:eastAsia="en-AU"/>
        </w:rPr>
        <w:t>The Theory of Change will then be finalised, as all projects will be known, and have identifiable objectives</w:t>
      </w:r>
      <w:r>
        <w:rPr>
          <w:lang w:eastAsia="en-AU"/>
        </w:rPr>
        <w:t xml:space="preserve">. It may be that </w:t>
      </w:r>
      <w:r w:rsidR="00727BFA">
        <w:rPr>
          <w:lang w:eastAsia="en-AU"/>
        </w:rPr>
        <w:t xml:space="preserve">the </w:t>
      </w:r>
      <w:r>
        <w:rPr>
          <w:lang w:eastAsia="en-AU"/>
        </w:rPr>
        <w:t xml:space="preserve">NGO </w:t>
      </w:r>
      <w:r w:rsidR="00727BFA">
        <w:rPr>
          <w:lang w:eastAsia="en-AU"/>
        </w:rPr>
        <w:t>projects are</w:t>
      </w:r>
      <w:r>
        <w:rPr>
          <w:lang w:eastAsia="en-AU"/>
        </w:rPr>
        <w:t xml:space="preserve"> clustered around only one or two of the </w:t>
      </w:r>
      <w:r w:rsidR="00727BFA">
        <w:rPr>
          <w:lang w:eastAsia="en-AU"/>
        </w:rPr>
        <w:t xml:space="preserve">intermediate </w:t>
      </w:r>
      <w:r>
        <w:rPr>
          <w:lang w:eastAsia="en-AU"/>
        </w:rPr>
        <w:t>sectoral outcomes</w:t>
      </w:r>
      <w:r w:rsidR="00727BFA">
        <w:rPr>
          <w:lang w:eastAsia="en-AU"/>
        </w:rPr>
        <w:t xml:space="preserve"> identified in the current Theory of Change</w:t>
      </w:r>
      <w:r>
        <w:rPr>
          <w:lang w:eastAsia="en-AU"/>
        </w:rPr>
        <w:t>. If that is the case, then other sector</w:t>
      </w:r>
      <w:r w:rsidR="00727BFA">
        <w:rPr>
          <w:lang w:eastAsia="en-AU"/>
        </w:rPr>
        <w:t>al outcomes</w:t>
      </w:r>
      <w:r>
        <w:rPr>
          <w:lang w:eastAsia="en-AU"/>
        </w:rPr>
        <w:t xml:space="preserve"> can be removed from the draft Theory of Change. At present, the draft Theory of Change offers options at intermediate </w:t>
      </w:r>
      <w:r w:rsidR="00727BFA">
        <w:rPr>
          <w:lang w:eastAsia="en-AU"/>
        </w:rPr>
        <w:t xml:space="preserve">sectoral </w:t>
      </w:r>
      <w:r>
        <w:rPr>
          <w:lang w:eastAsia="en-AU"/>
        </w:rPr>
        <w:t xml:space="preserve">outcome level – if not taken up, these options can be modified. </w:t>
      </w:r>
    </w:p>
    <w:p w:rsidR="0012083D" w:rsidRDefault="00DA4375" w:rsidP="0012083D">
      <w:pPr>
        <w:pStyle w:val="Heading2"/>
        <w:rPr>
          <w:lang w:eastAsia="en-AU"/>
        </w:rPr>
      </w:pPr>
      <w:bookmarkStart w:id="20" w:name="_Toc353974434"/>
      <w:r>
        <w:rPr>
          <w:lang w:eastAsia="en-AU"/>
        </w:rPr>
        <w:t>6</w:t>
      </w:r>
      <w:r w:rsidR="0012083D">
        <w:rPr>
          <w:lang w:eastAsia="en-AU"/>
        </w:rPr>
        <w:t>.2</w:t>
      </w:r>
      <w:r w:rsidR="0012083D">
        <w:rPr>
          <w:lang w:eastAsia="en-AU"/>
        </w:rPr>
        <w:tab/>
        <w:t>Program Scope</w:t>
      </w:r>
      <w:bookmarkEnd w:id="20"/>
    </w:p>
    <w:p w:rsidR="0012083D" w:rsidRDefault="0012083D" w:rsidP="0012083D">
      <w:pPr>
        <w:rPr>
          <w:lang w:eastAsia="en-AU"/>
        </w:rPr>
      </w:pPr>
    </w:p>
    <w:p w:rsidR="0012083D" w:rsidRDefault="0012083D" w:rsidP="0012083D">
      <w:pPr>
        <w:rPr>
          <w:lang w:eastAsia="en-AU"/>
        </w:rPr>
      </w:pPr>
      <w:r>
        <w:rPr>
          <w:lang w:eastAsia="en-AU"/>
        </w:rPr>
        <w:t xml:space="preserve">The scope of </w:t>
      </w:r>
      <w:r w:rsidR="00F96C55">
        <w:rPr>
          <w:lang w:eastAsia="en-AU"/>
        </w:rPr>
        <w:t xml:space="preserve">the </w:t>
      </w:r>
      <w:r>
        <w:rPr>
          <w:lang w:eastAsia="en-AU"/>
        </w:rPr>
        <w:t xml:space="preserve">AACRS will be defined once the selected projects are known. At the Scheme design stage, there is no need to specify locations of activities or specific aspects of rural development, livelihoods or community resilience that each project will deliver, as individual NGOs will need to determine for themselves what is feasible. </w:t>
      </w:r>
    </w:p>
    <w:p w:rsidR="0012083D" w:rsidRDefault="0012083D" w:rsidP="0012083D">
      <w:pPr>
        <w:rPr>
          <w:lang w:eastAsia="en-AU"/>
        </w:rPr>
      </w:pPr>
    </w:p>
    <w:p w:rsidR="0012083D" w:rsidRDefault="0012083D" w:rsidP="0012083D">
      <w:pPr>
        <w:rPr>
          <w:lang w:eastAsia="en-AU"/>
        </w:rPr>
      </w:pPr>
      <w:r>
        <w:rPr>
          <w:lang w:eastAsia="en-AU"/>
        </w:rPr>
        <w:t>While</w:t>
      </w:r>
      <w:r w:rsidR="00F96C55">
        <w:rPr>
          <w:lang w:eastAsia="en-AU"/>
        </w:rPr>
        <w:t xml:space="preserve"> the</w:t>
      </w:r>
      <w:r>
        <w:rPr>
          <w:lang w:eastAsia="en-AU"/>
        </w:rPr>
        <w:t xml:space="preserve"> AACRS will be a new flagship program in rural Afghanistan, delivered by NGOs, it will not replace existing AusAID funding for other NGO activities through, for example, the ARTF or ANCP. Sharing lessons with these other NGO programs is recommended if </w:t>
      </w:r>
      <w:r>
        <w:rPr>
          <w:lang w:eastAsia="en-AU"/>
        </w:rPr>
        <w:lastRenderedPageBreak/>
        <w:t xml:space="preserve">useful opportunities present themselves e.g. through site visits to each other’s project if operating in similar locations or sectors. Occasional meetings in Kabul may also be beneficial. </w:t>
      </w:r>
    </w:p>
    <w:p w:rsidR="0012083D" w:rsidRDefault="00DA4375" w:rsidP="0012083D">
      <w:pPr>
        <w:pStyle w:val="Heading2"/>
        <w:rPr>
          <w:lang w:eastAsia="en-AU"/>
        </w:rPr>
      </w:pPr>
      <w:bookmarkStart w:id="21" w:name="_Toc353974435"/>
      <w:r>
        <w:rPr>
          <w:lang w:eastAsia="en-AU"/>
        </w:rPr>
        <w:t>6</w:t>
      </w:r>
      <w:r w:rsidR="0012083D" w:rsidRPr="009F1038">
        <w:rPr>
          <w:lang w:eastAsia="en-AU"/>
        </w:rPr>
        <w:t>.3</w:t>
      </w:r>
      <w:r w:rsidR="0012083D" w:rsidRPr="009F1038">
        <w:rPr>
          <w:lang w:eastAsia="en-AU"/>
        </w:rPr>
        <w:tab/>
        <w:t>Indicative Budget</w:t>
      </w:r>
      <w:bookmarkEnd w:id="21"/>
      <w:r w:rsidR="0012083D" w:rsidRPr="009F1038">
        <w:rPr>
          <w:lang w:eastAsia="en-AU"/>
        </w:rPr>
        <w:t xml:space="preserve"> </w:t>
      </w:r>
    </w:p>
    <w:p w:rsidR="0012083D" w:rsidRDefault="0012083D" w:rsidP="0012083D">
      <w:pPr>
        <w:rPr>
          <w:lang w:eastAsia="en-AU"/>
        </w:rPr>
      </w:pPr>
    </w:p>
    <w:p w:rsidR="0012083D" w:rsidRDefault="007F448D" w:rsidP="0012083D">
      <w:pPr>
        <w:rPr>
          <w:lang w:eastAsia="en-AU"/>
        </w:rPr>
      </w:pPr>
      <w:r>
        <w:rPr>
          <w:lang w:eastAsia="en-AU"/>
        </w:rPr>
        <w:t xml:space="preserve">The Budget assumes </w:t>
      </w:r>
      <w:r w:rsidR="007F78BE">
        <w:rPr>
          <w:lang w:eastAsia="en-AU"/>
        </w:rPr>
        <w:t xml:space="preserve">up to </w:t>
      </w:r>
      <w:r>
        <w:rPr>
          <w:lang w:eastAsia="en-AU"/>
        </w:rPr>
        <w:t>AUD</w:t>
      </w:r>
      <w:r w:rsidR="00101CD0">
        <w:rPr>
          <w:lang w:eastAsia="en-AU"/>
        </w:rPr>
        <w:t>30</w:t>
      </w:r>
      <w:r w:rsidR="0012083D">
        <w:rPr>
          <w:lang w:eastAsia="en-AU"/>
        </w:rPr>
        <w:t xml:space="preserve"> million will be a</w:t>
      </w:r>
      <w:r>
        <w:rPr>
          <w:lang w:eastAsia="en-AU"/>
        </w:rPr>
        <w:t>llocated to projects, of which AUD</w:t>
      </w:r>
      <w:r w:rsidR="0012083D">
        <w:rPr>
          <w:lang w:eastAsia="en-AU"/>
        </w:rPr>
        <w:t>500</w:t>
      </w:r>
      <w:proofErr w:type="gramStart"/>
      <w:r w:rsidR="0012083D">
        <w:rPr>
          <w:lang w:eastAsia="en-AU"/>
        </w:rPr>
        <w:t>,000</w:t>
      </w:r>
      <w:proofErr w:type="gramEnd"/>
      <w:r w:rsidR="0012083D">
        <w:rPr>
          <w:lang w:eastAsia="en-AU"/>
        </w:rPr>
        <w:t xml:space="preserve"> will be set aside in an Innovations Fund for draw down in Years 3 and 4 (as per suggestions in 4.1 above).</w:t>
      </w:r>
      <w:r w:rsidR="00170B6F">
        <w:rPr>
          <w:lang w:eastAsia="en-AU"/>
        </w:rPr>
        <w:t xml:space="preserve"> The A</w:t>
      </w:r>
      <w:r w:rsidR="00E13D3A">
        <w:rPr>
          <w:lang w:eastAsia="en-AU"/>
        </w:rPr>
        <w:t>ACRS will fund up to five NGOs, however i</w:t>
      </w:r>
      <w:r w:rsidR="00170B6F">
        <w:rPr>
          <w:lang w:eastAsia="en-AU"/>
        </w:rPr>
        <w:t xml:space="preserve">t is not assumed the budget will be divided evenly between each NGO, or that five NGOs will </w:t>
      </w:r>
      <w:r w:rsidR="00E13D3A">
        <w:rPr>
          <w:lang w:eastAsia="en-AU"/>
        </w:rPr>
        <w:t>necessarily</w:t>
      </w:r>
      <w:r w:rsidR="00170B6F">
        <w:rPr>
          <w:lang w:eastAsia="en-AU"/>
        </w:rPr>
        <w:t xml:space="preserve"> be funded. </w:t>
      </w:r>
      <w:r w:rsidR="00E13D3A">
        <w:rPr>
          <w:lang w:eastAsia="en-AU"/>
        </w:rPr>
        <w:t>There is also no minimum or maximum grant amount that NGOs can apply for</w:t>
      </w:r>
      <w:r w:rsidR="002546F2">
        <w:rPr>
          <w:lang w:eastAsia="en-AU"/>
        </w:rPr>
        <w:t xml:space="preserve">. </w:t>
      </w:r>
      <w:r w:rsidR="0012083D">
        <w:rPr>
          <w:lang w:eastAsia="en-AU"/>
        </w:rPr>
        <w:t>Management</w:t>
      </w:r>
      <w:r w:rsidR="00F96C55">
        <w:rPr>
          <w:lang w:eastAsia="en-AU"/>
        </w:rPr>
        <w:t xml:space="preserve"> and</w:t>
      </w:r>
      <w:r w:rsidR="004B5680">
        <w:rPr>
          <w:lang w:eastAsia="en-AU"/>
        </w:rPr>
        <w:t xml:space="preserve"> design</w:t>
      </w:r>
      <w:r w:rsidR="0012083D">
        <w:rPr>
          <w:lang w:eastAsia="en-AU"/>
        </w:rPr>
        <w:t xml:space="preserve"> costs will be provided in addition to the project funding. </w:t>
      </w:r>
    </w:p>
    <w:p w:rsidR="0012083D" w:rsidRDefault="0012083D" w:rsidP="002B07B1">
      <w:pPr>
        <w:rPr>
          <w:i/>
          <w:iCs/>
          <w:lang w:eastAsia="en-AU"/>
        </w:rPr>
      </w:pPr>
    </w:p>
    <w:p w:rsidR="0054256F" w:rsidRPr="00165D79" w:rsidRDefault="0054256F" w:rsidP="002B07B1">
      <w:pPr>
        <w:rPr>
          <w:i/>
          <w:iCs/>
          <w:lang w:eastAsia="en-AU"/>
        </w:rPr>
        <w:sectPr w:rsidR="0054256F" w:rsidRPr="00165D79" w:rsidSect="008609A2">
          <w:footerReference w:type="default" r:id="rId16"/>
          <w:pgSz w:w="11906" w:h="16838"/>
          <w:pgMar w:top="1440" w:right="1440" w:bottom="1440" w:left="1440" w:header="708" w:footer="708" w:gutter="0"/>
          <w:pgNumType w:start="1"/>
          <w:cols w:space="708"/>
          <w:docGrid w:linePitch="360"/>
        </w:sectPr>
      </w:pPr>
    </w:p>
    <w:p w:rsidR="0080739E" w:rsidRDefault="008E018F" w:rsidP="0080739E">
      <w:pPr>
        <w:rPr>
          <w:lang w:eastAsia="en-AU"/>
        </w:rPr>
        <w:sectPr w:rsidR="0080739E" w:rsidSect="008609A2">
          <w:pgSz w:w="16838" w:h="11906" w:orient="landscape"/>
          <w:pgMar w:top="1440" w:right="1440" w:bottom="1440" w:left="1440" w:header="708" w:footer="708" w:gutter="0"/>
          <w:cols w:space="708"/>
          <w:docGrid w:linePitch="360"/>
        </w:sectPr>
      </w:pPr>
      <w:r>
        <w:object w:dxaOrig="12840" w:dyaOrig="9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pt;height:436.5pt" o:ole="">
            <v:imagedata r:id="rId17" o:title=""/>
          </v:shape>
          <o:OLEObject Type="Embed" ProgID="Visio.Drawing.11" ShapeID="_x0000_i1025" DrawAspect="Content" ObjectID="_1428753957" r:id="rId18"/>
        </w:object>
      </w:r>
    </w:p>
    <w:p w:rsidR="0080739E" w:rsidRPr="00E03161" w:rsidRDefault="0080739E" w:rsidP="0080739E">
      <w:pPr>
        <w:pStyle w:val="Heading1"/>
        <w:numPr>
          <w:ilvl w:val="0"/>
          <w:numId w:val="1"/>
        </w:numPr>
      </w:pPr>
      <w:bookmarkStart w:id="22" w:name="_Toc353974436"/>
      <w:r w:rsidRPr="00E03161">
        <w:lastRenderedPageBreak/>
        <w:t>Program Implementation</w:t>
      </w:r>
      <w:bookmarkEnd w:id="22"/>
    </w:p>
    <w:p w:rsidR="0080739E" w:rsidRDefault="0080739E" w:rsidP="0080739E">
      <w:pPr>
        <w:pStyle w:val="Heading2"/>
        <w:numPr>
          <w:ilvl w:val="1"/>
          <w:numId w:val="1"/>
        </w:numPr>
        <w:rPr>
          <w:lang w:eastAsia="en-AU"/>
        </w:rPr>
      </w:pPr>
      <w:bookmarkStart w:id="23" w:name="_Toc353974437"/>
      <w:r>
        <w:rPr>
          <w:lang w:eastAsia="en-AU"/>
        </w:rPr>
        <w:t>Partnership Principles</w:t>
      </w:r>
      <w:bookmarkEnd w:id="23"/>
    </w:p>
    <w:p w:rsidR="0080739E" w:rsidRDefault="0080739E" w:rsidP="0080739E">
      <w:pPr>
        <w:rPr>
          <w:lang w:eastAsia="en-AU"/>
        </w:rPr>
      </w:pPr>
    </w:p>
    <w:p w:rsidR="0080739E" w:rsidRDefault="0080739E" w:rsidP="0080739E">
      <w:pPr>
        <w:rPr>
          <w:lang w:eastAsia="en-AU"/>
        </w:rPr>
      </w:pPr>
      <w:r>
        <w:rPr>
          <w:lang w:eastAsia="en-AU"/>
        </w:rPr>
        <w:t xml:space="preserve">As described above, partnership is critical to the effectiveness of AusAID funded NGO programs. It will be central to the principles governing </w:t>
      </w:r>
      <w:r w:rsidR="003A54F5">
        <w:rPr>
          <w:lang w:eastAsia="en-AU"/>
        </w:rPr>
        <w:t xml:space="preserve">the </w:t>
      </w:r>
      <w:r>
        <w:rPr>
          <w:lang w:eastAsia="en-AU"/>
        </w:rPr>
        <w:t>AACRS. Partnership occurs at several levels. It includes links between:</w:t>
      </w:r>
    </w:p>
    <w:p w:rsidR="009C2BE1" w:rsidRDefault="009C2BE1" w:rsidP="0080739E">
      <w:pPr>
        <w:rPr>
          <w:lang w:eastAsia="en-AU"/>
        </w:rPr>
      </w:pPr>
    </w:p>
    <w:p w:rsidR="0080739E" w:rsidRDefault="0080739E" w:rsidP="008C14ED">
      <w:pPr>
        <w:pStyle w:val="ListParagraph"/>
        <w:numPr>
          <w:ilvl w:val="0"/>
          <w:numId w:val="20"/>
        </w:numPr>
        <w:rPr>
          <w:lang w:eastAsia="en-AU"/>
        </w:rPr>
      </w:pPr>
      <w:r>
        <w:rPr>
          <w:lang w:eastAsia="en-AU"/>
        </w:rPr>
        <w:t xml:space="preserve">AusAID and the </w:t>
      </w:r>
      <w:r w:rsidR="004B5680">
        <w:rPr>
          <w:lang w:eastAsia="en-AU"/>
        </w:rPr>
        <w:t>AACRS</w:t>
      </w:r>
      <w:r>
        <w:rPr>
          <w:lang w:eastAsia="en-AU"/>
        </w:rPr>
        <w:t xml:space="preserve"> NGOs </w:t>
      </w:r>
    </w:p>
    <w:p w:rsidR="003A54F5" w:rsidRDefault="003A54F5" w:rsidP="008C14ED">
      <w:pPr>
        <w:pStyle w:val="ListParagraph"/>
        <w:numPr>
          <w:ilvl w:val="0"/>
          <w:numId w:val="20"/>
        </w:numPr>
        <w:rPr>
          <w:lang w:eastAsia="en-AU"/>
        </w:rPr>
      </w:pPr>
      <w:r>
        <w:rPr>
          <w:lang w:eastAsia="en-AU"/>
        </w:rPr>
        <w:t>Afghan Government and the AACRS NGOs</w:t>
      </w:r>
    </w:p>
    <w:p w:rsidR="003A54F5" w:rsidRDefault="003A54F5" w:rsidP="008C14ED">
      <w:pPr>
        <w:pStyle w:val="ListParagraph"/>
        <w:numPr>
          <w:ilvl w:val="0"/>
          <w:numId w:val="20"/>
        </w:numPr>
        <w:rPr>
          <w:lang w:eastAsia="en-AU"/>
        </w:rPr>
      </w:pPr>
      <w:r>
        <w:rPr>
          <w:lang w:eastAsia="en-AU"/>
        </w:rPr>
        <w:t>AusAID and the Afghan Government</w:t>
      </w:r>
    </w:p>
    <w:p w:rsidR="0080739E" w:rsidRDefault="0080739E" w:rsidP="008C14ED">
      <w:pPr>
        <w:pStyle w:val="ListParagraph"/>
        <w:numPr>
          <w:ilvl w:val="0"/>
          <w:numId w:val="20"/>
        </w:numPr>
        <w:rPr>
          <w:lang w:eastAsia="en-AU"/>
        </w:rPr>
      </w:pPr>
      <w:r>
        <w:rPr>
          <w:lang w:eastAsia="en-AU"/>
        </w:rPr>
        <w:t xml:space="preserve">among the </w:t>
      </w:r>
      <w:r w:rsidR="004B5680">
        <w:rPr>
          <w:lang w:eastAsia="en-AU"/>
        </w:rPr>
        <w:t>AACRS</w:t>
      </w:r>
      <w:r>
        <w:rPr>
          <w:lang w:eastAsia="en-AU"/>
        </w:rPr>
        <w:t xml:space="preserve"> NGOs</w:t>
      </w:r>
    </w:p>
    <w:p w:rsidR="0080739E" w:rsidRDefault="0080739E" w:rsidP="008C14ED">
      <w:pPr>
        <w:pStyle w:val="ListParagraph"/>
        <w:numPr>
          <w:ilvl w:val="0"/>
          <w:numId w:val="20"/>
        </w:numPr>
        <w:rPr>
          <w:lang w:eastAsia="en-AU"/>
        </w:rPr>
      </w:pPr>
      <w:r>
        <w:rPr>
          <w:lang w:eastAsia="en-AU"/>
        </w:rPr>
        <w:t xml:space="preserve">between the </w:t>
      </w:r>
      <w:r w:rsidR="004B5680">
        <w:rPr>
          <w:lang w:eastAsia="en-AU"/>
        </w:rPr>
        <w:t>AACRS</w:t>
      </w:r>
      <w:r>
        <w:rPr>
          <w:lang w:eastAsia="en-AU"/>
        </w:rPr>
        <w:t xml:space="preserve"> NGOs and their local</w:t>
      </w:r>
      <w:r w:rsidR="00870630">
        <w:rPr>
          <w:lang w:eastAsia="en-AU"/>
        </w:rPr>
        <w:t xml:space="preserve"> partners (Afghan NGOs or CSOs)</w:t>
      </w:r>
      <w:r>
        <w:rPr>
          <w:lang w:eastAsia="en-AU"/>
        </w:rPr>
        <w:t xml:space="preserve"> </w:t>
      </w:r>
    </w:p>
    <w:p w:rsidR="0080739E" w:rsidRDefault="0080739E" w:rsidP="008C14ED">
      <w:pPr>
        <w:pStyle w:val="ListParagraph"/>
        <w:numPr>
          <w:ilvl w:val="0"/>
          <w:numId w:val="20"/>
        </w:numPr>
        <w:rPr>
          <w:lang w:eastAsia="en-AU"/>
        </w:rPr>
      </w:pPr>
      <w:proofErr w:type="gramStart"/>
      <w:r>
        <w:rPr>
          <w:lang w:eastAsia="en-AU"/>
        </w:rPr>
        <w:t>between</w:t>
      </w:r>
      <w:proofErr w:type="gramEnd"/>
      <w:r>
        <w:rPr>
          <w:lang w:eastAsia="en-AU"/>
        </w:rPr>
        <w:t xml:space="preserve"> the projects and their direct beneficiaries </w:t>
      </w:r>
      <w:r w:rsidR="00987B48">
        <w:rPr>
          <w:lang w:eastAsia="en-AU"/>
        </w:rPr>
        <w:t>–</w:t>
      </w:r>
      <w:r>
        <w:rPr>
          <w:lang w:eastAsia="en-AU"/>
        </w:rPr>
        <w:t xml:space="preserve"> the Afghan rural poor.</w:t>
      </w:r>
    </w:p>
    <w:p w:rsidR="0080739E" w:rsidRDefault="0080739E" w:rsidP="0080739E">
      <w:pPr>
        <w:rPr>
          <w:lang w:eastAsia="en-AU"/>
        </w:rPr>
      </w:pPr>
    </w:p>
    <w:p w:rsidR="0080739E" w:rsidRDefault="0080739E" w:rsidP="00B61582">
      <w:pPr>
        <w:rPr>
          <w:lang w:eastAsia="en-AU"/>
        </w:rPr>
      </w:pPr>
      <w:r>
        <w:rPr>
          <w:lang w:eastAsia="en-AU"/>
        </w:rPr>
        <w:t>Each of the key stakeholders also has outreach to other parties</w:t>
      </w:r>
      <w:r w:rsidRPr="00177EAA">
        <w:rPr>
          <w:lang w:eastAsia="en-AU"/>
        </w:rPr>
        <w:t xml:space="preserve">. </w:t>
      </w:r>
    </w:p>
    <w:p w:rsidR="0080739E" w:rsidRDefault="0080739E" w:rsidP="0080739E">
      <w:pPr>
        <w:rPr>
          <w:lang w:eastAsia="en-AU"/>
        </w:rPr>
      </w:pPr>
    </w:p>
    <w:p w:rsidR="0080739E" w:rsidRDefault="0080739E" w:rsidP="0080739E">
      <w:pPr>
        <w:rPr>
          <w:lang w:eastAsia="en-AU"/>
        </w:rPr>
      </w:pPr>
      <w:r>
        <w:rPr>
          <w:lang w:eastAsia="en-AU"/>
        </w:rPr>
        <w:t>Brainstorming during the Design Workshop consid</w:t>
      </w:r>
      <w:r w:rsidR="00734250">
        <w:rPr>
          <w:lang w:eastAsia="en-AU"/>
        </w:rPr>
        <w:t xml:space="preserve">ered the elements of effective </w:t>
      </w:r>
      <w:r>
        <w:rPr>
          <w:lang w:eastAsia="en-AU"/>
        </w:rPr>
        <w:t xml:space="preserve">partnerships. These are summarised </w:t>
      </w:r>
      <w:r w:rsidRPr="00177EAA">
        <w:rPr>
          <w:lang w:eastAsia="en-AU"/>
        </w:rPr>
        <w:t>in Box 2</w:t>
      </w:r>
      <w:r>
        <w:rPr>
          <w:lang w:eastAsia="en-AU"/>
        </w:rPr>
        <w:t xml:space="preserve"> below.</w:t>
      </w:r>
    </w:p>
    <w:p w:rsidR="0080739E" w:rsidRDefault="0080739E" w:rsidP="0080739E">
      <w:pPr>
        <w:rPr>
          <w:rFonts w:asciiTheme="minorBidi" w:hAnsiTheme="minorBidi" w:cstheme="minorBidi"/>
          <w:b/>
          <w:bCs/>
          <w:sz w:val="20"/>
          <w:szCs w:val="20"/>
          <w:lang w:eastAsia="en-AU"/>
        </w:rPr>
      </w:pPr>
    </w:p>
    <w:p w:rsidR="0080739E" w:rsidRDefault="0080739E" w:rsidP="0080739E">
      <w:pPr>
        <w:rPr>
          <w:rFonts w:asciiTheme="minorBidi" w:hAnsiTheme="minorBidi" w:cstheme="minorBidi"/>
          <w:b/>
          <w:bCs/>
          <w:sz w:val="20"/>
          <w:szCs w:val="20"/>
          <w:lang w:eastAsia="en-AU"/>
        </w:rPr>
      </w:pPr>
      <w:r w:rsidRPr="00177EAA">
        <w:rPr>
          <w:rFonts w:asciiTheme="minorBidi" w:hAnsiTheme="minorBidi" w:cstheme="minorBidi"/>
          <w:b/>
          <w:bCs/>
          <w:sz w:val="20"/>
          <w:szCs w:val="20"/>
          <w:lang w:eastAsia="en-AU"/>
        </w:rPr>
        <w:t>Box 2:</w:t>
      </w:r>
      <w:r w:rsidRPr="0093529F">
        <w:rPr>
          <w:rFonts w:asciiTheme="minorBidi" w:hAnsiTheme="minorBidi" w:cstheme="minorBidi"/>
          <w:b/>
          <w:bCs/>
          <w:sz w:val="20"/>
          <w:szCs w:val="20"/>
          <w:lang w:eastAsia="en-AU"/>
        </w:rPr>
        <w:t xml:space="preserve"> Features of Effective Partnerships</w:t>
      </w:r>
    </w:p>
    <w:p w:rsidR="0080739E" w:rsidRDefault="0080739E" w:rsidP="0080739E">
      <w:pPr>
        <w:rPr>
          <w:rFonts w:asciiTheme="minorBidi" w:hAnsiTheme="minorBidi" w:cstheme="minorBidi"/>
          <w:b/>
          <w:bCs/>
          <w:sz w:val="20"/>
          <w:szCs w:val="20"/>
          <w:lang w:eastAsia="en-AU"/>
        </w:rPr>
      </w:pPr>
    </w:p>
    <w:p w:rsidR="0080739E" w:rsidRDefault="0080739E" w:rsidP="008C14ED">
      <w:pPr>
        <w:pStyle w:val="ListParagraph"/>
        <w:numPr>
          <w:ilvl w:val="0"/>
          <w:numId w:val="19"/>
        </w:numPr>
        <w:pBdr>
          <w:top w:val="single" w:sz="4" w:space="1" w:color="auto"/>
          <w:left w:val="single" w:sz="4" w:space="4" w:color="auto"/>
          <w:bottom w:val="single" w:sz="4" w:space="1" w:color="auto"/>
          <w:right w:val="single" w:sz="4" w:space="4" w:color="auto"/>
        </w:pBdr>
        <w:rPr>
          <w:lang w:eastAsia="en-AU"/>
        </w:rPr>
      </w:pPr>
      <w:r>
        <w:rPr>
          <w:lang w:eastAsia="en-AU"/>
        </w:rPr>
        <w:t>clear understanding of expectations</w:t>
      </w:r>
    </w:p>
    <w:p w:rsidR="0080739E" w:rsidRDefault="0080739E" w:rsidP="008C14ED">
      <w:pPr>
        <w:pStyle w:val="ListParagraph"/>
        <w:numPr>
          <w:ilvl w:val="0"/>
          <w:numId w:val="19"/>
        </w:numPr>
        <w:pBdr>
          <w:top w:val="single" w:sz="4" w:space="1" w:color="auto"/>
          <w:left w:val="single" w:sz="4" w:space="4" w:color="auto"/>
          <w:bottom w:val="single" w:sz="4" w:space="1" w:color="auto"/>
          <w:right w:val="single" w:sz="4" w:space="4" w:color="auto"/>
        </w:pBdr>
        <w:rPr>
          <w:lang w:eastAsia="en-AU"/>
        </w:rPr>
      </w:pPr>
      <w:r>
        <w:rPr>
          <w:lang w:eastAsia="en-AU"/>
        </w:rPr>
        <w:t>trust and mutual respect</w:t>
      </w:r>
    </w:p>
    <w:p w:rsidR="0080739E" w:rsidRDefault="0080739E" w:rsidP="008C14ED">
      <w:pPr>
        <w:pStyle w:val="ListParagraph"/>
        <w:numPr>
          <w:ilvl w:val="0"/>
          <w:numId w:val="19"/>
        </w:numPr>
        <w:pBdr>
          <w:top w:val="single" w:sz="4" w:space="1" w:color="auto"/>
          <w:left w:val="single" w:sz="4" w:space="4" w:color="auto"/>
          <w:bottom w:val="single" w:sz="4" w:space="1" w:color="auto"/>
          <w:right w:val="single" w:sz="4" w:space="4" w:color="auto"/>
        </w:pBdr>
        <w:rPr>
          <w:lang w:eastAsia="en-AU"/>
        </w:rPr>
      </w:pPr>
      <w:r>
        <w:rPr>
          <w:lang w:eastAsia="en-AU"/>
        </w:rPr>
        <w:t>transparency</w:t>
      </w:r>
    </w:p>
    <w:p w:rsidR="0080739E" w:rsidRDefault="0080739E" w:rsidP="008C14ED">
      <w:pPr>
        <w:pStyle w:val="ListParagraph"/>
        <w:numPr>
          <w:ilvl w:val="0"/>
          <w:numId w:val="19"/>
        </w:numPr>
        <w:pBdr>
          <w:top w:val="single" w:sz="4" w:space="1" w:color="auto"/>
          <w:left w:val="single" w:sz="4" w:space="4" w:color="auto"/>
          <w:bottom w:val="single" w:sz="4" w:space="1" w:color="auto"/>
          <w:right w:val="single" w:sz="4" w:space="4" w:color="auto"/>
        </w:pBdr>
        <w:rPr>
          <w:lang w:eastAsia="en-AU"/>
        </w:rPr>
      </w:pPr>
      <w:r>
        <w:rPr>
          <w:lang w:eastAsia="en-AU"/>
        </w:rPr>
        <w:t>sharing – shared vision, values, goals and objectives and results</w:t>
      </w:r>
    </w:p>
    <w:p w:rsidR="0080739E" w:rsidRDefault="0080739E" w:rsidP="008C14ED">
      <w:pPr>
        <w:pStyle w:val="ListParagraph"/>
        <w:numPr>
          <w:ilvl w:val="0"/>
          <w:numId w:val="19"/>
        </w:numPr>
        <w:pBdr>
          <w:top w:val="single" w:sz="4" w:space="1" w:color="auto"/>
          <w:left w:val="single" w:sz="4" w:space="4" w:color="auto"/>
          <w:bottom w:val="single" w:sz="4" w:space="1" w:color="auto"/>
          <w:right w:val="single" w:sz="4" w:space="4" w:color="auto"/>
        </w:pBdr>
        <w:rPr>
          <w:lang w:eastAsia="en-AU"/>
        </w:rPr>
      </w:pPr>
      <w:r>
        <w:rPr>
          <w:lang w:eastAsia="en-AU"/>
        </w:rPr>
        <w:t>competence – building on a good track record</w:t>
      </w:r>
    </w:p>
    <w:p w:rsidR="0080739E" w:rsidRDefault="0080739E" w:rsidP="008C14ED">
      <w:pPr>
        <w:pStyle w:val="ListParagraph"/>
        <w:numPr>
          <w:ilvl w:val="0"/>
          <w:numId w:val="19"/>
        </w:numPr>
        <w:pBdr>
          <w:top w:val="single" w:sz="4" w:space="1" w:color="auto"/>
          <w:left w:val="single" w:sz="4" w:space="4" w:color="auto"/>
          <w:bottom w:val="single" w:sz="4" w:space="1" w:color="auto"/>
          <w:right w:val="single" w:sz="4" w:space="4" w:color="auto"/>
        </w:pBdr>
        <w:rPr>
          <w:lang w:eastAsia="en-AU"/>
        </w:rPr>
      </w:pPr>
      <w:r>
        <w:rPr>
          <w:lang w:eastAsia="en-AU"/>
        </w:rPr>
        <w:t>accountability</w:t>
      </w:r>
    </w:p>
    <w:p w:rsidR="0080739E" w:rsidRDefault="0080739E" w:rsidP="008C14ED">
      <w:pPr>
        <w:pStyle w:val="ListParagraph"/>
        <w:numPr>
          <w:ilvl w:val="0"/>
          <w:numId w:val="19"/>
        </w:numPr>
        <w:pBdr>
          <w:top w:val="single" w:sz="4" w:space="1" w:color="auto"/>
          <w:left w:val="single" w:sz="4" w:space="4" w:color="auto"/>
          <w:bottom w:val="single" w:sz="4" w:space="1" w:color="auto"/>
          <w:right w:val="single" w:sz="4" w:space="4" w:color="auto"/>
        </w:pBdr>
        <w:rPr>
          <w:lang w:eastAsia="en-AU"/>
        </w:rPr>
      </w:pPr>
      <w:r>
        <w:rPr>
          <w:lang w:eastAsia="en-AU"/>
        </w:rPr>
        <w:t>formal arrangements such as an agreement or Memorandum of Understanding</w:t>
      </w:r>
    </w:p>
    <w:p w:rsidR="0080739E" w:rsidRDefault="0080739E" w:rsidP="008C14ED">
      <w:pPr>
        <w:pStyle w:val="ListParagraph"/>
        <w:numPr>
          <w:ilvl w:val="0"/>
          <w:numId w:val="19"/>
        </w:numPr>
        <w:pBdr>
          <w:top w:val="single" w:sz="4" w:space="1" w:color="auto"/>
          <w:left w:val="single" w:sz="4" w:space="4" w:color="auto"/>
          <w:bottom w:val="single" w:sz="4" w:space="1" w:color="auto"/>
          <w:right w:val="single" w:sz="4" w:space="4" w:color="auto"/>
        </w:pBdr>
        <w:rPr>
          <w:lang w:eastAsia="en-AU"/>
        </w:rPr>
      </w:pPr>
      <w:r>
        <w:rPr>
          <w:lang w:eastAsia="en-AU"/>
        </w:rPr>
        <w:t>common learning objectives and an ability to build capacity in partners</w:t>
      </w:r>
    </w:p>
    <w:p w:rsidR="0080739E" w:rsidRDefault="0080739E" w:rsidP="008C14ED">
      <w:pPr>
        <w:pStyle w:val="ListParagraph"/>
        <w:numPr>
          <w:ilvl w:val="0"/>
          <w:numId w:val="19"/>
        </w:numPr>
        <w:pBdr>
          <w:top w:val="single" w:sz="4" w:space="1" w:color="auto"/>
          <w:left w:val="single" w:sz="4" w:space="4" w:color="auto"/>
          <w:bottom w:val="single" w:sz="4" w:space="1" w:color="auto"/>
          <w:right w:val="single" w:sz="4" w:space="4" w:color="auto"/>
        </w:pBdr>
        <w:rPr>
          <w:lang w:eastAsia="en-AU"/>
        </w:rPr>
      </w:pPr>
      <w:r>
        <w:rPr>
          <w:lang w:eastAsia="en-AU"/>
        </w:rPr>
        <w:t>understanding constraints</w:t>
      </w:r>
    </w:p>
    <w:p w:rsidR="0080739E" w:rsidRDefault="0080739E" w:rsidP="008C14ED">
      <w:pPr>
        <w:pStyle w:val="ListParagraph"/>
        <w:numPr>
          <w:ilvl w:val="0"/>
          <w:numId w:val="19"/>
        </w:numPr>
        <w:pBdr>
          <w:top w:val="single" w:sz="4" w:space="1" w:color="auto"/>
          <w:left w:val="single" w:sz="4" w:space="4" w:color="auto"/>
          <w:bottom w:val="single" w:sz="4" w:space="1" w:color="auto"/>
          <w:right w:val="single" w:sz="4" w:space="4" w:color="auto"/>
        </w:pBdr>
        <w:rPr>
          <w:lang w:eastAsia="en-AU"/>
        </w:rPr>
      </w:pPr>
      <w:r>
        <w:rPr>
          <w:lang w:eastAsia="en-AU"/>
        </w:rPr>
        <w:t>consultative and cooperative communications and actions (not competitive)</w:t>
      </w:r>
    </w:p>
    <w:p w:rsidR="0080739E" w:rsidRDefault="0080739E" w:rsidP="008C14ED">
      <w:pPr>
        <w:pStyle w:val="ListParagraph"/>
        <w:numPr>
          <w:ilvl w:val="0"/>
          <w:numId w:val="19"/>
        </w:numPr>
        <w:pBdr>
          <w:top w:val="single" w:sz="4" w:space="1" w:color="auto"/>
          <w:left w:val="single" w:sz="4" w:space="4" w:color="auto"/>
          <w:bottom w:val="single" w:sz="4" w:space="1" w:color="auto"/>
          <w:right w:val="single" w:sz="4" w:space="4" w:color="auto"/>
        </w:pBdr>
        <w:rPr>
          <w:lang w:eastAsia="en-AU"/>
        </w:rPr>
      </w:pPr>
      <w:r>
        <w:rPr>
          <w:lang w:eastAsia="en-AU"/>
        </w:rPr>
        <w:t>shared risks</w:t>
      </w:r>
    </w:p>
    <w:p w:rsidR="0080739E" w:rsidRDefault="0080739E" w:rsidP="008C14ED">
      <w:pPr>
        <w:pStyle w:val="ListParagraph"/>
        <w:numPr>
          <w:ilvl w:val="0"/>
          <w:numId w:val="19"/>
        </w:numPr>
        <w:pBdr>
          <w:top w:val="single" w:sz="4" w:space="1" w:color="auto"/>
          <w:left w:val="single" w:sz="4" w:space="4" w:color="auto"/>
          <w:bottom w:val="single" w:sz="4" w:space="1" w:color="auto"/>
          <w:right w:val="single" w:sz="4" w:space="4" w:color="auto"/>
        </w:pBdr>
        <w:rPr>
          <w:lang w:eastAsia="en-AU"/>
        </w:rPr>
      </w:pPr>
      <w:r>
        <w:rPr>
          <w:lang w:eastAsia="en-AU"/>
        </w:rPr>
        <w:t>levels of communication appropriate to the levels of the relationships</w:t>
      </w:r>
    </w:p>
    <w:p w:rsidR="0080739E" w:rsidRDefault="0080739E" w:rsidP="008C14ED">
      <w:pPr>
        <w:pStyle w:val="ListParagraph"/>
        <w:numPr>
          <w:ilvl w:val="0"/>
          <w:numId w:val="19"/>
        </w:numPr>
        <w:pBdr>
          <w:top w:val="single" w:sz="4" w:space="1" w:color="auto"/>
          <w:left w:val="single" w:sz="4" w:space="4" w:color="auto"/>
          <w:bottom w:val="single" w:sz="4" w:space="1" w:color="auto"/>
          <w:right w:val="single" w:sz="4" w:space="4" w:color="auto"/>
        </w:pBdr>
        <w:rPr>
          <w:lang w:eastAsia="en-AU"/>
        </w:rPr>
      </w:pPr>
      <w:r>
        <w:rPr>
          <w:lang w:eastAsia="en-AU"/>
        </w:rPr>
        <w:t>it takes time to build true partnerships</w:t>
      </w:r>
    </w:p>
    <w:p w:rsidR="0080739E" w:rsidRDefault="0080739E" w:rsidP="008C14ED">
      <w:pPr>
        <w:pStyle w:val="ListParagraph"/>
        <w:numPr>
          <w:ilvl w:val="0"/>
          <w:numId w:val="19"/>
        </w:numPr>
        <w:pBdr>
          <w:top w:val="single" w:sz="4" w:space="1" w:color="auto"/>
          <w:left w:val="single" w:sz="4" w:space="4" w:color="auto"/>
          <w:bottom w:val="single" w:sz="4" w:space="1" w:color="auto"/>
          <w:right w:val="single" w:sz="4" w:space="4" w:color="auto"/>
        </w:pBdr>
        <w:rPr>
          <w:lang w:eastAsia="en-AU"/>
        </w:rPr>
      </w:pPr>
      <w:r>
        <w:rPr>
          <w:lang w:eastAsia="en-AU"/>
        </w:rPr>
        <w:t>expectations need to be clear to all parties</w:t>
      </w:r>
    </w:p>
    <w:p w:rsidR="0080739E" w:rsidRDefault="0080739E" w:rsidP="008C14ED">
      <w:pPr>
        <w:pStyle w:val="ListParagraph"/>
        <w:numPr>
          <w:ilvl w:val="0"/>
          <w:numId w:val="19"/>
        </w:numPr>
        <w:pBdr>
          <w:top w:val="single" w:sz="4" w:space="1" w:color="auto"/>
          <w:left w:val="single" w:sz="4" w:space="4" w:color="auto"/>
          <w:bottom w:val="single" w:sz="4" w:space="1" w:color="auto"/>
          <w:right w:val="single" w:sz="4" w:space="4" w:color="auto"/>
        </w:pBdr>
        <w:rPr>
          <w:lang w:eastAsia="en-AU"/>
        </w:rPr>
      </w:pPr>
      <w:r>
        <w:rPr>
          <w:lang w:eastAsia="en-AU"/>
        </w:rPr>
        <w:t>patience</w:t>
      </w:r>
    </w:p>
    <w:p w:rsidR="0080739E" w:rsidRDefault="0080739E" w:rsidP="008C14ED">
      <w:pPr>
        <w:pStyle w:val="ListParagraph"/>
        <w:numPr>
          <w:ilvl w:val="0"/>
          <w:numId w:val="19"/>
        </w:numPr>
        <w:pBdr>
          <w:top w:val="single" w:sz="4" w:space="1" w:color="auto"/>
          <w:left w:val="single" w:sz="4" w:space="4" w:color="auto"/>
          <w:bottom w:val="single" w:sz="4" w:space="1" w:color="auto"/>
          <w:right w:val="single" w:sz="4" w:space="4" w:color="auto"/>
        </w:pBdr>
        <w:rPr>
          <w:lang w:eastAsia="en-AU"/>
        </w:rPr>
      </w:pPr>
      <w:r>
        <w:rPr>
          <w:lang w:eastAsia="en-AU"/>
        </w:rPr>
        <w:t>sensitivity towards specific aspects e.g. security in Afghanistan</w:t>
      </w:r>
    </w:p>
    <w:p w:rsidR="0080739E" w:rsidRDefault="0080739E" w:rsidP="0080739E">
      <w:pPr>
        <w:rPr>
          <w:rFonts w:ascii="Arial" w:hAnsi="Arial" w:cs="Arial"/>
          <w:sz w:val="18"/>
          <w:szCs w:val="18"/>
          <w:lang w:eastAsia="en-AU"/>
        </w:rPr>
      </w:pPr>
    </w:p>
    <w:p w:rsidR="0080739E" w:rsidRPr="0093529F" w:rsidRDefault="0080739E" w:rsidP="0080739E">
      <w:pPr>
        <w:ind w:firstLine="360"/>
        <w:rPr>
          <w:rFonts w:ascii="Arial" w:hAnsi="Arial" w:cs="Arial"/>
          <w:sz w:val="18"/>
          <w:szCs w:val="18"/>
          <w:lang w:eastAsia="en-AU"/>
        </w:rPr>
      </w:pPr>
      <w:r>
        <w:rPr>
          <w:rFonts w:ascii="Arial" w:hAnsi="Arial" w:cs="Arial"/>
          <w:sz w:val="18"/>
          <w:szCs w:val="18"/>
          <w:lang w:eastAsia="en-AU"/>
        </w:rPr>
        <w:t>So</w:t>
      </w:r>
      <w:r w:rsidRPr="0093529F">
        <w:rPr>
          <w:rFonts w:ascii="Arial" w:hAnsi="Arial" w:cs="Arial"/>
          <w:sz w:val="18"/>
          <w:szCs w:val="18"/>
          <w:lang w:eastAsia="en-AU"/>
        </w:rPr>
        <w:t>urce: Brainstorming at AACRS Consultative Design Workshop, 9 July 2012.</w:t>
      </w:r>
    </w:p>
    <w:p w:rsidR="0080739E" w:rsidRPr="0093529F" w:rsidRDefault="0080739E" w:rsidP="0080739E">
      <w:pPr>
        <w:rPr>
          <w:rFonts w:ascii="Arial" w:hAnsi="Arial" w:cs="Arial"/>
          <w:sz w:val="18"/>
          <w:szCs w:val="18"/>
          <w:lang w:eastAsia="en-AU"/>
        </w:rPr>
      </w:pPr>
    </w:p>
    <w:p w:rsidR="0080739E" w:rsidRDefault="0080739E" w:rsidP="0080739E">
      <w:pPr>
        <w:rPr>
          <w:lang w:eastAsia="en-AU"/>
        </w:rPr>
      </w:pPr>
      <w:r>
        <w:rPr>
          <w:lang w:eastAsia="en-AU"/>
        </w:rPr>
        <w:t>The following encapsulates the essence of good partnership:</w:t>
      </w:r>
    </w:p>
    <w:p w:rsidR="0080739E" w:rsidRDefault="0080739E" w:rsidP="0080739E">
      <w:pPr>
        <w:rPr>
          <w:lang w:eastAsia="en-AU"/>
        </w:rPr>
      </w:pPr>
    </w:p>
    <w:p w:rsidR="0080739E" w:rsidRDefault="0080739E" w:rsidP="008C14ED">
      <w:pPr>
        <w:pStyle w:val="ListParagraph"/>
        <w:numPr>
          <w:ilvl w:val="0"/>
          <w:numId w:val="18"/>
        </w:numPr>
        <w:rPr>
          <w:lang w:eastAsia="en-AU"/>
        </w:rPr>
      </w:pPr>
      <w:r>
        <w:rPr>
          <w:lang w:eastAsia="en-AU"/>
        </w:rPr>
        <w:t>EQUITY because it leads to RESPECT</w:t>
      </w:r>
    </w:p>
    <w:p w:rsidR="0080739E" w:rsidRDefault="0080739E" w:rsidP="008C14ED">
      <w:pPr>
        <w:pStyle w:val="ListParagraph"/>
        <w:numPr>
          <w:ilvl w:val="0"/>
          <w:numId w:val="18"/>
        </w:numPr>
        <w:rPr>
          <w:lang w:eastAsia="en-AU"/>
        </w:rPr>
      </w:pPr>
      <w:r>
        <w:rPr>
          <w:lang w:eastAsia="en-AU"/>
        </w:rPr>
        <w:t>TRANSPARENCY because it leads to TRUST</w:t>
      </w:r>
    </w:p>
    <w:p w:rsidR="0080739E" w:rsidRDefault="0080739E" w:rsidP="008C14ED">
      <w:pPr>
        <w:pStyle w:val="ListParagraph"/>
        <w:numPr>
          <w:ilvl w:val="0"/>
          <w:numId w:val="18"/>
        </w:numPr>
        <w:rPr>
          <w:lang w:eastAsia="en-AU"/>
        </w:rPr>
      </w:pPr>
      <w:r>
        <w:rPr>
          <w:lang w:eastAsia="en-AU"/>
        </w:rPr>
        <w:t>MUTUAL BENEFIT because it leads to SUSTAINABILITY</w:t>
      </w:r>
    </w:p>
    <w:p w:rsidR="0080739E" w:rsidRDefault="0080739E" w:rsidP="0080739E">
      <w:pPr>
        <w:rPr>
          <w:lang w:eastAsia="en-AU"/>
        </w:rPr>
      </w:pPr>
    </w:p>
    <w:p w:rsidR="00A522F6" w:rsidRDefault="00A522F6" w:rsidP="00A522F6">
      <w:pPr>
        <w:rPr>
          <w:lang w:eastAsia="en-AU"/>
        </w:rPr>
      </w:pPr>
      <w:r>
        <w:rPr>
          <w:lang w:eastAsia="en-AU"/>
        </w:rPr>
        <w:lastRenderedPageBreak/>
        <w:t>Good partnerships do not just happen through good will – there needs to be commitment and effort to achieving the gains that partnership can deliver. All partners will need to dedicate some time at the start of the program to developing a deep understanding of each other’s organisations, varying expectations for AACRS, and expe</w:t>
      </w:r>
      <w:r w:rsidR="00870630">
        <w:rPr>
          <w:lang w:eastAsia="en-AU"/>
        </w:rPr>
        <w:t>cted ways of working, to minimis</w:t>
      </w:r>
      <w:r>
        <w:rPr>
          <w:lang w:eastAsia="en-AU"/>
        </w:rPr>
        <w:t>e confusion and disagreement at later points. The partners will also need to spend some time agreeing on business processes, such as planning, reporting, M&amp;E and communications, which help rather than hinder a partnership approach. The development of a Partnership Agreement will be an important part of this process</w:t>
      </w:r>
      <w:r w:rsidR="0045168E">
        <w:rPr>
          <w:lang w:eastAsia="en-AU"/>
        </w:rPr>
        <w:t xml:space="preserve">. </w:t>
      </w:r>
      <w:r>
        <w:rPr>
          <w:lang w:eastAsia="en-AU"/>
        </w:rPr>
        <w:t>It will also be important to track success or otherwise of establishing and maintaining effective partnerships through the Scheme’s M&amp;E processes.</w:t>
      </w:r>
    </w:p>
    <w:p w:rsidR="0080739E" w:rsidRDefault="0080739E" w:rsidP="0080739E">
      <w:pPr>
        <w:pStyle w:val="Heading2"/>
        <w:numPr>
          <w:ilvl w:val="1"/>
          <w:numId w:val="1"/>
        </w:numPr>
        <w:rPr>
          <w:lang w:eastAsia="en-AU"/>
        </w:rPr>
      </w:pPr>
      <w:bookmarkStart w:id="24" w:name="_Toc353974438"/>
      <w:r w:rsidRPr="00BD04D2">
        <w:rPr>
          <w:lang w:eastAsia="en-AU"/>
        </w:rPr>
        <w:t>NGO</w:t>
      </w:r>
      <w:r w:rsidR="00CE1010">
        <w:rPr>
          <w:lang w:eastAsia="en-AU"/>
        </w:rPr>
        <w:t xml:space="preserve"> Eligibility and</w:t>
      </w:r>
      <w:r>
        <w:rPr>
          <w:lang w:eastAsia="en-AU"/>
        </w:rPr>
        <w:t xml:space="preserve"> Project</w:t>
      </w:r>
      <w:r w:rsidRPr="00BD04D2">
        <w:rPr>
          <w:lang w:eastAsia="en-AU"/>
        </w:rPr>
        <w:t xml:space="preserve"> Selection</w:t>
      </w:r>
      <w:bookmarkEnd w:id="24"/>
    </w:p>
    <w:p w:rsidR="00E0652C" w:rsidRDefault="00E0652C" w:rsidP="0080739E">
      <w:pPr>
        <w:rPr>
          <w:lang w:eastAsia="en-AU"/>
        </w:rPr>
      </w:pPr>
    </w:p>
    <w:p w:rsidR="0080739E" w:rsidRDefault="0080739E" w:rsidP="0080739E">
      <w:pPr>
        <w:rPr>
          <w:lang w:eastAsia="en-AU"/>
        </w:rPr>
      </w:pPr>
      <w:r>
        <w:rPr>
          <w:lang w:eastAsia="en-AU"/>
        </w:rPr>
        <w:t>Learning from the experience of other AusAID programs, contestability has been separated from the ful</w:t>
      </w:r>
      <w:r w:rsidR="001F0FB2">
        <w:rPr>
          <w:lang w:eastAsia="en-AU"/>
        </w:rPr>
        <w:t>l project design process. C</w:t>
      </w:r>
      <w:r>
        <w:rPr>
          <w:lang w:eastAsia="en-AU"/>
        </w:rPr>
        <w:t>ompetitive selection of NGOs will be made on the basis of the NGO’s organisational capa</w:t>
      </w:r>
      <w:r w:rsidR="007F78BE">
        <w:rPr>
          <w:lang w:eastAsia="en-AU"/>
        </w:rPr>
        <w:t xml:space="preserve">city, experience in Afghanistan, </w:t>
      </w:r>
      <w:r>
        <w:rPr>
          <w:lang w:eastAsia="en-AU"/>
        </w:rPr>
        <w:t xml:space="preserve">a project concept intended to contribute to </w:t>
      </w:r>
      <w:r w:rsidR="00734250">
        <w:rPr>
          <w:i/>
          <w:iCs/>
          <w:lang w:eastAsia="en-AU"/>
        </w:rPr>
        <w:t>i</w:t>
      </w:r>
      <w:r w:rsidRPr="009D702B">
        <w:rPr>
          <w:i/>
          <w:iCs/>
          <w:lang w:eastAsia="en-AU"/>
        </w:rPr>
        <w:t xml:space="preserve">mproved </w:t>
      </w:r>
      <w:r w:rsidR="00870630">
        <w:rPr>
          <w:i/>
          <w:iCs/>
          <w:lang w:eastAsia="en-AU"/>
        </w:rPr>
        <w:t>resilience</w:t>
      </w:r>
      <w:r w:rsidR="00F93D90" w:rsidRPr="009D702B">
        <w:rPr>
          <w:i/>
          <w:iCs/>
          <w:lang w:eastAsia="en-AU"/>
        </w:rPr>
        <w:t xml:space="preserve"> </w:t>
      </w:r>
      <w:r w:rsidRPr="009D702B">
        <w:rPr>
          <w:i/>
          <w:iCs/>
          <w:lang w:eastAsia="en-AU"/>
        </w:rPr>
        <w:t>and livelihood</w:t>
      </w:r>
      <w:r w:rsidR="00870630">
        <w:rPr>
          <w:i/>
          <w:iCs/>
          <w:lang w:eastAsia="en-AU"/>
        </w:rPr>
        <w:t>s</w:t>
      </w:r>
      <w:r w:rsidR="00F93D90">
        <w:rPr>
          <w:i/>
          <w:iCs/>
          <w:lang w:eastAsia="en-AU"/>
        </w:rPr>
        <w:t xml:space="preserve"> </w:t>
      </w:r>
      <w:r w:rsidRPr="009D702B">
        <w:rPr>
          <w:i/>
          <w:iCs/>
          <w:lang w:eastAsia="en-AU"/>
        </w:rPr>
        <w:t>for Afghan rural communities</w:t>
      </w:r>
      <w:r w:rsidR="007F78BE">
        <w:rPr>
          <w:iCs/>
          <w:lang w:eastAsia="en-AU"/>
        </w:rPr>
        <w:t xml:space="preserve"> and a value for money assessment</w:t>
      </w:r>
      <w:r w:rsidR="00746325">
        <w:rPr>
          <w:i/>
          <w:iCs/>
          <w:lang w:eastAsia="en-AU"/>
        </w:rPr>
        <w:t>.</w:t>
      </w:r>
      <w:r w:rsidRPr="009D702B">
        <w:rPr>
          <w:i/>
          <w:iCs/>
          <w:lang w:eastAsia="en-AU"/>
        </w:rPr>
        <w:t xml:space="preserve"> </w:t>
      </w:r>
      <w:r>
        <w:rPr>
          <w:lang w:eastAsia="en-AU"/>
        </w:rPr>
        <w:t xml:space="preserve">The full design of each project will be undertaken during the following </w:t>
      </w:r>
      <w:r w:rsidR="001F0FB2">
        <w:rPr>
          <w:lang w:eastAsia="en-AU"/>
        </w:rPr>
        <w:t xml:space="preserve">Detailed </w:t>
      </w:r>
      <w:r>
        <w:rPr>
          <w:lang w:eastAsia="en-AU"/>
        </w:rPr>
        <w:t xml:space="preserve">Design Phase once selected NGOs have been </w:t>
      </w:r>
      <w:r w:rsidR="00697B6D">
        <w:rPr>
          <w:lang w:eastAsia="en-AU"/>
        </w:rPr>
        <w:t>engaged</w:t>
      </w:r>
      <w:r>
        <w:rPr>
          <w:lang w:eastAsia="en-AU"/>
        </w:rPr>
        <w:t xml:space="preserve"> by AusAID.</w:t>
      </w:r>
    </w:p>
    <w:p w:rsidR="0080739E" w:rsidRDefault="0080739E" w:rsidP="0080739E">
      <w:pPr>
        <w:rPr>
          <w:lang w:eastAsia="en-AU"/>
        </w:rPr>
      </w:pPr>
    </w:p>
    <w:p w:rsidR="0080739E" w:rsidRDefault="0080739E" w:rsidP="0080739E">
      <w:pPr>
        <w:rPr>
          <w:lang w:eastAsia="en-AU"/>
        </w:rPr>
      </w:pPr>
      <w:r>
        <w:rPr>
          <w:lang w:eastAsia="en-AU"/>
        </w:rPr>
        <w:t xml:space="preserve">AusAID will manage the </w:t>
      </w:r>
      <w:r w:rsidR="007F78BE">
        <w:rPr>
          <w:lang w:eastAsia="en-AU"/>
        </w:rPr>
        <w:t>Request for Submissions process</w:t>
      </w:r>
      <w:r>
        <w:rPr>
          <w:lang w:eastAsia="en-AU"/>
        </w:rPr>
        <w:t xml:space="preserve">. This will commence with advertisement of the </w:t>
      </w:r>
      <w:r w:rsidR="0027480C">
        <w:rPr>
          <w:lang w:eastAsia="en-AU"/>
        </w:rPr>
        <w:t xml:space="preserve">AACRS </w:t>
      </w:r>
      <w:r>
        <w:rPr>
          <w:lang w:eastAsia="en-AU"/>
        </w:rPr>
        <w:t xml:space="preserve">on its website, calling for </w:t>
      </w:r>
      <w:r w:rsidR="00F241AF">
        <w:rPr>
          <w:lang w:eastAsia="en-AU"/>
        </w:rPr>
        <w:t>Requests for Submissions</w:t>
      </w:r>
      <w:r>
        <w:rPr>
          <w:lang w:eastAsia="en-AU"/>
        </w:rPr>
        <w:t xml:space="preserve"> from eligible NGOs to be prepared and submitted within a 6-week period. </w:t>
      </w:r>
    </w:p>
    <w:p w:rsidR="0080739E" w:rsidRDefault="0080739E" w:rsidP="0080739E">
      <w:pPr>
        <w:rPr>
          <w:lang w:eastAsia="en-AU"/>
        </w:rPr>
      </w:pPr>
    </w:p>
    <w:p w:rsidR="0080739E" w:rsidRDefault="0080739E" w:rsidP="0080739E">
      <w:pPr>
        <w:rPr>
          <w:lang w:eastAsia="en-AU"/>
        </w:rPr>
      </w:pPr>
      <w:r>
        <w:rPr>
          <w:lang w:eastAsia="en-AU"/>
        </w:rPr>
        <w:t>During the design consultations, a diversity of views has been put forward regarding eligibility, and whether only Australian NGOs accredited through AusAID’s ANCP accreditation proces</w:t>
      </w:r>
      <w:r w:rsidR="004B5680">
        <w:rPr>
          <w:lang w:eastAsia="en-AU"/>
        </w:rPr>
        <w:t>s</w:t>
      </w:r>
      <w:r>
        <w:rPr>
          <w:lang w:eastAsia="en-AU"/>
        </w:rPr>
        <w:t xml:space="preserve"> would be eligible. On the basis that AusAID’s aid program is untied and to position AACRS to attract the best project concepts from reputable NGOs which are effective in Afghanistan, the eligibility has been defined broadly so that non-accredited NGOs will be eligible to apply. </w:t>
      </w:r>
    </w:p>
    <w:p w:rsidR="00C0417B" w:rsidRPr="00B818B7" w:rsidRDefault="00C0417B" w:rsidP="007F78BE">
      <w:pPr>
        <w:pStyle w:val="BodyText"/>
        <w:tabs>
          <w:tab w:val="num" w:pos="-426"/>
        </w:tabs>
        <w:spacing w:before="0" w:after="0" w:line="240" w:lineRule="auto"/>
        <w:rPr>
          <w:rFonts w:ascii="Arial" w:hAnsi="Arial" w:cs="Arial"/>
          <w:sz w:val="22"/>
          <w:szCs w:val="22"/>
        </w:rPr>
      </w:pPr>
    </w:p>
    <w:p w:rsidR="00CE1010" w:rsidRPr="00CE1010" w:rsidRDefault="00CE1010" w:rsidP="00CE1010">
      <w:pPr>
        <w:rPr>
          <w:lang w:val="en-AU" w:eastAsia="en-AU"/>
        </w:rPr>
      </w:pPr>
      <w:r w:rsidRPr="00CE1010">
        <w:rPr>
          <w:lang w:val="en-AU" w:eastAsia="en-AU"/>
        </w:rPr>
        <w:t xml:space="preserve">The AACRS is open to Australian and international (including Afghan) NGOs, and is </w:t>
      </w:r>
      <w:r w:rsidRPr="007F78BE">
        <w:rPr>
          <w:u w:val="single"/>
          <w:lang w:val="en-AU" w:eastAsia="en-AU"/>
        </w:rPr>
        <w:t>not</w:t>
      </w:r>
      <w:r w:rsidRPr="00CE1010">
        <w:rPr>
          <w:lang w:val="en-AU" w:eastAsia="en-AU"/>
        </w:rPr>
        <w:t xml:space="preserve"> limited to organisations that have AusAID accreditation through the AusAID–NGO Cooperation Program (ANCP). </w:t>
      </w:r>
    </w:p>
    <w:p w:rsidR="00CE1010" w:rsidRPr="00CE1010" w:rsidRDefault="00CE1010" w:rsidP="00CE1010">
      <w:pPr>
        <w:pStyle w:val="ListParagraph"/>
        <w:ind w:left="1080"/>
        <w:rPr>
          <w:lang w:val="en-AU" w:eastAsia="en-AU"/>
        </w:rPr>
      </w:pPr>
    </w:p>
    <w:p w:rsidR="00CE1010" w:rsidRPr="00CE1010" w:rsidRDefault="00CE1010" w:rsidP="00CE1010">
      <w:pPr>
        <w:rPr>
          <w:lang w:val="en-AU" w:eastAsia="en-AU"/>
        </w:rPr>
      </w:pPr>
      <w:r w:rsidRPr="00CE1010">
        <w:rPr>
          <w:lang w:val="en-AU" w:eastAsia="en-AU"/>
        </w:rPr>
        <w:t xml:space="preserve">To be eligible to apply for AACRS design and project funding, NGOs must: </w:t>
      </w:r>
    </w:p>
    <w:p w:rsidR="00CE1010" w:rsidRPr="00CE1010" w:rsidRDefault="00CE1010" w:rsidP="00CE1010">
      <w:pPr>
        <w:pStyle w:val="ListParagraph"/>
        <w:ind w:left="1080"/>
        <w:rPr>
          <w:lang w:val="en-AU" w:eastAsia="en-AU"/>
        </w:rPr>
      </w:pPr>
    </w:p>
    <w:p w:rsidR="00CE1010" w:rsidRPr="00CE1010" w:rsidRDefault="00CE1010" w:rsidP="00CE1010">
      <w:pPr>
        <w:pStyle w:val="ListParagraph"/>
        <w:numPr>
          <w:ilvl w:val="0"/>
          <w:numId w:val="44"/>
        </w:numPr>
        <w:ind w:left="720"/>
        <w:rPr>
          <w:lang w:val="en-AU" w:eastAsia="en-AU"/>
        </w:rPr>
      </w:pPr>
      <w:r w:rsidRPr="00CE1010">
        <w:rPr>
          <w:lang w:val="en-AU" w:eastAsia="en-AU"/>
        </w:rPr>
        <w:t xml:space="preserve">be registered to work in Afghanistan; </w:t>
      </w:r>
    </w:p>
    <w:p w:rsidR="00CE1010" w:rsidRPr="00CE1010" w:rsidRDefault="00CE1010" w:rsidP="00CE1010">
      <w:pPr>
        <w:pStyle w:val="ListParagraph"/>
        <w:ind w:left="1505"/>
        <w:rPr>
          <w:lang w:val="en-AU" w:eastAsia="en-AU"/>
        </w:rPr>
      </w:pPr>
    </w:p>
    <w:p w:rsidR="00CE1010" w:rsidRPr="00CE1010" w:rsidRDefault="00CE1010" w:rsidP="00CE1010">
      <w:pPr>
        <w:pStyle w:val="ListParagraph"/>
        <w:numPr>
          <w:ilvl w:val="0"/>
          <w:numId w:val="44"/>
        </w:numPr>
        <w:ind w:left="720"/>
        <w:rPr>
          <w:lang w:val="en-AU" w:eastAsia="en-AU"/>
        </w:rPr>
      </w:pPr>
      <w:r w:rsidRPr="00CE1010">
        <w:rPr>
          <w:lang w:val="en-AU" w:eastAsia="en-AU"/>
        </w:rPr>
        <w:t>have effectively implemented development activities in Afghanistan in the past five years, and for more than five years in total; and,</w:t>
      </w:r>
    </w:p>
    <w:p w:rsidR="00CE1010" w:rsidRPr="00CE1010" w:rsidRDefault="00CE1010" w:rsidP="00CE1010">
      <w:pPr>
        <w:pStyle w:val="ListParagraph"/>
        <w:ind w:left="1505"/>
        <w:rPr>
          <w:lang w:val="en-AU" w:eastAsia="en-AU"/>
        </w:rPr>
      </w:pPr>
    </w:p>
    <w:p w:rsidR="00CE1010" w:rsidRPr="00CE1010" w:rsidRDefault="00CE1010" w:rsidP="00CE1010">
      <w:pPr>
        <w:pStyle w:val="ListParagraph"/>
        <w:numPr>
          <w:ilvl w:val="0"/>
          <w:numId w:val="44"/>
        </w:numPr>
        <w:ind w:left="720"/>
        <w:rPr>
          <w:lang w:val="en-AU" w:eastAsia="en-AU"/>
        </w:rPr>
      </w:pPr>
      <w:proofErr w:type="gramStart"/>
      <w:r w:rsidRPr="00CE1010">
        <w:rPr>
          <w:lang w:val="en-AU" w:eastAsia="en-AU"/>
        </w:rPr>
        <w:t>be</w:t>
      </w:r>
      <w:proofErr w:type="gramEnd"/>
      <w:r w:rsidRPr="00CE1010">
        <w:rPr>
          <w:lang w:val="en-AU" w:eastAsia="en-AU"/>
        </w:rPr>
        <w:t xml:space="preserve"> signatory to the ACFID Code of Conduct, or an international equivalent.</w:t>
      </w:r>
    </w:p>
    <w:p w:rsidR="00CE1010" w:rsidRPr="00CE1010" w:rsidRDefault="00CE1010" w:rsidP="00CE1010">
      <w:pPr>
        <w:pStyle w:val="ListParagraph"/>
        <w:ind w:left="1080"/>
        <w:rPr>
          <w:lang w:val="en-AU" w:eastAsia="en-AU"/>
        </w:rPr>
      </w:pPr>
    </w:p>
    <w:p w:rsidR="00CE1010" w:rsidRPr="00CE1010" w:rsidRDefault="00CE1010" w:rsidP="00CE1010">
      <w:pPr>
        <w:rPr>
          <w:lang w:val="en-AU" w:eastAsia="en-AU"/>
        </w:rPr>
      </w:pPr>
      <w:r w:rsidRPr="00CE1010">
        <w:rPr>
          <w:lang w:val="en-AU" w:eastAsia="en-AU"/>
        </w:rPr>
        <w:t xml:space="preserve">If an organisation is not accredited by AusAID, the organisation must provide documents to help AusAID assess the organisation’s management capacity, systems and operations (required documents are set out in </w:t>
      </w:r>
      <w:r>
        <w:rPr>
          <w:lang w:val="en-AU" w:eastAsia="en-AU"/>
        </w:rPr>
        <w:t xml:space="preserve">the </w:t>
      </w:r>
      <w:r w:rsidRPr="007F78BE">
        <w:rPr>
          <w:i/>
          <w:lang w:val="en-AU" w:eastAsia="en-AU"/>
        </w:rPr>
        <w:t xml:space="preserve">AACRS </w:t>
      </w:r>
      <w:r w:rsidR="007F78BE">
        <w:rPr>
          <w:i/>
          <w:lang w:val="en-AU" w:eastAsia="en-AU"/>
        </w:rPr>
        <w:t xml:space="preserve">Grant </w:t>
      </w:r>
      <w:r w:rsidRPr="007F78BE">
        <w:rPr>
          <w:i/>
          <w:lang w:val="en-AU" w:eastAsia="en-AU"/>
        </w:rPr>
        <w:t>Guidelines</w:t>
      </w:r>
      <w:r w:rsidRPr="00CE1010">
        <w:rPr>
          <w:lang w:val="en-AU" w:eastAsia="en-AU"/>
        </w:rPr>
        <w:t xml:space="preserve">); </w:t>
      </w:r>
    </w:p>
    <w:p w:rsidR="00CE1010" w:rsidRPr="00CE1010" w:rsidRDefault="00CE1010" w:rsidP="00CE1010">
      <w:pPr>
        <w:pStyle w:val="ListParagraph"/>
        <w:ind w:left="1080"/>
        <w:rPr>
          <w:lang w:val="en-AU" w:eastAsia="en-AU"/>
        </w:rPr>
      </w:pPr>
      <w:bookmarkStart w:id="25" w:name="_Toc296951595"/>
    </w:p>
    <w:bookmarkEnd w:id="25"/>
    <w:p w:rsidR="00664B5B" w:rsidRPr="007F78BE" w:rsidRDefault="00664B5B" w:rsidP="00664B5B">
      <w:pPr>
        <w:pStyle w:val="ListParagraph"/>
        <w:ind w:left="1080"/>
        <w:rPr>
          <w:lang w:val="en-AU" w:eastAsia="en-AU"/>
        </w:rPr>
      </w:pPr>
    </w:p>
    <w:p w:rsidR="007F78BE" w:rsidRDefault="007F78BE" w:rsidP="007F78BE">
      <w:pPr>
        <w:rPr>
          <w:lang w:eastAsia="en-AU"/>
        </w:rPr>
      </w:pPr>
      <w:r>
        <w:rPr>
          <w:lang w:eastAsia="en-AU"/>
        </w:rPr>
        <w:lastRenderedPageBreak/>
        <w:t xml:space="preserve">AusAID will appoint and brief a Technical Assessment Panel to appraise and score the Submissions, and make recommendations to the AusAID delegate who will approve the selection of up to five NGOs/NGO consortia for detailed design funding. </w:t>
      </w:r>
    </w:p>
    <w:p w:rsidR="007F78BE" w:rsidRDefault="007F78BE" w:rsidP="0080739E">
      <w:pPr>
        <w:rPr>
          <w:lang w:val="en-AU" w:eastAsia="en-AU"/>
        </w:rPr>
      </w:pPr>
    </w:p>
    <w:p w:rsidR="0080739E" w:rsidRDefault="0080739E" w:rsidP="0080739E">
      <w:pPr>
        <w:rPr>
          <w:lang w:val="en-AU" w:eastAsia="en-AU"/>
        </w:rPr>
      </w:pPr>
      <w:r>
        <w:rPr>
          <w:lang w:val="en-AU" w:eastAsia="en-AU"/>
        </w:rPr>
        <w:t>The selection criteria have been prepared to probe information regarding the NGO’s capaci</w:t>
      </w:r>
      <w:r w:rsidR="00C0417B">
        <w:rPr>
          <w:lang w:val="en-AU" w:eastAsia="en-AU"/>
        </w:rPr>
        <w:t>ty and experience (weighted at 5</w:t>
      </w:r>
      <w:r>
        <w:rPr>
          <w:lang w:val="en-AU" w:eastAsia="en-AU"/>
        </w:rPr>
        <w:t>0 per cent) and th</w:t>
      </w:r>
      <w:r w:rsidR="00C0417B">
        <w:rPr>
          <w:lang w:val="en-AU" w:eastAsia="en-AU"/>
        </w:rPr>
        <w:t>e project concept (weighted at 5</w:t>
      </w:r>
      <w:r>
        <w:rPr>
          <w:lang w:val="en-AU" w:eastAsia="en-AU"/>
        </w:rPr>
        <w:t xml:space="preserve">0 per cent). </w:t>
      </w:r>
    </w:p>
    <w:p w:rsidR="007F78BE" w:rsidRDefault="007F78BE" w:rsidP="0080739E">
      <w:pPr>
        <w:rPr>
          <w:lang w:val="en-AU" w:eastAsia="en-AU"/>
        </w:rPr>
      </w:pPr>
    </w:p>
    <w:p w:rsidR="007F78BE" w:rsidRPr="009D702B" w:rsidRDefault="007F78BE" w:rsidP="0080739E">
      <w:pPr>
        <w:rPr>
          <w:lang w:val="en-AU" w:eastAsia="en-AU"/>
        </w:rPr>
      </w:pPr>
      <w:r w:rsidRPr="007F78BE">
        <w:rPr>
          <w:lang w:val="en-AU" w:eastAsia="en-AU"/>
        </w:rPr>
        <w:t>After the scoring against the Capacity and Technical Assessment criteria, the Technical Assessment Panel will assess the value for money</w:t>
      </w:r>
      <w:r w:rsidR="005C110F">
        <w:rPr>
          <w:lang w:val="en-AU" w:eastAsia="en-AU"/>
        </w:rPr>
        <w:t xml:space="preserve"> of each Submission. </w:t>
      </w:r>
      <w:r w:rsidRPr="007F78BE">
        <w:rPr>
          <w:lang w:val="en-AU" w:eastAsia="en-AU"/>
        </w:rPr>
        <w:t xml:space="preserve">The Panel will ensure the funds requested and detailed in the project budget as part of the Submission are in accordance with the requirements of </w:t>
      </w:r>
      <w:r>
        <w:rPr>
          <w:lang w:val="en-AU" w:eastAsia="en-AU"/>
        </w:rPr>
        <w:t>the</w:t>
      </w:r>
      <w:r w:rsidRPr="007F78BE">
        <w:rPr>
          <w:lang w:val="en-AU" w:eastAsia="en-AU"/>
        </w:rPr>
        <w:t xml:space="preserve"> </w:t>
      </w:r>
      <w:r w:rsidRPr="007F78BE">
        <w:rPr>
          <w:i/>
          <w:lang w:val="en-AU" w:eastAsia="en-AU"/>
        </w:rPr>
        <w:t>AACRS Grant Guidelines</w:t>
      </w:r>
      <w:r w:rsidRPr="007F78BE">
        <w:rPr>
          <w:lang w:val="en-AU" w:eastAsia="en-AU"/>
        </w:rPr>
        <w:t>, and are reasonable and proportionate to the intended work to be undertaken, and administrative costs are kept to a minimum.</w:t>
      </w:r>
    </w:p>
    <w:p w:rsidR="007F78BE" w:rsidRDefault="007F78BE" w:rsidP="0080739E">
      <w:pPr>
        <w:rPr>
          <w:lang w:eastAsia="en-AU"/>
        </w:rPr>
      </w:pPr>
    </w:p>
    <w:p w:rsidR="007F78BE" w:rsidRPr="00CE1010" w:rsidRDefault="007F78BE" w:rsidP="007F78BE">
      <w:pPr>
        <w:rPr>
          <w:lang w:val="en-AU" w:eastAsia="en-AU"/>
        </w:rPr>
      </w:pPr>
      <w:r w:rsidRPr="00CE1010">
        <w:rPr>
          <w:lang w:val="en-AU" w:eastAsia="en-AU"/>
        </w:rPr>
        <w:t xml:space="preserve">AusAID will undertake </w:t>
      </w:r>
      <w:r>
        <w:rPr>
          <w:lang w:val="en-AU" w:eastAsia="en-AU"/>
        </w:rPr>
        <w:t xml:space="preserve">a </w:t>
      </w:r>
      <w:r w:rsidRPr="00CE1010">
        <w:rPr>
          <w:lang w:val="en-AU" w:eastAsia="en-AU"/>
        </w:rPr>
        <w:t>due diligence</w:t>
      </w:r>
      <w:r>
        <w:rPr>
          <w:lang w:val="en-AU" w:eastAsia="en-AU"/>
        </w:rPr>
        <w:t xml:space="preserve"> assessment</w:t>
      </w:r>
      <w:r w:rsidRPr="00CE1010">
        <w:rPr>
          <w:lang w:val="en-AU" w:eastAsia="en-AU"/>
        </w:rPr>
        <w:t xml:space="preserve"> of organisations selected through </w:t>
      </w:r>
      <w:r>
        <w:rPr>
          <w:lang w:val="en-AU" w:eastAsia="en-AU"/>
        </w:rPr>
        <w:t>the</w:t>
      </w:r>
      <w:r w:rsidRPr="00CE1010">
        <w:rPr>
          <w:lang w:val="en-AU" w:eastAsia="en-AU"/>
        </w:rPr>
        <w:t xml:space="preserve"> Request for Submissions (unless an organisations already has AusAID accreditation).</w:t>
      </w:r>
    </w:p>
    <w:p w:rsidR="0080739E" w:rsidRDefault="0080739E" w:rsidP="0080739E">
      <w:pPr>
        <w:pStyle w:val="Heading2"/>
        <w:numPr>
          <w:ilvl w:val="1"/>
          <w:numId w:val="1"/>
        </w:numPr>
        <w:rPr>
          <w:lang w:eastAsia="en-AU"/>
        </w:rPr>
      </w:pPr>
      <w:bookmarkStart w:id="26" w:name="_Toc353974439"/>
      <w:r w:rsidRPr="00BD04D2">
        <w:rPr>
          <w:lang w:eastAsia="en-AU"/>
        </w:rPr>
        <w:t>Project Design</w:t>
      </w:r>
      <w:bookmarkEnd w:id="26"/>
    </w:p>
    <w:p w:rsidR="00E0652C" w:rsidRDefault="00E0652C" w:rsidP="0080739E">
      <w:pPr>
        <w:rPr>
          <w:lang w:eastAsia="en-AU"/>
        </w:rPr>
      </w:pPr>
    </w:p>
    <w:p w:rsidR="0080739E" w:rsidRDefault="0080739E" w:rsidP="0080739E">
      <w:pPr>
        <w:rPr>
          <w:lang w:eastAsia="en-AU"/>
        </w:rPr>
      </w:pPr>
      <w:r>
        <w:rPr>
          <w:lang w:eastAsia="en-AU"/>
        </w:rPr>
        <w:t xml:space="preserve">The trigger for progressing to design will be the signing of the AusAID NGO </w:t>
      </w:r>
      <w:r w:rsidR="00C00229">
        <w:rPr>
          <w:lang w:eastAsia="en-AU"/>
        </w:rPr>
        <w:t xml:space="preserve">detailed </w:t>
      </w:r>
      <w:r w:rsidR="004B5680">
        <w:rPr>
          <w:lang w:eastAsia="en-AU"/>
        </w:rPr>
        <w:t>design agreement,</w:t>
      </w:r>
      <w:r>
        <w:rPr>
          <w:lang w:eastAsia="en-AU"/>
        </w:rPr>
        <w:t xml:space="preserve"> following selection through the </w:t>
      </w:r>
      <w:r w:rsidR="00F241AF">
        <w:rPr>
          <w:lang w:eastAsia="en-AU"/>
        </w:rPr>
        <w:t>Request for Submissions</w:t>
      </w:r>
      <w:r>
        <w:rPr>
          <w:lang w:eastAsia="en-AU"/>
        </w:rPr>
        <w:t xml:space="preserve"> process. During the </w:t>
      </w:r>
      <w:r w:rsidR="001F0FB2">
        <w:rPr>
          <w:lang w:eastAsia="en-AU"/>
        </w:rPr>
        <w:t>Detailed</w:t>
      </w:r>
      <w:r>
        <w:rPr>
          <w:lang w:eastAsia="en-AU"/>
        </w:rPr>
        <w:t xml:space="preserve"> Design Phase, each NGO will develop a full project design, building on their Concept Paper and integrating the project logic with the AACRS </w:t>
      </w:r>
      <w:r w:rsidR="000F2B1A">
        <w:rPr>
          <w:lang w:eastAsia="en-AU"/>
        </w:rPr>
        <w:t>T</w:t>
      </w:r>
      <w:r>
        <w:rPr>
          <w:lang w:eastAsia="en-AU"/>
        </w:rPr>
        <w:t xml:space="preserve">heory of </w:t>
      </w:r>
      <w:r w:rsidR="000F2B1A">
        <w:rPr>
          <w:lang w:eastAsia="en-AU"/>
        </w:rPr>
        <w:t>C</w:t>
      </w:r>
      <w:r>
        <w:rPr>
          <w:lang w:eastAsia="en-AU"/>
        </w:rPr>
        <w:t>hange</w:t>
      </w:r>
      <w:r w:rsidR="000F2B1A">
        <w:rPr>
          <w:lang w:eastAsia="en-AU"/>
        </w:rPr>
        <w:t>, with funding suppo</w:t>
      </w:r>
      <w:r w:rsidR="007F448D">
        <w:rPr>
          <w:lang w:eastAsia="en-AU"/>
        </w:rPr>
        <w:t>rt from AusAID to a maximum of AUD</w:t>
      </w:r>
      <w:r w:rsidR="000F2B1A">
        <w:rPr>
          <w:lang w:eastAsia="en-AU"/>
        </w:rPr>
        <w:t>50</w:t>
      </w:r>
      <w:proofErr w:type="gramStart"/>
      <w:r w:rsidR="000F2B1A">
        <w:rPr>
          <w:lang w:eastAsia="en-AU"/>
        </w:rPr>
        <w:t>,000</w:t>
      </w:r>
      <w:proofErr w:type="gramEnd"/>
      <w:r>
        <w:rPr>
          <w:lang w:eastAsia="en-AU"/>
        </w:rPr>
        <w:t>.</w:t>
      </w:r>
      <w:r w:rsidR="00A522F6">
        <w:rPr>
          <w:lang w:eastAsia="en-AU"/>
        </w:rPr>
        <w:t xml:space="preserve"> The partners will also work together to flesh out the partnership model for </w:t>
      </w:r>
      <w:r w:rsidR="00C00229">
        <w:rPr>
          <w:lang w:eastAsia="en-AU"/>
        </w:rPr>
        <w:t xml:space="preserve">the </w:t>
      </w:r>
      <w:r w:rsidR="00A522F6">
        <w:rPr>
          <w:lang w:eastAsia="en-AU"/>
        </w:rPr>
        <w:t>AACRS.</w:t>
      </w:r>
    </w:p>
    <w:p w:rsidR="0080739E" w:rsidRDefault="0080739E" w:rsidP="0080739E">
      <w:pPr>
        <w:rPr>
          <w:lang w:eastAsia="en-AU"/>
        </w:rPr>
      </w:pPr>
    </w:p>
    <w:p w:rsidR="002D66EB" w:rsidRDefault="002D66EB" w:rsidP="002D66EB">
      <w:pPr>
        <w:rPr>
          <w:lang w:eastAsia="en-AU"/>
        </w:rPr>
      </w:pPr>
      <w:r>
        <w:rPr>
          <w:lang w:eastAsia="en-AU"/>
        </w:rPr>
        <w:t xml:space="preserve">Learning from the experience of other AusAID programs, the design process will be collaborative and informative with the aim of producing high quality designs. Early in the </w:t>
      </w:r>
      <w:r w:rsidR="001F0FB2">
        <w:rPr>
          <w:lang w:eastAsia="en-AU"/>
        </w:rPr>
        <w:t xml:space="preserve">Detailed </w:t>
      </w:r>
      <w:r>
        <w:rPr>
          <w:lang w:eastAsia="en-AU"/>
        </w:rPr>
        <w:t xml:space="preserve">Design Phase, the NGOs and their local partners will attend a Partnership and Design Workshop. Cost of participation by one representative from the head office and one local partner will be met by the AACRS. Workshop facilitators will have design and M&amp;E expertise, and are likely to be drawn from the AACRS </w:t>
      </w:r>
      <w:r w:rsidR="007F78BE">
        <w:rPr>
          <w:lang w:eastAsia="en-AU"/>
        </w:rPr>
        <w:t>TRG</w:t>
      </w:r>
      <w:r>
        <w:rPr>
          <w:lang w:eastAsia="en-AU"/>
        </w:rPr>
        <w:t xml:space="preserve"> described in Section 7.4 below.</w:t>
      </w:r>
    </w:p>
    <w:p w:rsidR="002D66EB" w:rsidRDefault="002D66EB" w:rsidP="0080739E">
      <w:pPr>
        <w:rPr>
          <w:lang w:eastAsia="en-AU"/>
        </w:rPr>
      </w:pPr>
    </w:p>
    <w:p w:rsidR="002D66EB" w:rsidRDefault="00E0776D" w:rsidP="002D66EB">
      <w:pPr>
        <w:rPr>
          <w:lang w:eastAsia="en-AU"/>
        </w:rPr>
      </w:pPr>
      <w:r>
        <w:rPr>
          <w:lang w:eastAsia="en-AU"/>
        </w:rPr>
        <w:t>B</w:t>
      </w:r>
      <w:r w:rsidR="002D66EB">
        <w:rPr>
          <w:lang w:eastAsia="en-AU"/>
        </w:rPr>
        <w:t>efore the design workshop, the partners a partnership workshop will be held to jointly design the partnership approach which will support the delivery of AACRS. This part of the workshop will be facilitated by an accredited partnership broker, provided by AusAID. During these sessions, the partners will:</w:t>
      </w:r>
    </w:p>
    <w:p w:rsidR="002D66EB" w:rsidRDefault="002D66EB" w:rsidP="002D66EB">
      <w:pPr>
        <w:rPr>
          <w:lang w:eastAsia="en-AU"/>
        </w:rPr>
      </w:pPr>
    </w:p>
    <w:p w:rsidR="002D66EB" w:rsidRDefault="002D66EB" w:rsidP="002D66EB">
      <w:pPr>
        <w:pStyle w:val="ListParagraph"/>
        <w:numPr>
          <w:ilvl w:val="0"/>
          <w:numId w:val="16"/>
        </w:numPr>
        <w:rPr>
          <w:lang w:eastAsia="en-AU"/>
        </w:rPr>
      </w:pPr>
      <w:r>
        <w:rPr>
          <w:lang w:eastAsia="en-AU"/>
        </w:rPr>
        <w:t xml:space="preserve">share information about their organisations </w:t>
      </w:r>
    </w:p>
    <w:p w:rsidR="002D66EB" w:rsidRDefault="002D66EB" w:rsidP="002D66EB">
      <w:pPr>
        <w:pStyle w:val="ListParagraph"/>
        <w:numPr>
          <w:ilvl w:val="0"/>
          <w:numId w:val="16"/>
        </w:numPr>
        <w:rPr>
          <w:lang w:eastAsia="en-AU"/>
        </w:rPr>
      </w:pPr>
      <w:r>
        <w:rPr>
          <w:lang w:eastAsia="en-AU"/>
        </w:rPr>
        <w:t>outline their different expectations for the partnership</w:t>
      </w:r>
    </w:p>
    <w:p w:rsidR="002D66EB" w:rsidRDefault="002D66EB" w:rsidP="002D66EB">
      <w:pPr>
        <w:pStyle w:val="ListParagraph"/>
        <w:numPr>
          <w:ilvl w:val="0"/>
          <w:numId w:val="16"/>
        </w:numPr>
        <w:rPr>
          <w:lang w:eastAsia="en-AU"/>
        </w:rPr>
      </w:pPr>
      <w:r>
        <w:rPr>
          <w:lang w:eastAsia="en-AU"/>
        </w:rPr>
        <w:t>outline the drivers for their organisation to participate in AACRS, and the risks associated with that participation for their organisation</w:t>
      </w:r>
    </w:p>
    <w:p w:rsidR="002D66EB" w:rsidRDefault="002D66EB" w:rsidP="002D66EB">
      <w:pPr>
        <w:pStyle w:val="ListParagraph"/>
        <w:numPr>
          <w:ilvl w:val="0"/>
          <w:numId w:val="16"/>
        </w:numPr>
        <w:rPr>
          <w:lang w:eastAsia="en-AU"/>
        </w:rPr>
      </w:pPr>
      <w:r>
        <w:rPr>
          <w:lang w:eastAsia="en-AU"/>
        </w:rPr>
        <w:t>clarify the different objectives that each partner has for AACRS so that mutual benefit can be clearly understood</w:t>
      </w:r>
    </w:p>
    <w:p w:rsidR="002D66EB" w:rsidRDefault="002D66EB" w:rsidP="002D66EB">
      <w:pPr>
        <w:pStyle w:val="ListParagraph"/>
        <w:numPr>
          <w:ilvl w:val="0"/>
          <w:numId w:val="16"/>
        </w:numPr>
        <w:rPr>
          <w:lang w:eastAsia="en-AU"/>
        </w:rPr>
      </w:pPr>
      <w:r>
        <w:rPr>
          <w:lang w:eastAsia="en-AU"/>
        </w:rPr>
        <w:t>discuss how equity and transparency can be built in to the program through use of appropriate business processes</w:t>
      </w:r>
    </w:p>
    <w:p w:rsidR="002D66EB" w:rsidRDefault="002D66EB" w:rsidP="002D66EB">
      <w:pPr>
        <w:pStyle w:val="ListParagraph"/>
        <w:numPr>
          <w:ilvl w:val="0"/>
          <w:numId w:val="16"/>
        </w:numPr>
        <w:rPr>
          <w:lang w:eastAsia="en-AU"/>
        </w:rPr>
      </w:pPr>
      <w:r>
        <w:rPr>
          <w:lang w:eastAsia="en-AU"/>
        </w:rPr>
        <w:t>come to agreement on what those business processes should be</w:t>
      </w:r>
    </w:p>
    <w:p w:rsidR="002D66EB" w:rsidRDefault="002D66EB" w:rsidP="002D66EB">
      <w:pPr>
        <w:pStyle w:val="ListParagraph"/>
        <w:numPr>
          <w:ilvl w:val="0"/>
          <w:numId w:val="16"/>
        </w:numPr>
        <w:rPr>
          <w:lang w:eastAsia="en-AU"/>
        </w:rPr>
      </w:pPr>
      <w:r>
        <w:rPr>
          <w:lang w:eastAsia="en-AU"/>
        </w:rPr>
        <w:t>think carefully about communications on AACRS and design a communications protocol</w:t>
      </w:r>
    </w:p>
    <w:p w:rsidR="002D66EB" w:rsidRDefault="002D66EB" w:rsidP="002D66EB">
      <w:pPr>
        <w:pStyle w:val="ListParagraph"/>
        <w:numPr>
          <w:ilvl w:val="0"/>
          <w:numId w:val="16"/>
        </w:numPr>
        <w:rPr>
          <w:lang w:eastAsia="en-AU"/>
        </w:rPr>
      </w:pPr>
      <w:r>
        <w:rPr>
          <w:lang w:eastAsia="en-AU"/>
        </w:rPr>
        <w:lastRenderedPageBreak/>
        <w:t>design mutual accountability measures</w:t>
      </w:r>
    </w:p>
    <w:p w:rsidR="002D66EB" w:rsidRDefault="002D66EB" w:rsidP="002D66EB">
      <w:pPr>
        <w:pStyle w:val="ListParagraph"/>
        <w:numPr>
          <w:ilvl w:val="0"/>
          <w:numId w:val="16"/>
        </w:numPr>
        <w:rPr>
          <w:lang w:eastAsia="en-AU"/>
        </w:rPr>
      </w:pPr>
      <w:proofErr w:type="gramStart"/>
      <w:r>
        <w:rPr>
          <w:lang w:eastAsia="en-AU"/>
        </w:rPr>
        <w:t>draft</w:t>
      </w:r>
      <w:proofErr w:type="gramEnd"/>
      <w:r>
        <w:rPr>
          <w:lang w:eastAsia="en-AU"/>
        </w:rPr>
        <w:t xml:space="preserve"> one or more Partnership Agreements within the group which will capture all the information discussed in the dot points above, and codify expectations for behavior and relationship management within AACRS.</w:t>
      </w:r>
    </w:p>
    <w:p w:rsidR="002D66EB" w:rsidRDefault="002D66EB" w:rsidP="0080739E">
      <w:pPr>
        <w:rPr>
          <w:lang w:eastAsia="en-AU"/>
        </w:rPr>
      </w:pPr>
    </w:p>
    <w:p w:rsidR="002D66EB" w:rsidRDefault="002D66EB" w:rsidP="002D66EB">
      <w:r>
        <w:t xml:space="preserve">AACRS relies on cooperation between a </w:t>
      </w:r>
      <w:proofErr w:type="gramStart"/>
      <w:r>
        <w:t>number</w:t>
      </w:r>
      <w:proofErr w:type="gramEnd"/>
      <w:r>
        <w:t xml:space="preserve"> of different partners, located on different continents, for effective delivery of the program. In such a situation, it is vital that as much work as possible is done at the front end of the program to build mutual understanding and clarify expectations and risks. This will forestall confusion and misunderstanding in later years, and will encourage a trust-based relationship.</w:t>
      </w:r>
    </w:p>
    <w:p w:rsidR="0080739E" w:rsidRDefault="0080739E" w:rsidP="0080739E">
      <w:pPr>
        <w:rPr>
          <w:lang w:eastAsia="en-AU"/>
        </w:rPr>
      </w:pPr>
    </w:p>
    <w:p w:rsidR="0080739E" w:rsidRDefault="002D66EB" w:rsidP="0080739E">
      <w:pPr>
        <w:rPr>
          <w:lang w:eastAsia="en-AU"/>
        </w:rPr>
      </w:pPr>
      <w:r>
        <w:rPr>
          <w:lang w:eastAsia="en-AU"/>
        </w:rPr>
        <w:t>Immediately following the Partnership Workshop, partners will move to t</w:t>
      </w:r>
      <w:r w:rsidR="0080739E">
        <w:rPr>
          <w:lang w:eastAsia="en-AU"/>
        </w:rPr>
        <w:t>he Design Workshop</w:t>
      </w:r>
      <w:r>
        <w:rPr>
          <w:lang w:eastAsia="en-AU"/>
        </w:rPr>
        <w:t>. This</w:t>
      </w:r>
      <w:r w:rsidR="0080739E">
        <w:rPr>
          <w:lang w:eastAsia="en-AU"/>
        </w:rPr>
        <w:t xml:space="preserve"> intended to be an information sharing opportunity which sets the scene for the detailed design work. The facilitators will run sessions on the essential ingredients for good design to ensure that all groups are working to the same parameters and values. Workshop topics are likely to include: </w:t>
      </w:r>
    </w:p>
    <w:p w:rsidR="0080739E" w:rsidRDefault="0080739E" w:rsidP="0080739E">
      <w:pPr>
        <w:rPr>
          <w:lang w:eastAsia="en-AU"/>
        </w:rPr>
      </w:pPr>
    </w:p>
    <w:p w:rsidR="0080739E" w:rsidRDefault="0080739E" w:rsidP="008C14ED">
      <w:pPr>
        <w:pStyle w:val="ListParagraph"/>
        <w:numPr>
          <w:ilvl w:val="0"/>
          <w:numId w:val="16"/>
        </w:numPr>
        <w:rPr>
          <w:lang w:eastAsia="en-AU"/>
        </w:rPr>
      </w:pPr>
      <w:r>
        <w:rPr>
          <w:lang w:eastAsia="en-AU"/>
        </w:rPr>
        <w:t>a briefing</w:t>
      </w:r>
      <w:r w:rsidR="00870630">
        <w:rPr>
          <w:lang w:eastAsia="en-AU"/>
        </w:rPr>
        <w:t xml:space="preserve"> on the design intent of AACRS</w:t>
      </w:r>
    </w:p>
    <w:p w:rsidR="0080739E" w:rsidRDefault="0080739E" w:rsidP="008C14ED">
      <w:pPr>
        <w:pStyle w:val="ListParagraph"/>
        <w:numPr>
          <w:ilvl w:val="0"/>
          <w:numId w:val="16"/>
        </w:numPr>
        <w:rPr>
          <w:lang w:eastAsia="en-AU"/>
        </w:rPr>
      </w:pPr>
      <w:r>
        <w:rPr>
          <w:lang w:eastAsia="en-AU"/>
        </w:rPr>
        <w:t>roles and expectations of</w:t>
      </w:r>
      <w:r w:rsidR="00870630">
        <w:rPr>
          <w:lang w:eastAsia="en-AU"/>
        </w:rPr>
        <w:t xml:space="preserve"> the various AACRS stakeholders</w:t>
      </w:r>
    </w:p>
    <w:p w:rsidR="0080739E" w:rsidRDefault="00870630" w:rsidP="008C14ED">
      <w:pPr>
        <w:pStyle w:val="ListParagraph"/>
        <w:numPr>
          <w:ilvl w:val="0"/>
          <w:numId w:val="16"/>
        </w:numPr>
        <w:rPr>
          <w:lang w:eastAsia="en-AU"/>
        </w:rPr>
      </w:pPr>
      <w:r>
        <w:rPr>
          <w:lang w:eastAsia="en-AU"/>
        </w:rPr>
        <w:t>effective project design</w:t>
      </w:r>
    </w:p>
    <w:p w:rsidR="00A42CC7" w:rsidRDefault="00A42CC7" w:rsidP="008C14ED">
      <w:pPr>
        <w:pStyle w:val="ListParagraph"/>
        <w:numPr>
          <w:ilvl w:val="0"/>
          <w:numId w:val="16"/>
        </w:numPr>
        <w:rPr>
          <w:lang w:eastAsia="en-AU"/>
        </w:rPr>
      </w:pPr>
      <w:r>
        <w:rPr>
          <w:lang w:eastAsia="en-AU"/>
        </w:rPr>
        <w:t>development of a capacity development framework</w:t>
      </w:r>
    </w:p>
    <w:p w:rsidR="0080739E" w:rsidRDefault="00870630" w:rsidP="008C14ED">
      <w:pPr>
        <w:pStyle w:val="ListParagraph"/>
        <w:numPr>
          <w:ilvl w:val="0"/>
          <w:numId w:val="16"/>
        </w:numPr>
        <w:rPr>
          <w:lang w:eastAsia="en-AU"/>
        </w:rPr>
      </w:pPr>
      <w:r>
        <w:rPr>
          <w:lang w:eastAsia="en-AU"/>
        </w:rPr>
        <w:t>strengths based approach</w:t>
      </w:r>
      <w:r w:rsidR="0080739E">
        <w:rPr>
          <w:lang w:eastAsia="en-AU"/>
        </w:rPr>
        <w:t xml:space="preserve"> </w:t>
      </w:r>
    </w:p>
    <w:p w:rsidR="0080739E" w:rsidRDefault="00870630" w:rsidP="008C14ED">
      <w:pPr>
        <w:pStyle w:val="ListParagraph"/>
        <w:numPr>
          <w:ilvl w:val="0"/>
          <w:numId w:val="16"/>
        </w:numPr>
        <w:rPr>
          <w:lang w:eastAsia="en-AU"/>
        </w:rPr>
      </w:pPr>
      <w:r>
        <w:rPr>
          <w:lang w:eastAsia="en-AU"/>
        </w:rPr>
        <w:t>disability inclusion</w:t>
      </w:r>
      <w:r w:rsidR="0080739E">
        <w:rPr>
          <w:lang w:eastAsia="en-AU"/>
        </w:rPr>
        <w:t xml:space="preserve"> </w:t>
      </w:r>
    </w:p>
    <w:p w:rsidR="0080739E" w:rsidRDefault="0080739E" w:rsidP="008C14ED">
      <w:pPr>
        <w:pStyle w:val="ListParagraph"/>
        <w:numPr>
          <w:ilvl w:val="0"/>
          <w:numId w:val="16"/>
        </w:numPr>
        <w:rPr>
          <w:lang w:eastAsia="en-AU"/>
        </w:rPr>
      </w:pPr>
      <w:r>
        <w:rPr>
          <w:lang w:eastAsia="en-AU"/>
        </w:rPr>
        <w:t xml:space="preserve">steps towards gender equality and women’s </w:t>
      </w:r>
      <w:r w:rsidR="00870630">
        <w:rPr>
          <w:lang w:eastAsia="en-AU"/>
        </w:rPr>
        <w:t>empowerment</w:t>
      </w:r>
      <w:r>
        <w:rPr>
          <w:lang w:eastAsia="en-AU"/>
        </w:rPr>
        <w:t xml:space="preserve"> </w:t>
      </w:r>
    </w:p>
    <w:p w:rsidR="0080739E" w:rsidRDefault="0080739E" w:rsidP="008C14ED">
      <w:pPr>
        <w:pStyle w:val="ListParagraph"/>
        <w:numPr>
          <w:ilvl w:val="0"/>
          <w:numId w:val="16"/>
        </w:numPr>
        <w:rPr>
          <w:lang w:eastAsia="en-AU"/>
        </w:rPr>
      </w:pPr>
      <w:r>
        <w:rPr>
          <w:lang w:eastAsia="en-AU"/>
        </w:rPr>
        <w:t xml:space="preserve">working in fragile states </w:t>
      </w:r>
      <w:r w:rsidR="00A25036">
        <w:rPr>
          <w:lang w:eastAsia="en-AU"/>
        </w:rPr>
        <w:t>–</w:t>
      </w:r>
      <w:r w:rsidR="00870630">
        <w:rPr>
          <w:lang w:eastAsia="en-AU"/>
        </w:rPr>
        <w:t xml:space="preserve"> “do no harm”</w:t>
      </w:r>
      <w:r>
        <w:rPr>
          <w:lang w:eastAsia="en-AU"/>
        </w:rPr>
        <w:t xml:space="preserve"> </w:t>
      </w:r>
    </w:p>
    <w:p w:rsidR="0080739E" w:rsidRDefault="0080739E" w:rsidP="008C14ED">
      <w:pPr>
        <w:pStyle w:val="ListParagraph"/>
        <w:numPr>
          <w:ilvl w:val="0"/>
          <w:numId w:val="16"/>
        </w:numPr>
        <w:rPr>
          <w:lang w:eastAsia="en-AU"/>
        </w:rPr>
      </w:pPr>
      <w:r>
        <w:rPr>
          <w:lang w:eastAsia="en-AU"/>
        </w:rPr>
        <w:t>financial transpa</w:t>
      </w:r>
      <w:r w:rsidR="00870630">
        <w:rPr>
          <w:lang w:eastAsia="en-AU"/>
        </w:rPr>
        <w:t>rency and countering corruption</w:t>
      </w:r>
      <w:r>
        <w:rPr>
          <w:lang w:eastAsia="en-AU"/>
        </w:rPr>
        <w:t xml:space="preserve"> </w:t>
      </w:r>
    </w:p>
    <w:p w:rsidR="0080739E" w:rsidRDefault="0080739E" w:rsidP="008C14ED">
      <w:pPr>
        <w:pStyle w:val="ListParagraph"/>
        <w:numPr>
          <w:ilvl w:val="0"/>
          <w:numId w:val="16"/>
        </w:numPr>
        <w:rPr>
          <w:lang w:eastAsia="en-AU"/>
        </w:rPr>
      </w:pPr>
      <w:r>
        <w:rPr>
          <w:lang w:eastAsia="en-AU"/>
        </w:rPr>
        <w:t>the AACRS program</w:t>
      </w:r>
      <w:r w:rsidR="00870630">
        <w:rPr>
          <w:lang w:eastAsia="en-AU"/>
        </w:rPr>
        <w:t xml:space="preserve"> logic and theory of change</w:t>
      </w:r>
      <w:r>
        <w:rPr>
          <w:lang w:eastAsia="en-AU"/>
        </w:rPr>
        <w:t xml:space="preserve"> </w:t>
      </w:r>
    </w:p>
    <w:p w:rsidR="004D5AD4" w:rsidRDefault="0080739E" w:rsidP="004D5AD4">
      <w:pPr>
        <w:pStyle w:val="ListParagraph"/>
        <w:numPr>
          <w:ilvl w:val="0"/>
          <w:numId w:val="16"/>
        </w:numPr>
        <w:rPr>
          <w:lang w:eastAsia="en-AU"/>
        </w:rPr>
      </w:pPr>
      <w:r>
        <w:rPr>
          <w:lang w:eastAsia="en-AU"/>
        </w:rPr>
        <w:t>M&amp;E at project and program levels</w:t>
      </w:r>
    </w:p>
    <w:p w:rsidR="0080739E" w:rsidRDefault="004D5AD4" w:rsidP="004D5AD4">
      <w:pPr>
        <w:pStyle w:val="ListParagraph"/>
        <w:numPr>
          <w:ilvl w:val="0"/>
          <w:numId w:val="16"/>
        </w:numPr>
        <w:rPr>
          <w:lang w:eastAsia="en-AU"/>
        </w:rPr>
      </w:pPr>
      <w:proofErr w:type="gramStart"/>
      <w:r>
        <w:rPr>
          <w:lang w:eastAsia="en-AU"/>
        </w:rPr>
        <w:t>risk</w:t>
      </w:r>
      <w:proofErr w:type="gramEnd"/>
      <w:r>
        <w:rPr>
          <w:lang w:eastAsia="en-AU"/>
        </w:rPr>
        <w:t xml:space="preserve"> management.</w:t>
      </w:r>
    </w:p>
    <w:p w:rsidR="0080739E" w:rsidRDefault="0080739E" w:rsidP="0080739E">
      <w:pPr>
        <w:rPr>
          <w:lang w:eastAsia="en-AU"/>
        </w:rPr>
      </w:pPr>
    </w:p>
    <w:p w:rsidR="0080739E" w:rsidRDefault="0080739E" w:rsidP="0080739E">
      <w:pPr>
        <w:rPr>
          <w:lang w:eastAsia="en-AU"/>
        </w:rPr>
      </w:pPr>
      <w:r>
        <w:rPr>
          <w:lang w:eastAsia="en-AU"/>
        </w:rPr>
        <w:t xml:space="preserve">This is not an exhaustive list but intended to explain why it will be important to bring all NGO partners together. During these sessions, the NGO representatives will be encouraged to share examples of good practice and lessons learned from their experience in Afghanistan to date to create a pattern of mutual learning. The Workshop will also </w:t>
      </w:r>
      <w:r w:rsidR="0027480C">
        <w:rPr>
          <w:lang w:eastAsia="en-AU"/>
        </w:rPr>
        <w:t xml:space="preserve">be an </w:t>
      </w:r>
      <w:r>
        <w:rPr>
          <w:lang w:eastAsia="en-AU"/>
        </w:rPr>
        <w:t>opportunity to establish a timetable for the design process so that the “next steps” are agreed and deadlines are clear.</w:t>
      </w:r>
    </w:p>
    <w:p w:rsidR="0080739E" w:rsidRDefault="0080739E" w:rsidP="0080739E">
      <w:pPr>
        <w:rPr>
          <w:lang w:eastAsia="en-AU"/>
        </w:rPr>
      </w:pPr>
    </w:p>
    <w:p w:rsidR="0080739E" w:rsidRDefault="0080739E" w:rsidP="0080739E">
      <w:pPr>
        <w:rPr>
          <w:lang w:eastAsia="en-AU"/>
        </w:rPr>
      </w:pPr>
      <w:r>
        <w:rPr>
          <w:lang w:eastAsia="en-AU"/>
        </w:rPr>
        <w:t>Each NGO group would then develop its own detailed design</w:t>
      </w:r>
      <w:r w:rsidR="004D5AD4">
        <w:rPr>
          <w:lang w:eastAsia="en-AU"/>
        </w:rPr>
        <w:t>, based on a consistent</w:t>
      </w:r>
      <w:r w:rsidR="004D5AD4">
        <w:t xml:space="preserve"> format agreed in the Design Workshop</w:t>
      </w:r>
      <w:r>
        <w:rPr>
          <w:lang w:eastAsia="en-AU"/>
        </w:rPr>
        <w:t xml:space="preserve">. The TRG members would be available to the NGOs for specialist advice during the design period, with access via email or </w:t>
      </w:r>
      <w:r w:rsidR="0027480C">
        <w:rPr>
          <w:lang w:eastAsia="en-AU"/>
        </w:rPr>
        <w:t>phone</w:t>
      </w:r>
      <w:r w:rsidR="00CE1010">
        <w:rPr>
          <w:lang w:eastAsia="en-AU"/>
        </w:rPr>
        <w:t>, at AusAID’s discretion</w:t>
      </w:r>
      <w:r>
        <w:rPr>
          <w:lang w:eastAsia="en-AU"/>
        </w:rPr>
        <w:t>. In addition, they will review draft designs, with a particular focus on the project theory of change. This review is designed to be supportive, not judgmental. This is part of the AACRS’ partnership approach where all parties are working together to deliver the best outcomes to project beneficiaries. Having this input should assist project designs to be high quality, enabling the approval process to be straightforward and timely.</w:t>
      </w:r>
    </w:p>
    <w:p w:rsidR="0080739E" w:rsidRDefault="0080739E" w:rsidP="0080739E">
      <w:pPr>
        <w:rPr>
          <w:lang w:eastAsia="en-AU"/>
        </w:rPr>
      </w:pPr>
    </w:p>
    <w:p w:rsidR="0080739E" w:rsidRDefault="0080739E" w:rsidP="00A522F6">
      <w:pPr>
        <w:rPr>
          <w:lang w:eastAsia="en-AU"/>
        </w:rPr>
      </w:pPr>
      <w:r>
        <w:rPr>
          <w:lang w:eastAsia="en-AU"/>
        </w:rPr>
        <w:t xml:space="preserve">AusAID will apply appraisal and approval processes </w:t>
      </w:r>
      <w:r w:rsidR="007F448D">
        <w:rPr>
          <w:lang w:eastAsia="en-AU"/>
        </w:rPr>
        <w:t>appropriate for projects over AUD</w:t>
      </w:r>
      <w:r>
        <w:rPr>
          <w:lang w:eastAsia="en-AU"/>
        </w:rPr>
        <w:t>3</w:t>
      </w:r>
      <w:r w:rsidR="0027480C">
        <w:rPr>
          <w:lang w:eastAsia="en-AU"/>
        </w:rPr>
        <w:t> </w:t>
      </w:r>
      <w:r>
        <w:rPr>
          <w:lang w:eastAsia="en-AU"/>
        </w:rPr>
        <w:t>mill</w:t>
      </w:r>
      <w:r w:rsidR="00734250">
        <w:rPr>
          <w:lang w:eastAsia="en-AU"/>
        </w:rPr>
        <w:t>ion to each of the NGO designs.</w:t>
      </w:r>
      <w:r>
        <w:rPr>
          <w:lang w:eastAsia="en-AU"/>
        </w:rPr>
        <w:t xml:space="preserve"> </w:t>
      </w:r>
    </w:p>
    <w:p w:rsidR="0027480C" w:rsidRDefault="0027480C" w:rsidP="00EA41A5">
      <w:pPr>
        <w:pStyle w:val="Heading2"/>
        <w:numPr>
          <w:ilvl w:val="1"/>
          <w:numId w:val="1"/>
        </w:numPr>
        <w:rPr>
          <w:lang w:eastAsia="en-AU"/>
        </w:rPr>
      </w:pPr>
      <w:bookmarkStart w:id="27" w:name="_Toc353974440"/>
      <w:r>
        <w:rPr>
          <w:lang w:eastAsia="en-AU"/>
        </w:rPr>
        <w:lastRenderedPageBreak/>
        <w:t>Innovations Fund</w:t>
      </w:r>
      <w:bookmarkEnd w:id="27"/>
    </w:p>
    <w:p w:rsidR="0027480C" w:rsidRPr="002B07B1" w:rsidRDefault="0027480C" w:rsidP="0027480C">
      <w:pPr>
        <w:rPr>
          <w:lang w:eastAsia="en-AU"/>
        </w:rPr>
      </w:pPr>
    </w:p>
    <w:p w:rsidR="0027480C" w:rsidRDefault="0027480C" w:rsidP="0027480C">
      <w:pPr>
        <w:rPr>
          <w:lang w:eastAsia="en-AU"/>
        </w:rPr>
      </w:pPr>
      <w:r>
        <w:rPr>
          <w:lang w:eastAsia="en-AU"/>
        </w:rPr>
        <w:t>The Pro</w:t>
      </w:r>
      <w:r w:rsidR="007F448D">
        <w:rPr>
          <w:lang w:eastAsia="en-AU"/>
        </w:rPr>
        <w:t>gram includes an allocation of AUD</w:t>
      </w:r>
      <w:r>
        <w:rPr>
          <w:lang w:eastAsia="en-AU"/>
        </w:rPr>
        <w:t>500</w:t>
      </w:r>
      <w:proofErr w:type="gramStart"/>
      <w:r>
        <w:rPr>
          <w:lang w:eastAsia="en-AU"/>
        </w:rPr>
        <w:t>,000</w:t>
      </w:r>
      <w:proofErr w:type="gramEnd"/>
      <w:r>
        <w:rPr>
          <w:lang w:eastAsia="en-AU"/>
        </w:rPr>
        <w:t xml:space="preserve"> for an Innovations Fund, which is budgeted to be available from the beginning of </w:t>
      </w:r>
      <w:r w:rsidR="00B96AA4">
        <w:rPr>
          <w:lang w:eastAsia="en-AU"/>
        </w:rPr>
        <w:t xml:space="preserve">Year 3. </w:t>
      </w:r>
      <w:r>
        <w:rPr>
          <w:lang w:eastAsia="en-AU"/>
        </w:rPr>
        <w:t xml:space="preserve">This reflects good practice and experience from similar </w:t>
      </w:r>
      <w:r w:rsidR="003F7392">
        <w:rPr>
          <w:lang w:eastAsia="en-AU"/>
        </w:rPr>
        <w:t xml:space="preserve">AusAID </w:t>
      </w:r>
      <w:r>
        <w:rPr>
          <w:lang w:eastAsia="en-AU"/>
        </w:rPr>
        <w:t>programs</w:t>
      </w:r>
      <w:r w:rsidR="003F7392">
        <w:rPr>
          <w:lang w:eastAsia="en-AU"/>
        </w:rPr>
        <w:t xml:space="preserve"> (such as ACCES)</w:t>
      </w:r>
      <w:r>
        <w:rPr>
          <w:lang w:eastAsia="en-AU"/>
        </w:rPr>
        <w:t>, where the opportunity to access additional funds, once implementation is well-underway and partners and locations are better understood, has been highly valued</w:t>
      </w:r>
      <w:r w:rsidR="0045168E">
        <w:rPr>
          <w:lang w:eastAsia="en-AU"/>
        </w:rPr>
        <w:t xml:space="preserve">. </w:t>
      </w:r>
    </w:p>
    <w:p w:rsidR="0027480C" w:rsidRDefault="0027480C" w:rsidP="0027480C">
      <w:pPr>
        <w:rPr>
          <w:lang w:eastAsia="en-AU"/>
        </w:rPr>
      </w:pPr>
    </w:p>
    <w:p w:rsidR="004F088A" w:rsidRDefault="0027480C" w:rsidP="0027480C">
      <w:pPr>
        <w:rPr>
          <w:lang w:eastAsia="en-AU"/>
        </w:rPr>
      </w:pPr>
      <w:r>
        <w:rPr>
          <w:lang w:eastAsia="en-AU"/>
        </w:rPr>
        <w:t>The TORs for the Mid-Term Review</w:t>
      </w:r>
      <w:r w:rsidR="00DE5A54">
        <w:rPr>
          <w:lang w:eastAsia="en-AU"/>
        </w:rPr>
        <w:t xml:space="preserve"> (MTR)</w:t>
      </w:r>
      <w:r>
        <w:rPr>
          <w:lang w:eastAsia="en-AU"/>
        </w:rPr>
        <w:t xml:space="preserve"> of AACRS will include a reference to the Innovations Fund, seeking suggestions from the Review Team about how best to use the Fund, based on experien</w:t>
      </w:r>
      <w:r w:rsidR="00C054F8">
        <w:rPr>
          <w:lang w:eastAsia="en-AU"/>
        </w:rPr>
        <w:t xml:space="preserve">ce in Years 1 and 2. </w:t>
      </w:r>
      <w:r>
        <w:rPr>
          <w:lang w:eastAsia="en-AU"/>
        </w:rPr>
        <w:t>At this early stage, the intention is that proposals would be sought from each of the participating NGOs if they wished to respond to emerging priorities, to undertake new/complementary activities that were not foreseen in Project Designs, to extend successful activities to new locations or to include new target groups</w:t>
      </w:r>
      <w:r w:rsidR="00C054F8">
        <w:rPr>
          <w:lang w:eastAsia="en-AU"/>
        </w:rPr>
        <w:t>.</w:t>
      </w:r>
      <w:r>
        <w:rPr>
          <w:lang w:eastAsia="en-AU"/>
        </w:rPr>
        <w:t xml:space="preserve"> </w:t>
      </w:r>
    </w:p>
    <w:p w:rsidR="004F088A" w:rsidRDefault="004F088A" w:rsidP="0027480C">
      <w:pPr>
        <w:rPr>
          <w:lang w:eastAsia="en-AU"/>
        </w:rPr>
      </w:pPr>
    </w:p>
    <w:p w:rsidR="0027480C" w:rsidRDefault="00E5367B" w:rsidP="0027480C">
      <w:pPr>
        <w:rPr>
          <w:lang w:eastAsia="en-AU"/>
        </w:rPr>
      </w:pPr>
      <w:r>
        <w:rPr>
          <w:lang w:eastAsia="en-AU"/>
        </w:rPr>
        <w:t xml:space="preserve">However, the Scheme Governance Committee may propose the </w:t>
      </w:r>
      <w:r w:rsidR="00BA6977">
        <w:rPr>
          <w:lang w:eastAsia="en-AU"/>
        </w:rPr>
        <w:t>Innovations Fund</w:t>
      </w:r>
      <w:r>
        <w:rPr>
          <w:lang w:eastAsia="en-AU"/>
        </w:rPr>
        <w:t xml:space="preserve"> be used</w:t>
      </w:r>
      <w:r w:rsidR="00DE5A54">
        <w:rPr>
          <w:lang w:eastAsia="en-AU"/>
        </w:rPr>
        <w:t xml:space="preserve"> for a project </w:t>
      </w:r>
      <w:r w:rsidR="00BA6977">
        <w:rPr>
          <w:lang w:eastAsia="en-AU"/>
        </w:rPr>
        <w:t xml:space="preserve">delivered by an individual or organisation other than those within the AACRS </w:t>
      </w:r>
      <w:r w:rsidR="004F088A">
        <w:rPr>
          <w:lang w:eastAsia="en-AU"/>
        </w:rPr>
        <w:t>–</w:t>
      </w:r>
      <w:r w:rsidR="00BA6977">
        <w:rPr>
          <w:lang w:eastAsia="en-AU"/>
        </w:rPr>
        <w:t xml:space="preserve"> for example,</w:t>
      </w:r>
      <w:r>
        <w:rPr>
          <w:lang w:eastAsia="en-AU"/>
        </w:rPr>
        <w:t xml:space="preserve"> to contract research on an area relevant to the </w:t>
      </w:r>
      <w:r w:rsidR="00BA6977">
        <w:rPr>
          <w:lang w:eastAsia="en-AU"/>
        </w:rPr>
        <w:t>AACRS</w:t>
      </w:r>
      <w:r>
        <w:rPr>
          <w:lang w:eastAsia="en-AU"/>
        </w:rPr>
        <w:t xml:space="preserve">. </w:t>
      </w:r>
      <w:r w:rsidR="0027480C">
        <w:rPr>
          <w:lang w:eastAsia="en-AU"/>
        </w:rPr>
        <w:t>It is envisaged that the MTR Team will suggest specific criteria and processes relating to the allocation of funds</w:t>
      </w:r>
      <w:r w:rsidR="00987B48">
        <w:rPr>
          <w:lang w:eastAsia="en-AU"/>
        </w:rPr>
        <w:t xml:space="preserve"> and AusAID will </w:t>
      </w:r>
      <w:r w:rsidR="00734250">
        <w:rPr>
          <w:lang w:eastAsia="en-AU"/>
        </w:rPr>
        <w:t>decide</w:t>
      </w:r>
      <w:r w:rsidR="00987B48">
        <w:rPr>
          <w:lang w:eastAsia="en-AU"/>
        </w:rPr>
        <w:t xml:space="preserve"> </w:t>
      </w:r>
      <w:r w:rsidR="0027480C">
        <w:rPr>
          <w:lang w:eastAsia="en-AU"/>
        </w:rPr>
        <w:t xml:space="preserve">funding allocations, </w:t>
      </w:r>
      <w:r w:rsidR="00B96AA4">
        <w:rPr>
          <w:lang w:eastAsia="en-AU"/>
        </w:rPr>
        <w:t xml:space="preserve">with advice from the </w:t>
      </w:r>
      <w:r w:rsidR="00870630">
        <w:rPr>
          <w:lang w:eastAsia="en-AU"/>
        </w:rPr>
        <w:t>Scheme Governance C</w:t>
      </w:r>
      <w:r w:rsidR="00C4578B">
        <w:rPr>
          <w:lang w:eastAsia="en-AU"/>
        </w:rPr>
        <w:t>ommittee (discussed in Section 9</w:t>
      </w:r>
      <w:r w:rsidR="00870630">
        <w:rPr>
          <w:lang w:eastAsia="en-AU"/>
        </w:rPr>
        <w:t>)</w:t>
      </w:r>
      <w:r w:rsidR="0027480C">
        <w:rPr>
          <w:lang w:eastAsia="en-AU"/>
        </w:rPr>
        <w:t>.</w:t>
      </w:r>
      <w:r>
        <w:rPr>
          <w:lang w:eastAsia="en-AU"/>
        </w:rPr>
        <w:t xml:space="preserve"> </w:t>
      </w:r>
      <w:r w:rsidR="00BA6977">
        <w:rPr>
          <w:lang w:eastAsia="en-AU"/>
        </w:rPr>
        <w:t>I</w:t>
      </w:r>
      <w:r>
        <w:rPr>
          <w:lang w:eastAsia="en-AU"/>
        </w:rPr>
        <w:t xml:space="preserve">t </w:t>
      </w:r>
      <w:r w:rsidR="00BA6977">
        <w:rPr>
          <w:lang w:eastAsia="en-AU"/>
        </w:rPr>
        <w:t>should</w:t>
      </w:r>
      <w:r>
        <w:rPr>
          <w:lang w:eastAsia="en-AU"/>
        </w:rPr>
        <w:t xml:space="preserve"> not </w:t>
      </w:r>
      <w:r w:rsidR="00BA6977">
        <w:rPr>
          <w:lang w:eastAsia="en-AU"/>
        </w:rPr>
        <w:t xml:space="preserve">be </w:t>
      </w:r>
      <w:r>
        <w:rPr>
          <w:lang w:eastAsia="en-AU"/>
        </w:rPr>
        <w:t>assumed the Innovations Fund will be divided evenly between each NGO</w:t>
      </w:r>
      <w:r w:rsidR="004F088A">
        <w:rPr>
          <w:lang w:eastAsia="en-AU"/>
        </w:rPr>
        <w:t xml:space="preserve"> – it is not guaranteed funding, rather, it is intended to support new and complementary activities.</w:t>
      </w:r>
      <w:r w:rsidR="0027480C">
        <w:rPr>
          <w:lang w:eastAsia="en-AU"/>
        </w:rPr>
        <w:t xml:space="preserve"> </w:t>
      </w:r>
    </w:p>
    <w:p w:rsidR="0080739E" w:rsidRDefault="0080739E" w:rsidP="0080739E">
      <w:pPr>
        <w:pStyle w:val="Heading1"/>
        <w:numPr>
          <w:ilvl w:val="0"/>
          <w:numId w:val="1"/>
        </w:numPr>
      </w:pPr>
      <w:bookmarkStart w:id="28" w:name="_Toc353974441"/>
      <w:r>
        <w:t>Cross-Cutting Issues</w:t>
      </w:r>
      <w:bookmarkEnd w:id="28"/>
    </w:p>
    <w:p w:rsidR="0080739E" w:rsidRPr="00F87153" w:rsidRDefault="0080739E" w:rsidP="0080739E">
      <w:pPr>
        <w:pStyle w:val="Heading2"/>
        <w:numPr>
          <w:ilvl w:val="1"/>
          <w:numId w:val="1"/>
        </w:numPr>
        <w:rPr>
          <w:lang w:eastAsia="en-AU"/>
        </w:rPr>
      </w:pPr>
      <w:bookmarkStart w:id="29" w:name="_Toc353974442"/>
      <w:r w:rsidRPr="00F87153">
        <w:rPr>
          <w:lang w:eastAsia="en-AU"/>
        </w:rPr>
        <w:t>Gender Equality</w:t>
      </w:r>
      <w:bookmarkEnd w:id="29"/>
    </w:p>
    <w:p w:rsidR="00E0652C" w:rsidRDefault="00E0652C" w:rsidP="0080739E">
      <w:pPr>
        <w:rPr>
          <w:lang w:eastAsia="en-AU"/>
        </w:rPr>
      </w:pPr>
    </w:p>
    <w:p w:rsidR="0080739E" w:rsidRDefault="0080739E" w:rsidP="0080739E">
      <w:pPr>
        <w:rPr>
          <w:lang w:eastAsia="en-AU"/>
        </w:rPr>
      </w:pPr>
      <w:r w:rsidRPr="00897BB5">
        <w:rPr>
          <w:lang w:eastAsia="en-AU"/>
        </w:rPr>
        <w:t>Afghanistan ranks 141 out of 146 countries on the gender inequality index</w:t>
      </w:r>
      <w:r>
        <w:rPr>
          <w:lang w:eastAsia="en-AU"/>
        </w:rPr>
        <w:t>.</w:t>
      </w:r>
      <w:r>
        <w:rPr>
          <w:rStyle w:val="FootnoteReference"/>
          <w:lang w:eastAsia="en-AU"/>
        </w:rPr>
        <w:footnoteReference w:id="41"/>
      </w:r>
      <w:r>
        <w:rPr>
          <w:lang w:eastAsia="en-AU"/>
        </w:rPr>
        <w:t xml:space="preserve"> During Taliban rule, policies and practices marginalised women and girls and violated human rights. Women were unable to work outside the home and girls were unable to attend school. </w:t>
      </w:r>
      <w:r w:rsidR="00C4578B">
        <w:rPr>
          <w:lang w:eastAsia="en-AU"/>
        </w:rPr>
        <w:t>T</w:t>
      </w:r>
      <w:r>
        <w:rPr>
          <w:lang w:eastAsia="en-AU"/>
        </w:rPr>
        <w:t xml:space="preserve">he legacy of systematic gender inequalities and entrenched discrimination against women and girls remains. Today Afghan women continue to experience low literacy (11 per cent for women, 36 per cent for men), high unemployment, </w:t>
      </w:r>
      <w:proofErr w:type="gramStart"/>
      <w:r>
        <w:rPr>
          <w:lang w:eastAsia="en-AU"/>
        </w:rPr>
        <w:t>high</w:t>
      </w:r>
      <w:proofErr w:type="gramEnd"/>
      <w:r>
        <w:rPr>
          <w:lang w:eastAsia="en-AU"/>
        </w:rPr>
        <w:t xml:space="preserve"> rates of violence, human rights abuse and limited access to health care (resulting in the second highest maternal mortality rate in the world, at 1,400 per 100,000 live births). </w:t>
      </w:r>
    </w:p>
    <w:p w:rsidR="0080739E" w:rsidRDefault="0080739E" w:rsidP="0080739E">
      <w:pPr>
        <w:rPr>
          <w:lang w:eastAsia="en-AU"/>
        </w:rPr>
      </w:pPr>
    </w:p>
    <w:p w:rsidR="0080739E" w:rsidRDefault="0080739E" w:rsidP="0080739E">
      <w:pPr>
        <w:rPr>
          <w:lang w:eastAsia="en-AU"/>
        </w:rPr>
      </w:pPr>
      <w:r>
        <w:rPr>
          <w:lang w:eastAsia="en-AU"/>
        </w:rPr>
        <w:t xml:space="preserve">Official </w:t>
      </w:r>
      <w:r w:rsidR="00C00229">
        <w:rPr>
          <w:lang w:eastAsia="en-AU"/>
        </w:rPr>
        <w:t>Afghan Government</w:t>
      </w:r>
      <w:r>
        <w:rPr>
          <w:lang w:eastAsia="en-AU"/>
        </w:rPr>
        <w:t xml:space="preserve"> policy enshrines women’s rights. </w:t>
      </w:r>
      <w:r w:rsidRPr="00A83285">
        <w:rPr>
          <w:lang w:eastAsia="en-AU"/>
        </w:rPr>
        <w:t xml:space="preserve">In 2003, </w:t>
      </w:r>
      <w:r w:rsidR="00C00229">
        <w:rPr>
          <w:lang w:eastAsia="en-AU"/>
        </w:rPr>
        <w:t>the Afghan Government</w:t>
      </w:r>
      <w:r w:rsidRPr="00A83285">
        <w:rPr>
          <w:lang w:eastAsia="en-AU"/>
        </w:rPr>
        <w:t xml:space="preserve"> ratified the </w:t>
      </w:r>
      <w:r>
        <w:rPr>
          <w:lang w:eastAsia="en-AU"/>
        </w:rPr>
        <w:t xml:space="preserve">United Nations </w:t>
      </w:r>
      <w:r w:rsidRPr="00A83285">
        <w:rPr>
          <w:lang w:eastAsia="en-AU"/>
        </w:rPr>
        <w:t xml:space="preserve">Convention on the Elimination of All Forms of Discrimination </w:t>
      </w:r>
      <w:proofErr w:type="gramStart"/>
      <w:r w:rsidRPr="00A83285">
        <w:rPr>
          <w:lang w:eastAsia="en-AU"/>
        </w:rPr>
        <w:t>Against</w:t>
      </w:r>
      <w:proofErr w:type="gramEnd"/>
      <w:r w:rsidRPr="00A83285">
        <w:rPr>
          <w:lang w:eastAsia="en-AU"/>
        </w:rPr>
        <w:t xml:space="preserve"> Women. </w:t>
      </w:r>
      <w:r w:rsidRPr="00177EAA">
        <w:rPr>
          <w:lang w:eastAsia="en-AU"/>
        </w:rPr>
        <w:t>Box 3</w:t>
      </w:r>
      <w:r>
        <w:rPr>
          <w:lang w:eastAsia="en-AU"/>
        </w:rPr>
        <w:t xml:space="preserve"> below contains GIRoA’s </w:t>
      </w:r>
      <w:r w:rsidRPr="00CD4279">
        <w:rPr>
          <w:i/>
          <w:iCs/>
          <w:lang w:eastAsia="en-AU"/>
        </w:rPr>
        <w:t>Declaration of the Essential Rights of Afghan Women</w:t>
      </w:r>
      <w:r>
        <w:rPr>
          <w:lang w:eastAsia="en-AU"/>
        </w:rPr>
        <w:t>. Women have quotas in the national parliament so representation is higher than in neighbouring countries. Yet despite this policy framework, reality on the ground is quite different.</w:t>
      </w:r>
    </w:p>
    <w:p w:rsidR="00C4578B" w:rsidRDefault="00C4578B" w:rsidP="0080739E">
      <w:pPr>
        <w:rPr>
          <w:lang w:eastAsia="en-AU"/>
        </w:rPr>
      </w:pPr>
    </w:p>
    <w:p w:rsidR="007F78BE" w:rsidRDefault="007F78BE" w:rsidP="0080739E">
      <w:pPr>
        <w:rPr>
          <w:lang w:eastAsia="en-AU"/>
        </w:rPr>
      </w:pPr>
    </w:p>
    <w:p w:rsidR="007F78BE" w:rsidRDefault="007F78BE" w:rsidP="0080739E">
      <w:pPr>
        <w:rPr>
          <w:lang w:eastAsia="en-AU"/>
        </w:rPr>
      </w:pPr>
    </w:p>
    <w:p w:rsidR="007F78BE" w:rsidRDefault="007F78BE" w:rsidP="0080739E">
      <w:pPr>
        <w:rPr>
          <w:lang w:eastAsia="en-AU"/>
        </w:rPr>
      </w:pPr>
    </w:p>
    <w:p w:rsidR="0080739E" w:rsidRPr="009B3343" w:rsidRDefault="0080739E" w:rsidP="0080739E">
      <w:pPr>
        <w:rPr>
          <w:rFonts w:asciiTheme="minorBidi" w:hAnsiTheme="minorBidi" w:cstheme="minorBidi"/>
          <w:b/>
          <w:bCs/>
          <w:sz w:val="20"/>
          <w:szCs w:val="20"/>
          <w:lang w:eastAsia="en-AU"/>
        </w:rPr>
      </w:pPr>
      <w:r w:rsidRPr="00177EAA">
        <w:rPr>
          <w:rFonts w:asciiTheme="minorBidi" w:hAnsiTheme="minorBidi" w:cstheme="minorBidi"/>
          <w:b/>
          <w:bCs/>
          <w:sz w:val="20"/>
          <w:szCs w:val="20"/>
          <w:lang w:eastAsia="en-AU"/>
        </w:rPr>
        <w:lastRenderedPageBreak/>
        <w:t>Box 3:</w:t>
      </w:r>
      <w:r w:rsidRPr="009B3343">
        <w:rPr>
          <w:rFonts w:asciiTheme="minorBidi" w:hAnsiTheme="minorBidi" w:cstheme="minorBidi"/>
          <w:b/>
          <w:bCs/>
          <w:sz w:val="20"/>
          <w:szCs w:val="20"/>
          <w:lang w:eastAsia="en-AU"/>
        </w:rPr>
        <w:t xml:space="preserve"> </w:t>
      </w:r>
      <w:r>
        <w:rPr>
          <w:rFonts w:asciiTheme="minorBidi" w:hAnsiTheme="minorBidi" w:cstheme="minorBidi"/>
          <w:b/>
          <w:bCs/>
          <w:sz w:val="20"/>
          <w:szCs w:val="20"/>
          <w:lang w:eastAsia="en-AU"/>
        </w:rPr>
        <w:t>Declaration of the Essential Rights o</w:t>
      </w:r>
      <w:r w:rsidRPr="009B3343">
        <w:rPr>
          <w:rFonts w:asciiTheme="minorBidi" w:hAnsiTheme="minorBidi" w:cstheme="minorBidi"/>
          <w:b/>
          <w:bCs/>
          <w:sz w:val="20"/>
          <w:szCs w:val="20"/>
          <w:lang w:eastAsia="en-AU"/>
        </w:rPr>
        <w:t xml:space="preserve">f Afghan Women </w:t>
      </w:r>
    </w:p>
    <w:p w:rsidR="0080739E" w:rsidRPr="009B3343" w:rsidRDefault="0080739E" w:rsidP="0080739E">
      <w:pPr>
        <w:pBdr>
          <w:top w:val="single" w:sz="4" w:space="1" w:color="auto"/>
          <w:left w:val="single" w:sz="4" w:space="4" w:color="auto"/>
          <w:bottom w:val="single" w:sz="4" w:space="1" w:color="auto"/>
          <w:right w:val="single" w:sz="4" w:space="4" w:color="auto"/>
        </w:pBdr>
        <w:rPr>
          <w:i/>
          <w:iCs/>
          <w:lang w:eastAsia="en-AU"/>
        </w:rPr>
      </w:pPr>
    </w:p>
    <w:p w:rsidR="0080739E" w:rsidRPr="009B3343" w:rsidRDefault="0080739E" w:rsidP="0080739E">
      <w:pPr>
        <w:pBdr>
          <w:top w:val="single" w:sz="4" w:space="1" w:color="auto"/>
          <w:left w:val="single" w:sz="4" w:space="4" w:color="auto"/>
          <w:bottom w:val="single" w:sz="4" w:space="1" w:color="auto"/>
          <w:right w:val="single" w:sz="4" w:space="4" w:color="auto"/>
        </w:pBdr>
        <w:jc w:val="both"/>
        <w:rPr>
          <w:i/>
          <w:iCs/>
        </w:rPr>
      </w:pPr>
      <w:r w:rsidRPr="009B3343">
        <w:rPr>
          <w:i/>
          <w:iCs/>
        </w:rPr>
        <w:t xml:space="preserve">DECLARATION OF THE ESSENTIAL RIGHTS OF AFGHAN WOMEN: </w:t>
      </w:r>
    </w:p>
    <w:p w:rsidR="0080739E" w:rsidRPr="009B3343" w:rsidRDefault="0080739E" w:rsidP="0080739E">
      <w:pPr>
        <w:pBdr>
          <w:top w:val="single" w:sz="4" w:space="1" w:color="auto"/>
          <w:left w:val="single" w:sz="4" w:space="4" w:color="auto"/>
          <w:bottom w:val="single" w:sz="4" w:space="1" w:color="auto"/>
          <w:right w:val="single" w:sz="4" w:space="4" w:color="auto"/>
        </w:pBdr>
        <w:jc w:val="both"/>
        <w:rPr>
          <w:i/>
          <w:iCs/>
        </w:rPr>
      </w:pPr>
      <w:r w:rsidRPr="009B3343">
        <w:rPr>
          <w:i/>
          <w:iCs/>
        </w:rPr>
        <w:t xml:space="preserve">Signed by President Hamid Karzai in January 2002 </w:t>
      </w:r>
    </w:p>
    <w:p w:rsidR="0080739E" w:rsidRPr="009B3343" w:rsidRDefault="0080739E" w:rsidP="0080739E">
      <w:pPr>
        <w:pBdr>
          <w:top w:val="single" w:sz="4" w:space="1" w:color="auto"/>
          <w:left w:val="single" w:sz="4" w:space="4" w:color="auto"/>
          <w:bottom w:val="single" w:sz="4" w:space="1" w:color="auto"/>
          <w:right w:val="single" w:sz="4" w:space="4" w:color="auto"/>
        </w:pBdr>
        <w:jc w:val="both"/>
        <w:rPr>
          <w:i/>
          <w:iCs/>
        </w:rPr>
      </w:pPr>
    </w:p>
    <w:p w:rsidR="0080739E" w:rsidRPr="009B3343" w:rsidRDefault="0080739E" w:rsidP="0080739E">
      <w:pPr>
        <w:pBdr>
          <w:top w:val="single" w:sz="4" w:space="1" w:color="auto"/>
          <w:left w:val="single" w:sz="4" w:space="4" w:color="auto"/>
          <w:bottom w:val="single" w:sz="4" w:space="1" w:color="auto"/>
          <w:right w:val="single" w:sz="4" w:space="4" w:color="auto"/>
        </w:pBdr>
        <w:jc w:val="both"/>
        <w:rPr>
          <w:i/>
          <w:iCs/>
        </w:rPr>
      </w:pPr>
      <w:r w:rsidRPr="009B3343">
        <w:rPr>
          <w:i/>
          <w:iCs/>
        </w:rPr>
        <w:t>The fundamental right of Afghan women, as for all human beings, is life with dignity, which includes the following rights:</w:t>
      </w:r>
    </w:p>
    <w:p w:rsidR="0080739E" w:rsidRPr="009B3343" w:rsidRDefault="0080739E" w:rsidP="0080739E">
      <w:pPr>
        <w:pBdr>
          <w:top w:val="single" w:sz="4" w:space="1" w:color="auto"/>
          <w:left w:val="single" w:sz="4" w:space="4" w:color="auto"/>
          <w:bottom w:val="single" w:sz="4" w:space="1" w:color="auto"/>
          <w:right w:val="single" w:sz="4" w:space="4" w:color="auto"/>
        </w:pBdr>
        <w:jc w:val="both"/>
        <w:rPr>
          <w:i/>
          <w:iCs/>
        </w:rPr>
      </w:pPr>
      <w:r w:rsidRPr="009B3343">
        <w:rPr>
          <w:i/>
          <w:iCs/>
        </w:rPr>
        <w:t>1. The right to equality between men and women and the right to the elimination of all forms of discrimination and segregation, based on gender, race or religion.</w:t>
      </w:r>
    </w:p>
    <w:p w:rsidR="0080739E" w:rsidRPr="009B3343" w:rsidRDefault="008D494D" w:rsidP="0080739E">
      <w:pPr>
        <w:pBdr>
          <w:top w:val="single" w:sz="4" w:space="1" w:color="auto"/>
          <w:left w:val="single" w:sz="4" w:space="4" w:color="auto"/>
          <w:bottom w:val="single" w:sz="4" w:space="1" w:color="auto"/>
          <w:right w:val="single" w:sz="4" w:space="4" w:color="auto"/>
        </w:pBdr>
        <w:jc w:val="both"/>
        <w:rPr>
          <w:i/>
          <w:iCs/>
        </w:rPr>
      </w:pPr>
      <w:r w:rsidRPr="009B3343">
        <w:rPr>
          <w:i/>
          <w:iCs/>
        </w:rPr>
        <w:t>2. The</w:t>
      </w:r>
      <w:r w:rsidR="0080739E" w:rsidRPr="009B3343">
        <w:rPr>
          <w:i/>
          <w:iCs/>
        </w:rPr>
        <w:t xml:space="preserve"> right to personal safety and to freedom from torture or inhumane or degrading treatment.</w:t>
      </w:r>
    </w:p>
    <w:p w:rsidR="0080739E" w:rsidRPr="009B3343" w:rsidRDefault="0080739E" w:rsidP="0080739E">
      <w:pPr>
        <w:pBdr>
          <w:top w:val="single" w:sz="4" w:space="1" w:color="auto"/>
          <w:left w:val="single" w:sz="4" w:space="4" w:color="auto"/>
          <w:bottom w:val="single" w:sz="4" w:space="1" w:color="auto"/>
          <w:right w:val="single" w:sz="4" w:space="4" w:color="auto"/>
        </w:pBdr>
        <w:jc w:val="both"/>
        <w:rPr>
          <w:i/>
          <w:iCs/>
        </w:rPr>
      </w:pPr>
      <w:r w:rsidRPr="009B3343">
        <w:rPr>
          <w:i/>
          <w:iCs/>
        </w:rPr>
        <w:t>3. The right to physical and mental health for women and their children.</w:t>
      </w:r>
    </w:p>
    <w:p w:rsidR="0080739E" w:rsidRPr="009B3343" w:rsidRDefault="0080739E" w:rsidP="0080739E">
      <w:pPr>
        <w:pBdr>
          <w:top w:val="single" w:sz="4" w:space="1" w:color="auto"/>
          <w:left w:val="single" w:sz="4" w:space="4" w:color="auto"/>
          <w:bottom w:val="single" w:sz="4" w:space="1" w:color="auto"/>
          <w:right w:val="single" w:sz="4" w:space="4" w:color="auto"/>
        </w:pBdr>
        <w:jc w:val="both"/>
        <w:rPr>
          <w:i/>
          <w:iCs/>
        </w:rPr>
      </w:pPr>
      <w:r w:rsidRPr="009B3343">
        <w:rPr>
          <w:i/>
          <w:iCs/>
        </w:rPr>
        <w:t>4. The right to equal protection under the law.</w:t>
      </w:r>
    </w:p>
    <w:p w:rsidR="0080739E" w:rsidRPr="009B3343" w:rsidRDefault="0080739E" w:rsidP="0080739E">
      <w:pPr>
        <w:pBdr>
          <w:top w:val="single" w:sz="4" w:space="1" w:color="auto"/>
          <w:left w:val="single" w:sz="4" w:space="4" w:color="auto"/>
          <w:bottom w:val="single" w:sz="4" w:space="1" w:color="auto"/>
          <w:right w:val="single" w:sz="4" w:space="4" w:color="auto"/>
        </w:pBdr>
        <w:jc w:val="both"/>
        <w:rPr>
          <w:i/>
          <w:iCs/>
        </w:rPr>
      </w:pPr>
      <w:r w:rsidRPr="009B3343">
        <w:rPr>
          <w:i/>
          <w:iCs/>
        </w:rPr>
        <w:t>5. The right to institutional education in all the intellectual and physical disciplines.</w:t>
      </w:r>
    </w:p>
    <w:p w:rsidR="0080739E" w:rsidRPr="009B3343" w:rsidRDefault="0080739E" w:rsidP="0080739E">
      <w:pPr>
        <w:pBdr>
          <w:top w:val="single" w:sz="4" w:space="1" w:color="auto"/>
          <w:left w:val="single" w:sz="4" w:space="4" w:color="auto"/>
          <w:bottom w:val="single" w:sz="4" w:space="1" w:color="auto"/>
          <w:right w:val="single" w:sz="4" w:space="4" w:color="auto"/>
        </w:pBdr>
        <w:jc w:val="both"/>
        <w:rPr>
          <w:i/>
          <w:iCs/>
        </w:rPr>
      </w:pPr>
      <w:r w:rsidRPr="009B3343">
        <w:rPr>
          <w:i/>
          <w:iCs/>
        </w:rPr>
        <w:t>6. The right to just and favourable conditions of work.</w:t>
      </w:r>
    </w:p>
    <w:p w:rsidR="0080739E" w:rsidRPr="009B3343" w:rsidRDefault="0080739E" w:rsidP="0080739E">
      <w:pPr>
        <w:pBdr>
          <w:top w:val="single" w:sz="4" w:space="1" w:color="auto"/>
          <w:left w:val="single" w:sz="4" w:space="4" w:color="auto"/>
          <w:bottom w:val="single" w:sz="4" w:space="1" w:color="auto"/>
          <w:right w:val="single" w:sz="4" w:space="4" w:color="auto"/>
        </w:pBdr>
        <w:jc w:val="both"/>
        <w:rPr>
          <w:i/>
          <w:iCs/>
        </w:rPr>
      </w:pPr>
      <w:r w:rsidRPr="009B3343">
        <w:rPr>
          <w:i/>
          <w:iCs/>
        </w:rPr>
        <w:t>7. The right to move about freely and independently.</w:t>
      </w:r>
    </w:p>
    <w:p w:rsidR="0080739E" w:rsidRPr="009B3343" w:rsidRDefault="0080739E" w:rsidP="0080739E">
      <w:pPr>
        <w:pBdr>
          <w:top w:val="single" w:sz="4" w:space="1" w:color="auto"/>
          <w:left w:val="single" w:sz="4" w:space="4" w:color="auto"/>
          <w:bottom w:val="single" w:sz="4" w:space="1" w:color="auto"/>
          <w:right w:val="single" w:sz="4" w:space="4" w:color="auto"/>
        </w:pBdr>
        <w:jc w:val="both"/>
        <w:rPr>
          <w:i/>
          <w:iCs/>
        </w:rPr>
      </w:pPr>
      <w:r w:rsidRPr="009B3343">
        <w:rPr>
          <w:i/>
          <w:iCs/>
        </w:rPr>
        <w:t>8. The right to freedom of thought, speech, assembly and political participation.</w:t>
      </w:r>
    </w:p>
    <w:p w:rsidR="0080739E" w:rsidRPr="009B3343" w:rsidRDefault="0080739E" w:rsidP="0080739E">
      <w:pPr>
        <w:pBdr>
          <w:top w:val="single" w:sz="4" w:space="1" w:color="auto"/>
          <w:left w:val="single" w:sz="4" w:space="4" w:color="auto"/>
          <w:bottom w:val="single" w:sz="4" w:space="1" w:color="auto"/>
          <w:right w:val="single" w:sz="4" w:space="4" w:color="auto"/>
        </w:pBdr>
        <w:jc w:val="both"/>
        <w:rPr>
          <w:i/>
          <w:iCs/>
        </w:rPr>
      </w:pPr>
      <w:r w:rsidRPr="009B3343">
        <w:rPr>
          <w:i/>
          <w:iCs/>
        </w:rPr>
        <w:t>9. The right to wear or not to wear the chadari (burqa) or the scarf.</w:t>
      </w:r>
    </w:p>
    <w:p w:rsidR="0080739E" w:rsidRPr="009B3343" w:rsidRDefault="0080739E" w:rsidP="0080739E">
      <w:pPr>
        <w:pBdr>
          <w:top w:val="single" w:sz="4" w:space="1" w:color="auto"/>
          <w:left w:val="single" w:sz="4" w:space="4" w:color="auto"/>
          <w:bottom w:val="single" w:sz="4" w:space="1" w:color="auto"/>
          <w:right w:val="single" w:sz="4" w:space="4" w:color="auto"/>
        </w:pBdr>
        <w:jc w:val="both"/>
        <w:rPr>
          <w:i/>
          <w:iCs/>
        </w:rPr>
      </w:pPr>
      <w:r w:rsidRPr="009B3343">
        <w:rPr>
          <w:i/>
          <w:iCs/>
        </w:rPr>
        <w:t>10. The right to participate in cultural activities including theatre, music and sports</w:t>
      </w:r>
      <w:r w:rsidR="0045168E">
        <w:rPr>
          <w:i/>
          <w:iCs/>
        </w:rPr>
        <w:t xml:space="preserve">. </w:t>
      </w:r>
    </w:p>
    <w:p w:rsidR="0080739E" w:rsidRPr="009B3343" w:rsidRDefault="0080739E" w:rsidP="0080739E">
      <w:pPr>
        <w:pBdr>
          <w:top w:val="single" w:sz="4" w:space="1" w:color="auto"/>
          <w:left w:val="single" w:sz="4" w:space="4" w:color="auto"/>
          <w:bottom w:val="single" w:sz="4" w:space="1" w:color="auto"/>
          <w:right w:val="single" w:sz="4" w:space="4" w:color="auto"/>
        </w:pBdr>
        <w:rPr>
          <w:i/>
          <w:iCs/>
          <w:lang w:eastAsia="en-AU"/>
        </w:rPr>
      </w:pPr>
    </w:p>
    <w:p w:rsidR="0080739E" w:rsidRPr="009B3343" w:rsidRDefault="0080739E" w:rsidP="0080739E">
      <w:pPr>
        <w:rPr>
          <w:i/>
          <w:iCs/>
          <w:lang w:eastAsia="en-AU"/>
        </w:rPr>
      </w:pPr>
    </w:p>
    <w:p w:rsidR="0080739E" w:rsidRDefault="0080739E" w:rsidP="0080739E">
      <w:pPr>
        <w:rPr>
          <w:lang w:eastAsia="en-AU"/>
        </w:rPr>
      </w:pPr>
      <w:r>
        <w:rPr>
          <w:lang w:eastAsia="en-AU"/>
        </w:rPr>
        <w:t xml:space="preserve">Female participation in the labour market is the lowest in South Asia with only 33 per cent of women working outside the home compared with 85 per cent of men. Strong segregation of males and females in Afghan society has meant that women work mainly in the health and education sectors. Men earn almost three times as much as women. Women lack ownership, control, and access to productive assets such as land, equipment and materials. Men usually own land and women often lose inheritance rights to male relatives following the death of their husbands. The lack of rights to land has dire consequences for women’s economic empowerment, especially for women who are heads of households. Further, low literacy and education levels for women pose a serious obstacle for their participation in the formal economy. However, an increase in the number of female-headed households due to war has seen an increase in the number of women engaged in the economy. Most of these women have found work making handicrafts, sewing, embroidering or washing clothes. </w:t>
      </w:r>
    </w:p>
    <w:p w:rsidR="0080739E" w:rsidRDefault="0080739E" w:rsidP="0080739E">
      <w:pPr>
        <w:rPr>
          <w:lang w:eastAsia="en-AU"/>
        </w:rPr>
      </w:pPr>
    </w:p>
    <w:p w:rsidR="00E54354" w:rsidRPr="002A1BA7" w:rsidRDefault="002A1BA7" w:rsidP="00661BC8">
      <w:pPr>
        <w:autoSpaceDE w:val="0"/>
        <w:autoSpaceDN w:val="0"/>
        <w:adjustRightInd w:val="0"/>
        <w:rPr>
          <w:lang w:eastAsia="en-AU"/>
        </w:rPr>
      </w:pPr>
      <w:r w:rsidRPr="002A1BA7">
        <w:rPr>
          <w:rFonts w:eastAsiaTheme="minorHAnsi"/>
          <w:lang w:eastAsia="en-US"/>
        </w:rPr>
        <w:t>AusAID’s</w:t>
      </w:r>
      <w:r w:rsidR="00661BC8" w:rsidRPr="00661BC8">
        <w:rPr>
          <w:rFonts w:eastAsiaTheme="minorHAnsi"/>
          <w:lang w:eastAsia="en-US"/>
        </w:rPr>
        <w:t xml:space="preserve"> </w:t>
      </w:r>
      <w:hyperlink r:id="rId19" w:history="1">
        <w:r w:rsidR="00661BC8" w:rsidRPr="00661BC8">
          <w:rPr>
            <w:rFonts w:eastAsiaTheme="minorHAnsi"/>
            <w:i/>
            <w:lang w:eastAsia="en-US"/>
          </w:rPr>
          <w:t>Promoting Opportunities for All - Gender Equality and Women’s Empowerment</w:t>
        </w:r>
      </w:hyperlink>
      <w:r w:rsidR="00661BC8">
        <w:rPr>
          <w:rFonts w:eastAsiaTheme="minorHAnsi"/>
          <w:lang w:eastAsia="en-US"/>
        </w:rPr>
        <w:t xml:space="preserve"> thematic s</w:t>
      </w:r>
      <w:r w:rsidR="00661BC8" w:rsidRPr="00661BC8">
        <w:rPr>
          <w:lang w:eastAsia="en-AU"/>
        </w:rPr>
        <w:t xml:space="preserve">trategy outlines Australia’s strategic </w:t>
      </w:r>
      <w:r w:rsidR="00661BC8">
        <w:rPr>
          <w:lang w:eastAsia="en-AU"/>
        </w:rPr>
        <w:t xml:space="preserve">approach to gender equality and </w:t>
      </w:r>
      <w:r w:rsidR="00661BC8" w:rsidRPr="00661BC8">
        <w:rPr>
          <w:lang w:eastAsia="en-AU"/>
        </w:rPr>
        <w:t>women’s empowerment. The Australian Government has identified</w:t>
      </w:r>
      <w:r w:rsidR="00661BC8">
        <w:rPr>
          <w:lang w:eastAsia="en-AU"/>
        </w:rPr>
        <w:t xml:space="preserve"> gender equality as a </w:t>
      </w:r>
      <w:r w:rsidR="00661BC8" w:rsidRPr="00661BC8">
        <w:rPr>
          <w:lang w:eastAsia="en-AU"/>
        </w:rPr>
        <w:t>critical cross-cutting theme of t</w:t>
      </w:r>
      <w:r w:rsidR="00661BC8">
        <w:rPr>
          <w:lang w:eastAsia="en-AU"/>
        </w:rPr>
        <w:t xml:space="preserve">he aid program and committed to </w:t>
      </w:r>
      <w:r w:rsidR="00661BC8" w:rsidRPr="00661BC8">
        <w:rPr>
          <w:lang w:eastAsia="en-AU"/>
        </w:rPr>
        <w:t>remaining a firm and persistent advo</w:t>
      </w:r>
      <w:r w:rsidR="00661BC8">
        <w:rPr>
          <w:lang w:eastAsia="en-AU"/>
        </w:rPr>
        <w:t xml:space="preserve">cate and practical supporter of </w:t>
      </w:r>
      <w:r w:rsidR="00661BC8" w:rsidRPr="00661BC8">
        <w:rPr>
          <w:lang w:eastAsia="en-AU"/>
        </w:rPr>
        <w:t>gender equality</w:t>
      </w:r>
      <w:r w:rsidR="008609A2">
        <w:rPr>
          <w:lang w:eastAsia="en-AU"/>
        </w:rPr>
        <w:t>.</w:t>
      </w:r>
      <w:r w:rsidR="00A4457B">
        <w:rPr>
          <w:rFonts w:eastAsiaTheme="minorHAnsi"/>
          <w:lang w:eastAsia="en-US"/>
        </w:rPr>
        <w:t xml:space="preserve"> </w:t>
      </w:r>
    </w:p>
    <w:p w:rsidR="00E54354" w:rsidRDefault="00E54354" w:rsidP="0080739E">
      <w:pPr>
        <w:rPr>
          <w:lang w:eastAsia="en-AU"/>
        </w:rPr>
      </w:pPr>
    </w:p>
    <w:p w:rsidR="0080739E" w:rsidRDefault="0080739E" w:rsidP="0080739E">
      <w:pPr>
        <w:rPr>
          <w:lang w:eastAsia="en-AU"/>
        </w:rPr>
      </w:pPr>
      <w:r>
        <w:rPr>
          <w:lang w:eastAsia="en-AU"/>
        </w:rPr>
        <w:t>For AACRS projects, the context on the ground in the specific rural project location will need to be understood and appropriate strategies for gender inclusion developed through consultation. Consultation with women is not always easy to achieve when females are kept in the background. Identification of local champions will help this process, as will the sharing of the NGOs’ prior experience in working with and engaging women in development activities</w:t>
      </w:r>
      <w:r w:rsidR="0045168E">
        <w:rPr>
          <w:lang w:eastAsia="en-AU"/>
        </w:rPr>
        <w:t xml:space="preserve">. </w:t>
      </w:r>
    </w:p>
    <w:p w:rsidR="0080739E" w:rsidRDefault="0080739E" w:rsidP="0080739E">
      <w:pPr>
        <w:rPr>
          <w:lang w:eastAsia="en-AU"/>
        </w:rPr>
      </w:pPr>
    </w:p>
    <w:p w:rsidR="0080739E" w:rsidRDefault="0080739E" w:rsidP="0080739E">
      <w:pPr>
        <w:rPr>
          <w:lang w:eastAsia="en-AU"/>
        </w:rPr>
      </w:pPr>
      <w:r>
        <w:rPr>
          <w:lang w:eastAsia="en-AU"/>
        </w:rPr>
        <w:t>It is assumed that NGOs’ starting point</w:t>
      </w:r>
      <w:r w:rsidR="004F088A">
        <w:rPr>
          <w:lang w:eastAsia="en-AU"/>
        </w:rPr>
        <w:t>s</w:t>
      </w:r>
      <w:r>
        <w:rPr>
          <w:lang w:eastAsia="en-AU"/>
        </w:rPr>
        <w:t xml:space="preserve"> will be their existing contacts. These are likely to include members of the Afghan Women’s Network (AWN), a network of NGOs in Afghanistan working to empower Afghan women and achieve their equal participation in </w:t>
      </w:r>
      <w:r>
        <w:rPr>
          <w:lang w:eastAsia="en-AU"/>
        </w:rPr>
        <w:lastRenderedPageBreak/>
        <w:t>society. It is the largest national women’s rights organisation in Afghanistan, representing 88 member organisations and over 5,000 individual members. It has offices in Kabul, Herat and Jalalabad.</w:t>
      </w:r>
    </w:p>
    <w:p w:rsidR="0080739E" w:rsidRDefault="0080739E" w:rsidP="0080739E">
      <w:pPr>
        <w:rPr>
          <w:lang w:eastAsia="en-AU"/>
        </w:rPr>
      </w:pPr>
    </w:p>
    <w:p w:rsidR="0080739E" w:rsidRDefault="0080739E" w:rsidP="0080739E">
      <w:pPr>
        <w:rPr>
          <w:lang w:eastAsia="en-AU"/>
        </w:rPr>
      </w:pPr>
      <w:r>
        <w:rPr>
          <w:lang w:eastAsia="en-AU"/>
        </w:rPr>
        <w:t>In project design, gender awareness will need to be included for both male and female project participants, as there are significant attitudinal barriers to female participation. Innovation and creativity are called for which take women and girls’ inclusion as the starting point and work around the inhibiting factors. Another major barrier is insecurity. In rural areas, reprisals against girls attending school have included acid attacks and burning of classrooms, so the “</w:t>
      </w:r>
      <w:proofErr w:type="gramStart"/>
      <w:r>
        <w:rPr>
          <w:lang w:eastAsia="en-AU"/>
        </w:rPr>
        <w:t>do</w:t>
      </w:r>
      <w:proofErr w:type="gramEnd"/>
      <w:r>
        <w:rPr>
          <w:lang w:eastAsia="en-AU"/>
        </w:rPr>
        <w:t xml:space="preserve"> no harm” principle is highly relevant when designing activities for girls and women.</w:t>
      </w:r>
    </w:p>
    <w:p w:rsidR="0080739E" w:rsidRDefault="0080739E" w:rsidP="0080739E">
      <w:pPr>
        <w:rPr>
          <w:lang w:eastAsia="en-AU"/>
        </w:rPr>
      </w:pPr>
    </w:p>
    <w:p w:rsidR="00E85B94" w:rsidRDefault="0080739E" w:rsidP="00E85B94">
      <w:pPr>
        <w:rPr>
          <w:lang w:eastAsia="en-AU"/>
        </w:rPr>
      </w:pPr>
      <w:r>
        <w:rPr>
          <w:lang w:eastAsia="en-AU"/>
        </w:rPr>
        <w:t xml:space="preserve">Project budgets will include the cost of </w:t>
      </w:r>
      <w:r w:rsidRPr="00E85B94">
        <w:rPr>
          <w:i/>
          <w:lang w:eastAsia="en-AU"/>
        </w:rPr>
        <w:t>muharam</w:t>
      </w:r>
      <w:r>
        <w:rPr>
          <w:lang w:eastAsia="en-AU"/>
        </w:rPr>
        <w:t xml:space="preserve"> (chaperones) accompanying women to project activities. Venues and time of day need to be selected</w:t>
      </w:r>
      <w:r w:rsidR="00870630">
        <w:rPr>
          <w:lang w:eastAsia="en-AU"/>
        </w:rPr>
        <w:t xml:space="preserve"> which are suitable for women. </w:t>
      </w:r>
      <w:r w:rsidR="00E85B94" w:rsidRPr="00E85B94">
        <w:rPr>
          <w:lang w:eastAsia="en-AU"/>
        </w:rPr>
        <w:t>It is also important to recognise that women can contribute significantly to shaping</w:t>
      </w:r>
      <w:r w:rsidR="00E85B94">
        <w:rPr>
          <w:lang w:eastAsia="en-AU"/>
        </w:rPr>
        <w:t xml:space="preserve"> and </w:t>
      </w:r>
      <w:r w:rsidR="00E85B94" w:rsidRPr="00E85B94">
        <w:rPr>
          <w:lang w:eastAsia="en-AU"/>
        </w:rPr>
        <w:t>sustaining resilient communities. As managers of natur</w:t>
      </w:r>
      <w:r w:rsidR="00E85B94">
        <w:rPr>
          <w:lang w:eastAsia="en-AU"/>
        </w:rPr>
        <w:t xml:space="preserve">al and environmental resources, </w:t>
      </w:r>
      <w:r w:rsidR="00E85B94" w:rsidRPr="00E85B94">
        <w:rPr>
          <w:lang w:eastAsia="en-AU"/>
        </w:rPr>
        <w:t xml:space="preserve">economic providers, caregivers and implementers </w:t>
      </w:r>
      <w:r w:rsidR="00E85B94">
        <w:rPr>
          <w:lang w:eastAsia="en-AU"/>
        </w:rPr>
        <w:t xml:space="preserve">of community development, women </w:t>
      </w:r>
      <w:r w:rsidR="00E85B94" w:rsidRPr="00E85B94">
        <w:rPr>
          <w:lang w:eastAsia="en-AU"/>
        </w:rPr>
        <w:t xml:space="preserve">are well positioned to reduce disaster risks, and should be recognised as key actors </w:t>
      </w:r>
      <w:r w:rsidR="00E85B94">
        <w:rPr>
          <w:lang w:eastAsia="en-AU"/>
        </w:rPr>
        <w:t xml:space="preserve">in </w:t>
      </w:r>
      <w:r w:rsidR="00E85B94" w:rsidRPr="00E85B94">
        <w:rPr>
          <w:lang w:eastAsia="en-AU"/>
        </w:rPr>
        <w:t>this field</w:t>
      </w:r>
      <w:r w:rsidR="00E85B94">
        <w:rPr>
          <w:lang w:eastAsia="en-AU"/>
        </w:rPr>
        <w:t>.</w:t>
      </w:r>
      <w:r w:rsidR="00E85B94">
        <w:rPr>
          <w:rStyle w:val="FootnoteReference"/>
          <w:lang w:eastAsia="en-AU"/>
        </w:rPr>
        <w:footnoteReference w:id="42"/>
      </w:r>
    </w:p>
    <w:p w:rsidR="0080739E" w:rsidRDefault="0080739E" w:rsidP="0080739E">
      <w:pPr>
        <w:rPr>
          <w:lang w:eastAsia="en-AU"/>
        </w:rPr>
      </w:pPr>
    </w:p>
    <w:p w:rsidR="0080739E" w:rsidRDefault="0080739E" w:rsidP="0080739E">
      <w:pPr>
        <w:rPr>
          <w:lang w:eastAsia="en-AU"/>
        </w:rPr>
      </w:pPr>
      <w:r>
        <w:rPr>
          <w:lang w:eastAsia="en-AU"/>
        </w:rPr>
        <w:t xml:space="preserve">When designing M&amp;E, it will be important not to set sights too high as progress towards </w:t>
      </w:r>
      <w:r w:rsidR="00493080">
        <w:rPr>
          <w:lang w:eastAsia="en-AU"/>
        </w:rPr>
        <w:t xml:space="preserve">increasing </w:t>
      </w:r>
      <w:r>
        <w:rPr>
          <w:lang w:eastAsia="en-AU"/>
        </w:rPr>
        <w:t xml:space="preserve">gender </w:t>
      </w:r>
      <w:r w:rsidR="00493080">
        <w:rPr>
          <w:lang w:eastAsia="en-AU"/>
        </w:rPr>
        <w:t>participation</w:t>
      </w:r>
      <w:r>
        <w:rPr>
          <w:lang w:eastAsia="en-AU"/>
        </w:rPr>
        <w:t xml:space="preserve"> and women’s empowerment in the four-year timeframe may be slow. Gender disaggregated baseline data will enable measurement of </w:t>
      </w:r>
      <w:r w:rsidRPr="00557E1B">
        <w:rPr>
          <w:lang w:eastAsia="en-AU"/>
        </w:rPr>
        <w:t xml:space="preserve">progress in </w:t>
      </w:r>
      <w:r>
        <w:rPr>
          <w:lang w:eastAsia="en-AU"/>
        </w:rPr>
        <w:t>selected</w:t>
      </w:r>
      <w:r w:rsidRPr="00557E1B">
        <w:rPr>
          <w:lang w:eastAsia="en-AU"/>
        </w:rPr>
        <w:t xml:space="preserve"> indicators.</w:t>
      </w:r>
      <w:r>
        <w:rPr>
          <w:lang w:eastAsia="en-AU"/>
        </w:rPr>
        <w:t xml:space="preserve"> </w:t>
      </w:r>
    </w:p>
    <w:p w:rsidR="0080739E" w:rsidRDefault="0080739E" w:rsidP="0080739E">
      <w:pPr>
        <w:pStyle w:val="Heading2"/>
        <w:numPr>
          <w:ilvl w:val="1"/>
          <w:numId w:val="1"/>
        </w:numPr>
        <w:rPr>
          <w:lang w:eastAsia="en-AU"/>
        </w:rPr>
      </w:pPr>
      <w:bookmarkStart w:id="30" w:name="_Toc353974443"/>
      <w:r w:rsidRPr="00855136">
        <w:rPr>
          <w:lang w:eastAsia="en-AU"/>
        </w:rPr>
        <w:t>Child Protection</w:t>
      </w:r>
      <w:bookmarkEnd w:id="30"/>
    </w:p>
    <w:p w:rsidR="0080739E" w:rsidRDefault="0080739E" w:rsidP="0080739E">
      <w:pPr>
        <w:rPr>
          <w:lang w:eastAsia="en-AU"/>
        </w:rPr>
      </w:pPr>
    </w:p>
    <w:p w:rsidR="0080739E" w:rsidRDefault="0080739E" w:rsidP="0080739E">
      <w:pPr>
        <w:rPr>
          <w:lang w:eastAsia="en-AU"/>
        </w:rPr>
      </w:pPr>
      <w:r w:rsidRPr="0088081C">
        <w:rPr>
          <w:lang w:eastAsia="en-AU"/>
        </w:rPr>
        <w:t xml:space="preserve">The </w:t>
      </w:r>
      <w:r w:rsidR="00C4578B" w:rsidRPr="00C4578B">
        <w:rPr>
          <w:i/>
          <w:lang w:eastAsia="en-AU"/>
        </w:rPr>
        <w:t>AusAID Child Protection P</w:t>
      </w:r>
      <w:r w:rsidRPr="00C4578B">
        <w:rPr>
          <w:i/>
          <w:lang w:eastAsia="en-AU"/>
        </w:rPr>
        <w:t>olicy</w:t>
      </w:r>
      <w:r>
        <w:rPr>
          <w:rStyle w:val="FootnoteReference"/>
          <w:lang w:eastAsia="en-AU"/>
        </w:rPr>
        <w:footnoteReference w:id="43"/>
      </w:r>
      <w:r>
        <w:rPr>
          <w:lang w:eastAsia="en-AU"/>
        </w:rPr>
        <w:t xml:space="preserve"> </w:t>
      </w:r>
      <w:r w:rsidRPr="0088081C">
        <w:rPr>
          <w:lang w:eastAsia="en-AU"/>
        </w:rPr>
        <w:t>outlines practical steps to manage and reduce the risks of child abuse associated with delivering aid activities. The policy focuses on protection of children</w:t>
      </w:r>
      <w:r w:rsidR="00D855AD">
        <w:rPr>
          <w:lang w:eastAsia="en-AU"/>
        </w:rPr>
        <w:t>’</w:t>
      </w:r>
      <w:r w:rsidRPr="0088081C">
        <w:rPr>
          <w:lang w:eastAsia="en-AU"/>
        </w:rPr>
        <w:t xml:space="preserve">s rights and their safety and security. </w:t>
      </w:r>
      <w:r>
        <w:rPr>
          <w:lang w:eastAsia="en-AU"/>
        </w:rPr>
        <w:t xml:space="preserve">The NGOs will be briefed on the policy during the Design </w:t>
      </w:r>
      <w:r w:rsidR="00C00229">
        <w:rPr>
          <w:lang w:eastAsia="en-AU"/>
        </w:rPr>
        <w:t xml:space="preserve">and Partnership </w:t>
      </w:r>
      <w:r>
        <w:rPr>
          <w:lang w:eastAsia="en-AU"/>
        </w:rPr>
        <w:t>Workshop, and designs will be reviewed to ensure compliance. This will be particularly important for projects which incl</w:t>
      </w:r>
      <w:r w:rsidR="00870630">
        <w:rPr>
          <w:lang w:eastAsia="en-AU"/>
        </w:rPr>
        <w:t xml:space="preserve">ude children as beneficiaries. </w:t>
      </w:r>
      <w:r w:rsidRPr="0088081C">
        <w:rPr>
          <w:lang w:eastAsia="en-AU"/>
        </w:rPr>
        <w:t>The AWN regards the empowerment and protection of children as fundamental to its work and its members would be good contacts for NGOs when they are designing their projects.</w:t>
      </w:r>
    </w:p>
    <w:p w:rsidR="0080739E" w:rsidRDefault="0080739E" w:rsidP="0080739E">
      <w:pPr>
        <w:pStyle w:val="Heading2"/>
        <w:numPr>
          <w:ilvl w:val="1"/>
          <w:numId w:val="1"/>
        </w:numPr>
        <w:rPr>
          <w:lang w:eastAsia="en-AU"/>
        </w:rPr>
      </w:pPr>
      <w:bookmarkStart w:id="31" w:name="_Toc353974444"/>
      <w:r w:rsidRPr="00855136">
        <w:rPr>
          <w:lang w:eastAsia="en-AU"/>
        </w:rPr>
        <w:t>Disability Inclusiveness</w:t>
      </w:r>
      <w:bookmarkEnd w:id="31"/>
    </w:p>
    <w:p w:rsidR="0080739E" w:rsidRDefault="0080739E" w:rsidP="0080739E">
      <w:pPr>
        <w:rPr>
          <w:lang w:eastAsia="en-AU"/>
        </w:rPr>
      </w:pPr>
    </w:p>
    <w:p w:rsidR="004D5AD4" w:rsidRDefault="004D5AD4" w:rsidP="004D5AD4">
      <w:pPr>
        <w:autoSpaceDE w:val="0"/>
        <w:autoSpaceDN w:val="0"/>
        <w:adjustRightInd w:val="0"/>
        <w:rPr>
          <w:lang w:eastAsia="en-AU"/>
        </w:rPr>
      </w:pPr>
      <w:r>
        <w:rPr>
          <w:lang w:eastAsia="en-AU"/>
        </w:rPr>
        <w:t>The principal cause of disability in Afghanistan is armed conflict. Many years of war following the Soviet invasion meant that 10-30 million landmines were scattered across the country (UN estimate). While there are no figures available, some estimate there are 1.1 million people in Afghanistan who live with a physical disability, acquired primarily through war. Many of these people are considered war heroes or Mudjahedin and are treated relatively well. Generally however, negative attitudes towards people with disability remain a significant barrier. A more significant barrier is poverty which results in an almost complete lack of any appropriate services</w:t>
      </w:r>
    </w:p>
    <w:p w:rsidR="004D5AD4" w:rsidRDefault="004D5AD4" w:rsidP="004D5AD4">
      <w:pPr>
        <w:autoSpaceDE w:val="0"/>
        <w:autoSpaceDN w:val="0"/>
        <w:adjustRightInd w:val="0"/>
        <w:rPr>
          <w:lang w:eastAsia="en-AU"/>
        </w:rPr>
      </w:pPr>
    </w:p>
    <w:p w:rsidR="004D5AD4" w:rsidRDefault="004D5AD4" w:rsidP="004D5AD4">
      <w:pPr>
        <w:autoSpaceDE w:val="0"/>
        <w:autoSpaceDN w:val="0"/>
        <w:adjustRightInd w:val="0"/>
        <w:rPr>
          <w:lang w:eastAsia="en-AU"/>
        </w:rPr>
      </w:pPr>
      <w:r>
        <w:rPr>
          <w:lang w:eastAsia="en-AU"/>
        </w:rPr>
        <w:lastRenderedPageBreak/>
        <w:t xml:space="preserve">The AACRS will work in line with AusAID’s </w:t>
      </w:r>
      <w:r w:rsidRPr="007F33AF">
        <w:rPr>
          <w:i/>
          <w:lang w:eastAsia="en-AU"/>
        </w:rPr>
        <w:t>Development for All: Towards a Disability-Inclusive Australian Aid Program</w:t>
      </w:r>
      <w:r>
        <w:rPr>
          <w:i/>
          <w:lang w:eastAsia="en-AU"/>
        </w:rPr>
        <w:t xml:space="preserve"> </w:t>
      </w:r>
      <w:r w:rsidRPr="007F33AF">
        <w:rPr>
          <w:i/>
          <w:lang w:eastAsia="en-AU"/>
        </w:rPr>
        <w:t>2009–2014</w:t>
      </w:r>
      <w:r>
        <w:rPr>
          <w:lang w:eastAsia="en-AU"/>
        </w:rPr>
        <w:t xml:space="preserve">. The Strategy </w:t>
      </w:r>
      <w:r w:rsidRPr="007F33AF">
        <w:rPr>
          <w:lang w:eastAsia="en-AU"/>
        </w:rPr>
        <w:t>aims to support people with disability to improve the quality of their lives by promoting and improving access to the same opportunities for participation, contribution, decision making, and social and economic well-being as others.</w:t>
      </w:r>
      <w:r>
        <w:rPr>
          <w:rStyle w:val="FootnoteReference"/>
          <w:lang w:eastAsia="en-AU"/>
        </w:rPr>
        <w:footnoteReference w:id="44"/>
      </w:r>
      <w:r>
        <w:rPr>
          <w:lang w:eastAsia="en-AU"/>
        </w:rPr>
        <w:t xml:space="preserve"> </w:t>
      </w:r>
    </w:p>
    <w:p w:rsidR="004D5AD4" w:rsidRPr="004D5AD4" w:rsidRDefault="004D5AD4" w:rsidP="004D5AD4">
      <w:pPr>
        <w:autoSpaceDE w:val="0"/>
        <w:autoSpaceDN w:val="0"/>
        <w:adjustRightInd w:val="0"/>
        <w:rPr>
          <w:rFonts w:ascii="MetaSerif-Book" w:eastAsiaTheme="minorHAnsi" w:hAnsi="MetaSerif-Book" w:cs="MetaSerif-Book"/>
          <w:sz w:val="20"/>
          <w:szCs w:val="20"/>
          <w:lang w:val="en-AU" w:eastAsia="en-US"/>
        </w:rPr>
      </w:pPr>
      <w:r>
        <w:rPr>
          <w:lang w:eastAsia="en-AU"/>
        </w:rPr>
        <w:t xml:space="preserve"> </w:t>
      </w:r>
    </w:p>
    <w:p w:rsidR="004D5AD4" w:rsidRDefault="004D5AD4" w:rsidP="004D5AD4">
      <w:pPr>
        <w:autoSpaceDE w:val="0"/>
        <w:autoSpaceDN w:val="0"/>
        <w:adjustRightInd w:val="0"/>
        <w:rPr>
          <w:lang w:eastAsia="en-AU"/>
        </w:rPr>
      </w:pPr>
      <w:r w:rsidRPr="007F33AF">
        <w:rPr>
          <w:lang w:eastAsia="en-AU"/>
        </w:rPr>
        <w:t>AACRS projects will be expected to actively include people with disability</w:t>
      </w:r>
      <w:r>
        <w:rPr>
          <w:lang w:eastAsia="en-AU"/>
        </w:rPr>
        <w:t>. The relevant Government agency is the Ministry of Labour, Social Affairs, Martyrs and Disabled. Communications between AACRS and this Ministry may assist in generating information about existing capacity strengths and priorities that can be incorporated into AACRS activities.</w:t>
      </w:r>
    </w:p>
    <w:p w:rsidR="004D5AD4" w:rsidRDefault="004D5AD4" w:rsidP="004D5AD4">
      <w:pPr>
        <w:rPr>
          <w:lang w:eastAsia="en-AU"/>
        </w:rPr>
      </w:pPr>
    </w:p>
    <w:p w:rsidR="004D5AD4" w:rsidRPr="00056AF5" w:rsidRDefault="004D5AD4" w:rsidP="004D5AD4">
      <w:pPr>
        <w:rPr>
          <w:lang w:eastAsia="en-AU"/>
        </w:rPr>
      </w:pPr>
      <w:r>
        <w:rPr>
          <w:lang w:eastAsia="en-AU"/>
        </w:rPr>
        <w:t>Disabled People’s Organisations (DPOs) operate in many provinces in Afghanistan and have been supported by agencies such as Save the Children and Handicap International. DPOs are the most important source of information about the local situation of people with disabilities at local levels and priorities for development. They should be consulted during project design processes as a key means for achieving participation in AACRS supported activities.</w:t>
      </w:r>
    </w:p>
    <w:p w:rsidR="0080739E" w:rsidRDefault="0080739E" w:rsidP="0080739E">
      <w:pPr>
        <w:pStyle w:val="Heading2"/>
        <w:numPr>
          <w:ilvl w:val="1"/>
          <w:numId w:val="1"/>
        </w:numPr>
        <w:rPr>
          <w:lang w:eastAsia="en-AU"/>
        </w:rPr>
      </w:pPr>
      <w:bookmarkStart w:id="32" w:name="_Toc353974445"/>
      <w:r w:rsidRPr="00855136">
        <w:rPr>
          <w:lang w:eastAsia="en-AU"/>
        </w:rPr>
        <w:t>Disaster Risk Reduction</w:t>
      </w:r>
      <w:bookmarkEnd w:id="32"/>
    </w:p>
    <w:p w:rsidR="00E0652C" w:rsidRDefault="00E0652C" w:rsidP="0080739E">
      <w:pPr>
        <w:rPr>
          <w:lang w:eastAsia="en-AU"/>
        </w:rPr>
      </w:pPr>
    </w:p>
    <w:p w:rsidR="0080739E" w:rsidRDefault="0080739E" w:rsidP="0080739E">
      <w:pPr>
        <w:rPr>
          <w:lang w:eastAsia="en-AU"/>
        </w:rPr>
      </w:pPr>
      <w:r>
        <w:rPr>
          <w:lang w:eastAsia="en-AU"/>
        </w:rPr>
        <w:t xml:space="preserve">Afghanistan has diverse climatic zones with some parts subject to freezing snow-bound winters and others to extremely hot, dry and dust-prone summers. It means that floods and drought are common. The country is also located in a tectonic zone which experiences frequent earthquakes. The potential impact of natural disasters is heightened in fragile states like Afghanistan where there is a lack of resilience mechanisms such as effective government and civil society, as well as the financial and human resources to respond to disaster. This leaves the population, particularly rural communities, vulnerable to disaster. </w:t>
      </w:r>
    </w:p>
    <w:p w:rsidR="0080739E" w:rsidRDefault="0080739E" w:rsidP="0080739E">
      <w:pPr>
        <w:rPr>
          <w:lang w:eastAsia="en-AU"/>
        </w:rPr>
      </w:pPr>
    </w:p>
    <w:p w:rsidR="0080739E" w:rsidRDefault="0080739E" w:rsidP="0080739E">
      <w:pPr>
        <w:rPr>
          <w:lang w:eastAsia="en-AU"/>
        </w:rPr>
      </w:pPr>
      <w:r>
        <w:rPr>
          <w:lang w:eastAsia="en-AU"/>
        </w:rPr>
        <w:t>The potential for man-made disaster in the insecure parts of Afghanistan is unpredictable but ever-present, affecting the everyday lives of all Afghans. Poor safety standards and corruption can also create potential for disaster in the aviation and construction industries.</w:t>
      </w:r>
    </w:p>
    <w:p w:rsidR="0080739E" w:rsidRDefault="0080739E" w:rsidP="0080739E">
      <w:pPr>
        <w:rPr>
          <w:lang w:eastAsia="en-AU"/>
        </w:rPr>
      </w:pPr>
    </w:p>
    <w:p w:rsidR="0080739E" w:rsidRDefault="0080739E" w:rsidP="0080739E">
      <w:pPr>
        <w:rPr>
          <w:lang w:eastAsia="en-AU"/>
        </w:rPr>
      </w:pPr>
      <w:r>
        <w:rPr>
          <w:lang w:eastAsia="en-AU"/>
        </w:rPr>
        <w:t>AusAID’s Disaster Risk Reduction (DRR) policy</w:t>
      </w:r>
      <w:r>
        <w:rPr>
          <w:rStyle w:val="FootnoteReference"/>
          <w:lang w:eastAsia="en-AU"/>
        </w:rPr>
        <w:footnoteReference w:id="45"/>
      </w:r>
      <w:r>
        <w:rPr>
          <w:lang w:eastAsia="en-AU"/>
        </w:rPr>
        <w:t xml:space="preserve"> aims to</w:t>
      </w:r>
      <w:r w:rsidRPr="00564B31">
        <w:rPr>
          <w:lang w:eastAsia="en-AU"/>
        </w:rPr>
        <w:t xml:space="preserve"> redu</w:t>
      </w:r>
      <w:r>
        <w:rPr>
          <w:lang w:eastAsia="en-AU"/>
        </w:rPr>
        <w:t xml:space="preserve">ce </w:t>
      </w:r>
      <w:r w:rsidRPr="00564B31">
        <w:rPr>
          <w:lang w:eastAsia="en-AU"/>
        </w:rPr>
        <w:t>vulnerability and enhance resilience of countries and communities to disasters.</w:t>
      </w:r>
      <w:r>
        <w:rPr>
          <w:lang w:eastAsia="en-AU"/>
        </w:rPr>
        <w:t xml:space="preserve"> The Projects designed under AACRS could well support this policy. It is therefore important that it be fully understood by the design teams through discussion at the Design Workshop and links made to the DRR policy. </w:t>
      </w:r>
    </w:p>
    <w:p w:rsidR="0080739E" w:rsidRDefault="0051082A" w:rsidP="0080739E">
      <w:pPr>
        <w:pStyle w:val="Heading2"/>
        <w:numPr>
          <w:ilvl w:val="1"/>
          <w:numId w:val="1"/>
        </w:numPr>
        <w:rPr>
          <w:lang w:eastAsia="en-AU"/>
        </w:rPr>
      </w:pPr>
      <w:bookmarkStart w:id="33" w:name="_Toc353974446"/>
      <w:r>
        <w:rPr>
          <w:lang w:eastAsia="en-AU"/>
        </w:rPr>
        <w:t>Anti-Corruption &amp;</w:t>
      </w:r>
      <w:r w:rsidR="00401640">
        <w:rPr>
          <w:lang w:eastAsia="en-AU"/>
        </w:rPr>
        <w:t xml:space="preserve"> </w:t>
      </w:r>
      <w:r w:rsidR="00D55B2A">
        <w:rPr>
          <w:lang w:eastAsia="en-AU"/>
        </w:rPr>
        <w:t xml:space="preserve">Fraud </w:t>
      </w:r>
      <w:r w:rsidR="00C4578B">
        <w:rPr>
          <w:lang w:eastAsia="en-AU"/>
        </w:rPr>
        <w:t>Prevention</w:t>
      </w:r>
      <w:bookmarkEnd w:id="33"/>
      <w:r w:rsidR="00C4578B">
        <w:rPr>
          <w:lang w:eastAsia="en-AU"/>
        </w:rPr>
        <w:t xml:space="preserve"> </w:t>
      </w:r>
    </w:p>
    <w:p w:rsidR="0080739E" w:rsidRDefault="0080739E" w:rsidP="0080739E">
      <w:pPr>
        <w:rPr>
          <w:lang w:eastAsia="en-AU"/>
        </w:rPr>
      </w:pPr>
    </w:p>
    <w:p w:rsidR="0051082A" w:rsidRPr="0051082A" w:rsidRDefault="0051082A" w:rsidP="004D5AD4">
      <w:pPr>
        <w:rPr>
          <w:b/>
          <w:lang w:eastAsia="en-AU"/>
        </w:rPr>
      </w:pPr>
      <w:r w:rsidRPr="0051082A">
        <w:rPr>
          <w:b/>
          <w:lang w:eastAsia="en-AU"/>
        </w:rPr>
        <w:t>Anti-Corruption</w:t>
      </w:r>
    </w:p>
    <w:p w:rsidR="004D5AD4" w:rsidRDefault="00C00229" w:rsidP="004D5AD4">
      <w:pPr>
        <w:rPr>
          <w:lang w:eastAsia="en-AU"/>
        </w:rPr>
      </w:pPr>
      <w:r w:rsidRPr="00C00229">
        <w:rPr>
          <w:lang w:eastAsia="en-AU"/>
        </w:rPr>
        <w:t>Afghanistan is ranked last amongst countries included in Transparency International’s 2012 Corruption Perceptions Index</w:t>
      </w:r>
      <w:r w:rsidR="004D5AD4">
        <w:rPr>
          <w:lang w:eastAsia="en-AU"/>
        </w:rPr>
        <w:t>. Corruption in Afghanistan is both political (</w:t>
      </w:r>
      <w:r w:rsidR="000A086A">
        <w:rPr>
          <w:lang w:eastAsia="en-AU"/>
        </w:rPr>
        <w:t>practiced</w:t>
      </w:r>
      <w:r w:rsidR="004D5AD4">
        <w:rPr>
          <w:lang w:eastAsia="en-AU"/>
        </w:rPr>
        <w:t xml:space="preserve"> by high ranking politicians and decision-makers) and administrative (</w:t>
      </w:r>
      <w:r w:rsidR="000A086A">
        <w:rPr>
          <w:lang w:eastAsia="en-AU"/>
        </w:rPr>
        <w:t>practiced</w:t>
      </w:r>
      <w:r w:rsidR="004D5AD4">
        <w:rPr>
          <w:lang w:eastAsia="en-AU"/>
        </w:rPr>
        <w:t xml:space="preserve"> by public officials demanding bribes). Corruption is a clear impediment to economic growth and political stability. It is pervasive, and affects all levels of society. </w:t>
      </w:r>
    </w:p>
    <w:p w:rsidR="004D5AD4" w:rsidRDefault="004D5AD4" w:rsidP="004D5AD4">
      <w:pPr>
        <w:rPr>
          <w:lang w:eastAsia="en-AU"/>
        </w:rPr>
      </w:pPr>
    </w:p>
    <w:p w:rsidR="005E50F7" w:rsidRDefault="004D5AD4" w:rsidP="005E50F7">
      <w:r>
        <w:rPr>
          <w:lang w:eastAsia="en-AU"/>
        </w:rPr>
        <w:t xml:space="preserve">For AACRS, the focus is on administrative corruption, also known as petty corruption, which for the average Afghan is not petty at all. </w:t>
      </w:r>
      <w:r w:rsidR="005E50F7">
        <w:rPr>
          <w:lang w:eastAsia="en-AU"/>
        </w:rPr>
        <w:t xml:space="preserve">All AACRS NGOs will be subject to clauses within the grant agreement </w:t>
      </w:r>
      <w:r w:rsidR="005E50F7">
        <w:t>warranting</w:t>
      </w:r>
      <w:r w:rsidR="005E50F7" w:rsidRPr="000E41D0">
        <w:t xml:space="preserve"> that </w:t>
      </w:r>
      <w:r w:rsidR="005E50F7">
        <w:t>they</w:t>
      </w:r>
      <w:r w:rsidR="005E50F7" w:rsidRPr="000E41D0">
        <w:t xml:space="preserve"> </w:t>
      </w:r>
      <w:r w:rsidR="005E50F7">
        <w:t>wi</w:t>
      </w:r>
      <w:r w:rsidR="005E50F7" w:rsidRPr="000E41D0">
        <w:t xml:space="preserve">ll not make or cause to be made, nor </w:t>
      </w:r>
      <w:r w:rsidR="005E50F7">
        <w:t>wi</w:t>
      </w:r>
      <w:r w:rsidR="005E50F7" w:rsidRPr="000E41D0">
        <w:t>ll the</w:t>
      </w:r>
      <w:r w:rsidR="005E50F7">
        <w:t>y</w:t>
      </w:r>
      <w:r w:rsidR="005E50F7" w:rsidRPr="000E41D0">
        <w:t xml:space="preserve"> receive or seek to receive, any offer, gift or payment, consideration or benefit of any kind, which would or could be construed as an illegal or corrupt practice, either directly or indirectly to any party, as an inducement or reward in relation to the execution of </w:t>
      </w:r>
      <w:r w:rsidR="005E50F7">
        <w:t>the</w:t>
      </w:r>
      <w:r w:rsidR="005E50F7" w:rsidRPr="000E41D0">
        <w:t xml:space="preserve"> </w:t>
      </w:r>
      <w:r w:rsidR="005E50F7">
        <w:t>grant a</w:t>
      </w:r>
      <w:r w:rsidR="005E50F7" w:rsidRPr="000E41D0">
        <w:t>greement</w:t>
      </w:r>
      <w:r w:rsidR="005E50F7">
        <w:t xml:space="preserve">. </w:t>
      </w:r>
    </w:p>
    <w:p w:rsidR="004D5AD4" w:rsidRDefault="004D5AD4" w:rsidP="004D5AD4">
      <w:pPr>
        <w:keepNext/>
        <w:keepLines/>
        <w:rPr>
          <w:lang w:eastAsia="en-AU"/>
        </w:rPr>
      </w:pPr>
    </w:p>
    <w:p w:rsidR="004F088A" w:rsidRPr="004F088A" w:rsidRDefault="004F088A" w:rsidP="004D5AD4">
      <w:pPr>
        <w:keepNext/>
        <w:keepLines/>
        <w:rPr>
          <w:b/>
          <w:lang w:eastAsia="en-AU"/>
        </w:rPr>
      </w:pPr>
      <w:r w:rsidRPr="004F088A">
        <w:rPr>
          <w:b/>
          <w:lang w:eastAsia="en-AU"/>
        </w:rPr>
        <w:t>Fraud</w:t>
      </w:r>
    </w:p>
    <w:p w:rsidR="004F088A" w:rsidRPr="004F088A" w:rsidRDefault="004F088A" w:rsidP="004F088A">
      <w:pPr>
        <w:pStyle w:val="NormalWeb"/>
        <w:spacing w:before="0" w:beforeAutospacing="0" w:after="0" w:afterAutospacing="0"/>
        <w:rPr>
          <w:rFonts w:eastAsia="SimSun"/>
          <w:color w:val="auto"/>
          <w:lang w:eastAsia="en-AU"/>
        </w:rPr>
      </w:pPr>
      <w:r w:rsidRPr="004F088A">
        <w:rPr>
          <w:rFonts w:eastAsia="SimSun"/>
          <w:color w:val="auto"/>
          <w:lang w:eastAsia="en-AU"/>
        </w:rPr>
        <w:t xml:space="preserve">AusAID has a zero tolerance </w:t>
      </w:r>
      <w:r w:rsidR="00C00229">
        <w:rPr>
          <w:rFonts w:eastAsia="SimSun"/>
          <w:color w:val="auto"/>
          <w:lang w:eastAsia="en-AU"/>
        </w:rPr>
        <w:t>approach</w:t>
      </w:r>
      <w:r w:rsidRPr="004F088A">
        <w:rPr>
          <w:rFonts w:eastAsia="SimSun"/>
          <w:color w:val="auto"/>
          <w:lang w:eastAsia="en-AU"/>
        </w:rPr>
        <w:t xml:space="preserve"> towards fraud and maintains the highest standards of prevention, detection and remediation. All AusAID personnel (including contracted personnel) are responsible for ensuring strong, robust and effective fraud control. This responsibility also extends to Australian Government partners, commercial contractors, NGOs, other implementing partners, and partner government personnel</w:t>
      </w:r>
      <w:r w:rsidR="002546F2">
        <w:rPr>
          <w:rFonts w:eastAsia="SimSun"/>
          <w:color w:val="auto"/>
          <w:lang w:eastAsia="en-AU"/>
        </w:rPr>
        <w:t xml:space="preserve">. </w:t>
      </w:r>
      <w:r w:rsidRPr="004F088A">
        <w:rPr>
          <w:rFonts w:eastAsia="SimSun"/>
          <w:color w:val="auto"/>
          <w:lang w:eastAsia="en-AU"/>
        </w:rPr>
        <w:t xml:space="preserve">AusAID’s </w:t>
      </w:r>
      <w:r w:rsidRPr="00C00229">
        <w:rPr>
          <w:rFonts w:eastAsia="SimSun"/>
          <w:i/>
          <w:color w:val="auto"/>
          <w:lang w:eastAsia="en-AU"/>
        </w:rPr>
        <w:t>Fraud Policy Statement</w:t>
      </w:r>
      <w:r>
        <w:rPr>
          <w:rStyle w:val="FootnoteReference"/>
          <w:rFonts w:eastAsia="SimSun"/>
          <w:color w:val="auto"/>
          <w:lang w:eastAsia="en-AU"/>
        </w:rPr>
        <w:footnoteReference w:id="46"/>
      </w:r>
      <w:r w:rsidRPr="004F088A">
        <w:rPr>
          <w:rFonts w:eastAsia="SimSun"/>
          <w:color w:val="auto"/>
          <w:lang w:eastAsia="en-AU"/>
        </w:rPr>
        <w:t xml:space="preserve"> is part of AusAID’s fraud control framework, and details the obligations of all personnel, commercial contractors, NGOs and other implementing partners for fraud awareness, reporting and remediation. </w:t>
      </w:r>
    </w:p>
    <w:p w:rsidR="004F088A" w:rsidRPr="004F088A" w:rsidRDefault="004F088A" w:rsidP="004F088A">
      <w:pPr>
        <w:pStyle w:val="NormalWeb"/>
        <w:spacing w:before="0" w:beforeAutospacing="0" w:after="0" w:afterAutospacing="0"/>
        <w:rPr>
          <w:rFonts w:eastAsia="SimSun"/>
          <w:color w:val="auto"/>
          <w:lang w:eastAsia="en-AU"/>
        </w:rPr>
      </w:pPr>
    </w:p>
    <w:p w:rsidR="004F088A" w:rsidRPr="004F088A" w:rsidRDefault="004F088A" w:rsidP="004F088A">
      <w:pPr>
        <w:rPr>
          <w:lang w:eastAsia="en-AU"/>
        </w:rPr>
      </w:pPr>
      <w:r>
        <w:rPr>
          <w:lang w:eastAsia="en-AU"/>
        </w:rPr>
        <w:t>“Fraudulent Activity”, “Fraud” or “Fraudulent” means dishonestly obtaining a benefit, or causing a loss, by deception or other means</w:t>
      </w:r>
      <w:r w:rsidR="002546F2">
        <w:rPr>
          <w:lang w:eastAsia="en-AU"/>
        </w:rPr>
        <w:t xml:space="preserve">. </w:t>
      </w:r>
      <w:r w:rsidRPr="004F088A">
        <w:rPr>
          <w:lang w:eastAsia="en-AU"/>
        </w:rPr>
        <w:t xml:space="preserve">This definition includes alleged, attempted, </w:t>
      </w:r>
      <w:r>
        <w:rPr>
          <w:lang w:eastAsia="en-AU"/>
        </w:rPr>
        <w:t xml:space="preserve">suspected or detected fraud. </w:t>
      </w:r>
      <w:r w:rsidRPr="004F088A">
        <w:rPr>
          <w:lang w:eastAsia="en-AU"/>
        </w:rPr>
        <w:t>For all instances of alleged, attempted</w:t>
      </w:r>
      <w:r>
        <w:rPr>
          <w:lang w:eastAsia="en-AU"/>
        </w:rPr>
        <w:t>, suspected or detected fraud, AusAID will:</w:t>
      </w:r>
    </w:p>
    <w:p w:rsidR="004F088A" w:rsidRPr="004F088A" w:rsidRDefault="004F088A" w:rsidP="004F088A">
      <w:pPr>
        <w:keepNext/>
        <w:ind w:left="720"/>
        <w:rPr>
          <w:lang w:eastAsia="en-AU"/>
        </w:rPr>
      </w:pPr>
    </w:p>
    <w:p w:rsidR="004F088A" w:rsidRDefault="004F088A" w:rsidP="004F088A">
      <w:pPr>
        <w:numPr>
          <w:ilvl w:val="0"/>
          <w:numId w:val="39"/>
        </w:numPr>
        <w:rPr>
          <w:lang w:eastAsia="en-AU"/>
        </w:rPr>
      </w:pPr>
      <w:r>
        <w:rPr>
          <w:lang w:eastAsia="en-AU"/>
        </w:rPr>
        <w:t>investigate the matter</w:t>
      </w:r>
    </w:p>
    <w:p w:rsidR="004F088A" w:rsidRPr="004F088A" w:rsidRDefault="004F088A" w:rsidP="004F088A">
      <w:pPr>
        <w:numPr>
          <w:ilvl w:val="0"/>
          <w:numId w:val="39"/>
        </w:numPr>
        <w:rPr>
          <w:lang w:eastAsia="en-AU"/>
        </w:rPr>
      </w:pPr>
      <w:r w:rsidRPr="004F088A">
        <w:rPr>
          <w:lang w:eastAsia="en-AU"/>
        </w:rPr>
        <w:t>where possible, prosecute offenders or apply other appropriate penalties, and</w:t>
      </w:r>
    </w:p>
    <w:p w:rsidR="004F088A" w:rsidRPr="004F088A" w:rsidRDefault="004F088A" w:rsidP="004F088A">
      <w:pPr>
        <w:numPr>
          <w:ilvl w:val="0"/>
          <w:numId w:val="39"/>
        </w:numPr>
        <w:rPr>
          <w:lang w:eastAsia="en-AU"/>
        </w:rPr>
      </w:pPr>
      <w:proofErr w:type="gramStart"/>
      <w:r w:rsidRPr="004F088A">
        <w:rPr>
          <w:lang w:eastAsia="en-AU"/>
        </w:rPr>
        <w:t>pursue</w:t>
      </w:r>
      <w:proofErr w:type="gramEnd"/>
      <w:r w:rsidRPr="004F088A">
        <w:rPr>
          <w:lang w:eastAsia="en-AU"/>
        </w:rPr>
        <w:t xml:space="preserve"> the recovery of misappropriated funds or assets.</w:t>
      </w:r>
    </w:p>
    <w:p w:rsidR="004F088A" w:rsidRPr="004F088A" w:rsidRDefault="004F088A" w:rsidP="004F088A">
      <w:pPr>
        <w:ind w:left="1440"/>
        <w:rPr>
          <w:lang w:eastAsia="en-AU"/>
        </w:rPr>
      </w:pPr>
    </w:p>
    <w:p w:rsidR="004F088A" w:rsidRPr="004F088A" w:rsidRDefault="004F088A" w:rsidP="004F088A">
      <w:pPr>
        <w:pStyle w:val="NormalWeb"/>
        <w:spacing w:before="0" w:beforeAutospacing="0" w:after="0" w:afterAutospacing="0"/>
        <w:rPr>
          <w:rFonts w:eastAsia="SimSun"/>
          <w:color w:val="auto"/>
          <w:lang w:eastAsia="en-AU"/>
        </w:rPr>
      </w:pPr>
      <w:r w:rsidRPr="004F088A">
        <w:rPr>
          <w:rFonts w:eastAsia="SimSun"/>
          <w:color w:val="auto"/>
          <w:lang w:eastAsia="en-AU"/>
        </w:rPr>
        <w:t xml:space="preserve">AusAID </w:t>
      </w:r>
      <w:r w:rsidR="00CE1010">
        <w:rPr>
          <w:rFonts w:eastAsia="SimSun"/>
          <w:color w:val="auto"/>
          <w:lang w:eastAsia="en-AU"/>
        </w:rPr>
        <w:t>requires</w:t>
      </w:r>
      <w:r w:rsidRPr="004F088A">
        <w:rPr>
          <w:rFonts w:eastAsia="SimSun"/>
          <w:color w:val="auto"/>
          <w:lang w:eastAsia="en-AU"/>
        </w:rPr>
        <w:t xml:space="preserve"> its partners to take swift action in all cases where fraud is alleged, attempted, suspected or detected.</w:t>
      </w:r>
    </w:p>
    <w:p w:rsidR="004F088A" w:rsidRPr="004F088A" w:rsidRDefault="004F088A" w:rsidP="004F088A">
      <w:pPr>
        <w:ind w:left="720"/>
        <w:rPr>
          <w:lang w:eastAsia="en-AU"/>
        </w:rPr>
      </w:pPr>
    </w:p>
    <w:p w:rsidR="004F088A" w:rsidRDefault="004F088A" w:rsidP="004F088A">
      <w:pPr>
        <w:rPr>
          <w:lang w:eastAsia="en-AU"/>
        </w:rPr>
      </w:pPr>
      <w:r>
        <w:rPr>
          <w:lang w:eastAsia="en-AU"/>
        </w:rPr>
        <w:t xml:space="preserve">AusAID will communicate AusAID’s </w:t>
      </w:r>
      <w:r w:rsidRPr="004F088A">
        <w:rPr>
          <w:i/>
          <w:lang w:eastAsia="en-AU"/>
        </w:rPr>
        <w:t>Fraud Policy Statement</w:t>
      </w:r>
      <w:r>
        <w:rPr>
          <w:lang w:eastAsia="en-AU"/>
        </w:rPr>
        <w:t xml:space="preserve"> to all partners during the Design </w:t>
      </w:r>
      <w:r w:rsidR="00C00229">
        <w:rPr>
          <w:lang w:eastAsia="en-AU"/>
        </w:rPr>
        <w:t xml:space="preserve">and Partnership </w:t>
      </w:r>
      <w:r>
        <w:rPr>
          <w:lang w:eastAsia="en-AU"/>
        </w:rPr>
        <w:t xml:space="preserve">Workshop. Fraud Awareness Training will be provided to NGO partners, and possibly local Afghan partners, within the first year of </w:t>
      </w:r>
      <w:r w:rsidR="00C00229">
        <w:rPr>
          <w:lang w:eastAsia="en-AU"/>
        </w:rPr>
        <w:t xml:space="preserve">the </w:t>
      </w:r>
      <w:r>
        <w:rPr>
          <w:lang w:eastAsia="en-AU"/>
        </w:rPr>
        <w:t>AACRS.</w:t>
      </w:r>
    </w:p>
    <w:p w:rsidR="0080739E" w:rsidRDefault="0080739E" w:rsidP="0080739E">
      <w:pPr>
        <w:pStyle w:val="Heading2"/>
        <w:numPr>
          <w:ilvl w:val="1"/>
          <w:numId w:val="1"/>
        </w:numPr>
        <w:rPr>
          <w:lang w:val="pt-PT" w:eastAsia="en-AU"/>
        </w:rPr>
      </w:pPr>
      <w:bookmarkStart w:id="34" w:name="_Toc353974447"/>
      <w:r w:rsidRPr="002E76F2">
        <w:rPr>
          <w:lang w:val="pt-PT" w:eastAsia="en-AU"/>
        </w:rPr>
        <w:t>Fragile States – “Do No Harm</w:t>
      </w:r>
      <w:r>
        <w:rPr>
          <w:lang w:val="pt-PT" w:eastAsia="en-AU"/>
        </w:rPr>
        <w:t>”</w:t>
      </w:r>
      <w:bookmarkEnd w:id="34"/>
    </w:p>
    <w:p w:rsidR="0080739E" w:rsidRDefault="0080739E" w:rsidP="0080739E">
      <w:pPr>
        <w:rPr>
          <w:lang w:val="pt-PT" w:eastAsia="en-AU"/>
        </w:rPr>
      </w:pPr>
    </w:p>
    <w:p w:rsidR="0080739E" w:rsidRDefault="0080739E" w:rsidP="0080739E">
      <w:pPr>
        <w:rPr>
          <w:lang w:val="en-AU" w:eastAsia="en-AU"/>
        </w:rPr>
      </w:pPr>
      <w:r w:rsidRPr="00EE57CE">
        <w:rPr>
          <w:lang w:val="en-AU" w:eastAsia="en-AU"/>
        </w:rPr>
        <w:t xml:space="preserve">More than 1.5 billion people live in fragile and conflict-affected countries. Caught in cycles of poverty and violence, these countries </w:t>
      </w:r>
      <w:r>
        <w:rPr>
          <w:lang w:val="en-AU" w:eastAsia="en-AU"/>
        </w:rPr>
        <w:t>struggle to achieve their</w:t>
      </w:r>
      <w:r w:rsidRPr="00EE57CE">
        <w:rPr>
          <w:lang w:val="en-AU" w:eastAsia="en-AU"/>
        </w:rPr>
        <w:t xml:space="preserve"> Millennium Development Goal </w:t>
      </w:r>
      <w:r>
        <w:rPr>
          <w:lang w:val="en-AU" w:eastAsia="en-AU"/>
        </w:rPr>
        <w:t>targets</w:t>
      </w:r>
      <w:r w:rsidRPr="00EE57CE">
        <w:rPr>
          <w:lang w:val="en-AU" w:eastAsia="en-AU"/>
        </w:rPr>
        <w:t>. At the Fourth High-Level Forum on Aid Effectiveness</w:t>
      </w:r>
      <w:r>
        <w:rPr>
          <w:lang w:val="en-AU" w:eastAsia="en-AU"/>
        </w:rPr>
        <w:t xml:space="preserve"> held</w:t>
      </w:r>
      <w:r w:rsidRPr="00EE57CE">
        <w:rPr>
          <w:lang w:val="en-AU" w:eastAsia="en-AU"/>
        </w:rPr>
        <w:t xml:space="preserve"> in Busan</w:t>
      </w:r>
      <w:r>
        <w:rPr>
          <w:lang w:val="en-AU" w:eastAsia="en-AU"/>
        </w:rPr>
        <w:t xml:space="preserve"> in late 2011</w:t>
      </w:r>
      <w:r w:rsidRPr="00EE57CE">
        <w:rPr>
          <w:lang w:val="en-AU" w:eastAsia="en-AU"/>
        </w:rPr>
        <w:t>, a number of countries and international organisations endorsed an agreement on a new global direction for engagement with fragile states. The New Deal for Engagement in Fragi</w:t>
      </w:r>
      <w:r w:rsidR="00CE1010">
        <w:rPr>
          <w:lang w:val="en-AU" w:eastAsia="en-AU"/>
        </w:rPr>
        <w:t>le States sets out five goals – l</w:t>
      </w:r>
      <w:r w:rsidRPr="00EE57CE">
        <w:rPr>
          <w:lang w:val="en-AU" w:eastAsia="en-AU"/>
        </w:rPr>
        <w:t xml:space="preserve">egitimate politics, justice, security, economic foundations and revenues and services </w:t>
      </w:r>
      <w:r w:rsidR="00CE1010">
        <w:rPr>
          <w:lang w:val="en-AU" w:eastAsia="en-AU"/>
        </w:rPr>
        <w:t xml:space="preserve">– </w:t>
      </w:r>
      <w:r w:rsidRPr="00EE57CE">
        <w:rPr>
          <w:lang w:val="en-AU" w:eastAsia="en-AU"/>
        </w:rPr>
        <w:t>to give clarity on the priorities in fragile states.</w:t>
      </w:r>
      <w:r>
        <w:rPr>
          <w:lang w:val="en-AU" w:eastAsia="en-AU"/>
        </w:rPr>
        <w:t xml:space="preserve"> Afghanistan and Australia were two members of the group of 35 countries and six multilateral organisations (“the Dialogue”) which endorsed the New Deal. The Dialogue group recognised that constructive engagement with civil society and empowerment of women, youth and marginalised groups as key actors for peace would be at the heart of successful </w:t>
      </w:r>
      <w:r w:rsidR="001E681E">
        <w:rPr>
          <w:lang w:val="en-AU" w:eastAsia="en-AU"/>
        </w:rPr>
        <w:t xml:space="preserve">peace </w:t>
      </w:r>
      <w:r w:rsidR="001E681E">
        <w:rPr>
          <w:lang w:val="en-AU" w:eastAsia="en-AU"/>
        </w:rPr>
        <w:lastRenderedPageBreak/>
        <w:t>building</w:t>
      </w:r>
      <w:r>
        <w:rPr>
          <w:lang w:val="en-AU" w:eastAsia="en-AU"/>
        </w:rPr>
        <w:t xml:space="preserve"> and </w:t>
      </w:r>
      <w:r w:rsidR="001E681E">
        <w:rPr>
          <w:lang w:val="en-AU" w:eastAsia="en-AU"/>
        </w:rPr>
        <w:t>state building</w:t>
      </w:r>
      <w:r>
        <w:rPr>
          <w:lang w:val="en-AU" w:eastAsia="en-AU"/>
        </w:rPr>
        <w:t>. They acknowledged that governance transformations in fragile states may take 20-40 years.</w:t>
      </w:r>
    </w:p>
    <w:p w:rsidR="0080739E" w:rsidRDefault="0080739E" w:rsidP="0080739E">
      <w:pPr>
        <w:rPr>
          <w:lang w:val="en-AU" w:eastAsia="en-AU"/>
        </w:rPr>
      </w:pPr>
    </w:p>
    <w:p w:rsidR="0080739E" w:rsidRPr="00EE57CE" w:rsidRDefault="0080739E" w:rsidP="0080739E">
      <w:pPr>
        <w:rPr>
          <w:lang w:val="en-AU" w:eastAsia="en-AU"/>
        </w:rPr>
      </w:pPr>
      <w:r>
        <w:rPr>
          <w:lang w:val="en-AU" w:eastAsia="en-AU"/>
        </w:rPr>
        <w:t xml:space="preserve">In working with vulnerable groups to </w:t>
      </w:r>
      <w:r w:rsidR="00F93D90">
        <w:rPr>
          <w:lang w:val="en-AU" w:eastAsia="en-AU"/>
        </w:rPr>
        <w:t xml:space="preserve">improve </w:t>
      </w:r>
      <w:r w:rsidR="00870630">
        <w:rPr>
          <w:lang w:val="en-AU" w:eastAsia="en-AU"/>
        </w:rPr>
        <w:t>community resilience</w:t>
      </w:r>
      <w:r w:rsidR="00F93D90">
        <w:rPr>
          <w:lang w:val="en-AU" w:eastAsia="en-AU"/>
        </w:rPr>
        <w:t xml:space="preserve"> and livelihood</w:t>
      </w:r>
      <w:r w:rsidR="00870630">
        <w:rPr>
          <w:lang w:val="en-AU" w:eastAsia="en-AU"/>
        </w:rPr>
        <w:t>s</w:t>
      </w:r>
      <w:r>
        <w:rPr>
          <w:lang w:val="en-AU" w:eastAsia="en-AU"/>
        </w:rPr>
        <w:t xml:space="preserve">, </w:t>
      </w:r>
      <w:r w:rsidR="00C00229">
        <w:rPr>
          <w:lang w:val="en-AU" w:eastAsia="en-AU"/>
        </w:rPr>
        <w:t xml:space="preserve">the </w:t>
      </w:r>
      <w:r>
        <w:rPr>
          <w:lang w:val="en-AU" w:eastAsia="en-AU"/>
        </w:rPr>
        <w:t xml:space="preserve">AACRS will be contributing in a small way to these ambitious goals of peaceful </w:t>
      </w:r>
      <w:r w:rsidR="001E681E">
        <w:rPr>
          <w:lang w:val="en-AU" w:eastAsia="en-AU"/>
        </w:rPr>
        <w:t>state building</w:t>
      </w:r>
      <w:r>
        <w:rPr>
          <w:lang w:val="en-AU" w:eastAsia="en-AU"/>
        </w:rPr>
        <w:t xml:space="preserve"> and MDG achievement. Expectations should be realistic and the focus practical. Of immediate practical concern in rural Afghanistan is security. </w:t>
      </w:r>
    </w:p>
    <w:p w:rsidR="0080739E" w:rsidRDefault="0080739E" w:rsidP="0080739E">
      <w:pPr>
        <w:rPr>
          <w:lang w:val="en-AU" w:eastAsia="en-AU"/>
        </w:rPr>
      </w:pPr>
    </w:p>
    <w:p w:rsidR="0080739E" w:rsidRDefault="0080739E" w:rsidP="0080739E">
      <w:pPr>
        <w:rPr>
          <w:lang w:val="en-AU" w:eastAsia="en-AU"/>
        </w:rPr>
      </w:pPr>
      <w:r>
        <w:rPr>
          <w:lang w:val="en-AU" w:eastAsia="en-AU"/>
        </w:rPr>
        <w:t xml:space="preserve">The </w:t>
      </w:r>
      <w:r w:rsidRPr="0095127F">
        <w:rPr>
          <w:lang w:val="en-AU" w:eastAsia="en-AU"/>
        </w:rPr>
        <w:t>Afghanistan NGO Safety Office</w:t>
      </w:r>
      <w:r>
        <w:rPr>
          <w:lang w:val="en-AU" w:eastAsia="en-AU"/>
        </w:rPr>
        <w:t>’s</w:t>
      </w:r>
      <w:r w:rsidRPr="0095127F">
        <w:rPr>
          <w:lang w:val="en-AU" w:eastAsia="en-AU"/>
        </w:rPr>
        <w:t xml:space="preserve"> </w:t>
      </w:r>
      <w:r>
        <w:rPr>
          <w:lang w:val="en-AU" w:eastAsia="en-AU"/>
        </w:rPr>
        <w:t>(</w:t>
      </w:r>
      <w:r w:rsidRPr="0095127F">
        <w:rPr>
          <w:lang w:val="en-AU" w:eastAsia="en-AU"/>
        </w:rPr>
        <w:t>ANSO’</w:t>
      </w:r>
      <w:r>
        <w:rPr>
          <w:lang w:val="en-AU" w:eastAsia="en-AU"/>
        </w:rPr>
        <w:t xml:space="preserve">s) traffic-light (plus black) based map below illustrates the </w:t>
      </w:r>
      <w:r w:rsidR="00A11C5F">
        <w:rPr>
          <w:lang w:val="en-AU" w:eastAsia="en-AU"/>
        </w:rPr>
        <w:t xml:space="preserve">complexities </w:t>
      </w:r>
      <w:r>
        <w:rPr>
          <w:lang w:val="en-AU" w:eastAsia="en-AU"/>
        </w:rPr>
        <w:t>for NGOs in working in rural Afghanistan. The shading is based on number of incidents where NGOs or CSOs have been the t</w:t>
      </w:r>
      <w:r w:rsidR="003C35A7">
        <w:rPr>
          <w:lang w:val="en-AU" w:eastAsia="en-AU"/>
        </w:rPr>
        <w:t>arget during January-March 2012</w:t>
      </w:r>
      <w:r>
        <w:rPr>
          <w:lang w:val="en-AU" w:eastAsia="en-AU"/>
        </w:rPr>
        <w:t>,</w:t>
      </w:r>
      <w:r w:rsidR="003C35A7">
        <w:rPr>
          <w:lang w:val="en-AU" w:eastAsia="en-AU"/>
        </w:rPr>
        <w:t xml:space="preserve"> noting</w:t>
      </w:r>
      <w:r>
        <w:rPr>
          <w:lang w:val="en-AU" w:eastAsia="en-AU"/>
        </w:rPr>
        <w:t xml:space="preserve"> the number of incidents has reduced in 2012 relative to previous years. It should be noted that the </w:t>
      </w:r>
      <w:r w:rsidR="003C35A7">
        <w:rPr>
          <w:lang w:val="en-AU" w:eastAsia="en-AU"/>
        </w:rPr>
        <w:t>twelve</w:t>
      </w:r>
      <w:r>
        <w:rPr>
          <w:lang w:val="en-AU" w:eastAsia="en-AU"/>
        </w:rPr>
        <w:t xml:space="preserve"> NGOs consulted in the design of AACRS are implementing projects in provinces in the dangerous categories. Applying ANSO’s traffic light (plus black) colours to the provinces in </w:t>
      </w:r>
      <w:r w:rsidR="00895F74">
        <w:rPr>
          <w:u w:val="single"/>
          <w:lang w:val="en-AU" w:eastAsia="en-AU"/>
        </w:rPr>
        <w:t>Annex 4B</w:t>
      </w:r>
      <w:r w:rsidRPr="001E7587">
        <w:rPr>
          <w:lang w:val="en-AU" w:eastAsia="en-AU"/>
        </w:rPr>
        <w:t xml:space="preserve"> </w:t>
      </w:r>
      <w:r w:rsidRPr="00A1471D">
        <w:rPr>
          <w:lang w:val="en-AU" w:eastAsia="en-AU"/>
        </w:rPr>
        <w:t xml:space="preserve">shows that </w:t>
      </w:r>
      <w:r>
        <w:rPr>
          <w:lang w:val="en-AU" w:eastAsia="en-AU"/>
        </w:rPr>
        <w:t>there is little correlation between security and the locations of Australian NGO activity. Map 2 below shows status of the four provinces where there is no current NGO activity as green (</w:t>
      </w:r>
      <w:r>
        <w:rPr>
          <w:lang w:eastAsia="en-AU"/>
        </w:rPr>
        <w:t>Nimruz, and Sar-e-pol) or orange (Farah and Paktika). In the five provinces shaded in red and black which had the highest levels of attacks in Quarter 1 of 2012, the NGOs had 15 activities</w:t>
      </w:r>
      <w:r w:rsidR="0045168E">
        <w:rPr>
          <w:lang w:eastAsia="en-AU"/>
        </w:rPr>
        <w:t xml:space="preserve">. </w:t>
      </w:r>
      <w:r>
        <w:rPr>
          <w:lang w:eastAsia="en-AU"/>
        </w:rPr>
        <w:t xml:space="preserve">In the area in the north west shaded orange, but marked as an “area of special concern” there are a further </w:t>
      </w:r>
      <w:r w:rsidR="00870630">
        <w:rPr>
          <w:lang w:eastAsia="en-AU"/>
        </w:rPr>
        <w:t>eleven</w:t>
      </w:r>
      <w:r>
        <w:rPr>
          <w:lang w:eastAsia="en-AU"/>
        </w:rPr>
        <w:t xml:space="preserve"> activities.</w:t>
      </w:r>
    </w:p>
    <w:p w:rsidR="0080739E" w:rsidRDefault="0080739E" w:rsidP="0080739E">
      <w:pPr>
        <w:rPr>
          <w:lang w:val="en-AU" w:eastAsia="en-AU"/>
        </w:rPr>
      </w:pPr>
    </w:p>
    <w:p w:rsidR="0080739E" w:rsidRPr="006E0785" w:rsidRDefault="0080739E" w:rsidP="0080739E">
      <w:pPr>
        <w:rPr>
          <w:lang w:val="en-AU" w:eastAsia="en-AU"/>
        </w:rPr>
      </w:pPr>
      <w:r>
        <w:rPr>
          <w:lang w:val="en-AU" w:eastAsia="en-AU"/>
        </w:rPr>
        <w:t>What does it mean when designing a project to be implemented in an insecure location in a fragile state? A key principle is that the project should “do no harm” to staff implementing the project or project beneficiaries now or in the future. “Do no harm” is an a</w:t>
      </w:r>
      <w:r w:rsidRPr="006E0785">
        <w:rPr>
          <w:lang w:val="en-AU" w:eastAsia="en-AU"/>
        </w:rPr>
        <w:t xml:space="preserve">pproach to development that aims to ensure that interventions do not have inadvertent negative effects by leading to (violent) conflict or by undermining </w:t>
      </w:r>
      <w:r w:rsidR="001E681E" w:rsidRPr="006E0785">
        <w:rPr>
          <w:lang w:val="en-AU" w:eastAsia="en-AU"/>
        </w:rPr>
        <w:t>state building</w:t>
      </w:r>
      <w:r w:rsidRPr="006E0785">
        <w:rPr>
          <w:lang w:val="en-AU" w:eastAsia="en-AU"/>
        </w:rPr>
        <w:t xml:space="preserve"> processes</w:t>
      </w:r>
      <w:r>
        <w:rPr>
          <w:lang w:val="en-AU" w:eastAsia="en-AU"/>
        </w:rPr>
        <w:t>. This is further outlined in</w:t>
      </w:r>
      <w:r w:rsidR="003C35A7">
        <w:rPr>
          <w:lang w:val="en-AU" w:eastAsia="en-AU"/>
        </w:rPr>
        <w:t xml:space="preserve"> AusAID’s 2011 </w:t>
      </w:r>
      <w:r w:rsidR="003C35A7" w:rsidRPr="00316D43">
        <w:rPr>
          <w:i/>
          <w:lang w:val="en-AU"/>
        </w:rPr>
        <w:t>Framework for Working in Fragile and Conflict-Affected States</w:t>
      </w:r>
      <w:r w:rsidR="003C35A7">
        <w:rPr>
          <w:i/>
          <w:lang w:val="en-AU"/>
        </w:rPr>
        <w:t>.</w:t>
      </w:r>
      <w:r w:rsidR="003C35A7" w:rsidRPr="003C35A7">
        <w:rPr>
          <w:rStyle w:val="FootnoteReference"/>
          <w:lang w:val="en-AU"/>
        </w:rPr>
        <w:footnoteReference w:id="47"/>
      </w: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C0417B" w:rsidRDefault="00C0417B" w:rsidP="0080739E">
      <w:pPr>
        <w:rPr>
          <w:rFonts w:ascii="Arial" w:hAnsi="Arial" w:cs="Arial"/>
          <w:b/>
          <w:bCs/>
          <w:sz w:val="20"/>
          <w:szCs w:val="20"/>
          <w:lang w:val="en-AU" w:eastAsia="en-AU"/>
        </w:rPr>
      </w:pPr>
    </w:p>
    <w:p w:rsidR="0080739E" w:rsidRDefault="00C00229" w:rsidP="0080739E">
      <w:pPr>
        <w:rPr>
          <w:rFonts w:ascii="Arial" w:hAnsi="Arial" w:cs="Arial"/>
          <w:b/>
          <w:bCs/>
          <w:sz w:val="20"/>
          <w:szCs w:val="20"/>
          <w:lang w:val="en-AU"/>
        </w:rPr>
      </w:pPr>
      <w:r>
        <w:rPr>
          <w:rFonts w:ascii="Arial" w:hAnsi="Arial" w:cs="Arial"/>
          <w:b/>
          <w:bCs/>
          <w:sz w:val="20"/>
          <w:szCs w:val="20"/>
          <w:lang w:val="en-AU" w:eastAsia="en-AU"/>
        </w:rPr>
        <w:t>Map 1</w:t>
      </w:r>
      <w:r w:rsidR="0080739E" w:rsidRPr="003716B7">
        <w:rPr>
          <w:rFonts w:ascii="Arial" w:hAnsi="Arial" w:cs="Arial"/>
          <w:b/>
          <w:bCs/>
          <w:sz w:val="20"/>
          <w:szCs w:val="20"/>
          <w:lang w:val="en-AU" w:eastAsia="en-AU"/>
        </w:rPr>
        <w:t>:</w:t>
      </w:r>
      <w:r w:rsidR="0080739E" w:rsidRPr="003716B7">
        <w:rPr>
          <w:rFonts w:ascii="Arial" w:hAnsi="Arial" w:cs="Arial"/>
          <w:sz w:val="20"/>
          <w:szCs w:val="20"/>
          <w:lang w:val="en-AU" w:eastAsia="en-AU"/>
        </w:rPr>
        <w:t xml:space="preserve"> </w:t>
      </w:r>
      <w:r w:rsidR="0080739E" w:rsidRPr="003716B7">
        <w:rPr>
          <w:rFonts w:ascii="Arial" w:hAnsi="Arial" w:cs="Arial"/>
          <w:b/>
          <w:bCs/>
          <w:sz w:val="20"/>
          <w:szCs w:val="20"/>
          <w:lang w:val="en-AU"/>
        </w:rPr>
        <w:t>ANSO Map Showing Attack Volumes, Q1 2012</w:t>
      </w:r>
    </w:p>
    <w:p w:rsidR="00870630" w:rsidRDefault="00870630" w:rsidP="0080739E">
      <w:pPr>
        <w:rPr>
          <w:rFonts w:ascii="Arial" w:hAnsi="Arial" w:cs="Arial"/>
          <w:b/>
          <w:bCs/>
          <w:sz w:val="20"/>
          <w:szCs w:val="20"/>
          <w:lang w:val="en-AU"/>
        </w:rPr>
      </w:pPr>
    </w:p>
    <w:p w:rsidR="0080739E" w:rsidRPr="00AE6CFB" w:rsidRDefault="0080739E" w:rsidP="0080739E">
      <w:pPr>
        <w:rPr>
          <w:lang w:val="en-AU" w:eastAsia="en-AU"/>
        </w:rPr>
      </w:pPr>
      <w:r>
        <w:rPr>
          <w:noProof/>
          <w:lang w:val="en-AU" w:eastAsia="en-AU"/>
        </w:rPr>
        <w:drawing>
          <wp:inline distT="0" distB="0" distL="0" distR="0" wp14:anchorId="462033FF" wp14:editId="5C779A06">
            <wp:extent cx="6054705" cy="4391025"/>
            <wp:effectExtent l="0" t="0" r="3810" b="0"/>
            <wp:docPr id="5" name="Picture 1" descr="Q1 201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1 2012">
                      <a:hlinkClick r:id="rId20"/>
                    </pic:cNvPr>
                    <pic:cNvPicPr>
                      <a:picLocks noChangeAspect="1" noChangeArrowheads="1"/>
                    </pic:cNvPicPr>
                  </pic:nvPicPr>
                  <pic:blipFill>
                    <a:blip r:embed="rId21" cstate="print"/>
                    <a:srcRect/>
                    <a:stretch>
                      <a:fillRect/>
                    </a:stretch>
                  </pic:blipFill>
                  <pic:spPr bwMode="auto">
                    <a:xfrm>
                      <a:off x="0" y="0"/>
                      <a:ext cx="6054705" cy="4391025"/>
                    </a:xfrm>
                    <a:prstGeom prst="rect">
                      <a:avLst/>
                    </a:prstGeom>
                    <a:noFill/>
                    <a:ln w="9525">
                      <a:noFill/>
                      <a:miter lim="800000"/>
                      <a:headEnd/>
                      <a:tailEnd/>
                    </a:ln>
                  </pic:spPr>
                </pic:pic>
              </a:graphicData>
            </a:graphic>
          </wp:inline>
        </w:drawing>
      </w:r>
    </w:p>
    <w:p w:rsidR="0080739E" w:rsidRPr="00AE6CFB" w:rsidRDefault="0080739E" w:rsidP="0080739E">
      <w:pPr>
        <w:rPr>
          <w:lang w:val="en-AU" w:eastAsia="en-AU"/>
        </w:rPr>
      </w:pPr>
    </w:p>
    <w:p w:rsidR="0080739E" w:rsidRPr="00AD0541" w:rsidRDefault="0080739E" w:rsidP="0080739E">
      <w:pPr>
        <w:rPr>
          <w:sz w:val="20"/>
          <w:szCs w:val="20"/>
          <w:lang w:val="fr-FR" w:eastAsia="en-AU"/>
        </w:rPr>
      </w:pPr>
      <w:r w:rsidRPr="00AD0541">
        <w:rPr>
          <w:sz w:val="20"/>
          <w:szCs w:val="20"/>
          <w:u w:val="single"/>
          <w:lang w:val="fr-FR" w:eastAsia="en-AU"/>
        </w:rPr>
        <w:t>Source</w:t>
      </w:r>
      <w:r w:rsidRPr="00AD0541">
        <w:rPr>
          <w:sz w:val="20"/>
          <w:szCs w:val="20"/>
          <w:lang w:val="fr-FR" w:eastAsia="en-AU"/>
        </w:rPr>
        <w:t xml:space="preserve">: ANSO, </w:t>
      </w:r>
      <w:hyperlink r:id="rId22" w:history="1">
        <w:r w:rsidRPr="00AD0541">
          <w:rPr>
            <w:rStyle w:val="Hyperlink"/>
            <w:sz w:val="20"/>
            <w:szCs w:val="20"/>
            <w:lang w:val="fr-FR" w:eastAsia="en-AU"/>
          </w:rPr>
          <w:t>http://www.ngosafety.org/index.php?pageid=67</w:t>
        </w:r>
      </w:hyperlink>
    </w:p>
    <w:p w:rsidR="0080739E" w:rsidRPr="009911F5" w:rsidRDefault="0080739E" w:rsidP="0080739E">
      <w:pPr>
        <w:rPr>
          <w:lang w:val="fr-FR" w:eastAsia="en-AU"/>
        </w:rPr>
      </w:pPr>
    </w:p>
    <w:p w:rsidR="0080739E" w:rsidRDefault="0080739E" w:rsidP="0080739E">
      <w:pPr>
        <w:pStyle w:val="Heading2"/>
        <w:numPr>
          <w:ilvl w:val="1"/>
          <w:numId w:val="1"/>
        </w:numPr>
        <w:rPr>
          <w:lang w:eastAsia="en-AU"/>
        </w:rPr>
      </w:pPr>
      <w:bookmarkStart w:id="35" w:name="_Toc353974448"/>
      <w:r w:rsidRPr="00855136">
        <w:rPr>
          <w:lang w:eastAsia="en-AU"/>
        </w:rPr>
        <w:t>Environment</w:t>
      </w:r>
      <w:bookmarkEnd w:id="35"/>
    </w:p>
    <w:p w:rsidR="0080739E" w:rsidRDefault="0080739E" w:rsidP="0080739E">
      <w:pPr>
        <w:rPr>
          <w:lang w:eastAsia="en-AU"/>
        </w:rPr>
      </w:pPr>
    </w:p>
    <w:p w:rsidR="0080739E" w:rsidRDefault="0080739E" w:rsidP="0080739E">
      <w:pPr>
        <w:rPr>
          <w:lang w:eastAsia="en-AU"/>
        </w:rPr>
      </w:pPr>
      <w:r>
        <w:rPr>
          <w:lang w:eastAsia="en-AU"/>
        </w:rPr>
        <w:t xml:space="preserve">Projects which contribute to improved agricultural production and food security may have environmental impact. Project designs will need to address environmental aspects of AACRS activities and ensure treatments accord with best practice. AusAID’s </w:t>
      </w:r>
      <w:r w:rsidRPr="003C35A7">
        <w:rPr>
          <w:i/>
          <w:lang w:val="en-AU"/>
        </w:rPr>
        <w:t>Environmental Management Guide for Australia’s Aid Program 2012</w:t>
      </w:r>
      <w:r>
        <w:rPr>
          <w:lang w:val="en-AU"/>
        </w:rPr>
        <w:t xml:space="preserve"> </w:t>
      </w:r>
      <w:r>
        <w:rPr>
          <w:rStyle w:val="FootnoteReference"/>
          <w:lang w:eastAsia="en-AU"/>
        </w:rPr>
        <w:footnoteReference w:id="48"/>
      </w:r>
      <w:r>
        <w:rPr>
          <w:lang w:eastAsia="en-AU"/>
        </w:rPr>
        <w:t xml:space="preserve"> </w:t>
      </w:r>
      <w:r w:rsidRPr="00E814D4">
        <w:rPr>
          <w:lang w:eastAsia="en-AU"/>
        </w:rPr>
        <w:t>outlines the steps to be followed in environmental assessment of activities, and the procedures for managing potential environmental impacts</w:t>
      </w:r>
      <w:r>
        <w:rPr>
          <w:lang w:eastAsia="en-AU"/>
        </w:rPr>
        <w:t>.</w:t>
      </w:r>
    </w:p>
    <w:p w:rsidR="000670A5" w:rsidRDefault="000670A5" w:rsidP="0080739E">
      <w:pPr>
        <w:rPr>
          <w:lang w:eastAsia="en-AU"/>
        </w:rPr>
      </w:pPr>
    </w:p>
    <w:p w:rsidR="000670A5" w:rsidRDefault="000670A5" w:rsidP="0080739E">
      <w:pPr>
        <w:rPr>
          <w:lang w:eastAsia="en-AU"/>
        </w:rPr>
      </w:pPr>
    </w:p>
    <w:p w:rsidR="000670A5" w:rsidRDefault="000670A5" w:rsidP="0080739E">
      <w:pPr>
        <w:rPr>
          <w:lang w:eastAsia="en-AU"/>
        </w:rPr>
      </w:pPr>
    </w:p>
    <w:p w:rsidR="0080739E" w:rsidRPr="00EE2792" w:rsidRDefault="0080739E" w:rsidP="0080739E">
      <w:pPr>
        <w:pStyle w:val="Heading1"/>
        <w:numPr>
          <w:ilvl w:val="0"/>
          <w:numId w:val="1"/>
        </w:numPr>
      </w:pPr>
      <w:bookmarkStart w:id="36" w:name="_Toc353974449"/>
      <w:r>
        <w:lastRenderedPageBreak/>
        <w:t>Program Management</w:t>
      </w:r>
      <w:bookmarkEnd w:id="36"/>
    </w:p>
    <w:p w:rsidR="0080739E" w:rsidRDefault="0080739E" w:rsidP="0080739E">
      <w:pPr>
        <w:pStyle w:val="Heading2"/>
        <w:numPr>
          <w:ilvl w:val="1"/>
          <w:numId w:val="1"/>
        </w:numPr>
        <w:rPr>
          <w:lang w:eastAsia="en-AU"/>
        </w:rPr>
      </w:pPr>
      <w:bookmarkStart w:id="37" w:name="_Toc353974450"/>
      <w:r w:rsidRPr="00746325">
        <w:rPr>
          <w:kern w:val="32"/>
        </w:rPr>
        <w:t>S</w:t>
      </w:r>
      <w:r w:rsidRPr="00746325">
        <w:rPr>
          <w:lang w:eastAsia="en-AU"/>
        </w:rPr>
        <w:t>c</w:t>
      </w:r>
      <w:r w:rsidRPr="00BD04D2">
        <w:rPr>
          <w:lang w:eastAsia="en-AU"/>
        </w:rPr>
        <w:t xml:space="preserve">heme </w:t>
      </w:r>
      <w:r>
        <w:rPr>
          <w:lang w:eastAsia="en-AU"/>
        </w:rPr>
        <w:t>Governance</w:t>
      </w:r>
      <w:bookmarkEnd w:id="37"/>
    </w:p>
    <w:p w:rsidR="0080739E" w:rsidRDefault="0080739E" w:rsidP="0080739E">
      <w:pPr>
        <w:rPr>
          <w:lang w:eastAsia="en-AU"/>
        </w:rPr>
      </w:pPr>
    </w:p>
    <w:p w:rsidR="0080739E" w:rsidRDefault="0080739E" w:rsidP="0080739E">
      <w:pPr>
        <w:rPr>
          <w:rFonts w:cs="Arial"/>
          <w:i/>
        </w:rPr>
      </w:pPr>
      <w:r>
        <w:rPr>
          <w:lang w:eastAsia="en-AU"/>
        </w:rPr>
        <w:t xml:space="preserve">AACRS </w:t>
      </w:r>
      <w:r w:rsidR="006946C2">
        <w:rPr>
          <w:lang w:eastAsia="en-AU"/>
        </w:rPr>
        <w:t>will sit</w:t>
      </w:r>
      <w:r>
        <w:rPr>
          <w:lang w:eastAsia="en-AU"/>
        </w:rPr>
        <w:t xml:space="preserve"> under the </w:t>
      </w:r>
      <w:r w:rsidR="00B6002C" w:rsidRPr="00B6002C">
        <w:rPr>
          <w:lang w:eastAsia="en-AU"/>
        </w:rPr>
        <w:t xml:space="preserve">MoU </w:t>
      </w:r>
      <w:r>
        <w:rPr>
          <w:lang w:eastAsia="en-AU"/>
        </w:rPr>
        <w:t xml:space="preserve">between </w:t>
      </w:r>
      <w:r w:rsidR="00B6002C">
        <w:rPr>
          <w:lang w:eastAsia="en-AU"/>
        </w:rPr>
        <w:t>the Afghan Government</w:t>
      </w:r>
      <w:r>
        <w:rPr>
          <w:lang w:eastAsia="en-AU"/>
        </w:rPr>
        <w:t xml:space="preserve"> and </w:t>
      </w:r>
      <w:r w:rsidR="00861BB3">
        <w:rPr>
          <w:lang w:eastAsia="en-AU"/>
        </w:rPr>
        <w:t>the Australian Government</w:t>
      </w:r>
      <w:r w:rsidR="007F78BE">
        <w:rPr>
          <w:lang w:eastAsia="en-AU"/>
        </w:rPr>
        <w:t>,</w:t>
      </w:r>
      <w:r>
        <w:rPr>
          <w:lang w:eastAsia="en-AU"/>
        </w:rPr>
        <w:t xml:space="preserve"> </w:t>
      </w:r>
      <w:r w:rsidRPr="008700B0">
        <w:rPr>
          <w:rFonts w:cs="Arial"/>
          <w:i/>
        </w:rPr>
        <w:t>Australia’</w:t>
      </w:r>
      <w:r>
        <w:rPr>
          <w:rFonts w:cs="Arial"/>
          <w:i/>
        </w:rPr>
        <w:t>s Strategic Approach to A</w:t>
      </w:r>
      <w:r w:rsidRPr="008700B0">
        <w:rPr>
          <w:rFonts w:cs="Arial"/>
          <w:i/>
        </w:rPr>
        <w:t>id in Afghanistan 2010-12</w:t>
      </w:r>
      <w:r w:rsidR="00CE1010">
        <w:rPr>
          <w:rFonts w:cs="Arial"/>
        </w:rPr>
        <w:t>,</w:t>
      </w:r>
      <w:r w:rsidR="006946C2">
        <w:rPr>
          <w:rFonts w:cs="Arial"/>
          <w:i/>
        </w:rPr>
        <w:t xml:space="preserve"> </w:t>
      </w:r>
      <w:r w:rsidR="006946C2">
        <w:rPr>
          <w:lang w:eastAsia="en-AU"/>
        </w:rPr>
        <w:t>and the successor strategy</w:t>
      </w:r>
      <w:r>
        <w:rPr>
          <w:rFonts w:cs="Arial"/>
          <w:i/>
        </w:rPr>
        <w:t xml:space="preserve">. </w:t>
      </w:r>
    </w:p>
    <w:p w:rsidR="00BB384A" w:rsidRDefault="00BB384A" w:rsidP="0080739E">
      <w:pPr>
        <w:rPr>
          <w:lang w:eastAsia="en-AU"/>
        </w:rPr>
      </w:pPr>
    </w:p>
    <w:p w:rsidR="0080739E" w:rsidRDefault="0080739E" w:rsidP="0080739E">
      <w:pPr>
        <w:rPr>
          <w:lang w:eastAsia="en-AU"/>
        </w:rPr>
      </w:pPr>
      <w:r>
        <w:rPr>
          <w:lang w:eastAsia="en-AU"/>
        </w:rPr>
        <w:t xml:space="preserve">AACRS will be led by </w:t>
      </w:r>
      <w:r w:rsidRPr="00056AF5">
        <w:rPr>
          <w:lang w:eastAsia="en-AU"/>
        </w:rPr>
        <w:t>a Scheme Gover</w:t>
      </w:r>
      <w:r>
        <w:rPr>
          <w:lang w:eastAsia="en-AU"/>
        </w:rPr>
        <w:t>n</w:t>
      </w:r>
      <w:r w:rsidRPr="00056AF5">
        <w:rPr>
          <w:lang w:eastAsia="en-AU"/>
        </w:rPr>
        <w:t>ance Committee</w:t>
      </w:r>
      <w:r>
        <w:rPr>
          <w:lang w:eastAsia="en-AU"/>
        </w:rPr>
        <w:t xml:space="preserve"> (SGC)</w:t>
      </w:r>
      <w:r w:rsidRPr="00056AF5">
        <w:rPr>
          <w:lang w:eastAsia="en-AU"/>
        </w:rPr>
        <w:t xml:space="preserve"> responsible for direction setting and oversight of progress and </w:t>
      </w:r>
      <w:r w:rsidRPr="0078787A">
        <w:rPr>
          <w:lang w:eastAsia="en-AU"/>
        </w:rPr>
        <w:t>results.</w:t>
      </w:r>
      <w:r>
        <w:rPr>
          <w:lang w:eastAsia="en-AU"/>
        </w:rPr>
        <w:t xml:space="preserve"> The Committee </w:t>
      </w:r>
      <w:r w:rsidR="00CE1010">
        <w:rPr>
          <w:lang w:eastAsia="en-AU"/>
        </w:rPr>
        <w:t>will be Co-C</w:t>
      </w:r>
      <w:r w:rsidRPr="001F6F2E">
        <w:rPr>
          <w:lang w:eastAsia="en-AU"/>
        </w:rPr>
        <w:t xml:space="preserve">haired by AusAID and </w:t>
      </w:r>
      <w:r w:rsidR="00C00229">
        <w:rPr>
          <w:lang w:eastAsia="en-AU"/>
        </w:rPr>
        <w:t>a representative from the Afghan MoE</w:t>
      </w:r>
      <w:r w:rsidRPr="001F6F2E">
        <w:rPr>
          <w:lang w:eastAsia="en-AU"/>
        </w:rPr>
        <w:t>.</w:t>
      </w:r>
      <w:r w:rsidR="00CE1010" w:rsidRPr="00CE1010">
        <w:rPr>
          <w:rStyle w:val="FootnoteReference"/>
          <w:lang w:eastAsia="en-AU"/>
        </w:rPr>
        <w:t xml:space="preserve"> </w:t>
      </w:r>
      <w:r w:rsidR="00CE1010">
        <w:rPr>
          <w:rStyle w:val="FootnoteReference"/>
          <w:lang w:eastAsia="en-AU"/>
        </w:rPr>
        <w:footnoteReference w:id="49"/>
      </w:r>
      <w:r w:rsidRPr="001F6F2E">
        <w:rPr>
          <w:lang w:eastAsia="en-AU"/>
        </w:rPr>
        <w:t xml:space="preserve"> Membership will</w:t>
      </w:r>
      <w:r w:rsidR="001A049A">
        <w:rPr>
          <w:lang w:eastAsia="en-AU"/>
        </w:rPr>
        <w:t xml:space="preserve"> also</w:t>
      </w:r>
      <w:r w:rsidRPr="001F6F2E">
        <w:rPr>
          <w:lang w:eastAsia="en-AU"/>
        </w:rPr>
        <w:t xml:space="preserve"> include a senior representative from each of the implementing NGOs</w:t>
      </w:r>
      <w:r w:rsidR="00C00229">
        <w:rPr>
          <w:lang w:eastAsia="en-AU"/>
        </w:rPr>
        <w:t>,</w:t>
      </w:r>
      <w:r w:rsidR="00CA310A">
        <w:rPr>
          <w:lang w:eastAsia="en-AU"/>
        </w:rPr>
        <w:t xml:space="preserve"> </w:t>
      </w:r>
      <w:r w:rsidR="00C00229">
        <w:rPr>
          <w:lang w:eastAsia="en-AU"/>
        </w:rPr>
        <w:t>MRRD and MAIL</w:t>
      </w:r>
      <w:r w:rsidRPr="001F6F2E">
        <w:rPr>
          <w:lang w:eastAsia="en-AU"/>
        </w:rPr>
        <w:t>. Meetings</w:t>
      </w:r>
      <w:r>
        <w:rPr>
          <w:lang w:eastAsia="en-AU"/>
        </w:rPr>
        <w:t xml:space="preserve"> will be held </w:t>
      </w:r>
      <w:r w:rsidR="00C00229">
        <w:rPr>
          <w:lang w:eastAsia="en-AU"/>
        </w:rPr>
        <w:t xml:space="preserve">once per year (at a minimum) in </w:t>
      </w:r>
      <w:r>
        <w:rPr>
          <w:lang w:eastAsia="en-AU"/>
        </w:rPr>
        <w:t>Kabul</w:t>
      </w:r>
      <w:r w:rsidR="00734250">
        <w:rPr>
          <w:lang w:eastAsia="en-AU"/>
        </w:rPr>
        <w:t>.</w:t>
      </w:r>
      <w:r>
        <w:rPr>
          <w:rStyle w:val="FootnoteReference"/>
          <w:lang w:eastAsia="en-AU"/>
        </w:rPr>
        <w:footnoteReference w:id="50"/>
      </w:r>
      <w:r>
        <w:rPr>
          <w:lang w:eastAsia="en-AU"/>
        </w:rPr>
        <w:t xml:space="preserve"> For greater time and cost efficiency, the Work Plan has been designed so that </w:t>
      </w:r>
      <w:r w:rsidR="00C00229">
        <w:rPr>
          <w:lang w:eastAsia="en-AU"/>
        </w:rPr>
        <w:t xml:space="preserve">SGC </w:t>
      </w:r>
      <w:r>
        <w:rPr>
          <w:lang w:eastAsia="en-AU"/>
        </w:rPr>
        <w:t>meetings are held back to back with other events. Secretariat services will be pro</w:t>
      </w:r>
      <w:r w:rsidR="00870630">
        <w:rPr>
          <w:lang w:eastAsia="en-AU"/>
        </w:rPr>
        <w:t>vided, as described in Section 8</w:t>
      </w:r>
      <w:r>
        <w:rPr>
          <w:lang w:eastAsia="en-AU"/>
        </w:rPr>
        <w:t>.2</w:t>
      </w:r>
      <w:r w:rsidR="001A049A">
        <w:rPr>
          <w:lang w:eastAsia="en-AU"/>
        </w:rPr>
        <w:t>, through the DAFA</w:t>
      </w:r>
      <w:r>
        <w:rPr>
          <w:lang w:eastAsia="en-AU"/>
        </w:rPr>
        <w:t xml:space="preserve">. </w:t>
      </w:r>
    </w:p>
    <w:p w:rsidR="0080739E" w:rsidRDefault="0080739E" w:rsidP="0080739E">
      <w:pPr>
        <w:rPr>
          <w:lang w:eastAsia="en-AU"/>
        </w:rPr>
      </w:pPr>
    </w:p>
    <w:p w:rsidR="0080739E" w:rsidRDefault="0080739E" w:rsidP="0080739E">
      <w:pPr>
        <w:rPr>
          <w:lang w:eastAsia="en-AU"/>
        </w:rPr>
      </w:pPr>
      <w:r>
        <w:rPr>
          <w:lang w:eastAsia="en-AU"/>
        </w:rPr>
        <w:t xml:space="preserve">By working together at this senior level, Committee members will be </w:t>
      </w:r>
      <w:r w:rsidR="009066E6">
        <w:rPr>
          <w:lang w:eastAsia="en-AU"/>
        </w:rPr>
        <w:t>modeling</w:t>
      </w:r>
      <w:r>
        <w:rPr>
          <w:lang w:eastAsia="en-AU"/>
        </w:rPr>
        <w:t xml:space="preserve"> the partnership principles fundamental to successful implementation of AACRS. The </w:t>
      </w:r>
      <w:r w:rsidRPr="00A1471D">
        <w:rPr>
          <w:lang w:eastAsia="en-AU"/>
        </w:rPr>
        <w:t>functions of the Committee are:</w:t>
      </w:r>
    </w:p>
    <w:p w:rsidR="0080739E" w:rsidRDefault="0080739E" w:rsidP="0080739E">
      <w:pPr>
        <w:rPr>
          <w:lang w:eastAsia="en-AU"/>
        </w:rPr>
      </w:pPr>
    </w:p>
    <w:p w:rsidR="0080739E" w:rsidRDefault="00870630" w:rsidP="008C14ED">
      <w:pPr>
        <w:pStyle w:val="ListParagraph"/>
        <w:numPr>
          <w:ilvl w:val="0"/>
          <w:numId w:val="11"/>
        </w:numPr>
        <w:rPr>
          <w:lang w:eastAsia="en-AU"/>
        </w:rPr>
      </w:pPr>
      <w:r>
        <w:rPr>
          <w:lang w:eastAsia="en-AU"/>
        </w:rPr>
        <w:t>t</w:t>
      </w:r>
      <w:r w:rsidR="0080739E">
        <w:rPr>
          <w:lang w:eastAsia="en-AU"/>
        </w:rPr>
        <w:t xml:space="preserve">o provide strategic advice, leadership and </w:t>
      </w:r>
      <w:r w:rsidR="00734250">
        <w:rPr>
          <w:lang w:eastAsia="en-AU"/>
        </w:rPr>
        <w:t>oversee</w:t>
      </w:r>
      <w:r w:rsidR="0080739E">
        <w:rPr>
          <w:lang w:eastAsia="en-AU"/>
        </w:rPr>
        <w:t xml:space="preserve"> Scheme activities and processes</w:t>
      </w:r>
    </w:p>
    <w:p w:rsidR="0080739E" w:rsidRDefault="00870630" w:rsidP="008C14ED">
      <w:pPr>
        <w:pStyle w:val="ListParagraph"/>
        <w:numPr>
          <w:ilvl w:val="0"/>
          <w:numId w:val="11"/>
        </w:numPr>
        <w:rPr>
          <w:lang w:eastAsia="en-AU"/>
        </w:rPr>
      </w:pPr>
      <w:r>
        <w:rPr>
          <w:lang w:eastAsia="en-AU"/>
        </w:rPr>
        <w:t>t</w:t>
      </w:r>
      <w:r w:rsidR="0080739E">
        <w:rPr>
          <w:lang w:eastAsia="en-AU"/>
        </w:rPr>
        <w:t>o monitor intermediate results and lessons learned, ensuring that lessons are applied as appropriate</w:t>
      </w:r>
    </w:p>
    <w:p w:rsidR="0080739E" w:rsidRDefault="00870630" w:rsidP="008C14ED">
      <w:pPr>
        <w:pStyle w:val="ListParagraph"/>
        <w:numPr>
          <w:ilvl w:val="0"/>
          <w:numId w:val="11"/>
        </w:numPr>
        <w:rPr>
          <w:lang w:eastAsia="en-AU"/>
        </w:rPr>
      </w:pPr>
      <w:r>
        <w:rPr>
          <w:lang w:eastAsia="en-AU"/>
        </w:rPr>
        <w:t>t</w:t>
      </w:r>
      <w:r w:rsidR="0080739E">
        <w:rPr>
          <w:lang w:eastAsia="en-AU"/>
        </w:rPr>
        <w:t>o contribute to discussions during Annual Reflections</w:t>
      </w:r>
    </w:p>
    <w:p w:rsidR="0080739E" w:rsidRPr="00B23660" w:rsidRDefault="00870630" w:rsidP="008C14ED">
      <w:pPr>
        <w:pStyle w:val="ListParagraph"/>
        <w:numPr>
          <w:ilvl w:val="0"/>
          <w:numId w:val="11"/>
        </w:numPr>
        <w:rPr>
          <w:lang w:eastAsia="en-AU"/>
        </w:rPr>
      </w:pPr>
      <w:r>
        <w:rPr>
          <w:lang w:eastAsia="en-AU"/>
        </w:rPr>
        <w:t>t</w:t>
      </w:r>
      <w:r w:rsidR="0080739E" w:rsidRPr="00A1471D">
        <w:rPr>
          <w:lang w:eastAsia="en-AU"/>
        </w:rPr>
        <w:t>o model effective partnership</w:t>
      </w:r>
    </w:p>
    <w:p w:rsidR="0080739E" w:rsidRPr="00B23660" w:rsidRDefault="00870630" w:rsidP="008C14ED">
      <w:pPr>
        <w:pStyle w:val="ListParagraph"/>
        <w:numPr>
          <w:ilvl w:val="0"/>
          <w:numId w:val="11"/>
        </w:numPr>
        <w:rPr>
          <w:lang w:eastAsia="en-AU"/>
        </w:rPr>
      </w:pPr>
      <w:r>
        <w:rPr>
          <w:lang w:eastAsia="en-AU"/>
        </w:rPr>
        <w:t>t</w:t>
      </w:r>
      <w:r w:rsidR="0080739E" w:rsidRPr="00A1471D">
        <w:rPr>
          <w:lang w:eastAsia="en-AU"/>
        </w:rPr>
        <w:t>o communicate to their respective agencies about lessons learned, changes sought and achievements to date</w:t>
      </w:r>
    </w:p>
    <w:p w:rsidR="0080739E" w:rsidRDefault="00870630" w:rsidP="008C14ED">
      <w:pPr>
        <w:pStyle w:val="ListParagraph"/>
        <w:numPr>
          <w:ilvl w:val="0"/>
          <w:numId w:val="11"/>
        </w:numPr>
        <w:rPr>
          <w:lang w:eastAsia="en-AU"/>
        </w:rPr>
      </w:pPr>
      <w:r>
        <w:rPr>
          <w:lang w:eastAsia="en-AU"/>
        </w:rPr>
        <w:t>t</w:t>
      </w:r>
      <w:r w:rsidR="0080739E">
        <w:rPr>
          <w:lang w:eastAsia="en-AU"/>
        </w:rPr>
        <w:t>o engage with external reviewers during review processes</w:t>
      </w:r>
    </w:p>
    <w:p w:rsidR="0080739E" w:rsidRDefault="00870630" w:rsidP="008C14ED">
      <w:pPr>
        <w:pStyle w:val="ListParagraph"/>
        <w:numPr>
          <w:ilvl w:val="0"/>
          <w:numId w:val="11"/>
        </w:numPr>
        <w:rPr>
          <w:lang w:eastAsia="en-AU"/>
        </w:rPr>
      </w:pPr>
      <w:proofErr w:type="gramStart"/>
      <w:r>
        <w:rPr>
          <w:lang w:eastAsia="en-AU"/>
        </w:rPr>
        <w:t>t</w:t>
      </w:r>
      <w:r w:rsidR="0080739E">
        <w:rPr>
          <w:lang w:eastAsia="en-AU"/>
        </w:rPr>
        <w:t>o</w:t>
      </w:r>
      <w:proofErr w:type="gramEnd"/>
      <w:r w:rsidR="0080739E">
        <w:rPr>
          <w:lang w:eastAsia="en-AU"/>
        </w:rPr>
        <w:t xml:space="preserve"> </w:t>
      </w:r>
      <w:r w:rsidR="00B96AA4">
        <w:rPr>
          <w:lang w:eastAsia="en-AU"/>
        </w:rPr>
        <w:t>advise on</w:t>
      </w:r>
      <w:r w:rsidR="009010BC">
        <w:rPr>
          <w:lang w:eastAsia="en-AU"/>
        </w:rPr>
        <w:t xml:space="preserve"> the</w:t>
      </w:r>
      <w:r w:rsidR="0080739E">
        <w:rPr>
          <w:lang w:eastAsia="en-AU"/>
        </w:rPr>
        <w:t xml:space="preserve"> process for drawing down the Innovation Fund following the Mid</w:t>
      </w:r>
      <w:r w:rsidR="000A2D45">
        <w:rPr>
          <w:lang w:eastAsia="en-AU"/>
        </w:rPr>
        <w:t>-</w:t>
      </w:r>
      <w:r w:rsidR="0080739E">
        <w:rPr>
          <w:lang w:eastAsia="en-AU"/>
        </w:rPr>
        <w:t>Term Review.</w:t>
      </w:r>
    </w:p>
    <w:p w:rsidR="0080739E" w:rsidRDefault="0080739E" w:rsidP="0080739E">
      <w:pPr>
        <w:rPr>
          <w:lang w:eastAsia="en-AU"/>
        </w:rPr>
      </w:pPr>
    </w:p>
    <w:p w:rsidR="0080739E" w:rsidRDefault="0080739E" w:rsidP="001A049A">
      <w:pPr>
        <w:rPr>
          <w:lang w:eastAsia="en-AU"/>
        </w:rPr>
      </w:pPr>
      <w:r>
        <w:rPr>
          <w:lang w:eastAsia="en-AU"/>
        </w:rPr>
        <w:t xml:space="preserve">Face-to-face meetings are preferred to enable true partnership to develop. </w:t>
      </w:r>
    </w:p>
    <w:p w:rsidR="001A049A" w:rsidRPr="001A049A" w:rsidRDefault="001A049A" w:rsidP="001A049A">
      <w:pPr>
        <w:pStyle w:val="Heading2"/>
        <w:numPr>
          <w:ilvl w:val="1"/>
          <w:numId w:val="1"/>
        </w:numPr>
        <w:rPr>
          <w:kern w:val="32"/>
        </w:rPr>
      </w:pPr>
      <w:bookmarkStart w:id="38" w:name="_Toc353974451"/>
      <w:r w:rsidRPr="001A049A">
        <w:rPr>
          <w:kern w:val="32"/>
        </w:rPr>
        <w:t>Scheme Management</w:t>
      </w:r>
      <w:bookmarkEnd w:id="38"/>
      <w:r w:rsidRPr="001A049A">
        <w:rPr>
          <w:kern w:val="32"/>
        </w:rPr>
        <w:t xml:space="preserve"> </w:t>
      </w:r>
    </w:p>
    <w:p w:rsidR="001A049A" w:rsidRDefault="001A049A" w:rsidP="0080739E">
      <w:pPr>
        <w:rPr>
          <w:lang w:eastAsia="en-AU"/>
        </w:rPr>
      </w:pPr>
    </w:p>
    <w:p w:rsidR="0080739E" w:rsidRDefault="0080739E" w:rsidP="0080739E">
      <w:pPr>
        <w:rPr>
          <w:lang w:eastAsia="en-AU"/>
        </w:rPr>
      </w:pPr>
      <w:r>
        <w:rPr>
          <w:lang w:eastAsia="en-AU"/>
        </w:rPr>
        <w:t>The consequences of deciding to establish AACRS as an integrated program</w:t>
      </w:r>
      <w:r w:rsidR="00734250">
        <w:rPr>
          <w:lang w:eastAsia="en-AU"/>
        </w:rPr>
        <w:t>,</w:t>
      </w:r>
      <w:r>
        <w:rPr>
          <w:lang w:eastAsia="en-AU"/>
        </w:rPr>
        <w:t xml:space="preserve"> rather than five separate stand-alone projects, are that there is a need for both coordination of all the parties and additional program level activities including reflection, sharing and learning, as well as program-wide M&amp;E. These are expected to contribute to true partnership and enhanced results.</w:t>
      </w:r>
    </w:p>
    <w:p w:rsidR="0080739E" w:rsidRDefault="0080739E" w:rsidP="0080739E">
      <w:pPr>
        <w:rPr>
          <w:lang w:eastAsia="en-AU"/>
        </w:rPr>
      </w:pPr>
    </w:p>
    <w:p w:rsidR="000A2D45" w:rsidRDefault="0080739E" w:rsidP="000A2D45">
      <w:pPr>
        <w:rPr>
          <w:lang w:eastAsia="en-AU"/>
        </w:rPr>
      </w:pPr>
      <w:r>
        <w:rPr>
          <w:lang w:eastAsia="en-AU"/>
        </w:rPr>
        <w:t xml:space="preserve">There has been no standard approach to program management functions among the various NGO programs funded by AusAID, with each being designed and implemented in accordance with specific needs. </w:t>
      </w:r>
      <w:r w:rsidR="00F10CB2">
        <w:rPr>
          <w:u w:val="single"/>
          <w:lang w:eastAsia="en-AU"/>
        </w:rPr>
        <w:t>Annex 5</w:t>
      </w:r>
      <w:r>
        <w:rPr>
          <w:lang w:eastAsia="en-AU"/>
        </w:rPr>
        <w:t xml:space="preserve"> illustrates models used by four programs. </w:t>
      </w:r>
      <w:r w:rsidR="000A2D45">
        <w:rPr>
          <w:lang w:eastAsia="en-AU"/>
        </w:rPr>
        <w:t xml:space="preserve">For </w:t>
      </w:r>
      <w:r w:rsidR="00CE1010">
        <w:rPr>
          <w:lang w:eastAsia="en-AU"/>
        </w:rPr>
        <w:t xml:space="preserve">the </w:t>
      </w:r>
      <w:r w:rsidR="000A2D45">
        <w:rPr>
          <w:lang w:eastAsia="en-AU"/>
        </w:rPr>
        <w:lastRenderedPageBreak/>
        <w:t xml:space="preserve">AACRS, it is proposed that a mixed management model be used where AusAID has an overall leadership role but is supported in management by a </w:t>
      </w:r>
      <w:r w:rsidR="00424900">
        <w:rPr>
          <w:lang w:eastAsia="en-AU"/>
        </w:rPr>
        <w:t>Scheme Manager</w:t>
      </w:r>
      <w:r w:rsidR="000A2D45">
        <w:rPr>
          <w:lang w:eastAsia="en-AU"/>
        </w:rPr>
        <w:t xml:space="preserve"> and in adminis</w:t>
      </w:r>
      <w:r w:rsidR="00617066">
        <w:rPr>
          <w:lang w:eastAsia="en-AU"/>
        </w:rPr>
        <w:t>tration by DAFA</w:t>
      </w:r>
      <w:r w:rsidR="000A2D45">
        <w:rPr>
          <w:lang w:eastAsia="en-AU"/>
        </w:rPr>
        <w:t xml:space="preserve">. </w:t>
      </w:r>
    </w:p>
    <w:p w:rsidR="0080739E" w:rsidRDefault="00424900" w:rsidP="0080739E">
      <w:pPr>
        <w:pStyle w:val="Heading2"/>
        <w:numPr>
          <w:ilvl w:val="1"/>
          <w:numId w:val="1"/>
        </w:numPr>
        <w:rPr>
          <w:lang w:eastAsia="en-AU"/>
        </w:rPr>
      </w:pPr>
      <w:bookmarkStart w:id="39" w:name="_Toc353974452"/>
      <w:r>
        <w:rPr>
          <w:lang w:eastAsia="en-AU"/>
        </w:rPr>
        <w:t>Scheme Manager</w:t>
      </w:r>
      <w:bookmarkEnd w:id="39"/>
    </w:p>
    <w:p w:rsidR="0080739E" w:rsidRDefault="0080739E" w:rsidP="0080739E">
      <w:pPr>
        <w:rPr>
          <w:lang w:eastAsia="en-AU"/>
        </w:rPr>
      </w:pPr>
    </w:p>
    <w:p w:rsidR="00584528" w:rsidRDefault="000A2D45" w:rsidP="00584528">
      <w:pPr>
        <w:rPr>
          <w:lang w:eastAsia="en-AU"/>
        </w:rPr>
      </w:pPr>
      <w:r>
        <w:rPr>
          <w:lang w:eastAsia="en-AU"/>
        </w:rPr>
        <w:t xml:space="preserve">As in HPA, it is suggested that a senior person be appointed as </w:t>
      </w:r>
      <w:r w:rsidR="00424900">
        <w:rPr>
          <w:lang w:eastAsia="en-AU"/>
        </w:rPr>
        <w:t>Scheme Manager</w:t>
      </w:r>
      <w:r>
        <w:rPr>
          <w:lang w:eastAsia="en-AU"/>
        </w:rPr>
        <w:t xml:space="preserve"> but that the </w:t>
      </w:r>
      <w:r w:rsidR="001A049A">
        <w:rPr>
          <w:lang w:eastAsia="en-AU"/>
        </w:rPr>
        <w:t xml:space="preserve">Scheme Manager </w:t>
      </w:r>
      <w:r>
        <w:rPr>
          <w:lang w:eastAsia="en-AU"/>
        </w:rPr>
        <w:t>be located separately from the NGO partners. AusAID will organise for DAFA to advertise the position and short-list candidates for selection by an AusAID/ACFID panel</w:t>
      </w:r>
      <w:r w:rsidR="00870630">
        <w:rPr>
          <w:lang w:eastAsia="en-AU"/>
        </w:rPr>
        <w:t xml:space="preserve"> (with ACFID’s agreement)</w:t>
      </w:r>
      <w:r>
        <w:rPr>
          <w:lang w:eastAsia="en-AU"/>
        </w:rPr>
        <w:t>.</w:t>
      </w:r>
      <w:r w:rsidR="00870630">
        <w:rPr>
          <w:rStyle w:val="FootnoteReference"/>
          <w:lang w:eastAsia="en-AU"/>
        </w:rPr>
        <w:footnoteReference w:id="51"/>
      </w:r>
      <w:r>
        <w:rPr>
          <w:lang w:eastAsia="en-AU"/>
        </w:rPr>
        <w:t xml:space="preserve"> The </w:t>
      </w:r>
      <w:r w:rsidR="001A049A">
        <w:rPr>
          <w:lang w:eastAsia="en-AU"/>
        </w:rPr>
        <w:t xml:space="preserve">Scheme Manager </w:t>
      </w:r>
      <w:r>
        <w:rPr>
          <w:lang w:eastAsia="en-AU"/>
        </w:rPr>
        <w:t>will operate from an office in Australia</w:t>
      </w:r>
      <w:r w:rsidR="003C35A7">
        <w:rPr>
          <w:lang w:eastAsia="en-AU"/>
        </w:rPr>
        <w:t>,</w:t>
      </w:r>
      <w:r>
        <w:rPr>
          <w:lang w:eastAsia="en-AU"/>
        </w:rPr>
        <w:t xml:space="preserve"> not Afghanistan</w:t>
      </w:r>
      <w:r w:rsidR="00F60084">
        <w:rPr>
          <w:lang w:eastAsia="en-AU"/>
        </w:rPr>
        <w:t>, however it is expected that a considerable amount of time will be spent in Afghanistan</w:t>
      </w:r>
      <w:r>
        <w:rPr>
          <w:lang w:eastAsia="en-AU"/>
        </w:rPr>
        <w:t xml:space="preserve">. This will provide the </w:t>
      </w:r>
      <w:r w:rsidR="001A049A">
        <w:rPr>
          <w:lang w:eastAsia="en-AU"/>
        </w:rPr>
        <w:t xml:space="preserve">Scheme Manager </w:t>
      </w:r>
      <w:r>
        <w:rPr>
          <w:lang w:eastAsia="en-AU"/>
        </w:rPr>
        <w:t xml:space="preserve">with access to AusAID Canberra which, given the lack of full devolution to Kabul, leads on overall management of AACRS. An Australian base will also be cost efficient (given the high cost of security and travel for long-term personnel in Kabul) and enable effective communication with some/all of the selected NGOs (recognising that some NGOs may be international). The </w:t>
      </w:r>
      <w:r w:rsidR="001A049A">
        <w:rPr>
          <w:lang w:eastAsia="en-AU"/>
        </w:rPr>
        <w:t>Scheme Manager</w:t>
      </w:r>
      <w:r>
        <w:rPr>
          <w:lang w:eastAsia="en-AU"/>
        </w:rPr>
        <w:t xml:space="preserve"> will be contrac</w:t>
      </w:r>
      <w:r w:rsidR="00A01022">
        <w:rPr>
          <w:lang w:eastAsia="en-AU"/>
        </w:rPr>
        <w:t>ted by DAFA on behalf of AusAID.</w:t>
      </w:r>
      <w:r>
        <w:rPr>
          <w:lang w:eastAsia="en-AU"/>
        </w:rPr>
        <w:t xml:space="preserve"> </w:t>
      </w:r>
      <w:r w:rsidR="00A01022">
        <w:rPr>
          <w:lang w:eastAsia="en-AU"/>
        </w:rPr>
        <w:t xml:space="preserve">DAFA will </w:t>
      </w:r>
      <w:proofErr w:type="gramStart"/>
      <w:r w:rsidR="00A01022">
        <w:rPr>
          <w:lang w:eastAsia="en-AU"/>
        </w:rPr>
        <w:t>performance manage</w:t>
      </w:r>
      <w:proofErr w:type="gramEnd"/>
      <w:r w:rsidR="00A01022">
        <w:rPr>
          <w:lang w:eastAsia="en-AU"/>
        </w:rPr>
        <w:t xml:space="preserve"> the </w:t>
      </w:r>
      <w:r w:rsidR="001A049A">
        <w:rPr>
          <w:lang w:eastAsia="en-AU"/>
        </w:rPr>
        <w:t xml:space="preserve">Scheme Manager </w:t>
      </w:r>
      <w:r w:rsidR="00A01022">
        <w:rPr>
          <w:lang w:eastAsia="en-AU"/>
        </w:rPr>
        <w:t xml:space="preserve">(in </w:t>
      </w:r>
      <w:r w:rsidR="00F60084">
        <w:rPr>
          <w:lang w:eastAsia="en-AU"/>
        </w:rPr>
        <w:t>communication</w:t>
      </w:r>
      <w:r w:rsidR="00A01022">
        <w:rPr>
          <w:lang w:eastAsia="en-AU"/>
        </w:rPr>
        <w:t xml:space="preserve"> with AusAID).</w:t>
      </w:r>
      <w:r w:rsidR="00584528">
        <w:rPr>
          <w:lang w:eastAsia="en-AU"/>
        </w:rPr>
        <w:t xml:space="preserve"> The </w:t>
      </w:r>
      <w:r w:rsidR="001A049A">
        <w:rPr>
          <w:lang w:eastAsia="en-AU"/>
        </w:rPr>
        <w:t xml:space="preserve">Scheme Manager </w:t>
      </w:r>
      <w:r w:rsidR="00584528">
        <w:rPr>
          <w:lang w:eastAsia="en-AU"/>
        </w:rPr>
        <w:t>position is expected to be full-time in the first year, but become pro-rata after this time, as the AACRS is established.</w:t>
      </w:r>
    </w:p>
    <w:p w:rsidR="000A2D45" w:rsidRDefault="000A2D45" w:rsidP="000A2D45">
      <w:pPr>
        <w:rPr>
          <w:lang w:eastAsia="en-AU"/>
        </w:rPr>
      </w:pPr>
    </w:p>
    <w:p w:rsidR="000A2D45" w:rsidRDefault="000A2D45" w:rsidP="000A2D45">
      <w:pPr>
        <w:rPr>
          <w:lang w:eastAsia="en-AU"/>
        </w:rPr>
      </w:pPr>
      <w:r>
        <w:rPr>
          <w:lang w:eastAsia="en-AU"/>
        </w:rPr>
        <w:t xml:space="preserve">The </w:t>
      </w:r>
      <w:r w:rsidR="001A049A">
        <w:rPr>
          <w:lang w:eastAsia="en-AU"/>
        </w:rPr>
        <w:t xml:space="preserve">Scheme Manager </w:t>
      </w:r>
      <w:r>
        <w:rPr>
          <w:lang w:eastAsia="en-AU"/>
        </w:rPr>
        <w:t xml:space="preserve">will provide day to day leadership and coordination between the NGOs relating to overall Program level events and M&amp;E. </w:t>
      </w:r>
      <w:r w:rsidR="003C35A7">
        <w:rPr>
          <w:lang w:eastAsia="en-AU"/>
        </w:rPr>
        <w:t>They</w:t>
      </w:r>
      <w:r>
        <w:rPr>
          <w:lang w:eastAsia="en-AU"/>
        </w:rPr>
        <w:t xml:space="preserve"> will establish Scheme wide processes and systems, preparing templates for standardised reporting by Projects, a database and manage fina</w:t>
      </w:r>
      <w:r w:rsidR="00870630">
        <w:rPr>
          <w:lang w:eastAsia="en-AU"/>
        </w:rPr>
        <w:t>ncial flows and acquittals for m</w:t>
      </w:r>
      <w:r>
        <w:rPr>
          <w:lang w:eastAsia="en-AU"/>
        </w:rPr>
        <w:t>eeting</w:t>
      </w:r>
      <w:r w:rsidR="00870630">
        <w:rPr>
          <w:lang w:eastAsia="en-AU"/>
        </w:rPr>
        <w:t>s</w:t>
      </w:r>
      <w:r>
        <w:rPr>
          <w:lang w:eastAsia="en-AU"/>
        </w:rPr>
        <w:t xml:space="preserve"> and other management expenses. Project financial flows will be direct between AusAID and each NGO. The </w:t>
      </w:r>
      <w:r w:rsidR="001A049A">
        <w:rPr>
          <w:lang w:eastAsia="en-AU"/>
        </w:rPr>
        <w:t>Scheme Manager</w:t>
      </w:r>
      <w:r>
        <w:rPr>
          <w:lang w:eastAsia="en-AU"/>
        </w:rPr>
        <w:t xml:space="preserve"> </w:t>
      </w:r>
      <w:proofErr w:type="gramStart"/>
      <w:r>
        <w:rPr>
          <w:lang w:eastAsia="en-AU"/>
        </w:rPr>
        <w:t>will</w:t>
      </w:r>
      <w:proofErr w:type="gramEnd"/>
      <w:r>
        <w:rPr>
          <w:lang w:eastAsia="en-AU"/>
        </w:rPr>
        <w:t xml:space="preserve"> quality check reports inclusive of financial acquittals. The </w:t>
      </w:r>
      <w:r w:rsidR="001A049A">
        <w:rPr>
          <w:lang w:eastAsia="en-AU"/>
        </w:rPr>
        <w:t xml:space="preserve">Scheme Manager </w:t>
      </w:r>
      <w:r>
        <w:rPr>
          <w:lang w:eastAsia="en-AU"/>
        </w:rPr>
        <w:t xml:space="preserve">will provide Secretariat services for SGC Meetings inclusive of: drafting and finalisation of Agendas; distribution of meeting documentation; and, preparation and distribution of the Summary Record. </w:t>
      </w:r>
    </w:p>
    <w:p w:rsidR="00584528" w:rsidRDefault="00584528" w:rsidP="000A2D45">
      <w:pPr>
        <w:rPr>
          <w:lang w:eastAsia="en-AU"/>
        </w:rPr>
      </w:pPr>
    </w:p>
    <w:p w:rsidR="000A2D45" w:rsidRDefault="000A2D45" w:rsidP="000A2D45">
      <w:pPr>
        <w:rPr>
          <w:lang w:eastAsia="en-AU"/>
        </w:rPr>
      </w:pPr>
      <w:r>
        <w:rPr>
          <w:lang w:eastAsia="en-AU"/>
        </w:rPr>
        <w:t xml:space="preserve">The </w:t>
      </w:r>
      <w:r w:rsidR="001A049A">
        <w:rPr>
          <w:lang w:eastAsia="en-AU"/>
        </w:rPr>
        <w:t xml:space="preserve">Scheme Manager </w:t>
      </w:r>
      <w:r>
        <w:rPr>
          <w:lang w:eastAsia="en-AU"/>
        </w:rPr>
        <w:t xml:space="preserve">will draw on an AACRS Administrative Fund for clerical support at peak periods prior to Meetings and other events. There is not expected to be need for a long-term AACRS administrative position in either Australia or Kabul. This recognises that there will be up to five NGOs in AACRS rather than the </w:t>
      </w:r>
      <w:r w:rsidR="003C35A7">
        <w:rPr>
          <w:lang w:eastAsia="en-AU"/>
        </w:rPr>
        <w:t>ten</w:t>
      </w:r>
      <w:r>
        <w:rPr>
          <w:lang w:eastAsia="en-AU"/>
        </w:rPr>
        <w:t xml:space="preserve"> in AACES, which justified a larger Resource Facility rather than the one individual proposed for </w:t>
      </w:r>
      <w:r w:rsidRPr="001F6F2E">
        <w:rPr>
          <w:lang w:eastAsia="en-AU"/>
        </w:rPr>
        <w:t>AACRS.</w:t>
      </w:r>
      <w:r>
        <w:rPr>
          <w:lang w:eastAsia="en-AU"/>
        </w:rPr>
        <w:t xml:space="preserve"> </w:t>
      </w:r>
    </w:p>
    <w:p w:rsidR="000A2D45" w:rsidRDefault="000A2D45" w:rsidP="000A2D45">
      <w:pPr>
        <w:rPr>
          <w:lang w:eastAsia="en-AU"/>
        </w:rPr>
      </w:pPr>
    </w:p>
    <w:p w:rsidR="000A2D45" w:rsidRDefault="000A2D45" w:rsidP="000A2D45">
      <w:pPr>
        <w:rPr>
          <w:lang w:eastAsia="en-AU"/>
        </w:rPr>
      </w:pPr>
      <w:r>
        <w:rPr>
          <w:lang w:eastAsia="en-AU"/>
        </w:rPr>
        <w:t xml:space="preserve">It is proposed that administration and logistic support be provided by DAFA for Kabul-based meetings such as the Annual Reflection Meetings each June from 2014, and the SGC Meetings held back-to-back with each of these. The support needed relates to arrangements for security, flight bookings, visas, accommodation, secure transport and communications, and additional insurance for short-term AACRS visitors to Kabul as well as providing a meeting venue, catering and equipment such as data projector. Costs of such support would be drawn from the AACRS Administrative Fund. The </w:t>
      </w:r>
      <w:r w:rsidR="001A049A">
        <w:rPr>
          <w:lang w:eastAsia="en-AU"/>
        </w:rPr>
        <w:t xml:space="preserve">Scheme Manager </w:t>
      </w:r>
      <w:r>
        <w:rPr>
          <w:lang w:eastAsia="en-AU"/>
        </w:rPr>
        <w:t xml:space="preserve">would liaise with DAFA on meeting requirements, commencing well in advance of travel dates. </w:t>
      </w:r>
    </w:p>
    <w:p w:rsidR="000A2D45" w:rsidRDefault="000A2D45" w:rsidP="000A2D45">
      <w:pPr>
        <w:rPr>
          <w:lang w:eastAsia="en-AU"/>
        </w:rPr>
      </w:pPr>
    </w:p>
    <w:p w:rsidR="000A2D45" w:rsidRDefault="000A2D45" w:rsidP="000A2D45">
      <w:pPr>
        <w:rPr>
          <w:lang w:eastAsia="en-AU"/>
        </w:rPr>
      </w:pPr>
      <w:r>
        <w:rPr>
          <w:lang w:eastAsia="en-AU"/>
        </w:rPr>
        <w:lastRenderedPageBreak/>
        <w:t xml:space="preserve">The level of management resourcing should be reviewed by the </w:t>
      </w:r>
      <w:r w:rsidR="00F60084">
        <w:rPr>
          <w:lang w:eastAsia="en-AU"/>
        </w:rPr>
        <w:t>SGC</w:t>
      </w:r>
      <w:r>
        <w:rPr>
          <w:lang w:eastAsia="en-AU"/>
        </w:rPr>
        <w:t xml:space="preserve"> at the </w:t>
      </w:r>
      <w:r w:rsidR="0099354C">
        <w:rPr>
          <w:lang w:eastAsia="en-AU"/>
        </w:rPr>
        <w:t>end of the Scheme’s first year</w:t>
      </w:r>
      <w:r>
        <w:rPr>
          <w:lang w:eastAsia="en-AU"/>
        </w:rPr>
        <w:t xml:space="preserve">. The review should consider the respective roles and responsibilities of both AusAID Canberra and the </w:t>
      </w:r>
      <w:r w:rsidR="001A049A">
        <w:rPr>
          <w:lang w:eastAsia="en-AU"/>
        </w:rPr>
        <w:t xml:space="preserve">Scheme Manager </w:t>
      </w:r>
      <w:r>
        <w:rPr>
          <w:lang w:eastAsia="en-AU"/>
        </w:rPr>
        <w:t>at that time and the anticipated responsibilities in Year 2 and beyond to ascertain that resourcing is appropriate.</w:t>
      </w:r>
      <w:r w:rsidR="00BA6977">
        <w:rPr>
          <w:lang w:eastAsia="en-AU"/>
        </w:rPr>
        <w:t xml:space="preserve"> </w:t>
      </w:r>
    </w:p>
    <w:p w:rsidR="0080739E" w:rsidRPr="00EE2792" w:rsidRDefault="0080739E" w:rsidP="0080739E">
      <w:pPr>
        <w:pStyle w:val="Heading2"/>
        <w:numPr>
          <w:ilvl w:val="1"/>
          <w:numId w:val="1"/>
        </w:numPr>
        <w:rPr>
          <w:lang w:eastAsia="en-AU"/>
        </w:rPr>
      </w:pPr>
      <w:bookmarkStart w:id="40" w:name="_Toc353974453"/>
      <w:r>
        <w:rPr>
          <w:lang w:eastAsia="en-AU"/>
        </w:rPr>
        <w:t>Technical Reference Group</w:t>
      </w:r>
      <w:bookmarkEnd w:id="40"/>
    </w:p>
    <w:p w:rsidR="0080739E" w:rsidRDefault="0080739E" w:rsidP="0080739E">
      <w:pPr>
        <w:rPr>
          <w:lang w:eastAsia="en-AU"/>
        </w:rPr>
      </w:pPr>
    </w:p>
    <w:p w:rsidR="0080739E" w:rsidRDefault="0080739E" w:rsidP="0080739E">
      <w:pPr>
        <w:rPr>
          <w:lang w:eastAsia="en-AU"/>
        </w:rPr>
      </w:pPr>
      <w:r>
        <w:rPr>
          <w:lang w:eastAsia="en-AU"/>
        </w:rPr>
        <w:t xml:space="preserve">AACRS partners will have access to specialist technical advice through using the services of a </w:t>
      </w:r>
      <w:r w:rsidR="00F60084">
        <w:rPr>
          <w:lang w:eastAsia="en-AU"/>
        </w:rPr>
        <w:t>Technical Reference Group (TRG)</w:t>
      </w:r>
      <w:r>
        <w:rPr>
          <w:lang w:eastAsia="en-AU"/>
        </w:rPr>
        <w:t>. At the outset, these should include design</w:t>
      </w:r>
      <w:r w:rsidR="00F60084">
        <w:rPr>
          <w:lang w:eastAsia="en-AU"/>
        </w:rPr>
        <w:t xml:space="preserve">, </w:t>
      </w:r>
      <w:r>
        <w:rPr>
          <w:lang w:eastAsia="en-AU"/>
        </w:rPr>
        <w:t>M&amp;E</w:t>
      </w:r>
      <w:r w:rsidR="00F60084">
        <w:rPr>
          <w:lang w:eastAsia="en-AU"/>
        </w:rPr>
        <w:t>,</w:t>
      </w:r>
      <w:r>
        <w:rPr>
          <w:lang w:eastAsia="en-AU"/>
        </w:rPr>
        <w:t xml:space="preserve"> rural development</w:t>
      </w:r>
      <w:r w:rsidR="006857DC">
        <w:rPr>
          <w:lang w:eastAsia="en-AU"/>
        </w:rPr>
        <w:t xml:space="preserve">, and gender </w:t>
      </w:r>
      <w:r w:rsidR="00F60084">
        <w:rPr>
          <w:lang w:eastAsia="en-AU"/>
        </w:rPr>
        <w:t>expertise</w:t>
      </w:r>
      <w:r>
        <w:rPr>
          <w:lang w:eastAsia="en-AU"/>
        </w:rPr>
        <w:t>. However, if other skills are required, additional experts could be recruited. They will be a pool for NGO partners to access as required</w:t>
      </w:r>
      <w:r w:rsidR="007F78BE">
        <w:rPr>
          <w:lang w:eastAsia="en-AU"/>
        </w:rPr>
        <w:t xml:space="preserve">, </w:t>
      </w:r>
      <w:r w:rsidR="00CE1010">
        <w:rPr>
          <w:lang w:eastAsia="en-AU"/>
        </w:rPr>
        <w:t xml:space="preserve">to an </w:t>
      </w:r>
      <w:r w:rsidR="00F60084">
        <w:rPr>
          <w:lang w:eastAsia="en-AU"/>
        </w:rPr>
        <w:t>amount</w:t>
      </w:r>
      <w:r w:rsidR="00CE1010">
        <w:rPr>
          <w:lang w:eastAsia="en-AU"/>
        </w:rPr>
        <w:t xml:space="preserve"> defined by AusAID</w:t>
      </w:r>
      <w:r>
        <w:rPr>
          <w:lang w:eastAsia="en-AU"/>
        </w:rPr>
        <w:t xml:space="preserve">. The TRG would co-facilitate the Design Workshop with the </w:t>
      </w:r>
      <w:r w:rsidR="00F60084">
        <w:rPr>
          <w:lang w:eastAsia="en-AU"/>
        </w:rPr>
        <w:t>Scheme Manager</w:t>
      </w:r>
      <w:r w:rsidR="0045168E">
        <w:rPr>
          <w:lang w:eastAsia="en-AU"/>
        </w:rPr>
        <w:t>.</w:t>
      </w:r>
      <w:r w:rsidR="00F60084">
        <w:rPr>
          <w:lang w:eastAsia="en-AU"/>
        </w:rPr>
        <w:t xml:space="preserve"> The TRG may be contracted through the DAFA, where appropriate.</w:t>
      </w:r>
      <w:r w:rsidR="0045168E">
        <w:rPr>
          <w:lang w:eastAsia="en-AU"/>
        </w:rPr>
        <w:t xml:space="preserve"> </w:t>
      </w:r>
    </w:p>
    <w:p w:rsidR="0080739E" w:rsidRDefault="00697B6D" w:rsidP="0080739E">
      <w:pPr>
        <w:pStyle w:val="Heading2"/>
        <w:numPr>
          <w:ilvl w:val="1"/>
          <w:numId w:val="1"/>
        </w:numPr>
        <w:rPr>
          <w:lang w:eastAsia="en-AU"/>
        </w:rPr>
      </w:pPr>
      <w:bookmarkStart w:id="41" w:name="_Toc353974454"/>
      <w:r>
        <w:rPr>
          <w:lang w:eastAsia="en-AU"/>
        </w:rPr>
        <w:t>Agreements</w:t>
      </w:r>
      <w:r w:rsidR="0080739E" w:rsidRPr="00EE2792">
        <w:rPr>
          <w:lang w:eastAsia="en-AU"/>
        </w:rPr>
        <w:t xml:space="preserve"> and Financial Management</w:t>
      </w:r>
      <w:bookmarkEnd w:id="41"/>
    </w:p>
    <w:p w:rsidR="0080739E" w:rsidRDefault="0080739E" w:rsidP="0080739E">
      <w:pPr>
        <w:rPr>
          <w:lang w:eastAsia="en-AU"/>
        </w:rPr>
      </w:pPr>
    </w:p>
    <w:p w:rsidR="0080739E" w:rsidRDefault="00697B6D" w:rsidP="0080739E">
      <w:pPr>
        <w:rPr>
          <w:lang w:eastAsia="en-AU"/>
        </w:rPr>
      </w:pPr>
      <w:r>
        <w:rPr>
          <w:lang w:eastAsia="en-AU"/>
        </w:rPr>
        <w:t>Agreements with</w:t>
      </w:r>
      <w:r w:rsidR="000A2D45">
        <w:rPr>
          <w:lang w:eastAsia="en-AU"/>
        </w:rPr>
        <w:t xml:space="preserve"> the selected NGOs </w:t>
      </w:r>
      <w:r w:rsidR="0080739E">
        <w:rPr>
          <w:lang w:eastAsia="en-AU"/>
        </w:rPr>
        <w:t>will be managed by AusAID Canberra’s Afghan</w:t>
      </w:r>
      <w:r w:rsidR="004B5680">
        <w:rPr>
          <w:lang w:eastAsia="en-AU"/>
        </w:rPr>
        <w:t xml:space="preserve">istan team. </w:t>
      </w:r>
      <w:r w:rsidR="004B5680" w:rsidRPr="004B5680">
        <w:rPr>
          <w:lang w:eastAsia="en-AU"/>
        </w:rPr>
        <w:t xml:space="preserve">AusAID will </w:t>
      </w:r>
      <w:r w:rsidR="007F448D">
        <w:rPr>
          <w:lang w:eastAsia="en-AU"/>
        </w:rPr>
        <w:t>enter into grant agreements of AUD</w:t>
      </w:r>
      <w:r w:rsidR="004B5680" w:rsidRPr="004B5680">
        <w:rPr>
          <w:lang w:eastAsia="en-AU"/>
        </w:rPr>
        <w:t>50</w:t>
      </w:r>
      <w:proofErr w:type="gramStart"/>
      <w:r w:rsidR="004B5680" w:rsidRPr="004B5680">
        <w:rPr>
          <w:lang w:eastAsia="en-AU"/>
        </w:rPr>
        <w:t>,000</w:t>
      </w:r>
      <w:proofErr w:type="gramEnd"/>
      <w:r w:rsidR="004B5680" w:rsidRPr="004B5680">
        <w:rPr>
          <w:lang w:eastAsia="en-AU"/>
        </w:rPr>
        <w:t xml:space="preserve"> with each NGO to develop detailed design documents based on a consistent format, and building on their proposals</w:t>
      </w:r>
      <w:r w:rsidR="002546F2">
        <w:rPr>
          <w:lang w:eastAsia="en-AU"/>
        </w:rPr>
        <w:t xml:space="preserve">. </w:t>
      </w:r>
      <w:r w:rsidR="004B5680" w:rsidRPr="004B5680">
        <w:rPr>
          <w:lang w:eastAsia="en-AU"/>
        </w:rPr>
        <w:t>Following the detailed design phase, NGO projects will be subject to AusAID quality processes appropriate to the scale of the projects</w:t>
      </w:r>
      <w:r w:rsidR="002546F2">
        <w:rPr>
          <w:lang w:eastAsia="en-AU"/>
        </w:rPr>
        <w:t xml:space="preserve">. </w:t>
      </w:r>
      <w:r w:rsidR="004B5680" w:rsidRPr="004B5680">
        <w:rPr>
          <w:lang w:eastAsia="en-AU"/>
        </w:rPr>
        <w:t xml:space="preserve">Once detailed NGO designs are agreed, AusAID will enter into </w:t>
      </w:r>
      <w:r w:rsidR="00F60084">
        <w:rPr>
          <w:lang w:eastAsia="en-AU"/>
        </w:rPr>
        <w:t xml:space="preserve">full </w:t>
      </w:r>
      <w:r w:rsidR="004B5680" w:rsidRPr="004B5680">
        <w:rPr>
          <w:lang w:eastAsia="en-AU"/>
        </w:rPr>
        <w:t>grant agreements with the NGOs</w:t>
      </w:r>
      <w:r w:rsidR="002546F2">
        <w:rPr>
          <w:lang w:eastAsia="en-AU"/>
        </w:rPr>
        <w:t xml:space="preserve">. </w:t>
      </w:r>
      <w:r w:rsidR="00F60084">
        <w:rPr>
          <w:lang w:eastAsia="en-AU"/>
        </w:rPr>
        <w:t xml:space="preserve">In addition, </w:t>
      </w:r>
      <w:r w:rsidR="00CE1010">
        <w:rPr>
          <w:lang w:eastAsia="en-AU"/>
        </w:rPr>
        <w:t>the</w:t>
      </w:r>
      <w:r w:rsidR="00F60084">
        <w:rPr>
          <w:lang w:eastAsia="en-AU"/>
        </w:rPr>
        <w:t xml:space="preserve"> NGOs</w:t>
      </w:r>
      <w:r w:rsidR="0080739E">
        <w:rPr>
          <w:lang w:eastAsia="en-AU"/>
        </w:rPr>
        <w:t xml:space="preserve"> and AusAID </w:t>
      </w:r>
      <w:r w:rsidR="00F60084">
        <w:rPr>
          <w:lang w:eastAsia="en-AU"/>
        </w:rPr>
        <w:t xml:space="preserve">and a representative from the Afghan Government </w:t>
      </w:r>
      <w:r w:rsidR="00CE1010">
        <w:rPr>
          <w:lang w:eastAsia="en-AU"/>
        </w:rPr>
        <w:t>will</w:t>
      </w:r>
      <w:r w:rsidR="0080739E">
        <w:rPr>
          <w:lang w:eastAsia="en-AU"/>
        </w:rPr>
        <w:t xml:space="preserve"> sign an AACRS Partnership Agreement which sets out the partnership principles and roles and responsibilities of each partner for the duration of AACRS. </w:t>
      </w:r>
    </w:p>
    <w:p w:rsidR="0080739E" w:rsidRDefault="0080739E" w:rsidP="0080739E">
      <w:pPr>
        <w:rPr>
          <w:lang w:eastAsia="en-AU"/>
        </w:rPr>
      </w:pPr>
    </w:p>
    <w:p w:rsidR="00365965" w:rsidRPr="00A91E44" w:rsidRDefault="000A2D45" w:rsidP="0080739E">
      <w:pPr>
        <w:rPr>
          <w:lang w:eastAsia="en-AU"/>
        </w:rPr>
      </w:pPr>
      <w:r>
        <w:rPr>
          <w:lang w:eastAsia="en-AU"/>
        </w:rPr>
        <w:t xml:space="preserve">In addition, AusAID will task DAFA to contract the </w:t>
      </w:r>
      <w:r w:rsidR="00F60084">
        <w:rPr>
          <w:lang w:eastAsia="en-AU"/>
        </w:rPr>
        <w:t>Scheme Manager and members of the TRG</w:t>
      </w:r>
      <w:r>
        <w:rPr>
          <w:lang w:eastAsia="en-AU"/>
        </w:rPr>
        <w:t xml:space="preserve">. The </w:t>
      </w:r>
      <w:r w:rsidR="00F60084">
        <w:rPr>
          <w:lang w:eastAsia="en-AU"/>
        </w:rPr>
        <w:t>Scheme Manager</w:t>
      </w:r>
      <w:r>
        <w:rPr>
          <w:lang w:eastAsia="en-AU"/>
        </w:rPr>
        <w:t xml:space="preserve"> would be full-time and the TRG members would be pool positions with an established daily rate to be drawn down as required. It is expected that TRG inputs will be greatest in Year 1, when TRG members support project design inclusive of M&amp;E strategy. At peak periods, the </w:t>
      </w:r>
      <w:r w:rsidR="00F60084">
        <w:rPr>
          <w:lang w:eastAsia="en-AU"/>
        </w:rPr>
        <w:t xml:space="preserve">Scheme Manager </w:t>
      </w:r>
      <w:r>
        <w:rPr>
          <w:lang w:eastAsia="en-AU"/>
        </w:rPr>
        <w:t xml:space="preserve">could request administrative support following DAFA’s approval. </w:t>
      </w:r>
    </w:p>
    <w:p w:rsidR="00365965" w:rsidRDefault="00365965" w:rsidP="0080739E">
      <w:pPr>
        <w:rPr>
          <w:rFonts w:asciiTheme="minorBidi" w:hAnsiTheme="minorBidi" w:cstheme="minorBidi"/>
          <w:b/>
          <w:bCs/>
          <w:sz w:val="20"/>
          <w:szCs w:val="20"/>
          <w:lang w:eastAsia="en-AU"/>
        </w:rPr>
      </w:pPr>
    </w:p>
    <w:p w:rsidR="000A2D45" w:rsidRDefault="000A2D45" w:rsidP="000A2D45">
      <w:pPr>
        <w:rPr>
          <w:lang w:eastAsia="en-AU"/>
        </w:rPr>
      </w:pPr>
      <w:r>
        <w:rPr>
          <w:lang w:eastAsia="en-AU"/>
        </w:rPr>
        <w:t xml:space="preserve">Financial flows will be governed by the </w:t>
      </w:r>
      <w:r w:rsidR="004B5680">
        <w:rPr>
          <w:lang w:eastAsia="en-AU"/>
        </w:rPr>
        <w:t>agreements</w:t>
      </w:r>
      <w:r>
        <w:rPr>
          <w:lang w:eastAsia="en-AU"/>
        </w:rPr>
        <w:t xml:space="preserve">. Project funds will flow direct from AusAID to the NGOs. Given that project implementing partners are NGOs, project expenditure will be grants-based and paid in advance. Project designs will include a financial schedule for payment tranches. Details will need to be discussed between AusAID and the NGOs. The expected model would be twelve-monthly grants and acquittals aligned so that they accompany narrative reports. </w:t>
      </w:r>
    </w:p>
    <w:p w:rsidR="000A2D45" w:rsidRPr="00512FC9" w:rsidRDefault="000A2D45" w:rsidP="000A2D45">
      <w:pPr>
        <w:rPr>
          <w:lang w:eastAsia="en-AU"/>
        </w:rPr>
      </w:pPr>
    </w:p>
    <w:p w:rsidR="000A2D45" w:rsidRDefault="000A2D45" w:rsidP="000A2D45">
      <w:pPr>
        <w:rPr>
          <w:lang w:eastAsia="en-AU"/>
        </w:rPr>
      </w:pPr>
      <w:r>
        <w:rPr>
          <w:lang w:eastAsia="en-AU"/>
        </w:rPr>
        <w:t xml:space="preserve">Funds for Program purposes such as workshops and Scheme Governance Committee </w:t>
      </w:r>
      <w:r w:rsidR="00A91E44">
        <w:rPr>
          <w:lang w:eastAsia="en-AU"/>
        </w:rPr>
        <w:t xml:space="preserve">meeting </w:t>
      </w:r>
      <w:r>
        <w:rPr>
          <w:lang w:eastAsia="en-AU"/>
        </w:rPr>
        <w:t xml:space="preserve">will be managed by DAFA. The </w:t>
      </w:r>
      <w:r w:rsidR="00A91E44">
        <w:rPr>
          <w:lang w:eastAsia="en-AU"/>
        </w:rPr>
        <w:t>Scheme Manager</w:t>
      </w:r>
      <w:r>
        <w:rPr>
          <w:lang w:eastAsia="en-AU"/>
        </w:rPr>
        <w:t xml:space="preserve"> and TRG members would submit timesheets and invoice DAFA for fees in </w:t>
      </w:r>
      <w:r w:rsidRPr="00EE60AD">
        <w:rPr>
          <w:lang w:eastAsia="en-AU"/>
        </w:rPr>
        <w:t xml:space="preserve">arrears </w:t>
      </w:r>
      <w:r w:rsidRPr="00084076">
        <w:rPr>
          <w:lang w:eastAsia="en-AU"/>
        </w:rPr>
        <w:t>on a monthly</w:t>
      </w:r>
      <w:r w:rsidRPr="00EE60AD">
        <w:rPr>
          <w:lang w:eastAsia="en-AU"/>
        </w:rPr>
        <w:t xml:space="preserve"> basis</w:t>
      </w:r>
      <w:r>
        <w:rPr>
          <w:lang w:eastAsia="en-AU"/>
        </w:rPr>
        <w:t xml:space="preserve">. </w:t>
      </w:r>
      <w:r w:rsidR="00A91E44">
        <w:rPr>
          <w:lang w:eastAsia="en-AU"/>
        </w:rPr>
        <w:t>Administrative support</w:t>
      </w:r>
      <w:r>
        <w:rPr>
          <w:lang w:eastAsia="en-AU"/>
        </w:rPr>
        <w:t xml:space="preserve"> appointed on a casual basis to support the </w:t>
      </w:r>
      <w:r w:rsidR="00A91E44">
        <w:rPr>
          <w:lang w:eastAsia="en-AU"/>
        </w:rPr>
        <w:t>Scheme Manager</w:t>
      </w:r>
      <w:r>
        <w:rPr>
          <w:lang w:eastAsia="en-AU"/>
        </w:rPr>
        <w:t xml:space="preserve"> during peak periods would invoice DAFA at the conclusion of their period of employment (or monthly if the employment exceeded one month).</w:t>
      </w:r>
    </w:p>
    <w:p w:rsidR="00A91E44" w:rsidRDefault="00A91E44" w:rsidP="000A2D45">
      <w:pPr>
        <w:rPr>
          <w:lang w:eastAsia="en-AU"/>
        </w:rPr>
      </w:pPr>
    </w:p>
    <w:p w:rsidR="0080739E" w:rsidRDefault="0080739E" w:rsidP="0080739E">
      <w:pPr>
        <w:pStyle w:val="Heading2"/>
        <w:numPr>
          <w:ilvl w:val="1"/>
          <w:numId w:val="1"/>
        </w:numPr>
        <w:rPr>
          <w:lang w:eastAsia="en-AU"/>
        </w:rPr>
      </w:pPr>
      <w:bookmarkStart w:id="42" w:name="_Toc353974455"/>
      <w:r>
        <w:rPr>
          <w:lang w:eastAsia="en-AU"/>
        </w:rPr>
        <w:lastRenderedPageBreak/>
        <w:t>Management Roles and Responsibilities</w:t>
      </w:r>
      <w:bookmarkEnd w:id="42"/>
    </w:p>
    <w:p w:rsidR="0080739E" w:rsidRDefault="0080739E" w:rsidP="0080739E">
      <w:pPr>
        <w:rPr>
          <w:lang w:eastAsia="en-AU"/>
        </w:rPr>
      </w:pPr>
    </w:p>
    <w:p w:rsidR="000A2D45" w:rsidRDefault="000A2D45" w:rsidP="000A2D45">
      <w:pPr>
        <w:rPr>
          <w:lang w:eastAsia="en-AU"/>
        </w:rPr>
      </w:pPr>
      <w:r>
        <w:rPr>
          <w:lang w:eastAsia="en-AU"/>
        </w:rPr>
        <w:t xml:space="preserve">The design has deliberately not recommended a larger coordination team in an attempt to contain expenditure on coordination. It uses the synergies provided by the existing DAFA team and </w:t>
      </w:r>
      <w:proofErr w:type="gramStart"/>
      <w:r>
        <w:rPr>
          <w:lang w:eastAsia="en-AU"/>
        </w:rPr>
        <w:t>secure</w:t>
      </w:r>
      <w:proofErr w:type="gramEnd"/>
      <w:r>
        <w:rPr>
          <w:lang w:eastAsia="en-AU"/>
        </w:rPr>
        <w:t xml:space="preserve"> facilities in Kabul.</w:t>
      </w:r>
    </w:p>
    <w:p w:rsidR="000A2D45" w:rsidRDefault="000A2D45" w:rsidP="000A2D45">
      <w:pPr>
        <w:rPr>
          <w:lang w:eastAsia="en-AU"/>
        </w:rPr>
      </w:pPr>
    </w:p>
    <w:p w:rsidR="00C83AAA" w:rsidRDefault="000A2D45" w:rsidP="0080739E">
      <w:pPr>
        <w:rPr>
          <w:lang w:eastAsia="en-AU"/>
        </w:rPr>
      </w:pPr>
      <w:r>
        <w:rPr>
          <w:lang w:eastAsia="en-AU"/>
        </w:rPr>
        <w:t xml:space="preserve">AusAID, DAFA and the </w:t>
      </w:r>
      <w:r w:rsidR="00424900">
        <w:rPr>
          <w:lang w:eastAsia="en-AU"/>
        </w:rPr>
        <w:t>Scheme Manager</w:t>
      </w:r>
      <w:r>
        <w:rPr>
          <w:lang w:eastAsia="en-AU"/>
        </w:rPr>
        <w:t xml:space="preserve"> will establish collegial working arrangements to ensure all aspects are covered and to avoid duplication. Table 1 </w:t>
      </w:r>
      <w:proofErr w:type="gramStart"/>
      <w:r>
        <w:rPr>
          <w:lang w:eastAsia="en-AU"/>
        </w:rPr>
        <w:t>sets</w:t>
      </w:r>
      <w:proofErr w:type="gramEnd"/>
      <w:r>
        <w:rPr>
          <w:lang w:eastAsia="en-AU"/>
        </w:rPr>
        <w:t xml:space="preserve"> out respective roles and responsibilities for AusAID and the </w:t>
      </w:r>
      <w:r w:rsidR="00424900">
        <w:rPr>
          <w:lang w:eastAsia="en-AU"/>
        </w:rPr>
        <w:t>Scheme Manager</w:t>
      </w:r>
      <w:r>
        <w:rPr>
          <w:lang w:eastAsia="en-AU"/>
        </w:rPr>
        <w:t xml:space="preserve">. </w:t>
      </w:r>
    </w:p>
    <w:p w:rsidR="00480213" w:rsidRDefault="00480213" w:rsidP="0080739E">
      <w:pPr>
        <w:rPr>
          <w:lang w:eastAsia="en-AU"/>
        </w:rPr>
      </w:pPr>
    </w:p>
    <w:p w:rsidR="00C83AAA" w:rsidRDefault="00C83AAA" w:rsidP="00C83AAA">
      <w:pPr>
        <w:rPr>
          <w:lang w:eastAsia="en-AU"/>
        </w:rPr>
      </w:pPr>
      <w:r w:rsidRPr="007C5E52">
        <w:rPr>
          <w:lang w:eastAsia="en-AU"/>
        </w:rPr>
        <w:t xml:space="preserve">AusAID will organise for </w:t>
      </w:r>
      <w:r w:rsidRPr="00EE171F">
        <w:rPr>
          <w:lang w:eastAsia="en-AU"/>
        </w:rPr>
        <w:t>DAFA</w:t>
      </w:r>
      <w:r w:rsidRPr="007C5E52">
        <w:rPr>
          <w:lang w:eastAsia="en-AU"/>
        </w:rPr>
        <w:t xml:space="preserve"> to support </w:t>
      </w:r>
      <w:r w:rsidR="00CE1010">
        <w:rPr>
          <w:lang w:eastAsia="en-AU"/>
        </w:rPr>
        <w:t xml:space="preserve">the </w:t>
      </w:r>
      <w:r w:rsidRPr="007C5E52">
        <w:rPr>
          <w:lang w:eastAsia="en-AU"/>
        </w:rPr>
        <w:t xml:space="preserve">AACRS in the following areas: </w:t>
      </w:r>
    </w:p>
    <w:p w:rsidR="00C83AAA" w:rsidRDefault="00C83AAA" w:rsidP="00C83AAA">
      <w:pPr>
        <w:ind w:left="360"/>
        <w:rPr>
          <w:lang w:eastAsia="en-AU"/>
        </w:rPr>
      </w:pPr>
    </w:p>
    <w:p w:rsidR="00C83AAA" w:rsidRDefault="00C83AAA" w:rsidP="008C14ED">
      <w:pPr>
        <w:pStyle w:val="ListParagraph"/>
        <w:numPr>
          <w:ilvl w:val="0"/>
          <w:numId w:val="26"/>
        </w:numPr>
        <w:rPr>
          <w:lang w:eastAsia="en-AU"/>
        </w:rPr>
      </w:pPr>
      <w:r>
        <w:rPr>
          <w:lang w:eastAsia="en-AU"/>
        </w:rPr>
        <w:t xml:space="preserve">administrative support </w:t>
      </w:r>
      <w:r w:rsidR="00870630">
        <w:rPr>
          <w:lang w:eastAsia="en-AU"/>
        </w:rPr>
        <w:t>for</w:t>
      </w:r>
      <w:r>
        <w:rPr>
          <w:lang w:eastAsia="en-AU"/>
        </w:rPr>
        <w:t xml:space="preserve"> the recruitment of the </w:t>
      </w:r>
      <w:r w:rsidR="00424900">
        <w:rPr>
          <w:lang w:eastAsia="en-AU"/>
        </w:rPr>
        <w:t>Scheme Manager</w:t>
      </w:r>
      <w:r>
        <w:rPr>
          <w:lang w:eastAsia="en-AU"/>
        </w:rPr>
        <w:t xml:space="preserve"> </w:t>
      </w:r>
    </w:p>
    <w:p w:rsidR="00A91E44" w:rsidRDefault="00C83AAA" w:rsidP="008C14ED">
      <w:pPr>
        <w:pStyle w:val="ListParagraph"/>
        <w:numPr>
          <w:ilvl w:val="0"/>
          <w:numId w:val="26"/>
        </w:numPr>
        <w:rPr>
          <w:lang w:eastAsia="en-AU"/>
        </w:rPr>
      </w:pPr>
      <w:r>
        <w:rPr>
          <w:lang w:eastAsia="en-AU"/>
        </w:rPr>
        <w:t xml:space="preserve">contract and performance manage (in </w:t>
      </w:r>
      <w:r w:rsidR="00A91E44">
        <w:rPr>
          <w:lang w:eastAsia="en-AU"/>
        </w:rPr>
        <w:t>communication</w:t>
      </w:r>
      <w:r>
        <w:rPr>
          <w:lang w:eastAsia="en-AU"/>
        </w:rPr>
        <w:t xml:space="preserve"> with AusAID) the </w:t>
      </w:r>
      <w:r w:rsidR="00A91E44">
        <w:rPr>
          <w:lang w:eastAsia="en-AU"/>
        </w:rPr>
        <w:t xml:space="preserve">Scheme Manager </w:t>
      </w:r>
    </w:p>
    <w:p w:rsidR="00C83AAA" w:rsidRDefault="00C83AAA" w:rsidP="008C14ED">
      <w:pPr>
        <w:pStyle w:val="ListParagraph"/>
        <w:numPr>
          <w:ilvl w:val="0"/>
          <w:numId w:val="26"/>
        </w:numPr>
        <w:rPr>
          <w:lang w:eastAsia="en-AU"/>
        </w:rPr>
      </w:pPr>
      <w:r>
        <w:rPr>
          <w:lang w:eastAsia="en-AU"/>
        </w:rPr>
        <w:t>logistic arrangements in support of Kabul</w:t>
      </w:r>
      <w:r w:rsidR="003C35A7">
        <w:rPr>
          <w:lang w:eastAsia="en-AU"/>
        </w:rPr>
        <w:t>-</w:t>
      </w:r>
      <w:r>
        <w:rPr>
          <w:lang w:eastAsia="en-AU"/>
        </w:rPr>
        <w:t xml:space="preserve">based meetings and workshops (including arrangements if meeting relocated to nearby country) in close liaison with </w:t>
      </w:r>
      <w:r w:rsidR="004F7EF3">
        <w:rPr>
          <w:lang w:eastAsia="en-AU"/>
        </w:rPr>
        <w:t>the Scheme Manager</w:t>
      </w:r>
    </w:p>
    <w:p w:rsidR="00C83AAA" w:rsidRDefault="00C83AAA" w:rsidP="008C14ED">
      <w:pPr>
        <w:pStyle w:val="ListParagraph"/>
        <w:numPr>
          <w:ilvl w:val="0"/>
          <w:numId w:val="26"/>
        </w:numPr>
        <w:rPr>
          <w:lang w:eastAsia="en-AU"/>
        </w:rPr>
      </w:pPr>
      <w:r>
        <w:rPr>
          <w:lang w:eastAsia="en-AU"/>
        </w:rPr>
        <w:t xml:space="preserve">records management system and database accessible by the </w:t>
      </w:r>
      <w:r w:rsidR="004F7EF3">
        <w:rPr>
          <w:lang w:eastAsia="en-AU"/>
        </w:rPr>
        <w:t xml:space="preserve">Scheme Manager </w:t>
      </w:r>
      <w:r>
        <w:rPr>
          <w:lang w:eastAsia="en-AU"/>
        </w:rPr>
        <w:t>to capture all AACRS records</w:t>
      </w:r>
    </w:p>
    <w:p w:rsidR="00C83AAA" w:rsidRDefault="00C83AAA" w:rsidP="008C14ED">
      <w:pPr>
        <w:pStyle w:val="ListParagraph"/>
        <w:numPr>
          <w:ilvl w:val="0"/>
          <w:numId w:val="26"/>
        </w:numPr>
        <w:rPr>
          <w:lang w:eastAsia="en-AU"/>
        </w:rPr>
      </w:pPr>
      <w:r>
        <w:rPr>
          <w:lang w:eastAsia="en-AU"/>
        </w:rPr>
        <w:t xml:space="preserve">contract and performance manage (in </w:t>
      </w:r>
      <w:r w:rsidR="004F7EF3">
        <w:rPr>
          <w:lang w:eastAsia="en-AU"/>
        </w:rPr>
        <w:t>communication</w:t>
      </w:r>
      <w:r>
        <w:rPr>
          <w:lang w:eastAsia="en-AU"/>
        </w:rPr>
        <w:t xml:space="preserve"> with AusAID) members of the TRG</w:t>
      </w:r>
    </w:p>
    <w:p w:rsidR="00C83AAA" w:rsidRDefault="00C83AAA" w:rsidP="008C14ED">
      <w:pPr>
        <w:pStyle w:val="ListParagraph"/>
        <w:numPr>
          <w:ilvl w:val="0"/>
          <w:numId w:val="26"/>
        </w:numPr>
        <w:rPr>
          <w:lang w:eastAsia="en-AU"/>
        </w:rPr>
      </w:pPr>
      <w:r>
        <w:rPr>
          <w:lang w:eastAsia="en-AU"/>
        </w:rPr>
        <w:t>manage the AACRS Administrative Fund and organise payments for program expenses</w:t>
      </w:r>
    </w:p>
    <w:p w:rsidR="00C83AAA" w:rsidRDefault="00C83AAA" w:rsidP="008C14ED">
      <w:pPr>
        <w:pStyle w:val="ListParagraph"/>
        <w:numPr>
          <w:ilvl w:val="0"/>
          <w:numId w:val="26"/>
        </w:numPr>
        <w:rPr>
          <w:lang w:eastAsia="en-AU"/>
        </w:rPr>
      </w:pPr>
      <w:proofErr w:type="gramStart"/>
      <w:r>
        <w:rPr>
          <w:lang w:eastAsia="en-AU"/>
        </w:rPr>
        <w:t>contract</w:t>
      </w:r>
      <w:proofErr w:type="gramEnd"/>
      <w:r>
        <w:rPr>
          <w:lang w:eastAsia="en-AU"/>
        </w:rPr>
        <w:t xml:space="preserve"> and support the Mid-Term Review team.</w:t>
      </w:r>
    </w:p>
    <w:p w:rsidR="00C83AAA" w:rsidRDefault="00C83AAA" w:rsidP="0080739E">
      <w:pPr>
        <w:rPr>
          <w:lang w:eastAsia="en-AU"/>
        </w:rPr>
        <w:sectPr w:rsidR="00C83AAA" w:rsidSect="008609A2">
          <w:pgSz w:w="11906" w:h="16838"/>
          <w:pgMar w:top="1440" w:right="1440" w:bottom="1440" w:left="1440" w:header="708" w:footer="708" w:gutter="0"/>
          <w:cols w:space="708"/>
          <w:docGrid w:linePitch="360"/>
        </w:sectPr>
      </w:pPr>
    </w:p>
    <w:p w:rsidR="00EA01ED" w:rsidRPr="007C5E52" w:rsidRDefault="00EA01ED" w:rsidP="00EA01ED">
      <w:pPr>
        <w:rPr>
          <w:rFonts w:ascii="Arial" w:hAnsi="Arial" w:cs="Arial"/>
          <w:b/>
          <w:bCs/>
          <w:sz w:val="20"/>
          <w:szCs w:val="20"/>
          <w:lang w:eastAsia="en-AU"/>
        </w:rPr>
      </w:pPr>
      <w:r w:rsidRPr="007C5E52">
        <w:rPr>
          <w:rFonts w:ascii="Arial" w:hAnsi="Arial" w:cs="Arial"/>
          <w:b/>
          <w:bCs/>
          <w:sz w:val="20"/>
          <w:szCs w:val="20"/>
        </w:rPr>
        <w:lastRenderedPageBreak/>
        <w:t>Table 1</w:t>
      </w:r>
      <w:r>
        <w:rPr>
          <w:rFonts w:ascii="Arial" w:hAnsi="Arial" w:cs="Arial"/>
          <w:b/>
          <w:bCs/>
          <w:sz w:val="20"/>
          <w:szCs w:val="20"/>
        </w:rPr>
        <w:t xml:space="preserve">: </w:t>
      </w:r>
      <w:r w:rsidRPr="007C5E52">
        <w:rPr>
          <w:rFonts w:ascii="Arial" w:hAnsi="Arial" w:cs="Arial"/>
          <w:b/>
          <w:bCs/>
          <w:sz w:val="20"/>
          <w:szCs w:val="20"/>
        </w:rPr>
        <w:tab/>
        <w:t>Management Roles and Responsibilities</w:t>
      </w:r>
    </w:p>
    <w:p w:rsidR="00EA01ED" w:rsidRDefault="00EA01ED" w:rsidP="0080739E">
      <w:pPr>
        <w:rPr>
          <w:lang w:eastAsia="en-AU"/>
        </w:rPr>
      </w:pPr>
    </w:p>
    <w:tbl>
      <w:tblPr>
        <w:tblStyle w:val="TableGrid"/>
        <w:tblW w:w="14709" w:type="dxa"/>
        <w:tblLook w:val="04A0" w:firstRow="1" w:lastRow="0" w:firstColumn="1" w:lastColumn="0" w:noHBand="0" w:noVBand="1"/>
      </w:tblPr>
      <w:tblGrid>
        <w:gridCol w:w="6912"/>
        <w:gridCol w:w="7797"/>
      </w:tblGrid>
      <w:tr w:rsidR="00EA01ED" w:rsidRPr="00C83AAA" w:rsidTr="008609A2">
        <w:tc>
          <w:tcPr>
            <w:tcW w:w="6912" w:type="dxa"/>
          </w:tcPr>
          <w:p w:rsidR="00EA01ED" w:rsidRPr="00C83AAA" w:rsidRDefault="00EA01ED" w:rsidP="00C83AAA">
            <w:pPr>
              <w:rPr>
                <w:b/>
                <w:bCs/>
                <w:sz w:val="20"/>
                <w:szCs w:val="20"/>
              </w:rPr>
            </w:pPr>
            <w:r w:rsidRPr="00C83AAA">
              <w:rPr>
                <w:b/>
                <w:bCs/>
                <w:sz w:val="20"/>
                <w:szCs w:val="20"/>
              </w:rPr>
              <w:t>AusAID</w:t>
            </w:r>
          </w:p>
        </w:tc>
        <w:tc>
          <w:tcPr>
            <w:tcW w:w="7797" w:type="dxa"/>
          </w:tcPr>
          <w:p w:rsidR="00EA01ED" w:rsidRPr="00C83AAA" w:rsidRDefault="00424900" w:rsidP="00C83AAA">
            <w:pPr>
              <w:rPr>
                <w:b/>
                <w:bCs/>
                <w:sz w:val="20"/>
                <w:szCs w:val="20"/>
              </w:rPr>
            </w:pPr>
            <w:r>
              <w:rPr>
                <w:b/>
                <w:bCs/>
                <w:sz w:val="20"/>
                <w:szCs w:val="20"/>
              </w:rPr>
              <w:t>Scheme Manager</w:t>
            </w:r>
          </w:p>
        </w:tc>
      </w:tr>
      <w:tr w:rsidR="00EA01ED" w:rsidRPr="00C83AAA" w:rsidTr="008609A2">
        <w:tc>
          <w:tcPr>
            <w:tcW w:w="6912" w:type="dxa"/>
          </w:tcPr>
          <w:p w:rsidR="00EA01ED" w:rsidRPr="00C83AAA" w:rsidRDefault="00EA01ED" w:rsidP="008C14ED">
            <w:pPr>
              <w:pStyle w:val="ListParagraph"/>
              <w:numPr>
                <w:ilvl w:val="0"/>
                <w:numId w:val="25"/>
              </w:numPr>
              <w:rPr>
                <w:color w:val="000000"/>
                <w:sz w:val="20"/>
                <w:szCs w:val="20"/>
              </w:rPr>
            </w:pPr>
            <w:r w:rsidRPr="00C83AAA">
              <w:rPr>
                <w:color w:val="000000"/>
                <w:sz w:val="20"/>
                <w:szCs w:val="20"/>
              </w:rPr>
              <w:t>Approves PDD and AACRS start-up</w:t>
            </w:r>
          </w:p>
          <w:p w:rsidR="00EA01ED" w:rsidRPr="00C83AAA" w:rsidRDefault="00EA01ED" w:rsidP="00C83AAA">
            <w:pPr>
              <w:rPr>
                <w:b/>
                <w:bCs/>
                <w:sz w:val="20"/>
                <w:szCs w:val="20"/>
              </w:rPr>
            </w:pPr>
          </w:p>
        </w:tc>
        <w:tc>
          <w:tcPr>
            <w:tcW w:w="7797" w:type="dxa"/>
          </w:tcPr>
          <w:p w:rsidR="00EA01ED" w:rsidRPr="00C83AAA" w:rsidRDefault="00EA01ED" w:rsidP="004F7EF3">
            <w:pPr>
              <w:pStyle w:val="ListParagraph"/>
              <w:numPr>
                <w:ilvl w:val="0"/>
                <w:numId w:val="25"/>
              </w:numPr>
              <w:rPr>
                <w:sz w:val="20"/>
                <w:szCs w:val="20"/>
              </w:rPr>
            </w:pPr>
            <w:r w:rsidRPr="00C83AAA">
              <w:rPr>
                <w:sz w:val="20"/>
                <w:szCs w:val="20"/>
                <w:lang w:val="en-GB" w:eastAsia="he-IL" w:bidi="he-IL"/>
              </w:rPr>
              <w:t xml:space="preserve">Provide </w:t>
            </w:r>
            <w:r w:rsidR="004F7EF3" w:rsidRPr="00C83AAA">
              <w:rPr>
                <w:sz w:val="20"/>
                <w:szCs w:val="20"/>
                <w:lang w:val="en-GB" w:eastAsia="he-IL" w:bidi="he-IL"/>
              </w:rPr>
              <w:t xml:space="preserve">day-to-day </w:t>
            </w:r>
            <w:r w:rsidRPr="00C83AAA">
              <w:rPr>
                <w:sz w:val="20"/>
                <w:szCs w:val="20"/>
                <w:lang w:val="en-GB" w:eastAsia="he-IL" w:bidi="he-IL"/>
              </w:rPr>
              <w:t xml:space="preserve">leadership and technical direction to guide and quality assure implementation </w:t>
            </w:r>
          </w:p>
        </w:tc>
      </w:tr>
      <w:tr w:rsidR="00EA01ED" w:rsidRPr="00C83AAA" w:rsidTr="008609A2">
        <w:tc>
          <w:tcPr>
            <w:tcW w:w="6912" w:type="dxa"/>
          </w:tcPr>
          <w:p w:rsidR="00EA01ED" w:rsidRPr="00C83AAA" w:rsidRDefault="004F7EF3" w:rsidP="004F7EF3">
            <w:pPr>
              <w:pStyle w:val="ListParagraph"/>
              <w:numPr>
                <w:ilvl w:val="0"/>
                <w:numId w:val="25"/>
              </w:numPr>
              <w:rPr>
                <w:sz w:val="20"/>
                <w:szCs w:val="20"/>
              </w:rPr>
            </w:pPr>
            <w:r>
              <w:rPr>
                <w:sz w:val="20"/>
                <w:szCs w:val="20"/>
              </w:rPr>
              <w:t xml:space="preserve">Manage relationships with MAIL, </w:t>
            </w:r>
            <w:r w:rsidR="00EA01ED" w:rsidRPr="00C83AAA">
              <w:rPr>
                <w:sz w:val="20"/>
                <w:szCs w:val="20"/>
              </w:rPr>
              <w:t>MRRD</w:t>
            </w:r>
            <w:r>
              <w:rPr>
                <w:sz w:val="20"/>
                <w:szCs w:val="20"/>
              </w:rPr>
              <w:t xml:space="preserve"> and MoE</w:t>
            </w:r>
          </w:p>
        </w:tc>
        <w:tc>
          <w:tcPr>
            <w:tcW w:w="7797" w:type="dxa"/>
          </w:tcPr>
          <w:p w:rsidR="00EA01ED" w:rsidRPr="00C83AAA" w:rsidRDefault="00EA01ED" w:rsidP="008C14ED">
            <w:pPr>
              <w:pStyle w:val="ListParagraph"/>
              <w:numPr>
                <w:ilvl w:val="0"/>
                <w:numId w:val="25"/>
              </w:numPr>
              <w:rPr>
                <w:sz w:val="20"/>
                <w:szCs w:val="20"/>
              </w:rPr>
            </w:pPr>
            <w:r w:rsidRPr="00C83AAA">
              <w:rPr>
                <w:sz w:val="20"/>
                <w:szCs w:val="20"/>
                <w:lang w:val="en-GB" w:eastAsia="he-IL" w:bidi="he-IL"/>
              </w:rPr>
              <w:t>Develop AACRS communication protocols</w:t>
            </w:r>
          </w:p>
        </w:tc>
      </w:tr>
      <w:tr w:rsidR="00EA01ED" w:rsidRPr="00C83AAA" w:rsidTr="008609A2">
        <w:tc>
          <w:tcPr>
            <w:tcW w:w="6912" w:type="dxa"/>
          </w:tcPr>
          <w:p w:rsidR="00EA01ED" w:rsidRPr="00C83AAA" w:rsidRDefault="00EA01ED" w:rsidP="008C14ED">
            <w:pPr>
              <w:pStyle w:val="ListParagraph"/>
              <w:numPr>
                <w:ilvl w:val="0"/>
                <w:numId w:val="25"/>
              </w:numPr>
              <w:rPr>
                <w:sz w:val="20"/>
                <w:szCs w:val="20"/>
              </w:rPr>
            </w:pPr>
            <w:r w:rsidRPr="00C83AAA">
              <w:rPr>
                <w:sz w:val="20"/>
                <w:szCs w:val="20"/>
              </w:rPr>
              <w:t>Task DAFA to support AACRS</w:t>
            </w:r>
          </w:p>
        </w:tc>
        <w:tc>
          <w:tcPr>
            <w:tcW w:w="7797" w:type="dxa"/>
          </w:tcPr>
          <w:p w:rsidR="00EA01ED" w:rsidRPr="00C83AAA" w:rsidRDefault="00EA01ED" w:rsidP="008C14ED">
            <w:pPr>
              <w:pStyle w:val="ListParagraph"/>
              <w:numPr>
                <w:ilvl w:val="0"/>
                <w:numId w:val="25"/>
              </w:numPr>
              <w:rPr>
                <w:sz w:val="20"/>
                <w:szCs w:val="20"/>
                <w:lang w:val="en-GB" w:eastAsia="he-IL" w:bidi="he-IL"/>
              </w:rPr>
            </w:pPr>
            <w:r w:rsidRPr="00C83AAA">
              <w:rPr>
                <w:sz w:val="20"/>
                <w:szCs w:val="20"/>
                <w:lang w:val="en-GB" w:eastAsia="he-IL" w:bidi="he-IL"/>
              </w:rPr>
              <w:t>Manage relationships with all stakeholders</w:t>
            </w:r>
          </w:p>
        </w:tc>
      </w:tr>
      <w:tr w:rsidR="00EA01ED" w:rsidRPr="00C83AAA" w:rsidTr="008609A2">
        <w:tc>
          <w:tcPr>
            <w:tcW w:w="6912" w:type="dxa"/>
          </w:tcPr>
          <w:p w:rsidR="00EA01ED" w:rsidRPr="00C83AAA" w:rsidRDefault="004F7EF3" w:rsidP="008C14ED">
            <w:pPr>
              <w:pStyle w:val="ListParagraph"/>
              <w:numPr>
                <w:ilvl w:val="0"/>
                <w:numId w:val="25"/>
              </w:numPr>
              <w:rPr>
                <w:sz w:val="20"/>
                <w:szCs w:val="20"/>
              </w:rPr>
            </w:pPr>
            <w:r>
              <w:rPr>
                <w:sz w:val="20"/>
                <w:szCs w:val="20"/>
              </w:rPr>
              <w:t>Take part in selection of</w:t>
            </w:r>
            <w:r w:rsidR="00EA01ED" w:rsidRPr="00C83AAA">
              <w:rPr>
                <w:sz w:val="20"/>
                <w:szCs w:val="20"/>
              </w:rPr>
              <w:t xml:space="preserve"> </w:t>
            </w:r>
            <w:r w:rsidR="00424900">
              <w:rPr>
                <w:sz w:val="20"/>
                <w:szCs w:val="20"/>
              </w:rPr>
              <w:t>Scheme Manager</w:t>
            </w:r>
            <w:r>
              <w:rPr>
                <w:sz w:val="20"/>
                <w:szCs w:val="20"/>
              </w:rPr>
              <w:t xml:space="preserve"> and final sign-off </w:t>
            </w:r>
          </w:p>
        </w:tc>
        <w:tc>
          <w:tcPr>
            <w:tcW w:w="7797" w:type="dxa"/>
          </w:tcPr>
          <w:p w:rsidR="00EA01ED" w:rsidRPr="00C83AAA" w:rsidRDefault="00EA01ED" w:rsidP="008C14ED">
            <w:pPr>
              <w:pStyle w:val="ListParagraph"/>
              <w:numPr>
                <w:ilvl w:val="0"/>
                <w:numId w:val="25"/>
              </w:numPr>
              <w:rPr>
                <w:sz w:val="20"/>
                <w:szCs w:val="20"/>
              </w:rPr>
            </w:pPr>
            <w:r w:rsidRPr="00C83AAA">
              <w:rPr>
                <w:sz w:val="20"/>
                <w:szCs w:val="20"/>
                <w:lang w:val="en-GB" w:eastAsia="he-IL" w:bidi="he-IL"/>
              </w:rPr>
              <w:t>Develop Scheme and Project systems, processes and templates</w:t>
            </w:r>
          </w:p>
        </w:tc>
      </w:tr>
      <w:tr w:rsidR="00EA01ED" w:rsidRPr="00C83AAA" w:rsidTr="008609A2">
        <w:tc>
          <w:tcPr>
            <w:tcW w:w="6912" w:type="dxa"/>
          </w:tcPr>
          <w:p w:rsidR="00EA01ED" w:rsidRPr="00C83AAA" w:rsidRDefault="00EA01ED" w:rsidP="00F241AF">
            <w:pPr>
              <w:pStyle w:val="ListParagraph"/>
              <w:numPr>
                <w:ilvl w:val="0"/>
                <w:numId w:val="25"/>
              </w:numPr>
              <w:rPr>
                <w:sz w:val="20"/>
                <w:szCs w:val="20"/>
              </w:rPr>
            </w:pPr>
            <w:r w:rsidRPr="00C83AAA">
              <w:rPr>
                <w:sz w:val="20"/>
                <w:szCs w:val="20"/>
              </w:rPr>
              <w:t xml:space="preserve">Advertise the </w:t>
            </w:r>
            <w:r w:rsidR="004F7EF3">
              <w:rPr>
                <w:sz w:val="20"/>
                <w:szCs w:val="20"/>
              </w:rPr>
              <w:t xml:space="preserve">NGO </w:t>
            </w:r>
            <w:r w:rsidR="00F241AF">
              <w:rPr>
                <w:sz w:val="20"/>
                <w:szCs w:val="20"/>
              </w:rPr>
              <w:t>Request for Submissions</w:t>
            </w:r>
            <w:r w:rsidRPr="00C83AAA">
              <w:rPr>
                <w:sz w:val="20"/>
                <w:szCs w:val="20"/>
              </w:rPr>
              <w:t xml:space="preserve"> and handle the responses (conformity check etc)</w:t>
            </w:r>
          </w:p>
        </w:tc>
        <w:tc>
          <w:tcPr>
            <w:tcW w:w="7797" w:type="dxa"/>
          </w:tcPr>
          <w:p w:rsidR="00EA01ED" w:rsidRPr="00C83AAA" w:rsidRDefault="004F7EF3" w:rsidP="008C14ED">
            <w:pPr>
              <w:pStyle w:val="ListParagraph"/>
              <w:numPr>
                <w:ilvl w:val="0"/>
                <w:numId w:val="25"/>
              </w:numPr>
              <w:rPr>
                <w:sz w:val="20"/>
                <w:szCs w:val="20"/>
                <w:lang w:val="en-GB"/>
              </w:rPr>
            </w:pPr>
            <w:r>
              <w:rPr>
                <w:sz w:val="20"/>
                <w:szCs w:val="20"/>
                <w:lang w:val="en-GB"/>
              </w:rPr>
              <w:t xml:space="preserve">Organise </w:t>
            </w:r>
            <w:r w:rsidR="00EA01ED" w:rsidRPr="00C83AAA">
              <w:rPr>
                <w:sz w:val="20"/>
                <w:szCs w:val="20"/>
                <w:lang w:val="en-GB"/>
              </w:rPr>
              <w:t>annual Scheme Governance Committee Meetings and provide secretariat services for such meetings, with logistic support from DAFA for Kabul-based events</w:t>
            </w:r>
          </w:p>
        </w:tc>
      </w:tr>
      <w:tr w:rsidR="00EA01ED" w:rsidRPr="00C83AAA" w:rsidTr="008609A2">
        <w:tc>
          <w:tcPr>
            <w:tcW w:w="6912" w:type="dxa"/>
          </w:tcPr>
          <w:p w:rsidR="00EA01ED" w:rsidRPr="00C83AAA" w:rsidRDefault="004F7EF3" w:rsidP="008C14ED">
            <w:pPr>
              <w:pStyle w:val="ListParagraph"/>
              <w:numPr>
                <w:ilvl w:val="0"/>
                <w:numId w:val="25"/>
              </w:numPr>
              <w:rPr>
                <w:sz w:val="20"/>
                <w:szCs w:val="20"/>
              </w:rPr>
            </w:pPr>
            <w:r>
              <w:rPr>
                <w:sz w:val="20"/>
                <w:szCs w:val="20"/>
              </w:rPr>
              <w:t xml:space="preserve">Select members of the Selection Panel </w:t>
            </w:r>
          </w:p>
        </w:tc>
        <w:tc>
          <w:tcPr>
            <w:tcW w:w="7797" w:type="dxa"/>
          </w:tcPr>
          <w:p w:rsidR="00EA01ED" w:rsidRPr="00C83AAA" w:rsidRDefault="00EA01ED" w:rsidP="008C14ED">
            <w:pPr>
              <w:pStyle w:val="ListParagraph"/>
              <w:numPr>
                <w:ilvl w:val="0"/>
                <w:numId w:val="25"/>
              </w:numPr>
              <w:rPr>
                <w:sz w:val="20"/>
                <w:szCs w:val="20"/>
                <w:lang w:val="en-GB" w:eastAsia="he-IL" w:bidi="he-IL"/>
              </w:rPr>
            </w:pPr>
            <w:r w:rsidRPr="00C83AAA">
              <w:rPr>
                <w:sz w:val="20"/>
                <w:szCs w:val="20"/>
                <w:lang w:val="en-GB" w:eastAsia="he-IL" w:bidi="he-IL"/>
              </w:rPr>
              <w:t>Build relationship with the TRG and consult regularly</w:t>
            </w:r>
          </w:p>
        </w:tc>
      </w:tr>
      <w:tr w:rsidR="00EA01ED" w:rsidRPr="00C83AAA" w:rsidTr="008609A2">
        <w:tc>
          <w:tcPr>
            <w:tcW w:w="6912" w:type="dxa"/>
          </w:tcPr>
          <w:p w:rsidR="00EA01ED" w:rsidRPr="00C83AAA" w:rsidRDefault="004F7EF3" w:rsidP="008C14ED">
            <w:pPr>
              <w:pStyle w:val="ListParagraph"/>
              <w:numPr>
                <w:ilvl w:val="0"/>
                <w:numId w:val="25"/>
              </w:numPr>
              <w:rPr>
                <w:sz w:val="20"/>
                <w:szCs w:val="20"/>
              </w:rPr>
            </w:pPr>
            <w:r>
              <w:rPr>
                <w:sz w:val="20"/>
                <w:szCs w:val="20"/>
              </w:rPr>
              <w:t>Appoint and brief the Selection Panel</w:t>
            </w:r>
          </w:p>
        </w:tc>
        <w:tc>
          <w:tcPr>
            <w:tcW w:w="7797" w:type="dxa"/>
          </w:tcPr>
          <w:p w:rsidR="00EA01ED" w:rsidRPr="00C83AAA" w:rsidRDefault="00EA01ED" w:rsidP="008C14ED">
            <w:pPr>
              <w:pStyle w:val="ListParagraph"/>
              <w:numPr>
                <w:ilvl w:val="0"/>
                <w:numId w:val="25"/>
              </w:numPr>
              <w:rPr>
                <w:sz w:val="20"/>
                <w:szCs w:val="20"/>
              </w:rPr>
            </w:pPr>
            <w:r w:rsidRPr="00C83AAA">
              <w:rPr>
                <w:sz w:val="20"/>
                <w:szCs w:val="20"/>
                <w:lang w:val="en-GB" w:eastAsia="he-IL" w:bidi="he-IL"/>
              </w:rPr>
              <w:t>Provide oversight and support in a collegial environment to each NGO Project team during design and implementation</w:t>
            </w:r>
          </w:p>
        </w:tc>
      </w:tr>
      <w:tr w:rsidR="00EA01ED" w:rsidRPr="00C83AAA" w:rsidTr="008609A2">
        <w:tc>
          <w:tcPr>
            <w:tcW w:w="6912" w:type="dxa"/>
          </w:tcPr>
          <w:p w:rsidR="00EA01ED" w:rsidRPr="00C83AAA" w:rsidRDefault="00EA01ED" w:rsidP="004F7EF3">
            <w:pPr>
              <w:pStyle w:val="ListParagraph"/>
              <w:numPr>
                <w:ilvl w:val="0"/>
                <w:numId w:val="25"/>
              </w:numPr>
              <w:rPr>
                <w:sz w:val="20"/>
                <w:szCs w:val="20"/>
              </w:rPr>
            </w:pPr>
            <w:r w:rsidRPr="00C83AAA">
              <w:rPr>
                <w:sz w:val="20"/>
                <w:szCs w:val="20"/>
              </w:rPr>
              <w:t xml:space="preserve">Chair </w:t>
            </w:r>
            <w:r w:rsidR="004F7EF3">
              <w:rPr>
                <w:sz w:val="20"/>
                <w:szCs w:val="20"/>
              </w:rPr>
              <w:t>Selection Panel</w:t>
            </w:r>
            <w:r w:rsidRPr="00C83AAA">
              <w:rPr>
                <w:sz w:val="20"/>
                <w:szCs w:val="20"/>
              </w:rPr>
              <w:t>, document selection process and delegate approval</w:t>
            </w:r>
          </w:p>
        </w:tc>
        <w:tc>
          <w:tcPr>
            <w:tcW w:w="7797" w:type="dxa"/>
          </w:tcPr>
          <w:p w:rsidR="00EA01ED" w:rsidRPr="00C83AAA" w:rsidRDefault="00EA01ED" w:rsidP="008C14ED">
            <w:pPr>
              <w:pStyle w:val="ListParagraph"/>
              <w:numPr>
                <w:ilvl w:val="0"/>
                <w:numId w:val="25"/>
              </w:numPr>
              <w:rPr>
                <w:sz w:val="20"/>
                <w:szCs w:val="20"/>
              </w:rPr>
            </w:pPr>
            <w:r w:rsidRPr="00C83AAA">
              <w:rPr>
                <w:sz w:val="20"/>
                <w:szCs w:val="20"/>
              </w:rPr>
              <w:t xml:space="preserve">Encourage adherence to AACRS principles such as partnership and gender inclusion </w:t>
            </w:r>
          </w:p>
        </w:tc>
      </w:tr>
      <w:tr w:rsidR="00EA01ED" w:rsidRPr="00C83AAA" w:rsidTr="008609A2">
        <w:tc>
          <w:tcPr>
            <w:tcW w:w="6912" w:type="dxa"/>
          </w:tcPr>
          <w:p w:rsidR="00EA01ED" w:rsidRPr="00C83AAA" w:rsidRDefault="004F7EF3" w:rsidP="004B5680">
            <w:pPr>
              <w:pStyle w:val="ListParagraph"/>
              <w:numPr>
                <w:ilvl w:val="0"/>
                <w:numId w:val="25"/>
              </w:numPr>
              <w:rPr>
                <w:sz w:val="20"/>
                <w:szCs w:val="20"/>
              </w:rPr>
            </w:pPr>
            <w:r>
              <w:rPr>
                <w:sz w:val="20"/>
                <w:szCs w:val="20"/>
              </w:rPr>
              <w:t xml:space="preserve">Detailed </w:t>
            </w:r>
            <w:r w:rsidR="004B5680">
              <w:rPr>
                <w:sz w:val="20"/>
                <w:szCs w:val="20"/>
              </w:rPr>
              <w:t>Design agreements with</w:t>
            </w:r>
            <w:r w:rsidR="00EA01ED" w:rsidRPr="00C83AAA">
              <w:rPr>
                <w:sz w:val="20"/>
                <w:szCs w:val="20"/>
              </w:rPr>
              <w:t xml:space="preserve"> </w:t>
            </w:r>
            <w:r w:rsidR="004B5680">
              <w:rPr>
                <w:sz w:val="20"/>
                <w:szCs w:val="20"/>
              </w:rPr>
              <w:t>AACRS</w:t>
            </w:r>
            <w:r w:rsidR="00EA01ED" w:rsidRPr="00C83AAA">
              <w:rPr>
                <w:sz w:val="20"/>
                <w:szCs w:val="20"/>
              </w:rPr>
              <w:t xml:space="preserve"> NGOs – bilateral </w:t>
            </w:r>
            <w:r w:rsidR="004B5680">
              <w:rPr>
                <w:sz w:val="20"/>
                <w:szCs w:val="20"/>
              </w:rPr>
              <w:t>agreements</w:t>
            </w:r>
            <w:r w:rsidR="00EA01ED" w:rsidRPr="00C83AAA">
              <w:rPr>
                <w:sz w:val="20"/>
                <w:szCs w:val="20"/>
              </w:rPr>
              <w:t xml:space="preserve"> and AACRS Partnership Agreement</w:t>
            </w:r>
          </w:p>
        </w:tc>
        <w:tc>
          <w:tcPr>
            <w:tcW w:w="7797" w:type="dxa"/>
          </w:tcPr>
          <w:p w:rsidR="00EA01ED" w:rsidRPr="00C83AAA" w:rsidRDefault="00EA01ED" w:rsidP="008C14ED">
            <w:pPr>
              <w:pStyle w:val="ListParagraph"/>
              <w:numPr>
                <w:ilvl w:val="0"/>
                <w:numId w:val="25"/>
              </w:numPr>
              <w:rPr>
                <w:sz w:val="20"/>
                <w:szCs w:val="20"/>
              </w:rPr>
            </w:pPr>
            <w:r w:rsidRPr="00C83AAA">
              <w:rPr>
                <w:sz w:val="20"/>
                <w:szCs w:val="20"/>
              </w:rPr>
              <w:t>With administrative support from DAFA, organise Annual Reflection Workshops in Kabul (or nearby location) and provide secretariat services</w:t>
            </w:r>
          </w:p>
        </w:tc>
      </w:tr>
      <w:tr w:rsidR="00EA01ED" w:rsidRPr="00C83AAA" w:rsidTr="008609A2">
        <w:tc>
          <w:tcPr>
            <w:tcW w:w="6912" w:type="dxa"/>
          </w:tcPr>
          <w:p w:rsidR="00EA01ED" w:rsidRPr="00C83AAA" w:rsidRDefault="00EA01ED" w:rsidP="008C14ED">
            <w:pPr>
              <w:pStyle w:val="ListParagraph"/>
              <w:numPr>
                <w:ilvl w:val="0"/>
                <w:numId w:val="25"/>
              </w:numPr>
              <w:rPr>
                <w:sz w:val="20"/>
                <w:szCs w:val="20"/>
              </w:rPr>
            </w:pPr>
            <w:r w:rsidRPr="00C83AAA">
              <w:rPr>
                <w:sz w:val="20"/>
                <w:szCs w:val="20"/>
              </w:rPr>
              <w:t>Appraise and approve project designs</w:t>
            </w:r>
          </w:p>
        </w:tc>
        <w:tc>
          <w:tcPr>
            <w:tcW w:w="7797" w:type="dxa"/>
          </w:tcPr>
          <w:p w:rsidR="00EA01ED" w:rsidRPr="00C83AAA" w:rsidRDefault="00EA01ED" w:rsidP="008C14ED">
            <w:pPr>
              <w:pStyle w:val="ListParagraph"/>
              <w:numPr>
                <w:ilvl w:val="0"/>
                <w:numId w:val="25"/>
              </w:numPr>
              <w:rPr>
                <w:sz w:val="20"/>
                <w:szCs w:val="20"/>
              </w:rPr>
            </w:pPr>
            <w:r w:rsidRPr="00C83AAA">
              <w:rPr>
                <w:sz w:val="20"/>
                <w:szCs w:val="20"/>
              </w:rPr>
              <w:t>In consultation with the TRG, design and implement program level Monitoring and Evaluation (M&amp;E)</w:t>
            </w:r>
          </w:p>
        </w:tc>
      </w:tr>
      <w:tr w:rsidR="00EA01ED" w:rsidRPr="00C83AAA" w:rsidTr="008609A2">
        <w:tc>
          <w:tcPr>
            <w:tcW w:w="6912" w:type="dxa"/>
          </w:tcPr>
          <w:p w:rsidR="00EA01ED" w:rsidRPr="00C83AAA" w:rsidRDefault="004B5680" w:rsidP="008C14ED">
            <w:pPr>
              <w:pStyle w:val="ListParagraph"/>
              <w:numPr>
                <w:ilvl w:val="0"/>
                <w:numId w:val="25"/>
              </w:numPr>
              <w:rPr>
                <w:sz w:val="20"/>
                <w:szCs w:val="20"/>
              </w:rPr>
            </w:pPr>
            <w:r>
              <w:rPr>
                <w:sz w:val="20"/>
                <w:szCs w:val="20"/>
              </w:rPr>
              <w:t>Program agreements with AACRS NGOs</w:t>
            </w:r>
            <w:r w:rsidR="00EA01ED" w:rsidRPr="00C83AAA">
              <w:rPr>
                <w:sz w:val="20"/>
                <w:szCs w:val="20"/>
              </w:rPr>
              <w:t xml:space="preserve"> following project approval</w:t>
            </w:r>
          </w:p>
        </w:tc>
        <w:tc>
          <w:tcPr>
            <w:tcW w:w="7797" w:type="dxa"/>
          </w:tcPr>
          <w:p w:rsidR="00EA01ED" w:rsidRPr="00C83AAA" w:rsidRDefault="00EA01ED" w:rsidP="008C14ED">
            <w:pPr>
              <w:pStyle w:val="ListParagraph"/>
              <w:numPr>
                <w:ilvl w:val="0"/>
                <w:numId w:val="25"/>
              </w:numPr>
              <w:rPr>
                <w:sz w:val="20"/>
                <w:szCs w:val="20"/>
              </w:rPr>
            </w:pPr>
            <w:r w:rsidRPr="00C83AAA">
              <w:rPr>
                <w:sz w:val="20"/>
                <w:szCs w:val="20"/>
              </w:rPr>
              <w:t>Review and quality check all NGO project narrative and financial reports prior to submission to AusAID</w:t>
            </w:r>
          </w:p>
        </w:tc>
      </w:tr>
      <w:tr w:rsidR="00EA01ED" w:rsidRPr="00C83AAA" w:rsidTr="008609A2">
        <w:tc>
          <w:tcPr>
            <w:tcW w:w="6912" w:type="dxa"/>
          </w:tcPr>
          <w:p w:rsidR="00EA01ED" w:rsidRPr="00C83AAA" w:rsidRDefault="00EA01ED" w:rsidP="004F7EF3">
            <w:pPr>
              <w:pStyle w:val="ListParagraph"/>
              <w:numPr>
                <w:ilvl w:val="0"/>
                <w:numId w:val="25"/>
              </w:numPr>
              <w:rPr>
                <w:sz w:val="20"/>
                <w:szCs w:val="20"/>
              </w:rPr>
            </w:pPr>
            <w:r w:rsidRPr="00C83AAA">
              <w:rPr>
                <w:sz w:val="20"/>
                <w:szCs w:val="20"/>
              </w:rPr>
              <w:t xml:space="preserve">Performance manage NGOs with support from </w:t>
            </w:r>
            <w:r w:rsidR="00620915">
              <w:rPr>
                <w:sz w:val="20"/>
                <w:szCs w:val="20"/>
              </w:rPr>
              <w:t xml:space="preserve">the </w:t>
            </w:r>
            <w:r w:rsidR="004F7EF3">
              <w:rPr>
                <w:sz w:val="20"/>
                <w:szCs w:val="20"/>
              </w:rPr>
              <w:t>Scheme Manager</w:t>
            </w:r>
          </w:p>
        </w:tc>
        <w:tc>
          <w:tcPr>
            <w:tcW w:w="7797" w:type="dxa"/>
          </w:tcPr>
          <w:p w:rsidR="00EA01ED" w:rsidRPr="00C83AAA" w:rsidRDefault="00EA01ED" w:rsidP="008C14ED">
            <w:pPr>
              <w:pStyle w:val="ListParagraph"/>
              <w:numPr>
                <w:ilvl w:val="0"/>
                <w:numId w:val="25"/>
              </w:numPr>
              <w:rPr>
                <w:sz w:val="20"/>
                <w:szCs w:val="20"/>
              </w:rPr>
            </w:pPr>
            <w:r w:rsidRPr="00C83AAA">
              <w:rPr>
                <w:sz w:val="20"/>
                <w:szCs w:val="20"/>
              </w:rPr>
              <w:t xml:space="preserve">Prepare the </w:t>
            </w:r>
            <w:r w:rsidRPr="00C83AAA">
              <w:rPr>
                <w:i/>
                <w:iCs/>
                <w:sz w:val="20"/>
                <w:szCs w:val="20"/>
              </w:rPr>
              <w:t>AACRS Annual Report</w:t>
            </w:r>
            <w:r w:rsidRPr="00C83AAA">
              <w:rPr>
                <w:sz w:val="20"/>
                <w:szCs w:val="20"/>
              </w:rPr>
              <w:t xml:space="preserve"> for submission to the SGC</w:t>
            </w:r>
          </w:p>
        </w:tc>
      </w:tr>
      <w:tr w:rsidR="00EA01ED" w:rsidRPr="00C83AAA" w:rsidTr="008609A2">
        <w:tc>
          <w:tcPr>
            <w:tcW w:w="6912" w:type="dxa"/>
          </w:tcPr>
          <w:p w:rsidR="00EA01ED" w:rsidRPr="00C83AAA" w:rsidRDefault="00EA01ED" w:rsidP="008C14ED">
            <w:pPr>
              <w:pStyle w:val="ListParagraph"/>
              <w:numPr>
                <w:ilvl w:val="0"/>
                <w:numId w:val="25"/>
              </w:numPr>
              <w:rPr>
                <w:sz w:val="20"/>
                <w:szCs w:val="20"/>
              </w:rPr>
            </w:pPr>
            <w:r w:rsidRPr="00C83AAA">
              <w:rPr>
                <w:sz w:val="20"/>
                <w:szCs w:val="20"/>
              </w:rPr>
              <w:t>Organise annual NGO grant payments and acquittals</w:t>
            </w:r>
          </w:p>
        </w:tc>
        <w:tc>
          <w:tcPr>
            <w:tcW w:w="7797" w:type="dxa"/>
          </w:tcPr>
          <w:p w:rsidR="00EA01ED" w:rsidRPr="00C83AAA" w:rsidRDefault="00EA01ED" w:rsidP="008C14ED">
            <w:pPr>
              <w:pStyle w:val="ListParagraph"/>
              <w:numPr>
                <w:ilvl w:val="0"/>
                <w:numId w:val="25"/>
              </w:numPr>
              <w:rPr>
                <w:sz w:val="20"/>
                <w:szCs w:val="20"/>
              </w:rPr>
            </w:pPr>
            <w:r w:rsidRPr="00C83AAA">
              <w:rPr>
                <w:sz w:val="20"/>
                <w:szCs w:val="20"/>
              </w:rPr>
              <w:t>Encourage NGOs to implement change in response to lessons learned and promote a culture of continuous improvement</w:t>
            </w:r>
          </w:p>
        </w:tc>
      </w:tr>
      <w:tr w:rsidR="00EA01ED" w:rsidRPr="00C83AAA" w:rsidTr="008609A2">
        <w:tc>
          <w:tcPr>
            <w:tcW w:w="6912" w:type="dxa"/>
          </w:tcPr>
          <w:p w:rsidR="00EA01ED" w:rsidRPr="00C83AAA" w:rsidRDefault="00EA01ED" w:rsidP="004F7EF3">
            <w:pPr>
              <w:pStyle w:val="ListParagraph"/>
              <w:numPr>
                <w:ilvl w:val="0"/>
                <w:numId w:val="25"/>
              </w:numPr>
              <w:rPr>
                <w:sz w:val="20"/>
                <w:szCs w:val="20"/>
              </w:rPr>
            </w:pPr>
            <w:r w:rsidRPr="00C83AAA">
              <w:rPr>
                <w:sz w:val="20"/>
                <w:szCs w:val="20"/>
              </w:rPr>
              <w:t xml:space="preserve">Appoint SGC and Co-Chair SGC Meetings </w:t>
            </w:r>
          </w:p>
        </w:tc>
        <w:tc>
          <w:tcPr>
            <w:tcW w:w="7797" w:type="dxa"/>
          </w:tcPr>
          <w:p w:rsidR="00EA01ED" w:rsidRPr="00C83AAA" w:rsidRDefault="004D5AD4" w:rsidP="008C14ED">
            <w:pPr>
              <w:pStyle w:val="ListParagraph"/>
              <w:numPr>
                <w:ilvl w:val="0"/>
                <w:numId w:val="25"/>
              </w:numPr>
              <w:rPr>
                <w:sz w:val="20"/>
                <w:szCs w:val="20"/>
              </w:rPr>
            </w:pPr>
            <w:r w:rsidRPr="00C83AAA">
              <w:rPr>
                <w:sz w:val="20"/>
                <w:szCs w:val="20"/>
              </w:rPr>
              <w:t>Anticipate risks and enact risk mitigation measures as required</w:t>
            </w:r>
            <w:r>
              <w:rPr>
                <w:sz w:val="20"/>
                <w:szCs w:val="20"/>
              </w:rPr>
              <w:t xml:space="preserve">, </w:t>
            </w:r>
            <w:r w:rsidRPr="00312A0C">
              <w:rPr>
                <w:sz w:val="20"/>
                <w:szCs w:val="20"/>
              </w:rPr>
              <w:t>through active risk management processes in line with AusAID’s risk management policy, including documentation of risks in AusAID format, regular review and reporting to AusAID</w:t>
            </w:r>
          </w:p>
        </w:tc>
      </w:tr>
      <w:tr w:rsidR="00EA01ED" w:rsidRPr="00C83AAA" w:rsidTr="008609A2">
        <w:tc>
          <w:tcPr>
            <w:tcW w:w="6912" w:type="dxa"/>
          </w:tcPr>
          <w:p w:rsidR="00EA01ED" w:rsidRPr="00C83AAA" w:rsidRDefault="00EA01ED" w:rsidP="008C14ED">
            <w:pPr>
              <w:pStyle w:val="ListParagraph"/>
              <w:numPr>
                <w:ilvl w:val="0"/>
                <w:numId w:val="25"/>
              </w:numPr>
              <w:rPr>
                <w:sz w:val="20"/>
                <w:szCs w:val="20"/>
              </w:rPr>
            </w:pPr>
            <w:r w:rsidRPr="00C83AAA">
              <w:rPr>
                <w:sz w:val="20"/>
                <w:szCs w:val="20"/>
              </w:rPr>
              <w:t>Update AACRS stakeholders on relevant policy and program developments (at SGC Meetings and out of session if urgent)</w:t>
            </w:r>
          </w:p>
        </w:tc>
        <w:tc>
          <w:tcPr>
            <w:tcW w:w="7797" w:type="dxa"/>
          </w:tcPr>
          <w:p w:rsidR="00EA01ED" w:rsidRPr="00C83AAA" w:rsidRDefault="00EA01ED" w:rsidP="008C14ED">
            <w:pPr>
              <w:pStyle w:val="ListParagraph"/>
              <w:numPr>
                <w:ilvl w:val="0"/>
                <w:numId w:val="25"/>
              </w:numPr>
              <w:rPr>
                <w:sz w:val="20"/>
                <w:szCs w:val="20"/>
              </w:rPr>
            </w:pPr>
            <w:r w:rsidRPr="00C83AAA">
              <w:rPr>
                <w:sz w:val="20"/>
                <w:szCs w:val="20"/>
              </w:rPr>
              <w:t>With support from DAFA, maintain efficient records management and a database</w:t>
            </w:r>
          </w:p>
        </w:tc>
      </w:tr>
      <w:tr w:rsidR="00EA01ED" w:rsidRPr="00C83AAA" w:rsidTr="008609A2">
        <w:tc>
          <w:tcPr>
            <w:tcW w:w="6912" w:type="dxa"/>
          </w:tcPr>
          <w:p w:rsidR="00EA01ED" w:rsidRPr="00C83AAA" w:rsidRDefault="00EA01ED" w:rsidP="008C14ED">
            <w:pPr>
              <w:pStyle w:val="ListParagraph"/>
              <w:numPr>
                <w:ilvl w:val="0"/>
                <w:numId w:val="25"/>
              </w:numPr>
              <w:rPr>
                <w:sz w:val="20"/>
                <w:szCs w:val="20"/>
              </w:rPr>
            </w:pPr>
            <w:r w:rsidRPr="00C83AAA">
              <w:rPr>
                <w:sz w:val="20"/>
                <w:szCs w:val="20"/>
              </w:rPr>
              <w:t xml:space="preserve">Monitor AACRS progress through engagement with partners, attendance at Annual </w:t>
            </w:r>
            <w:r w:rsidR="008D494D" w:rsidRPr="00C83AAA">
              <w:rPr>
                <w:sz w:val="20"/>
                <w:szCs w:val="20"/>
              </w:rPr>
              <w:t>Reflections, review</w:t>
            </w:r>
            <w:r w:rsidRPr="00C83AAA">
              <w:rPr>
                <w:sz w:val="20"/>
                <w:szCs w:val="20"/>
              </w:rPr>
              <w:t xml:space="preserve"> of Six-Monthly Snapshot Reports, Program Annual Reports and Program Completion Reports</w:t>
            </w:r>
          </w:p>
        </w:tc>
        <w:tc>
          <w:tcPr>
            <w:tcW w:w="7797" w:type="dxa"/>
          </w:tcPr>
          <w:p w:rsidR="00EA01ED" w:rsidRPr="00C83AAA" w:rsidRDefault="00EA01ED" w:rsidP="008C14ED">
            <w:pPr>
              <w:pStyle w:val="ListParagraph"/>
              <w:numPr>
                <w:ilvl w:val="0"/>
                <w:numId w:val="25"/>
              </w:numPr>
              <w:rPr>
                <w:sz w:val="20"/>
                <w:szCs w:val="20"/>
              </w:rPr>
            </w:pPr>
            <w:r w:rsidRPr="00C83AAA">
              <w:rPr>
                <w:sz w:val="20"/>
                <w:szCs w:val="20"/>
              </w:rPr>
              <w:t>Be available to consult with the external team(s) appointed to evaluate AACRS</w:t>
            </w:r>
          </w:p>
        </w:tc>
      </w:tr>
      <w:tr w:rsidR="00EA01ED" w:rsidRPr="00C83AAA" w:rsidTr="008609A2">
        <w:tc>
          <w:tcPr>
            <w:tcW w:w="6912" w:type="dxa"/>
          </w:tcPr>
          <w:p w:rsidR="00EA01ED" w:rsidRPr="00C83AAA" w:rsidRDefault="00EA01ED" w:rsidP="008C14ED">
            <w:pPr>
              <w:pStyle w:val="ListParagraph"/>
              <w:numPr>
                <w:ilvl w:val="0"/>
                <w:numId w:val="25"/>
              </w:numPr>
              <w:rPr>
                <w:sz w:val="20"/>
                <w:szCs w:val="20"/>
              </w:rPr>
            </w:pPr>
            <w:r w:rsidRPr="00C83AAA">
              <w:rPr>
                <w:sz w:val="20"/>
                <w:szCs w:val="20"/>
              </w:rPr>
              <w:t>Organise Mid-Term Review and act on its findings</w:t>
            </w:r>
          </w:p>
        </w:tc>
        <w:tc>
          <w:tcPr>
            <w:tcW w:w="7797" w:type="dxa"/>
          </w:tcPr>
          <w:p w:rsidR="00EA01ED" w:rsidRPr="00C83AAA" w:rsidRDefault="00EA01ED" w:rsidP="008C14ED">
            <w:pPr>
              <w:pStyle w:val="ListParagraph"/>
              <w:numPr>
                <w:ilvl w:val="0"/>
                <w:numId w:val="25"/>
              </w:numPr>
              <w:rPr>
                <w:sz w:val="20"/>
                <w:szCs w:val="20"/>
              </w:rPr>
            </w:pPr>
            <w:r w:rsidRPr="00C83AAA">
              <w:rPr>
                <w:sz w:val="20"/>
                <w:szCs w:val="20"/>
              </w:rPr>
              <w:t>Respond to requests for information from AusAID</w:t>
            </w:r>
          </w:p>
        </w:tc>
      </w:tr>
      <w:tr w:rsidR="00EA01ED" w:rsidRPr="00C83AAA" w:rsidTr="008609A2">
        <w:tc>
          <w:tcPr>
            <w:tcW w:w="6912" w:type="dxa"/>
          </w:tcPr>
          <w:p w:rsidR="00EA01ED" w:rsidRPr="00C83AAA" w:rsidRDefault="00EA01ED" w:rsidP="008C14ED">
            <w:pPr>
              <w:pStyle w:val="ListParagraph"/>
              <w:numPr>
                <w:ilvl w:val="0"/>
                <w:numId w:val="25"/>
              </w:numPr>
              <w:rPr>
                <w:sz w:val="20"/>
                <w:szCs w:val="20"/>
              </w:rPr>
            </w:pPr>
            <w:r w:rsidRPr="00C83AAA">
              <w:rPr>
                <w:sz w:val="20"/>
                <w:szCs w:val="20"/>
              </w:rPr>
              <w:t xml:space="preserve">Disseminate information on AACRS results </w:t>
            </w:r>
          </w:p>
        </w:tc>
        <w:tc>
          <w:tcPr>
            <w:tcW w:w="7797" w:type="dxa"/>
          </w:tcPr>
          <w:p w:rsidR="00EA01ED" w:rsidRPr="00C83AAA" w:rsidRDefault="00EA01ED" w:rsidP="008C14ED">
            <w:pPr>
              <w:pStyle w:val="ListParagraph"/>
              <w:numPr>
                <w:ilvl w:val="0"/>
                <w:numId w:val="25"/>
              </w:numPr>
              <w:rPr>
                <w:sz w:val="20"/>
                <w:szCs w:val="20"/>
              </w:rPr>
            </w:pPr>
            <w:r w:rsidRPr="00C83AAA">
              <w:rPr>
                <w:sz w:val="20"/>
                <w:szCs w:val="20"/>
              </w:rPr>
              <w:t xml:space="preserve">Prepare the </w:t>
            </w:r>
            <w:r w:rsidRPr="00C83AAA">
              <w:rPr>
                <w:i/>
                <w:iCs/>
                <w:sz w:val="20"/>
                <w:szCs w:val="20"/>
              </w:rPr>
              <w:t>AACRS Annual Report</w:t>
            </w:r>
            <w:r w:rsidRPr="00C83AAA">
              <w:rPr>
                <w:sz w:val="20"/>
                <w:szCs w:val="20"/>
              </w:rPr>
              <w:t xml:space="preserve"> for submission to the SGC</w:t>
            </w:r>
          </w:p>
        </w:tc>
      </w:tr>
      <w:tr w:rsidR="00EA01ED" w:rsidRPr="00C83AAA" w:rsidTr="008609A2">
        <w:tc>
          <w:tcPr>
            <w:tcW w:w="6912" w:type="dxa"/>
          </w:tcPr>
          <w:p w:rsidR="00EA01ED" w:rsidRPr="00C83AAA" w:rsidRDefault="00EA01ED" w:rsidP="00870630">
            <w:pPr>
              <w:pStyle w:val="ListParagraph"/>
              <w:rPr>
                <w:sz w:val="20"/>
                <w:szCs w:val="20"/>
              </w:rPr>
            </w:pPr>
          </w:p>
        </w:tc>
        <w:tc>
          <w:tcPr>
            <w:tcW w:w="7797" w:type="dxa"/>
          </w:tcPr>
          <w:p w:rsidR="00EA01ED" w:rsidRPr="00C83AAA" w:rsidRDefault="00EA01ED" w:rsidP="008C14ED">
            <w:pPr>
              <w:pStyle w:val="ListParagraph"/>
              <w:numPr>
                <w:ilvl w:val="0"/>
                <w:numId w:val="25"/>
              </w:numPr>
              <w:rPr>
                <w:sz w:val="20"/>
                <w:szCs w:val="20"/>
              </w:rPr>
            </w:pPr>
            <w:r w:rsidRPr="00C83AAA">
              <w:rPr>
                <w:sz w:val="20"/>
                <w:szCs w:val="20"/>
              </w:rPr>
              <w:t>Prepare information on AACRS results suitable for communities in Afghanistan and Australia</w:t>
            </w:r>
          </w:p>
        </w:tc>
      </w:tr>
    </w:tbl>
    <w:p w:rsidR="00EA01ED" w:rsidRDefault="00EA01ED" w:rsidP="0080739E">
      <w:pPr>
        <w:rPr>
          <w:lang w:eastAsia="en-AU"/>
        </w:rPr>
        <w:sectPr w:rsidR="00EA01ED" w:rsidSect="008609A2">
          <w:pgSz w:w="16838" w:h="11906" w:orient="landscape"/>
          <w:pgMar w:top="1440" w:right="1440" w:bottom="1440" w:left="1440" w:header="709" w:footer="709" w:gutter="0"/>
          <w:cols w:space="708"/>
          <w:docGrid w:linePitch="360"/>
        </w:sectPr>
      </w:pPr>
    </w:p>
    <w:p w:rsidR="0080739E" w:rsidRDefault="0080739E" w:rsidP="0080739E">
      <w:pPr>
        <w:pStyle w:val="Heading1"/>
        <w:numPr>
          <w:ilvl w:val="0"/>
          <w:numId w:val="1"/>
        </w:numPr>
      </w:pPr>
      <w:bookmarkStart w:id="43" w:name="_Toc353974456"/>
      <w:r w:rsidRPr="00EE2792">
        <w:lastRenderedPageBreak/>
        <w:t>Monitoring and Evaluation</w:t>
      </w:r>
      <w:bookmarkEnd w:id="43"/>
    </w:p>
    <w:p w:rsidR="0080739E" w:rsidRDefault="0080739E" w:rsidP="0080739E">
      <w:pPr>
        <w:pStyle w:val="Heading2"/>
        <w:numPr>
          <w:ilvl w:val="1"/>
          <w:numId w:val="1"/>
        </w:numPr>
        <w:rPr>
          <w:lang w:eastAsia="en-AU"/>
        </w:rPr>
      </w:pPr>
      <w:bookmarkStart w:id="44" w:name="_Toc353974457"/>
      <w:r>
        <w:rPr>
          <w:lang w:eastAsia="en-AU"/>
        </w:rPr>
        <w:t>Monitoring and Evaluation Framework</w:t>
      </w:r>
      <w:bookmarkEnd w:id="44"/>
    </w:p>
    <w:p w:rsidR="00746325" w:rsidRDefault="00746325" w:rsidP="0080739E">
      <w:pPr>
        <w:rPr>
          <w:lang w:eastAsia="en-AU"/>
        </w:rPr>
      </w:pPr>
    </w:p>
    <w:p w:rsidR="0080739E" w:rsidRDefault="0080739E" w:rsidP="00624D30">
      <w:pPr>
        <w:rPr>
          <w:lang w:eastAsia="en-AU"/>
        </w:rPr>
      </w:pPr>
      <w:r>
        <w:rPr>
          <w:lang w:eastAsia="en-AU"/>
        </w:rPr>
        <w:t xml:space="preserve">M&amp;E for </w:t>
      </w:r>
      <w:r w:rsidR="004F7EF3">
        <w:rPr>
          <w:lang w:eastAsia="en-AU"/>
        </w:rPr>
        <w:t xml:space="preserve">the </w:t>
      </w:r>
      <w:r>
        <w:rPr>
          <w:lang w:eastAsia="en-AU"/>
        </w:rPr>
        <w:t xml:space="preserve">AACRS will serve multiple purposes. The M&amp;E framework is designed to support accountability, learning, application of learning to produce improved processes and/or outcomes within AACRS, and to create useable information for purposes of policy and program development, or for community education. </w:t>
      </w:r>
      <w:r w:rsidR="000C7415">
        <w:rPr>
          <w:lang w:eastAsia="en-AU"/>
        </w:rPr>
        <w:t>Figure 1</w:t>
      </w:r>
      <w:r>
        <w:rPr>
          <w:lang w:eastAsia="en-AU"/>
        </w:rPr>
        <w:t xml:space="preserve"> summarises the diverse forms of M&amp;E.</w:t>
      </w:r>
    </w:p>
    <w:p w:rsidR="0080739E" w:rsidRDefault="0080739E" w:rsidP="00D07A11">
      <w:pPr>
        <w:rPr>
          <w:lang w:eastAsia="en-AU"/>
        </w:rPr>
      </w:pPr>
    </w:p>
    <w:p w:rsidR="00E5367B" w:rsidRPr="004F7EF3" w:rsidRDefault="00624D30" w:rsidP="00E5367B">
      <w:pPr>
        <w:rPr>
          <w:lang w:eastAsia="en-AU"/>
        </w:rPr>
      </w:pPr>
      <w:r w:rsidRPr="00624D30">
        <w:rPr>
          <w:lang w:eastAsia="en-AU"/>
        </w:rPr>
        <w:t>In line with AusAID</w:t>
      </w:r>
      <w:r>
        <w:rPr>
          <w:lang w:eastAsia="en-AU"/>
        </w:rPr>
        <w:t>’s standard grant agreement requirements</w:t>
      </w:r>
      <w:r w:rsidRPr="00624D30">
        <w:rPr>
          <w:lang w:eastAsia="en-AU"/>
        </w:rPr>
        <w:t xml:space="preserve">, </w:t>
      </w:r>
      <w:r>
        <w:rPr>
          <w:lang w:eastAsia="en-AU"/>
        </w:rPr>
        <w:t>NGOs</w:t>
      </w:r>
      <w:r w:rsidRPr="00624D30">
        <w:rPr>
          <w:lang w:eastAsia="en-AU"/>
        </w:rPr>
        <w:t xml:space="preserve"> must permit AusAID to monitor and/or evaluate the</w:t>
      </w:r>
      <w:r>
        <w:rPr>
          <w:lang w:eastAsia="en-AU"/>
        </w:rPr>
        <w:t xml:space="preserve"> AACRS projects</w:t>
      </w:r>
      <w:r w:rsidRPr="00624D30">
        <w:rPr>
          <w:lang w:eastAsia="en-AU"/>
        </w:rPr>
        <w:t>. AusAID will</w:t>
      </w:r>
      <w:r>
        <w:rPr>
          <w:lang w:eastAsia="en-AU"/>
        </w:rPr>
        <w:t xml:space="preserve"> give NGOs </w:t>
      </w:r>
      <w:r w:rsidRPr="00624D30">
        <w:rPr>
          <w:lang w:eastAsia="en-AU"/>
        </w:rPr>
        <w:t>at least two</w:t>
      </w:r>
      <w:r>
        <w:rPr>
          <w:lang w:eastAsia="en-AU"/>
        </w:rPr>
        <w:t xml:space="preserve"> </w:t>
      </w:r>
      <w:r w:rsidRPr="00624D30">
        <w:rPr>
          <w:lang w:eastAsia="en-AU"/>
        </w:rPr>
        <w:t xml:space="preserve">weeks’ notice of its intentions prior to commencing such a review. In that event, the </w:t>
      </w:r>
      <w:r>
        <w:rPr>
          <w:lang w:eastAsia="en-AU"/>
        </w:rPr>
        <w:t>NGO</w:t>
      </w:r>
      <w:r w:rsidRPr="00624D30">
        <w:rPr>
          <w:lang w:eastAsia="en-AU"/>
        </w:rPr>
        <w:t xml:space="preserve"> must cooperate fully with any request for assist</w:t>
      </w:r>
      <w:r>
        <w:rPr>
          <w:lang w:eastAsia="en-AU"/>
        </w:rPr>
        <w:t>ance pursuant to any such study, including allowing AusAID to visit project sites.</w:t>
      </w:r>
      <w:r w:rsidRPr="00624D30">
        <w:rPr>
          <w:lang w:eastAsia="en-AU"/>
        </w:rPr>
        <w:t xml:space="preserve"> </w:t>
      </w:r>
      <w:r w:rsidR="00E5367B">
        <w:rPr>
          <w:lang w:eastAsia="en-AU"/>
        </w:rPr>
        <w:t xml:space="preserve">AusAID will, however, ensure that any visits to project sites adopt a ‘do no harm’ approach, meaning such interventions </w:t>
      </w:r>
      <w:r w:rsidR="00E5367B">
        <w:rPr>
          <w:lang w:val="en-AU" w:eastAsia="en-AU"/>
        </w:rPr>
        <w:t xml:space="preserve">should “do no harm” to staff implementing the project or project beneficiaries now or in the future. This is further outlined in AusAID’s 2011 </w:t>
      </w:r>
      <w:r w:rsidR="00E5367B" w:rsidRPr="00316D43">
        <w:rPr>
          <w:i/>
          <w:lang w:val="en-AU"/>
        </w:rPr>
        <w:t>Framework for Working in Fragile and Conflict-Affected States</w:t>
      </w:r>
      <w:r w:rsidR="00E5367B">
        <w:rPr>
          <w:i/>
          <w:lang w:val="en-AU"/>
        </w:rPr>
        <w:t>.</w:t>
      </w:r>
      <w:r w:rsidR="00E5367B" w:rsidRPr="003C35A7">
        <w:rPr>
          <w:rStyle w:val="FootnoteReference"/>
          <w:lang w:val="en-AU"/>
        </w:rPr>
        <w:footnoteReference w:id="52"/>
      </w:r>
    </w:p>
    <w:p w:rsidR="0080739E" w:rsidRDefault="0080739E" w:rsidP="0080739E">
      <w:pPr>
        <w:pStyle w:val="Heading2"/>
        <w:numPr>
          <w:ilvl w:val="1"/>
          <w:numId w:val="1"/>
        </w:numPr>
        <w:rPr>
          <w:lang w:eastAsia="en-AU"/>
        </w:rPr>
      </w:pPr>
      <w:bookmarkStart w:id="45" w:name="_Toc353974458"/>
      <w:r>
        <w:rPr>
          <w:lang w:eastAsia="en-AU"/>
        </w:rPr>
        <w:t>Project Level M&amp;E</w:t>
      </w:r>
      <w:bookmarkEnd w:id="45"/>
    </w:p>
    <w:p w:rsidR="00746325" w:rsidRDefault="00746325" w:rsidP="0080739E">
      <w:pPr>
        <w:rPr>
          <w:lang w:eastAsia="en-AU"/>
        </w:rPr>
      </w:pPr>
    </w:p>
    <w:p w:rsidR="0080739E" w:rsidRDefault="0080739E" w:rsidP="0080739E">
      <w:pPr>
        <w:rPr>
          <w:lang w:eastAsia="en-AU"/>
        </w:rPr>
      </w:pPr>
      <w:r>
        <w:rPr>
          <w:lang w:eastAsia="en-AU"/>
        </w:rPr>
        <w:t>NGOs will prepare six monthly Reports using a standard AACRS template. These will report on major achievements, unresolved issues and lessons learned during the reporting period. Reports will also track progress against baseline data for a small number of relevant indicators agreed during the design process. In addition, performance/results stories captured through M&amp;E may also be used to demonstrate how projects are ma</w:t>
      </w:r>
      <w:r w:rsidR="004F7EF3">
        <w:rPr>
          <w:lang w:eastAsia="en-AU"/>
        </w:rPr>
        <w:t>king a difference</w:t>
      </w:r>
      <w:r>
        <w:rPr>
          <w:lang w:eastAsia="en-AU"/>
        </w:rPr>
        <w:t>.</w:t>
      </w:r>
    </w:p>
    <w:p w:rsidR="0080739E" w:rsidRDefault="0080739E" w:rsidP="0080739E">
      <w:pPr>
        <w:rPr>
          <w:lang w:eastAsia="en-AU"/>
        </w:rPr>
      </w:pPr>
    </w:p>
    <w:p w:rsidR="0080739E" w:rsidRDefault="0080739E" w:rsidP="0080739E">
      <w:pPr>
        <w:rPr>
          <w:lang w:eastAsia="en-AU"/>
        </w:rPr>
      </w:pPr>
      <w:r>
        <w:rPr>
          <w:lang w:eastAsia="en-AU"/>
        </w:rPr>
        <w:t xml:space="preserve">Financial statements would include acquittal of grants received, expenditure against budget and a forecast of cash flow for the following period. </w:t>
      </w:r>
    </w:p>
    <w:p w:rsidR="0080739E" w:rsidRDefault="0080739E" w:rsidP="0080739E">
      <w:pPr>
        <w:rPr>
          <w:lang w:eastAsia="en-AU"/>
        </w:rPr>
      </w:pPr>
    </w:p>
    <w:p w:rsidR="0080739E" w:rsidRDefault="0080739E" w:rsidP="0080739E">
      <w:pPr>
        <w:rPr>
          <w:lang w:eastAsia="en-AU"/>
        </w:rPr>
        <w:sectPr w:rsidR="0080739E" w:rsidSect="008609A2">
          <w:pgSz w:w="11906" w:h="16838"/>
          <w:pgMar w:top="1440" w:right="1440" w:bottom="1440" w:left="1440" w:header="708" w:footer="708" w:gutter="0"/>
          <w:cols w:space="708"/>
          <w:docGrid w:linePitch="360"/>
        </w:sectPr>
      </w:pPr>
    </w:p>
    <w:p w:rsidR="0080739E" w:rsidRPr="00B655A4" w:rsidRDefault="000C7415" w:rsidP="0080739E">
      <w:pPr>
        <w:rPr>
          <w:rFonts w:asciiTheme="majorBidi" w:hAnsiTheme="majorBidi" w:cstheme="majorBidi"/>
          <w:b/>
          <w:bCs/>
        </w:rPr>
      </w:pPr>
      <w:r>
        <w:rPr>
          <w:rFonts w:asciiTheme="majorBidi" w:hAnsiTheme="majorBidi" w:cstheme="majorBidi"/>
          <w:b/>
          <w:bCs/>
        </w:rPr>
        <w:lastRenderedPageBreak/>
        <w:t>Figure 1</w:t>
      </w:r>
      <w:r w:rsidR="0080739E" w:rsidRPr="00177EAA">
        <w:rPr>
          <w:rFonts w:asciiTheme="majorBidi" w:hAnsiTheme="majorBidi" w:cstheme="majorBidi"/>
          <w:b/>
          <w:bCs/>
        </w:rPr>
        <w:t>:</w:t>
      </w:r>
      <w:r w:rsidR="0080739E" w:rsidRPr="00B655A4">
        <w:rPr>
          <w:rFonts w:asciiTheme="majorBidi" w:hAnsiTheme="majorBidi" w:cstheme="majorBidi"/>
          <w:b/>
          <w:bCs/>
        </w:rPr>
        <w:t xml:space="preserve"> AACRS Monitoring and Evaluation Framework</w:t>
      </w:r>
    </w:p>
    <w:p w:rsidR="0080739E" w:rsidRDefault="0080739E" w:rsidP="0080739E">
      <w:pPr>
        <w:rPr>
          <w:rFonts w:ascii="Garamond" w:hAnsi="Garamond"/>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3969"/>
        <w:gridCol w:w="3544"/>
        <w:gridCol w:w="4001"/>
      </w:tblGrid>
      <w:tr w:rsidR="0080739E" w:rsidRPr="00B655A4" w:rsidTr="009175A3">
        <w:tc>
          <w:tcPr>
            <w:tcW w:w="534" w:type="dxa"/>
          </w:tcPr>
          <w:p w:rsidR="0080739E" w:rsidRPr="00A931B4" w:rsidRDefault="0080739E" w:rsidP="009175A3">
            <w:pPr>
              <w:rPr>
                <w:rFonts w:asciiTheme="majorBidi" w:hAnsiTheme="majorBidi" w:cstheme="majorBidi"/>
                <w:b/>
                <w:bCs/>
              </w:rPr>
            </w:pPr>
          </w:p>
        </w:tc>
        <w:tc>
          <w:tcPr>
            <w:tcW w:w="2126" w:type="dxa"/>
          </w:tcPr>
          <w:p w:rsidR="0080739E" w:rsidRPr="00A931B4" w:rsidRDefault="0080739E" w:rsidP="009175A3">
            <w:pPr>
              <w:rPr>
                <w:rFonts w:asciiTheme="majorBidi" w:hAnsiTheme="majorBidi" w:cstheme="majorBidi"/>
                <w:b/>
                <w:bCs/>
              </w:rPr>
            </w:pPr>
            <w:r w:rsidRPr="00A931B4">
              <w:rPr>
                <w:rFonts w:asciiTheme="majorBidi" w:hAnsiTheme="majorBidi" w:cstheme="majorBidi"/>
                <w:b/>
                <w:bCs/>
              </w:rPr>
              <w:t xml:space="preserve">Program Results </w:t>
            </w:r>
            <w:r w:rsidRPr="00A931B4">
              <w:rPr>
                <w:rFonts w:asciiTheme="majorBidi" w:hAnsiTheme="majorBidi" w:cstheme="majorBidi"/>
              </w:rPr>
              <w:t>(What?)</w:t>
            </w:r>
          </w:p>
        </w:tc>
        <w:tc>
          <w:tcPr>
            <w:tcW w:w="3969" w:type="dxa"/>
          </w:tcPr>
          <w:p w:rsidR="0080739E" w:rsidRPr="00A931B4" w:rsidRDefault="0080739E" w:rsidP="009175A3">
            <w:pPr>
              <w:rPr>
                <w:rFonts w:asciiTheme="majorBidi" w:hAnsiTheme="majorBidi" w:cstheme="majorBidi"/>
                <w:b/>
                <w:bCs/>
              </w:rPr>
            </w:pPr>
            <w:r w:rsidRPr="00A931B4">
              <w:rPr>
                <w:rFonts w:asciiTheme="majorBidi" w:hAnsiTheme="majorBidi" w:cstheme="majorBidi"/>
                <w:b/>
                <w:bCs/>
              </w:rPr>
              <w:t>Method</w:t>
            </w:r>
          </w:p>
          <w:p w:rsidR="0080739E" w:rsidRPr="00A931B4" w:rsidRDefault="0080739E" w:rsidP="009175A3">
            <w:pPr>
              <w:rPr>
                <w:rFonts w:asciiTheme="majorBidi" w:hAnsiTheme="majorBidi" w:cstheme="majorBidi"/>
              </w:rPr>
            </w:pPr>
            <w:r w:rsidRPr="00A931B4">
              <w:rPr>
                <w:rFonts w:asciiTheme="majorBidi" w:hAnsiTheme="majorBidi" w:cstheme="majorBidi"/>
              </w:rPr>
              <w:t>(How?)</w:t>
            </w:r>
          </w:p>
        </w:tc>
        <w:tc>
          <w:tcPr>
            <w:tcW w:w="3544" w:type="dxa"/>
          </w:tcPr>
          <w:p w:rsidR="0080739E" w:rsidRPr="00A931B4" w:rsidRDefault="0080739E" w:rsidP="009175A3">
            <w:pPr>
              <w:rPr>
                <w:rFonts w:asciiTheme="majorBidi" w:hAnsiTheme="majorBidi" w:cstheme="majorBidi"/>
                <w:b/>
                <w:bCs/>
              </w:rPr>
            </w:pPr>
            <w:r w:rsidRPr="00A931B4">
              <w:rPr>
                <w:rFonts w:asciiTheme="majorBidi" w:hAnsiTheme="majorBidi" w:cstheme="majorBidi"/>
                <w:b/>
                <w:bCs/>
              </w:rPr>
              <w:t xml:space="preserve">Responsibility </w:t>
            </w:r>
          </w:p>
          <w:p w:rsidR="0080739E" w:rsidRPr="00A931B4" w:rsidRDefault="0080739E" w:rsidP="009175A3">
            <w:pPr>
              <w:rPr>
                <w:rFonts w:asciiTheme="majorBidi" w:hAnsiTheme="majorBidi" w:cstheme="majorBidi"/>
              </w:rPr>
            </w:pPr>
            <w:r w:rsidRPr="00A931B4">
              <w:rPr>
                <w:rFonts w:asciiTheme="majorBidi" w:hAnsiTheme="majorBidi" w:cstheme="majorBidi"/>
              </w:rPr>
              <w:t>(Who?)</w:t>
            </w:r>
          </w:p>
        </w:tc>
        <w:tc>
          <w:tcPr>
            <w:tcW w:w="4001" w:type="dxa"/>
          </w:tcPr>
          <w:p w:rsidR="0080739E" w:rsidRPr="00A931B4" w:rsidRDefault="0080739E" w:rsidP="009175A3">
            <w:pPr>
              <w:rPr>
                <w:rFonts w:asciiTheme="majorBidi" w:hAnsiTheme="majorBidi" w:cstheme="majorBidi"/>
                <w:b/>
                <w:bCs/>
              </w:rPr>
            </w:pPr>
            <w:r w:rsidRPr="00A931B4">
              <w:rPr>
                <w:rFonts w:asciiTheme="majorBidi" w:hAnsiTheme="majorBidi" w:cstheme="majorBidi"/>
                <w:b/>
                <w:bCs/>
              </w:rPr>
              <w:t xml:space="preserve">Timing </w:t>
            </w:r>
          </w:p>
          <w:p w:rsidR="0080739E" w:rsidRPr="00A931B4" w:rsidRDefault="0080739E" w:rsidP="009175A3">
            <w:pPr>
              <w:rPr>
                <w:rFonts w:asciiTheme="majorBidi" w:hAnsiTheme="majorBidi" w:cstheme="majorBidi"/>
              </w:rPr>
            </w:pPr>
            <w:r w:rsidRPr="00A931B4">
              <w:rPr>
                <w:rFonts w:asciiTheme="majorBidi" w:hAnsiTheme="majorBidi" w:cstheme="majorBidi"/>
              </w:rPr>
              <w:t>(When?)</w:t>
            </w:r>
          </w:p>
        </w:tc>
      </w:tr>
      <w:tr w:rsidR="0080739E" w:rsidRPr="00B655A4" w:rsidTr="009175A3">
        <w:tc>
          <w:tcPr>
            <w:tcW w:w="534" w:type="dxa"/>
          </w:tcPr>
          <w:p w:rsidR="0080739E" w:rsidRPr="00EE57CE" w:rsidRDefault="0080739E" w:rsidP="009175A3">
            <w:pPr>
              <w:rPr>
                <w:rFonts w:asciiTheme="majorBidi" w:hAnsiTheme="majorBidi" w:cstheme="majorBidi"/>
              </w:rPr>
            </w:pPr>
            <w:r w:rsidRPr="00EE57CE">
              <w:rPr>
                <w:rFonts w:asciiTheme="majorBidi" w:hAnsiTheme="majorBidi" w:cstheme="majorBidi"/>
              </w:rPr>
              <w:t xml:space="preserve">1 </w:t>
            </w:r>
          </w:p>
        </w:tc>
        <w:tc>
          <w:tcPr>
            <w:tcW w:w="2126" w:type="dxa"/>
          </w:tcPr>
          <w:p w:rsidR="0080739E" w:rsidRPr="00A931B4" w:rsidRDefault="0080739E" w:rsidP="009175A3">
            <w:pPr>
              <w:rPr>
                <w:rFonts w:asciiTheme="majorBidi" w:hAnsiTheme="majorBidi" w:cstheme="majorBidi"/>
              </w:rPr>
            </w:pPr>
            <w:r w:rsidRPr="00A931B4">
              <w:rPr>
                <w:rFonts w:asciiTheme="majorBidi" w:hAnsiTheme="majorBidi" w:cstheme="majorBidi"/>
              </w:rPr>
              <w:t>Project Outcomes</w:t>
            </w:r>
          </w:p>
          <w:p w:rsidR="0080739E" w:rsidRPr="00A931B4" w:rsidRDefault="0080739E" w:rsidP="009175A3">
            <w:pPr>
              <w:rPr>
                <w:rFonts w:asciiTheme="majorBidi" w:hAnsiTheme="majorBidi" w:cstheme="majorBidi"/>
                <w:b/>
                <w:bCs/>
              </w:rPr>
            </w:pPr>
          </w:p>
        </w:tc>
        <w:tc>
          <w:tcPr>
            <w:tcW w:w="3969" w:type="dxa"/>
          </w:tcPr>
          <w:p w:rsidR="0080739E" w:rsidRPr="00A931B4" w:rsidRDefault="0080739E" w:rsidP="008C14ED">
            <w:pPr>
              <w:pStyle w:val="ListParagraph"/>
              <w:numPr>
                <w:ilvl w:val="0"/>
                <w:numId w:val="3"/>
              </w:numPr>
              <w:rPr>
                <w:rFonts w:asciiTheme="majorBidi" w:hAnsiTheme="majorBidi" w:cstheme="majorBidi"/>
              </w:rPr>
            </w:pPr>
            <w:r w:rsidRPr="00A931B4">
              <w:rPr>
                <w:rFonts w:asciiTheme="majorBidi" w:hAnsiTheme="majorBidi" w:cstheme="majorBidi"/>
              </w:rPr>
              <w:t xml:space="preserve">Snapshot Reports </w:t>
            </w:r>
          </w:p>
          <w:p w:rsidR="0080739E" w:rsidRPr="00A931B4" w:rsidRDefault="0080739E" w:rsidP="008C14ED">
            <w:pPr>
              <w:pStyle w:val="ListParagraph"/>
              <w:numPr>
                <w:ilvl w:val="0"/>
                <w:numId w:val="3"/>
              </w:numPr>
              <w:rPr>
                <w:rFonts w:asciiTheme="majorBidi" w:hAnsiTheme="majorBidi" w:cstheme="majorBidi"/>
              </w:rPr>
            </w:pPr>
            <w:r w:rsidRPr="00A931B4">
              <w:rPr>
                <w:rFonts w:asciiTheme="majorBidi" w:hAnsiTheme="majorBidi" w:cstheme="majorBidi"/>
              </w:rPr>
              <w:t>Project Completion Reports</w:t>
            </w:r>
          </w:p>
        </w:tc>
        <w:tc>
          <w:tcPr>
            <w:tcW w:w="3544" w:type="dxa"/>
          </w:tcPr>
          <w:p w:rsidR="0080739E" w:rsidRPr="00A931B4" w:rsidRDefault="0080739E" w:rsidP="008C14ED">
            <w:pPr>
              <w:pStyle w:val="ListParagraph"/>
              <w:numPr>
                <w:ilvl w:val="0"/>
                <w:numId w:val="3"/>
              </w:numPr>
              <w:rPr>
                <w:rFonts w:asciiTheme="majorBidi" w:hAnsiTheme="majorBidi" w:cstheme="majorBidi"/>
              </w:rPr>
            </w:pPr>
            <w:r w:rsidRPr="00A931B4">
              <w:rPr>
                <w:rFonts w:asciiTheme="majorBidi" w:hAnsiTheme="majorBidi" w:cstheme="majorBidi"/>
              </w:rPr>
              <w:t>NGOs</w:t>
            </w:r>
          </w:p>
          <w:p w:rsidR="0080739E" w:rsidRPr="00A931B4" w:rsidRDefault="0080739E" w:rsidP="008C14ED">
            <w:pPr>
              <w:pStyle w:val="ListParagraph"/>
              <w:numPr>
                <w:ilvl w:val="0"/>
                <w:numId w:val="3"/>
              </w:numPr>
              <w:rPr>
                <w:rFonts w:asciiTheme="majorBidi" w:hAnsiTheme="majorBidi" w:cstheme="majorBidi"/>
              </w:rPr>
            </w:pPr>
            <w:r w:rsidRPr="00A931B4">
              <w:rPr>
                <w:rFonts w:asciiTheme="majorBidi" w:hAnsiTheme="majorBidi" w:cstheme="majorBidi"/>
              </w:rPr>
              <w:t>NGOs</w:t>
            </w:r>
          </w:p>
        </w:tc>
        <w:tc>
          <w:tcPr>
            <w:tcW w:w="4001" w:type="dxa"/>
          </w:tcPr>
          <w:p w:rsidR="0080739E" w:rsidRPr="00A931B4" w:rsidRDefault="0080739E" w:rsidP="008C14ED">
            <w:pPr>
              <w:pStyle w:val="ListParagraph"/>
              <w:numPr>
                <w:ilvl w:val="0"/>
                <w:numId w:val="3"/>
              </w:numPr>
              <w:rPr>
                <w:rFonts w:asciiTheme="majorBidi" w:hAnsiTheme="majorBidi" w:cstheme="majorBidi"/>
                <w:b/>
                <w:bCs/>
              </w:rPr>
            </w:pPr>
            <w:r w:rsidRPr="00A931B4">
              <w:rPr>
                <w:rFonts w:asciiTheme="majorBidi" w:hAnsiTheme="majorBidi" w:cstheme="majorBidi"/>
              </w:rPr>
              <w:t>Six-monthly</w:t>
            </w:r>
          </w:p>
          <w:p w:rsidR="0080739E" w:rsidRPr="00A931B4" w:rsidRDefault="0080739E" w:rsidP="008C14ED">
            <w:pPr>
              <w:pStyle w:val="ListParagraph"/>
              <w:numPr>
                <w:ilvl w:val="0"/>
                <w:numId w:val="3"/>
              </w:numPr>
              <w:rPr>
                <w:rFonts w:asciiTheme="majorBidi" w:hAnsiTheme="majorBidi" w:cstheme="majorBidi"/>
                <w:b/>
                <w:bCs/>
              </w:rPr>
            </w:pPr>
            <w:r w:rsidRPr="00A931B4">
              <w:rPr>
                <w:rFonts w:asciiTheme="majorBidi" w:hAnsiTheme="majorBidi" w:cstheme="majorBidi"/>
              </w:rPr>
              <w:t>2017</w:t>
            </w:r>
          </w:p>
        </w:tc>
      </w:tr>
      <w:tr w:rsidR="0080739E" w:rsidRPr="00B655A4" w:rsidTr="009175A3">
        <w:tc>
          <w:tcPr>
            <w:tcW w:w="534" w:type="dxa"/>
          </w:tcPr>
          <w:p w:rsidR="0080739E" w:rsidRPr="00EE57CE" w:rsidRDefault="0080739E" w:rsidP="009175A3">
            <w:pPr>
              <w:rPr>
                <w:rFonts w:asciiTheme="majorBidi" w:hAnsiTheme="majorBidi" w:cstheme="majorBidi"/>
              </w:rPr>
            </w:pPr>
            <w:r w:rsidRPr="00EE57CE">
              <w:rPr>
                <w:rFonts w:asciiTheme="majorBidi" w:hAnsiTheme="majorBidi" w:cstheme="majorBidi"/>
              </w:rPr>
              <w:t>2</w:t>
            </w:r>
          </w:p>
        </w:tc>
        <w:tc>
          <w:tcPr>
            <w:tcW w:w="2126" w:type="dxa"/>
          </w:tcPr>
          <w:p w:rsidR="0080739E" w:rsidRPr="00A931B4" w:rsidRDefault="0080739E" w:rsidP="009175A3">
            <w:pPr>
              <w:rPr>
                <w:rFonts w:asciiTheme="majorBidi" w:hAnsiTheme="majorBidi" w:cstheme="majorBidi"/>
              </w:rPr>
            </w:pPr>
            <w:r w:rsidRPr="00A931B4">
              <w:rPr>
                <w:rFonts w:asciiTheme="majorBidi" w:hAnsiTheme="majorBidi" w:cstheme="majorBidi"/>
              </w:rPr>
              <w:t>Program Outcomes</w:t>
            </w:r>
          </w:p>
        </w:tc>
        <w:tc>
          <w:tcPr>
            <w:tcW w:w="3969" w:type="dxa"/>
          </w:tcPr>
          <w:p w:rsidR="0080739E" w:rsidRPr="00A931B4" w:rsidRDefault="0080739E" w:rsidP="008C14ED">
            <w:pPr>
              <w:pStyle w:val="ListParagraph"/>
              <w:numPr>
                <w:ilvl w:val="0"/>
                <w:numId w:val="3"/>
              </w:numPr>
              <w:rPr>
                <w:rFonts w:asciiTheme="majorBidi" w:hAnsiTheme="majorBidi" w:cstheme="majorBidi"/>
              </w:rPr>
            </w:pPr>
            <w:r w:rsidRPr="00A931B4">
              <w:rPr>
                <w:rFonts w:asciiTheme="majorBidi" w:hAnsiTheme="majorBidi" w:cstheme="majorBidi"/>
              </w:rPr>
              <w:t>Annual Reports</w:t>
            </w:r>
          </w:p>
          <w:p w:rsidR="0080739E" w:rsidRPr="00A931B4" w:rsidRDefault="0080739E" w:rsidP="009175A3">
            <w:pPr>
              <w:rPr>
                <w:rFonts w:asciiTheme="majorBidi" w:hAnsiTheme="majorBidi" w:cstheme="majorBidi"/>
              </w:rPr>
            </w:pPr>
          </w:p>
          <w:p w:rsidR="0080739E" w:rsidRPr="00A931B4" w:rsidRDefault="0080739E" w:rsidP="009175A3">
            <w:pPr>
              <w:rPr>
                <w:rFonts w:asciiTheme="majorBidi" w:hAnsiTheme="majorBidi" w:cstheme="majorBidi"/>
              </w:rPr>
            </w:pPr>
          </w:p>
          <w:p w:rsidR="0080739E" w:rsidRPr="00A931B4" w:rsidRDefault="0080739E" w:rsidP="008C14ED">
            <w:pPr>
              <w:pStyle w:val="ListParagraph"/>
              <w:numPr>
                <w:ilvl w:val="0"/>
                <w:numId w:val="3"/>
              </w:numPr>
              <w:rPr>
                <w:rFonts w:asciiTheme="majorBidi" w:hAnsiTheme="majorBidi" w:cstheme="majorBidi"/>
              </w:rPr>
            </w:pPr>
            <w:r w:rsidRPr="00A931B4">
              <w:rPr>
                <w:rFonts w:asciiTheme="majorBidi" w:hAnsiTheme="majorBidi" w:cstheme="majorBidi"/>
              </w:rPr>
              <w:t>Annual Reflection</w:t>
            </w:r>
          </w:p>
          <w:p w:rsidR="0080739E" w:rsidRPr="00A931B4" w:rsidRDefault="0080739E" w:rsidP="009175A3">
            <w:pPr>
              <w:rPr>
                <w:rFonts w:asciiTheme="majorBidi" w:hAnsiTheme="majorBidi" w:cstheme="majorBidi"/>
              </w:rPr>
            </w:pPr>
          </w:p>
          <w:p w:rsidR="0080739E" w:rsidRDefault="0080739E" w:rsidP="009175A3">
            <w:pPr>
              <w:rPr>
                <w:rFonts w:asciiTheme="majorBidi" w:hAnsiTheme="majorBidi" w:cstheme="majorBidi"/>
              </w:rPr>
            </w:pPr>
          </w:p>
          <w:p w:rsidR="0080739E" w:rsidRPr="00A931B4" w:rsidRDefault="0080739E" w:rsidP="008C14ED">
            <w:pPr>
              <w:pStyle w:val="ListParagraph"/>
              <w:numPr>
                <w:ilvl w:val="0"/>
                <w:numId w:val="3"/>
              </w:numPr>
              <w:rPr>
                <w:rFonts w:asciiTheme="majorBidi" w:hAnsiTheme="majorBidi" w:cstheme="majorBidi"/>
              </w:rPr>
            </w:pPr>
            <w:r w:rsidRPr="00A931B4">
              <w:rPr>
                <w:rFonts w:asciiTheme="majorBidi" w:hAnsiTheme="majorBidi" w:cstheme="majorBidi"/>
              </w:rPr>
              <w:t>AACRS Completion Report</w:t>
            </w:r>
          </w:p>
        </w:tc>
        <w:tc>
          <w:tcPr>
            <w:tcW w:w="3544" w:type="dxa"/>
          </w:tcPr>
          <w:p w:rsidR="0080739E" w:rsidRPr="00A931B4" w:rsidRDefault="00424900" w:rsidP="008C14ED">
            <w:pPr>
              <w:pStyle w:val="ListParagraph"/>
              <w:numPr>
                <w:ilvl w:val="0"/>
                <w:numId w:val="3"/>
              </w:numPr>
              <w:rPr>
                <w:rFonts w:asciiTheme="majorBidi" w:hAnsiTheme="majorBidi" w:cstheme="majorBidi"/>
              </w:rPr>
            </w:pPr>
            <w:r>
              <w:rPr>
                <w:rFonts w:asciiTheme="majorBidi" w:hAnsiTheme="majorBidi" w:cstheme="majorBidi"/>
              </w:rPr>
              <w:t>Scheme Manager</w:t>
            </w:r>
            <w:r w:rsidR="0080739E" w:rsidRPr="00A931B4">
              <w:rPr>
                <w:rFonts w:asciiTheme="majorBidi" w:hAnsiTheme="majorBidi" w:cstheme="majorBidi"/>
              </w:rPr>
              <w:t xml:space="preserve"> (SM)</w:t>
            </w:r>
          </w:p>
          <w:p w:rsidR="0080739E" w:rsidRPr="00A931B4" w:rsidRDefault="0080739E" w:rsidP="009175A3">
            <w:pPr>
              <w:rPr>
                <w:rFonts w:asciiTheme="majorBidi" w:hAnsiTheme="majorBidi" w:cstheme="majorBidi"/>
              </w:rPr>
            </w:pPr>
          </w:p>
          <w:p w:rsidR="0080739E" w:rsidRPr="00A931B4" w:rsidRDefault="0080739E" w:rsidP="009175A3">
            <w:pPr>
              <w:rPr>
                <w:rFonts w:asciiTheme="majorBidi" w:hAnsiTheme="majorBidi" w:cstheme="majorBidi"/>
              </w:rPr>
            </w:pPr>
          </w:p>
          <w:p w:rsidR="0080739E" w:rsidRPr="00A931B4" w:rsidRDefault="0080739E" w:rsidP="008C14ED">
            <w:pPr>
              <w:pStyle w:val="ListParagraph"/>
              <w:numPr>
                <w:ilvl w:val="0"/>
                <w:numId w:val="3"/>
              </w:numPr>
              <w:rPr>
                <w:rFonts w:asciiTheme="majorBidi" w:hAnsiTheme="majorBidi" w:cstheme="majorBidi"/>
              </w:rPr>
            </w:pPr>
            <w:r w:rsidRPr="00A931B4">
              <w:rPr>
                <w:rFonts w:asciiTheme="majorBidi" w:hAnsiTheme="majorBidi" w:cstheme="majorBidi"/>
              </w:rPr>
              <w:t>AusAID, SGC, NGOs, Afghan CSOs, TRG, SM</w:t>
            </w:r>
          </w:p>
          <w:p w:rsidR="0080739E" w:rsidRPr="00A931B4" w:rsidRDefault="0080739E" w:rsidP="009175A3">
            <w:pPr>
              <w:rPr>
                <w:rFonts w:asciiTheme="majorBidi" w:hAnsiTheme="majorBidi" w:cstheme="majorBidi"/>
              </w:rPr>
            </w:pPr>
          </w:p>
          <w:p w:rsidR="0080739E" w:rsidRPr="00A931B4" w:rsidRDefault="0080739E" w:rsidP="008C14ED">
            <w:pPr>
              <w:pStyle w:val="ListParagraph"/>
              <w:numPr>
                <w:ilvl w:val="0"/>
                <w:numId w:val="3"/>
              </w:numPr>
              <w:rPr>
                <w:rFonts w:asciiTheme="majorBidi" w:hAnsiTheme="majorBidi" w:cstheme="majorBidi"/>
              </w:rPr>
            </w:pPr>
            <w:r w:rsidRPr="00A931B4">
              <w:rPr>
                <w:rFonts w:asciiTheme="majorBidi" w:hAnsiTheme="majorBidi" w:cstheme="majorBidi"/>
              </w:rPr>
              <w:t>SM, TRG</w:t>
            </w:r>
          </w:p>
        </w:tc>
        <w:tc>
          <w:tcPr>
            <w:tcW w:w="4001" w:type="dxa"/>
          </w:tcPr>
          <w:p w:rsidR="0080739E" w:rsidRPr="00A931B4" w:rsidRDefault="0080739E" w:rsidP="008C14ED">
            <w:pPr>
              <w:pStyle w:val="ListParagraph"/>
              <w:numPr>
                <w:ilvl w:val="0"/>
                <w:numId w:val="3"/>
              </w:numPr>
              <w:rPr>
                <w:rFonts w:asciiTheme="majorBidi" w:hAnsiTheme="majorBidi" w:cstheme="majorBidi"/>
              </w:rPr>
            </w:pPr>
            <w:r w:rsidRPr="00A931B4">
              <w:rPr>
                <w:rFonts w:asciiTheme="majorBidi" w:hAnsiTheme="majorBidi" w:cstheme="majorBidi"/>
              </w:rPr>
              <w:t xml:space="preserve">Draft </w:t>
            </w:r>
            <w:r w:rsidR="00A25036">
              <w:rPr>
                <w:rFonts w:asciiTheme="majorBidi" w:hAnsiTheme="majorBidi" w:cstheme="majorBidi"/>
              </w:rPr>
              <w:t>–</w:t>
            </w:r>
            <w:r w:rsidRPr="00A931B4">
              <w:rPr>
                <w:rFonts w:asciiTheme="majorBidi" w:hAnsiTheme="majorBidi" w:cstheme="majorBidi"/>
              </w:rPr>
              <w:t xml:space="preserve"> before Annual Reflection</w:t>
            </w:r>
          </w:p>
          <w:p w:rsidR="0080739E" w:rsidRPr="00A931B4" w:rsidRDefault="0080739E" w:rsidP="008C14ED">
            <w:pPr>
              <w:pStyle w:val="ListParagraph"/>
              <w:numPr>
                <w:ilvl w:val="0"/>
                <w:numId w:val="3"/>
              </w:numPr>
              <w:rPr>
                <w:rFonts w:asciiTheme="majorBidi" w:hAnsiTheme="majorBidi" w:cstheme="majorBidi"/>
              </w:rPr>
            </w:pPr>
            <w:r w:rsidRPr="00A931B4">
              <w:rPr>
                <w:rFonts w:asciiTheme="majorBidi" w:hAnsiTheme="majorBidi" w:cstheme="majorBidi"/>
              </w:rPr>
              <w:t>Final</w:t>
            </w:r>
            <w:r w:rsidR="00A25036">
              <w:rPr>
                <w:rFonts w:asciiTheme="majorBidi" w:hAnsiTheme="majorBidi" w:cstheme="majorBidi"/>
              </w:rPr>
              <w:t>–</w:t>
            </w:r>
            <w:r w:rsidRPr="00A931B4">
              <w:rPr>
                <w:rFonts w:asciiTheme="majorBidi" w:hAnsiTheme="majorBidi" w:cstheme="majorBidi"/>
              </w:rPr>
              <w:t xml:space="preserve"> after Annual Reflection</w:t>
            </w:r>
          </w:p>
          <w:p w:rsidR="0080739E" w:rsidRPr="00A931B4" w:rsidRDefault="0080739E" w:rsidP="009175A3">
            <w:pPr>
              <w:rPr>
                <w:rFonts w:asciiTheme="majorBidi" w:hAnsiTheme="majorBidi" w:cstheme="majorBidi"/>
              </w:rPr>
            </w:pPr>
          </w:p>
          <w:p w:rsidR="0080739E" w:rsidRPr="00A931B4" w:rsidRDefault="0080739E" w:rsidP="008C14ED">
            <w:pPr>
              <w:pStyle w:val="ListParagraph"/>
              <w:numPr>
                <w:ilvl w:val="0"/>
                <w:numId w:val="4"/>
              </w:numPr>
              <w:rPr>
                <w:rFonts w:asciiTheme="majorBidi" w:hAnsiTheme="majorBidi" w:cstheme="majorBidi"/>
              </w:rPr>
            </w:pPr>
            <w:r w:rsidRPr="00A931B4">
              <w:rPr>
                <w:rFonts w:asciiTheme="majorBidi" w:hAnsiTheme="majorBidi" w:cstheme="majorBidi"/>
              </w:rPr>
              <w:t>Annually, March in Year 1 and in June from Year 2, Kabul</w:t>
            </w:r>
          </w:p>
          <w:p w:rsidR="00A91AAB" w:rsidRPr="00A931B4" w:rsidRDefault="00A91AAB" w:rsidP="009175A3">
            <w:pPr>
              <w:rPr>
                <w:rFonts w:asciiTheme="majorBidi" w:hAnsiTheme="majorBidi" w:cstheme="majorBidi"/>
              </w:rPr>
            </w:pPr>
          </w:p>
          <w:p w:rsidR="0080739E" w:rsidRPr="00A931B4" w:rsidRDefault="0080739E" w:rsidP="008C14ED">
            <w:pPr>
              <w:pStyle w:val="ListParagraph"/>
              <w:numPr>
                <w:ilvl w:val="0"/>
                <w:numId w:val="4"/>
              </w:numPr>
              <w:rPr>
                <w:rFonts w:asciiTheme="majorBidi" w:hAnsiTheme="majorBidi" w:cstheme="majorBidi"/>
              </w:rPr>
            </w:pPr>
            <w:r w:rsidRPr="00A931B4">
              <w:rPr>
                <w:rFonts w:asciiTheme="majorBidi" w:hAnsiTheme="majorBidi" w:cstheme="majorBidi"/>
              </w:rPr>
              <w:t>2017</w:t>
            </w:r>
          </w:p>
        </w:tc>
      </w:tr>
      <w:tr w:rsidR="0080739E" w:rsidRPr="00B655A4" w:rsidTr="009175A3">
        <w:tc>
          <w:tcPr>
            <w:tcW w:w="534" w:type="dxa"/>
          </w:tcPr>
          <w:p w:rsidR="0080739E" w:rsidRPr="00EE57CE" w:rsidRDefault="0080739E" w:rsidP="009175A3">
            <w:pPr>
              <w:rPr>
                <w:rFonts w:asciiTheme="majorBidi" w:hAnsiTheme="majorBidi" w:cstheme="majorBidi"/>
              </w:rPr>
            </w:pPr>
            <w:r w:rsidRPr="00EE57CE">
              <w:rPr>
                <w:rFonts w:asciiTheme="majorBidi" w:hAnsiTheme="majorBidi" w:cstheme="majorBidi"/>
              </w:rPr>
              <w:t xml:space="preserve">3 </w:t>
            </w:r>
          </w:p>
        </w:tc>
        <w:tc>
          <w:tcPr>
            <w:tcW w:w="2126" w:type="dxa"/>
          </w:tcPr>
          <w:p w:rsidR="0080739E" w:rsidRPr="00A931B4" w:rsidRDefault="0080739E" w:rsidP="009175A3">
            <w:pPr>
              <w:rPr>
                <w:rFonts w:asciiTheme="majorBidi" w:hAnsiTheme="majorBidi" w:cstheme="majorBidi"/>
              </w:rPr>
            </w:pPr>
            <w:r w:rsidRPr="00A931B4">
              <w:rPr>
                <w:rFonts w:asciiTheme="majorBidi" w:hAnsiTheme="majorBidi" w:cstheme="majorBidi"/>
              </w:rPr>
              <w:t>Learning</w:t>
            </w:r>
          </w:p>
          <w:p w:rsidR="0080739E" w:rsidRPr="00A931B4" w:rsidRDefault="0080739E" w:rsidP="009175A3">
            <w:pPr>
              <w:rPr>
                <w:rFonts w:asciiTheme="majorBidi" w:hAnsiTheme="majorBidi" w:cstheme="majorBidi"/>
              </w:rPr>
            </w:pPr>
          </w:p>
          <w:p w:rsidR="0080739E" w:rsidRPr="00A931B4" w:rsidRDefault="0080739E" w:rsidP="009175A3">
            <w:pPr>
              <w:rPr>
                <w:rFonts w:asciiTheme="majorBidi" w:hAnsiTheme="majorBidi" w:cstheme="majorBidi"/>
              </w:rPr>
            </w:pPr>
          </w:p>
        </w:tc>
        <w:tc>
          <w:tcPr>
            <w:tcW w:w="3969" w:type="dxa"/>
          </w:tcPr>
          <w:p w:rsidR="0080739E" w:rsidRPr="00A931B4" w:rsidRDefault="0080739E" w:rsidP="008C14ED">
            <w:pPr>
              <w:pStyle w:val="ListParagraph"/>
              <w:numPr>
                <w:ilvl w:val="0"/>
                <w:numId w:val="4"/>
              </w:numPr>
              <w:rPr>
                <w:rFonts w:asciiTheme="majorBidi" w:hAnsiTheme="majorBidi" w:cstheme="majorBidi"/>
              </w:rPr>
            </w:pPr>
            <w:r w:rsidRPr="00A931B4">
              <w:rPr>
                <w:rFonts w:asciiTheme="majorBidi" w:hAnsiTheme="majorBidi" w:cstheme="majorBidi"/>
              </w:rPr>
              <w:t>Themes at Annual Reflections:</w:t>
            </w:r>
          </w:p>
          <w:p w:rsidR="0080739E" w:rsidRPr="00A931B4" w:rsidRDefault="00C83AAA" w:rsidP="009175A3">
            <w:pPr>
              <w:ind w:left="360"/>
              <w:rPr>
                <w:rFonts w:asciiTheme="majorBidi" w:hAnsiTheme="majorBidi" w:cstheme="majorBidi"/>
              </w:rPr>
            </w:pPr>
            <w:r>
              <w:rPr>
                <w:rFonts w:asciiTheme="majorBidi" w:hAnsiTheme="majorBidi" w:cstheme="majorBidi"/>
              </w:rPr>
              <w:t>-Year</w:t>
            </w:r>
            <w:r w:rsidR="00870630">
              <w:rPr>
                <w:rFonts w:asciiTheme="majorBidi" w:hAnsiTheme="majorBidi" w:cstheme="majorBidi"/>
              </w:rPr>
              <w:t xml:space="preserve"> </w:t>
            </w:r>
            <w:r>
              <w:rPr>
                <w:rFonts w:asciiTheme="majorBidi" w:hAnsiTheme="majorBidi" w:cstheme="majorBidi"/>
              </w:rPr>
              <w:t>1</w:t>
            </w:r>
            <w:r w:rsidR="0080739E" w:rsidRPr="00A931B4">
              <w:rPr>
                <w:rFonts w:asciiTheme="majorBidi" w:hAnsiTheme="majorBidi" w:cstheme="majorBidi"/>
              </w:rPr>
              <w:t>: Partnerships</w:t>
            </w:r>
          </w:p>
          <w:p w:rsidR="0080739E" w:rsidRPr="00A931B4" w:rsidRDefault="0080739E" w:rsidP="009175A3">
            <w:pPr>
              <w:ind w:left="360"/>
              <w:rPr>
                <w:rFonts w:asciiTheme="majorBidi" w:hAnsiTheme="majorBidi" w:cstheme="majorBidi"/>
              </w:rPr>
            </w:pPr>
            <w:r w:rsidRPr="00A931B4">
              <w:rPr>
                <w:rFonts w:asciiTheme="majorBidi" w:hAnsiTheme="majorBidi" w:cstheme="majorBidi"/>
              </w:rPr>
              <w:t>-Year 2: Capacity development</w:t>
            </w:r>
          </w:p>
          <w:p w:rsidR="0080739E" w:rsidRPr="00A931B4" w:rsidRDefault="0080739E" w:rsidP="009175A3">
            <w:pPr>
              <w:ind w:left="360"/>
              <w:rPr>
                <w:rFonts w:asciiTheme="majorBidi" w:hAnsiTheme="majorBidi" w:cstheme="majorBidi"/>
              </w:rPr>
            </w:pPr>
            <w:r w:rsidRPr="00A931B4">
              <w:rPr>
                <w:rFonts w:asciiTheme="majorBidi" w:hAnsiTheme="majorBidi" w:cstheme="majorBidi"/>
              </w:rPr>
              <w:t xml:space="preserve">-Year 3: </w:t>
            </w:r>
            <w:r w:rsidR="00C83AAA">
              <w:rPr>
                <w:lang w:eastAsia="en-AU"/>
              </w:rPr>
              <w:t>Community Resilience</w:t>
            </w:r>
          </w:p>
          <w:p w:rsidR="0080739E" w:rsidRDefault="0080739E" w:rsidP="009175A3">
            <w:pPr>
              <w:ind w:left="360"/>
              <w:rPr>
                <w:rFonts w:asciiTheme="majorBidi" w:hAnsiTheme="majorBidi" w:cstheme="majorBidi"/>
              </w:rPr>
            </w:pPr>
            <w:r w:rsidRPr="00A931B4">
              <w:rPr>
                <w:rFonts w:asciiTheme="majorBidi" w:hAnsiTheme="majorBidi" w:cstheme="majorBidi"/>
              </w:rPr>
              <w:t>-Year 4: Results</w:t>
            </w:r>
            <w:r w:rsidR="00A91AAB">
              <w:rPr>
                <w:rFonts w:asciiTheme="majorBidi" w:hAnsiTheme="majorBidi" w:cstheme="majorBidi"/>
              </w:rPr>
              <w:t xml:space="preserve"> </w:t>
            </w:r>
            <w:r w:rsidR="00A25036">
              <w:rPr>
                <w:rFonts w:asciiTheme="majorBidi" w:hAnsiTheme="majorBidi" w:cstheme="majorBidi"/>
              </w:rPr>
              <w:t>–</w:t>
            </w:r>
            <w:r w:rsidRPr="00A931B4">
              <w:rPr>
                <w:rFonts w:asciiTheme="majorBidi" w:hAnsiTheme="majorBidi" w:cstheme="majorBidi"/>
              </w:rPr>
              <w:t xml:space="preserve"> what has changed?</w:t>
            </w:r>
          </w:p>
          <w:p w:rsidR="0080739E" w:rsidRPr="00A931B4" w:rsidRDefault="0080739E" w:rsidP="009175A3">
            <w:pPr>
              <w:ind w:left="360"/>
              <w:rPr>
                <w:rFonts w:asciiTheme="majorBidi" w:hAnsiTheme="majorBidi" w:cstheme="majorBidi"/>
                <w:b/>
                <w:bCs/>
              </w:rPr>
            </w:pPr>
            <w:r>
              <w:rPr>
                <w:rFonts w:asciiTheme="majorBidi" w:hAnsiTheme="majorBidi" w:cstheme="majorBidi"/>
              </w:rPr>
              <w:t>(Gender inclusion to be integrated into each theme)</w:t>
            </w:r>
          </w:p>
        </w:tc>
        <w:tc>
          <w:tcPr>
            <w:tcW w:w="3544" w:type="dxa"/>
          </w:tcPr>
          <w:p w:rsidR="0080739E" w:rsidRPr="00A931B4" w:rsidRDefault="0080739E" w:rsidP="008C14ED">
            <w:pPr>
              <w:pStyle w:val="ListParagraph"/>
              <w:numPr>
                <w:ilvl w:val="0"/>
                <w:numId w:val="4"/>
              </w:numPr>
              <w:rPr>
                <w:rFonts w:asciiTheme="majorBidi" w:hAnsiTheme="majorBidi" w:cstheme="majorBidi"/>
                <w:b/>
                <w:bCs/>
              </w:rPr>
            </w:pPr>
            <w:r w:rsidRPr="00A931B4">
              <w:rPr>
                <w:rFonts w:asciiTheme="majorBidi" w:hAnsiTheme="majorBidi" w:cstheme="majorBidi"/>
              </w:rPr>
              <w:t>AusAID, SGC, NGOs, Afghan partner CSOs, TRG, SM</w:t>
            </w:r>
          </w:p>
        </w:tc>
        <w:tc>
          <w:tcPr>
            <w:tcW w:w="4001" w:type="dxa"/>
          </w:tcPr>
          <w:p w:rsidR="0080739E" w:rsidRPr="00A931B4" w:rsidRDefault="0080739E" w:rsidP="008C14ED">
            <w:pPr>
              <w:pStyle w:val="ListParagraph"/>
              <w:numPr>
                <w:ilvl w:val="0"/>
                <w:numId w:val="4"/>
              </w:numPr>
              <w:rPr>
                <w:rFonts w:asciiTheme="majorBidi" w:hAnsiTheme="majorBidi" w:cstheme="majorBidi"/>
              </w:rPr>
            </w:pPr>
            <w:r w:rsidRPr="00A931B4">
              <w:rPr>
                <w:rFonts w:asciiTheme="majorBidi" w:hAnsiTheme="majorBidi" w:cstheme="majorBidi"/>
              </w:rPr>
              <w:t>Annual - during Annual Reflection</w:t>
            </w:r>
          </w:p>
        </w:tc>
      </w:tr>
      <w:tr w:rsidR="0080739E" w:rsidRPr="00B655A4" w:rsidTr="009175A3">
        <w:tc>
          <w:tcPr>
            <w:tcW w:w="534" w:type="dxa"/>
          </w:tcPr>
          <w:p w:rsidR="0080739E" w:rsidRPr="00EE57CE" w:rsidRDefault="0080739E" w:rsidP="009175A3">
            <w:pPr>
              <w:rPr>
                <w:rFonts w:asciiTheme="majorBidi" w:hAnsiTheme="majorBidi" w:cstheme="majorBidi"/>
              </w:rPr>
            </w:pPr>
            <w:r w:rsidRPr="00EE57CE">
              <w:rPr>
                <w:rFonts w:asciiTheme="majorBidi" w:hAnsiTheme="majorBidi" w:cstheme="majorBidi"/>
              </w:rPr>
              <w:t xml:space="preserve">4 </w:t>
            </w:r>
          </w:p>
        </w:tc>
        <w:tc>
          <w:tcPr>
            <w:tcW w:w="2126" w:type="dxa"/>
          </w:tcPr>
          <w:p w:rsidR="0080739E" w:rsidRPr="00A931B4" w:rsidRDefault="0080739E" w:rsidP="009175A3">
            <w:pPr>
              <w:rPr>
                <w:rFonts w:asciiTheme="majorBidi" w:hAnsiTheme="majorBidi" w:cstheme="majorBidi"/>
              </w:rPr>
            </w:pPr>
            <w:r w:rsidRPr="00A931B4">
              <w:rPr>
                <w:rFonts w:asciiTheme="majorBidi" w:hAnsiTheme="majorBidi" w:cstheme="majorBidi"/>
              </w:rPr>
              <w:t>Accountability</w:t>
            </w:r>
          </w:p>
          <w:p w:rsidR="0080739E" w:rsidRPr="00A931B4" w:rsidRDefault="0080739E" w:rsidP="009175A3">
            <w:pPr>
              <w:rPr>
                <w:rFonts w:asciiTheme="majorBidi" w:hAnsiTheme="majorBidi" w:cstheme="majorBidi"/>
              </w:rPr>
            </w:pPr>
          </w:p>
          <w:p w:rsidR="0080739E" w:rsidRPr="00A931B4" w:rsidRDefault="0080739E" w:rsidP="009175A3">
            <w:pPr>
              <w:rPr>
                <w:rFonts w:asciiTheme="majorBidi" w:hAnsiTheme="majorBidi" w:cstheme="majorBidi"/>
              </w:rPr>
            </w:pPr>
          </w:p>
        </w:tc>
        <w:tc>
          <w:tcPr>
            <w:tcW w:w="3969" w:type="dxa"/>
          </w:tcPr>
          <w:p w:rsidR="0080739E" w:rsidRPr="00A931B4" w:rsidRDefault="0080739E" w:rsidP="008C14ED">
            <w:pPr>
              <w:pStyle w:val="ListParagraph"/>
              <w:numPr>
                <w:ilvl w:val="0"/>
                <w:numId w:val="5"/>
              </w:numPr>
              <w:rPr>
                <w:rFonts w:asciiTheme="majorBidi" w:hAnsiTheme="majorBidi" w:cstheme="majorBidi"/>
              </w:rPr>
            </w:pPr>
            <w:r w:rsidRPr="00A931B4">
              <w:rPr>
                <w:rFonts w:asciiTheme="majorBidi" w:hAnsiTheme="majorBidi" w:cstheme="majorBidi"/>
              </w:rPr>
              <w:t>SGC leadership &amp; oversight</w:t>
            </w:r>
          </w:p>
          <w:p w:rsidR="0080739E" w:rsidRPr="00A931B4" w:rsidRDefault="0080739E" w:rsidP="008C14ED">
            <w:pPr>
              <w:pStyle w:val="ListParagraph"/>
              <w:numPr>
                <w:ilvl w:val="0"/>
                <w:numId w:val="5"/>
              </w:numPr>
              <w:rPr>
                <w:rFonts w:asciiTheme="majorBidi" w:hAnsiTheme="majorBidi" w:cstheme="majorBidi"/>
              </w:rPr>
            </w:pPr>
            <w:r w:rsidRPr="00A931B4">
              <w:rPr>
                <w:rFonts w:asciiTheme="majorBidi" w:hAnsiTheme="majorBidi" w:cstheme="majorBidi"/>
              </w:rPr>
              <w:t xml:space="preserve">Financial statements </w:t>
            </w:r>
          </w:p>
          <w:p w:rsidR="0080739E" w:rsidRPr="00A931B4" w:rsidRDefault="0080739E" w:rsidP="008C14ED">
            <w:pPr>
              <w:pStyle w:val="ListParagraph"/>
              <w:numPr>
                <w:ilvl w:val="0"/>
                <w:numId w:val="5"/>
              </w:numPr>
              <w:rPr>
                <w:rFonts w:asciiTheme="majorBidi" w:hAnsiTheme="majorBidi" w:cstheme="majorBidi"/>
              </w:rPr>
            </w:pPr>
            <w:r w:rsidRPr="00A931B4">
              <w:rPr>
                <w:rFonts w:asciiTheme="majorBidi" w:hAnsiTheme="majorBidi" w:cstheme="majorBidi"/>
              </w:rPr>
              <w:t>Grant acquittals</w:t>
            </w:r>
          </w:p>
          <w:p w:rsidR="0080739E" w:rsidRPr="00A931B4" w:rsidRDefault="0080739E" w:rsidP="008C14ED">
            <w:pPr>
              <w:pStyle w:val="ListParagraph"/>
              <w:numPr>
                <w:ilvl w:val="0"/>
                <w:numId w:val="5"/>
              </w:numPr>
              <w:rPr>
                <w:rFonts w:asciiTheme="majorBidi" w:hAnsiTheme="majorBidi" w:cstheme="majorBidi"/>
              </w:rPr>
            </w:pPr>
            <w:r w:rsidRPr="00A931B4">
              <w:rPr>
                <w:rFonts w:asciiTheme="majorBidi" w:hAnsiTheme="majorBidi" w:cstheme="majorBidi"/>
              </w:rPr>
              <w:t>Timesheets</w:t>
            </w:r>
          </w:p>
          <w:p w:rsidR="0080739E" w:rsidRPr="00A931B4" w:rsidRDefault="00C83AAA" w:rsidP="008C14ED">
            <w:pPr>
              <w:pStyle w:val="ListParagraph"/>
              <w:numPr>
                <w:ilvl w:val="0"/>
                <w:numId w:val="5"/>
              </w:numPr>
              <w:rPr>
                <w:rFonts w:asciiTheme="majorBidi" w:hAnsiTheme="majorBidi" w:cstheme="majorBidi"/>
              </w:rPr>
            </w:pPr>
            <w:r>
              <w:rPr>
                <w:rFonts w:asciiTheme="majorBidi" w:hAnsiTheme="majorBidi" w:cstheme="majorBidi"/>
              </w:rPr>
              <w:t>Mid-</w:t>
            </w:r>
            <w:r w:rsidR="0080739E" w:rsidRPr="00A931B4">
              <w:rPr>
                <w:rFonts w:asciiTheme="majorBidi" w:hAnsiTheme="majorBidi" w:cstheme="majorBidi"/>
              </w:rPr>
              <w:t>Term Review</w:t>
            </w:r>
          </w:p>
          <w:p w:rsidR="0080739E" w:rsidRPr="00A931B4" w:rsidRDefault="0080739E" w:rsidP="008C14ED">
            <w:pPr>
              <w:pStyle w:val="ListParagraph"/>
              <w:numPr>
                <w:ilvl w:val="0"/>
                <w:numId w:val="5"/>
              </w:numPr>
              <w:rPr>
                <w:rFonts w:asciiTheme="majorBidi" w:hAnsiTheme="majorBidi" w:cstheme="majorBidi"/>
              </w:rPr>
            </w:pPr>
            <w:r w:rsidRPr="00A931B4">
              <w:rPr>
                <w:rFonts w:asciiTheme="majorBidi" w:hAnsiTheme="majorBidi" w:cstheme="majorBidi"/>
              </w:rPr>
              <w:t>Independent Completion Report</w:t>
            </w:r>
          </w:p>
        </w:tc>
        <w:tc>
          <w:tcPr>
            <w:tcW w:w="3544" w:type="dxa"/>
          </w:tcPr>
          <w:p w:rsidR="0080739E" w:rsidRPr="00A931B4" w:rsidRDefault="0080739E" w:rsidP="008C14ED">
            <w:pPr>
              <w:pStyle w:val="ListParagraph"/>
              <w:numPr>
                <w:ilvl w:val="0"/>
                <w:numId w:val="5"/>
              </w:numPr>
              <w:rPr>
                <w:rFonts w:asciiTheme="majorBidi" w:hAnsiTheme="majorBidi" w:cstheme="majorBidi"/>
                <w:lang w:val="pt-PT"/>
              </w:rPr>
            </w:pPr>
            <w:r w:rsidRPr="00A931B4">
              <w:rPr>
                <w:rFonts w:asciiTheme="majorBidi" w:hAnsiTheme="majorBidi" w:cstheme="majorBidi"/>
                <w:lang w:val="pt-PT"/>
              </w:rPr>
              <w:t>SGC</w:t>
            </w:r>
          </w:p>
          <w:p w:rsidR="0080739E" w:rsidRPr="00A931B4" w:rsidRDefault="0080739E" w:rsidP="008C14ED">
            <w:pPr>
              <w:pStyle w:val="ListParagraph"/>
              <w:numPr>
                <w:ilvl w:val="0"/>
                <w:numId w:val="5"/>
              </w:numPr>
              <w:rPr>
                <w:rFonts w:asciiTheme="majorBidi" w:hAnsiTheme="majorBidi" w:cstheme="majorBidi"/>
                <w:lang w:val="pt-PT"/>
              </w:rPr>
            </w:pPr>
            <w:r w:rsidRPr="00A931B4">
              <w:rPr>
                <w:rFonts w:asciiTheme="majorBidi" w:hAnsiTheme="majorBidi" w:cstheme="majorBidi"/>
                <w:lang w:val="pt-PT"/>
              </w:rPr>
              <w:t>NGOs, SM</w:t>
            </w:r>
          </w:p>
          <w:p w:rsidR="0080739E" w:rsidRPr="00A931B4" w:rsidRDefault="0080739E" w:rsidP="008C14ED">
            <w:pPr>
              <w:pStyle w:val="ListParagraph"/>
              <w:numPr>
                <w:ilvl w:val="0"/>
                <w:numId w:val="5"/>
              </w:numPr>
              <w:rPr>
                <w:rFonts w:asciiTheme="majorBidi" w:hAnsiTheme="majorBidi" w:cstheme="majorBidi"/>
                <w:lang w:val="pt-PT"/>
              </w:rPr>
            </w:pPr>
            <w:r w:rsidRPr="00A931B4">
              <w:rPr>
                <w:rFonts w:asciiTheme="majorBidi" w:hAnsiTheme="majorBidi" w:cstheme="majorBidi"/>
                <w:lang w:val="pt-PT"/>
              </w:rPr>
              <w:t>NGOs</w:t>
            </w:r>
          </w:p>
          <w:p w:rsidR="0080739E" w:rsidRPr="00A931B4" w:rsidRDefault="0080739E" w:rsidP="008C14ED">
            <w:pPr>
              <w:pStyle w:val="ListParagraph"/>
              <w:numPr>
                <w:ilvl w:val="0"/>
                <w:numId w:val="5"/>
              </w:numPr>
              <w:rPr>
                <w:rFonts w:asciiTheme="majorBidi" w:hAnsiTheme="majorBidi" w:cstheme="majorBidi"/>
                <w:lang w:val="pt-PT"/>
              </w:rPr>
            </w:pPr>
            <w:r w:rsidRPr="00A931B4">
              <w:rPr>
                <w:rFonts w:asciiTheme="majorBidi" w:hAnsiTheme="majorBidi" w:cstheme="majorBidi"/>
                <w:lang w:val="pt-PT"/>
              </w:rPr>
              <w:t>SM, TRG</w:t>
            </w:r>
          </w:p>
          <w:p w:rsidR="0080739E" w:rsidRDefault="0080739E" w:rsidP="008C14ED">
            <w:pPr>
              <w:pStyle w:val="ListParagraph"/>
              <w:numPr>
                <w:ilvl w:val="0"/>
                <w:numId w:val="5"/>
              </w:numPr>
              <w:rPr>
                <w:rFonts w:asciiTheme="majorBidi" w:hAnsiTheme="majorBidi" w:cstheme="majorBidi"/>
                <w:lang w:val="pt-PT"/>
              </w:rPr>
            </w:pPr>
            <w:r w:rsidRPr="00A931B4">
              <w:rPr>
                <w:rFonts w:asciiTheme="majorBidi" w:hAnsiTheme="majorBidi" w:cstheme="majorBidi"/>
                <w:lang w:val="pt-PT"/>
              </w:rPr>
              <w:t>Independent</w:t>
            </w:r>
          </w:p>
          <w:p w:rsidR="0080739E" w:rsidRPr="00A931B4" w:rsidRDefault="0080739E" w:rsidP="008C14ED">
            <w:pPr>
              <w:pStyle w:val="ListParagraph"/>
              <w:numPr>
                <w:ilvl w:val="0"/>
                <w:numId w:val="5"/>
              </w:numPr>
              <w:rPr>
                <w:rFonts w:asciiTheme="majorBidi" w:hAnsiTheme="majorBidi" w:cstheme="majorBidi"/>
                <w:lang w:val="pt-PT"/>
              </w:rPr>
            </w:pPr>
            <w:r w:rsidRPr="00A931B4">
              <w:rPr>
                <w:rFonts w:asciiTheme="majorBidi" w:hAnsiTheme="majorBidi" w:cstheme="majorBidi"/>
                <w:lang w:val="pt-PT"/>
              </w:rPr>
              <w:t>Independent</w:t>
            </w:r>
          </w:p>
        </w:tc>
        <w:tc>
          <w:tcPr>
            <w:tcW w:w="4001" w:type="dxa"/>
          </w:tcPr>
          <w:p w:rsidR="0080739E" w:rsidRPr="00A931B4" w:rsidRDefault="00CC0CA6" w:rsidP="008C14ED">
            <w:pPr>
              <w:pStyle w:val="ListParagraph"/>
              <w:numPr>
                <w:ilvl w:val="0"/>
                <w:numId w:val="5"/>
              </w:numPr>
              <w:rPr>
                <w:rFonts w:asciiTheme="majorBidi" w:hAnsiTheme="majorBidi" w:cstheme="majorBidi"/>
              </w:rPr>
            </w:pPr>
            <w:r>
              <w:rPr>
                <w:rFonts w:asciiTheme="majorBidi" w:hAnsiTheme="majorBidi" w:cstheme="majorBidi"/>
              </w:rPr>
              <w:t>One per year (minimum)</w:t>
            </w:r>
          </w:p>
          <w:p w:rsidR="0080739E" w:rsidRPr="00A931B4" w:rsidRDefault="0080739E" w:rsidP="008C14ED">
            <w:pPr>
              <w:pStyle w:val="ListParagraph"/>
              <w:numPr>
                <w:ilvl w:val="0"/>
                <w:numId w:val="5"/>
              </w:numPr>
              <w:rPr>
                <w:rFonts w:asciiTheme="majorBidi" w:hAnsiTheme="majorBidi" w:cstheme="majorBidi"/>
              </w:rPr>
            </w:pPr>
            <w:r>
              <w:rPr>
                <w:rFonts w:asciiTheme="majorBidi" w:hAnsiTheme="majorBidi" w:cstheme="majorBidi"/>
              </w:rPr>
              <w:t>Six-monthly</w:t>
            </w:r>
          </w:p>
          <w:p w:rsidR="0080739E" w:rsidRPr="00A931B4" w:rsidRDefault="0080739E" w:rsidP="008C14ED">
            <w:pPr>
              <w:pStyle w:val="ListParagraph"/>
              <w:numPr>
                <w:ilvl w:val="0"/>
                <w:numId w:val="5"/>
              </w:numPr>
              <w:rPr>
                <w:rFonts w:asciiTheme="majorBidi" w:hAnsiTheme="majorBidi" w:cstheme="majorBidi"/>
              </w:rPr>
            </w:pPr>
            <w:r>
              <w:rPr>
                <w:rFonts w:asciiTheme="majorBidi" w:hAnsiTheme="majorBidi" w:cstheme="majorBidi"/>
              </w:rPr>
              <w:t>Six-monthly</w:t>
            </w:r>
          </w:p>
          <w:p w:rsidR="0080739E" w:rsidRPr="00A931B4" w:rsidRDefault="0080739E" w:rsidP="008C14ED">
            <w:pPr>
              <w:pStyle w:val="ListParagraph"/>
              <w:numPr>
                <w:ilvl w:val="0"/>
                <w:numId w:val="5"/>
              </w:numPr>
              <w:rPr>
                <w:rFonts w:asciiTheme="majorBidi" w:hAnsiTheme="majorBidi" w:cstheme="majorBidi"/>
              </w:rPr>
            </w:pPr>
            <w:r w:rsidRPr="00A931B4">
              <w:rPr>
                <w:rFonts w:asciiTheme="majorBidi" w:hAnsiTheme="majorBidi" w:cstheme="majorBidi"/>
              </w:rPr>
              <w:t>Monthly</w:t>
            </w:r>
          </w:p>
          <w:p w:rsidR="0080739E" w:rsidRPr="00A931B4" w:rsidRDefault="0080739E" w:rsidP="008C14ED">
            <w:pPr>
              <w:pStyle w:val="ListParagraph"/>
              <w:numPr>
                <w:ilvl w:val="0"/>
                <w:numId w:val="5"/>
              </w:numPr>
              <w:rPr>
                <w:rFonts w:asciiTheme="majorBidi" w:hAnsiTheme="majorBidi" w:cstheme="majorBidi"/>
              </w:rPr>
            </w:pPr>
            <w:r w:rsidRPr="00A931B4">
              <w:rPr>
                <w:rFonts w:asciiTheme="majorBidi" w:hAnsiTheme="majorBidi" w:cstheme="majorBidi"/>
              </w:rPr>
              <w:t>2015</w:t>
            </w:r>
          </w:p>
          <w:p w:rsidR="0080739E" w:rsidRPr="00A931B4" w:rsidRDefault="0080739E" w:rsidP="008C14ED">
            <w:pPr>
              <w:pStyle w:val="ListParagraph"/>
              <w:numPr>
                <w:ilvl w:val="0"/>
                <w:numId w:val="5"/>
              </w:numPr>
              <w:rPr>
                <w:rFonts w:asciiTheme="majorBidi" w:hAnsiTheme="majorBidi" w:cstheme="majorBidi"/>
              </w:rPr>
            </w:pPr>
            <w:r w:rsidRPr="00A931B4">
              <w:rPr>
                <w:rFonts w:asciiTheme="majorBidi" w:hAnsiTheme="majorBidi" w:cstheme="majorBidi"/>
              </w:rPr>
              <w:t>2017</w:t>
            </w:r>
          </w:p>
        </w:tc>
      </w:tr>
      <w:tr w:rsidR="0080739E" w:rsidRPr="00B655A4" w:rsidTr="009175A3">
        <w:trPr>
          <w:trHeight w:val="325"/>
        </w:trPr>
        <w:tc>
          <w:tcPr>
            <w:tcW w:w="534" w:type="dxa"/>
          </w:tcPr>
          <w:p w:rsidR="0080739E" w:rsidRPr="00EE57CE" w:rsidRDefault="0080739E" w:rsidP="009175A3">
            <w:pPr>
              <w:rPr>
                <w:rFonts w:asciiTheme="majorBidi" w:hAnsiTheme="majorBidi" w:cstheme="majorBidi"/>
              </w:rPr>
            </w:pPr>
            <w:r w:rsidRPr="00EE57CE">
              <w:rPr>
                <w:rFonts w:asciiTheme="majorBidi" w:hAnsiTheme="majorBidi" w:cstheme="majorBidi"/>
              </w:rPr>
              <w:t>5</w:t>
            </w:r>
          </w:p>
        </w:tc>
        <w:tc>
          <w:tcPr>
            <w:tcW w:w="2126" w:type="dxa"/>
          </w:tcPr>
          <w:p w:rsidR="0080739E" w:rsidRPr="00A931B4" w:rsidRDefault="0080739E" w:rsidP="009175A3">
            <w:pPr>
              <w:rPr>
                <w:rFonts w:asciiTheme="majorBidi" w:hAnsiTheme="majorBidi" w:cstheme="majorBidi"/>
              </w:rPr>
            </w:pPr>
            <w:r w:rsidRPr="00A931B4">
              <w:rPr>
                <w:rFonts w:asciiTheme="majorBidi" w:hAnsiTheme="majorBidi" w:cstheme="majorBidi"/>
              </w:rPr>
              <w:t>Useable information</w:t>
            </w:r>
          </w:p>
        </w:tc>
        <w:tc>
          <w:tcPr>
            <w:tcW w:w="3969" w:type="dxa"/>
          </w:tcPr>
          <w:p w:rsidR="0080739E" w:rsidRPr="00A931B4" w:rsidRDefault="0080739E" w:rsidP="008C14ED">
            <w:pPr>
              <w:pStyle w:val="ListParagraph"/>
              <w:numPr>
                <w:ilvl w:val="0"/>
                <w:numId w:val="6"/>
              </w:numPr>
              <w:rPr>
                <w:rFonts w:asciiTheme="majorBidi" w:hAnsiTheme="majorBidi" w:cstheme="majorBidi"/>
              </w:rPr>
            </w:pPr>
            <w:r w:rsidRPr="00A931B4">
              <w:rPr>
                <w:rFonts w:asciiTheme="majorBidi" w:hAnsiTheme="majorBidi" w:cstheme="majorBidi"/>
              </w:rPr>
              <w:t>Lessons learned</w:t>
            </w:r>
          </w:p>
          <w:p w:rsidR="0080739E" w:rsidRPr="00A931B4" w:rsidRDefault="0080739E" w:rsidP="008C14ED">
            <w:pPr>
              <w:pStyle w:val="ListParagraph"/>
              <w:numPr>
                <w:ilvl w:val="0"/>
                <w:numId w:val="6"/>
              </w:numPr>
              <w:rPr>
                <w:rFonts w:asciiTheme="majorBidi" w:hAnsiTheme="majorBidi" w:cstheme="majorBidi"/>
              </w:rPr>
            </w:pPr>
            <w:r w:rsidRPr="00A931B4">
              <w:rPr>
                <w:rFonts w:asciiTheme="majorBidi" w:hAnsiTheme="majorBidi" w:cstheme="majorBidi"/>
              </w:rPr>
              <w:t>Brochure / audio-visual materials</w:t>
            </w:r>
          </w:p>
        </w:tc>
        <w:tc>
          <w:tcPr>
            <w:tcW w:w="3544" w:type="dxa"/>
          </w:tcPr>
          <w:p w:rsidR="0080739E" w:rsidRPr="00A931B4" w:rsidRDefault="0080739E" w:rsidP="008C14ED">
            <w:pPr>
              <w:pStyle w:val="ListParagraph"/>
              <w:numPr>
                <w:ilvl w:val="0"/>
                <w:numId w:val="6"/>
              </w:numPr>
              <w:rPr>
                <w:rFonts w:asciiTheme="majorBidi" w:hAnsiTheme="majorBidi" w:cstheme="majorBidi"/>
              </w:rPr>
            </w:pPr>
            <w:r w:rsidRPr="00A931B4">
              <w:rPr>
                <w:rFonts w:asciiTheme="majorBidi" w:hAnsiTheme="majorBidi" w:cstheme="majorBidi"/>
              </w:rPr>
              <w:t>NGOs, SM, TRG</w:t>
            </w:r>
          </w:p>
          <w:p w:rsidR="0080739E" w:rsidRPr="00A931B4" w:rsidRDefault="0080739E" w:rsidP="008C14ED">
            <w:pPr>
              <w:pStyle w:val="ListParagraph"/>
              <w:numPr>
                <w:ilvl w:val="0"/>
                <w:numId w:val="6"/>
              </w:numPr>
              <w:rPr>
                <w:rFonts w:asciiTheme="majorBidi" w:hAnsiTheme="majorBidi" w:cstheme="majorBidi"/>
                <w:b/>
                <w:bCs/>
              </w:rPr>
            </w:pPr>
            <w:r w:rsidRPr="00A931B4">
              <w:rPr>
                <w:rFonts w:asciiTheme="majorBidi" w:hAnsiTheme="majorBidi" w:cstheme="majorBidi"/>
              </w:rPr>
              <w:t>NGOs, AusAID</w:t>
            </w:r>
          </w:p>
        </w:tc>
        <w:tc>
          <w:tcPr>
            <w:tcW w:w="4001" w:type="dxa"/>
          </w:tcPr>
          <w:p w:rsidR="0080739E" w:rsidRPr="00A931B4" w:rsidRDefault="0080739E" w:rsidP="008C14ED">
            <w:pPr>
              <w:pStyle w:val="ListParagraph"/>
              <w:numPr>
                <w:ilvl w:val="0"/>
                <w:numId w:val="6"/>
              </w:numPr>
              <w:rPr>
                <w:rFonts w:asciiTheme="majorBidi" w:hAnsiTheme="majorBidi" w:cstheme="majorBidi"/>
              </w:rPr>
            </w:pPr>
            <w:r w:rsidRPr="00A931B4">
              <w:rPr>
                <w:rFonts w:asciiTheme="majorBidi" w:hAnsiTheme="majorBidi" w:cstheme="majorBidi"/>
              </w:rPr>
              <w:t>Ongoing throughout</w:t>
            </w:r>
          </w:p>
          <w:p w:rsidR="0080739E" w:rsidRPr="00A931B4" w:rsidRDefault="0080739E" w:rsidP="008C14ED">
            <w:pPr>
              <w:pStyle w:val="ListParagraph"/>
              <w:numPr>
                <w:ilvl w:val="0"/>
                <w:numId w:val="6"/>
              </w:numPr>
              <w:rPr>
                <w:rFonts w:asciiTheme="majorBidi" w:hAnsiTheme="majorBidi" w:cstheme="majorBidi"/>
              </w:rPr>
            </w:pPr>
            <w:r w:rsidRPr="00A931B4">
              <w:rPr>
                <w:rFonts w:asciiTheme="majorBidi" w:hAnsiTheme="majorBidi" w:cstheme="majorBidi"/>
              </w:rPr>
              <w:t>2017</w:t>
            </w:r>
          </w:p>
        </w:tc>
      </w:tr>
    </w:tbl>
    <w:p w:rsidR="0080739E" w:rsidRDefault="0080739E" w:rsidP="0080739E">
      <w:pPr>
        <w:rPr>
          <w:lang w:eastAsia="en-AU"/>
        </w:rPr>
        <w:sectPr w:rsidR="0080739E" w:rsidSect="008609A2">
          <w:pgSz w:w="16838" w:h="11906" w:orient="landscape"/>
          <w:pgMar w:top="1440" w:right="1440" w:bottom="1440" w:left="1440" w:header="708" w:footer="708" w:gutter="0"/>
          <w:cols w:space="708"/>
          <w:docGrid w:linePitch="360"/>
        </w:sectPr>
      </w:pPr>
    </w:p>
    <w:p w:rsidR="0080739E" w:rsidRDefault="0080739E" w:rsidP="0080739E">
      <w:pPr>
        <w:pStyle w:val="Heading2"/>
        <w:numPr>
          <w:ilvl w:val="1"/>
          <w:numId w:val="1"/>
        </w:numPr>
        <w:rPr>
          <w:lang w:eastAsia="en-AU"/>
        </w:rPr>
      </w:pPr>
      <w:bookmarkStart w:id="46" w:name="_Toc353974459"/>
      <w:r>
        <w:rPr>
          <w:lang w:eastAsia="en-AU"/>
        </w:rPr>
        <w:lastRenderedPageBreak/>
        <w:t>Program Level M&amp;E</w:t>
      </w:r>
      <w:bookmarkEnd w:id="46"/>
    </w:p>
    <w:p w:rsidR="00746325" w:rsidRDefault="00746325" w:rsidP="0080739E">
      <w:pPr>
        <w:rPr>
          <w:lang w:eastAsia="en-AU"/>
        </w:rPr>
      </w:pPr>
    </w:p>
    <w:p w:rsidR="004F702A" w:rsidRDefault="0080739E" w:rsidP="004F702A">
      <w:pPr>
        <w:rPr>
          <w:lang w:eastAsia="en-AU"/>
        </w:rPr>
      </w:pPr>
      <w:r w:rsidRPr="00867C4C">
        <w:rPr>
          <w:lang w:eastAsia="en-AU"/>
        </w:rPr>
        <w:t xml:space="preserve">Program level M&amp;E will </w:t>
      </w:r>
      <w:r>
        <w:rPr>
          <w:lang w:eastAsia="en-AU"/>
        </w:rPr>
        <w:t>focus</w:t>
      </w:r>
      <w:r w:rsidRPr="00867C4C">
        <w:rPr>
          <w:lang w:eastAsia="en-AU"/>
        </w:rPr>
        <w:t xml:space="preserve"> on the higher levels of the Th</w:t>
      </w:r>
      <w:r>
        <w:rPr>
          <w:lang w:eastAsia="en-AU"/>
        </w:rPr>
        <w:t>eo</w:t>
      </w:r>
      <w:r w:rsidRPr="00867C4C">
        <w:rPr>
          <w:lang w:eastAsia="en-AU"/>
        </w:rPr>
        <w:t xml:space="preserve">ry of Change through aggregation of project level information and through additional </w:t>
      </w:r>
      <w:r>
        <w:rPr>
          <w:lang w:eastAsia="en-AU"/>
        </w:rPr>
        <w:t>M&amp;E activities</w:t>
      </w:r>
      <w:r w:rsidRPr="00867C4C">
        <w:rPr>
          <w:lang w:eastAsia="en-AU"/>
        </w:rPr>
        <w:t xml:space="preserve"> relevant to the AACRS as a whole. </w:t>
      </w:r>
      <w:r>
        <w:rPr>
          <w:lang w:eastAsia="en-AU"/>
        </w:rPr>
        <w:t xml:space="preserve">Program level M&amp;E </w:t>
      </w:r>
      <w:r w:rsidR="00A91AAB">
        <w:rPr>
          <w:lang w:eastAsia="en-AU"/>
        </w:rPr>
        <w:t xml:space="preserve">must take into account </w:t>
      </w:r>
      <w:r>
        <w:rPr>
          <w:lang w:eastAsia="en-AU"/>
        </w:rPr>
        <w:t>AusAID’s five strategic goals</w:t>
      </w:r>
      <w:r w:rsidR="00CC0CA6">
        <w:rPr>
          <w:lang w:eastAsia="en-AU"/>
        </w:rPr>
        <w:t xml:space="preserve"> as</w:t>
      </w:r>
      <w:r>
        <w:rPr>
          <w:lang w:eastAsia="en-AU"/>
        </w:rPr>
        <w:t xml:space="preserve"> </w:t>
      </w:r>
      <w:r w:rsidR="00A91AAB">
        <w:rPr>
          <w:lang w:eastAsia="en-AU"/>
        </w:rPr>
        <w:t xml:space="preserve">set out in </w:t>
      </w:r>
      <w:r w:rsidR="00A91AAB" w:rsidRPr="0092705A">
        <w:rPr>
          <w:i/>
          <w:lang w:eastAsia="en-AU"/>
        </w:rPr>
        <w:t>An Effective Aid Program for Australia</w:t>
      </w:r>
      <w:r>
        <w:rPr>
          <w:lang w:eastAsia="en-AU"/>
        </w:rPr>
        <w:t xml:space="preserve"> and </w:t>
      </w:r>
      <w:r w:rsidR="004F702A">
        <w:rPr>
          <w:lang w:eastAsia="en-AU"/>
        </w:rPr>
        <w:t xml:space="preserve">provide evidence as appropriate, and where possible, align with the ANCP Monitoring, Evaluation and Learning Framework (and the CSO M&amp;E Framework when in place). </w:t>
      </w:r>
    </w:p>
    <w:p w:rsidR="0080739E" w:rsidRDefault="0080739E" w:rsidP="0080739E">
      <w:pPr>
        <w:rPr>
          <w:lang w:eastAsia="en-AU"/>
        </w:rPr>
      </w:pPr>
    </w:p>
    <w:p w:rsidR="0080739E" w:rsidRDefault="0080739E" w:rsidP="0080739E">
      <w:pPr>
        <w:rPr>
          <w:lang w:eastAsia="en-AU"/>
        </w:rPr>
      </w:pPr>
      <w:r>
        <w:rPr>
          <w:lang w:eastAsia="en-AU"/>
        </w:rPr>
        <w:t>The most important mechanism for exploration of these themes will be an Annual Reflection Meeting held each June from 2014 onwards for all major stakeholders – MAIL</w:t>
      </w:r>
      <w:r w:rsidRPr="001F6F2E">
        <w:rPr>
          <w:lang w:eastAsia="en-AU"/>
        </w:rPr>
        <w:t xml:space="preserve">, </w:t>
      </w:r>
      <w:r w:rsidR="009C2BE1">
        <w:rPr>
          <w:lang w:eastAsia="en-AU"/>
        </w:rPr>
        <w:t xml:space="preserve">MRRD, </w:t>
      </w:r>
      <w:r w:rsidR="00EE2BDE">
        <w:rPr>
          <w:lang w:eastAsia="en-AU"/>
        </w:rPr>
        <w:t xml:space="preserve">MoE, </w:t>
      </w:r>
      <w:r>
        <w:rPr>
          <w:lang w:eastAsia="en-AU"/>
        </w:rPr>
        <w:t xml:space="preserve">AusAID, partner NGOs, local CSO/NGO partners, the TRG and the </w:t>
      </w:r>
      <w:r w:rsidR="00620915">
        <w:rPr>
          <w:lang w:eastAsia="en-AU"/>
        </w:rPr>
        <w:t>Scheme Manager</w:t>
      </w:r>
      <w:r>
        <w:rPr>
          <w:lang w:eastAsia="en-AU"/>
        </w:rPr>
        <w:t xml:space="preserve">. This will provide opportunity for information sharing lessons learned, brainstorming of common issues and exploration of achievement against one of the themes. As set out in the M&amp;E Framework, it is proposed that one theme be explored each year with each project and stakeholder preparing in advance so that discussions about the theme are well informed. </w:t>
      </w:r>
    </w:p>
    <w:p w:rsidR="0080739E" w:rsidRDefault="0080739E" w:rsidP="0080739E">
      <w:pPr>
        <w:rPr>
          <w:lang w:eastAsia="en-AU"/>
        </w:rPr>
      </w:pPr>
    </w:p>
    <w:p w:rsidR="00A91AAB" w:rsidRDefault="00A91AAB" w:rsidP="00A91AAB">
      <w:pPr>
        <w:rPr>
          <w:lang w:eastAsia="en-AU"/>
        </w:rPr>
      </w:pPr>
      <w:r>
        <w:rPr>
          <w:lang w:eastAsia="en-AU"/>
        </w:rPr>
        <w:t>Four themes are proposed, although others may materialise during implementation:</w:t>
      </w:r>
    </w:p>
    <w:p w:rsidR="00A91AAB" w:rsidRDefault="00A91AAB" w:rsidP="00A91AAB">
      <w:pPr>
        <w:rPr>
          <w:lang w:eastAsia="en-AU"/>
        </w:rPr>
      </w:pPr>
    </w:p>
    <w:p w:rsidR="00A91AAB" w:rsidRPr="00A04C53" w:rsidRDefault="00A91AAB" w:rsidP="008C14ED">
      <w:pPr>
        <w:pStyle w:val="ListParagraph"/>
        <w:numPr>
          <w:ilvl w:val="0"/>
          <w:numId w:val="12"/>
        </w:numPr>
        <w:rPr>
          <w:lang w:eastAsia="en-AU"/>
        </w:rPr>
      </w:pPr>
      <w:r w:rsidRPr="00A04C53">
        <w:rPr>
          <w:lang w:eastAsia="en-AU"/>
        </w:rPr>
        <w:t xml:space="preserve">AACRS partnerships </w:t>
      </w:r>
    </w:p>
    <w:p w:rsidR="00A91AAB" w:rsidRDefault="00A91AAB" w:rsidP="008C14ED">
      <w:pPr>
        <w:pStyle w:val="ListParagraph"/>
        <w:numPr>
          <w:ilvl w:val="0"/>
          <w:numId w:val="12"/>
        </w:numPr>
        <w:rPr>
          <w:lang w:eastAsia="en-AU"/>
        </w:rPr>
      </w:pPr>
      <w:r w:rsidRPr="00A04C53">
        <w:rPr>
          <w:lang w:eastAsia="en-AU"/>
        </w:rPr>
        <w:t>Capacity development</w:t>
      </w:r>
      <w:r w:rsidR="004B380C">
        <w:rPr>
          <w:lang w:eastAsia="en-AU"/>
        </w:rPr>
        <w:t xml:space="preserve"> approaches and processes</w:t>
      </w:r>
      <w:r w:rsidRPr="00A04C53">
        <w:rPr>
          <w:lang w:eastAsia="en-AU"/>
        </w:rPr>
        <w:t xml:space="preserve"> </w:t>
      </w:r>
    </w:p>
    <w:p w:rsidR="00C83AAA" w:rsidRPr="00A04C53" w:rsidRDefault="00C83AAA" w:rsidP="008C14ED">
      <w:pPr>
        <w:pStyle w:val="ListParagraph"/>
        <w:numPr>
          <w:ilvl w:val="0"/>
          <w:numId w:val="12"/>
        </w:numPr>
        <w:rPr>
          <w:lang w:eastAsia="en-AU"/>
        </w:rPr>
      </w:pPr>
      <w:r>
        <w:rPr>
          <w:lang w:eastAsia="en-AU"/>
        </w:rPr>
        <w:t>Community resilience</w:t>
      </w:r>
    </w:p>
    <w:p w:rsidR="00A91AAB" w:rsidRDefault="00A91AAB" w:rsidP="008C14ED">
      <w:pPr>
        <w:pStyle w:val="ListParagraph"/>
        <w:numPr>
          <w:ilvl w:val="0"/>
          <w:numId w:val="12"/>
        </w:numPr>
        <w:rPr>
          <w:rFonts w:asciiTheme="majorBidi" w:hAnsiTheme="majorBidi" w:cstheme="majorBidi"/>
        </w:rPr>
      </w:pPr>
      <w:r w:rsidRPr="00A04C53">
        <w:rPr>
          <w:lang w:eastAsia="en-AU"/>
        </w:rPr>
        <w:t>Results</w:t>
      </w:r>
      <w:r>
        <w:rPr>
          <w:lang w:eastAsia="en-AU"/>
        </w:rPr>
        <w:t xml:space="preserve"> </w:t>
      </w:r>
      <w:r w:rsidR="00A25036">
        <w:rPr>
          <w:lang w:eastAsia="en-AU"/>
        </w:rPr>
        <w:t>–</w:t>
      </w:r>
      <w:r w:rsidRPr="00A04C53">
        <w:rPr>
          <w:lang w:eastAsia="en-AU"/>
        </w:rPr>
        <w:t xml:space="preserve"> what has changed</w:t>
      </w:r>
      <w:r w:rsidRPr="00867C4C">
        <w:rPr>
          <w:rFonts w:asciiTheme="majorBidi" w:hAnsiTheme="majorBidi" w:cstheme="majorBidi"/>
        </w:rPr>
        <w:t>?</w:t>
      </w:r>
    </w:p>
    <w:p w:rsidR="0049568A" w:rsidRPr="00867C4C" w:rsidRDefault="0049568A" w:rsidP="00C059CE">
      <w:pPr>
        <w:pStyle w:val="ListParagraph"/>
        <w:rPr>
          <w:rFonts w:asciiTheme="majorBidi" w:hAnsiTheme="majorBidi" w:cstheme="majorBidi"/>
        </w:rPr>
      </w:pPr>
    </w:p>
    <w:p w:rsidR="00A91AAB" w:rsidRDefault="00A91AAB" w:rsidP="006857DC">
      <w:pPr>
        <w:rPr>
          <w:lang w:eastAsia="en-AU"/>
        </w:rPr>
      </w:pPr>
      <w:r>
        <w:rPr>
          <w:lang w:eastAsia="en-AU"/>
        </w:rPr>
        <w:t>Gender inclusion will be integrated into each annual theme, for example, in Year 2, dedicated time will be given to identifying whether partner organisations have increased capacity in relation to gender assessment, implementing and monitoring gender inclusive activities and whether there is increased participation of women in decision-making. And in Year 4, dedicated attention will be given to disaggregating the results of projects by sex</w:t>
      </w:r>
      <w:r w:rsidR="006857DC">
        <w:rPr>
          <w:lang w:eastAsia="en-AU"/>
        </w:rPr>
        <w:t xml:space="preserve"> (noting that </w:t>
      </w:r>
      <w:r w:rsidR="006857DC" w:rsidRPr="006857DC">
        <w:rPr>
          <w:rFonts w:cstheme="minorHAnsi"/>
        </w:rPr>
        <w:t xml:space="preserve">sex disaggregation of </w:t>
      </w:r>
      <w:r w:rsidR="006857DC">
        <w:rPr>
          <w:rFonts w:cstheme="minorHAnsi"/>
        </w:rPr>
        <w:t>data should commence from year one.</w:t>
      </w:r>
    </w:p>
    <w:p w:rsidR="006857DC" w:rsidRPr="006857DC" w:rsidRDefault="006857DC" w:rsidP="006857DC">
      <w:pPr>
        <w:rPr>
          <w:rFonts w:cstheme="minorHAnsi"/>
        </w:rPr>
      </w:pPr>
    </w:p>
    <w:p w:rsidR="0080739E" w:rsidRDefault="0080739E" w:rsidP="006857DC">
      <w:pPr>
        <w:rPr>
          <w:lang w:eastAsia="en-AU"/>
        </w:rPr>
      </w:pPr>
      <w:r>
        <w:rPr>
          <w:lang w:eastAsia="en-AU"/>
        </w:rPr>
        <w:t xml:space="preserve">Documentation prepared in advance of the Annual Reflection will include the latest Snapshot Report for each Project and PowerPoint presentations inclusive of photos or video to bring the Project alive. Photos are also important to file away for use in publicity materials at a later date. </w:t>
      </w:r>
    </w:p>
    <w:p w:rsidR="0080739E" w:rsidRDefault="0080739E" w:rsidP="006857DC">
      <w:pPr>
        <w:rPr>
          <w:lang w:eastAsia="en-AU"/>
        </w:rPr>
      </w:pPr>
    </w:p>
    <w:p w:rsidR="0080739E" w:rsidRDefault="0080739E" w:rsidP="006857DC">
      <w:pPr>
        <w:rPr>
          <w:lang w:eastAsia="en-AU"/>
        </w:rPr>
      </w:pPr>
      <w:r>
        <w:rPr>
          <w:lang w:eastAsia="en-AU"/>
        </w:rPr>
        <w:t xml:space="preserve">The </w:t>
      </w:r>
      <w:r w:rsidR="00CC0CA6">
        <w:rPr>
          <w:lang w:eastAsia="en-AU"/>
        </w:rPr>
        <w:t>Scheme Manager</w:t>
      </w:r>
      <w:r>
        <w:rPr>
          <w:lang w:eastAsia="en-AU"/>
        </w:rPr>
        <w:t xml:space="preserve"> will prepare a draft Annual Report for discussion, inclusive of aggregated information about project performance and achievement, and program level information. The final version of this Report will be prepared by the </w:t>
      </w:r>
      <w:r w:rsidR="00C97EAC">
        <w:rPr>
          <w:lang w:eastAsia="en-AU"/>
        </w:rPr>
        <w:t>Scheme Manager</w:t>
      </w:r>
      <w:r>
        <w:rPr>
          <w:lang w:eastAsia="en-AU"/>
        </w:rPr>
        <w:t xml:space="preserve"> after the Annual Reflection in order to capture discussion of the annual theme and make any recommended changes.</w:t>
      </w:r>
    </w:p>
    <w:p w:rsidR="0080739E" w:rsidRDefault="0080739E" w:rsidP="006857DC">
      <w:pPr>
        <w:rPr>
          <w:lang w:eastAsia="en-AU"/>
        </w:rPr>
      </w:pPr>
    </w:p>
    <w:p w:rsidR="0080739E" w:rsidRDefault="0080739E" w:rsidP="006857DC">
      <w:pPr>
        <w:rPr>
          <w:lang w:eastAsia="en-AU"/>
        </w:rPr>
      </w:pPr>
      <w:r>
        <w:rPr>
          <w:lang w:eastAsia="en-AU"/>
        </w:rPr>
        <w:t>The Annual Reflection is expected to reveal both anticipated and unanticipated findings, and potentially issues and risks requiring resolution. By holding the June SGC immediately after the Annual Reflection, opportunity is provided for immediate discussion and decision by this high level group so that follow-up actions can be taken without delay. This timing immediately after the Annual Reflection also means that SGC Members will be fully up to date on AACRS at project and program levels and members may well have identified new topics or ideas for discussion to add to the preplanned Agenda.</w:t>
      </w:r>
    </w:p>
    <w:p w:rsidR="0080739E" w:rsidRDefault="0080739E" w:rsidP="0080739E">
      <w:pPr>
        <w:rPr>
          <w:lang w:eastAsia="en-AU"/>
        </w:rPr>
      </w:pPr>
    </w:p>
    <w:p w:rsidR="0080739E" w:rsidRPr="00867C4C" w:rsidRDefault="0080739E" w:rsidP="0080739E">
      <w:pPr>
        <w:rPr>
          <w:lang w:eastAsia="en-AU"/>
        </w:rPr>
      </w:pPr>
      <w:r>
        <w:rPr>
          <w:lang w:eastAsia="en-AU"/>
        </w:rPr>
        <w:t xml:space="preserve">The SGC may also decide to commission the TRG or </w:t>
      </w:r>
      <w:r w:rsidR="00CC0CA6">
        <w:rPr>
          <w:lang w:eastAsia="en-AU"/>
        </w:rPr>
        <w:t>Scheme Manager</w:t>
      </w:r>
      <w:r>
        <w:rPr>
          <w:lang w:eastAsia="en-AU"/>
        </w:rPr>
        <w:t xml:space="preserve"> to conduct other M&amp;E research </w:t>
      </w:r>
    </w:p>
    <w:p w:rsidR="0080739E" w:rsidRDefault="0080739E" w:rsidP="0080739E">
      <w:pPr>
        <w:pStyle w:val="Heading2"/>
        <w:numPr>
          <w:ilvl w:val="1"/>
          <w:numId w:val="1"/>
        </w:numPr>
        <w:rPr>
          <w:lang w:eastAsia="en-AU"/>
        </w:rPr>
      </w:pPr>
      <w:bookmarkStart w:id="47" w:name="_Toc353974460"/>
      <w:r>
        <w:rPr>
          <w:lang w:eastAsia="en-AU"/>
        </w:rPr>
        <w:t>Independent Monitoring</w:t>
      </w:r>
      <w:bookmarkEnd w:id="47"/>
    </w:p>
    <w:p w:rsidR="0080739E" w:rsidRDefault="0080739E" w:rsidP="0080739E">
      <w:pPr>
        <w:rPr>
          <w:lang w:eastAsia="en-AU"/>
        </w:rPr>
      </w:pPr>
    </w:p>
    <w:p w:rsidR="0080739E" w:rsidRDefault="0080739E" w:rsidP="0080739E">
      <w:pPr>
        <w:rPr>
          <w:lang w:eastAsia="en-AU"/>
        </w:rPr>
      </w:pPr>
      <w:r>
        <w:rPr>
          <w:lang w:eastAsia="en-AU"/>
        </w:rPr>
        <w:t xml:space="preserve">AusAID will appoint independent consultants to review AACRS </w:t>
      </w:r>
      <w:r w:rsidR="004D5AD4">
        <w:rPr>
          <w:lang w:eastAsia="en-AU"/>
        </w:rPr>
        <w:t xml:space="preserve">in line with AusAID’s </w:t>
      </w:r>
      <w:r w:rsidR="004D5AD4" w:rsidRPr="004D5AD4">
        <w:rPr>
          <w:rFonts w:cs="Arial"/>
          <w:i/>
          <w:lang w:eastAsia="en-AU"/>
        </w:rPr>
        <w:t>Performance Management and Evaluation Policy</w:t>
      </w:r>
      <w:r w:rsidR="004B5680">
        <w:rPr>
          <w:rFonts w:cs="Arial"/>
          <w:i/>
          <w:lang w:eastAsia="en-AU"/>
        </w:rPr>
        <w:t>.</w:t>
      </w:r>
      <w:r w:rsidR="004D5AD4" w:rsidRPr="00CC0CA6">
        <w:rPr>
          <w:rStyle w:val="FootnoteReference"/>
          <w:rFonts w:cs="Arial"/>
          <w:lang w:eastAsia="en-AU"/>
        </w:rPr>
        <w:footnoteReference w:id="53"/>
      </w:r>
      <w:r w:rsidR="0045168E">
        <w:rPr>
          <w:lang w:eastAsia="en-AU"/>
        </w:rPr>
        <w:t xml:space="preserve"> </w:t>
      </w:r>
      <w:r>
        <w:rPr>
          <w:lang w:eastAsia="en-AU"/>
        </w:rPr>
        <w:t>A</w:t>
      </w:r>
      <w:r w:rsidR="00DE5A54">
        <w:rPr>
          <w:lang w:eastAsia="en-AU"/>
        </w:rPr>
        <w:t>n</w:t>
      </w:r>
      <w:r w:rsidR="00CC0CA6">
        <w:rPr>
          <w:lang w:eastAsia="en-AU"/>
        </w:rPr>
        <w:t xml:space="preserve"> MTR will be conducted in </w:t>
      </w:r>
      <w:r>
        <w:rPr>
          <w:lang w:eastAsia="en-AU"/>
        </w:rPr>
        <w:t>2015, towards the end of the second year of project implementation. This timing should be far enough into the project cycle for some intermediate results to be apparent but soon enough for changes to be implemented which benefit from lessons learned through the MTR. Decisions about whether site visits are possible by the MTR team would need to be made at the time.</w:t>
      </w:r>
    </w:p>
    <w:p w:rsidR="0080739E" w:rsidRDefault="0080739E" w:rsidP="0080739E">
      <w:pPr>
        <w:rPr>
          <w:lang w:eastAsia="en-AU"/>
        </w:rPr>
      </w:pPr>
    </w:p>
    <w:p w:rsidR="0080739E" w:rsidRDefault="0080739E" w:rsidP="0080739E">
      <w:pPr>
        <w:rPr>
          <w:lang w:eastAsia="en-AU"/>
        </w:rPr>
      </w:pPr>
      <w:r>
        <w:rPr>
          <w:lang w:eastAsia="en-AU"/>
        </w:rPr>
        <w:t xml:space="preserve">Acceptance of the MTR Report will be a trigger for drawdown from the AACRS Innovation Fund. The Annual Reflection Meetings would provide the ideal forum to explore opportunities for additional activities which complement the </w:t>
      </w:r>
      <w:r w:rsidR="00D474B6">
        <w:rPr>
          <w:lang w:eastAsia="en-AU"/>
        </w:rPr>
        <w:t>AACRS</w:t>
      </w:r>
      <w:r>
        <w:rPr>
          <w:lang w:eastAsia="en-AU"/>
        </w:rPr>
        <w:t xml:space="preserve">. The SGC will </w:t>
      </w:r>
      <w:r w:rsidR="00D474B6">
        <w:rPr>
          <w:lang w:eastAsia="en-AU"/>
        </w:rPr>
        <w:t xml:space="preserve">advise AusAID on </w:t>
      </w:r>
      <w:r>
        <w:rPr>
          <w:lang w:eastAsia="en-AU"/>
        </w:rPr>
        <w:t>the selection and drawdown processes.</w:t>
      </w:r>
    </w:p>
    <w:p w:rsidR="004D5AD4" w:rsidRDefault="004D5AD4" w:rsidP="0080739E">
      <w:pPr>
        <w:rPr>
          <w:lang w:eastAsia="en-AU"/>
        </w:rPr>
      </w:pPr>
    </w:p>
    <w:p w:rsidR="0080739E" w:rsidRDefault="004D5AD4" w:rsidP="00401640">
      <w:pPr>
        <w:rPr>
          <w:lang w:eastAsia="en-AU"/>
        </w:rPr>
      </w:pPr>
      <w:r>
        <w:rPr>
          <w:lang w:eastAsia="en-AU"/>
        </w:rPr>
        <w:t xml:space="preserve">The Afghanistan Program will decide whether an independent completion report is required (in line with AusAID’s </w:t>
      </w:r>
      <w:r w:rsidRPr="00CC0CA6">
        <w:rPr>
          <w:i/>
          <w:lang w:eastAsia="en-AU"/>
        </w:rPr>
        <w:t>Performance Management and Evaluation Policy</w:t>
      </w:r>
      <w:r>
        <w:rPr>
          <w:lang w:eastAsia="en-AU"/>
        </w:rPr>
        <w:t>).</w:t>
      </w:r>
      <w:r w:rsidR="0080739E">
        <w:rPr>
          <w:lang w:eastAsia="en-AU"/>
        </w:rPr>
        <w:t>Quality Assurance</w:t>
      </w:r>
    </w:p>
    <w:p w:rsidR="0080739E" w:rsidRDefault="0080739E" w:rsidP="0080739E">
      <w:pPr>
        <w:rPr>
          <w:lang w:eastAsia="en-AU"/>
        </w:rPr>
      </w:pPr>
    </w:p>
    <w:p w:rsidR="0080739E" w:rsidRDefault="0080739E" w:rsidP="0080739E">
      <w:pPr>
        <w:rPr>
          <w:lang w:eastAsia="en-AU"/>
        </w:rPr>
      </w:pPr>
      <w:r>
        <w:rPr>
          <w:lang w:eastAsia="en-AU"/>
        </w:rPr>
        <w:t xml:space="preserve">Quality assurance will be achieved through a number of AACRS design </w:t>
      </w:r>
      <w:r w:rsidRPr="00FA6F89">
        <w:rPr>
          <w:lang w:eastAsia="en-AU"/>
        </w:rPr>
        <w:t>features:</w:t>
      </w:r>
    </w:p>
    <w:p w:rsidR="0080739E" w:rsidRDefault="0080739E" w:rsidP="0080739E">
      <w:pPr>
        <w:rPr>
          <w:lang w:eastAsia="en-AU"/>
        </w:rPr>
      </w:pPr>
    </w:p>
    <w:p w:rsidR="0080739E" w:rsidRDefault="0080739E" w:rsidP="008C14ED">
      <w:pPr>
        <w:pStyle w:val="ListParagraph"/>
        <w:numPr>
          <w:ilvl w:val="0"/>
          <w:numId w:val="13"/>
        </w:numPr>
        <w:rPr>
          <w:lang w:eastAsia="en-AU"/>
        </w:rPr>
      </w:pPr>
      <w:r>
        <w:rPr>
          <w:lang w:eastAsia="en-AU"/>
        </w:rPr>
        <w:t xml:space="preserve">A thorough NGO </w:t>
      </w:r>
      <w:r w:rsidR="007F78BE">
        <w:rPr>
          <w:lang w:eastAsia="en-AU"/>
        </w:rPr>
        <w:t>Request for Submissions process</w:t>
      </w:r>
      <w:r>
        <w:rPr>
          <w:lang w:eastAsia="en-AU"/>
        </w:rPr>
        <w:t xml:space="preserve"> with strict eligibility provisions. Only signatories of ACFID’s Code of Conduct or an international equivalent are eligible to apply. The </w:t>
      </w:r>
      <w:r w:rsidR="00F241AF">
        <w:rPr>
          <w:lang w:eastAsia="en-AU"/>
        </w:rPr>
        <w:t>Request for Submissions</w:t>
      </w:r>
      <w:r>
        <w:rPr>
          <w:lang w:eastAsia="en-AU"/>
        </w:rPr>
        <w:t xml:space="preserve"> requires applicants to submit evidence of financial performance, prior project management experience in Afghanistan as well as a detailed response to the Selection Criteria. This will give members of the </w:t>
      </w:r>
      <w:r w:rsidR="00C97EAC">
        <w:rPr>
          <w:lang w:eastAsia="en-AU"/>
        </w:rPr>
        <w:t>Selection Panel</w:t>
      </w:r>
      <w:r>
        <w:rPr>
          <w:lang w:eastAsia="en-AU"/>
        </w:rPr>
        <w:t xml:space="preserve"> a strong basis on which to ran</w:t>
      </w:r>
      <w:r w:rsidR="00C97EAC">
        <w:rPr>
          <w:lang w:eastAsia="en-AU"/>
        </w:rPr>
        <w:t>k and select the NGO applicants.</w:t>
      </w:r>
    </w:p>
    <w:p w:rsidR="0080739E" w:rsidRDefault="0080739E" w:rsidP="008C14ED">
      <w:pPr>
        <w:pStyle w:val="ListParagraph"/>
        <w:numPr>
          <w:ilvl w:val="0"/>
          <w:numId w:val="13"/>
        </w:numPr>
        <w:rPr>
          <w:lang w:eastAsia="en-AU"/>
        </w:rPr>
      </w:pPr>
      <w:r>
        <w:rPr>
          <w:lang w:eastAsia="en-AU"/>
        </w:rPr>
        <w:t xml:space="preserve">Each NGO project will be subject to </w:t>
      </w:r>
      <w:r w:rsidR="00034882">
        <w:rPr>
          <w:lang w:eastAsia="en-AU"/>
        </w:rPr>
        <w:t>AusAID quality</w:t>
      </w:r>
      <w:r>
        <w:rPr>
          <w:lang w:eastAsia="en-AU"/>
        </w:rPr>
        <w:t xml:space="preserve"> processes appropria</w:t>
      </w:r>
      <w:r w:rsidR="00870630">
        <w:rPr>
          <w:lang w:eastAsia="en-AU"/>
        </w:rPr>
        <w:t>te to the scale of the projects.</w:t>
      </w:r>
    </w:p>
    <w:p w:rsidR="0080739E" w:rsidRDefault="0080739E" w:rsidP="008C14ED">
      <w:pPr>
        <w:pStyle w:val="ListParagraph"/>
        <w:numPr>
          <w:ilvl w:val="0"/>
          <w:numId w:val="13"/>
        </w:numPr>
        <w:rPr>
          <w:lang w:eastAsia="en-AU"/>
        </w:rPr>
      </w:pPr>
      <w:r>
        <w:rPr>
          <w:lang w:eastAsia="en-AU"/>
        </w:rPr>
        <w:t>There will be regular checkpoints throughout the AACRS design and implementation cycle to ensure full inclusion and participation of women and girls as beneficiaries and decision-makers. These checkpoints include:</w:t>
      </w:r>
    </w:p>
    <w:p w:rsidR="0080739E" w:rsidRDefault="00C97EAC" w:rsidP="008C14ED">
      <w:pPr>
        <w:pStyle w:val="ListParagraph"/>
        <w:numPr>
          <w:ilvl w:val="1"/>
          <w:numId w:val="27"/>
        </w:numPr>
        <w:rPr>
          <w:lang w:eastAsia="en-AU"/>
        </w:rPr>
      </w:pPr>
      <w:r>
        <w:rPr>
          <w:lang w:eastAsia="en-AU"/>
        </w:rPr>
        <w:t>assessment within the Submission Selection Criteria</w:t>
      </w:r>
    </w:p>
    <w:p w:rsidR="0080739E" w:rsidRDefault="00B54353" w:rsidP="008C14ED">
      <w:pPr>
        <w:pStyle w:val="ListParagraph"/>
        <w:numPr>
          <w:ilvl w:val="1"/>
          <w:numId w:val="27"/>
        </w:numPr>
        <w:rPr>
          <w:lang w:eastAsia="en-AU"/>
        </w:rPr>
      </w:pPr>
      <w:r>
        <w:rPr>
          <w:lang w:eastAsia="en-AU"/>
        </w:rPr>
        <w:t>a</w:t>
      </w:r>
      <w:r w:rsidR="0080739E">
        <w:rPr>
          <w:lang w:eastAsia="en-AU"/>
        </w:rPr>
        <w:t xml:space="preserve"> session on gender awareness and inclusion during the Project Design</w:t>
      </w:r>
      <w:r w:rsidR="00C97EAC">
        <w:rPr>
          <w:lang w:eastAsia="en-AU"/>
        </w:rPr>
        <w:t xml:space="preserve"> and Partnership</w:t>
      </w:r>
      <w:r w:rsidR="0080739E">
        <w:rPr>
          <w:lang w:eastAsia="en-AU"/>
        </w:rPr>
        <w:t xml:space="preserve"> Workshop</w:t>
      </w:r>
    </w:p>
    <w:p w:rsidR="0080739E" w:rsidRDefault="00B54353" w:rsidP="008C14ED">
      <w:pPr>
        <w:pStyle w:val="ListParagraph"/>
        <w:numPr>
          <w:ilvl w:val="1"/>
          <w:numId w:val="27"/>
        </w:numPr>
        <w:rPr>
          <w:lang w:eastAsia="en-AU"/>
        </w:rPr>
      </w:pPr>
      <w:r>
        <w:rPr>
          <w:lang w:eastAsia="en-AU"/>
        </w:rPr>
        <w:t>s</w:t>
      </w:r>
      <w:r w:rsidR="0080739E">
        <w:rPr>
          <w:lang w:eastAsia="en-AU"/>
        </w:rPr>
        <w:t>upport from the TRG during the project design process</w:t>
      </w:r>
    </w:p>
    <w:p w:rsidR="0080739E" w:rsidRDefault="00B54353" w:rsidP="008C14ED">
      <w:pPr>
        <w:pStyle w:val="ListParagraph"/>
        <w:numPr>
          <w:ilvl w:val="1"/>
          <w:numId w:val="27"/>
        </w:numPr>
        <w:rPr>
          <w:lang w:eastAsia="en-AU"/>
        </w:rPr>
      </w:pPr>
      <w:r>
        <w:rPr>
          <w:lang w:eastAsia="en-AU"/>
        </w:rPr>
        <w:t>s</w:t>
      </w:r>
      <w:r w:rsidR="0080739E">
        <w:rPr>
          <w:lang w:eastAsia="en-AU"/>
        </w:rPr>
        <w:t xml:space="preserve">ix-monthly </w:t>
      </w:r>
      <w:r w:rsidR="00C97EAC">
        <w:rPr>
          <w:lang w:eastAsia="en-AU"/>
        </w:rPr>
        <w:t>reporting</w:t>
      </w:r>
    </w:p>
    <w:p w:rsidR="0080739E" w:rsidRDefault="0080739E" w:rsidP="008C14ED">
      <w:pPr>
        <w:pStyle w:val="ListParagraph"/>
        <w:numPr>
          <w:ilvl w:val="1"/>
          <w:numId w:val="27"/>
        </w:numPr>
        <w:rPr>
          <w:lang w:eastAsia="en-AU"/>
        </w:rPr>
      </w:pPr>
      <w:r>
        <w:rPr>
          <w:lang w:eastAsia="en-AU"/>
        </w:rPr>
        <w:t>Mid-Term Review</w:t>
      </w:r>
    </w:p>
    <w:p w:rsidR="0080739E" w:rsidRDefault="0080739E" w:rsidP="008C14ED">
      <w:pPr>
        <w:pStyle w:val="ListParagraph"/>
        <w:numPr>
          <w:ilvl w:val="1"/>
          <w:numId w:val="27"/>
        </w:numPr>
        <w:rPr>
          <w:lang w:eastAsia="en-AU"/>
        </w:rPr>
      </w:pPr>
      <w:r>
        <w:rPr>
          <w:lang w:eastAsia="en-AU"/>
        </w:rPr>
        <w:t>Annual Reflections, where gender will be integrated into the topics which form the annual themes.</w:t>
      </w:r>
    </w:p>
    <w:p w:rsidR="0080739E" w:rsidRDefault="0080739E" w:rsidP="008C14ED">
      <w:pPr>
        <w:pStyle w:val="ListParagraph"/>
        <w:numPr>
          <w:ilvl w:val="0"/>
          <w:numId w:val="14"/>
        </w:numPr>
        <w:rPr>
          <w:lang w:eastAsia="en-AU"/>
        </w:rPr>
      </w:pPr>
      <w:r>
        <w:rPr>
          <w:lang w:eastAsia="en-AU"/>
        </w:rPr>
        <w:t>A high level SGC made up of well-informed project partner representatives will provide leadership and oversight and be involved in both quality a</w:t>
      </w:r>
      <w:r w:rsidR="00870630">
        <w:rPr>
          <w:lang w:eastAsia="en-AU"/>
        </w:rPr>
        <w:t>ssurance and management of risk.</w:t>
      </w:r>
    </w:p>
    <w:p w:rsidR="0080739E" w:rsidRPr="00944027" w:rsidRDefault="0080739E" w:rsidP="008C14ED">
      <w:pPr>
        <w:pStyle w:val="ListParagraph"/>
        <w:numPr>
          <w:ilvl w:val="0"/>
          <w:numId w:val="14"/>
        </w:numPr>
        <w:rPr>
          <w:lang w:eastAsia="en-AU"/>
        </w:rPr>
      </w:pPr>
      <w:r>
        <w:rPr>
          <w:lang w:eastAsia="en-AU"/>
        </w:rPr>
        <w:t xml:space="preserve">A thorough management system where the terms of reference for the </w:t>
      </w:r>
      <w:r w:rsidR="00C97EAC">
        <w:rPr>
          <w:lang w:eastAsia="en-AU"/>
        </w:rPr>
        <w:t>Scheme Manager</w:t>
      </w:r>
      <w:r>
        <w:rPr>
          <w:lang w:eastAsia="en-AU"/>
        </w:rPr>
        <w:t xml:space="preserve"> position call for a highly experienced candidate</w:t>
      </w:r>
      <w:r w:rsidR="00870630">
        <w:rPr>
          <w:lang w:eastAsia="en-AU"/>
        </w:rPr>
        <w:t>.</w:t>
      </w:r>
    </w:p>
    <w:p w:rsidR="0080739E" w:rsidRDefault="0080739E" w:rsidP="008C14ED">
      <w:pPr>
        <w:pStyle w:val="ListParagraph"/>
        <w:numPr>
          <w:ilvl w:val="0"/>
          <w:numId w:val="14"/>
        </w:numPr>
        <w:rPr>
          <w:lang w:eastAsia="en-AU"/>
        </w:rPr>
      </w:pPr>
      <w:r>
        <w:rPr>
          <w:lang w:eastAsia="en-AU"/>
        </w:rPr>
        <w:lastRenderedPageBreak/>
        <w:t xml:space="preserve">The Project design process will be supported by the </w:t>
      </w:r>
      <w:r w:rsidR="00C97EAC">
        <w:rPr>
          <w:lang w:eastAsia="en-AU"/>
        </w:rPr>
        <w:t>Scheme Manager</w:t>
      </w:r>
      <w:r>
        <w:rPr>
          <w:lang w:eastAsia="en-AU"/>
        </w:rPr>
        <w:t xml:space="preserve"> and TRG in a collegial manner in order to pr</w:t>
      </w:r>
      <w:r w:rsidR="00870630">
        <w:rPr>
          <w:lang w:eastAsia="en-AU"/>
        </w:rPr>
        <w:t>oduce the best possible designs.</w:t>
      </w:r>
    </w:p>
    <w:p w:rsidR="0080739E" w:rsidRDefault="0080739E" w:rsidP="008C14ED">
      <w:pPr>
        <w:pStyle w:val="ListParagraph"/>
        <w:numPr>
          <w:ilvl w:val="0"/>
          <w:numId w:val="14"/>
        </w:numPr>
        <w:rPr>
          <w:lang w:eastAsia="en-AU"/>
        </w:rPr>
      </w:pPr>
      <w:r>
        <w:rPr>
          <w:lang w:eastAsia="en-AU"/>
        </w:rPr>
        <w:t>Each NGO project will have its own quality assuranc</w:t>
      </w:r>
      <w:r w:rsidR="00870630">
        <w:rPr>
          <w:lang w:eastAsia="en-AU"/>
        </w:rPr>
        <w:t>e systems built into the design.</w:t>
      </w:r>
    </w:p>
    <w:p w:rsidR="0080739E" w:rsidRDefault="0080739E" w:rsidP="008C14ED">
      <w:pPr>
        <w:pStyle w:val="ListParagraph"/>
        <w:numPr>
          <w:ilvl w:val="0"/>
          <w:numId w:val="14"/>
        </w:numPr>
        <w:rPr>
          <w:lang w:eastAsia="en-AU"/>
        </w:rPr>
      </w:pPr>
      <w:r>
        <w:rPr>
          <w:lang w:eastAsia="en-AU"/>
        </w:rPr>
        <w:t>Thorough and regular M&amp;E at Project and Program levels will provide ongoing monitoring of the quality of program delivery.</w:t>
      </w:r>
    </w:p>
    <w:p w:rsidR="0080739E" w:rsidRDefault="0080739E" w:rsidP="0080739E">
      <w:pPr>
        <w:pStyle w:val="Heading2"/>
        <w:numPr>
          <w:ilvl w:val="1"/>
          <w:numId w:val="1"/>
        </w:numPr>
        <w:rPr>
          <w:lang w:eastAsia="en-AU"/>
        </w:rPr>
      </w:pPr>
      <w:bookmarkStart w:id="48" w:name="_Toc353974461"/>
      <w:r>
        <w:rPr>
          <w:lang w:eastAsia="en-AU"/>
        </w:rPr>
        <w:t>Reporting</w:t>
      </w:r>
      <w:bookmarkEnd w:id="48"/>
    </w:p>
    <w:p w:rsidR="0080739E" w:rsidRDefault="0080739E" w:rsidP="0080739E">
      <w:pPr>
        <w:ind w:left="720"/>
        <w:rPr>
          <w:lang w:eastAsia="en-AU"/>
        </w:rPr>
      </w:pPr>
    </w:p>
    <w:p w:rsidR="002D3DDF" w:rsidRDefault="002D3DDF" w:rsidP="002D3DDF">
      <w:pPr>
        <w:rPr>
          <w:lang w:eastAsia="en-AU"/>
        </w:rPr>
      </w:pPr>
      <w:r>
        <w:rPr>
          <w:lang w:eastAsia="en-AU"/>
        </w:rPr>
        <w:t xml:space="preserve">Reporting has been captured in the M&amp;E Framework and in the Work Plan. NGOs will produce six-monthly Reports using a standard template to be developed by the </w:t>
      </w:r>
      <w:r w:rsidR="00C97EAC">
        <w:rPr>
          <w:lang w:eastAsia="en-AU"/>
        </w:rPr>
        <w:t>Scheme Manager</w:t>
      </w:r>
      <w:r>
        <w:rPr>
          <w:lang w:eastAsia="en-AU"/>
        </w:rPr>
        <w:t xml:space="preserve">. These will be submitted to the </w:t>
      </w:r>
      <w:r w:rsidR="00C97EAC">
        <w:rPr>
          <w:lang w:eastAsia="en-AU"/>
        </w:rPr>
        <w:t>Scheme Manager</w:t>
      </w:r>
      <w:r>
        <w:rPr>
          <w:lang w:eastAsia="en-AU"/>
        </w:rPr>
        <w:t xml:space="preserve">, one month before Program level reporting is due. The </w:t>
      </w:r>
      <w:r w:rsidR="00C97EAC">
        <w:rPr>
          <w:lang w:eastAsia="en-AU"/>
        </w:rPr>
        <w:t xml:space="preserve">Scheme Manager </w:t>
      </w:r>
      <w:proofErr w:type="gramStart"/>
      <w:r>
        <w:rPr>
          <w:lang w:eastAsia="en-AU"/>
        </w:rPr>
        <w:t>will</w:t>
      </w:r>
      <w:proofErr w:type="gramEnd"/>
      <w:r>
        <w:rPr>
          <w:lang w:eastAsia="en-AU"/>
        </w:rPr>
        <w:t xml:space="preserve"> quality check the narrative and financial reporting before forwarding Snapshot Reports to AusAID. Information in the Snapshot Reports will be used to develop Program level reports, most notably the Annual Report to be discussed during the Annual Reflection, and finalised immediately afterwards. </w:t>
      </w:r>
    </w:p>
    <w:p w:rsidR="0080739E" w:rsidRDefault="0080739E" w:rsidP="0080739E">
      <w:pPr>
        <w:rPr>
          <w:lang w:eastAsia="en-AU"/>
        </w:rPr>
      </w:pPr>
    </w:p>
    <w:p w:rsidR="0080739E" w:rsidRDefault="0080739E" w:rsidP="0080739E">
      <w:pPr>
        <w:rPr>
          <w:lang w:eastAsia="en-AU"/>
        </w:rPr>
      </w:pPr>
      <w:r>
        <w:rPr>
          <w:lang w:eastAsia="en-AU"/>
        </w:rPr>
        <w:t>Financial statements will be prepared and</w:t>
      </w:r>
      <w:r w:rsidR="002D3DDF">
        <w:rPr>
          <w:lang w:eastAsia="en-AU"/>
        </w:rPr>
        <w:t xml:space="preserve"> submitted to AusAID annually</w:t>
      </w:r>
      <w:r>
        <w:rPr>
          <w:lang w:eastAsia="en-AU"/>
        </w:rPr>
        <w:t>. Financial reporting will include expenditure against bu</w:t>
      </w:r>
      <w:r w:rsidR="002D3DDF">
        <w:rPr>
          <w:lang w:eastAsia="en-AU"/>
        </w:rPr>
        <w:t>dget, acquittal of grant funds a</w:t>
      </w:r>
      <w:r>
        <w:rPr>
          <w:lang w:eastAsia="en-AU"/>
        </w:rPr>
        <w:t>nd bank account reconciliation.</w:t>
      </w:r>
    </w:p>
    <w:p w:rsidR="0080739E" w:rsidRDefault="0080739E" w:rsidP="0080739E">
      <w:pPr>
        <w:rPr>
          <w:lang w:eastAsia="en-AU"/>
        </w:rPr>
      </w:pPr>
    </w:p>
    <w:p w:rsidR="0080739E" w:rsidRDefault="0080739E" w:rsidP="0080739E">
      <w:pPr>
        <w:rPr>
          <w:lang w:eastAsia="en-AU"/>
        </w:rPr>
      </w:pPr>
      <w:r>
        <w:rPr>
          <w:lang w:eastAsia="en-AU"/>
        </w:rPr>
        <w:t xml:space="preserve">The </w:t>
      </w:r>
      <w:r w:rsidR="00C97EAC">
        <w:rPr>
          <w:lang w:eastAsia="en-AU"/>
        </w:rPr>
        <w:t>Scheme Manager</w:t>
      </w:r>
      <w:r>
        <w:rPr>
          <w:lang w:eastAsia="en-AU"/>
        </w:rPr>
        <w:t xml:space="preserve"> and TRG will prepare a draft Completion Report for discussion at the final Annual Reflection. </w:t>
      </w:r>
    </w:p>
    <w:p w:rsidR="00A01022" w:rsidRDefault="00A01022" w:rsidP="0080739E">
      <w:pPr>
        <w:rPr>
          <w:lang w:eastAsia="en-AU"/>
        </w:rPr>
      </w:pPr>
    </w:p>
    <w:p w:rsidR="0080739E" w:rsidRDefault="0080739E" w:rsidP="0080739E">
      <w:pPr>
        <w:rPr>
          <w:lang w:eastAsia="en-AU"/>
        </w:rPr>
      </w:pPr>
      <w:r>
        <w:rPr>
          <w:lang w:eastAsia="en-AU"/>
        </w:rPr>
        <w:t xml:space="preserve">In addition to reporting prepared for the SGC and AusAID, NGOs and the </w:t>
      </w:r>
      <w:r w:rsidR="00620915">
        <w:rPr>
          <w:lang w:eastAsia="en-AU"/>
        </w:rPr>
        <w:t>Scheme Manger</w:t>
      </w:r>
      <w:r>
        <w:rPr>
          <w:lang w:eastAsia="en-AU"/>
        </w:rPr>
        <w:t xml:space="preserve"> should develop reports to the Afghan and Australian communities on the achievements of AACRS. There could be a trilingual brochure / pictorial record aimed at the public (in English, Dari and Pashto), and a Scheme Summary in English for the informed public.</w:t>
      </w:r>
    </w:p>
    <w:p w:rsidR="0080739E" w:rsidRDefault="0080739E" w:rsidP="0080739E">
      <w:pPr>
        <w:pStyle w:val="Heading2"/>
        <w:numPr>
          <w:ilvl w:val="1"/>
          <w:numId w:val="1"/>
        </w:numPr>
        <w:rPr>
          <w:lang w:eastAsia="en-AU"/>
        </w:rPr>
      </w:pPr>
      <w:bookmarkStart w:id="49" w:name="_Toc353974462"/>
      <w:r>
        <w:rPr>
          <w:lang w:eastAsia="en-AU"/>
        </w:rPr>
        <w:t>M&amp;E Roles and Responsibilities</w:t>
      </w:r>
      <w:bookmarkEnd w:id="49"/>
    </w:p>
    <w:p w:rsidR="0080739E" w:rsidRDefault="0080739E" w:rsidP="00D65094">
      <w:pPr>
        <w:rPr>
          <w:lang w:eastAsia="en-AU"/>
        </w:rPr>
      </w:pPr>
    </w:p>
    <w:p w:rsidR="0080739E" w:rsidRPr="00A33857" w:rsidRDefault="0080739E" w:rsidP="00D65094">
      <w:pPr>
        <w:rPr>
          <w:b/>
          <w:bCs/>
          <w:lang w:eastAsia="en-AU"/>
        </w:rPr>
      </w:pPr>
      <w:r w:rsidRPr="00A33857">
        <w:rPr>
          <w:b/>
          <w:bCs/>
          <w:lang w:eastAsia="en-AU"/>
        </w:rPr>
        <w:t>Undertaking the M&amp;E</w:t>
      </w:r>
    </w:p>
    <w:p w:rsidR="0080739E" w:rsidRDefault="0080739E" w:rsidP="00D65094">
      <w:pPr>
        <w:rPr>
          <w:lang w:eastAsia="en-AU"/>
        </w:rPr>
      </w:pPr>
      <w:r>
        <w:rPr>
          <w:lang w:eastAsia="en-AU"/>
        </w:rPr>
        <w:t>The M&amp;E Framework identifies the lead actors for each of the M&amp;E activities. Project designers will need to factor in resources (people and funds) to conduct regular project M&amp;E and reporting. If required, the TRG will be able to support NGOs when they are designing the M&amp;E and making resource decisions. Once projects are designed, it will be the responsibility of the NGOs to produce timely and comprehensive reports.</w:t>
      </w:r>
    </w:p>
    <w:p w:rsidR="0080739E" w:rsidRDefault="0080739E" w:rsidP="00D65094">
      <w:pPr>
        <w:rPr>
          <w:lang w:eastAsia="en-AU"/>
        </w:rPr>
      </w:pPr>
    </w:p>
    <w:p w:rsidR="0080739E" w:rsidRDefault="0080739E" w:rsidP="00D65094">
      <w:pPr>
        <w:rPr>
          <w:lang w:eastAsia="en-AU"/>
        </w:rPr>
      </w:pPr>
      <w:r>
        <w:rPr>
          <w:lang w:eastAsia="en-AU"/>
        </w:rPr>
        <w:t xml:space="preserve">The </w:t>
      </w:r>
      <w:r w:rsidR="00C97EAC">
        <w:rPr>
          <w:lang w:eastAsia="en-AU"/>
        </w:rPr>
        <w:t>Scheme Manager</w:t>
      </w:r>
      <w:r>
        <w:rPr>
          <w:lang w:eastAsia="en-AU"/>
        </w:rPr>
        <w:t xml:space="preserve"> will carry the primary M&amp;E role at program level, but it is expected to be too much for one person to be effective in managing the full M&amp;E portfolio. The </w:t>
      </w:r>
      <w:r w:rsidR="00C97EAC">
        <w:rPr>
          <w:lang w:eastAsia="en-AU"/>
        </w:rPr>
        <w:t>Scheme Manger</w:t>
      </w:r>
      <w:r>
        <w:rPr>
          <w:lang w:eastAsia="en-AU"/>
        </w:rPr>
        <w:t xml:space="preserve"> will be able to source M&amp;E services from the TRG. Requests for such support should be approved by the SGC. In particular, there may be a need to conduct research regarding the themes to be discussed at successive Annual Reflections</w:t>
      </w:r>
    </w:p>
    <w:p w:rsidR="0080739E" w:rsidRDefault="0080739E" w:rsidP="00D65094">
      <w:pPr>
        <w:rPr>
          <w:lang w:eastAsia="en-AU"/>
        </w:rPr>
      </w:pPr>
    </w:p>
    <w:p w:rsidR="0080739E" w:rsidRDefault="0080739E" w:rsidP="00D65094">
      <w:pPr>
        <w:rPr>
          <w:lang w:eastAsia="en-AU"/>
        </w:rPr>
      </w:pPr>
      <w:r w:rsidRPr="00077F1C">
        <w:rPr>
          <w:lang w:eastAsia="en-AU"/>
        </w:rPr>
        <w:t xml:space="preserve">The </w:t>
      </w:r>
      <w:r w:rsidR="00C97EAC">
        <w:rPr>
          <w:lang w:eastAsia="en-AU"/>
        </w:rPr>
        <w:t>Scheme Manger</w:t>
      </w:r>
      <w:r w:rsidRPr="00077F1C">
        <w:rPr>
          <w:lang w:eastAsia="en-AU"/>
        </w:rPr>
        <w:t xml:space="preserve"> will </w:t>
      </w:r>
      <w:r>
        <w:rPr>
          <w:lang w:eastAsia="en-AU"/>
        </w:rPr>
        <w:t xml:space="preserve">engage regularly with the AusAID </w:t>
      </w:r>
      <w:r w:rsidR="007F78BE">
        <w:rPr>
          <w:lang w:eastAsia="en-AU"/>
        </w:rPr>
        <w:t>Program</w:t>
      </w:r>
      <w:r>
        <w:rPr>
          <w:lang w:eastAsia="en-AU"/>
        </w:rPr>
        <w:t xml:space="preserve"> Manager so that together they can analyse</w:t>
      </w:r>
      <w:r w:rsidRPr="00077F1C">
        <w:rPr>
          <w:lang w:eastAsia="en-AU"/>
        </w:rPr>
        <w:t xml:space="preserve"> how </w:t>
      </w:r>
      <w:r>
        <w:rPr>
          <w:lang w:eastAsia="en-AU"/>
        </w:rPr>
        <w:t>AACRS</w:t>
      </w:r>
      <w:r w:rsidRPr="00077F1C">
        <w:rPr>
          <w:lang w:eastAsia="en-AU"/>
        </w:rPr>
        <w:t xml:space="preserve"> </w:t>
      </w:r>
      <w:r>
        <w:rPr>
          <w:lang w:eastAsia="en-AU"/>
        </w:rPr>
        <w:t>is</w:t>
      </w:r>
      <w:r w:rsidRPr="00077F1C">
        <w:rPr>
          <w:lang w:eastAsia="en-AU"/>
        </w:rPr>
        <w:t xml:space="preserve"> meeting AusAID</w:t>
      </w:r>
      <w:r>
        <w:rPr>
          <w:lang w:eastAsia="en-AU"/>
        </w:rPr>
        <w:t xml:space="preserve">’s expectations and achieving results. </w:t>
      </w:r>
    </w:p>
    <w:p w:rsidR="007F78BE" w:rsidRDefault="007F78BE" w:rsidP="00D65094">
      <w:pPr>
        <w:rPr>
          <w:lang w:eastAsia="en-AU"/>
        </w:rPr>
      </w:pPr>
    </w:p>
    <w:p w:rsidR="007F78BE" w:rsidRDefault="007F78BE" w:rsidP="00D65094">
      <w:pPr>
        <w:rPr>
          <w:lang w:eastAsia="en-AU"/>
        </w:rPr>
      </w:pPr>
    </w:p>
    <w:p w:rsidR="000670A5" w:rsidRDefault="000670A5" w:rsidP="00D65094">
      <w:pPr>
        <w:rPr>
          <w:lang w:eastAsia="en-AU"/>
        </w:rPr>
      </w:pPr>
    </w:p>
    <w:p w:rsidR="0080739E" w:rsidRDefault="0080739E" w:rsidP="00D65094">
      <w:pPr>
        <w:rPr>
          <w:b/>
          <w:bCs/>
          <w:lang w:eastAsia="en-AU"/>
        </w:rPr>
      </w:pPr>
      <w:r w:rsidRPr="00A33857">
        <w:rPr>
          <w:b/>
          <w:bCs/>
          <w:lang w:eastAsia="en-AU"/>
        </w:rPr>
        <w:lastRenderedPageBreak/>
        <w:t>Utilising M&amp;E Findings</w:t>
      </w:r>
    </w:p>
    <w:p w:rsidR="0080739E" w:rsidRDefault="0080739E" w:rsidP="00D65094">
      <w:pPr>
        <w:rPr>
          <w:lang w:eastAsia="en-AU"/>
        </w:rPr>
      </w:pPr>
      <w:r>
        <w:rPr>
          <w:lang w:eastAsia="en-AU"/>
        </w:rPr>
        <w:t xml:space="preserve">There is also a responsibility to use the M&amp;E findings. Findings and recommendations which can improve AACRS processes and outcomes need to be adopted by Project and </w:t>
      </w:r>
      <w:r w:rsidR="00424900">
        <w:rPr>
          <w:lang w:eastAsia="en-AU"/>
        </w:rPr>
        <w:t>Scheme Manager</w:t>
      </w:r>
      <w:r>
        <w:rPr>
          <w:lang w:eastAsia="en-AU"/>
        </w:rPr>
        <w:t>s. Summative information about what has actually happened needs to be captured in ways that are useful for Governments, NGOs, project beneficiaries and the media. Creativity will be encouraged so that findings are used at local levels in Afghanistan, for example through story telling in communities being exposed to new ideas or technologies through a project.</w:t>
      </w:r>
    </w:p>
    <w:p w:rsidR="0080739E" w:rsidRPr="00855136" w:rsidRDefault="0080739E" w:rsidP="0080739E">
      <w:pPr>
        <w:pStyle w:val="Heading1"/>
        <w:numPr>
          <w:ilvl w:val="0"/>
          <w:numId w:val="1"/>
        </w:numPr>
      </w:pPr>
      <w:bookmarkStart w:id="50" w:name="_Toc353974463"/>
      <w:r w:rsidRPr="00855136">
        <w:t>Risk Management</w:t>
      </w:r>
      <w:r w:rsidR="00314A8D">
        <w:t xml:space="preserve"> and Security</w:t>
      </w:r>
      <w:bookmarkEnd w:id="50"/>
    </w:p>
    <w:p w:rsidR="0080739E" w:rsidRDefault="0080739E" w:rsidP="0080739E">
      <w:pPr>
        <w:rPr>
          <w:lang w:eastAsia="en-AU"/>
        </w:rPr>
      </w:pPr>
    </w:p>
    <w:p w:rsidR="00B54353" w:rsidRDefault="00C97EAC" w:rsidP="00B54353">
      <w:r>
        <w:t xml:space="preserve">The </w:t>
      </w:r>
      <w:r w:rsidR="00B54353">
        <w:t xml:space="preserve">AACRS will operate in a complex environment requiring professional and robust management and documentation of risk, and appropriate security planning. </w:t>
      </w:r>
    </w:p>
    <w:p w:rsidR="00B54353" w:rsidRDefault="00B54353" w:rsidP="00B54353">
      <w:pPr>
        <w:ind w:left="720"/>
        <w:rPr>
          <w:lang w:eastAsia="en-US"/>
        </w:rPr>
      </w:pPr>
    </w:p>
    <w:p w:rsidR="00B54353" w:rsidRDefault="00B54353" w:rsidP="00B54353">
      <w:pPr>
        <w:rPr>
          <w:b/>
          <w:bCs/>
        </w:rPr>
      </w:pPr>
      <w:r>
        <w:rPr>
          <w:b/>
          <w:bCs/>
        </w:rPr>
        <w:t>Risk Management</w:t>
      </w:r>
    </w:p>
    <w:p w:rsidR="00B54353" w:rsidRDefault="00B54353" w:rsidP="00B54353">
      <w:r>
        <w:t xml:space="preserve">Risk management for the AACRS will align with </w:t>
      </w:r>
      <w:r>
        <w:rPr>
          <w:i/>
          <w:iCs/>
        </w:rPr>
        <w:t>AusAID’s Risk Management Framework and Policy</w:t>
      </w:r>
      <w:r>
        <w:t xml:space="preserve">. This aims to ensure that AusAID is able to identify risks early and make sound decisions on how to manage these risks, rather than aiming to eliminate risk altogether. Risk management will require the flexibility to adapt to changing circumstances, an effective partnership approach, and close collaboration at many levels, both in Australia and in Afghanistan. </w:t>
      </w:r>
    </w:p>
    <w:p w:rsidR="00B54353" w:rsidRDefault="00B54353" w:rsidP="00B54353">
      <w:pPr>
        <w:ind w:left="720"/>
      </w:pPr>
      <w:r>
        <w:t>  </w:t>
      </w:r>
    </w:p>
    <w:p w:rsidR="00B54353" w:rsidRPr="00B54353" w:rsidRDefault="00BA0ADD" w:rsidP="006439B2">
      <w:r w:rsidRPr="00BA0ADD">
        <w:t>AusAID will provide</w:t>
      </w:r>
      <w:r w:rsidR="00B54353">
        <w:t xml:space="preserve"> </w:t>
      </w:r>
      <w:r>
        <w:t>a</w:t>
      </w:r>
      <w:r w:rsidR="00B54353">
        <w:t xml:space="preserve"> risk register for the AACRS</w:t>
      </w:r>
      <w:r>
        <w:t xml:space="preserve"> detailing</w:t>
      </w:r>
      <w:r w:rsidR="00B54353">
        <w:t xml:space="preserve"> scheme risks, their consequences and likelihood. Both AusAID and the </w:t>
      </w:r>
      <w:r w:rsidR="00424900">
        <w:t>Scheme Manager</w:t>
      </w:r>
      <w:r w:rsidR="00B54353">
        <w:t xml:space="preserve"> will have responsibility for maintaining the risk register throughout the life of the AACRS. The </w:t>
      </w:r>
      <w:r w:rsidR="00424900">
        <w:t>Scheme Manager</w:t>
      </w:r>
      <w:r w:rsidR="00B54353">
        <w:t xml:space="preserve"> will report against the r</w:t>
      </w:r>
      <w:r w:rsidR="00241F6C">
        <w:t xml:space="preserve">egister quarterly through DAFA. </w:t>
      </w:r>
    </w:p>
    <w:p w:rsidR="00B54353" w:rsidRDefault="00B54353" w:rsidP="00B54353">
      <w:pPr>
        <w:ind w:left="720"/>
        <w:rPr>
          <w:rFonts w:ascii="Calibri" w:hAnsi="Calibri" w:cs="Calibri"/>
          <w:sz w:val="22"/>
          <w:szCs w:val="22"/>
          <w:lang w:eastAsia="en-US"/>
        </w:rPr>
      </w:pPr>
    </w:p>
    <w:p w:rsidR="00B54353" w:rsidRDefault="00B54353" w:rsidP="00B54353">
      <w:r>
        <w:t xml:space="preserve">During the </w:t>
      </w:r>
      <w:r w:rsidR="001F0FB2">
        <w:t xml:space="preserve">Detailed </w:t>
      </w:r>
      <w:r>
        <w:t xml:space="preserve">Design Phase, each NGO will develop their own detailed risk register using AusAID’s risk templates. AusAID’s Risk Management Section will review these before the designs are agreed through the </w:t>
      </w:r>
      <w:r>
        <w:rPr>
          <w:lang w:eastAsia="en-AU"/>
        </w:rPr>
        <w:t xml:space="preserve">design approval processes (set out in </w:t>
      </w:r>
      <w:r>
        <w:t xml:space="preserve">Section 7.3). NGOs will report against their registers to the </w:t>
      </w:r>
      <w:r w:rsidR="00424900">
        <w:t>Scheme Manager</w:t>
      </w:r>
      <w:r>
        <w:t xml:space="preserve"> through their regular reporting. All partners will ensure timely communication and escalation of risks on high and emerging risk issues to the </w:t>
      </w:r>
      <w:r w:rsidR="00424900">
        <w:t>Scheme Manager</w:t>
      </w:r>
      <w:r>
        <w:t xml:space="preserve"> and AusAID.</w:t>
      </w:r>
    </w:p>
    <w:p w:rsidR="00B54353" w:rsidRDefault="00B54353" w:rsidP="00B54353">
      <w:pPr>
        <w:ind w:left="720"/>
      </w:pPr>
    </w:p>
    <w:p w:rsidR="00B54353" w:rsidRDefault="00B54353" w:rsidP="00B54353">
      <w:pPr>
        <w:rPr>
          <w:b/>
          <w:bCs/>
        </w:rPr>
      </w:pPr>
      <w:r>
        <w:rPr>
          <w:b/>
          <w:bCs/>
        </w:rPr>
        <w:t>Security</w:t>
      </w:r>
    </w:p>
    <w:p w:rsidR="00B54353" w:rsidRDefault="00B54353" w:rsidP="00B54353">
      <w:r>
        <w:t xml:space="preserve">AACRS will operate in a fragile and conflict-affected environment, and all partners will need to </w:t>
      </w:r>
      <w:r w:rsidRPr="00B54353">
        <w:t>take all ‘reasonably practicable’ measures to mitigate security threats/risks</w:t>
      </w:r>
      <w:r>
        <w:t xml:space="preserve">, in line with a ‘do no harm approach’. NGOs will be required to provide detail on how they will manage the security situation as part of the </w:t>
      </w:r>
      <w:r w:rsidR="007F78BE">
        <w:t>Request for Submissions process</w:t>
      </w:r>
      <w:r>
        <w:t>.</w:t>
      </w:r>
    </w:p>
    <w:p w:rsidR="00B54353" w:rsidRDefault="00B54353" w:rsidP="00B54353">
      <w:pPr>
        <w:autoSpaceDE w:val="0"/>
        <w:autoSpaceDN w:val="0"/>
        <w:ind w:left="720"/>
      </w:pPr>
    </w:p>
    <w:p w:rsidR="00B54353" w:rsidRDefault="00B54353" w:rsidP="00B54353">
      <w:r>
        <w:t>Recognising the close engagement NGOs may have with Afghan communities (particularly through relationship with CSOs)</w:t>
      </w:r>
      <w:proofErr w:type="gramStart"/>
      <w:r>
        <w:t>,</w:t>
      </w:r>
      <w:proofErr w:type="gramEnd"/>
      <w:r>
        <w:t xml:space="preserve"> security planning may include focusing on local recruitment and strong community engagement. This may enhances a project’s local acceptance and situational awareness, as well as provide continuity for initiatives if the political or security situation limits access to an area.</w:t>
      </w:r>
    </w:p>
    <w:p w:rsidR="00B54353" w:rsidRDefault="00B54353" w:rsidP="00B54353">
      <w:pPr>
        <w:ind w:left="720"/>
      </w:pPr>
    </w:p>
    <w:p w:rsidR="00B54353" w:rsidRDefault="00B54353" w:rsidP="00B54353">
      <w:r>
        <w:t>As part of the</w:t>
      </w:r>
      <w:r w:rsidR="001F0FB2">
        <w:t xml:space="preserve"> Detailed</w:t>
      </w:r>
      <w:r>
        <w:t xml:space="preserve"> Design Phase, each NGO will be required to develop a project-specific Threat and Risk Assessment, and a detailed Security Plan. </w:t>
      </w:r>
      <w:r w:rsidR="00C97EAC">
        <w:t xml:space="preserve">These will be provided to AusAID for review as part of the design approval processes, and </w:t>
      </w:r>
      <w:r>
        <w:t xml:space="preserve">must be in accordance with </w:t>
      </w:r>
      <w:r>
        <w:lastRenderedPageBreak/>
        <w:t xml:space="preserve">the international risk management standard ISO31000 – 2009 Risk Management Principles and Guidelines. </w:t>
      </w:r>
    </w:p>
    <w:p w:rsidR="00A11C5F" w:rsidRPr="00314A8D" w:rsidRDefault="00A11C5F"/>
    <w:p w:rsidR="0080739E" w:rsidRPr="00855136" w:rsidRDefault="0080739E" w:rsidP="0080739E">
      <w:pPr>
        <w:pStyle w:val="Heading1"/>
        <w:numPr>
          <w:ilvl w:val="0"/>
          <w:numId w:val="1"/>
        </w:numPr>
      </w:pPr>
      <w:bookmarkStart w:id="51" w:name="_Toc353974464"/>
      <w:r w:rsidRPr="00855136">
        <w:t>Sustainability</w:t>
      </w:r>
      <w:bookmarkEnd w:id="51"/>
    </w:p>
    <w:p w:rsidR="00354559" w:rsidRDefault="00354559" w:rsidP="00354559">
      <w:pPr>
        <w:tabs>
          <w:tab w:val="left" w:pos="227"/>
        </w:tabs>
        <w:rPr>
          <w:rFonts w:cstheme="minorHAnsi"/>
        </w:rPr>
      </w:pPr>
    </w:p>
    <w:p w:rsidR="00354559" w:rsidRDefault="00354559" w:rsidP="00354559">
      <w:pPr>
        <w:tabs>
          <w:tab w:val="left" w:pos="227"/>
        </w:tabs>
        <w:rPr>
          <w:rFonts w:cstheme="minorHAnsi"/>
        </w:rPr>
      </w:pPr>
      <w:r w:rsidRPr="00F6603E">
        <w:rPr>
          <w:rFonts w:cstheme="minorHAnsi"/>
        </w:rPr>
        <w:t>Eac</w:t>
      </w:r>
      <w:r>
        <w:rPr>
          <w:rFonts w:cstheme="minorHAnsi"/>
        </w:rPr>
        <w:t>h</w:t>
      </w:r>
      <w:r w:rsidRPr="00F6603E">
        <w:rPr>
          <w:rFonts w:cstheme="minorHAnsi"/>
        </w:rPr>
        <w:t xml:space="preserve"> </w:t>
      </w:r>
      <w:r>
        <w:rPr>
          <w:rFonts w:cstheme="minorHAnsi"/>
        </w:rPr>
        <w:t xml:space="preserve">NGO </w:t>
      </w:r>
      <w:r w:rsidR="00561FA4">
        <w:rPr>
          <w:rFonts w:cstheme="minorHAnsi"/>
        </w:rPr>
        <w:t>must</w:t>
      </w:r>
      <w:r>
        <w:rPr>
          <w:rFonts w:cstheme="minorHAnsi"/>
        </w:rPr>
        <w:t xml:space="preserve"> develop an </w:t>
      </w:r>
      <w:r w:rsidRPr="00F6603E">
        <w:rPr>
          <w:rFonts w:cstheme="minorHAnsi"/>
          <w:i/>
        </w:rPr>
        <w:t>Exit Strategy and Sustainability Plan</w:t>
      </w:r>
      <w:r w:rsidR="002546F2">
        <w:rPr>
          <w:rFonts w:cstheme="minorHAnsi"/>
        </w:rPr>
        <w:t xml:space="preserve">. </w:t>
      </w:r>
      <w:r w:rsidRPr="00F6603E">
        <w:rPr>
          <w:rFonts w:cstheme="minorHAnsi"/>
        </w:rPr>
        <w:t>These will be updated as the project</w:t>
      </w:r>
      <w:r>
        <w:rPr>
          <w:rFonts w:cstheme="minorHAnsi"/>
        </w:rPr>
        <w:t>s proceed</w:t>
      </w:r>
      <w:r w:rsidRPr="00F6603E">
        <w:rPr>
          <w:rFonts w:cstheme="minorHAnsi"/>
        </w:rPr>
        <w:t xml:space="preserve">, </w:t>
      </w:r>
      <w:r>
        <w:rPr>
          <w:rFonts w:cstheme="minorHAnsi"/>
        </w:rPr>
        <w:t>but early development will ensure an early focus</w:t>
      </w:r>
      <w:r w:rsidRPr="00F6603E">
        <w:rPr>
          <w:rFonts w:cstheme="minorHAnsi"/>
        </w:rPr>
        <w:t xml:space="preserve"> on the legacy of the intervention.</w:t>
      </w:r>
    </w:p>
    <w:p w:rsidR="00354559" w:rsidRDefault="00354559" w:rsidP="0080739E"/>
    <w:p w:rsidR="0080739E" w:rsidRDefault="00D65094" w:rsidP="0080739E">
      <w:r>
        <w:t xml:space="preserve">A strong partnership model </w:t>
      </w:r>
      <w:r w:rsidR="0080739E">
        <w:t xml:space="preserve">is seen as a major contributor to sustainability of AACRS benefits. At project level, this includes </w:t>
      </w:r>
      <w:r w:rsidR="004B380C">
        <w:t xml:space="preserve">contributions to </w:t>
      </w:r>
      <w:r w:rsidR="0080739E">
        <w:t>capacity development of local CSO and NGO partners</w:t>
      </w:r>
      <w:r w:rsidR="004B380C">
        <w:t>, depending on the nature of the partnerships and the priorities of the local organisations</w:t>
      </w:r>
      <w:r w:rsidR="0080739E">
        <w:t xml:space="preserve">. </w:t>
      </w:r>
      <w:r w:rsidR="004B380C">
        <w:t>Capacity development has been widely defined in</w:t>
      </w:r>
      <w:r w:rsidR="00354559">
        <w:t xml:space="preserve"> the</w:t>
      </w:r>
      <w:r w:rsidR="004B380C">
        <w:t xml:space="preserve"> AACRS in recognition of the diversity of contexts and potential partner organi</w:t>
      </w:r>
      <w:r w:rsidR="00323CEA">
        <w:t>s</w:t>
      </w:r>
      <w:r w:rsidR="004B380C">
        <w:t>ations</w:t>
      </w:r>
      <w:r w:rsidR="00A4457B">
        <w:t xml:space="preserve">. </w:t>
      </w:r>
      <w:r w:rsidR="004B380C">
        <w:t>Contributions could be made towards organisational systems, structures and skills for example</w:t>
      </w:r>
      <w:r w:rsidR="00A4457B">
        <w:t xml:space="preserve">. </w:t>
      </w:r>
      <w:r w:rsidR="004B380C">
        <w:t xml:space="preserve">There may be scope for AACRS NGOs to contribute to on-the-job learning through joint planning, implementation and monitoring as well as more formal skills development through occasional training, if feasible. </w:t>
      </w:r>
    </w:p>
    <w:p w:rsidR="00401640" w:rsidRDefault="00401640" w:rsidP="0080739E"/>
    <w:p w:rsidR="0080739E" w:rsidRDefault="0080739E" w:rsidP="0080739E">
      <w:r>
        <w:t>From the project beneficiaries’ viewpoint, their participation in the AACRS activity should ideally lead to changes which have long-term benefits. Without knowing details of the actual projects it is difficult to speculate what these changes may be but it is expected that through capacity development and/or resource injection, Australian aid will improve the quality of their lives and their outlook for the future and give them the capacity to retain these benefits.</w:t>
      </w:r>
    </w:p>
    <w:p w:rsidR="0080739E" w:rsidRDefault="0080739E" w:rsidP="0080739E"/>
    <w:p w:rsidR="00112D78" w:rsidRDefault="0080739E">
      <w:r>
        <w:t xml:space="preserve">At program level, effective partnerships based on inter-personal relationships and trust are expected to lead to ongoing dialogue and mutual support between various actors who share the goal of improving the lives of Afghans. For example, the expanded knowledge base about rural Afghanistan generated through program M&amp;E could inform development of plans for future AusAID programming targeting the rural poor in Afghanistan. The enhanced working relationships between staff of the five NGOs may lead to other points of engagement or cooperation which benefit future development activities in Afghanistan or elsewhere. </w:t>
      </w:r>
    </w:p>
    <w:sectPr w:rsidR="00112D78" w:rsidSect="008609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55" w:rsidRDefault="00645C55" w:rsidP="0080739E">
      <w:r>
        <w:separator/>
      </w:r>
    </w:p>
  </w:endnote>
  <w:endnote w:type="continuationSeparator" w:id="0">
    <w:p w:rsidR="00645C55" w:rsidRDefault="00645C55" w:rsidP="0080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etaSerif-Book">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55" w:rsidRDefault="00645C55" w:rsidP="009175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645C55" w:rsidRDefault="00645C55" w:rsidP="009175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55" w:rsidRDefault="00645C55" w:rsidP="009175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645C55" w:rsidRDefault="00645C55" w:rsidP="009175A3">
    <w:pPr>
      <w:pStyle w:val="Footer"/>
      <w:ind w:right="360"/>
    </w:pPr>
    <w:proofErr w:type="gramStart"/>
    <w:r>
      <w:t>draft</w:t>
    </w:r>
    <w:proofErr w:type="gramEnd"/>
    <w:r>
      <w:t xml:space="preserve"> of </w:t>
    </w:r>
    <w:r w:rsidRPr="006B73CA">
      <w:t>18</w:t>
    </w:r>
    <w:r>
      <w:t xml:space="preserve"> July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55" w:rsidRDefault="00645C55" w:rsidP="009175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7B66">
      <w:rPr>
        <w:rStyle w:val="PageNumber"/>
        <w:noProof/>
      </w:rPr>
      <w:t>iv</w:t>
    </w:r>
    <w:r>
      <w:rPr>
        <w:rStyle w:val="PageNumber"/>
      </w:rPr>
      <w:fldChar w:fldCharType="end"/>
    </w:r>
  </w:p>
  <w:p w:rsidR="00645C55" w:rsidRPr="00F82192" w:rsidRDefault="00645C55" w:rsidP="009175A3">
    <w:pPr>
      <w:pStyle w:val="Footer"/>
      <w:ind w:right="360"/>
      <w:rPr>
        <w:rFonts w:ascii="Arial" w:hAnsi="Arial" w:cs="Arial"/>
        <w:sz w:val="18"/>
        <w:szCs w:val="18"/>
      </w:rPr>
    </w:pPr>
    <w:r>
      <w:rPr>
        <w:rFonts w:ascii="Arial" w:hAnsi="Arial" w:cs="Arial"/>
        <w:sz w:val="18"/>
        <w:szCs w:val="18"/>
      </w:rPr>
      <w:t>AACRS Design Document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55" w:rsidRDefault="00645C55" w:rsidP="009175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7B66">
      <w:rPr>
        <w:rStyle w:val="PageNumber"/>
        <w:noProof/>
      </w:rPr>
      <w:t>3</w:t>
    </w:r>
    <w:r>
      <w:rPr>
        <w:rStyle w:val="PageNumber"/>
      </w:rPr>
      <w:fldChar w:fldCharType="end"/>
    </w:r>
  </w:p>
  <w:p w:rsidR="00645C55" w:rsidRPr="00F82192" w:rsidRDefault="00645C55" w:rsidP="00E34CC4">
    <w:pPr>
      <w:pStyle w:val="Footer"/>
      <w:tabs>
        <w:tab w:val="clear" w:pos="4320"/>
        <w:tab w:val="clear" w:pos="8640"/>
        <w:tab w:val="right" w:pos="8666"/>
      </w:tabs>
      <w:ind w:right="360"/>
      <w:rPr>
        <w:rFonts w:ascii="Arial" w:hAnsi="Arial" w:cs="Arial"/>
        <w:sz w:val="18"/>
        <w:szCs w:val="18"/>
      </w:rPr>
    </w:pPr>
    <w:r>
      <w:rPr>
        <w:rFonts w:ascii="Arial" w:hAnsi="Arial" w:cs="Arial"/>
        <w:sz w:val="18"/>
        <w:szCs w:val="18"/>
      </w:rPr>
      <w:t>AACRS Design Document</w:t>
    </w:r>
    <w:r>
      <w:rPr>
        <w:rFonts w:ascii="Arial" w:hAnsi="Arial" w:cs="Arial"/>
        <w:sz w:val="18"/>
        <w:szCs w:val="18"/>
      </w:rPr>
      <w:tab/>
    </w:r>
  </w:p>
  <w:p w:rsidR="00645C55" w:rsidRDefault="00645C55" w:rsidP="009175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55" w:rsidRDefault="00645C55" w:rsidP="0080739E">
      <w:r>
        <w:separator/>
      </w:r>
    </w:p>
  </w:footnote>
  <w:footnote w:type="continuationSeparator" w:id="0">
    <w:p w:rsidR="00645C55" w:rsidRDefault="00645C55" w:rsidP="0080739E">
      <w:r>
        <w:continuationSeparator/>
      </w:r>
    </w:p>
  </w:footnote>
  <w:footnote w:id="1">
    <w:p w:rsidR="00645C55" w:rsidRPr="00C5052C" w:rsidRDefault="00645C55" w:rsidP="00352D4B">
      <w:pPr>
        <w:pStyle w:val="FootnoteText"/>
        <w:rPr>
          <w:rStyle w:val="FootnoteReference"/>
        </w:rPr>
      </w:pPr>
      <w:r>
        <w:rPr>
          <w:rStyle w:val="FootnoteReference"/>
        </w:rPr>
        <w:footnoteRef/>
      </w:r>
      <w:r w:rsidRPr="00C5052C">
        <w:rPr>
          <w:rStyle w:val="FootnoteReference"/>
        </w:rPr>
        <w:t xml:space="preserve"> </w:t>
      </w:r>
      <w:r w:rsidRPr="00C5052C">
        <w:rPr>
          <w:lang w:val="en-AU"/>
        </w:rPr>
        <w:t>Available at: www.ausaid.gov.au/publications/Pages/5621_9774_1073_3040_2380.aspx</w:t>
      </w:r>
    </w:p>
  </w:footnote>
  <w:footnote w:id="2">
    <w:p w:rsidR="00645C55" w:rsidRDefault="00645C55" w:rsidP="00352D4B">
      <w:pPr>
        <w:pStyle w:val="FootnoteText"/>
      </w:pPr>
      <w:r>
        <w:rPr>
          <w:rStyle w:val="FootnoteReference"/>
        </w:rPr>
        <w:footnoteRef/>
      </w:r>
      <w:r w:rsidRPr="00C5052C">
        <w:rPr>
          <w:rStyle w:val="FootnoteReference"/>
        </w:rPr>
        <w:t xml:space="preserve"> </w:t>
      </w:r>
      <w:r w:rsidRPr="00C5052C">
        <w:rPr>
          <w:lang w:val="en-AU"/>
        </w:rPr>
        <w:t>Available at: www.ausaid.gov.au/Publications/Pages/civil–society–engagement–framework.aspx</w:t>
      </w:r>
    </w:p>
  </w:footnote>
  <w:footnote w:id="3">
    <w:p w:rsidR="00645C55" w:rsidRPr="00C5052C" w:rsidRDefault="00645C55" w:rsidP="004E370E">
      <w:pPr>
        <w:pStyle w:val="FootnoteText"/>
        <w:rPr>
          <w:rStyle w:val="FootnoteReference"/>
        </w:rPr>
      </w:pPr>
      <w:r>
        <w:rPr>
          <w:rStyle w:val="FootnoteReference"/>
        </w:rPr>
        <w:footnoteRef/>
      </w:r>
      <w:r w:rsidRPr="00C5052C">
        <w:rPr>
          <w:rStyle w:val="FootnoteReference"/>
        </w:rPr>
        <w:t xml:space="preserve"> </w:t>
      </w:r>
      <w:r w:rsidRPr="00C5052C">
        <w:rPr>
          <w:lang w:val="en-AU"/>
        </w:rPr>
        <w:t>Available at: www.ausaid.gov.au/Publications/Pages/aus-afghanistan-development-framework-agreement-2012-2017.aspx</w:t>
      </w:r>
    </w:p>
  </w:footnote>
  <w:footnote w:id="4">
    <w:p w:rsidR="00645C55" w:rsidRPr="00747F56" w:rsidRDefault="00645C55" w:rsidP="00DB3DB1">
      <w:pPr>
        <w:pStyle w:val="FootnoteText"/>
        <w:rPr>
          <w:lang w:val="en-AU"/>
        </w:rPr>
      </w:pPr>
      <w:r>
        <w:rPr>
          <w:rStyle w:val="FootnoteReference"/>
        </w:rPr>
        <w:footnoteRef/>
      </w:r>
      <w:r>
        <w:t xml:space="preserve"> </w:t>
      </w:r>
      <w:proofErr w:type="gramStart"/>
      <w:r>
        <w:rPr>
          <w:lang w:val="en-AU"/>
        </w:rPr>
        <w:t>World Bank (2007).</w:t>
      </w:r>
      <w:proofErr w:type="gramEnd"/>
      <w:r>
        <w:rPr>
          <w:lang w:val="en-AU"/>
        </w:rPr>
        <w:t xml:space="preserve"> </w:t>
      </w:r>
      <w:proofErr w:type="gramStart"/>
      <w:r w:rsidRPr="00747F56">
        <w:rPr>
          <w:i/>
          <w:lang w:val="en-AU"/>
        </w:rPr>
        <w:t>World Development Report 2008</w:t>
      </w:r>
      <w:r>
        <w:rPr>
          <w:lang w:val="en-AU"/>
        </w:rPr>
        <w:t xml:space="preserve"> p 90.</w:t>
      </w:r>
      <w:proofErr w:type="gramEnd"/>
    </w:p>
  </w:footnote>
  <w:footnote w:id="5">
    <w:p w:rsidR="00645C55" w:rsidRPr="00FC567D" w:rsidRDefault="00645C55" w:rsidP="00DB3DB1">
      <w:pPr>
        <w:autoSpaceDE w:val="0"/>
        <w:autoSpaceDN w:val="0"/>
        <w:adjustRightInd w:val="0"/>
      </w:pPr>
      <w:r w:rsidRPr="00FC567D">
        <w:rPr>
          <w:rStyle w:val="FootnoteReference"/>
          <w:sz w:val="20"/>
          <w:szCs w:val="20"/>
        </w:rPr>
        <w:footnoteRef/>
      </w:r>
      <w:r w:rsidRPr="00FC567D">
        <w:rPr>
          <w:rStyle w:val="FootnoteReference"/>
          <w:sz w:val="20"/>
          <w:szCs w:val="20"/>
        </w:rPr>
        <w:t xml:space="preserve"> </w:t>
      </w:r>
      <w:proofErr w:type="gramStart"/>
      <w:r w:rsidRPr="00FC567D">
        <w:rPr>
          <w:sz w:val="20"/>
          <w:szCs w:val="20"/>
          <w:lang w:val="en-AU"/>
        </w:rPr>
        <w:t>AusAID (2009).</w:t>
      </w:r>
      <w:proofErr w:type="gramEnd"/>
      <w:r w:rsidRPr="00FC567D">
        <w:rPr>
          <w:sz w:val="20"/>
          <w:szCs w:val="20"/>
          <w:lang w:val="en-AU"/>
        </w:rPr>
        <w:t xml:space="preserve"> </w:t>
      </w:r>
      <w:proofErr w:type="gramStart"/>
      <w:r w:rsidRPr="00FC567D">
        <w:rPr>
          <w:i/>
          <w:sz w:val="20"/>
          <w:szCs w:val="20"/>
          <w:lang w:val="en-AU"/>
        </w:rPr>
        <w:t>Investing in a Safer Future: A Disaster Risk Reduction policy for the Australian Aid Program</w:t>
      </w:r>
      <w:r>
        <w:rPr>
          <w:sz w:val="20"/>
          <w:szCs w:val="20"/>
          <w:lang w:val="en-AU"/>
        </w:rPr>
        <w:t xml:space="preserve"> p 8.</w:t>
      </w:r>
      <w:proofErr w:type="gramEnd"/>
    </w:p>
  </w:footnote>
  <w:footnote w:id="6">
    <w:p w:rsidR="00645C55" w:rsidRPr="0001731C" w:rsidRDefault="00645C55" w:rsidP="00DB3DB1">
      <w:pPr>
        <w:pStyle w:val="FootnoteText"/>
        <w:rPr>
          <w:lang w:val="en-AU"/>
        </w:rPr>
      </w:pPr>
      <w:r>
        <w:rPr>
          <w:rStyle w:val="FootnoteReference"/>
        </w:rPr>
        <w:footnoteRef/>
      </w:r>
      <w:r>
        <w:t xml:space="preserve"> </w:t>
      </w:r>
      <w:proofErr w:type="gramStart"/>
      <w:r w:rsidRPr="0070353F">
        <w:t>AusAID (2011).</w:t>
      </w:r>
      <w:proofErr w:type="gramEnd"/>
      <w:r w:rsidRPr="0070353F">
        <w:t xml:space="preserve"> </w:t>
      </w:r>
      <w:r w:rsidRPr="0070353F">
        <w:rPr>
          <w:i/>
        </w:rPr>
        <w:t>Sustainable Economic Development: Improving Food Security</w:t>
      </w:r>
      <w:r>
        <w:t xml:space="preserve"> p 9.</w:t>
      </w:r>
    </w:p>
  </w:footnote>
  <w:footnote w:id="7">
    <w:p w:rsidR="00645C55" w:rsidRPr="007242B9" w:rsidRDefault="00645C55" w:rsidP="00DB3DB1">
      <w:r w:rsidRPr="0055008A">
        <w:rPr>
          <w:rStyle w:val="FootnoteReference"/>
          <w:sz w:val="20"/>
          <w:szCs w:val="20"/>
        </w:rPr>
        <w:footnoteRef/>
      </w:r>
      <w:r w:rsidRPr="0055008A">
        <w:rPr>
          <w:rStyle w:val="FootnoteReference"/>
          <w:sz w:val="20"/>
          <w:szCs w:val="20"/>
        </w:rPr>
        <w:t xml:space="preserve"> </w:t>
      </w:r>
      <w:proofErr w:type="gramStart"/>
      <w:r w:rsidRPr="007242B9">
        <w:rPr>
          <w:sz w:val="20"/>
          <w:szCs w:val="20"/>
          <w:lang w:val="en-AU"/>
        </w:rPr>
        <w:t>The World Bank (2012).</w:t>
      </w:r>
      <w:proofErr w:type="gramEnd"/>
      <w:r w:rsidRPr="007242B9">
        <w:rPr>
          <w:sz w:val="20"/>
          <w:szCs w:val="20"/>
          <w:lang w:val="en-AU"/>
        </w:rPr>
        <w:t xml:space="preserve"> </w:t>
      </w:r>
      <w:r w:rsidRPr="007242B9">
        <w:rPr>
          <w:i/>
          <w:sz w:val="20"/>
          <w:szCs w:val="20"/>
          <w:lang w:val="en-AU"/>
        </w:rPr>
        <w:t>Afghanistan in Transition: Looking Beyond 2014: Volume 2: Main Report</w:t>
      </w:r>
      <w:r>
        <w:rPr>
          <w:sz w:val="20"/>
          <w:szCs w:val="20"/>
          <w:lang w:val="en-AU"/>
        </w:rPr>
        <w:t xml:space="preserve"> p 59.</w:t>
      </w:r>
    </w:p>
  </w:footnote>
  <w:footnote w:id="8">
    <w:p w:rsidR="00645C55" w:rsidRDefault="00645C55" w:rsidP="004E370E">
      <w:pPr>
        <w:pStyle w:val="FootnoteText"/>
      </w:pPr>
      <w:r>
        <w:rPr>
          <w:rStyle w:val="FootnoteReference"/>
        </w:rPr>
        <w:footnoteRef/>
      </w:r>
      <w:r>
        <w:t xml:space="preserve"> </w:t>
      </w:r>
      <w:r w:rsidRPr="00D96B18">
        <w:t xml:space="preserve">For the AACRS, Afghan CSOs may include Community Development Councils, traditional Shuras, </w:t>
      </w:r>
      <w:proofErr w:type="gramStart"/>
      <w:r w:rsidRPr="00D96B18">
        <w:t>farmers’</w:t>
      </w:r>
      <w:proofErr w:type="gramEnd"/>
      <w:r w:rsidRPr="00D96B18">
        <w:t xml:space="preserve"> organisations, local NGOs (including women’s organisations) or other local entities which are non-profit distributing and/or community based.</w:t>
      </w:r>
    </w:p>
  </w:footnote>
  <w:footnote w:id="9">
    <w:p w:rsidR="00645C55" w:rsidRPr="000D7B49" w:rsidRDefault="00645C55" w:rsidP="004E370E">
      <w:pPr>
        <w:pStyle w:val="FootnoteText"/>
      </w:pPr>
      <w:r w:rsidRPr="000D7B49">
        <w:rPr>
          <w:rStyle w:val="FootnoteReference"/>
          <w:rFonts w:cs="Arial"/>
        </w:rPr>
        <w:footnoteRef/>
      </w:r>
      <w:r w:rsidRPr="000D7B49">
        <w:rPr>
          <w:rStyle w:val="FootnoteReference"/>
          <w:rFonts w:cs="Arial"/>
          <w:sz w:val="16"/>
          <w:szCs w:val="16"/>
        </w:rPr>
        <w:t xml:space="preserve"> </w:t>
      </w:r>
      <w:r w:rsidRPr="00D96B18">
        <w:t xml:space="preserve">Through </w:t>
      </w:r>
      <w:r>
        <w:t>its</w:t>
      </w:r>
      <w:r w:rsidRPr="00D96B18">
        <w:t xml:space="preserve"> </w:t>
      </w:r>
      <w:r w:rsidRPr="00D96B18">
        <w:rPr>
          <w:i/>
        </w:rPr>
        <w:t>Civil Society Engagement Framework</w:t>
      </w:r>
      <w:r w:rsidRPr="00D96B18">
        <w:t>, AusAID has recognised the emergence of an informed and engaged civil society as an important outcome in its own right, enabling poor people to claim their rights, and helping to shape development policies and partnerships and oversee their implementation (AusAID 2012: 1).</w:t>
      </w:r>
    </w:p>
  </w:footnote>
  <w:footnote w:id="10">
    <w:p w:rsidR="00645C55" w:rsidRPr="00E5059A" w:rsidRDefault="00645C55" w:rsidP="004E370E">
      <w:pPr>
        <w:pStyle w:val="FootnoteText"/>
        <w:rPr>
          <w:lang w:val="en-AU"/>
        </w:rPr>
      </w:pPr>
      <w:r>
        <w:rPr>
          <w:rStyle w:val="FootnoteReference"/>
        </w:rPr>
        <w:footnoteRef/>
      </w:r>
      <w:r>
        <w:t xml:space="preserve"> </w:t>
      </w:r>
      <w:proofErr w:type="gramStart"/>
      <w:r>
        <w:t>AusAID (2011).</w:t>
      </w:r>
      <w:proofErr w:type="gramEnd"/>
      <w:r>
        <w:t xml:space="preserve"> </w:t>
      </w:r>
      <w:proofErr w:type="gramStart"/>
      <w:r w:rsidRPr="00EF4EE0">
        <w:rPr>
          <w:i/>
          <w:iCs/>
        </w:rPr>
        <w:t>Pacific Leadership Program.</w:t>
      </w:r>
      <w:proofErr w:type="gramEnd"/>
      <w:r w:rsidRPr="00EF4EE0">
        <w:rPr>
          <w:i/>
          <w:iCs/>
        </w:rPr>
        <w:t xml:space="preserve"> Operating Guidelines</w:t>
      </w:r>
      <w:r w:rsidRPr="00E5059A">
        <w:t>, Version 4, March.</w:t>
      </w:r>
    </w:p>
  </w:footnote>
  <w:footnote w:id="11">
    <w:p w:rsidR="00645C55" w:rsidRPr="00424900" w:rsidRDefault="00645C55">
      <w:pPr>
        <w:pStyle w:val="FootnoteText"/>
        <w:rPr>
          <w:lang w:val="en-AU"/>
        </w:rPr>
      </w:pPr>
      <w:r>
        <w:rPr>
          <w:rStyle w:val="FootnoteReference"/>
        </w:rPr>
        <w:footnoteRef/>
      </w:r>
      <w:r>
        <w:t xml:space="preserve"> </w:t>
      </w:r>
      <w:r>
        <w:rPr>
          <w:lang w:val="en-AU"/>
        </w:rPr>
        <w:t>AusAID will determine an alternative location if meetings cannot be undertaken in Kabul.</w:t>
      </w:r>
    </w:p>
  </w:footnote>
  <w:footnote w:id="12">
    <w:p w:rsidR="00645C55" w:rsidRPr="009905BF" w:rsidRDefault="00645C55" w:rsidP="00311456">
      <w:pPr>
        <w:pStyle w:val="FootnoteText"/>
      </w:pPr>
      <w:r>
        <w:rPr>
          <w:rStyle w:val="FootnoteReference"/>
        </w:rPr>
        <w:footnoteRef/>
      </w:r>
      <w:r>
        <w:t xml:space="preserve"> </w:t>
      </w:r>
      <w:proofErr w:type="gramStart"/>
      <w:r>
        <w:t>United Nations (2011).</w:t>
      </w:r>
      <w:proofErr w:type="gramEnd"/>
      <w:r>
        <w:t xml:space="preserve"> </w:t>
      </w:r>
      <w:r w:rsidRPr="004845F4">
        <w:rPr>
          <w:i/>
        </w:rPr>
        <w:t>Human Development Index</w:t>
      </w:r>
      <w:r>
        <w:t xml:space="preserve"> (available at: </w:t>
      </w:r>
      <w:r w:rsidRPr="009905BF">
        <w:t>http://hdr.undp.org/en/</w:t>
      </w:r>
      <w:r>
        <w:t>).</w:t>
      </w:r>
    </w:p>
  </w:footnote>
  <w:footnote w:id="13">
    <w:p w:rsidR="00645C55" w:rsidRPr="00625EB8" w:rsidRDefault="00645C55" w:rsidP="00311456">
      <w:pPr>
        <w:pStyle w:val="FootnoteText"/>
      </w:pPr>
      <w:r>
        <w:rPr>
          <w:rStyle w:val="FootnoteReference"/>
        </w:rPr>
        <w:footnoteRef/>
      </w:r>
      <w:r>
        <w:t xml:space="preserve"> </w:t>
      </w:r>
      <w:proofErr w:type="gramStart"/>
      <w:r>
        <w:t>UNDP (2009).</w:t>
      </w:r>
      <w:proofErr w:type="gramEnd"/>
      <w:r>
        <w:t xml:space="preserve"> </w:t>
      </w:r>
      <w:r w:rsidRPr="004845F4">
        <w:rPr>
          <w:i/>
        </w:rPr>
        <w:t>Human Development Report 2009</w:t>
      </w:r>
      <w:r w:rsidRPr="004845F4">
        <w:rPr>
          <w:rFonts w:ascii="Arial" w:hAnsi="Arial" w:cs="Arial"/>
          <w:i/>
          <w:sz w:val="22"/>
          <w:szCs w:val="22"/>
        </w:rPr>
        <w:t xml:space="preserve"> </w:t>
      </w:r>
      <w:r w:rsidRPr="004845F4">
        <w:rPr>
          <w:i/>
        </w:rPr>
        <w:t>Afghanistan Country Fact Sheet</w:t>
      </w:r>
      <w:r>
        <w:rPr>
          <w:rFonts w:ascii="Arial" w:hAnsi="Arial" w:cs="Arial"/>
          <w:sz w:val="22"/>
          <w:szCs w:val="22"/>
        </w:rPr>
        <w:t xml:space="preserve"> </w:t>
      </w:r>
      <w:r>
        <w:t xml:space="preserve">(available at: </w:t>
      </w:r>
      <w:r w:rsidRPr="00625EB8">
        <w:t>http://hdrstats.undp.org/en/countries/coun</w:t>
      </w:r>
      <w:r>
        <w:t>try_fact_sheets/cty_fs_AFG.html).</w:t>
      </w:r>
    </w:p>
  </w:footnote>
  <w:footnote w:id="14">
    <w:p w:rsidR="00645C55" w:rsidRPr="0087051C" w:rsidRDefault="00645C55">
      <w:pPr>
        <w:pStyle w:val="FootnoteText"/>
        <w:rPr>
          <w:lang w:val="en-AU"/>
        </w:rPr>
      </w:pPr>
      <w:r>
        <w:rPr>
          <w:rStyle w:val="FootnoteReference"/>
        </w:rPr>
        <w:footnoteRef/>
      </w:r>
      <w:r>
        <w:t xml:space="preserve"> </w:t>
      </w:r>
      <w:r>
        <w:rPr>
          <w:lang w:val="en-AU"/>
        </w:rPr>
        <w:t xml:space="preserve">Available at: </w:t>
      </w:r>
      <w:r w:rsidRPr="0087051C">
        <w:rPr>
          <w:lang w:val="en-AU"/>
        </w:rPr>
        <w:t>www.mofa.go.jp/region/middle_e/afghanistan/tokyo_conference_2012/tokyo_declaration_en2.html</w:t>
      </w:r>
    </w:p>
  </w:footnote>
  <w:footnote w:id="15">
    <w:p w:rsidR="00645C55" w:rsidRPr="00D05123" w:rsidRDefault="00645C55" w:rsidP="00311456">
      <w:pPr>
        <w:pStyle w:val="FootnoteText"/>
        <w:rPr>
          <w:lang w:val="en-AU"/>
        </w:rPr>
      </w:pPr>
      <w:r>
        <w:rPr>
          <w:rStyle w:val="FootnoteReference"/>
        </w:rPr>
        <w:footnoteRef/>
      </w:r>
      <w:r>
        <w:t xml:space="preserve"> </w:t>
      </w:r>
      <w:proofErr w:type="gramStart"/>
      <w:r>
        <w:rPr>
          <w:lang w:val="en-AU"/>
        </w:rPr>
        <w:t>DFID (2010).</w:t>
      </w:r>
      <w:proofErr w:type="gramEnd"/>
      <w:r>
        <w:rPr>
          <w:lang w:val="en-AU"/>
        </w:rPr>
        <w:t xml:space="preserve"> </w:t>
      </w:r>
      <w:r w:rsidRPr="0077573C">
        <w:rPr>
          <w:i/>
          <w:lang w:val="en-AU"/>
        </w:rPr>
        <w:t>Strengthening Civil Society in Afghanistan / “Tawanmandi”</w:t>
      </w:r>
      <w:r w:rsidRPr="00D05123">
        <w:rPr>
          <w:lang w:val="en-AU"/>
        </w:rPr>
        <w:t xml:space="preserve"> </w:t>
      </w:r>
      <w:r>
        <w:rPr>
          <w:lang w:val="en-AU"/>
        </w:rPr>
        <w:t>(</w:t>
      </w:r>
      <w:r w:rsidRPr="00D05123">
        <w:rPr>
          <w:lang w:val="en-AU"/>
        </w:rPr>
        <w:t>available at: http://projects.dfid.gov.uk/project.aspx?Project=201000</w:t>
      </w:r>
      <w:r>
        <w:rPr>
          <w:lang w:val="en-AU"/>
        </w:rPr>
        <w:t>).</w:t>
      </w:r>
    </w:p>
  </w:footnote>
  <w:footnote w:id="16">
    <w:p w:rsidR="00645C55" w:rsidRPr="00A32F45" w:rsidRDefault="00645C55" w:rsidP="00311456">
      <w:pPr>
        <w:pStyle w:val="FootnoteText"/>
        <w:rPr>
          <w:lang w:val="en-AU"/>
        </w:rPr>
      </w:pPr>
      <w:r>
        <w:rPr>
          <w:rStyle w:val="FootnoteReference"/>
        </w:rPr>
        <w:footnoteRef/>
      </w:r>
      <w:r>
        <w:t xml:space="preserve"> </w:t>
      </w:r>
      <w:proofErr w:type="gramStart"/>
      <w:r>
        <w:rPr>
          <w:lang w:val="en-AU"/>
        </w:rPr>
        <w:t>Winter, Elizabeth (2010).</w:t>
      </w:r>
      <w:proofErr w:type="gramEnd"/>
      <w:r>
        <w:rPr>
          <w:lang w:val="en-AU"/>
        </w:rPr>
        <w:t xml:space="preserve"> </w:t>
      </w:r>
      <w:r w:rsidRPr="00CE795F">
        <w:rPr>
          <w:i/>
          <w:lang w:val="en-AU"/>
        </w:rPr>
        <w:t>Civil Society Development in Afghanistan</w:t>
      </w:r>
      <w:r>
        <w:rPr>
          <w:lang w:val="en-AU"/>
        </w:rPr>
        <w:t>, London School of Economics and Political Science, Centre for Civil Society and ESRC Non-Governmental Public Action Programme, p 10, 26.</w:t>
      </w:r>
    </w:p>
  </w:footnote>
  <w:footnote w:id="17">
    <w:p w:rsidR="00645C55" w:rsidRPr="00665640" w:rsidRDefault="00645C55" w:rsidP="00311456">
      <w:pPr>
        <w:pStyle w:val="FootnoteText"/>
        <w:rPr>
          <w:lang w:val="en-AU"/>
        </w:rPr>
      </w:pPr>
      <w:r>
        <w:rPr>
          <w:rStyle w:val="FootnoteReference"/>
        </w:rPr>
        <w:footnoteRef/>
      </w:r>
      <w:r>
        <w:t xml:space="preserve"> </w:t>
      </w:r>
      <w:proofErr w:type="gramStart"/>
      <w:r>
        <w:t>Afghanistan Forum (2011).</w:t>
      </w:r>
      <w:proofErr w:type="gramEnd"/>
      <w:r>
        <w:t xml:space="preserve"> </w:t>
      </w:r>
      <w:r w:rsidRPr="00AD21D0">
        <w:rPr>
          <w:i/>
        </w:rPr>
        <w:t>Message of the Civil Society to the International Conference on Afghanistan in Bonn</w:t>
      </w:r>
      <w:r w:rsidRPr="00296A58">
        <w:t>, Germany</w:t>
      </w:r>
      <w:r>
        <w:t xml:space="preserve"> 5 December 2011 (available at: </w:t>
      </w:r>
      <w:r w:rsidRPr="00665640">
        <w:t>http://www.afghanistan-forum.org/?p=524</w:t>
      </w:r>
      <w:r>
        <w:t>).</w:t>
      </w:r>
    </w:p>
  </w:footnote>
  <w:footnote w:id="18">
    <w:p w:rsidR="00645C55" w:rsidRPr="00C76BF1" w:rsidRDefault="00645C55">
      <w:pPr>
        <w:pStyle w:val="FootnoteText"/>
        <w:rPr>
          <w:lang w:val="en-AU"/>
        </w:rPr>
      </w:pPr>
      <w:r>
        <w:rPr>
          <w:rStyle w:val="FootnoteReference"/>
        </w:rPr>
        <w:footnoteRef/>
      </w:r>
      <w:r>
        <w:t xml:space="preserve"> </w:t>
      </w:r>
      <w:r>
        <w:rPr>
          <w:lang w:val="en-AU"/>
        </w:rPr>
        <w:t>Note that CDCs receive funding through the National Solidarity Programme, which has received funding through AusAID’s ARTF contributions.</w:t>
      </w:r>
    </w:p>
  </w:footnote>
  <w:footnote w:id="19">
    <w:p w:rsidR="00645C55" w:rsidRPr="00665640" w:rsidRDefault="00645C55" w:rsidP="000203BE">
      <w:pPr>
        <w:pStyle w:val="FootnoteText"/>
        <w:rPr>
          <w:lang w:val="en-AU"/>
        </w:rPr>
      </w:pPr>
      <w:r>
        <w:rPr>
          <w:rStyle w:val="FootnoteReference"/>
        </w:rPr>
        <w:footnoteRef/>
      </w:r>
      <w:r>
        <w:t xml:space="preserve"> </w:t>
      </w:r>
      <w:proofErr w:type="gramStart"/>
      <w:r>
        <w:t>Afghanistan Forum (2011).</w:t>
      </w:r>
      <w:proofErr w:type="gramEnd"/>
      <w:r>
        <w:t xml:space="preserve"> </w:t>
      </w:r>
      <w:r w:rsidRPr="00AD21D0">
        <w:rPr>
          <w:i/>
        </w:rPr>
        <w:t>Message of the Civil Society to the International Conference on Afghanistan in Bonn</w:t>
      </w:r>
      <w:r w:rsidRPr="00296A58">
        <w:t>, Germany</w:t>
      </w:r>
      <w:r>
        <w:t xml:space="preserve"> 5 December 2011 (available at: </w:t>
      </w:r>
      <w:r w:rsidRPr="00665640">
        <w:t>http://www.afghanistan-forum.org/?p=524</w:t>
      </w:r>
      <w:r>
        <w:t>).</w:t>
      </w:r>
    </w:p>
  </w:footnote>
  <w:footnote w:id="20">
    <w:p w:rsidR="00645C55" w:rsidRPr="00D05123" w:rsidRDefault="00645C55" w:rsidP="00311456">
      <w:pPr>
        <w:pStyle w:val="FootnoteText"/>
        <w:rPr>
          <w:lang w:val="en-AU"/>
        </w:rPr>
      </w:pPr>
      <w:r>
        <w:rPr>
          <w:rStyle w:val="FootnoteReference"/>
        </w:rPr>
        <w:footnoteRef/>
      </w:r>
      <w:r>
        <w:t xml:space="preserve"> </w:t>
      </w:r>
      <w:proofErr w:type="gramStart"/>
      <w:r>
        <w:rPr>
          <w:lang w:val="en-AU"/>
        </w:rPr>
        <w:t>DFID (2012).</w:t>
      </w:r>
      <w:proofErr w:type="gramEnd"/>
      <w:r>
        <w:rPr>
          <w:lang w:val="en-AU"/>
        </w:rPr>
        <w:t xml:space="preserve"> </w:t>
      </w:r>
      <w:r w:rsidRPr="0077573C">
        <w:rPr>
          <w:i/>
          <w:lang w:val="en-AU"/>
        </w:rPr>
        <w:t>Operational Plan 2011-2015</w:t>
      </w:r>
      <w:r>
        <w:rPr>
          <w:lang w:val="en-AU"/>
        </w:rPr>
        <w:t xml:space="preserve"> (available at: </w:t>
      </w:r>
      <w:r w:rsidRPr="00D05123">
        <w:rPr>
          <w:lang w:val="en-AU"/>
        </w:rPr>
        <w:t>http://www.dfid.gov.uk/where-we-work/asia-south/afghanistan/</w:t>
      </w:r>
      <w:r>
        <w:rPr>
          <w:lang w:val="en-AU"/>
        </w:rPr>
        <w:t>).</w:t>
      </w:r>
    </w:p>
  </w:footnote>
  <w:footnote w:id="21">
    <w:p w:rsidR="00645C55" w:rsidRPr="00747F56" w:rsidRDefault="00645C55">
      <w:pPr>
        <w:pStyle w:val="FootnoteText"/>
        <w:rPr>
          <w:lang w:val="en-AU"/>
        </w:rPr>
      </w:pPr>
      <w:r>
        <w:rPr>
          <w:rStyle w:val="FootnoteReference"/>
        </w:rPr>
        <w:footnoteRef/>
      </w:r>
      <w:r>
        <w:t xml:space="preserve"> </w:t>
      </w:r>
      <w:proofErr w:type="gramStart"/>
      <w:r>
        <w:rPr>
          <w:lang w:val="en-AU"/>
        </w:rPr>
        <w:t>World Bank (2007).</w:t>
      </w:r>
      <w:proofErr w:type="gramEnd"/>
      <w:r>
        <w:rPr>
          <w:lang w:val="en-AU"/>
        </w:rPr>
        <w:t xml:space="preserve"> </w:t>
      </w:r>
      <w:proofErr w:type="gramStart"/>
      <w:r w:rsidRPr="00747F56">
        <w:rPr>
          <w:i/>
          <w:lang w:val="en-AU"/>
        </w:rPr>
        <w:t>World Development Report 2008</w:t>
      </w:r>
      <w:r>
        <w:rPr>
          <w:lang w:val="en-AU"/>
        </w:rPr>
        <w:t xml:space="preserve"> p 90.</w:t>
      </w:r>
      <w:proofErr w:type="gramEnd"/>
    </w:p>
  </w:footnote>
  <w:footnote w:id="22">
    <w:p w:rsidR="00645C55" w:rsidRPr="00FC567D" w:rsidRDefault="00645C55" w:rsidP="00FC567D">
      <w:pPr>
        <w:autoSpaceDE w:val="0"/>
        <w:autoSpaceDN w:val="0"/>
        <w:adjustRightInd w:val="0"/>
      </w:pPr>
      <w:r w:rsidRPr="00FC567D">
        <w:rPr>
          <w:rStyle w:val="FootnoteReference"/>
          <w:sz w:val="20"/>
          <w:szCs w:val="20"/>
        </w:rPr>
        <w:footnoteRef/>
      </w:r>
      <w:r w:rsidRPr="00FC567D">
        <w:rPr>
          <w:rStyle w:val="FootnoteReference"/>
          <w:sz w:val="20"/>
          <w:szCs w:val="20"/>
        </w:rPr>
        <w:t xml:space="preserve"> </w:t>
      </w:r>
      <w:proofErr w:type="gramStart"/>
      <w:r w:rsidRPr="00FC567D">
        <w:rPr>
          <w:sz w:val="20"/>
          <w:szCs w:val="20"/>
          <w:lang w:val="en-AU"/>
        </w:rPr>
        <w:t>AusAID (2009).</w:t>
      </w:r>
      <w:proofErr w:type="gramEnd"/>
      <w:r w:rsidRPr="00FC567D">
        <w:rPr>
          <w:sz w:val="20"/>
          <w:szCs w:val="20"/>
          <w:lang w:val="en-AU"/>
        </w:rPr>
        <w:t xml:space="preserve"> </w:t>
      </w:r>
      <w:proofErr w:type="gramStart"/>
      <w:r w:rsidRPr="00FC567D">
        <w:rPr>
          <w:i/>
          <w:sz w:val="20"/>
          <w:szCs w:val="20"/>
          <w:lang w:val="en-AU"/>
        </w:rPr>
        <w:t>Investing in a Safer Future: A Disaster Risk Reduction policy for the Australian Aid Program</w:t>
      </w:r>
      <w:r>
        <w:rPr>
          <w:sz w:val="20"/>
          <w:szCs w:val="20"/>
          <w:lang w:val="en-AU"/>
        </w:rPr>
        <w:t xml:space="preserve"> p 8.</w:t>
      </w:r>
      <w:proofErr w:type="gramEnd"/>
    </w:p>
  </w:footnote>
  <w:footnote w:id="23">
    <w:p w:rsidR="00645C55" w:rsidRPr="0070353F" w:rsidRDefault="00645C55" w:rsidP="0070353F">
      <w:pPr>
        <w:pStyle w:val="Default"/>
        <w:rPr>
          <w:rFonts w:ascii="Times New Roman" w:hAnsi="Times New Roman" w:cs="Times New Roman"/>
          <w:color w:val="auto"/>
          <w:sz w:val="20"/>
          <w:szCs w:val="20"/>
        </w:rPr>
      </w:pPr>
      <w:r w:rsidRPr="0070353F">
        <w:rPr>
          <w:rStyle w:val="FootnoteReference"/>
          <w:rFonts w:ascii="Times New Roman" w:hAnsi="Times New Roman" w:cs="Times New Roman"/>
          <w:color w:val="auto"/>
          <w:sz w:val="20"/>
          <w:szCs w:val="20"/>
          <w:lang w:val="en-US"/>
        </w:rPr>
        <w:footnoteRef/>
      </w:r>
      <w:r w:rsidRPr="0070353F">
        <w:rPr>
          <w:rStyle w:val="FootnoteReference"/>
          <w:lang w:val="en-US"/>
        </w:rPr>
        <w:t xml:space="preserve"> </w:t>
      </w:r>
      <w:proofErr w:type="gramStart"/>
      <w:r w:rsidRPr="0070353F">
        <w:rPr>
          <w:rFonts w:ascii="Times New Roman" w:hAnsi="Times New Roman" w:cs="Times New Roman"/>
          <w:color w:val="auto"/>
          <w:sz w:val="20"/>
          <w:szCs w:val="20"/>
        </w:rPr>
        <w:t>AusAID (2011).</w:t>
      </w:r>
      <w:proofErr w:type="gramEnd"/>
      <w:r w:rsidRPr="0070353F">
        <w:rPr>
          <w:rFonts w:ascii="Times New Roman" w:hAnsi="Times New Roman" w:cs="Times New Roman"/>
          <w:color w:val="auto"/>
          <w:sz w:val="20"/>
          <w:szCs w:val="20"/>
        </w:rPr>
        <w:t xml:space="preserve"> </w:t>
      </w:r>
      <w:r w:rsidRPr="0070353F">
        <w:rPr>
          <w:rFonts w:ascii="Times New Roman" w:hAnsi="Times New Roman" w:cs="Times New Roman"/>
          <w:i/>
          <w:color w:val="auto"/>
          <w:sz w:val="20"/>
          <w:szCs w:val="20"/>
        </w:rPr>
        <w:t>Sustainable Economic Development: Improving Food Security</w:t>
      </w:r>
      <w:r w:rsidRPr="0070353F">
        <w:rPr>
          <w:rFonts w:ascii="Times New Roman" w:hAnsi="Times New Roman" w:cs="Times New Roman"/>
          <w:color w:val="auto"/>
          <w:sz w:val="20"/>
          <w:szCs w:val="20"/>
        </w:rPr>
        <w:t xml:space="preserve"> </w:t>
      </w:r>
      <w:r>
        <w:rPr>
          <w:rFonts w:ascii="Times New Roman" w:hAnsi="Times New Roman" w:cs="Times New Roman"/>
          <w:color w:val="auto"/>
          <w:sz w:val="20"/>
          <w:szCs w:val="20"/>
        </w:rPr>
        <w:t>p 4.</w:t>
      </w:r>
    </w:p>
  </w:footnote>
  <w:footnote w:id="24">
    <w:p w:rsidR="00645C55" w:rsidRPr="00364B73" w:rsidRDefault="00645C55">
      <w:pPr>
        <w:pStyle w:val="FootnoteText"/>
        <w:rPr>
          <w:lang w:val="en-AU"/>
        </w:rPr>
      </w:pPr>
      <w:r>
        <w:rPr>
          <w:rStyle w:val="FootnoteReference"/>
        </w:rPr>
        <w:footnoteRef/>
      </w:r>
      <w:r>
        <w:t xml:space="preserve"> </w:t>
      </w:r>
      <w:proofErr w:type="gramStart"/>
      <w:r w:rsidRPr="0070353F">
        <w:t>AusAID (2011).</w:t>
      </w:r>
      <w:proofErr w:type="gramEnd"/>
      <w:r w:rsidRPr="0070353F">
        <w:t xml:space="preserve"> </w:t>
      </w:r>
      <w:r w:rsidRPr="0070353F">
        <w:rPr>
          <w:i/>
        </w:rPr>
        <w:t>Sustainable Economic Development: Improving Food Security</w:t>
      </w:r>
      <w:r>
        <w:t xml:space="preserve"> p 9.</w:t>
      </w:r>
    </w:p>
  </w:footnote>
  <w:footnote w:id="25">
    <w:p w:rsidR="00645C55" w:rsidRPr="0001731C" w:rsidRDefault="00645C55">
      <w:pPr>
        <w:pStyle w:val="FootnoteText"/>
        <w:rPr>
          <w:lang w:val="en-AU"/>
        </w:rPr>
      </w:pPr>
      <w:r>
        <w:rPr>
          <w:rStyle w:val="FootnoteReference"/>
        </w:rPr>
        <w:footnoteRef/>
      </w:r>
      <w:r>
        <w:t xml:space="preserve"> </w:t>
      </w:r>
      <w:proofErr w:type="gramStart"/>
      <w:r w:rsidRPr="0070353F">
        <w:t>AusAID (2011).</w:t>
      </w:r>
      <w:proofErr w:type="gramEnd"/>
      <w:r w:rsidRPr="0070353F">
        <w:t xml:space="preserve"> </w:t>
      </w:r>
      <w:r w:rsidRPr="0070353F">
        <w:rPr>
          <w:i/>
        </w:rPr>
        <w:t>Sustainable Economic Development: Improving Food Security</w:t>
      </w:r>
      <w:r>
        <w:t xml:space="preserve"> p 9.</w:t>
      </w:r>
    </w:p>
  </w:footnote>
  <w:footnote w:id="26">
    <w:p w:rsidR="00645C55" w:rsidRPr="00FC567D" w:rsidRDefault="00645C55">
      <w:pPr>
        <w:pStyle w:val="FootnoteText"/>
        <w:rPr>
          <w:lang w:val="en-AU"/>
        </w:rPr>
      </w:pPr>
      <w:r>
        <w:rPr>
          <w:rStyle w:val="FootnoteReference"/>
        </w:rPr>
        <w:footnoteRef/>
      </w:r>
      <w:r>
        <w:t xml:space="preserve"> </w:t>
      </w:r>
      <w:proofErr w:type="gramStart"/>
      <w:r w:rsidRPr="00FC567D">
        <w:rPr>
          <w:lang w:val="en-AU"/>
        </w:rPr>
        <w:t>AusAID (2009).</w:t>
      </w:r>
      <w:proofErr w:type="gramEnd"/>
      <w:r w:rsidRPr="00FC567D">
        <w:rPr>
          <w:lang w:val="en-AU"/>
        </w:rPr>
        <w:t xml:space="preserve"> </w:t>
      </w:r>
      <w:proofErr w:type="gramStart"/>
      <w:r w:rsidRPr="00FC567D">
        <w:rPr>
          <w:i/>
          <w:lang w:val="en-AU"/>
        </w:rPr>
        <w:t>Investing in a Safer Fut</w:t>
      </w:r>
      <w:r>
        <w:rPr>
          <w:i/>
          <w:lang w:val="en-AU"/>
        </w:rPr>
        <w:t>ure: A Disaster Risk Reduction P</w:t>
      </w:r>
      <w:r w:rsidRPr="00FC567D">
        <w:rPr>
          <w:i/>
          <w:lang w:val="en-AU"/>
        </w:rPr>
        <w:t>olicy for the Australian Aid Program</w:t>
      </w:r>
      <w:r>
        <w:rPr>
          <w:lang w:val="en-AU"/>
        </w:rPr>
        <w:t xml:space="preserve"> p 8.</w:t>
      </w:r>
      <w:proofErr w:type="gramEnd"/>
    </w:p>
  </w:footnote>
  <w:footnote w:id="27">
    <w:p w:rsidR="00645C55" w:rsidRPr="007242B9" w:rsidRDefault="00645C55" w:rsidP="00EA41A5">
      <w:r w:rsidRPr="0055008A">
        <w:rPr>
          <w:rStyle w:val="FootnoteReference"/>
          <w:sz w:val="20"/>
          <w:szCs w:val="20"/>
        </w:rPr>
        <w:footnoteRef/>
      </w:r>
      <w:r w:rsidRPr="0055008A">
        <w:rPr>
          <w:rStyle w:val="FootnoteReference"/>
          <w:sz w:val="20"/>
          <w:szCs w:val="20"/>
        </w:rPr>
        <w:t xml:space="preserve"> </w:t>
      </w:r>
      <w:proofErr w:type="gramStart"/>
      <w:r w:rsidRPr="007242B9">
        <w:rPr>
          <w:sz w:val="20"/>
          <w:szCs w:val="20"/>
          <w:lang w:val="en-AU"/>
        </w:rPr>
        <w:t>The World Bank (2012).</w:t>
      </w:r>
      <w:proofErr w:type="gramEnd"/>
      <w:r w:rsidRPr="007242B9">
        <w:rPr>
          <w:sz w:val="20"/>
          <w:szCs w:val="20"/>
          <w:lang w:val="en-AU"/>
        </w:rPr>
        <w:t xml:space="preserve"> </w:t>
      </w:r>
      <w:r w:rsidRPr="007242B9">
        <w:rPr>
          <w:i/>
          <w:sz w:val="20"/>
          <w:szCs w:val="20"/>
          <w:lang w:val="en-AU"/>
        </w:rPr>
        <w:t>Afghanistan in Transition: Looking Beyond 2014: Volume 2: Main Report</w:t>
      </w:r>
      <w:r>
        <w:rPr>
          <w:sz w:val="20"/>
          <w:szCs w:val="20"/>
          <w:lang w:val="en-AU"/>
        </w:rPr>
        <w:t xml:space="preserve"> p 59.</w:t>
      </w:r>
    </w:p>
  </w:footnote>
  <w:footnote w:id="28">
    <w:p w:rsidR="00645C55" w:rsidRPr="007F6629" w:rsidRDefault="00645C55" w:rsidP="00EA41A5">
      <w:pPr>
        <w:pStyle w:val="FootnoteText"/>
        <w:rPr>
          <w:lang w:val="en-AU"/>
        </w:rPr>
      </w:pPr>
      <w:r>
        <w:rPr>
          <w:rStyle w:val="FootnoteReference"/>
        </w:rPr>
        <w:footnoteRef/>
      </w:r>
      <w:r>
        <w:t xml:space="preserve"> </w:t>
      </w:r>
      <w:proofErr w:type="gramStart"/>
      <w:r>
        <w:rPr>
          <w:lang w:val="en-AU"/>
        </w:rPr>
        <w:t>AusAID (2011).</w:t>
      </w:r>
      <w:proofErr w:type="gramEnd"/>
      <w:r>
        <w:rPr>
          <w:lang w:val="en-AU"/>
        </w:rPr>
        <w:t xml:space="preserve"> </w:t>
      </w:r>
      <w:proofErr w:type="gramStart"/>
      <w:r w:rsidRPr="00316D43">
        <w:rPr>
          <w:i/>
          <w:lang w:val="en-AU"/>
        </w:rPr>
        <w:t>Framework for Working in Fragile and Conflict-Affected States</w:t>
      </w:r>
      <w:r>
        <w:rPr>
          <w:lang w:val="en-AU"/>
        </w:rPr>
        <w:t xml:space="preserve"> p 85.</w:t>
      </w:r>
      <w:proofErr w:type="gramEnd"/>
    </w:p>
  </w:footnote>
  <w:footnote w:id="29">
    <w:p w:rsidR="00645C55" w:rsidRPr="000D7B49" w:rsidRDefault="00645C55" w:rsidP="00561FA4">
      <w:pPr>
        <w:pStyle w:val="FootnoteText"/>
      </w:pPr>
      <w:r w:rsidRPr="000D7B49">
        <w:rPr>
          <w:rStyle w:val="FootnoteReference"/>
          <w:rFonts w:cs="Arial"/>
        </w:rPr>
        <w:footnoteRef/>
      </w:r>
      <w:r w:rsidRPr="000D7B49">
        <w:rPr>
          <w:rStyle w:val="FootnoteReference"/>
          <w:rFonts w:cs="Arial"/>
          <w:sz w:val="16"/>
          <w:szCs w:val="16"/>
        </w:rPr>
        <w:t xml:space="preserve"> </w:t>
      </w:r>
      <w:r w:rsidRPr="00D96B18">
        <w:t xml:space="preserve">Through </w:t>
      </w:r>
      <w:r>
        <w:t>its</w:t>
      </w:r>
      <w:r w:rsidRPr="00D96B18">
        <w:t xml:space="preserve"> </w:t>
      </w:r>
      <w:r w:rsidRPr="00D96B18">
        <w:rPr>
          <w:i/>
        </w:rPr>
        <w:t>Civil Society Engagement Framework</w:t>
      </w:r>
      <w:r w:rsidRPr="00D96B18">
        <w:t>, AusAID has recognised the emergence of an informed and engaged civil society as an important outcome in its own right, enabling poor people to claim their rights, and helping to shape development policies and partnerships and oversee their implementation (AusAID 2012: 1).</w:t>
      </w:r>
    </w:p>
  </w:footnote>
  <w:footnote w:id="30">
    <w:p w:rsidR="00645C55" w:rsidRPr="00734250" w:rsidRDefault="00645C55" w:rsidP="00EA41A5">
      <w:pPr>
        <w:pStyle w:val="FootnoteText"/>
        <w:rPr>
          <w:lang w:val="en-AU"/>
        </w:rPr>
      </w:pPr>
      <w:r>
        <w:rPr>
          <w:rStyle w:val="FootnoteReference"/>
        </w:rPr>
        <w:footnoteRef/>
      </w:r>
      <w:r>
        <w:t xml:space="preserve"> </w:t>
      </w:r>
      <w:proofErr w:type="gramStart"/>
      <w:r>
        <w:rPr>
          <w:lang w:val="en-AU"/>
        </w:rPr>
        <w:t>AusAID (2011).</w:t>
      </w:r>
      <w:proofErr w:type="gramEnd"/>
      <w:r>
        <w:rPr>
          <w:lang w:val="en-AU"/>
        </w:rPr>
        <w:t xml:space="preserve"> </w:t>
      </w:r>
      <w:proofErr w:type="gramStart"/>
      <w:r w:rsidRPr="00316D43">
        <w:rPr>
          <w:i/>
          <w:lang w:val="en-AU"/>
        </w:rPr>
        <w:t>Framework for Working in Fragile and Conflict-Affected States</w:t>
      </w:r>
      <w:r>
        <w:rPr>
          <w:lang w:val="en-AU"/>
        </w:rPr>
        <w:t xml:space="preserve"> p 77.</w:t>
      </w:r>
      <w:proofErr w:type="gramEnd"/>
    </w:p>
  </w:footnote>
  <w:footnote w:id="31">
    <w:p w:rsidR="00645C55" w:rsidRPr="005D7429" w:rsidRDefault="00645C55" w:rsidP="00EA41A5">
      <w:pPr>
        <w:pStyle w:val="FootnoteText"/>
        <w:rPr>
          <w:lang w:val="en-AU"/>
        </w:rPr>
      </w:pPr>
      <w:r>
        <w:rPr>
          <w:rStyle w:val="FootnoteReference"/>
        </w:rPr>
        <w:footnoteRef/>
      </w:r>
      <w:r>
        <w:t xml:space="preserve"> </w:t>
      </w:r>
      <w:proofErr w:type="gramStart"/>
      <w:r>
        <w:rPr>
          <w:lang w:val="en-AU"/>
        </w:rPr>
        <w:t>AusAID (2011).</w:t>
      </w:r>
      <w:proofErr w:type="gramEnd"/>
      <w:r>
        <w:rPr>
          <w:lang w:val="en-AU"/>
        </w:rPr>
        <w:t xml:space="preserve"> </w:t>
      </w:r>
      <w:r w:rsidRPr="005D7429">
        <w:rPr>
          <w:i/>
          <w:lang w:val="en-AU"/>
        </w:rPr>
        <w:t>Effective Governance: Thematic Strategy</w:t>
      </w:r>
      <w:r>
        <w:rPr>
          <w:lang w:val="en-AU"/>
        </w:rPr>
        <w:t xml:space="preserve"> p10.</w:t>
      </w:r>
    </w:p>
  </w:footnote>
  <w:footnote w:id="32">
    <w:p w:rsidR="00645C55" w:rsidRPr="00AC79C8" w:rsidRDefault="00645C55" w:rsidP="00C4578B">
      <w:pPr>
        <w:pStyle w:val="FootnoteText"/>
        <w:rPr>
          <w:lang w:val="en-AU"/>
        </w:rPr>
      </w:pPr>
      <w:r>
        <w:rPr>
          <w:rStyle w:val="FootnoteReference"/>
        </w:rPr>
        <w:footnoteRef/>
      </w:r>
      <w:r>
        <w:t xml:space="preserve"> </w:t>
      </w:r>
      <w:proofErr w:type="gramStart"/>
      <w:r>
        <w:rPr>
          <w:lang w:val="en-AU"/>
        </w:rPr>
        <w:t>AusAID (2012).</w:t>
      </w:r>
      <w:proofErr w:type="gramEnd"/>
      <w:r>
        <w:rPr>
          <w:lang w:val="en-AU"/>
        </w:rPr>
        <w:t xml:space="preserve"> </w:t>
      </w:r>
      <w:r w:rsidRPr="00316D43">
        <w:rPr>
          <w:i/>
          <w:lang w:val="en-AU"/>
        </w:rPr>
        <w:t>Civil Society Engagement Framework</w:t>
      </w:r>
      <w:r>
        <w:rPr>
          <w:lang w:val="en-AU"/>
        </w:rPr>
        <w:t xml:space="preserve"> p 3</w:t>
      </w:r>
    </w:p>
  </w:footnote>
  <w:footnote w:id="33">
    <w:p w:rsidR="00645C55" w:rsidRPr="0016644E" w:rsidRDefault="00645C55" w:rsidP="0016644E">
      <w:pPr>
        <w:rPr>
          <w:sz w:val="20"/>
          <w:szCs w:val="20"/>
          <w:lang w:val="en-AU"/>
        </w:rPr>
      </w:pPr>
      <w:r w:rsidRPr="00607417">
        <w:rPr>
          <w:rStyle w:val="FootnoteReference"/>
          <w:sz w:val="20"/>
          <w:szCs w:val="20"/>
        </w:rPr>
        <w:footnoteRef/>
      </w:r>
      <w:r>
        <w:t xml:space="preserve"> </w:t>
      </w:r>
      <w:r w:rsidRPr="00E32199">
        <w:rPr>
          <w:sz w:val="20"/>
          <w:szCs w:val="20"/>
          <w:lang w:val="en-AU"/>
        </w:rPr>
        <w:t>Note that some NGOs included activities implemented by their international affiliates</w:t>
      </w:r>
      <w:r>
        <w:rPr>
          <w:sz w:val="20"/>
          <w:szCs w:val="20"/>
          <w:lang w:val="en-AU"/>
        </w:rPr>
        <w:t>, and that</w:t>
      </w:r>
      <w:r w:rsidRPr="00607417">
        <w:rPr>
          <w:sz w:val="20"/>
          <w:szCs w:val="20"/>
          <w:lang w:val="en-AU"/>
        </w:rPr>
        <w:t xml:space="preserve"> </w:t>
      </w:r>
      <w:r>
        <w:rPr>
          <w:sz w:val="20"/>
          <w:szCs w:val="20"/>
          <w:lang w:val="en-AU"/>
        </w:rPr>
        <w:t>m</w:t>
      </w:r>
      <w:r w:rsidRPr="00607417">
        <w:rPr>
          <w:sz w:val="20"/>
          <w:szCs w:val="20"/>
          <w:lang w:val="en-AU"/>
        </w:rPr>
        <w:t xml:space="preserve">ost ANGOs operate in Afghanistan through their international affiliates, as Afghanistan had not been a country of focus for Australian NGOs prior to 2001. For example, CARE is led by CARE USA, Oxfam by Oxfam </w:t>
      </w:r>
      <w:r>
        <w:rPr>
          <w:sz w:val="20"/>
          <w:szCs w:val="20"/>
          <w:lang w:val="en-AU"/>
        </w:rPr>
        <w:t xml:space="preserve">Great Britain and Oxfam NOVIB. </w:t>
      </w:r>
    </w:p>
  </w:footnote>
  <w:footnote w:id="34">
    <w:p w:rsidR="00645C55" w:rsidRPr="00131741" w:rsidRDefault="00645C55">
      <w:pPr>
        <w:pStyle w:val="FootnoteText"/>
        <w:rPr>
          <w:lang w:val="en-AU"/>
        </w:rPr>
      </w:pPr>
      <w:r>
        <w:rPr>
          <w:rStyle w:val="FootnoteReference"/>
        </w:rPr>
        <w:footnoteRef/>
      </w:r>
      <w:r>
        <w:t xml:space="preserve"> </w:t>
      </w:r>
      <w:r w:rsidRPr="00A43DAD">
        <w:t>The provinces without any current activities by Australian NGOs or their international affiliates are Farah, Nimruz, Paktika and Sar-e-pol</w:t>
      </w:r>
      <w:r>
        <w:t>.</w:t>
      </w:r>
    </w:p>
  </w:footnote>
  <w:footnote w:id="35">
    <w:p w:rsidR="00645C55" w:rsidRPr="00515342" w:rsidRDefault="00645C55" w:rsidP="0055008A">
      <w:pPr>
        <w:pStyle w:val="FootnoteText"/>
        <w:rPr>
          <w:lang w:val="en-AU"/>
        </w:rPr>
      </w:pPr>
      <w:r>
        <w:rPr>
          <w:rStyle w:val="FootnoteReference"/>
        </w:rPr>
        <w:footnoteRef/>
      </w:r>
      <w:r>
        <w:t xml:space="preserve"> </w:t>
      </w:r>
      <w:r>
        <w:rPr>
          <w:lang w:val="en-AU"/>
        </w:rPr>
        <w:t xml:space="preserve">Available </w:t>
      </w:r>
      <w:r w:rsidRPr="00CE1010">
        <w:rPr>
          <w:lang w:val="en-AU"/>
        </w:rPr>
        <w:t xml:space="preserve">at </w:t>
      </w:r>
      <w:hyperlink r:id="rId1" w:history="1">
        <w:r w:rsidRPr="00CE1010">
          <w:rPr>
            <w:rStyle w:val="Hyperlink"/>
            <w:color w:val="auto"/>
            <w:u w:val="none"/>
            <w:lang w:val="en-AU"/>
          </w:rPr>
          <w:t>www.ausaid.gov.au/ngos/Documents/civil-society-engagement-framework.pdf</w:t>
        </w:r>
      </w:hyperlink>
    </w:p>
  </w:footnote>
  <w:footnote w:id="36">
    <w:p w:rsidR="00645C55" w:rsidRPr="00A83819" w:rsidRDefault="00645C55" w:rsidP="0055008A">
      <w:pPr>
        <w:pStyle w:val="FootnoteText"/>
      </w:pPr>
      <w:r>
        <w:rPr>
          <w:rStyle w:val="FootnoteReference"/>
        </w:rPr>
        <w:footnoteRef/>
      </w:r>
      <w:r>
        <w:t xml:space="preserve"> </w:t>
      </w:r>
      <w:r w:rsidRPr="00966CA4">
        <w:rPr>
          <w:i/>
          <w:iCs/>
          <w:lang w:eastAsia="en-AU"/>
        </w:rPr>
        <w:t>Working Beyond Government:</w:t>
      </w:r>
      <w:r>
        <w:rPr>
          <w:i/>
          <w:iCs/>
          <w:lang w:eastAsia="en-AU"/>
        </w:rPr>
        <w:t xml:space="preserve"> Evaluation of AusAID’s Engagement with Civil Society in Developing Countries </w:t>
      </w:r>
      <w:r>
        <w:t xml:space="preserve">(available at: </w:t>
      </w:r>
      <w:r w:rsidRPr="000D1FB5">
        <w:t>http://www.ode.ausaid.gov.au/current_work/documents/cse-ode-civilsociety.pdf</w:t>
      </w:r>
      <w:r>
        <w:t>).</w:t>
      </w:r>
    </w:p>
  </w:footnote>
  <w:footnote w:id="37">
    <w:p w:rsidR="00645C55" w:rsidRPr="00696F2E" w:rsidRDefault="00645C55" w:rsidP="00B67494">
      <w:pPr>
        <w:pStyle w:val="FootnoteText"/>
        <w:rPr>
          <w:lang w:eastAsia="en-AU"/>
        </w:rPr>
      </w:pPr>
      <w:r>
        <w:rPr>
          <w:rStyle w:val="FootnoteReference"/>
        </w:rPr>
        <w:footnoteRef/>
      </w:r>
      <w:r>
        <w:t xml:space="preserve"> </w:t>
      </w:r>
      <w:proofErr w:type="gramStart"/>
      <w:r>
        <w:t>AusAID (2011).</w:t>
      </w:r>
      <w:proofErr w:type="gramEnd"/>
      <w:r>
        <w:t xml:space="preserve"> </w:t>
      </w:r>
      <w:r w:rsidRPr="00EF4EE0">
        <w:rPr>
          <w:i/>
          <w:iCs/>
          <w:lang w:eastAsia="en-AU"/>
        </w:rPr>
        <w:t>An Effective Aid Program for Australia</w:t>
      </w:r>
      <w:r>
        <w:rPr>
          <w:i/>
          <w:iCs/>
          <w:lang w:eastAsia="en-AU"/>
        </w:rPr>
        <w:t xml:space="preserve">: Making a real difference – Delivering real results, </w:t>
      </w:r>
      <w:r w:rsidRPr="00EF4EE0">
        <w:rPr>
          <w:lang w:eastAsia="en-AU"/>
        </w:rPr>
        <w:t>p 25</w:t>
      </w:r>
      <w:r>
        <w:rPr>
          <w:lang w:eastAsia="en-AU"/>
        </w:rPr>
        <w:t xml:space="preserve"> (available at </w:t>
      </w:r>
      <w:r w:rsidRPr="00D12515">
        <w:t>http://www.ausaid.gov.au/publications/Pages/5621_9774_1073_3040_2380.aspx</w:t>
      </w:r>
      <w:r>
        <w:rPr>
          <w:lang w:eastAsia="en-AU"/>
        </w:rPr>
        <w:t>).</w:t>
      </w:r>
    </w:p>
  </w:footnote>
  <w:footnote w:id="38">
    <w:p w:rsidR="00645C55" w:rsidRPr="00E5059A" w:rsidRDefault="00645C55" w:rsidP="00B67494">
      <w:pPr>
        <w:pStyle w:val="FootnoteText"/>
        <w:rPr>
          <w:lang w:val="en-AU"/>
        </w:rPr>
      </w:pPr>
      <w:r>
        <w:rPr>
          <w:rStyle w:val="FootnoteReference"/>
        </w:rPr>
        <w:footnoteRef/>
      </w:r>
      <w:r>
        <w:t xml:space="preserve"> </w:t>
      </w:r>
      <w:proofErr w:type="gramStart"/>
      <w:r>
        <w:t>AusAID (2011).</w:t>
      </w:r>
      <w:proofErr w:type="gramEnd"/>
      <w:r>
        <w:t xml:space="preserve"> </w:t>
      </w:r>
      <w:proofErr w:type="gramStart"/>
      <w:r w:rsidRPr="00EF4EE0">
        <w:rPr>
          <w:i/>
          <w:iCs/>
        </w:rPr>
        <w:t>Pacific Leadership Program.</w:t>
      </w:r>
      <w:proofErr w:type="gramEnd"/>
      <w:r w:rsidRPr="00EF4EE0">
        <w:rPr>
          <w:i/>
          <w:iCs/>
        </w:rPr>
        <w:t xml:space="preserve"> Operating Guidelines</w:t>
      </w:r>
      <w:r w:rsidRPr="00E5059A">
        <w:t>, Version 4, March.</w:t>
      </w:r>
    </w:p>
  </w:footnote>
  <w:footnote w:id="39">
    <w:p w:rsidR="00645C55" w:rsidRPr="00A3684D" w:rsidRDefault="00645C55" w:rsidP="00311456">
      <w:pPr>
        <w:pStyle w:val="FootnoteText"/>
        <w:rPr>
          <w:lang w:val="en-AU"/>
        </w:rPr>
      </w:pPr>
      <w:r>
        <w:rPr>
          <w:rStyle w:val="FootnoteReference"/>
        </w:rPr>
        <w:footnoteRef/>
      </w:r>
      <w:r>
        <w:t xml:space="preserve"> NGOs represented were </w:t>
      </w:r>
      <w:r w:rsidRPr="00742CC4">
        <w:rPr>
          <w:lang w:val="en-AU"/>
        </w:rPr>
        <w:t>Afghan Australian Development Organisation</w:t>
      </w:r>
      <w:r>
        <w:rPr>
          <w:lang w:val="en-AU"/>
        </w:rPr>
        <w:t xml:space="preserve"> (AADO), ActionAid Australia, Caritas Australia, CARE Australia, Islamic Relief, Mahboba’s Promise, Oxfam Australia, Save the Children Australia, and World Vision Australia. Representatives from AusAID and ACFID also attended.</w:t>
      </w:r>
    </w:p>
  </w:footnote>
  <w:footnote w:id="40">
    <w:p w:rsidR="00645C55" w:rsidRPr="00B520E2" w:rsidRDefault="00645C55" w:rsidP="00311456">
      <w:pPr>
        <w:pStyle w:val="FootnoteText"/>
        <w:rPr>
          <w:i/>
          <w:iCs/>
          <w:lang w:val="en-AU"/>
        </w:rPr>
      </w:pPr>
      <w:r>
        <w:rPr>
          <w:rStyle w:val="FootnoteReference"/>
        </w:rPr>
        <w:footnoteRef/>
      </w:r>
      <w:r>
        <w:t xml:space="preserve"> </w:t>
      </w:r>
      <w:proofErr w:type="gramStart"/>
      <w:r>
        <w:rPr>
          <w:lang w:val="en-AU"/>
        </w:rPr>
        <w:t>AusAID (2011).</w:t>
      </w:r>
      <w:proofErr w:type="gramEnd"/>
      <w:r>
        <w:rPr>
          <w:lang w:val="en-AU"/>
        </w:rPr>
        <w:t xml:space="preserve"> </w:t>
      </w:r>
      <w:r w:rsidRPr="00B520E2">
        <w:rPr>
          <w:i/>
          <w:iCs/>
          <w:lang w:val="en-AU"/>
        </w:rPr>
        <w:t>Mekong Programs: Future Engagement with NGOs: Discussion Paper</w:t>
      </w:r>
      <w:r>
        <w:rPr>
          <w:i/>
          <w:iCs/>
          <w:lang w:val="en-AU"/>
        </w:rPr>
        <w:t>.</w:t>
      </w:r>
    </w:p>
  </w:footnote>
  <w:footnote w:id="41">
    <w:p w:rsidR="00645C55" w:rsidRPr="00897BB5" w:rsidRDefault="00645C55" w:rsidP="0080739E">
      <w:pPr>
        <w:rPr>
          <w:rFonts w:ascii="Calibri" w:eastAsia="Cambria" w:hAnsi="Calibri" w:cs="Calibri"/>
          <w:lang w:eastAsia="en-US"/>
        </w:rPr>
      </w:pPr>
      <w:r w:rsidRPr="00897BB5">
        <w:rPr>
          <w:rStyle w:val="FootnoteReference"/>
          <w:sz w:val="20"/>
          <w:szCs w:val="20"/>
        </w:rPr>
        <w:footnoteRef/>
      </w:r>
      <w:r w:rsidRPr="00897BB5">
        <w:rPr>
          <w:rStyle w:val="FootnoteReference"/>
          <w:sz w:val="20"/>
          <w:szCs w:val="20"/>
        </w:rPr>
        <w:t xml:space="preserve"> </w:t>
      </w:r>
      <w:proofErr w:type="gramStart"/>
      <w:r w:rsidRPr="00897BB5">
        <w:rPr>
          <w:sz w:val="20"/>
          <w:szCs w:val="20"/>
        </w:rPr>
        <w:t>United Nati</w:t>
      </w:r>
      <w:r>
        <w:rPr>
          <w:sz w:val="20"/>
          <w:szCs w:val="20"/>
        </w:rPr>
        <w:t>ons Development Programme</w:t>
      </w:r>
      <w:r w:rsidRPr="00897BB5">
        <w:rPr>
          <w:sz w:val="20"/>
          <w:szCs w:val="20"/>
        </w:rPr>
        <w:t xml:space="preserve"> (2011)</w:t>
      </w:r>
      <w:r>
        <w:rPr>
          <w:sz w:val="20"/>
          <w:szCs w:val="20"/>
        </w:rPr>
        <w:t>.</w:t>
      </w:r>
      <w:proofErr w:type="gramEnd"/>
      <w:r w:rsidRPr="00897BB5">
        <w:rPr>
          <w:sz w:val="20"/>
          <w:szCs w:val="20"/>
        </w:rPr>
        <w:t xml:space="preserve"> </w:t>
      </w:r>
      <w:proofErr w:type="gramStart"/>
      <w:r w:rsidRPr="00897BB5">
        <w:rPr>
          <w:i/>
          <w:sz w:val="20"/>
          <w:szCs w:val="20"/>
        </w:rPr>
        <w:t>Human Development Statistics Afghanistan</w:t>
      </w:r>
      <w:r>
        <w:rPr>
          <w:sz w:val="20"/>
          <w:szCs w:val="20"/>
        </w:rPr>
        <w:t xml:space="preserve"> (available at </w:t>
      </w:r>
      <w:hyperlink r:id="rId2" w:history="1">
        <w:r w:rsidRPr="00897BB5">
          <w:rPr>
            <w:sz w:val="20"/>
            <w:szCs w:val="20"/>
          </w:rPr>
          <w:t>http://hdrstats.undp.org/images/explanations/AFG.pdf</w:t>
        </w:r>
      </w:hyperlink>
      <w:r>
        <w:rPr>
          <w:sz w:val="20"/>
          <w:szCs w:val="20"/>
        </w:rPr>
        <w:t>).</w:t>
      </w:r>
      <w:proofErr w:type="gramEnd"/>
    </w:p>
  </w:footnote>
  <w:footnote w:id="42">
    <w:p w:rsidR="00645C55" w:rsidRPr="00E85B94" w:rsidRDefault="00645C55">
      <w:pPr>
        <w:pStyle w:val="FootnoteText"/>
        <w:rPr>
          <w:lang w:val="en-AU"/>
        </w:rPr>
      </w:pPr>
      <w:r>
        <w:rPr>
          <w:rStyle w:val="FootnoteReference"/>
        </w:rPr>
        <w:footnoteRef/>
      </w:r>
      <w:r>
        <w:t xml:space="preserve"> </w:t>
      </w:r>
      <w:proofErr w:type="gramStart"/>
      <w:r w:rsidRPr="00FC567D">
        <w:rPr>
          <w:lang w:val="en-AU"/>
        </w:rPr>
        <w:t>AusAID (2009).</w:t>
      </w:r>
      <w:proofErr w:type="gramEnd"/>
      <w:r w:rsidRPr="00FC567D">
        <w:rPr>
          <w:lang w:val="en-AU"/>
        </w:rPr>
        <w:t xml:space="preserve"> </w:t>
      </w:r>
      <w:proofErr w:type="gramStart"/>
      <w:r w:rsidRPr="00FC567D">
        <w:rPr>
          <w:i/>
          <w:lang w:val="en-AU"/>
        </w:rPr>
        <w:t>Investing in a Safer Fut</w:t>
      </w:r>
      <w:r>
        <w:rPr>
          <w:i/>
          <w:lang w:val="en-AU"/>
        </w:rPr>
        <w:t>ure: A Disaster Risk Reduction P</w:t>
      </w:r>
      <w:r w:rsidRPr="00FC567D">
        <w:rPr>
          <w:i/>
          <w:lang w:val="en-AU"/>
        </w:rPr>
        <w:t>olicy for the Australian Aid Program</w:t>
      </w:r>
      <w:r>
        <w:rPr>
          <w:lang w:val="en-AU"/>
        </w:rPr>
        <w:t xml:space="preserve"> p 25.</w:t>
      </w:r>
      <w:proofErr w:type="gramEnd"/>
    </w:p>
  </w:footnote>
  <w:footnote w:id="43">
    <w:p w:rsidR="00645C55" w:rsidRPr="00472B5B" w:rsidRDefault="00645C55" w:rsidP="0080739E">
      <w:pPr>
        <w:pStyle w:val="FootnoteText"/>
      </w:pPr>
      <w:r>
        <w:rPr>
          <w:rStyle w:val="FootnoteReference"/>
        </w:rPr>
        <w:footnoteRef/>
      </w:r>
      <w:r>
        <w:t xml:space="preserve"> </w:t>
      </w:r>
      <w:proofErr w:type="gramStart"/>
      <w:r w:rsidRPr="00472B5B">
        <w:t>AusAID (20</w:t>
      </w:r>
      <w:r>
        <w:t>09).</w:t>
      </w:r>
      <w:proofErr w:type="gramEnd"/>
      <w:r>
        <w:t xml:space="preserve"> </w:t>
      </w:r>
      <w:r w:rsidRPr="00372ED8">
        <w:rPr>
          <w:i/>
          <w:iCs/>
        </w:rPr>
        <w:t xml:space="preserve">Child </w:t>
      </w:r>
      <w:r>
        <w:rPr>
          <w:i/>
          <w:iCs/>
        </w:rPr>
        <w:t>Protection P</w:t>
      </w:r>
      <w:r w:rsidRPr="00372ED8">
        <w:rPr>
          <w:i/>
          <w:iCs/>
        </w:rPr>
        <w:t>olicy</w:t>
      </w:r>
      <w:r>
        <w:t xml:space="preserve"> (available at: </w:t>
      </w:r>
      <w:r w:rsidRPr="00C4578B">
        <w:t>www.ausaid.gov.au/Publications/Documents/child_protection.pdf</w:t>
      </w:r>
      <w:r w:rsidRPr="00C4578B">
        <w:rPr>
          <w:rStyle w:val="Hyperlink"/>
          <w:u w:val="none"/>
        </w:rPr>
        <w:t>.</w:t>
      </w:r>
    </w:p>
  </w:footnote>
  <w:footnote w:id="44">
    <w:p w:rsidR="00645C55" w:rsidRPr="007F33AF" w:rsidRDefault="00645C55" w:rsidP="004D5AD4">
      <w:pPr>
        <w:pStyle w:val="FootnoteText"/>
        <w:rPr>
          <w:lang w:val="en-AU"/>
        </w:rPr>
      </w:pPr>
      <w:r w:rsidRPr="007F33AF">
        <w:rPr>
          <w:rStyle w:val="FootnoteReference"/>
        </w:rPr>
        <w:footnoteRef/>
      </w:r>
      <w:r>
        <w:t xml:space="preserve"> </w:t>
      </w:r>
      <w:proofErr w:type="gramStart"/>
      <w:r w:rsidRPr="007F33AF">
        <w:t>AusAID</w:t>
      </w:r>
      <w:r>
        <w:t xml:space="preserve"> (2008</w:t>
      </w:r>
      <w:r w:rsidRPr="007F33AF">
        <w:t>).</w:t>
      </w:r>
      <w:proofErr w:type="gramEnd"/>
      <w:r w:rsidRPr="007F33AF">
        <w:t xml:space="preserve"> </w:t>
      </w:r>
      <w:r w:rsidRPr="007F33AF">
        <w:rPr>
          <w:i/>
        </w:rPr>
        <w:t>Development for All Towards a disability-inclusive Australian aid program 2009–2014</w:t>
      </w:r>
      <w:r w:rsidRPr="007F33AF">
        <w:t xml:space="preserve"> </w:t>
      </w:r>
      <w:r>
        <w:t xml:space="preserve">p 1 </w:t>
      </w:r>
      <w:r w:rsidRPr="007F33AF">
        <w:t>(available at: http://www.ausaid.gov.au/Publications/Documents/dev-for-all.pdf)</w:t>
      </w:r>
    </w:p>
  </w:footnote>
  <w:footnote w:id="45">
    <w:p w:rsidR="00645C55" w:rsidRPr="00AD0541" w:rsidRDefault="00645C55" w:rsidP="0080739E">
      <w:pPr>
        <w:pStyle w:val="FootnoteText"/>
        <w:rPr>
          <w:i/>
          <w:iCs/>
        </w:rPr>
      </w:pPr>
      <w:r>
        <w:rPr>
          <w:rStyle w:val="FootnoteReference"/>
        </w:rPr>
        <w:footnoteRef/>
      </w:r>
      <w:r>
        <w:t xml:space="preserve"> </w:t>
      </w:r>
      <w:proofErr w:type="gramStart"/>
      <w:r>
        <w:t>AusAID (2009).</w:t>
      </w:r>
      <w:proofErr w:type="gramEnd"/>
      <w:r>
        <w:t xml:space="preserve"> </w:t>
      </w:r>
      <w:proofErr w:type="gramStart"/>
      <w:r>
        <w:rPr>
          <w:i/>
          <w:iCs/>
        </w:rPr>
        <w:t>Investing in a Safer Future.</w:t>
      </w:r>
      <w:proofErr w:type="gramEnd"/>
      <w:r>
        <w:rPr>
          <w:i/>
          <w:iCs/>
        </w:rPr>
        <w:t xml:space="preserve"> A Disaster Risk Reduction Policy for the Australian Aid P</w:t>
      </w:r>
      <w:r w:rsidRPr="00372ED8">
        <w:rPr>
          <w:i/>
          <w:iCs/>
        </w:rPr>
        <w:t>rogram</w:t>
      </w:r>
      <w:r>
        <w:rPr>
          <w:i/>
          <w:iCs/>
        </w:rPr>
        <w:t xml:space="preserve"> </w:t>
      </w:r>
    </w:p>
  </w:footnote>
  <w:footnote w:id="46">
    <w:p w:rsidR="00645C55" w:rsidRPr="004F088A" w:rsidRDefault="00645C55">
      <w:pPr>
        <w:pStyle w:val="FootnoteText"/>
        <w:rPr>
          <w:lang w:val="en-AU"/>
        </w:rPr>
      </w:pPr>
      <w:r>
        <w:rPr>
          <w:rStyle w:val="FootnoteReference"/>
        </w:rPr>
        <w:footnoteRef/>
      </w:r>
      <w:r>
        <w:t xml:space="preserve"> Available at: </w:t>
      </w:r>
      <w:r w:rsidRPr="004F088A">
        <w:t>www.ausaid.gov.au/Publications/Documents/fraud-policy-statement.pdf</w:t>
      </w:r>
    </w:p>
  </w:footnote>
  <w:footnote w:id="47">
    <w:p w:rsidR="00645C55" w:rsidRPr="003C35A7" w:rsidRDefault="00645C55" w:rsidP="003C35A7">
      <w:pPr>
        <w:rPr>
          <w:lang w:val="en-AU" w:eastAsia="en-AU"/>
        </w:rPr>
      </w:pPr>
      <w:r w:rsidRPr="003C35A7">
        <w:rPr>
          <w:rStyle w:val="FootnoteReference"/>
          <w:sz w:val="20"/>
          <w:szCs w:val="20"/>
        </w:rPr>
        <w:footnoteRef/>
      </w:r>
      <w:r w:rsidRPr="003C35A7">
        <w:rPr>
          <w:rStyle w:val="FootnoteReference"/>
          <w:sz w:val="20"/>
          <w:szCs w:val="20"/>
        </w:rPr>
        <w:t xml:space="preserve"> </w:t>
      </w:r>
      <w:r w:rsidRPr="001E681E">
        <w:rPr>
          <w:sz w:val="20"/>
          <w:szCs w:val="20"/>
          <w:lang w:val="en-AU"/>
        </w:rPr>
        <w:t xml:space="preserve">Available at: </w:t>
      </w:r>
      <w:r w:rsidRPr="001E681E">
        <w:rPr>
          <w:rStyle w:val="Hyperlink"/>
          <w:color w:val="auto"/>
          <w:sz w:val="20"/>
          <w:szCs w:val="20"/>
          <w:u w:val="none"/>
        </w:rPr>
        <w:t>www.ausaid.gov.au/Publications/Documents/aid-fragile-conflict-affected-states-staff-guidance.pdf</w:t>
      </w:r>
    </w:p>
  </w:footnote>
  <w:footnote w:id="48">
    <w:p w:rsidR="00645C55" w:rsidRPr="00564B31" w:rsidRDefault="00645C55" w:rsidP="0080739E">
      <w:pPr>
        <w:pStyle w:val="FootnoteText"/>
        <w:rPr>
          <w:lang w:val="en-AU"/>
        </w:rPr>
      </w:pPr>
      <w:r>
        <w:rPr>
          <w:rStyle w:val="FootnoteReference"/>
        </w:rPr>
        <w:footnoteRef/>
      </w:r>
      <w:r>
        <w:t xml:space="preserve"> </w:t>
      </w:r>
      <w:proofErr w:type="gramStart"/>
      <w:r>
        <w:rPr>
          <w:lang w:val="en-AU"/>
        </w:rPr>
        <w:t>AusAID (2012).</w:t>
      </w:r>
      <w:proofErr w:type="gramEnd"/>
      <w:r>
        <w:rPr>
          <w:lang w:val="en-AU"/>
        </w:rPr>
        <w:t xml:space="preserve"> </w:t>
      </w:r>
      <w:r w:rsidRPr="0077573C">
        <w:rPr>
          <w:i/>
          <w:lang w:val="en-AU"/>
        </w:rPr>
        <w:t>Environmental Management Guide for Australia’s Aid Program 2012: AusAID’s Environment Management System</w:t>
      </w:r>
      <w:r>
        <w:rPr>
          <w:i/>
          <w:lang w:val="en-AU"/>
        </w:rPr>
        <w:t xml:space="preserve"> </w:t>
      </w:r>
      <w:r>
        <w:t>(available at:</w:t>
      </w:r>
      <w:r>
        <w:rPr>
          <w:lang w:val="en-AU"/>
        </w:rPr>
        <w:t xml:space="preserve"> </w:t>
      </w:r>
      <w:r w:rsidRPr="003C35A7">
        <w:t>www.ausaid.gov.au/aidissues/environment/Documents/environment-management-guide-2012.pdf</w:t>
      </w:r>
      <w:r w:rsidRPr="008609A2">
        <w:t>).</w:t>
      </w:r>
      <w:r>
        <w:t xml:space="preserve"> </w:t>
      </w:r>
    </w:p>
  </w:footnote>
  <w:footnote w:id="49">
    <w:p w:rsidR="00645C55" w:rsidRPr="00CA310A" w:rsidRDefault="00645C55" w:rsidP="00CE1010">
      <w:pPr>
        <w:pStyle w:val="FootnoteText"/>
        <w:rPr>
          <w:lang w:val="en-AU"/>
        </w:rPr>
      </w:pPr>
      <w:r>
        <w:rPr>
          <w:rStyle w:val="FootnoteReference"/>
        </w:rPr>
        <w:footnoteRef/>
      </w:r>
      <w:r>
        <w:t xml:space="preserve"> </w:t>
      </w:r>
      <w:r>
        <w:rPr>
          <w:lang w:val="en-AU"/>
        </w:rPr>
        <w:t xml:space="preserve">The Afghan Ministry of Economy </w:t>
      </w:r>
      <w:r>
        <w:t>have responsibility for coordinating international NGO efforts in Afghanistan, including licensing NGOs, and monitoring and coordinating activities at district, provincial and community level.</w:t>
      </w:r>
    </w:p>
  </w:footnote>
  <w:footnote w:id="50">
    <w:p w:rsidR="00645C55" w:rsidRPr="00084076" w:rsidRDefault="00645C55" w:rsidP="0080739E">
      <w:pPr>
        <w:pStyle w:val="FootnoteText"/>
        <w:rPr>
          <w:lang w:val="en-AU"/>
        </w:rPr>
      </w:pPr>
      <w:r>
        <w:rPr>
          <w:rStyle w:val="FootnoteReference"/>
        </w:rPr>
        <w:footnoteRef/>
      </w:r>
      <w:r>
        <w:t xml:space="preserve"> </w:t>
      </w:r>
      <w:r>
        <w:rPr>
          <w:lang w:val="en-AU"/>
        </w:rPr>
        <w:t>The SGC may also consider whether to invite representatives from Afghan umbrella NGO organisations, such as ACBAR, to the meetings as observers.</w:t>
      </w:r>
    </w:p>
  </w:footnote>
  <w:footnote w:id="51">
    <w:p w:rsidR="00645C55" w:rsidRPr="00870630" w:rsidRDefault="00645C55">
      <w:pPr>
        <w:pStyle w:val="FootnoteText"/>
        <w:rPr>
          <w:lang w:val="en-AU"/>
        </w:rPr>
      </w:pPr>
      <w:r>
        <w:rPr>
          <w:rStyle w:val="FootnoteReference"/>
        </w:rPr>
        <w:footnoteRef/>
      </w:r>
      <w:r>
        <w:t xml:space="preserve"> </w:t>
      </w:r>
      <w:r>
        <w:rPr>
          <w:lang w:val="en-AU"/>
        </w:rPr>
        <w:t>AusAID will consider having an AACRS partner NGO sit on the selection panel if ACFID are unable to take part.</w:t>
      </w:r>
    </w:p>
  </w:footnote>
  <w:footnote w:id="52">
    <w:p w:rsidR="00645C55" w:rsidRPr="003C35A7" w:rsidRDefault="00645C55" w:rsidP="00E5367B">
      <w:pPr>
        <w:rPr>
          <w:lang w:val="en-AU" w:eastAsia="en-AU"/>
        </w:rPr>
      </w:pPr>
      <w:r w:rsidRPr="003C35A7">
        <w:rPr>
          <w:rStyle w:val="FootnoteReference"/>
          <w:sz w:val="20"/>
          <w:szCs w:val="20"/>
        </w:rPr>
        <w:footnoteRef/>
      </w:r>
      <w:r w:rsidRPr="003C35A7">
        <w:rPr>
          <w:rStyle w:val="FootnoteReference"/>
          <w:sz w:val="20"/>
          <w:szCs w:val="20"/>
        </w:rPr>
        <w:t xml:space="preserve"> </w:t>
      </w:r>
      <w:r w:rsidRPr="003C35A7">
        <w:rPr>
          <w:sz w:val="20"/>
          <w:szCs w:val="20"/>
          <w:lang w:val="en-AU"/>
        </w:rPr>
        <w:t>Availabl</w:t>
      </w:r>
      <w:r w:rsidRPr="00C97EAC">
        <w:rPr>
          <w:sz w:val="20"/>
          <w:szCs w:val="20"/>
          <w:lang w:val="en-AU"/>
        </w:rPr>
        <w:t xml:space="preserve">e at: </w:t>
      </w:r>
      <w:r w:rsidRPr="00C97EAC">
        <w:rPr>
          <w:rStyle w:val="Hyperlink"/>
          <w:color w:val="auto"/>
          <w:sz w:val="20"/>
          <w:szCs w:val="20"/>
          <w:u w:val="none"/>
        </w:rPr>
        <w:t>www.ausaid.gov.au/Publications/Documents/aid-fragile-conflict-affected-states-staff-guidance.pdf</w:t>
      </w:r>
    </w:p>
  </w:footnote>
  <w:footnote w:id="53">
    <w:p w:rsidR="00645C55" w:rsidRPr="004D5AD4" w:rsidRDefault="00645C55">
      <w:pPr>
        <w:pStyle w:val="FootnoteText"/>
        <w:rPr>
          <w:lang w:val="en-AU"/>
        </w:rPr>
      </w:pPr>
      <w:r>
        <w:rPr>
          <w:rStyle w:val="FootnoteReference"/>
        </w:rPr>
        <w:footnoteRef/>
      </w:r>
      <w:r>
        <w:t xml:space="preserve"> </w:t>
      </w:r>
      <w:r>
        <w:rPr>
          <w:lang w:val="en-AU"/>
        </w:rPr>
        <w:t xml:space="preserve">Available at: </w:t>
      </w:r>
      <w:r w:rsidRPr="004D5AD4">
        <w:rPr>
          <w:lang w:val="en-AU"/>
        </w:rPr>
        <w:t>www.ausaid.gov.au/makediff/ode/Documents/performance_policy.pdf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55" w:rsidRDefault="00645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DBB"/>
    <w:multiLevelType w:val="hybridMultilevel"/>
    <w:tmpl w:val="76CE2FAA"/>
    <w:lvl w:ilvl="0" w:tplc="0F50D39C">
      <w:start w:val="1"/>
      <w:numFmt w:val="bullet"/>
      <w:lvlText w:val="-"/>
      <w:lvlJc w:val="left"/>
      <w:pPr>
        <w:ind w:left="360" w:hanging="360"/>
      </w:pPr>
      <w:rPr>
        <w:rFonts w:ascii="Book Antiqua" w:eastAsia="SimSun" w:hAnsi="Book Antiqua" w:cs="Times" w:hint="default"/>
      </w:rPr>
    </w:lvl>
    <w:lvl w:ilvl="1" w:tplc="C39E196A">
      <w:start w:val="1"/>
      <w:numFmt w:val="bullet"/>
      <w:lvlText w:val="o"/>
      <w:lvlJc w:val="left"/>
      <w:pPr>
        <w:ind w:left="1080" w:hanging="360"/>
      </w:pPr>
      <w:rPr>
        <w:rFonts w:ascii="Courier New" w:hAnsi="Courier New" w:cs="Courier New" w:hint="default"/>
      </w:rPr>
    </w:lvl>
    <w:lvl w:ilvl="2" w:tplc="355A32D2">
      <w:start w:val="1"/>
      <w:numFmt w:val="bullet"/>
      <w:lvlText w:val=""/>
      <w:lvlJc w:val="left"/>
      <w:pPr>
        <w:ind w:left="1800" w:hanging="360"/>
      </w:pPr>
      <w:rPr>
        <w:rFonts w:ascii="Wingdings" w:hAnsi="Wingdings" w:hint="default"/>
      </w:rPr>
    </w:lvl>
    <w:lvl w:ilvl="3" w:tplc="1A441464" w:tentative="1">
      <w:start w:val="1"/>
      <w:numFmt w:val="bullet"/>
      <w:lvlText w:val=""/>
      <w:lvlJc w:val="left"/>
      <w:pPr>
        <w:ind w:left="2520" w:hanging="360"/>
      </w:pPr>
      <w:rPr>
        <w:rFonts w:ascii="Symbol" w:hAnsi="Symbol" w:hint="default"/>
      </w:rPr>
    </w:lvl>
    <w:lvl w:ilvl="4" w:tplc="A0FED89A" w:tentative="1">
      <w:start w:val="1"/>
      <w:numFmt w:val="bullet"/>
      <w:lvlText w:val="o"/>
      <w:lvlJc w:val="left"/>
      <w:pPr>
        <w:ind w:left="3240" w:hanging="360"/>
      </w:pPr>
      <w:rPr>
        <w:rFonts w:ascii="Courier New" w:hAnsi="Courier New" w:cs="Courier New" w:hint="default"/>
      </w:rPr>
    </w:lvl>
    <w:lvl w:ilvl="5" w:tplc="30F48A64" w:tentative="1">
      <w:start w:val="1"/>
      <w:numFmt w:val="bullet"/>
      <w:lvlText w:val=""/>
      <w:lvlJc w:val="left"/>
      <w:pPr>
        <w:ind w:left="3960" w:hanging="360"/>
      </w:pPr>
      <w:rPr>
        <w:rFonts w:ascii="Wingdings" w:hAnsi="Wingdings" w:hint="default"/>
      </w:rPr>
    </w:lvl>
    <w:lvl w:ilvl="6" w:tplc="97AC408E" w:tentative="1">
      <w:start w:val="1"/>
      <w:numFmt w:val="bullet"/>
      <w:lvlText w:val=""/>
      <w:lvlJc w:val="left"/>
      <w:pPr>
        <w:ind w:left="4680" w:hanging="360"/>
      </w:pPr>
      <w:rPr>
        <w:rFonts w:ascii="Symbol" w:hAnsi="Symbol" w:hint="default"/>
      </w:rPr>
    </w:lvl>
    <w:lvl w:ilvl="7" w:tplc="F60E033E" w:tentative="1">
      <w:start w:val="1"/>
      <w:numFmt w:val="bullet"/>
      <w:lvlText w:val="o"/>
      <w:lvlJc w:val="left"/>
      <w:pPr>
        <w:ind w:left="5400" w:hanging="360"/>
      </w:pPr>
      <w:rPr>
        <w:rFonts w:ascii="Courier New" w:hAnsi="Courier New" w:cs="Courier New" w:hint="default"/>
      </w:rPr>
    </w:lvl>
    <w:lvl w:ilvl="8" w:tplc="BDA852A6" w:tentative="1">
      <w:start w:val="1"/>
      <w:numFmt w:val="bullet"/>
      <w:lvlText w:val=""/>
      <w:lvlJc w:val="left"/>
      <w:pPr>
        <w:ind w:left="6120" w:hanging="360"/>
      </w:pPr>
      <w:rPr>
        <w:rFonts w:ascii="Wingdings" w:hAnsi="Wingdings" w:hint="default"/>
      </w:rPr>
    </w:lvl>
  </w:abstractNum>
  <w:abstractNum w:abstractNumId="1">
    <w:nsid w:val="04253E95"/>
    <w:multiLevelType w:val="hybridMultilevel"/>
    <w:tmpl w:val="787248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6550E1F"/>
    <w:multiLevelType w:val="hybridMultilevel"/>
    <w:tmpl w:val="DD0CBD7C"/>
    <w:lvl w:ilvl="0" w:tplc="C0922DEE">
      <w:start w:val="1"/>
      <w:numFmt w:val="bullet"/>
      <w:lvlText w:val="−"/>
      <w:lvlJc w:val="left"/>
      <w:pPr>
        <w:ind w:left="1080" w:hanging="360"/>
      </w:pPr>
      <w:rPr>
        <w:rFonts w:ascii="Tahoma" w:hAnsi="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0B097944"/>
    <w:multiLevelType w:val="hybridMultilevel"/>
    <w:tmpl w:val="654A3CDC"/>
    <w:lvl w:ilvl="0" w:tplc="1714CBBC">
      <w:start w:val="1"/>
      <w:numFmt w:val="decimal"/>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C40F16"/>
    <w:multiLevelType w:val="hybridMultilevel"/>
    <w:tmpl w:val="50505D0E"/>
    <w:lvl w:ilvl="0" w:tplc="B420DC0C">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E7E2836"/>
    <w:multiLevelType w:val="hybridMultilevel"/>
    <w:tmpl w:val="C3CA8DD4"/>
    <w:lvl w:ilvl="0" w:tplc="C0922DEE">
      <w:start w:val="1"/>
      <w:numFmt w:val="bullet"/>
      <w:lvlText w:val="−"/>
      <w:lvlJc w:val="left"/>
      <w:pPr>
        <w:ind w:left="720" w:hanging="360"/>
      </w:pPr>
      <w:rPr>
        <w:rFonts w:ascii="Tahoma" w:hAnsi="Tahoma"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2D660BB"/>
    <w:multiLevelType w:val="hybridMultilevel"/>
    <w:tmpl w:val="548CD8F8"/>
    <w:lvl w:ilvl="0" w:tplc="C0922DEE">
      <w:start w:val="1"/>
      <w:numFmt w:val="bullet"/>
      <w:lvlText w:val="−"/>
      <w:lvlJc w:val="left"/>
      <w:pPr>
        <w:ind w:left="72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AE3EA9"/>
    <w:multiLevelType w:val="hybridMultilevel"/>
    <w:tmpl w:val="2C54F85C"/>
    <w:lvl w:ilvl="0" w:tplc="C0922DEE">
      <w:start w:val="1"/>
      <w:numFmt w:val="bullet"/>
      <w:lvlText w:val="−"/>
      <w:lvlJc w:val="left"/>
      <w:pPr>
        <w:ind w:left="72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360BA5"/>
    <w:multiLevelType w:val="hybridMultilevel"/>
    <w:tmpl w:val="4934D878"/>
    <w:name w:val="StandardBulletedList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E0D2063"/>
    <w:multiLevelType w:val="hybridMultilevel"/>
    <w:tmpl w:val="5ABC30C4"/>
    <w:lvl w:ilvl="0" w:tplc="C0922DEE">
      <w:start w:val="1"/>
      <w:numFmt w:val="bullet"/>
      <w:lvlText w:val="−"/>
      <w:lvlJc w:val="left"/>
      <w:pPr>
        <w:ind w:left="720" w:hanging="360"/>
      </w:pPr>
      <w:rPr>
        <w:rFonts w:ascii="Tahoma" w:hAnsi="Tahom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B228F6"/>
    <w:multiLevelType w:val="hybridMultilevel"/>
    <w:tmpl w:val="25C6A1AC"/>
    <w:lvl w:ilvl="0" w:tplc="C0922DEE">
      <w:start w:val="1"/>
      <w:numFmt w:val="bullet"/>
      <w:lvlText w:val="−"/>
      <w:lvlJc w:val="left"/>
      <w:pPr>
        <w:ind w:left="72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79A095E"/>
    <w:multiLevelType w:val="hybridMultilevel"/>
    <w:tmpl w:val="2782FA14"/>
    <w:lvl w:ilvl="0" w:tplc="0C09000B">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9AE3C0A"/>
    <w:multiLevelType w:val="hybridMultilevel"/>
    <w:tmpl w:val="15CCBB2A"/>
    <w:lvl w:ilvl="0" w:tplc="C0922DEE">
      <w:start w:val="1"/>
      <w:numFmt w:val="bullet"/>
      <w:lvlText w:val="−"/>
      <w:lvlJc w:val="left"/>
      <w:pPr>
        <w:ind w:left="1440" w:hanging="360"/>
      </w:pPr>
      <w:rPr>
        <w:rFonts w:ascii="Tahoma" w:hAnsi="Tahoma"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2E482D19"/>
    <w:multiLevelType w:val="hybridMultilevel"/>
    <w:tmpl w:val="AF7813E8"/>
    <w:lvl w:ilvl="0" w:tplc="C0922DEE">
      <w:start w:val="1"/>
      <w:numFmt w:val="bullet"/>
      <w:lvlText w:val="−"/>
      <w:lvlJc w:val="left"/>
      <w:pPr>
        <w:ind w:left="0" w:hanging="360"/>
      </w:pPr>
      <w:rPr>
        <w:rFonts w:ascii="Tahoma" w:hAnsi="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2E5940D7"/>
    <w:multiLevelType w:val="hybridMultilevel"/>
    <w:tmpl w:val="6CB60C0C"/>
    <w:lvl w:ilvl="0" w:tplc="C0922DEE">
      <w:start w:val="1"/>
      <w:numFmt w:val="bullet"/>
      <w:lvlText w:val="−"/>
      <w:lvlJc w:val="left"/>
      <w:pPr>
        <w:ind w:left="720" w:hanging="360"/>
      </w:pPr>
      <w:rPr>
        <w:rFonts w:ascii="Tahoma" w:hAnsi="Tahom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67A162B"/>
    <w:multiLevelType w:val="multilevel"/>
    <w:tmpl w:val="D9067256"/>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36C14B66"/>
    <w:multiLevelType w:val="hybridMultilevel"/>
    <w:tmpl w:val="97D8C4AA"/>
    <w:lvl w:ilvl="0" w:tplc="C0922DEE">
      <w:start w:val="1"/>
      <w:numFmt w:val="bullet"/>
      <w:lvlText w:val="−"/>
      <w:lvlJc w:val="left"/>
      <w:pPr>
        <w:ind w:left="295" w:hanging="360"/>
      </w:pPr>
      <w:rPr>
        <w:rFonts w:ascii="Tahoma" w:hAnsi="Tahoma" w:hint="default"/>
      </w:rPr>
    </w:lvl>
    <w:lvl w:ilvl="1" w:tplc="C0922DEE">
      <w:start w:val="1"/>
      <w:numFmt w:val="bullet"/>
      <w:lvlText w:val="−"/>
      <w:lvlJc w:val="left"/>
      <w:pPr>
        <w:ind w:left="1015" w:hanging="360"/>
      </w:pPr>
      <w:rPr>
        <w:rFonts w:ascii="Tahoma" w:hAnsi="Tahoma"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17">
    <w:nsid w:val="36EF1D7E"/>
    <w:multiLevelType w:val="hybridMultilevel"/>
    <w:tmpl w:val="436CDBC2"/>
    <w:lvl w:ilvl="0" w:tplc="C0922DEE">
      <w:start w:val="1"/>
      <w:numFmt w:val="bullet"/>
      <w:lvlText w:val="−"/>
      <w:lvlJc w:val="left"/>
      <w:pPr>
        <w:ind w:left="72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3449C4"/>
    <w:multiLevelType w:val="hybridMultilevel"/>
    <w:tmpl w:val="2C088822"/>
    <w:lvl w:ilvl="0" w:tplc="C0922DEE">
      <w:start w:val="1"/>
      <w:numFmt w:val="bullet"/>
      <w:lvlText w:val="−"/>
      <w:lvlJc w:val="left"/>
      <w:pPr>
        <w:ind w:left="1080" w:hanging="360"/>
      </w:pPr>
      <w:rPr>
        <w:rFonts w:ascii="Tahoma" w:hAnsi="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3A2D193F"/>
    <w:multiLevelType w:val="hybridMultilevel"/>
    <w:tmpl w:val="93825CF2"/>
    <w:lvl w:ilvl="0" w:tplc="C0922DEE">
      <w:start w:val="1"/>
      <w:numFmt w:val="bullet"/>
      <w:lvlText w:val="−"/>
      <w:lvlJc w:val="left"/>
      <w:pPr>
        <w:ind w:left="72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A4601E"/>
    <w:multiLevelType w:val="multilevel"/>
    <w:tmpl w:val="3CC6D2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C45592C"/>
    <w:multiLevelType w:val="hybridMultilevel"/>
    <w:tmpl w:val="9D02E730"/>
    <w:lvl w:ilvl="0" w:tplc="82DC97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EB02AD3"/>
    <w:multiLevelType w:val="hybridMultilevel"/>
    <w:tmpl w:val="28D4B078"/>
    <w:lvl w:ilvl="0" w:tplc="C0922DEE">
      <w:start w:val="1"/>
      <w:numFmt w:val="bullet"/>
      <w:lvlText w:val="−"/>
      <w:lvlJc w:val="left"/>
      <w:pPr>
        <w:ind w:left="72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767EC1"/>
    <w:multiLevelType w:val="hybridMultilevel"/>
    <w:tmpl w:val="325EBE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43150C8"/>
    <w:multiLevelType w:val="hybridMultilevel"/>
    <w:tmpl w:val="B4DA8D9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87F73C5"/>
    <w:multiLevelType w:val="hybridMultilevel"/>
    <w:tmpl w:val="4456F2CA"/>
    <w:lvl w:ilvl="0" w:tplc="C0922DEE">
      <w:start w:val="1"/>
      <w:numFmt w:val="bullet"/>
      <w:lvlText w:val="−"/>
      <w:lvlJc w:val="left"/>
      <w:pPr>
        <w:ind w:left="72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E0A2CB4"/>
    <w:multiLevelType w:val="hybridMultilevel"/>
    <w:tmpl w:val="713C84F6"/>
    <w:lvl w:ilvl="0" w:tplc="C0922DEE">
      <w:start w:val="1"/>
      <w:numFmt w:val="bullet"/>
      <w:lvlText w:val="−"/>
      <w:lvlJc w:val="left"/>
      <w:pPr>
        <w:ind w:left="1080" w:hanging="360"/>
      </w:pPr>
      <w:rPr>
        <w:rFonts w:ascii="Tahoma" w:hAnsi="Tahoma"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55A31BF8"/>
    <w:multiLevelType w:val="hybridMultilevel"/>
    <w:tmpl w:val="C1AC5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7B3445D"/>
    <w:multiLevelType w:val="hybridMultilevel"/>
    <w:tmpl w:val="A6E6524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58516829"/>
    <w:multiLevelType w:val="hybridMultilevel"/>
    <w:tmpl w:val="2A78979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8D596D"/>
    <w:multiLevelType w:val="hybridMultilevel"/>
    <w:tmpl w:val="C168287E"/>
    <w:lvl w:ilvl="0" w:tplc="C0922DEE">
      <w:start w:val="1"/>
      <w:numFmt w:val="bullet"/>
      <w:lvlText w:val="−"/>
      <w:lvlJc w:val="left"/>
      <w:pPr>
        <w:ind w:left="720" w:hanging="360"/>
      </w:pPr>
      <w:rPr>
        <w:rFonts w:ascii="Tahoma" w:hAnsi="Tahoma"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593209C1"/>
    <w:multiLevelType w:val="hybridMultilevel"/>
    <w:tmpl w:val="E02A361E"/>
    <w:lvl w:ilvl="0" w:tplc="C0922DEE">
      <w:start w:val="1"/>
      <w:numFmt w:val="bullet"/>
      <w:lvlText w:val="−"/>
      <w:lvlJc w:val="left"/>
      <w:pPr>
        <w:ind w:left="720" w:hanging="360"/>
      </w:pPr>
      <w:rPr>
        <w:rFonts w:ascii="Tahoma" w:hAnsi="Tahoma"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A35376D"/>
    <w:multiLevelType w:val="multilevel"/>
    <w:tmpl w:val="5DE0BE90"/>
    <w:lvl w:ilvl="0">
      <w:start w:val="1"/>
      <w:numFmt w:val="bullet"/>
      <w:lvlText w:val=""/>
      <w:lvlJc w:val="left"/>
      <w:pPr>
        <w:tabs>
          <w:tab w:val="num" w:pos="340"/>
        </w:tabs>
        <w:ind w:left="360" w:hanging="360"/>
      </w:pPr>
      <w:rPr>
        <w:rFonts w:ascii="Symbol" w:hAnsi="Symbol" w:hint="default"/>
      </w:rPr>
    </w:lvl>
    <w:lvl w:ilvl="1">
      <w:start w:val="1"/>
      <w:numFmt w:val="bullet"/>
      <w:lvlText w:val="–"/>
      <w:lvlJc w:val="left"/>
      <w:pPr>
        <w:tabs>
          <w:tab w:val="num" w:pos="907"/>
        </w:tabs>
        <w:ind w:left="720" w:hanging="380"/>
      </w:pPr>
      <w:rPr>
        <w:rFonts w:ascii="Times New Roman" w:hAnsi="Times New Roman" w:cs="Times New Roman" w:hint="default"/>
        <w:b w:val="0"/>
        <w:i w:val="0"/>
        <w:color w:val="auto"/>
        <w:sz w:val="22"/>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6AAE761C"/>
    <w:multiLevelType w:val="hybridMultilevel"/>
    <w:tmpl w:val="BCC08464"/>
    <w:lvl w:ilvl="0" w:tplc="C0922DEE">
      <w:start w:val="1"/>
      <w:numFmt w:val="bullet"/>
      <w:lvlText w:val="−"/>
      <w:lvlJc w:val="left"/>
      <w:pPr>
        <w:ind w:left="720" w:hanging="720"/>
      </w:pPr>
      <w:rPr>
        <w:rFonts w:ascii="Tahoma" w:hAnsi="Tahoma" w:hint="default"/>
        <w:sz w:val="24"/>
      </w:rPr>
    </w:lvl>
    <w:lvl w:ilvl="1" w:tplc="2DDEED30">
      <w:numFmt w:val="bullet"/>
      <w:lvlText w:val="-"/>
      <w:lvlJc w:val="left"/>
      <w:pPr>
        <w:ind w:left="1440" w:hanging="720"/>
      </w:pPr>
      <w:rPr>
        <w:rFonts w:ascii="Arial" w:eastAsia="SimSu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DEF26F0"/>
    <w:multiLevelType w:val="hybridMultilevel"/>
    <w:tmpl w:val="36F4A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12C7A9C"/>
    <w:multiLevelType w:val="hybridMultilevel"/>
    <w:tmpl w:val="64684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3AB4719"/>
    <w:multiLevelType w:val="hybridMultilevel"/>
    <w:tmpl w:val="B0C4C558"/>
    <w:lvl w:ilvl="0" w:tplc="0C090017">
      <w:start w:val="1"/>
      <w:numFmt w:val="lowerLetter"/>
      <w:lvlText w:val="%1)"/>
      <w:lvlJc w:val="left"/>
      <w:pPr>
        <w:ind w:left="295" w:hanging="360"/>
      </w:pPr>
      <w:rPr>
        <w:rFonts w:hint="default"/>
      </w:rPr>
    </w:lvl>
    <w:lvl w:ilvl="1" w:tplc="0C090003">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7">
    <w:nsid w:val="741757EB"/>
    <w:multiLevelType w:val="hybridMultilevel"/>
    <w:tmpl w:val="44B8B7EC"/>
    <w:lvl w:ilvl="0" w:tplc="C0922DEE">
      <w:start w:val="1"/>
      <w:numFmt w:val="bullet"/>
      <w:lvlText w:val="−"/>
      <w:lvlJc w:val="left"/>
      <w:pPr>
        <w:ind w:left="1440" w:hanging="360"/>
      </w:pPr>
      <w:rPr>
        <w:rFonts w:ascii="Tahoma" w:hAnsi="Tahoma"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8">
    <w:nsid w:val="7A7F28BE"/>
    <w:multiLevelType w:val="hybridMultilevel"/>
    <w:tmpl w:val="8BB05BCC"/>
    <w:lvl w:ilvl="0" w:tplc="C0922DEE">
      <w:start w:val="1"/>
      <w:numFmt w:val="bullet"/>
      <w:lvlText w:val="−"/>
      <w:lvlJc w:val="left"/>
      <w:pPr>
        <w:ind w:left="720" w:hanging="360"/>
      </w:pPr>
      <w:rPr>
        <w:rFonts w:ascii="Tahoma" w:hAnsi="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B182796"/>
    <w:multiLevelType w:val="multilevel"/>
    <w:tmpl w:val="F8AEDF72"/>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nsid w:val="7C1036B0"/>
    <w:multiLevelType w:val="hybridMultilevel"/>
    <w:tmpl w:val="98129A32"/>
    <w:lvl w:ilvl="0" w:tplc="C0922DEE">
      <w:start w:val="1"/>
      <w:numFmt w:val="bullet"/>
      <w:lvlText w:val="−"/>
      <w:lvlJc w:val="left"/>
      <w:pPr>
        <w:ind w:left="720" w:hanging="360"/>
      </w:pPr>
      <w:rPr>
        <w:rFonts w:ascii="Tahoma" w:hAnsi="Tahoma" w:hint="default"/>
      </w:rPr>
    </w:lvl>
    <w:lvl w:ilvl="1" w:tplc="C39E196A">
      <w:start w:val="1"/>
      <w:numFmt w:val="bullet"/>
      <w:lvlText w:val="o"/>
      <w:lvlJc w:val="left"/>
      <w:pPr>
        <w:ind w:left="1440" w:hanging="360"/>
      </w:pPr>
      <w:rPr>
        <w:rFonts w:ascii="Courier New" w:hAnsi="Courier New" w:cs="Courier New" w:hint="default"/>
      </w:rPr>
    </w:lvl>
    <w:lvl w:ilvl="2" w:tplc="355A32D2">
      <w:start w:val="1"/>
      <w:numFmt w:val="bullet"/>
      <w:lvlText w:val=""/>
      <w:lvlJc w:val="left"/>
      <w:pPr>
        <w:ind w:left="2160" w:hanging="360"/>
      </w:pPr>
      <w:rPr>
        <w:rFonts w:ascii="Wingdings" w:hAnsi="Wingdings" w:hint="default"/>
      </w:rPr>
    </w:lvl>
    <w:lvl w:ilvl="3" w:tplc="1A441464" w:tentative="1">
      <w:start w:val="1"/>
      <w:numFmt w:val="bullet"/>
      <w:lvlText w:val=""/>
      <w:lvlJc w:val="left"/>
      <w:pPr>
        <w:ind w:left="2880" w:hanging="360"/>
      </w:pPr>
      <w:rPr>
        <w:rFonts w:ascii="Symbol" w:hAnsi="Symbol" w:hint="default"/>
      </w:rPr>
    </w:lvl>
    <w:lvl w:ilvl="4" w:tplc="A0FED89A" w:tentative="1">
      <w:start w:val="1"/>
      <w:numFmt w:val="bullet"/>
      <w:lvlText w:val="o"/>
      <w:lvlJc w:val="left"/>
      <w:pPr>
        <w:ind w:left="3600" w:hanging="360"/>
      </w:pPr>
      <w:rPr>
        <w:rFonts w:ascii="Courier New" w:hAnsi="Courier New" w:cs="Courier New" w:hint="default"/>
      </w:rPr>
    </w:lvl>
    <w:lvl w:ilvl="5" w:tplc="30F48A64" w:tentative="1">
      <w:start w:val="1"/>
      <w:numFmt w:val="bullet"/>
      <w:lvlText w:val=""/>
      <w:lvlJc w:val="left"/>
      <w:pPr>
        <w:ind w:left="4320" w:hanging="360"/>
      </w:pPr>
      <w:rPr>
        <w:rFonts w:ascii="Wingdings" w:hAnsi="Wingdings" w:hint="default"/>
      </w:rPr>
    </w:lvl>
    <w:lvl w:ilvl="6" w:tplc="97AC408E" w:tentative="1">
      <w:start w:val="1"/>
      <w:numFmt w:val="bullet"/>
      <w:lvlText w:val=""/>
      <w:lvlJc w:val="left"/>
      <w:pPr>
        <w:ind w:left="5040" w:hanging="360"/>
      </w:pPr>
      <w:rPr>
        <w:rFonts w:ascii="Symbol" w:hAnsi="Symbol" w:hint="default"/>
      </w:rPr>
    </w:lvl>
    <w:lvl w:ilvl="7" w:tplc="F60E033E" w:tentative="1">
      <w:start w:val="1"/>
      <w:numFmt w:val="bullet"/>
      <w:lvlText w:val="o"/>
      <w:lvlJc w:val="left"/>
      <w:pPr>
        <w:ind w:left="5760" w:hanging="360"/>
      </w:pPr>
      <w:rPr>
        <w:rFonts w:ascii="Courier New" w:hAnsi="Courier New" w:cs="Courier New" w:hint="default"/>
      </w:rPr>
    </w:lvl>
    <w:lvl w:ilvl="8" w:tplc="BDA852A6" w:tentative="1">
      <w:start w:val="1"/>
      <w:numFmt w:val="bullet"/>
      <w:lvlText w:val=""/>
      <w:lvlJc w:val="left"/>
      <w:pPr>
        <w:ind w:left="6480" w:hanging="360"/>
      </w:pPr>
      <w:rPr>
        <w:rFonts w:ascii="Wingdings" w:hAnsi="Wingdings" w:hint="default"/>
      </w:rPr>
    </w:lvl>
  </w:abstractNum>
  <w:abstractNum w:abstractNumId="41">
    <w:nsid w:val="7C6A4807"/>
    <w:multiLevelType w:val="hybridMultilevel"/>
    <w:tmpl w:val="02664D6C"/>
    <w:lvl w:ilvl="0" w:tplc="0C090017">
      <w:start w:val="1"/>
      <w:numFmt w:val="lowerLetter"/>
      <w:lvlText w:val="%1)"/>
      <w:lvlJc w:val="left"/>
      <w:pPr>
        <w:ind w:left="295" w:hanging="360"/>
      </w:pPr>
    </w:lvl>
    <w:lvl w:ilvl="1" w:tplc="0C090019" w:tentative="1">
      <w:start w:val="1"/>
      <w:numFmt w:val="lowerLetter"/>
      <w:lvlText w:val="%2."/>
      <w:lvlJc w:val="left"/>
      <w:pPr>
        <w:ind w:left="1015" w:hanging="360"/>
      </w:pPr>
    </w:lvl>
    <w:lvl w:ilvl="2" w:tplc="0C09001B" w:tentative="1">
      <w:start w:val="1"/>
      <w:numFmt w:val="lowerRoman"/>
      <w:lvlText w:val="%3."/>
      <w:lvlJc w:val="right"/>
      <w:pPr>
        <w:ind w:left="1735" w:hanging="180"/>
      </w:pPr>
    </w:lvl>
    <w:lvl w:ilvl="3" w:tplc="0C09000F" w:tentative="1">
      <w:start w:val="1"/>
      <w:numFmt w:val="decimal"/>
      <w:lvlText w:val="%4."/>
      <w:lvlJc w:val="left"/>
      <w:pPr>
        <w:ind w:left="2455" w:hanging="360"/>
      </w:pPr>
    </w:lvl>
    <w:lvl w:ilvl="4" w:tplc="0C090019" w:tentative="1">
      <w:start w:val="1"/>
      <w:numFmt w:val="lowerLetter"/>
      <w:lvlText w:val="%5."/>
      <w:lvlJc w:val="left"/>
      <w:pPr>
        <w:ind w:left="3175" w:hanging="360"/>
      </w:pPr>
    </w:lvl>
    <w:lvl w:ilvl="5" w:tplc="0C09001B" w:tentative="1">
      <w:start w:val="1"/>
      <w:numFmt w:val="lowerRoman"/>
      <w:lvlText w:val="%6."/>
      <w:lvlJc w:val="right"/>
      <w:pPr>
        <w:ind w:left="3895" w:hanging="180"/>
      </w:pPr>
    </w:lvl>
    <w:lvl w:ilvl="6" w:tplc="0C09000F" w:tentative="1">
      <w:start w:val="1"/>
      <w:numFmt w:val="decimal"/>
      <w:lvlText w:val="%7."/>
      <w:lvlJc w:val="left"/>
      <w:pPr>
        <w:ind w:left="4615" w:hanging="360"/>
      </w:pPr>
    </w:lvl>
    <w:lvl w:ilvl="7" w:tplc="0C090019" w:tentative="1">
      <w:start w:val="1"/>
      <w:numFmt w:val="lowerLetter"/>
      <w:lvlText w:val="%8."/>
      <w:lvlJc w:val="left"/>
      <w:pPr>
        <w:ind w:left="5335" w:hanging="360"/>
      </w:pPr>
    </w:lvl>
    <w:lvl w:ilvl="8" w:tplc="0C09001B" w:tentative="1">
      <w:start w:val="1"/>
      <w:numFmt w:val="lowerRoman"/>
      <w:lvlText w:val="%9."/>
      <w:lvlJc w:val="right"/>
      <w:pPr>
        <w:ind w:left="6055" w:hanging="180"/>
      </w:pPr>
    </w:lvl>
  </w:abstractNum>
  <w:num w:numId="1">
    <w:abstractNumId w:val="15"/>
  </w:num>
  <w:num w:numId="2">
    <w:abstractNumId w:val="29"/>
  </w:num>
  <w:num w:numId="3">
    <w:abstractNumId w:val="34"/>
  </w:num>
  <w:num w:numId="4">
    <w:abstractNumId w:val="27"/>
  </w:num>
  <w:num w:numId="5">
    <w:abstractNumId w:val="1"/>
  </w:num>
  <w:num w:numId="6">
    <w:abstractNumId w:val="23"/>
  </w:num>
  <w:num w:numId="7">
    <w:abstractNumId w:val="3"/>
  </w:num>
  <w:num w:numId="8">
    <w:abstractNumId w:val="20"/>
  </w:num>
  <w:num w:numId="9">
    <w:abstractNumId w:val="17"/>
  </w:num>
  <w:num w:numId="10">
    <w:abstractNumId w:val="6"/>
  </w:num>
  <w:num w:numId="11">
    <w:abstractNumId w:val="19"/>
  </w:num>
  <w:num w:numId="12">
    <w:abstractNumId w:val="38"/>
  </w:num>
  <w:num w:numId="13">
    <w:abstractNumId w:val="31"/>
  </w:num>
  <w:num w:numId="14">
    <w:abstractNumId w:val="14"/>
  </w:num>
  <w:num w:numId="15">
    <w:abstractNumId w:val="13"/>
  </w:num>
  <w:num w:numId="16">
    <w:abstractNumId w:val="2"/>
  </w:num>
  <w:num w:numId="17">
    <w:abstractNumId w:val="12"/>
  </w:num>
  <w:num w:numId="18">
    <w:abstractNumId w:val="18"/>
  </w:num>
  <w:num w:numId="19">
    <w:abstractNumId w:val="22"/>
  </w:num>
  <w:num w:numId="20">
    <w:abstractNumId w:val="10"/>
  </w:num>
  <w:num w:numId="21">
    <w:abstractNumId w:val="33"/>
  </w:num>
  <w:num w:numId="22">
    <w:abstractNumId w:val="9"/>
  </w:num>
  <w:num w:numId="23">
    <w:abstractNumId w:val="7"/>
  </w:num>
  <w:num w:numId="24">
    <w:abstractNumId w:val="5"/>
  </w:num>
  <w:num w:numId="25">
    <w:abstractNumId w:val="35"/>
  </w:num>
  <w:num w:numId="26">
    <w:abstractNumId w:val="25"/>
  </w:num>
  <w:num w:numId="27">
    <w:abstractNumId w:val="1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0"/>
  </w:num>
  <w:num w:numId="31">
    <w:abstractNumId w:val="32"/>
  </w:num>
  <w:num w:numId="32">
    <w:abstractNumId w:val="0"/>
  </w:num>
  <w:num w:numId="33">
    <w:abstractNumId w:val="4"/>
  </w:num>
  <w:num w:numId="34">
    <w:abstractNumId w:val="39"/>
  </w:num>
  <w:num w:numId="35">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28"/>
  </w:num>
  <w:num w:numId="38">
    <w:abstractNumId w:val="0"/>
  </w:num>
  <w:num w:numId="39">
    <w:abstractNumId w:val="40"/>
  </w:num>
  <w:num w:numId="40">
    <w:abstractNumId w:val="36"/>
  </w:num>
  <w:num w:numId="41">
    <w:abstractNumId w:val="16"/>
  </w:num>
  <w:num w:numId="42">
    <w:abstractNumId w:val="24"/>
  </w:num>
  <w:num w:numId="43">
    <w:abstractNumId w:val="26"/>
  </w:num>
  <w:num w:numId="44">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39E"/>
    <w:rsid w:val="00003220"/>
    <w:rsid w:val="000120F2"/>
    <w:rsid w:val="0001268A"/>
    <w:rsid w:val="0001731C"/>
    <w:rsid w:val="000203BE"/>
    <w:rsid w:val="00022B64"/>
    <w:rsid w:val="00034882"/>
    <w:rsid w:val="000371E4"/>
    <w:rsid w:val="000465C3"/>
    <w:rsid w:val="00053CC3"/>
    <w:rsid w:val="00060FCA"/>
    <w:rsid w:val="0006657F"/>
    <w:rsid w:val="000670A5"/>
    <w:rsid w:val="0007222E"/>
    <w:rsid w:val="00085A17"/>
    <w:rsid w:val="00093976"/>
    <w:rsid w:val="000A086A"/>
    <w:rsid w:val="000A2D45"/>
    <w:rsid w:val="000A3D50"/>
    <w:rsid w:val="000B2A8A"/>
    <w:rsid w:val="000B38A9"/>
    <w:rsid w:val="000B41D5"/>
    <w:rsid w:val="000C42EB"/>
    <w:rsid w:val="000C6589"/>
    <w:rsid w:val="000C7415"/>
    <w:rsid w:val="000F2B1A"/>
    <w:rsid w:val="00101CD0"/>
    <w:rsid w:val="00112D78"/>
    <w:rsid w:val="00117C61"/>
    <w:rsid w:val="0012083D"/>
    <w:rsid w:val="001255C8"/>
    <w:rsid w:val="00130D3F"/>
    <w:rsid w:val="00131741"/>
    <w:rsid w:val="00140FEE"/>
    <w:rsid w:val="00141FDB"/>
    <w:rsid w:val="001459CA"/>
    <w:rsid w:val="00150736"/>
    <w:rsid w:val="00157B0A"/>
    <w:rsid w:val="00165D79"/>
    <w:rsid w:val="0016644E"/>
    <w:rsid w:val="00166F8C"/>
    <w:rsid w:val="001705BC"/>
    <w:rsid w:val="00170B6F"/>
    <w:rsid w:val="00171985"/>
    <w:rsid w:val="001866FE"/>
    <w:rsid w:val="00192471"/>
    <w:rsid w:val="00193E5E"/>
    <w:rsid w:val="001A049A"/>
    <w:rsid w:val="001A0F6B"/>
    <w:rsid w:val="001B217E"/>
    <w:rsid w:val="001B5EC7"/>
    <w:rsid w:val="001B71C9"/>
    <w:rsid w:val="001D6FC8"/>
    <w:rsid w:val="001E06A8"/>
    <w:rsid w:val="001E0AF9"/>
    <w:rsid w:val="001E681E"/>
    <w:rsid w:val="001F0FB2"/>
    <w:rsid w:val="001F3536"/>
    <w:rsid w:val="00210813"/>
    <w:rsid w:val="00214C49"/>
    <w:rsid w:val="00226444"/>
    <w:rsid w:val="0023252D"/>
    <w:rsid w:val="002328AE"/>
    <w:rsid w:val="00232DB4"/>
    <w:rsid w:val="00241F6C"/>
    <w:rsid w:val="002546F2"/>
    <w:rsid w:val="0026125E"/>
    <w:rsid w:val="00273A6F"/>
    <w:rsid w:val="0027480C"/>
    <w:rsid w:val="002763D9"/>
    <w:rsid w:val="00293999"/>
    <w:rsid w:val="00296A58"/>
    <w:rsid w:val="00297099"/>
    <w:rsid w:val="002A1BA7"/>
    <w:rsid w:val="002B07B1"/>
    <w:rsid w:val="002B4E93"/>
    <w:rsid w:val="002C0A30"/>
    <w:rsid w:val="002C38C9"/>
    <w:rsid w:val="002D3D95"/>
    <w:rsid w:val="002D3DDF"/>
    <w:rsid w:val="002D66EB"/>
    <w:rsid w:val="003014E1"/>
    <w:rsid w:val="00305817"/>
    <w:rsid w:val="00311456"/>
    <w:rsid w:val="00311AC1"/>
    <w:rsid w:val="00314A8D"/>
    <w:rsid w:val="00323CEA"/>
    <w:rsid w:val="0033090B"/>
    <w:rsid w:val="0035033E"/>
    <w:rsid w:val="00352D4B"/>
    <w:rsid w:val="00354559"/>
    <w:rsid w:val="00364B73"/>
    <w:rsid w:val="00365965"/>
    <w:rsid w:val="00370477"/>
    <w:rsid w:val="00383600"/>
    <w:rsid w:val="00386E77"/>
    <w:rsid w:val="003903B2"/>
    <w:rsid w:val="003A12DC"/>
    <w:rsid w:val="003A3A97"/>
    <w:rsid w:val="003A4B52"/>
    <w:rsid w:val="003A54F5"/>
    <w:rsid w:val="003B4188"/>
    <w:rsid w:val="003B76BF"/>
    <w:rsid w:val="003C35A7"/>
    <w:rsid w:val="003C4214"/>
    <w:rsid w:val="003D2673"/>
    <w:rsid w:val="003E61A7"/>
    <w:rsid w:val="003F5DDD"/>
    <w:rsid w:val="003F7392"/>
    <w:rsid w:val="00401640"/>
    <w:rsid w:val="00403118"/>
    <w:rsid w:val="00407953"/>
    <w:rsid w:val="00410DDA"/>
    <w:rsid w:val="00424900"/>
    <w:rsid w:val="004276F5"/>
    <w:rsid w:val="00431976"/>
    <w:rsid w:val="00437C32"/>
    <w:rsid w:val="00440ECB"/>
    <w:rsid w:val="0044170D"/>
    <w:rsid w:val="00441FED"/>
    <w:rsid w:val="0045168E"/>
    <w:rsid w:val="00477E8C"/>
    <w:rsid w:val="00480213"/>
    <w:rsid w:val="004845F4"/>
    <w:rsid w:val="00493080"/>
    <w:rsid w:val="00494A32"/>
    <w:rsid w:val="00494DBB"/>
    <w:rsid w:val="0049568A"/>
    <w:rsid w:val="004A7EDE"/>
    <w:rsid w:val="004B380C"/>
    <w:rsid w:val="004B5680"/>
    <w:rsid w:val="004B67B4"/>
    <w:rsid w:val="004C0365"/>
    <w:rsid w:val="004C199D"/>
    <w:rsid w:val="004D22C7"/>
    <w:rsid w:val="004D5AD4"/>
    <w:rsid w:val="004E370E"/>
    <w:rsid w:val="004E3915"/>
    <w:rsid w:val="004F088A"/>
    <w:rsid w:val="004F702A"/>
    <w:rsid w:val="004F7EF3"/>
    <w:rsid w:val="0051082A"/>
    <w:rsid w:val="005263F2"/>
    <w:rsid w:val="00533ACD"/>
    <w:rsid w:val="0054256F"/>
    <w:rsid w:val="0055008A"/>
    <w:rsid w:val="00560CBA"/>
    <w:rsid w:val="00561FA4"/>
    <w:rsid w:val="00567834"/>
    <w:rsid w:val="00574C9B"/>
    <w:rsid w:val="005765A9"/>
    <w:rsid w:val="005772CC"/>
    <w:rsid w:val="00580C5B"/>
    <w:rsid w:val="00580DE5"/>
    <w:rsid w:val="00581AFB"/>
    <w:rsid w:val="00584528"/>
    <w:rsid w:val="0059394D"/>
    <w:rsid w:val="00594F5F"/>
    <w:rsid w:val="005C0452"/>
    <w:rsid w:val="005C110F"/>
    <w:rsid w:val="005C6C47"/>
    <w:rsid w:val="005E50F7"/>
    <w:rsid w:val="005F4B02"/>
    <w:rsid w:val="00601134"/>
    <w:rsid w:val="00607417"/>
    <w:rsid w:val="006127EB"/>
    <w:rsid w:val="006137BC"/>
    <w:rsid w:val="00614E13"/>
    <w:rsid w:val="006165F6"/>
    <w:rsid w:val="00617066"/>
    <w:rsid w:val="00617C07"/>
    <w:rsid w:val="00620915"/>
    <w:rsid w:val="00624D30"/>
    <w:rsid w:val="006439B2"/>
    <w:rsid w:val="00645491"/>
    <w:rsid w:val="00645C55"/>
    <w:rsid w:val="00661BC8"/>
    <w:rsid w:val="0066247B"/>
    <w:rsid w:val="00664643"/>
    <w:rsid w:val="00664B5B"/>
    <w:rsid w:val="006857DC"/>
    <w:rsid w:val="006861BD"/>
    <w:rsid w:val="00687B50"/>
    <w:rsid w:val="006946C2"/>
    <w:rsid w:val="00697B6D"/>
    <w:rsid w:val="006A1E9B"/>
    <w:rsid w:val="006B17A3"/>
    <w:rsid w:val="006B4F22"/>
    <w:rsid w:val="006B6D25"/>
    <w:rsid w:val="006B72B1"/>
    <w:rsid w:val="006C7052"/>
    <w:rsid w:val="006D3016"/>
    <w:rsid w:val="006D5D38"/>
    <w:rsid w:val="006E44EE"/>
    <w:rsid w:val="006E66DC"/>
    <w:rsid w:val="006F00ED"/>
    <w:rsid w:val="0070353F"/>
    <w:rsid w:val="00710156"/>
    <w:rsid w:val="0071244C"/>
    <w:rsid w:val="0072445E"/>
    <w:rsid w:val="00727BFA"/>
    <w:rsid w:val="00734250"/>
    <w:rsid w:val="00734D25"/>
    <w:rsid w:val="00734F18"/>
    <w:rsid w:val="007400D1"/>
    <w:rsid w:val="00746325"/>
    <w:rsid w:val="00747ED4"/>
    <w:rsid w:val="00747F56"/>
    <w:rsid w:val="00771A62"/>
    <w:rsid w:val="00771F51"/>
    <w:rsid w:val="0077573C"/>
    <w:rsid w:val="00781CC2"/>
    <w:rsid w:val="007B5739"/>
    <w:rsid w:val="007C2A56"/>
    <w:rsid w:val="007C59C3"/>
    <w:rsid w:val="007D0F8B"/>
    <w:rsid w:val="007D5C71"/>
    <w:rsid w:val="007E1F0E"/>
    <w:rsid w:val="007E62E6"/>
    <w:rsid w:val="007E666F"/>
    <w:rsid w:val="007F448D"/>
    <w:rsid w:val="007F6629"/>
    <w:rsid w:val="007F6854"/>
    <w:rsid w:val="007F78BE"/>
    <w:rsid w:val="0080532E"/>
    <w:rsid w:val="0080739E"/>
    <w:rsid w:val="00813D10"/>
    <w:rsid w:val="00833AC0"/>
    <w:rsid w:val="00837A64"/>
    <w:rsid w:val="00856DED"/>
    <w:rsid w:val="008609A2"/>
    <w:rsid w:val="00861BB3"/>
    <w:rsid w:val="008628B8"/>
    <w:rsid w:val="0086611E"/>
    <w:rsid w:val="008679D2"/>
    <w:rsid w:val="0087051C"/>
    <w:rsid w:val="00870630"/>
    <w:rsid w:val="00871BA9"/>
    <w:rsid w:val="008900BB"/>
    <w:rsid w:val="008937D4"/>
    <w:rsid w:val="00894C7F"/>
    <w:rsid w:val="00895F74"/>
    <w:rsid w:val="008C14ED"/>
    <w:rsid w:val="008D494D"/>
    <w:rsid w:val="008E018F"/>
    <w:rsid w:val="008E61A0"/>
    <w:rsid w:val="008F290B"/>
    <w:rsid w:val="009010BC"/>
    <w:rsid w:val="00901D7C"/>
    <w:rsid w:val="009066E6"/>
    <w:rsid w:val="00914E9E"/>
    <w:rsid w:val="009175A3"/>
    <w:rsid w:val="009221B7"/>
    <w:rsid w:val="0092531B"/>
    <w:rsid w:val="0092705A"/>
    <w:rsid w:val="0093200D"/>
    <w:rsid w:val="00937AE8"/>
    <w:rsid w:val="00942D5A"/>
    <w:rsid w:val="00955D89"/>
    <w:rsid w:val="00970D7B"/>
    <w:rsid w:val="0097130E"/>
    <w:rsid w:val="0097645D"/>
    <w:rsid w:val="00987B48"/>
    <w:rsid w:val="0099354C"/>
    <w:rsid w:val="00993F91"/>
    <w:rsid w:val="009A078A"/>
    <w:rsid w:val="009B043A"/>
    <w:rsid w:val="009B0EB7"/>
    <w:rsid w:val="009B2C97"/>
    <w:rsid w:val="009C2BE1"/>
    <w:rsid w:val="009D7024"/>
    <w:rsid w:val="009E35DA"/>
    <w:rsid w:val="00A01022"/>
    <w:rsid w:val="00A02327"/>
    <w:rsid w:val="00A0696B"/>
    <w:rsid w:val="00A078BF"/>
    <w:rsid w:val="00A11C5F"/>
    <w:rsid w:val="00A16BC0"/>
    <w:rsid w:val="00A25036"/>
    <w:rsid w:val="00A41479"/>
    <w:rsid w:val="00A42CC7"/>
    <w:rsid w:val="00A4457B"/>
    <w:rsid w:val="00A522F6"/>
    <w:rsid w:val="00A72A79"/>
    <w:rsid w:val="00A821C8"/>
    <w:rsid w:val="00A8613D"/>
    <w:rsid w:val="00A87F6C"/>
    <w:rsid w:val="00A91AAB"/>
    <w:rsid w:val="00A91E44"/>
    <w:rsid w:val="00A9706D"/>
    <w:rsid w:val="00AD0541"/>
    <w:rsid w:val="00AD21D0"/>
    <w:rsid w:val="00AE1B40"/>
    <w:rsid w:val="00AE373D"/>
    <w:rsid w:val="00AE3D2B"/>
    <w:rsid w:val="00AF02ED"/>
    <w:rsid w:val="00AF0B74"/>
    <w:rsid w:val="00B03F4B"/>
    <w:rsid w:val="00B103FC"/>
    <w:rsid w:val="00B31C70"/>
    <w:rsid w:val="00B42B42"/>
    <w:rsid w:val="00B473D7"/>
    <w:rsid w:val="00B54353"/>
    <w:rsid w:val="00B5506C"/>
    <w:rsid w:val="00B6002C"/>
    <w:rsid w:val="00B6086B"/>
    <w:rsid w:val="00B61582"/>
    <w:rsid w:val="00B67494"/>
    <w:rsid w:val="00B76191"/>
    <w:rsid w:val="00B900D6"/>
    <w:rsid w:val="00B96AA4"/>
    <w:rsid w:val="00BA07CC"/>
    <w:rsid w:val="00BA0ADD"/>
    <w:rsid w:val="00BA6977"/>
    <w:rsid w:val="00BB384A"/>
    <w:rsid w:val="00BE5DCD"/>
    <w:rsid w:val="00C00229"/>
    <w:rsid w:val="00C0417B"/>
    <w:rsid w:val="00C054F8"/>
    <w:rsid w:val="00C059CE"/>
    <w:rsid w:val="00C075BA"/>
    <w:rsid w:val="00C4578B"/>
    <w:rsid w:val="00C5052C"/>
    <w:rsid w:val="00C557C8"/>
    <w:rsid w:val="00C72B9E"/>
    <w:rsid w:val="00C76BF1"/>
    <w:rsid w:val="00C77B66"/>
    <w:rsid w:val="00C83AAA"/>
    <w:rsid w:val="00C94AF6"/>
    <w:rsid w:val="00C97EAC"/>
    <w:rsid w:val="00CA310A"/>
    <w:rsid w:val="00CA515F"/>
    <w:rsid w:val="00CB0631"/>
    <w:rsid w:val="00CB0991"/>
    <w:rsid w:val="00CB3EA4"/>
    <w:rsid w:val="00CC0CA6"/>
    <w:rsid w:val="00CC23B5"/>
    <w:rsid w:val="00CC439B"/>
    <w:rsid w:val="00CC5157"/>
    <w:rsid w:val="00CC63F9"/>
    <w:rsid w:val="00CC6CB1"/>
    <w:rsid w:val="00CD0B3D"/>
    <w:rsid w:val="00CE1010"/>
    <w:rsid w:val="00CF33C7"/>
    <w:rsid w:val="00CF4E14"/>
    <w:rsid w:val="00D00C9A"/>
    <w:rsid w:val="00D07A11"/>
    <w:rsid w:val="00D14870"/>
    <w:rsid w:val="00D168B1"/>
    <w:rsid w:val="00D174CB"/>
    <w:rsid w:val="00D21042"/>
    <w:rsid w:val="00D2654C"/>
    <w:rsid w:val="00D31EDB"/>
    <w:rsid w:val="00D474B6"/>
    <w:rsid w:val="00D542B8"/>
    <w:rsid w:val="00D55B2A"/>
    <w:rsid w:val="00D620D8"/>
    <w:rsid w:val="00D65094"/>
    <w:rsid w:val="00D7030E"/>
    <w:rsid w:val="00D8049B"/>
    <w:rsid w:val="00D855AD"/>
    <w:rsid w:val="00D85E9D"/>
    <w:rsid w:val="00D96B18"/>
    <w:rsid w:val="00DA0280"/>
    <w:rsid w:val="00DA0F69"/>
    <w:rsid w:val="00DA4375"/>
    <w:rsid w:val="00DB3DB1"/>
    <w:rsid w:val="00DC4B51"/>
    <w:rsid w:val="00DE3E9E"/>
    <w:rsid w:val="00DE4A38"/>
    <w:rsid w:val="00DE5A54"/>
    <w:rsid w:val="00E013FC"/>
    <w:rsid w:val="00E05B65"/>
    <w:rsid w:val="00E0652C"/>
    <w:rsid w:val="00E0776D"/>
    <w:rsid w:val="00E13D3A"/>
    <w:rsid w:val="00E151E5"/>
    <w:rsid w:val="00E2426E"/>
    <w:rsid w:val="00E26209"/>
    <w:rsid w:val="00E32199"/>
    <w:rsid w:val="00E34CC4"/>
    <w:rsid w:val="00E5367B"/>
    <w:rsid w:val="00E54354"/>
    <w:rsid w:val="00E5444C"/>
    <w:rsid w:val="00E61F15"/>
    <w:rsid w:val="00E67977"/>
    <w:rsid w:val="00E77597"/>
    <w:rsid w:val="00E81C00"/>
    <w:rsid w:val="00E85B94"/>
    <w:rsid w:val="00EA01ED"/>
    <w:rsid w:val="00EA41A5"/>
    <w:rsid w:val="00EB14D6"/>
    <w:rsid w:val="00EB1961"/>
    <w:rsid w:val="00EB2391"/>
    <w:rsid w:val="00EB3AF0"/>
    <w:rsid w:val="00EB40BC"/>
    <w:rsid w:val="00EB4FCD"/>
    <w:rsid w:val="00EB52A8"/>
    <w:rsid w:val="00EB62B7"/>
    <w:rsid w:val="00EC7C10"/>
    <w:rsid w:val="00ED28D8"/>
    <w:rsid w:val="00ED7B84"/>
    <w:rsid w:val="00EE2BDE"/>
    <w:rsid w:val="00EF0399"/>
    <w:rsid w:val="00EF3716"/>
    <w:rsid w:val="00EF5D41"/>
    <w:rsid w:val="00F00550"/>
    <w:rsid w:val="00F10CB2"/>
    <w:rsid w:val="00F20EF8"/>
    <w:rsid w:val="00F241AF"/>
    <w:rsid w:val="00F540E4"/>
    <w:rsid w:val="00F55CC1"/>
    <w:rsid w:val="00F60084"/>
    <w:rsid w:val="00F65C89"/>
    <w:rsid w:val="00F72398"/>
    <w:rsid w:val="00F76D94"/>
    <w:rsid w:val="00F93D90"/>
    <w:rsid w:val="00F96C55"/>
    <w:rsid w:val="00FA425B"/>
    <w:rsid w:val="00FC54C2"/>
    <w:rsid w:val="00FC567D"/>
    <w:rsid w:val="00FD2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9E"/>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8073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0739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4D5A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5A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39E"/>
    <w:rPr>
      <w:rFonts w:ascii="Arial" w:eastAsia="SimSun" w:hAnsi="Arial" w:cs="Arial"/>
      <w:b/>
      <w:bCs/>
      <w:kern w:val="32"/>
      <w:sz w:val="32"/>
      <w:szCs w:val="32"/>
      <w:lang w:val="en-US" w:eastAsia="zh-CN"/>
    </w:rPr>
  </w:style>
  <w:style w:type="character" w:customStyle="1" w:styleId="Heading2Char">
    <w:name w:val="Heading 2 Char"/>
    <w:basedOn w:val="DefaultParagraphFont"/>
    <w:link w:val="Heading2"/>
    <w:rsid w:val="0080739E"/>
    <w:rPr>
      <w:rFonts w:ascii="Arial" w:eastAsia="SimSun" w:hAnsi="Arial" w:cs="Arial"/>
      <w:b/>
      <w:bCs/>
      <w:i/>
      <w:iCs/>
      <w:sz w:val="28"/>
      <w:szCs w:val="28"/>
      <w:lang w:val="en-US" w:eastAsia="zh-CN"/>
    </w:rPr>
  </w:style>
  <w:style w:type="paragraph" w:styleId="NormalWeb">
    <w:name w:val="Normal (Web)"/>
    <w:basedOn w:val="Normal"/>
    <w:uiPriority w:val="99"/>
    <w:rsid w:val="0080739E"/>
    <w:pPr>
      <w:spacing w:before="100" w:beforeAutospacing="1" w:after="100" w:afterAutospacing="1"/>
    </w:pPr>
    <w:rPr>
      <w:rFonts w:eastAsia="Times New Roman"/>
      <w:color w:val="000000"/>
      <w:lang w:eastAsia="en-US"/>
    </w:rPr>
  </w:style>
  <w:style w:type="table" w:styleId="TableGrid">
    <w:name w:val="Table Grid"/>
    <w:basedOn w:val="TableNormal"/>
    <w:uiPriority w:val="59"/>
    <w:rsid w:val="0080739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80739E"/>
  </w:style>
  <w:style w:type="paragraph" w:styleId="TOC2">
    <w:name w:val="toc 2"/>
    <w:basedOn w:val="Normal"/>
    <w:next w:val="Normal"/>
    <w:autoRedefine/>
    <w:uiPriority w:val="39"/>
    <w:rsid w:val="0080739E"/>
    <w:pPr>
      <w:ind w:left="240"/>
    </w:pPr>
  </w:style>
  <w:style w:type="character" w:styleId="Hyperlink">
    <w:name w:val="Hyperlink"/>
    <w:basedOn w:val="DefaultParagraphFont"/>
    <w:uiPriority w:val="99"/>
    <w:rsid w:val="0080739E"/>
    <w:rPr>
      <w:color w:val="0000FF"/>
      <w:u w:val="single"/>
    </w:rPr>
  </w:style>
  <w:style w:type="paragraph" w:styleId="Footer">
    <w:name w:val="footer"/>
    <w:basedOn w:val="Normal"/>
    <w:link w:val="FooterChar"/>
    <w:rsid w:val="0080739E"/>
    <w:pPr>
      <w:tabs>
        <w:tab w:val="center" w:pos="4320"/>
        <w:tab w:val="right" w:pos="8640"/>
      </w:tabs>
    </w:pPr>
  </w:style>
  <w:style w:type="character" w:customStyle="1" w:styleId="FooterChar">
    <w:name w:val="Footer Char"/>
    <w:basedOn w:val="DefaultParagraphFont"/>
    <w:link w:val="Footer"/>
    <w:rsid w:val="0080739E"/>
    <w:rPr>
      <w:rFonts w:ascii="Times New Roman" w:eastAsia="SimSun" w:hAnsi="Times New Roman" w:cs="Times New Roman"/>
      <w:sz w:val="24"/>
      <w:szCs w:val="24"/>
      <w:lang w:val="en-US" w:eastAsia="zh-CN"/>
    </w:rPr>
  </w:style>
  <w:style w:type="character" w:styleId="PageNumber">
    <w:name w:val="page number"/>
    <w:basedOn w:val="DefaultParagraphFont"/>
    <w:rsid w:val="0080739E"/>
  </w:style>
  <w:style w:type="paragraph" w:styleId="Header">
    <w:name w:val="header"/>
    <w:basedOn w:val="Normal"/>
    <w:link w:val="HeaderChar"/>
    <w:rsid w:val="0080739E"/>
    <w:pPr>
      <w:tabs>
        <w:tab w:val="center" w:pos="4320"/>
        <w:tab w:val="right" w:pos="8640"/>
      </w:tabs>
    </w:pPr>
  </w:style>
  <w:style w:type="character" w:customStyle="1" w:styleId="HeaderChar">
    <w:name w:val="Header Char"/>
    <w:basedOn w:val="DefaultParagraphFont"/>
    <w:link w:val="Header"/>
    <w:rsid w:val="0080739E"/>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80739E"/>
    <w:pPr>
      <w:ind w:left="720"/>
      <w:contextualSpacing/>
    </w:pPr>
  </w:style>
  <w:style w:type="character" w:customStyle="1" w:styleId="srch-url2">
    <w:name w:val="srch-url2"/>
    <w:basedOn w:val="DefaultParagraphFont"/>
    <w:rsid w:val="0080739E"/>
  </w:style>
  <w:style w:type="character" w:styleId="FollowedHyperlink">
    <w:name w:val="FollowedHyperlink"/>
    <w:basedOn w:val="DefaultParagraphFont"/>
    <w:uiPriority w:val="99"/>
    <w:semiHidden/>
    <w:unhideWhenUsed/>
    <w:rsid w:val="0080739E"/>
    <w:rPr>
      <w:color w:val="800080"/>
      <w:u w:val="single"/>
    </w:rPr>
  </w:style>
  <w:style w:type="paragraph" w:styleId="FootnoteText">
    <w:name w:val="footnote text"/>
    <w:basedOn w:val="Normal"/>
    <w:link w:val="FootnoteTextChar"/>
    <w:uiPriority w:val="99"/>
    <w:unhideWhenUsed/>
    <w:rsid w:val="0080739E"/>
    <w:rPr>
      <w:sz w:val="20"/>
      <w:szCs w:val="20"/>
    </w:rPr>
  </w:style>
  <w:style w:type="character" w:customStyle="1" w:styleId="FootnoteTextChar">
    <w:name w:val="Footnote Text Char"/>
    <w:basedOn w:val="DefaultParagraphFont"/>
    <w:link w:val="FootnoteText"/>
    <w:uiPriority w:val="99"/>
    <w:rsid w:val="0080739E"/>
    <w:rPr>
      <w:rFonts w:ascii="Times New Roman" w:eastAsia="SimSun" w:hAnsi="Times New Roman" w:cs="Times New Roman"/>
      <w:sz w:val="20"/>
      <w:szCs w:val="20"/>
      <w:lang w:val="en-US" w:eastAsia="zh-CN"/>
    </w:rPr>
  </w:style>
  <w:style w:type="character" w:styleId="FootnoteReference">
    <w:name w:val="footnote reference"/>
    <w:basedOn w:val="DefaultParagraphFont"/>
    <w:uiPriority w:val="99"/>
    <w:unhideWhenUsed/>
    <w:rsid w:val="0080739E"/>
    <w:rPr>
      <w:vertAlign w:val="superscript"/>
    </w:rPr>
  </w:style>
  <w:style w:type="paragraph" w:styleId="BalloonText">
    <w:name w:val="Balloon Text"/>
    <w:basedOn w:val="Normal"/>
    <w:link w:val="BalloonTextChar"/>
    <w:uiPriority w:val="99"/>
    <w:semiHidden/>
    <w:unhideWhenUsed/>
    <w:rsid w:val="0080739E"/>
    <w:rPr>
      <w:rFonts w:ascii="Tahoma" w:hAnsi="Tahoma" w:cs="Tahoma"/>
      <w:sz w:val="16"/>
      <w:szCs w:val="16"/>
    </w:rPr>
  </w:style>
  <w:style w:type="character" w:customStyle="1" w:styleId="BalloonTextChar">
    <w:name w:val="Balloon Text Char"/>
    <w:basedOn w:val="DefaultParagraphFont"/>
    <w:link w:val="BalloonText"/>
    <w:uiPriority w:val="99"/>
    <w:semiHidden/>
    <w:rsid w:val="0080739E"/>
    <w:rPr>
      <w:rFonts w:ascii="Tahoma" w:eastAsia="SimSun" w:hAnsi="Tahoma" w:cs="Tahoma"/>
      <w:sz w:val="16"/>
      <w:szCs w:val="16"/>
      <w:lang w:val="en-US" w:eastAsia="zh-CN"/>
    </w:rPr>
  </w:style>
  <w:style w:type="character" w:styleId="CommentReference">
    <w:name w:val="annotation reference"/>
    <w:basedOn w:val="DefaultParagraphFont"/>
    <w:uiPriority w:val="99"/>
    <w:semiHidden/>
    <w:unhideWhenUsed/>
    <w:rsid w:val="0080739E"/>
    <w:rPr>
      <w:sz w:val="16"/>
      <w:szCs w:val="16"/>
    </w:rPr>
  </w:style>
  <w:style w:type="paragraph" w:styleId="CommentText">
    <w:name w:val="annotation text"/>
    <w:basedOn w:val="Normal"/>
    <w:link w:val="CommentTextChar"/>
    <w:uiPriority w:val="99"/>
    <w:semiHidden/>
    <w:unhideWhenUsed/>
    <w:rsid w:val="0080739E"/>
    <w:rPr>
      <w:sz w:val="20"/>
      <w:szCs w:val="20"/>
    </w:rPr>
  </w:style>
  <w:style w:type="character" w:customStyle="1" w:styleId="CommentTextChar">
    <w:name w:val="Comment Text Char"/>
    <w:basedOn w:val="DefaultParagraphFont"/>
    <w:link w:val="CommentText"/>
    <w:uiPriority w:val="99"/>
    <w:semiHidden/>
    <w:rsid w:val="0080739E"/>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80739E"/>
    <w:rPr>
      <w:b/>
      <w:bCs/>
    </w:rPr>
  </w:style>
  <w:style w:type="character" w:customStyle="1" w:styleId="CommentSubjectChar">
    <w:name w:val="Comment Subject Char"/>
    <w:basedOn w:val="CommentTextChar"/>
    <w:link w:val="CommentSubject"/>
    <w:uiPriority w:val="99"/>
    <w:semiHidden/>
    <w:rsid w:val="0080739E"/>
    <w:rPr>
      <w:rFonts w:ascii="Times New Roman" w:eastAsia="SimSun" w:hAnsi="Times New Roman" w:cs="Times New Roman"/>
      <w:b/>
      <w:bCs/>
      <w:sz w:val="20"/>
      <w:szCs w:val="20"/>
      <w:lang w:val="en-US" w:eastAsia="zh-CN"/>
    </w:rPr>
  </w:style>
  <w:style w:type="paragraph" w:customStyle="1" w:styleId="Default">
    <w:name w:val="Default"/>
    <w:rsid w:val="0080739E"/>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CharChar">
    <w:name w:val="Char Char"/>
    <w:basedOn w:val="Normal"/>
    <w:semiHidden/>
    <w:rsid w:val="0080739E"/>
    <w:pPr>
      <w:spacing w:before="180" w:line="280" w:lineRule="atLeast"/>
    </w:pPr>
    <w:rPr>
      <w:rFonts w:ascii="Arial" w:eastAsia="Times New Roman" w:hAnsi="Arial"/>
      <w:sz w:val="22"/>
      <w:szCs w:val="20"/>
      <w:lang w:val="en-AU" w:eastAsia="en-US"/>
    </w:rPr>
  </w:style>
  <w:style w:type="paragraph" w:styleId="BodyText">
    <w:name w:val="Body Text"/>
    <w:basedOn w:val="Normal"/>
    <w:link w:val="BodyTextChar"/>
    <w:uiPriority w:val="99"/>
    <w:rsid w:val="0080739E"/>
    <w:pPr>
      <w:spacing w:before="80" w:after="80" w:line="280" w:lineRule="atLeast"/>
    </w:pPr>
    <w:rPr>
      <w:rFonts w:ascii="Georgia" w:eastAsia="Times New Roman" w:hAnsi="Georgia"/>
      <w:sz w:val="19"/>
      <w:szCs w:val="19"/>
      <w:lang w:val="en-AU" w:eastAsia="en-AU"/>
    </w:rPr>
  </w:style>
  <w:style w:type="character" w:customStyle="1" w:styleId="BodyTextChar">
    <w:name w:val="Body Text Char"/>
    <w:basedOn w:val="DefaultParagraphFont"/>
    <w:link w:val="BodyText"/>
    <w:uiPriority w:val="99"/>
    <w:rsid w:val="0080739E"/>
    <w:rPr>
      <w:rFonts w:ascii="Georgia" w:eastAsia="Times New Roman" w:hAnsi="Georgia" w:cs="Times New Roman"/>
      <w:sz w:val="19"/>
      <w:szCs w:val="19"/>
      <w:lang w:eastAsia="en-AU"/>
    </w:rPr>
  </w:style>
  <w:style w:type="character" w:customStyle="1" w:styleId="st1">
    <w:name w:val="st1"/>
    <w:basedOn w:val="DefaultParagraphFont"/>
    <w:rsid w:val="00E0652C"/>
  </w:style>
  <w:style w:type="character" w:styleId="IntenseEmphasis">
    <w:name w:val="Intense Emphasis"/>
    <w:basedOn w:val="DefaultParagraphFont"/>
    <w:uiPriority w:val="21"/>
    <w:qFormat/>
    <w:rsid w:val="00EB62B7"/>
    <w:rPr>
      <w:b/>
      <w:bCs/>
      <w:i/>
      <w:iCs/>
      <w:color w:val="4F81BD" w:themeColor="accent1"/>
    </w:rPr>
  </w:style>
  <w:style w:type="paragraph" w:customStyle="1" w:styleId="FreeForm">
    <w:name w:val="Free Form"/>
    <w:rsid w:val="00EB62B7"/>
    <w:pPr>
      <w:spacing w:after="0" w:line="240" w:lineRule="auto"/>
    </w:pPr>
    <w:rPr>
      <w:rFonts w:ascii="Helvetica" w:eastAsia="ヒラギノ角ゴ Pro W3" w:hAnsi="Helvetica" w:cs="Times New Roman"/>
      <w:color w:val="000000"/>
      <w:sz w:val="24"/>
      <w:szCs w:val="20"/>
      <w:lang w:val="en-US" w:eastAsia="en-AU"/>
    </w:rPr>
  </w:style>
  <w:style w:type="character" w:customStyle="1" w:styleId="Heading3Char">
    <w:name w:val="Heading 3 Char"/>
    <w:basedOn w:val="DefaultParagraphFont"/>
    <w:link w:val="Heading3"/>
    <w:uiPriority w:val="9"/>
    <w:semiHidden/>
    <w:rsid w:val="004D5AD4"/>
    <w:rPr>
      <w:rFonts w:asciiTheme="majorHAnsi" w:eastAsiaTheme="majorEastAsia" w:hAnsiTheme="majorHAnsi" w:cstheme="majorBidi"/>
      <w:b/>
      <w:bCs/>
      <w:color w:val="4F81BD" w:themeColor="accent1"/>
      <w:sz w:val="24"/>
      <w:szCs w:val="24"/>
      <w:lang w:val="en-US" w:eastAsia="zh-CN"/>
    </w:rPr>
  </w:style>
  <w:style w:type="character" w:customStyle="1" w:styleId="Heading4Char">
    <w:name w:val="Heading 4 Char"/>
    <w:basedOn w:val="DefaultParagraphFont"/>
    <w:link w:val="Heading4"/>
    <w:uiPriority w:val="9"/>
    <w:semiHidden/>
    <w:rsid w:val="004D5AD4"/>
    <w:rPr>
      <w:rFonts w:asciiTheme="majorHAnsi" w:eastAsiaTheme="majorEastAsia" w:hAnsiTheme="majorHAnsi" w:cstheme="majorBidi"/>
      <w:b/>
      <w:bCs/>
      <w:i/>
      <w:iCs/>
      <w:color w:val="4F81BD" w:themeColor="accent1"/>
      <w:sz w:val="24"/>
      <w:szCs w:val="24"/>
      <w:lang w:val="en-US" w:eastAsia="zh-CN"/>
    </w:rPr>
  </w:style>
  <w:style w:type="paragraph" w:customStyle="1" w:styleId="CONLevela">
    <w:name w:val=".CON  Level  (a)"/>
    <w:basedOn w:val="Normal"/>
    <w:next w:val="Normal"/>
    <w:rsid w:val="00624D30"/>
    <w:pPr>
      <w:numPr>
        <w:ilvl w:val="2"/>
        <w:numId w:val="34"/>
      </w:numPr>
      <w:spacing w:before="240"/>
      <w:outlineLvl w:val="3"/>
    </w:pPr>
    <w:rPr>
      <w:rFonts w:eastAsia="Times New Roman"/>
      <w:szCs w:val="22"/>
      <w:lang w:val="en-AU" w:eastAsia="en-US"/>
    </w:rPr>
  </w:style>
  <w:style w:type="paragraph" w:customStyle="1" w:styleId="CONLeveli">
    <w:name w:val=".CON  Level  (i)"/>
    <w:basedOn w:val="Normal"/>
    <w:next w:val="Normal"/>
    <w:rsid w:val="00624D30"/>
    <w:pPr>
      <w:numPr>
        <w:ilvl w:val="3"/>
        <w:numId w:val="34"/>
      </w:numPr>
      <w:spacing w:before="240"/>
      <w:outlineLvl w:val="4"/>
    </w:pPr>
    <w:rPr>
      <w:rFonts w:eastAsia="Times New Roman"/>
      <w:szCs w:val="22"/>
      <w:lang w:val="en-AU" w:eastAsia="en-US"/>
    </w:rPr>
  </w:style>
  <w:style w:type="paragraph" w:customStyle="1" w:styleId="CONLevel11">
    <w:name w:val=".CON  Level   1.1"/>
    <w:basedOn w:val="Normal"/>
    <w:next w:val="Normal"/>
    <w:link w:val="CONLevel11Char"/>
    <w:rsid w:val="00624D30"/>
    <w:pPr>
      <w:numPr>
        <w:ilvl w:val="1"/>
        <w:numId w:val="34"/>
      </w:numPr>
      <w:spacing w:before="240"/>
      <w:outlineLvl w:val="2"/>
    </w:pPr>
    <w:rPr>
      <w:rFonts w:eastAsia="Times New Roman"/>
      <w:szCs w:val="22"/>
      <w:lang w:val="en-AU" w:eastAsia="en-US"/>
    </w:rPr>
  </w:style>
  <w:style w:type="paragraph" w:customStyle="1" w:styleId="CONLevelA0">
    <w:name w:val=".CON  Level (A)"/>
    <w:basedOn w:val="Normal"/>
    <w:next w:val="Normal"/>
    <w:rsid w:val="00624D30"/>
    <w:pPr>
      <w:numPr>
        <w:ilvl w:val="4"/>
        <w:numId w:val="34"/>
      </w:numPr>
      <w:spacing w:before="240"/>
      <w:outlineLvl w:val="5"/>
    </w:pPr>
    <w:rPr>
      <w:rFonts w:eastAsia="Times New Roman"/>
      <w:szCs w:val="22"/>
      <w:lang w:val="en-AU" w:eastAsia="en-US"/>
    </w:rPr>
  </w:style>
  <w:style w:type="paragraph" w:customStyle="1" w:styleId="CONLevelI0">
    <w:name w:val=".CON  Level (I)"/>
    <w:basedOn w:val="Normal"/>
    <w:next w:val="Normal"/>
    <w:rsid w:val="00624D30"/>
    <w:pPr>
      <w:numPr>
        <w:ilvl w:val="5"/>
        <w:numId w:val="34"/>
      </w:numPr>
      <w:spacing w:before="240"/>
      <w:outlineLvl w:val="6"/>
    </w:pPr>
    <w:rPr>
      <w:rFonts w:eastAsia="Times New Roman"/>
      <w:szCs w:val="22"/>
      <w:lang w:val="en-AU" w:eastAsia="en-US"/>
    </w:rPr>
  </w:style>
  <w:style w:type="paragraph" w:customStyle="1" w:styleId="CONLevel1">
    <w:name w:val=".CON  Level   1."/>
    <w:basedOn w:val="Normal"/>
    <w:next w:val="Normal"/>
    <w:rsid w:val="00624D30"/>
    <w:pPr>
      <w:keepNext/>
      <w:numPr>
        <w:numId w:val="34"/>
      </w:numPr>
      <w:spacing w:before="240"/>
      <w:outlineLvl w:val="1"/>
    </w:pPr>
    <w:rPr>
      <w:rFonts w:eastAsia="Times New Roman"/>
      <w:b/>
      <w:szCs w:val="22"/>
      <w:lang w:val="en-AU" w:eastAsia="en-US"/>
    </w:rPr>
  </w:style>
  <w:style w:type="character" w:customStyle="1" w:styleId="CONLevel11Char">
    <w:name w:val=".CON  Level   1.1 Char"/>
    <w:link w:val="CONLevel11"/>
    <w:rsid w:val="00624D30"/>
    <w:rPr>
      <w:rFonts w:ascii="Times New Roman" w:eastAsia="Times New Roman" w:hAnsi="Times New Roman" w:cs="Times New Roman"/>
      <w:sz w:val="24"/>
    </w:rPr>
  </w:style>
  <w:style w:type="paragraph" w:styleId="Caption">
    <w:name w:val="caption"/>
    <w:basedOn w:val="Normal"/>
    <w:next w:val="BodyText"/>
    <w:qFormat/>
    <w:rsid w:val="00C0417B"/>
    <w:pPr>
      <w:keepNext/>
      <w:spacing w:before="320" w:after="80" w:line="230" w:lineRule="exact"/>
    </w:pPr>
    <w:rPr>
      <w:rFonts w:ascii="Arial" w:eastAsia="Times New Roman" w:hAnsi="Arial"/>
      <w:b/>
      <w:color w:val="7E6D5F"/>
      <w:sz w:val="19"/>
      <w:szCs w:val="19"/>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9E"/>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80739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0739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4D5A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5AD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739E"/>
    <w:rPr>
      <w:rFonts w:ascii="Arial" w:eastAsia="SimSun" w:hAnsi="Arial" w:cs="Arial"/>
      <w:b/>
      <w:bCs/>
      <w:kern w:val="32"/>
      <w:sz w:val="32"/>
      <w:szCs w:val="32"/>
      <w:lang w:val="en-US" w:eastAsia="zh-CN"/>
    </w:rPr>
  </w:style>
  <w:style w:type="character" w:customStyle="1" w:styleId="Heading2Char">
    <w:name w:val="Heading 2 Char"/>
    <w:basedOn w:val="DefaultParagraphFont"/>
    <w:link w:val="Heading2"/>
    <w:rsid w:val="0080739E"/>
    <w:rPr>
      <w:rFonts w:ascii="Arial" w:eastAsia="SimSun" w:hAnsi="Arial" w:cs="Arial"/>
      <w:b/>
      <w:bCs/>
      <w:i/>
      <w:iCs/>
      <w:sz w:val="28"/>
      <w:szCs w:val="28"/>
      <w:lang w:val="en-US" w:eastAsia="zh-CN"/>
    </w:rPr>
  </w:style>
  <w:style w:type="paragraph" w:styleId="NormalWeb">
    <w:name w:val="Normal (Web)"/>
    <w:basedOn w:val="Normal"/>
    <w:uiPriority w:val="99"/>
    <w:rsid w:val="0080739E"/>
    <w:pPr>
      <w:spacing w:before="100" w:beforeAutospacing="1" w:after="100" w:afterAutospacing="1"/>
    </w:pPr>
    <w:rPr>
      <w:rFonts w:eastAsia="Times New Roman"/>
      <w:color w:val="000000"/>
      <w:lang w:eastAsia="en-US"/>
    </w:rPr>
  </w:style>
  <w:style w:type="table" w:styleId="TableGrid">
    <w:name w:val="Table Grid"/>
    <w:basedOn w:val="TableNormal"/>
    <w:uiPriority w:val="59"/>
    <w:rsid w:val="0080739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80739E"/>
  </w:style>
  <w:style w:type="paragraph" w:styleId="TOC2">
    <w:name w:val="toc 2"/>
    <w:basedOn w:val="Normal"/>
    <w:next w:val="Normal"/>
    <w:autoRedefine/>
    <w:uiPriority w:val="39"/>
    <w:rsid w:val="0080739E"/>
    <w:pPr>
      <w:ind w:left="240"/>
    </w:pPr>
  </w:style>
  <w:style w:type="character" w:styleId="Hyperlink">
    <w:name w:val="Hyperlink"/>
    <w:basedOn w:val="DefaultParagraphFont"/>
    <w:uiPriority w:val="99"/>
    <w:rsid w:val="0080739E"/>
    <w:rPr>
      <w:color w:val="0000FF"/>
      <w:u w:val="single"/>
    </w:rPr>
  </w:style>
  <w:style w:type="paragraph" w:styleId="Footer">
    <w:name w:val="footer"/>
    <w:basedOn w:val="Normal"/>
    <w:link w:val="FooterChar"/>
    <w:rsid w:val="0080739E"/>
    <w:pPr>
      <w:tabs>
        <w:tab w:val="center" w:pos="4320"/>
        <w:tab w:val="right" w:pos="8640"/>
      </w:tabs>
    </w:pPr>
  </w:style>
  <w:style w:type="character" w:customStyle="1" w:styleId="FooterChar">
    <w:name w:val="Footer Char"/>
    <w:basedOn w:val="DefaultParagraphFont"/>
    <w:link w:val="Footer"/>
    <w:rsid w:val="0080739E"/>
    <w:rPr>
      <w:rFonts w:ascii="Times New Roman" w:eastAsia="SimSun" w:hAnsi="Times New Roman" w:cs="Times New Roman"/>
      <w:sz w:val="24"/>
      <w:szCs w:val="24"/>
      <w:lang w:val="en-US" w:eastAsia="zh-CN"/>
    </w:rPr>
  </w:style>
  <w:style w:type="character" w:styleId="PageNumber">
    <w:name w:val="page number"/>
    <w:basedOn w:val="DefaultParagraphFont"/>
    <w:rsid w:val="0080739E"/>
  </w:style>
  <w:style w:type="paragraph" w:styleId="Header">
    <w:name w:val="header"/>
    <w:basedOn w:val="Normal"/>
    <w:link w:val="HeaderChar"/>
    <w:rsid w:val="0080739E"/>
    <w:pPr>
      <w:tabs>
        <w:tab w:val="center" w:pos="4320"/>
        <w:tab w:val="right" w:pos="8640"/>
      </w:tabs>
    </w:pPr>
  </w:style>
  <w:style w:type="character" w:customStyle="1" w:styleId="HeaderChar">
    <w:name w:val="Header Char"/>
    <w:basedOn w:val="DefaultParagraphFont"/>
    <w:link w:val="Header"/>
    <w:rsid w:val="0080739E"/>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80739E"/>
    <w:pPr>
      <w:ind w:left="720"/>
      <w:contextualSpacing/>
    </w:pPr>
  </w:style>
  <w:style w:type="character" w:customStyle="1" w:styleId="srch-url2">
    <w:name w:val="srch-url2"/>
    <w:basedOn w:val="DefaultParagraphFont"/>
    <w:rsid w:val="0080739E"/>
  </w:style>
  <w:style w:type="character" w:styleId="FollowedHyperlink">
    <w:name w:val="FollowedHyperlink"/>
    <w:basedOn w:val="DefaultParagraphFont"/>
    <w:uiPriority w:val="99"/>
    <w:semiHidden/>
    <w:unhideWhenUsed/>
    <w:rsid w:val="0080739E"/>
    <w:rPr>
      <w:color w:val="800080"/>
      <w:u w:val="single"/>
    </w:rPr>
  </w:style>
  <w:style w:type="paragraph" w:styleId="FootnoteText">
    <w:name w:val="footnote text"/>
    <w:basedOn w:val="Normal"/>
    <w:link w:val="FootnoteTextChar"/>
    <w:uiPriority w:val="99"/>
    <w:unhideWhenUsed/>
    <w:rsid w:val="0080739E"/>
    <w:rPr>
      <w:sz w:val="20"/>
      <w:szCs w:val="20"/>
    </w:rPr>
  </w:style>
  <w:style w:type="character" w:customStyle="1" w:styleId="FootnoteTextChar">
    <w:name w:val="Footnote Text Char"/>
    <w:basedOn w:val="DefaultParagraphFont"/>
    <w:link w:val="FootnoteText"/>
    <w:uiPriority w:val="99"/>
    <w:rsid w:val="0080739E"/>
    <w:rPr>
      <w:rFonts w:ascii="Times New Roman" w:eastAsia="SimSun" w:hAnsi="Times New Roman" w:cs="Times New Roman"/>
      <w:sz w:val="20"/>
      <w:szCs w:val="20"/>
      <w:lang w:val="en-US" w:eastAsia="zh-CN"/>
    </w:rPr>
  </w:style>
  <w:style w:type="character" w:styleId="FootnoteReference">
    <w:name w:val="footnote reference"/>
    <w:basedOn w:val="DefaultParagraphFont"/>
    <w:uiPriority w:val="99"/>
    <w:unhideWhenUsed/>
    <w:rsid w:val="0080739E"/>
    <w:rPr>
      <w:vertAlign w:val="superscript"/>
    </w:rPr>
  </w:style>
  <w:style w:type="paragraph" w:styleId="BalloonText">
    <w:name w:val="Balloon Text"/>
    <w:basedOn w:val="Normal"/>
    <w:link w:val="BalloonTextChar"/>
    <w:uiPriority w:val="99"/>
    <w:semiHidden/>
    <w:unhideWhenUsed/>
    <w:rsid w:val="0080739E"/>
    <w:rPr>
      <w:rFonts w:ascii="Tahoma" w:hAnsi="Tahoma" w:cs="Tahoma"/>
      <w:sz w:val="16"/>
      <w:szCs w:val="16"/>
    </w:rPr>
  </w:style>
  <w:style w:type="character" w:customStyle="1" w:styleId="BalloonTextChar">
    <w:name w:val="Balloon Text Char"/>
    <w:basedOn w:val="DefaultParagraphFont"/>
    <w:link w:val="BalloonText"/>
    <w:uiPriority w:val="99"/>
    <w:semiHidden/>
    <w:rsid w:val="0080739E"/>
    <w:rPr>
      <w:rFonts w:ascii="Tahoma" w:eastAsia="SimSun" w:hAnsi="Tahoma" w:cs="Tahoma"/>
      <w:sz w:val="16"/>
      <w:szCs w:val="16"/>
      <w:lang w:val="en-US" w:eastAsia="zh-CN"/>
    </w:rPr>
  </w:style>
  <w:style w:type="character" w:styleId="CommentReference">
    <w:name w:val="annotation reference"/>
    <w:basedOn w:val="DefaultParagraphFont"/>
    <w:uiPriority w:val="99"/>
    <w:semiHidden/>
    <w:unhideWhenUsed/>
    <w:rsid w:val="0080739E"/>
    <w:rPr>
      <w:sz w:val="16"/>
      <w:szCs w:val="16"/>
    </w:rPr>
  </w:style>
  <w:style w:type="paragraph" w:styleId="CommentText">
    <w:name w:val="annotation text"/>
    <w:basedOn w:val="Normal"/>
    <w:link w:val="CommentTextChar"/>
    <w:uiPriority w:val="99"/>
    <w:semiHidden/>
    <w:unhideWhenUsed/>
    <w:rsid w:val="0080739E"/>
    <w:rPr>
      <w:sz w:val="20"/>
      <w:szCs w:val="20"/>
    </w:rPr>
  </w:style>
  <w:style w:type="character" w:customStyle="1" w:styleId="CommentTextChar">
    <w:name w:val="Comment Text Char"/>
    <w:basedOn w:val="DefaultParagraphFont"/>
    <w:link w:val="CommentText"/>
    <w:uiPriority w:val="99"/>
    <w:semiHidden/>
    <w:rsid w:val="0080739E"/>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80739E"/>
    <w:rPr>
      <w:b/>
      <w:bCs/>
    </w:rPr>
  </w:style>
  <w:style w:type="character" w:customStyle="1" w:styleId="CommentSubjectChar">
    <w:name w:val="Comment Subject Char"/>
    <w:basedOn w:val="CommentTextChar"/>
    <w:link w:val="CommentSubject"/>
    <w:uiPriority w:val="99"/>
    <w:semiHidden/>
    <w:rsid w:val="0080739E"/>
    <w:rPr>
      <w:rFonts w:ascii="Times New Roman" w:eastAsia="SimSun" w:hAnsi="Times New Roman" w:cs="Times New Roman"/>
      <w:b/>
      <w:bCs/>
      <w:sz w:val="20"/>
      <w:szCs w:val="20"/>
      <w:lang w:val="en-US" w:eastAsia="zh-CN"/>
    </w:rPr>
  </w:style>
  <w:style w:type="paragraph" w:customStyle="1" w:styleId="Default">
    <w:name w:val="Default"/>
    <w:rsid w:val="0080739E"/>
    <w:pPr>
      <w:autoSpaceDE w:val="0"/>
      <w:autoSpaceDN w:val="0"/>
      <w:adjustRightInd w:val="0"/>
      <w:spacing w:after="0" w:line="240" w:lineRule="auto"/>
    </w:pPr>
    <w:rPr>
      <w:rFonts w:ascii="Arial" w:eastAsia="SimSun" w:hAnsi="Arial" w:cs="Arial"/>
      <w:color w:val="000000"/>
      <w:sz w:val="24"/>
      <w:szCs w:val="24"/>
      <w:lang w:eastAsia="zh-CN"/>
    </w:rPr>
  </w:style>
  <w:style w:type="paragraph" w:customStyle="1" w:styleId="CharChar">
    <w:name w:val="Char Char"/>
    <w:basedOn w:val="Normal"/>
    <w:semiHidden/>
    <w:rsid w:val="0080739E"/>
    <w:pPr>
      <w:spacing w:before="180" w:line="280" w:lineRule="atLeast"/>
    </w:pPr>
    <w:rPr>
      <w:rFonts w:ascii="Arial" w:eastAsia="Times New Roman" w:hAnsi="Arial"/>
      <w:sz w:val="22"/>
      <w:szCs w:val="20"/>
      <w:lang w:val="en-AU" w:eastAsia="en-US"/>
    </w:rPr>
  </w:style>
  <w:style w:type="paragraph" w:styleId="BodyText">
    <w:name w:val="Body Text"/>
    <w:basedOn w:val="Normal"/>
    <w:link w:val="BodyTextChar"/>
    <w:uiPriority w:val="99"/>
    <w:rsid w:val="0080739E"/>
    <w:pPr>
      <w:spacing w:before="80" w:after="80" w:line="280" w:lineRule="atLeast"/>
    </w:pPr>
    <w:rPr>
      <w:rFonts w:ascii="Georgia" w:eastAsia="Times New Roman" w:hAnsi="Georgia"/>
      <w:sz w:val="19"/>
      <w:szCs w:val="19"/>
      <w:lang w:val="en-AU" w:eastAsia="en-AU"/>
    </w:rPr>
  </w:style>
  <w:style w:type="character" w:customStyle="1" w:styleId="BodyTextChar">
    <w:name w:val="Body Text Char"/>
    <w:basedOn w:val="DefaultParagraphFont"/>
    <w:link w:val="BodyText"/>
    <w:uiPriority w:val="99"/>
    <w:rsid w:val="0080739E"/>
    <w:rPr>
      <w:rFonts w:ascii="Georgia" w:eastAsia="Times New Roman" w:hAnsi="Georgia" w:cs="Times New Roman"/>
      <w:sz w:val="19"/>
      <w:szCs w:val="19"/>
      <w:lang w:eastAsia="en-AU"/>
    </w:rPr>
  </w:style>
  <w:style w:type="character" w:customStyle="1" w:styleId="st1">
    <w:name w:val="st1"/>
    <w:basedOn w:val="DefaultParagraphFont"/>
    <w:rsid w:val="00E0652C"/>
  </w:style>
  <w:style w:type="character" w:styleId="IntenseEmphasis">
    <w:name w:val="Intense Emphasis"/>
    <w:basedOn w:val="DefaultParagraphFont"/>
    <w:uiPriority w:val="21"/>
    <w:qFormat/>
    <w:rsid w:val="00EB62B7"/>
    <w:rPr>
      <w:b/>
      <w:bCs/>
      <w:i/>
      <w:iCs/>
      <w:color w:val="4F81BD" w:themeColor="accent1"/>
    </w:rPr>
  </w:style>
  <w:style w:type="paragraph" w:customStyle="1" w:styleId="FreeForm">
    <w:name w:val="Free Form"/>
    <w:rsid w:val="00EB62B7"/>
    <w:pPr>
      <w:spacing w:after="0" w:line="240" w:lineRule="auto"/>
    </w:pPr>
    <w:rPr>
      <w:rFonts w:ascii="Helvetica" w:eastAsia="ヒラギノ角ゴ Pro W3" w:hAnsi="Helvetica" w:cs="Times New Roman"/>
      <w:color w:val="000000"/>
      <w:sz w:val="24"/>
      <w:szCs w:val="20"/>
      <w:lang w:val="en-US" w:eastAsia="en-AU"/>
    </w:rPr>
  </w:style>
  <w:style w:type="character" w:customStyle="1" w:styleId="Heading3Char">
    <w:name w:val="Heading 3 Char"/>
    <w:basedOn w:val="DefaultParagraphFont"/>
    <w:link w:val="Heading3"/>
    <w:uiPriority w:val="9"/>
    <w:semiHidden/>
    <w:rsid w:val="004D5AD4"/>
    <w:rPr>
      <w:rFonts w:asciiTheme="majorHAnsi" w:eastAsiaTheme="majorEastAsia" w:hAnsiTheme="majorHAnsi" w:cstheme="majorBidi"/>
      <w:b/>
      <w:bCs/>
      <w:color w:val="4F81BD" w:themeColor="accent1"/>
      <w:sz w:val="24"/>
      <w:szCs w:val="24"/>
      <w:lang w:val="en-US" w:eastAsia="zh-CN"/>
    </w:rPr>
  </w:style>
  <w:style w:type="character" w:customStyle="1" w:styleId="Heading4Char">
    <w:name w:val="Heading 4 Char"/>
    <w:basedOn w:val="DefaultParagraphFont"/>
    <w:link w:val="Heading4"/>
    <w:uiPriority w:val="9"/>
    <w:semiHidden/>
    <w:rsid w:val="004D5AD4"/>
    <w:rPr>
      <w:rFonts w:asciiTheme="majorHAnsi" w:eastAsiaTheme="majorEastAsia" w:hAnsiTheme="majorHAnsi" w:cstheme="majorBidi"/>
      <w:b/>
      <w:bCs/>
      <w:i/>
      <w:iCs/>
      <w:color w:val="4F81BD" w:themeColor="accent1"/>
      <w:sz w:val="24"/>
      <w:szCs w:val="24"/>
      <w:lang w:val="en-US" w:eastAsia="zh-CN"/>
    </w:rPr>
  </w:style>
  <w:style w:type="paragraph" w:customStyle="1" w:styleId="CONLevela">
    <w:name w:val=".CON  Level  (a)"/>
    <w:basedOn w:val="Normal"/>
    <w:next w:val="Normal"/>
    <w:rsid w:val="00624D30"/>
    <w:pPr>
      <w:numPr>
        <w:ilvl w:val="2"/>
        <w:numId w:val="34"/>
      </w:numPr>
      <w:spacing w:before="240"/>
      <w:outlineLvl w:val="3"/>
    </w:pPr>
    <w:rPr>
      <w:rFonts w:eastAsia="Times New Roman"/>
      <w:szCs w:val="22"/>
      <w:lang w:val="en-AU" w:eastAsia="en-US"/>
    </w:rPr>
  </w:style>
  <w:style w:type="paragraph" w:customStyle="1" w:styleId="CONLeveli">
    <w:name w:val=".CON  Level  (i)"/>
    <w:basedOn w:val="Normal"/>
    <w:next w:val="Normal"/>
    <w:rsid w:val="00624D30"/>
    <w:pPr>
      <w:numPr>
        <w:ilvl w:val="3"/>
        <w:numId w:val="34"/>
      </w:numPr>
      <w:spacing w:before="240"/>
      <w:outlineLvl w:val="4"/>
    </w:pPr>
    <w:rPr>
      <w:rFonts w:eastAsia="Times New Roman"/>
      <w:szCs w:val="22"/>
      <w:lang w:val="en-AU" w:eastAsia="en-US"/>
    </w:rPr>
  </w:style>
  <w:style w:type="paragraph" w:customStyle="1" w:styleId="CONLevel11">
    <w:name w:val=".CON  Level   1.1"/>
    <w:basedOn w:val="Normal"/>
    <w:next w:val="Normal"/>
    <w:link w:val="CONLevel11Char"/>
    <w:rsid w:val="00624D30"/>
    <w:pPr>
      <w:numPr>
        <w:ilvl w:val="1"/>
        <w:numId w:val="34"/>
      </w:numPr>
      <w:spacing w:before="240"/>
      <w:outlineLvl w:val="2"/>
    </w:pPr>
    <w:rPr>
      <w:rFonts w:eastAsia="Times New Roman"/>
      <w:szCs w:val="22"/>
      <w:lang w:val="en-AU" w:eastAsia="en-US"/>
    </w:rPr>
  </w:style>
  <w:style w:type="paragraph" w:customStyle="1" w:styleId="CONLevelA0">
    <w:name w:val=".CON  Level (A)"/>
    <w:basedOn w:val="Normal"/>
    <w:next w:val="Normal"/>
    <w:rsid w:val="00624D30"/>
    <w:pPr>
      <w:numPr>
        <w:ilvl w:val="4"/>
        <w:numId w:val="34"/>
      </w:numPr>
      <w:spacing w:before="240"/>
      <w:outlineLvl w:val="5"/>
    </w:pPr>
    <w:rPr>
      <w:rFonts w:eastAsia="Times New Roman"/>
      <w:szCs w:val="22"/>
      <w:lang w:val="en-AU" w:eastAsia="en-US"/>
    </w:rPr>
  </w:style>
  <w:style w:type="paragraph" w:customStyle="1" w:styleId="CONLevelI0">
    <w:name w:val=".CON  Level (I)"/>
    <w:basedOn w:val="Normal"/>
    <w:next w:val="Normal"/>
    <w:rsid w:val="00624D30"/>
    <w:pPr>
      <w:numPr>
        <w:ilvl w:val="5"/>
        <w:numId w:val="34"/>
      </w:numPr>
      <w:spacing w:before="240"/>
      <w:outlineLvl w:val="6"/>
    </w:pPr>
    <w:rPr>
      <w:rFonts w:eastAsia="Times New Roman"/>
      <w:szCs w:val="22"/>
      <w:lang w:val="en-AU" w:eastAsia="en-US"/>
    </w:rPr>
  </w:style>
  <w:style w:type="paragraph" w:customStyle="1" w:styleId="CONLevel1">
    <w:name w:val=".CON  Level   1."/>
    <w:basedOn w:val="Normal"/>
    <w:next w:val="Normal"/>
    <w:rsid w:val="00624D30"/>
    <w:pPr>
      <w:keepNext/>
      <w:numPr>
        <w:numId w:val="34"/>
      </w:numPr>
      <w:spacing w:before="240"/>
      <w:outlineLvl w:val="1"/>
    </w:pPr>
    <w:rPr>
      <w:rFonts w:eastAsia="Times New Roman"/>
      <w:b/>
      <w:szCs w:val="22"/>
      <w:lang w:val="en-AU" w:eastAsia="en-US"/>
    </w:rPr>
  </w:style>
  <w:style w:type="character" w:customStyle="1" w:styleId="CONLevel11Char">
    <w:name w:val=".CON  Level   1.1 Char"/>
    <w:link w:val="CONLevel11"/>
    <w:rsid w:val="00624D30"/>
    <w:rPr>
      <w:rFonts w:ascii="Times New Roman" w:eastAsia="Times New Roman" w:hAnsi="Times New Roman" w:cs="Times New Roman"/>
      <w:sz w:val="24"/>
    </w:rPr>
  </w:style>
  <w:style w:type="paragraph" w:styleId="Caption">
    <w:name w:val="caption"/>
    <w:basedOn w:val="Normal"/>
    <w:next w:val="BodyText"/>
    <w:qFormat/>
    <w:rsid w:val="00C0417B"/>
    <w:pPr>
      <w:keepNext/>
      <w:spacing w:before="320" w:after="80" w:line="230" w:lineRule="exact"/>
    </w:pPr>
    <w:rPr>
      <w:rFonts w:ascii="Arial" w:eastAsia="Times New Roman" w:hAnsi="Arial"/>
      <w:b/>
      <w:color w:val="7E6D5F"/>
      <w:sz w:val="19"/>
      <w:szCs w:val="19"/>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22639">
      <w:bodyDiv w:val="1"/>
      <w:marLeft w:val="0"/>
      <w:marRight w:val="0"/>
      <w:marTop w:val="0"/>
      <w:marBottom w:val="0"/>
      <w:divBdr>
        <w:top w:val="none" w:sz="0" w:space="0" w:color="auto"/>
        <w:left w:val="none" w:sz="0" w:space="0" w:color="auto"/>
        <w:bottom w:val="none" w:sz="0" w:space="0" w:color="auto"/>
        <w:right w:val="none" w:sz="0" w:space="0" w:color="auto"/>
      </w:divBdr>
    </w:div>
    <w:div w:id="301426949">
      <w:bodyDiv w:val="1"/>
      <w:marLeft w:val="0"/>
      <w:marRight w:val="0"/>
      <w:marTop w:val="0"/>
      <w:marBottom w:val="0"/>
      <w:divBdr>
        <w:top w:val="none" w:sz="0" w:space="0" w:color="auto"/>
        <w:left w:val="none" w:sz="0" w:space="0" w:color="auto"/>
        <w:bottom w:val="none" w:sz="0" w:space="0" w:color="auto"/>
        <w:right w:val="none" w:sz="0" w:space="0" w:color="auto"/>
      </w:divBdr>
    </w:div>
    <w:div w:id="597638092">
      <w:bodyDiv w:val="1"/>
      <w:marLeft w:val="0"/>
      <w:marRight w:val="0"/>
      <w:marTop w:val="0"/>
      <w:marBottom w:val="0"/>
      <w:divBdr>
        <w:top w:val="none" w:sz="0" w:space="0" w:color="auto"/>
        <w:left w:val="none" w:sz="0" w:space="0" w:color="auto"/>
        <w:bottom w:val="none" w:sz="0" w:space="0" w:color="auto"/>
        <w:right w:val="none" w:sz="0" w:space="0" w:color="auto"/>
      </w:divBdr>
    </w:div>
    <w:div w:id="701171902">
      <w:bodyDiv w:val="1"/>
      <w:marLeft w:val="0"/>
      <w:marRight w:val="0"/>
      <w:marTop w:val="0"/>
      <w:marBottom w:val="0"/>
      <w:divBdr>
        <w:top w:val="none" w:sz="0" w:space="0" w:color="auto"/>
        <w:left w:val="none" w:sz="0" w:space="0" w:color="auto"/>
        <w:bottom w:val="none" w:sz="0" w:space="0" w:color="auto"/>
        <w:right w:val="none" w:sz="0" w:space="0" w:color="auto"/>
      </w:divBdr>
    </w:div>
    <w:div w:id="785778486">
      <w:bodyDiv w:val="1"/>
      <w:marLeft w:val="0"/>
      <w:marRight w:val="0"/>
      <w:marTop w:val="0"/>
      <w:marBottom w:val="0"/>
      <w:divBdr>
        <w:top w:val="none" w:sz="0" w:space="0" w:color="auto"/>
        <w:left w:val="none" w:sz="0" w:space="0" w:color="auto"/>
        <w:bottom w:val="none" w:sz="0" w:space="0" w:color="auto"/>
        <w:right w:val="none" w:sz="0" w:space="0" w:color="auto"/>
      </w:divBdr>
    </w:div>
    <w:div w:id="999121210">
      <w:bodyDiv w:val="1"/>
      <w:marLeft w:val="0"/>
      <w:marRight w:val="0"/>
      <w:marTop w:val="0"/>
      <w:marBottom w:val="0"/>
      <w:divBdr>
        <w:top w:val="none" w:sz="0" w:space="0" w:color="auto"/>
        <w:left w:val="none" w:sz="0" w:space="0" w:color="auto"/>
        <w:bottom w:val="none" w:sz="0" w:space="0" w:color="auto"/>
        <w:right w:val="none" w:sz="0" w:space="0" w:color="auto"/>
      </w:divBdr>
    </w:div>
    <w:div w:id="1444299322">
      <w:bodyDiv w:val="1"/>
      <w:marLeft w:val="0"/>
      <w:marRight w:val="0"/>
      <w:marTop w:val="0"/>
      <w:marBottom w:val="0"/>
      <w:divBdr>
        <w:top w:val="none" w:sz="0" w:space="0" w:color="auto"/>
        <w:left w:val="none" w:sz="0" w:space="0" w:color="auto"/>
        <w:bottom w:val="none" w:sz="0" w:space="0" w:color="auto"/>
        <w:right w:val="none" w:sz="0" w:space="0" w:color="auto"/>
      </w:divBdr>
    </w:div>
    <w:div w:id="1750271990">
      <w:bodyDiv w:val="1"/>
      <w:marLeft w:val="0"/>
      <w:marRight w:val="0"/>
      <w:marTop w:val="0"/>
      <w:marBottom w:val="0"/>
      <w:divBdr>
        <w:top w:val="none" w:sz="0" w:space="0" w:color="auto"/>
        <w:left w:val="none" w:sz="0" w:space="0" w:color="auto"/>
        <w:bottom w:val="none" w:sz="0" w:space="0" w:color="auto"/>
        <w:right w:val="none" w:sz="0" w:space="0" w:color="auto"/>
      </w:divBdr>
    </w:div>
    <w:div w:id="1790008667">
      <w:bodyDiv w:val="1"/>
      <w:marLeft w:val="0"/>
      <w:marRight w:val="0"/>
      <w:marTop w:val="0"/>
      <w:marBottom w:val="0"/>
      <w:divBdr>
        <w:top w:val="none" w:sz="0" w:space="0" w:color="auto"/>
        <w:left w:val="none" w:sz="0" w:space="0" w:color="auto"/>
        <w:bottom w:val="none" w:sz="0" w:space="0" w:color="auto"/>
        <w:right w:val="none" w:sz="0" w:space="0" w:color="auto"/>
      </w:divBdr>
    </w:div>
    <w:div w:id="1920753018">
      <w:bodyDiv w:val="1"/>
      <w:marLeft w:val="0"/>
      <w:marRight w:val="0"/>
      <w:marTop w:val="0"/>
      <w:marBottom w:val="0"/>
      <w:divBdr>
        <w:top w:val="none" w:sz="0" w:space="0" w:color="auto"/>
        <w:left w:val="none" w:sz="0" w:space="0" w:color="auto"/>
        <w:bottom w:val="none" w:sz="0" w:space="0" w:color="auto"/>
        <w:right w:val="none" w:sz="0" w:space="0" w:color="auto"/>
      </w:divBdr>
      <w:divsChild>
        <w:div w:id="1448701449">
          <w:marLeft w:val="0"/>
          <w:marRight w:val="0"/>
          <w:marTop w:val="0"/>
          <w:marBottom w:val="0"/>
          <w:divBdr>
            <w:top w:val="none" w:sz="0" w:space="0" w:color="auto"/>
            <w:left w:val="none" w:sz="0" w:space="0" w:color="auto"/>
            <w:bottom w:val="none" w:sz="0" w:space="0" w:color="auto"/>
            <w:right w:val="none" w:sz="0" w:space="0" w:color="auto"/>
          </w:divBdr>
          <w:divsChild>
            <w:div w:id="875392760">
              <w:marLeft w:val="0"/>
              <w:marRight w:val="0"/>
              <w:marTop w:val="0"/>
              <w:marBottom w:val="0"/>
              <w:divBdr>
                <w:top w:val="none" w:sz="0" w:space="0" w:color="auto"/>
                <w:left w:val="none" w:sz="0" w:space="0" w:color="auto"/>
                <w:bottom w:val="none" w:sz="0" w:space="0" w:color="auto"/>
                <w:right w:val="none" w:sz="0" w:space="0" w:color="auto"/>
              </w:divBdr>
              <w:divsChild>
                <w:div w:id="395317834">
                  <w:marLeft w:val="0"/>
                  <w:marRight w:val="0"/>
                  <w:marTop w:val="0"/>
                  <w:marBottom w:val="0"/>
                  <w:divBdr>
                    <w:top w:val="none" w:sz="0" w:space="0" w:color="auto"/>
                    <w:left w:val="none" w:sz="0" w:space="0" w:color="auto"/>
                    <w:bottom w:val="none" w:sz="0" w:space="0" w:color="auto"/>
                    <w:right w:val="none" w:sz="0" w:space="0" w:color="auto"/>
                  </w:divBdr>
                  <w:divsChild>
                    <w:div w:id="17092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fid.asn.au/code-of-conduct/acfid-code-of-conduct/" TargetMode="External"/><Relationship Id="rId18" Type="http://schemas.openxmlformats.org/officeDocument/2006/relationships/oleObject" Target="embeddings/oleObject1.bin"/><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http://www.ausaid.gov.au/ngos/documents/ngo-accreditation-manual.doc" TargetMode="External"/><Relationship Id="rId17" Type="http://schemas.openxmlformats.org/officeDocument/2006/relationships/image" Target="media/image1.e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javascript:popUp('/modules/standard/largeview.php?imagestoreid=54',545,42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ausaid.gov.au/Publications/Pages/7174_3886_222_8237_2915.aspx"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usaid.gov.au/Publications/Documents/aid-fragile-conflict-affected-states-staff-guidance.pdf" TargetMode="External"/><Relationship Id="rId22" Type="http://schemas.openxmlformats.org/officeDocument/2006/relationships/hyperlink" Target="http://www.ngosafety.org/index.php?pageid=67" TargetMode="Externa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hdrstats.undp.org/images/explanations/AFG.pdf" TargetMode="External"/><Relationship Id="rId1" Type="http://schemas.openxmlformats.org/officeDocument/2006/relationships/hyperlink" Target="http://www.ausaid.gov.au/ngos/Documents/civil-society-engagement-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35DF5-E8E0-4540-9E9F-774236EC1ED5}"/>
</file>

<file path=customXml/itemProps2.xml><?xml version="1.0" encoding="utf-8"?>
<ds:datastoreItem xmlns:ds="http://schemas.openxmlformats.org/officeDocument/2006/customXml" ds:itemID="{8A2B3390-0FCE-4F2C-AFEE-3B768263410D}"/>
</file>

<file path=customXml/itemProps3.xml><?xml version="1.0" encoding="utf-8"?>
<ds:datastoreItem xmlns:ds="http://schemas.openxmlformats.org/officeDocument/2006/customXml" ds:itemID="{7AEC128D-A719-467F-9D68-77D5C9C0CAF2}"/>
</file>

<file path=customXml/itemProps4.xml><?xml version="1.0" encoding="utf-8"?>
<ds:datastoreItem xmlns:ds="http://schemas.openxmlformats.org/officeDocument/2006/customXml" ds:itemID="{CBCF629C-3EFB-4494-9779-D10AC4CC2E6B}"/>
</file>

<file path=docProps/app.xml><?xml version="1.0" encoding="utf-8"?>
<Properties xmlns="http://schemas.openxmlformats.org/officeDocument/2006/extended-properties" xmlns:vt="http://schemas.openxmlformats.org/officeDocument/2006/docPropsVTypes">
  <Template>Normal.dotm</Template>
  <TotalTime>944</TotalTime>
  <Pages>49</Pages>
  <Words>17809</Words>
  <Characters>101513</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119084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Gemma Edgar</cp:lastModifiedBy>
  <cp:revision>61</cp:revision>
  <cp:lastPrinted>2013-04-29T03:44:00Z</cp:lastPrinted>
  <dcterms:created xsi:type="dcterms:W3CDTF">2013-01-29T05:34:00Z</dcterms:created>
  <dcterms:modified xsi:type="dcterms:W3CDTF">2013-04-29T05:20:00Z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