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FA3" w:rsidRPr="005106CE" w:rsidRDefault="003238BE" w:rsidP="00B21841">
      <w:pPr>
        <w:pStyle w:val="Title"/>
        <w:spacing w:after="100" w:afterAutospacing="1"/>
        <w:ind w:right="-624"/>
        <w:rPr>
          <w:sz w:val="40"/>
          <w:szCs w:val="40"/>
        </w:rPr>
      </w:pPr>
      <w:r w:rsidRPr="005106CE">
        <w:rPr>
          <w:rFonts w:asciiTheme="minorHAnsi" w:hAnsiTheme="minorHAnsi"/>
          <w:color w:val="FFFFFF" w:themeColor="background1"/>
          <w:sz w:val="40"/>
          <w:szCs w:val="40"/>
          <w:lang w:val="en-AU" w:eastAsia="en-AU"/>
        </w:rPr>
        <w:drawing>
          <wp:anchor distT="0" distB="0" distL="114300" distR="114300" simplePos="0" relativeHeight="251658240" behindDoc="1" locked="0" layoutInCell="1" allowOverlap="1" wp14:anchorId="5BFB47CD" wp14:editId="51FE67E0">
            <wp:simplePos x="0" y="0"/>
            <wp:positionH relativeFrom="column">
              <wp:posOffset>-2806065</wp:posOffset>
            </wp:positionH>
            <wp:positionV relativeFrom="paragraph">
              <wp:posOffset>-967105</wp:posOffset>
            </wp:positionV>
            <wp:extent cx="18392604" cy="10800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ODE-Headers-02-(25Feb2014)-ReportFront.wmf"/>
                    <pic:cNvPicPr/>
                  </pic:nvPicPr>
                  <pic:blipFill>
                    <a:blip r:embed="rId9">
                      <a:extLst>
                        <a:ext uri="{28A0092B-C50C-407E-A947-70E740481C1C}">
                          <a14:useLocalDpi xmlns:a14="http://schemas.microsoft.com/office/drawing/2010/main" val="0"/>
                        </a:ext>
                      </a:extLst>
                    </a:blip>
                    <a:stretch>
                      <a:fillRect/>
                    </a:stretch>
                  </pic:blipFill>
                  <pic:spPr>
                    <a:xfrm>
                      <a:off x="0" y="0"/>
                      <a:ext cx="18392604" cy="10800000"/>
                    </a:xfrm>
                    <a:prstGeom prst="rect">
                      <a:avLst/>
                    </a:prstGeom>
                  </pic:spPr>
                </pic:pic>
              </a:graphicData>
            </a:graphic>
            <wp14:sizeRelH relativeFrom="page">
              <wp14:pctWidth>0</wp14:pctWidth>
            </wp14:sizeRelH>
            <wp14:sizeRelV relativeFrom="page">
              <wp14:pctHeight>0</wp14:pctHeight>
            </wp14:sizeRelV>
          </wp:anchor>
        </w:drawing>
      </w:r>
      <w:r w:rsidR="00B624E2" w:rsidRPr="005106CE">
        <w:rPr>
          <w:sz w:val="40"/>
          <w:szCs w:val="40"/>
        </w:rPr>
        <w:t xml:space="preserve">Sector wide approaches in the health sector: A desk-based review of </w:t>
      </w:r>
      <w:r w:rsidR="00777661">
        <w:rPr>
          <w:sz w:val="40"/>
          <w:szCs w:val="40"/>
        </w:rPr>
        <w:t>donors’</w:t>
      </w:r>
      <w:r w:rsidR="00B624E2" w:rsidRPr="005106CE">
        <w:rPr>
          <w:sz w:val="40"/>
          <w:szCs w:val="40"/>
        </w:rPr>
        <w:t xml:space="preserve"> experience in Asia and the Pacific</w:t>
      </w:r>
    </w:p>
    <w:p w:rsidR="00B21841" w:rsidRPr="00B21841" w:rsidRDefault="00B21841" w:rsidP="00B21841">
      <w:pPr>
        <w:pStyle w:val="Subtitle"/>
        <w:spacing w:after="240"/>
      </w:pPr>
    </w:p>
    <w:p w:rsidR="00887FA3" w:rsidRPr="00031E7B" w:rsidRDefault="00887FA3" w:rsidP="00A85465">
      <w:pPr>
        <w:pStyle w:val="Subtitle"/>
        <w:ind w:right="-624"/>
      </w:pPr>
      <w:r>
        <w:t>Office of Development Effectiveness</w:t>
      </w:r>
    </w:p>
    <w:p w:rsidR="00284F00" w:rsidRDefault="00D119FE" w:rsidP="00A85465">
      <w:pPr>
        <w:pStyle w:val="Date"/>
        <w:ind w:right="-624"/>
        <w:sectPr w:rsidR="00284F00" w:rsidSect="00AA45A4">
          <w:type w:val="oddPage"/>
          <w:pgSz w:w="11906" w:h="16838" w:code="9"/>
          <w:pgMar w:top="1440" w:right="1440" w:bottom="1440" w:left="1440" w:header="576" w:footer="576" w:gutter="0"/>
          <w:pgNumType w:fmt="lowerRoman"/>
          <w:cols w:space="720"/>
          <w:titlePg/>
        </w:sectPr>
      </w:pPr>
      <w:r>
        <w:t>May</w:t>
      </w:r>
      <w:r w:rsidR="001E0E49">
        <w:t xml:space="preserve"> </w:t>
      </w:r>
      <w:r w:rsidR="00100B56">
        <w:t>2015</w:t>
      </w:r>
    </w:p>
    <w:p w:rsidR="00D75AC5" w:rsidRDefault="00D75AC5" w:rsidP="00D75AC5">
      <w:pPr>
        <w:pStyle w:val="ImprintText"/>
      </w:pPr>
      <w:r w:rsidRPr="002D0691">
        <w:lastRenderedPageBreak/>
        <w:t xml:space="preserve">© Commonwealth of Australia </w:t>
      </w:r>
      <w:r w:rsidRPr="00FA3775">
        <w:t>2014</w:t>
      </w:r>
    </w:p>
    <w:p w:rsidR="00E93D4F" w:rsidRDefault="00E93D4F" w:rsidP="00E93D4F">
      <w:pPr>
        <w:pStyle w:val="ImprintText"/>
        <w:rPr>
          <w:noProof/>
        </w:rPr>
      </w:pPr>
      <w:r w:rsidRPr="0035342F">
        <w:rPr>
          <w:noProof/>
        </w:rPr>
        <w:t>With the exception of the Commonwealth Coat of Arms and where otherwise noted all material presented in this document is provided under a Creative Commons Attribution 3.0 Australia (</w:t>
      </w:r>
      <w:hyperlink r:id="rId10" w:history="1">
        <w:r w:rsidRPr="00F3023B">
          <w:rPr>
            <w:rStyle w:val="Hyperlink"/>
            <w:noProof/>
          </w:rPr>
          <w:t>http://creativecommons.org/licenses/by/3.0/au/</w:t>
        </w:r>
      </w:hyperlink>
      <w:r w:rsidRPr="0035342F">
        <w:rPr>
          <w:noProof/>
        </w:rPr>
        <w:t>) licence. The details of the relevant licence conditions are available on the Creative Commons website (accessible using the links provided) as is the full legal code for the CC BY 3.0 AU licence (</w:t>
      </w:r>
      <w:hyperlink r:id="rId11" w:history="1">
        <w:r w:rsidRPr="00F3023B">
          <w:rPr>
            <w:rStyle w:val="Hyperlink"/>
            <w:noProof/>
          </w:rPr>
          <w:t>http://creativecommons.org/licenses/by/3.0/au/legalcode</w:t>
        </w:r>
      </w:hyperlink>
      <w:r w:rsidRPr="0035342F">
        <w:rPr>
          <w:noProof/>
        </w:rPr>
        <w:t xml:space="preserve">). The document must be attributed as </w:t>
      </w:r>
      <w:r w:rsidR="00B21841">
        <w:rPr>
          <w:rStyle w:val="Emphasis"/>
        </w:rPr>
        <w:t>ODE Evidence Review</w:t>
      </w:r>
    </w:p>
    <w:p w:rsidR="00E93D4F" w:rsidRDefault="00E93D4F" w:rsidP="00E93D4F">
      <w:pPr>
        <w:pStyle w:val="ImprintText"/>
      </w:pPr>
      <w:proofErr w:type="gramStart"/>
      <w:r>
        <w:t xml:space="preserve">Published by the Department of Foreign Affairs and Trade, Canberra, </w:t>
      </w:r>
      <w:r w:rsidRPr="00FA3775">
        <w:t>2014.</w:t>
      </w:r>
      <w:proofErr w:type="gramEnd"/>
    </w:p>
    <w:p w:rsidR="00E93D4F" w:rsidRDefault="00E93D4F" w:rsidP="00E93D4F">
      <w:pPr>
        <w:pStyle w:val="ImprintText"/>
      </w:pPr>
      <w:r>
        <w:t xml:space="preserve">This document is online at </w:t>
      </w:r>
      <w:hyperlink r:id="rId12" w:history="1">
        <w:r w:rsidRPr="00525F64">
          <w:rPr>
            <w:rStyle w:val="Hyperlink"/>
          </w:rPr>
          <w:t>www.ode.dfat.gov.au</w:t>
        </w:r>
      </w:hyperlink>
    </w:p>
    <w:p w:rsidR="00E93D4F" w:rsidRPr="000E6E21" w:rsidRDefault="00E93D4F" w:rsidP="00E93D4F">
      <w:pPr>
        <w:pStyle w:val="ImprintText"/>
      </w:pPr>
      <w:r w:rsidRPr="004E78D0">
        <w:rPr>
          <w:rStyle w:val="Strong"/>
        </w:rPr>
        <w:t>Disclaimer</w:t>
      </w:r>
      <w:r w:rsidRPr="000E6E21">
        <w:t xml:space="preserve">: The views contained in this report do not necessarily represent those of the Australian Government. </w:t>
      </w:r>
    </w:p>
    <w:p w:rsidR="00E93D4F" w:rsidRDefault="00E93D4F" w:rsidP="00E93D4F">
      <w:pPr>
        <w:pStyle w:val="ImprintText"/>
      </w:pPr>
      <w:r>
        <w:t>For further information, contact:</w:t>
      </w:r>
    </w:p>
    <w:p w:rsidR="00E93D4F" w:rsidRPr="002D0691" w:rsidRDefault="00E93D4F" w:rsidP="00E93D4F">
      <w:pPr>
        <w:pStyle w:val="ImprintText"/>
      </w:pPr>
      <w:r>
        <w:t>Office of Development Effectiveness</w:t>
      </w:r>
      <w:r>
        <w:br/>
        <w:t xml:space="preserve">Department of Foreign Affairs and Trade </w:t>
      </w:r>
      <w:r>
        <w:br/>
        <w:t>GPO Box 887</w:t>
      </w:r>
      <w:r>
        <w:br/>
        <w:t>Canberra ACT 2601</w:t>
      </w:r>
      <w:r>
        <w:br/>
        <w:t>Phone</w:t>
      </w:r>
      <w:r>
        <w:tab/>
      </w:r>
      <w:r>
        <w:tab/>
        <w:t>(02) 6178 4000</w:t>
      </w:r>
      <w:r>
        <w:br/>
        <w:t>Facsimile</w:t>
      </w:r>
      <w:r>
        <w:tab/>
        <w:t>(02) 6178 6076</w:t>
      </w:r>
      <w:r>
        <w:br/>
        <w:t>Internet</w:t>
      </w:r>
      <w:r>
        <w:tab/>
      </w:r>
      <w:r>
        <w:tab/>
      </w:r>
      <w:hyperlink r:id="rId13" w:history="1">
        <w:r w:rsidRPr="00F3023B">
          <w:rPr>
            <w:rStyle w:val="Hyperlink"/>
          </w:rPr>
          <w:t>www.ode.dfat.gov.au</w:t>
        </w:r>
      </w:hyperlink>
    </w:p>
    <w:p w:rsidR="00D20FD9" w:rsidRDefault="00D20FD9" w:rsidP="00E93D4F">
      <w:pPr>
        <w:pStyle w:val="ImprintText"/>
      </w:pPr>
    </w:p>
    <w:p w:rsidR="00D0393C" w:rsidRDefault="00D0393C" w:rsidP="00E93D4F">
      <w:pPr>
        <w:pStyle w:val="ImprintText"/>
      </w:pPr>
    </w:p>
    <w:p w:rsidR="00165127" w:rsidRDefault="00165127" w:rsidP="001D4D1F">
      <w:pPr>
        <w:pStyle w:val="ImprintText"/>
      </w:pPr>
    </w:p>
    <w:p w:rsidR="00165127" w:rsidRDefault="00165127" w:rsidP="001D4D1F">
      <w:pPr>
        <w:pStyle w:val="ImprintText"/>
      </w:pPr>
    </w:p>
    <w:p w:rsidR="00165127" w:rsidRDefault="00165127" w:rsidP="001D4D1F">
      <w:pPr>
        <w:pStyle w:val="ImprintText"/>
      </w:pPr>
    </w:p>
    <w:p w:rsidR="00165127" w:rsidRDefault="00165127" w:rsidP="001D4D1F">
      <w:pPr>
        <w:pStyle w:val="ImprintText"/>
      </w:pPr>
    </w:p>
    <w:p w:rsidR="00165127" w:rsidRDefault="00165127" w:rsidP="001D4D1F">
      <w:pPr>
        <w:pStyle w:val="ImprintText"/>
      </w:pPr>
    </w:p>
    <w:p w:rsidR="00130BFF" w:rsidRDefault="00130BFF" w:rsidP="001D4D1F">
      <w:pPr>
        <w:pStyle w:val="ImprintText"/>
      </w:pPr>
    </w:p>
    <w:p w:rsidR="00165127" w:rsidRDefault="00165127" w:rsidP="001D4D1F">
      <w:pPr>
        <w:pStyle w:val="ImprintText"/>
      </w:pPr>
    </w:p>
    <w:p w:rsidR="00715EA4" w:rsidRPr="00BE3345" w:rsidRDefault="00D0393C" w:rsidP="00130BFF">
      <w:pPr>
        <w:pStyle w:val="BoxHeading"/>
      </w:pPr>
      <w:r w:rsidRPr="00BE3345">
        <w:t xml:space="preserve">Office of </w:t>
      </w:r>
      <w:r w:rsidR="00E92F8F" w:rsidRPr="00BE3345">
        <w:t>Development Effectiveness</w:t>
      </w:r>
    </w:p>
    <w:p w:rsidR="00E93D4F" w:rsidRPr="00BE3345" w:rsidRDefault="00E93D4F" w:rsidP="00BE3345">
      <w:pPr>
        <w:pStyle w:val="BoxText"/>
      </w:pPr>
      <w:r w:rsidRPr="00BE3345">
        <w:t xml:space="preserve">The Office of Development Effectiveness (ODE) at the Department of Foreign Affairs and Trade builds stronger evidence for more effective aid. ODE monitors the performance of the Australian aid program, evaluates its impact and contributes to international evidence and debate about aid and development effectiveness. </w:t>
      </w:r>
    </w:p>
    <w:p w:rsidR="00D0393C" w:rsidRPr="00BE3345" w:rsidRDefault="00E93D4F" w:rsidP="00BE3345">
      <w:pPr>
        <w:pStyle w:val="BoxText"/>
      </w:pPr>
      <w:r w:rsidRPr="00BE3345">
        <w:t xml:space="preserve">Visit ODE at </w:t>
      </w:r>
      <w:hyperlink r:id="rId14" w:history="1">
        <w:r w:rsidRPr="00BE3345">
          <w:rPr>
            <w:rStyle w:val="Hyperlink"/>
          </w:rPr>
          <w:t>www.ode.dfat.gov.au</w:t>
        </w:r>
      </w:hyperlink>
    </w:p>
    <w:p w:rsidR="00BE3345" w:rsidRPr="00BE3345" w:rsidRDefault="00BE3345" w:rsidP="00130BFF">
      <w:pPr>
        <w:pStyle w:val="BoxHeading"/>
      </w:pPr>
      <w:r w:rsidRPr="00BE3345">
        <w:t>Independent Evaluation Committee</w:t>
      </w:r>
    </w:p>
    <w:p w:rsidR="00BE3345" w:rsidRPr="00BE3345" w:rsidRDefault="00BE3345" w:rsidP="00BE3345">
      <w:pPr>
        <w:pStyle w:val="BoxText"/>
      </w:pPr>
      <w:r w:rsidRPr="00BE3345">
        <w:t xml:space="preserve">The Independent Evaluation Committee (IEC) was established in mid-2012 to strengthen the independence and credibility of the work of the </w:t>
      </w:r>
      <w:r>
        <w:t>ODE. It provides independent expert evaluation advice to improve ODE’s work in planning, commissioning, managing and delivering a high-quality evaluation program.</w:t>
      </w:r>
    </w:p>
    <w:p w:rsidR="00715EA4" w:rsidRDefault="00715EA4" w:rsidP="001D4D1F">
      <w:pPr>
        <w:pStyle w:val="ImprintText"/>
        <w:sectPr w:rsidR="00715EA4" w:rsidSect="00284F00">
          <w:pgSz w:w="11906" w:h="16838" w:code="9"/>
          <w:pgMar w:top="1440" w:right="1440" w:bottom="1440" w:left="1440" w:header="576" w:footer="576" w:gutter="0"/>
          <w:pgNumType w:fmt="lowerRoman"/>
          <w:cols w:space="720"/>
          <w:titlePg/>
        </w:sectPr>
      </w:pPr>
    </w:p>
    <w:p w:rsidR="00D20FD9" w:rsidRPr="007B781B" w:rsidRDefault="0048295D" w:rsidP="007B781B">
      <w:pPr>
        <w:tabs>
          <w:tab w:val="left" w:pos="3472"/>
        </w:tabs>
        <w:rPr>
          <w:rFonts w:ascii="Arial" w:hAnsi="Arial" w:cs="Arial"/>
          <w:color w:val="124486"/>
          <w:sz w:val="50"/>
          <w:szCs w:val="50"/>
        </w:rPr>
      </w:pPr>
      <w:bookmarkStart w:id="0" w:name="_Toc381953318"/>
      <w:r w:rsidRPr="007B781B">
        <w:rPr>
          <w:rFonts w:ascii="Arial" w:hAnsi="Arial" w:cs="Arial"/>
          <w:color w:val="124486"/>
          <w:sz w:val="50"/>
          <w:szCs w:val="50"/>
        </w:rPr>
        <w:lastRenderedPageBreak/>
        <w:t>Contents</w:t>
      </w:r>
      <w:bookmarkEnd w:id="0"/>
      <w:r w:rsidR="007B781B" w:rsidRPr="007B781B">
        <w:rPr>
          <w:rFonts w:ascii="Arial" w:hAnsi="Arial" w:cs="Arial"/>
          <w:color w:val="124486"/>
          <w:sz w:val="50"/>
          <w:szCs w:val="50"/>
        </w:rPr>
        <w:tab/>
      </w:r>
    </w:p>
    <w:p w:rsidR="00F37CA7" w:rsidRDefault="00887FA3">
      <w:pPr>
        <w:pStyle w:val="TOC1"/>
        <w:rPr>
          <w:rFonts w:asciiTheme="minorHAnsi" w:eastAsiaTheme="minorEastAsia" w:hAnsiTheme="minorHAnsi" w:cstheme="minorBidi"/>
          <w:bCs w:val="0"/>
          <w:color w:val="auto"/>
          <w:sz w:val="22"/>
          <w:szCs w:val="22"/>
        </w:rPr>
      </w:pPr>
      <w:r w:rsidRPr="007B781B">
        <w:rPr>
          <w:rFonts w:cs="Arial"/>
          <w:color w:val="007C92"/>
          <w:spacing w:val="-10"/>
          <w:sz w:val="32"/>
        </w:rPr>
        <w:fldChar w:fldCharType="begin"/>
      </w:r>
      <w:r w:rsidRPr="007B781B">
        <w:rPr>
          <w:rFonts w:cs="Arial"/>
          <w:color w:val="007C92"/>
          <w:sz w:val="32"/>
        </w:rPr>
        <w:instrText xml:space="preserve"> TOC \o "1-2" \t "SectionTitle,1" </w:instrText>
      </w:r>
      <w:r w:rsidRPr="007B781B">
        <w:rPr>
          <w:rFonts w:cs="Arial"/>
          <w:color w:val="007C92"/>
          <w:spacing w:val="-10"/>
          <w:sz w:val="32"/>
        </w:rPr>
        <w:fldChar w:fldCharType="separate"/>
      </w:r>
      <w:r w:rsidR="00F37CA7">
        <w:t>Acknowledgments</w:t>
      </w:r>
      <w:r w:rsidR="00F37CA7">
        <w:tab/>
      </w:r>
      <w:r w:rsidR="00F37CA7">
        <w:fldChar w:fldCharType="begin"/>
      </w:r>
      <w:r w:rsidR="00F37CA7">
        <w:instrText xml:space="preserve"> PAGEREF _Toc403403674 \h </w:instrText>
      </w:r>
      <w:r w:rsidR="00F37CA7">
        <w:fldChar w:fldCharType="separate"/>
      </w:r>
      <w:r w:rsidR="00A262B8">
        <w:t>1</w:t>
      </w:r>
      <w:r w:rsidR="00F37CA7">
        <w:fldChar w:fldCharType="end"/>
      </w:r>
    </w:p>
    <w:p w:rsidR="00F37CA7" w:rsidRDefault="00F37CA7">
      <w:pPr>
        <w:pStyle w:val="TOC1"/>
        <w:rPr>
          <w:rFonts w:asciiTheme="minorHAnsi" w:eastAsiaTheme="minorEastAsia" w:hAnsiTheme="minorHAnsi" w:cstheme="minorBidi"/>
          <w:bCs w:val="0"/>
          <w:color w:val="auto"/>
          <w:sz w:val="22"/>
          <w:szCs w:val="22"/>
        </w:rPr>
      </w:pPr>
      <w:r>
        <w:t>Acronyms</w:t>
      </w:r>
      <w:r>
        <w:tab/>
      </w:r>
      <w:r>
        <w:fldChar w:fldCharType="begin"/>
      </w:r>
      <w:r>
        <w:instrText xml:space="preserve"> PAGEREF _Toc403403675 \h </w:instrText>
      </w:r>
      <w:r>
        <w:fldChar w:fldCharType="separate"/>
      </w:r>
      <w:r w:rsidR="00A262B8">
        <w:t>2</w:t>
      </w:r>
      <w:r>
        <w:fldChar w:fldCharType="end"/>
      </w:r>
    </w:p>
    <w:p w:rsidR="00F37CA7" w:rsidRDefault="00F37CA7">
      <w:pPr>
        <w:pStyle w:val="TOC1"/>
        <w:rPr>
          <w:rFonts w:asciiTheme="minorHAnsi" w:eastAsiaTheme="minorEastAsia" w:hAnsiTheme="minorHAnsi" w:cstheme="minorBidi"/>
          <w:bCs w:val="0"/>
          <w:color w:val="auto"/>
          <w:sz w:val="22"/>
          <w:szCs w:val="22"/>
        </w:rPr>
      </w:pPr>
      <w:r>
        <w:t>Executive summary</w:t>
      </w:r>
      <w:r>
        <w:tab/>
      </w:r>
      <w:r>
        <w:fldChar w:fldCharType="begin"/>
      </w:r>
      <w:r>
        <w:instrText xml:space="preserve"> PAGEREF _Toc403403676 \h </w:instrText>
      </w:r>
      <w:r>
        <w:fldChar w:fldCharType="separate"/>
      </w:r>
      <w:r w:rsidR="00A262B8">
        <w:t>5</w:t>
      </w:r>
      <w:r>
        <w:fldChar w:fldCharType="end"/>
      </w:r>
    </w:p>
    <w:p w:rsidR="00F37CA7" w:rsidRDefault="00F37CA7">
      <w:pPr>
        <w:pStyle w:val="TOC1"/>
        <w:rPr>
          <w:rFonts w:asciiTheme="minorHAnsi" w:eastAsiaTheme="minorEastAsia" w:hAnsiTheme="minorHAnsi" w:cstheme="minorBidi"/>
          <w:bCs w:val="0"/>
          <w:color w:val="auto"/>
          <w:sz w:val="22"/>
          <w:szCs w:val="22"/>
        </w:rPr>
      </w:pPr>
      <w:r>
        <w:t>1</w:t>
      </w:r>
      <w:r>
        <w:rPr>
          <w:rFonts w:asciiTheme="minorHAnsi" w:eastAsiaTheme="minorEastAsia" w:hAnsiTheme="minorHAnsi" w:cstheme="minorBidi"/>
          <w:bCs w:val="0"/>
          <w:color w:val="auto"/>
          <w:sz w:val="22"/>
          <w:szCs w:val="22"/>
        </w:rPr>
        <w:tab/>
      </w:r>
      <w:r>
        <w:t>Introduction and findings on the available evidence</w:t>
      </w:r>
      <w:r>
        <w:tab/>
      </w:r>
      <w:r>
        <w:fldChar w:fldCharType="begin"/>
      </w:r>
      <w:r>
        <w:instrText xml:space="preserve"> PAGEREF _Toc403403677 \h </w:instrText>
      </w:r>
      <w:r>
        <w:fldChar w:fldCharType="separate"/>
      </w:r>
      <w:r w:rsidR="00A262B8">
        <w:t>10</w:t>
      </w:r>
      <w:r>
        <w:fldChar w:fldCharType="end"/>
      </w:r>
    </w:p>
    <w:p w:rsidR="00F37CA7" w:rsidRDefault="00F37CA7">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Background</w:t>
      </w:r>
      <w:r>
        <w:rPr>
          <w:noProof/>
        </w:rPr>
        <w:tab/>
      </w:r>
      <w:r>
        <w:rPr>
          <w:noProof/>
        </w:rPr>
        <w:fldChar w:fldCharType="begin"/>
      </w:r>
      <w:r>
        <w:rPr>
          <w:noProof/>
        </w:rPr>
        <w:instrText xml:space="preserve"> PAGEREF _Toc403403678 \h </w:instrText>
      </w:r>
      <w:r>
        <w:rPr>
          <w:noProof/>
        </w:rPr>
      </w:r>
      <w:r>
        <w:rPr>
          <w:noProof/>
        </w:rPr>
        <w:fldChar w:fldCharType="separate"/>
      </w:r>
      <w:r w:rsidR="00A262B8">
        <w:rPr>
          <w:noProof/>
        </w:rPr>
        <w:t>10</w:t>
      </w:r>
      <w:r>
        <w:rPr>
          <w:noProof/>
        </w:rPr>
        <w:fldChar w:fldCharType="end"/>
      </w:r>
    </w:p>
    <w:p w:rsidR="00F37CA7" w:rsidRDefault="00F37CA7">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Methodology</w:t>
      </w:r>
      <w:r>
        <w:rPr>
          <w:noProof/>
        </w:rPr>
        <w:tab/>
      </w:r>
      <w:r>
        <w:rPr>
          <w:noProof/>
        </w:rPr>
        <w:fldChar w:fldCharType="begin"/>
      </w:r>
      <w:r>
        <w:rPr>
          <w:noProof/>
        </w:rPr>
        <w:instrText xml:space="preserve"> PAGEREF _Toc403403679 \h </w:instrText>
      </w:r>
      <w:r>
        <w:rPr>
          <w:noProof/>
        </w:rPr>
      </w:r>
      <w:r>
        <w:rPr>
          <w:noProof/>
        </w:rPr>
        <w:fldChar w:fldCharType="separate"/>
      </w:r>
      <w:r w:rsidR="00A262B8">
        <w:rPr>
          <w:noProof/>
        </w:rPr>
        <w:t>11</w:t>
      </w:r>
      <w:r>
        <w:rPr>
          <w:noProof/>
        </w:rPr>
        <w:fldChar w:fldCharType="end"/>
      </w:r>
    </w:p>
    <w:p w:rsidR="00F37CA7" w:rsidRDefault="00F37CA7">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Summary of findings relating to the evidence available</w:t>
      </w:r>
      <w:r>
        <w:rPr>
          <w:noProof/>
        </w:rPr>
        <w:tab/>
      </w:r>
      <w:r>
        <w:rPr>
          <w:noProof/>
        </w:rPr>
        <w:fldChar w:fldCharType="begin"/>
      </w:r>
      <w:r>
        <w:rPr>
          <w:noProof/>
        </w:rPr>
        <w:instrText xml:space="preserve"> PAGEREF _Toc403403680 \h </w:instrText>
      </w:r>
      <w:r>
        <w:rPr>
          <w:noProof/>
        </w:rPr>
      </w:r>
      <w:r>
        <w:rPr>
          <w:noProof/>
        </w:rPr>
        <w:fldChar w:fldCharType="separate"/>
      </w:r>
      <w:r w:rsidR="00A262B8">
        <w:rPr>
          <w:noProof/>
        </w:rPr>
        <w:t>15</w:t>
      </w:r>
      <w:r>
        <w:rPr>
          <w:noProof/>
        </w:rPr>
        <w:fldChar w:fldCharType="end"/>
      </w:r>
    </w:p>
    <w:p w:rsidR="00F37CA7" w:rsidRDefault="00F37CA7">
      <w:pPr>
        <w:pStyle w:val="TOC2"/>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Methodological challenges</w:t>
      </w:r>
      <w:r>
        <w:rPr>
          <w:noProof/>
        </w:rPr>
        <w:tab/>
      </w:r>
      <w:r>
        <w:rPr>
          <w:noProof/>
        </w:rPr>
        <w:fldChar w:fldCharType="begin"/>
      </w:r>
      <w:r>
        <w:rPr>
          <w:noProof/>
        </w:rPr>
        <w:instrText xml:space="preserve"> PAGEREF _Toc403403681 \h </w:instrText>
      </w:r>
      <w:r>
        <w:rPr>
          <w:noProof/>
        </w:rPr>
      </w:r>
      <w:r>
        <w:rPr>
          <w:noProof/>
        </w:rPr>
        <w:fldChar w:fldCharType="separate"/>
      </w:r>
      <w:r w:rsidR="00A262B8">
        <w:rPr>
          <w:noProof/>
        </w:rPr>
        <w:t>16</w:t>
      </w:r>
      <w:r>
        <w:rPr>
          <w:noProof/>
        </w:rPr>
        <w:fldChar w:fldCharType="end"/>
      </w:r>
    </w:p>
    <w:p w:rsidR="00F37CA7" w:rsidRDefault="00F37CA7">
      <w:pPr>
        <w:pStyle w:val="TOC1"/>
        <w:rPr>
          <w:rFonts w:asciiTheme="minorHAnsi" w:eastAsiaTheme="minorEastAsia" w:hAnsiTheme="minorHAnsi" w:cstheme="minorBidi"/>
          <w:bCs w:val="0"/>
          <w:color w:val="auto"/>
          <w:sz w:val="22"/>
          <w:szCs w:val="22"/>
        </w:rPr>
      </w:pPr>
      <w:r>
        <w:t>2</w:t>
      </w:r>
      <w:r>
        <w:rPr>
          <w:rFonts w:asciiTheme="minorHAnsi" w:eastAsiaTheme="minorEastAsia" w:hAnsiTheme="minorHAnsi" w:cstheme="minorBidi"/>
          <w:bCs w:val="0"/>
          <w:color w:val="auto"/>
          <w:sz w:val="22"/>
          <w:szCs w:val="22"/>
        </w:rPr>
        <w:tab/>
      </w:r>
      <w:r>
        <w:t>How and why has the Australian aid program supported SWAps?</w:t>
      </w:r>
      <w:r>
        <w:tab/>
      </w:r>
      <w:r>
        <w:fldChar w:fldCharType="begin"/>
      </w:r>
      <w:r>
        <w:instrText xml:space="preserve"> PAGEREF _Toc403403682 \h </w:instrText>
      </w:r>
      <w:r>
        <w:fldChar w:fldCharType="separate"/>
      </w:r>
      <w:r w:rsidR="00A262B8">
        <w:t>19</w:t>
      </w:r>
      <w:r>
        <w:fldChar w:fldCharType="end"/>
      </w:r>
    </w:p>
    <w:p w:rsidR="00F37CA7" w:rsidRDefault="00F37CA7">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How are these approaches supported?</w:t>
      </w:r>
      <w:r>
        <w:rPr>
          <w:noProof/>
        </w:rPr>
        <w:tab/>
      </w:r>
      <w:r>
        <w:rPr>
          <w:noProof/>
        </w:rPr>
        <w:fldChar w:fldCharType="begin"/>
      </w:r>
      <w:r>
        <w:rPr>
          <w:noProof/>
        </w:rPr>
        <w:instrText xml:space="preserve"> PAGEREF _Toc403403683 \h </w:instrText>
      </w:r>
      <w:r>
        <w:rPr>
          <w:noProof/>
        </w:rPr>
      </w:r>
      <w:r>
        <w:rPr>
          <w:noProof/>
        </w:rPr>
        <w:fldChar w:fldCharType="separate"/>
      </w:r>
      <w:r w:rsidR="00A262B8">
        <w:rPr>
          <w:noProof/>
        </w:rPr>
        <w:t>19</w:t>
      </w:r>
      <w:r>
        <w:rPr>
          <w:noProof/>
        </w:rPr>
        <w:fldChar w:fldCharType="end"/>
      </w:r>
    </w:p>
    <w:p w:rsidR="00F37CA7" w:rsidRDefault="00F37CA7">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Why were these approaches adopted?</w:t>
      </w:r>
      <w:r>
        <w:rPr>
          <w:noProof/>
        </w:rPr>
        <w:tab/>
      </w:r>
      <w:r>
        <w:rPr>
          <w:noProof/>
        </w:rPr>
        <w:fldChar w:fldCharType="begin"/>
      </w:r>
      <w:r>
        <w:rPr>
          <w:noProof/>
        </w:rPr>
        <w:instrText xml:space="preserve"> PAGEREF _Toc403403684 \h </w:instrText>
      </w:r>
      <w:r>
        <w:rPr>
          <w:noProof/>
        </w:rPr>
      </w:r>
      <w:r>
        <w:rPr>
          <w:noProof/>
        </w:rPr>
        <w:fldChar w:fldCharType="separate"/>
      </w:r>
      <w:r w:rsidR="00A262B8">
        <w:rPr>
          <w:noProof/>
        </w:rPr>
        <w:t>20</w:t>
      </w:r>
      <w:r>
        <w:rPr>
          <w:noProof/>
        </w:rPr>
        <w:fldChar w:fldCharType="end"/>
      </w:r>
    </w:p>
    <w:p w:rsidR="00F37CA7" w:rsidRDefault="00F37CA7">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How was analytic work used?</w:t>
      </w:r>
      <w:r>
        <w:rPr>
          <w:noProof/>
        </w:rPr>
        <w:tab/>
      </w:r>
      <w:r>
        <w:rPr>
          <w:noProof/>
        </w:rPr>
        <w:fldChar w:fldCharType="begin"/>
      </w:r>
      <w:r>
        <w:rPr>
          <w:noProof/>
        </w:rPr>
        <w:instrText xml:space="preserve"> PAGEREF _Toc403403685 \h </w:instrText>
      </w:r>
      <w:r>
        <w:rPr>
          <w:noProof/>
        </w:rPr>
      </w:r>
      <w:r>
        <w:rPr>
          <w:noProof/>
        </w:rPr>
        <w:fldChar w:fldCharType="separate"/>
      </w:r>
      <w:r w:rsidR="00A262B8">
        <w:rPr>
          <w:noProof/>
        </w:rPr>
        <w:t>22</w:t>
      </w:r>
      <w:r>
        <w:rPr>
          <w:noProof/>
        </w:rPr>
        <w:fldChar w:fldCharType="end"/>
      </w:r>
    </w:p>
    <w:p w:rsidR="00F37CA7" w:rsidRDefault="00F37CA7">
      <w:pPr>
        <w:pStyle w:val="TOC2"/>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How do practices compare with other donors?</w:t>
      </w:r>
      <w:r>
        <w:rPr>
          <w:noProof/>
        </w:rPr>
        <w:tab/>
      </w:r>
      <w:r>
        <w:rPr>
          <w:noProof/>
        </w:rPr>
        <w:fldChar w:fldCharType="begin"/>
      </w:r>
      <w:r>
        <w:rPr>
          <w:noProof/>
        </w:rPr>
        <w:instrText xml:space="preserve"> PAGEREF _Toc403403686 \h </w:instrText>
      </w:r>
      <w:r>
        <w:rPr>
          <w:noProof/>
        </w:rPr>
      </w:r>
      <w:r>
        <w:rPr>
          <w:noProof/>
        </w:rPr>
        <w:fldChar w:fldCharType="separate"/>
      </w:r>
      <w:r w:rsidR="00A262B8">
        <w:rPr>
          <w:noProof/>
        </w:rPr>
        <w:t>22</w:t>
      </w:r>
      <w:r>
        <w:rPr>
          <w:noProof/>
        </w:rPr>
        <w:fldChar w:fldCharType="end"/>
      </w:r>
    </w:p>
    <w:p w:rsidR="00F37CA7" w:rsidRDefault="00F37CA7">
      <w:pPr>
        <w:pStyle w:val="TOC1"/>
        <w:rPr>
          <w:rFonts w:asciiTheme="minorHAnsi" w:eastAsiaTheme="minorEastAsia" w:hAnsiTheme="minorHAnsi" w:cstheme="minorBidi"/>
          <w:bCs w:val="0"/>
          <w:color w:val="auto"/>
          <w:sz w:val="22"/>
          <w:szCs w:val="22"/>
        </w:rPr>
      </w:pPr>
      <w:r>
        <w:t>3</w:t>
      </w:r>
      <w:r>
        <w:rPr>
          <w:rFonts w:asciiTheme="minorHAnsi" w:eastAsiaTheme="minorEastAsia" w:hAnsiTheme="minorHAnsi" w:cstheme="minorBidi"/>
          <w:bCs w:val="0"/>
          <w:color w:val="auto"/>
          <w:sz w:val="22"/>
          <w:szCs w:val="22"/>
        </w:rPr>
        <w:tab/>
      </w:r>
      <w:r>
        <w:t>What is the evidence of effectiveness?</w:t>
      </w:r>
      <w:r>
        <w:tab/>
      </w:r>
      <w:r>
        <w:fldChar w:fldCharType="begin"/>
      </w:r>
      <w:r>
        <w:instrText xml:space="preserve"> PAGEREF _Toc403403687 \h </w:instrText>
      </w:r>
      <w:r>
        <w:fldChar w:fldCharType="separate"/>
      </w:r>
      <w:r w:rsidR="00A262B8">
        <w:t>24</w:t>
      </w:r>
      <w:r>
        <w:fldChar w:fldCharType="end"/>
      </w:r>
    </w:p>
    <w:p w:rsidR="00F37CA7" w:rsidRDefault="00F37CA7">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Overview of international evidence</w:t>
      </w:r>
      <w:r>
        <w:rPr>
          <w:noProof/>
        </w:rPr>
        <w:tab/>
      </w:r>
      <w:r>
        <w:rPr>
          <w:noProof/>
        </w:rPr>
        <w:fldChar w:fldCharType="begin"/>
      </w:r>
      <w:r>
        <w:rPr>
          <w:noProof/>
        </w:rPr>
        <w:instrText xml:space="preserve"> PAGEREF _Toc403403688 \h </w:instrText>
      </w:r>
      <w:r>
        <w:rPr>
          <w:noProof/>
        </w:rPr>
      </w:r>
      <w:r>
        <w:rPr>
          <w:noProof/>
        </w:rPr>
        <w:fldChar w:fldCharType="separate"/>
      </w:r>
      <w:r w:rsidR="00A262B8">
        <w:rPr>
          <w:noProof/>
        </w:rPr>
        <w:t>24</w:t>
      </w:r>
      <w:r>
        <w:rPr>
          <w:noProof/>
        </w:rPr>
        <w:fldChar w:fldCharType="end"/>
      </w:r>
    </w:p>
    <w:p w:rsidR="00F37CA7" w:rsidRDefault="00F37CA7">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 xml:space="preserve">Did SWAps increase the focus on results? </w:t>
      </w:r>
      <w:r>
        <w:rPr>
          <w:noProof/>
        </w:rPr>
        <w:tab/>
      </w:r>
      <w:r>
        <w:rPr>
          <w:noProof/>
        </w:rPr>
        <w:fldChar w:fldCharType="begin"/>
      </w:r>
      <w:r>
        <w:rPr>
          <w:noProof/>
        </w:rPr>
        <w:instrText xml:space="preserve"> PAGEREF _Toc403403689 \h </w:instrText>
      </w:r>
      <w:r>
        <w:rPr>
          <w:noProof/>
        </w:rPr>
      </w:r>
      <w:r>
        <w:rPr>
          <w:noProof/>
        </w:rPr>
        <w:fldChar w:fldCharType="separate"/>
      </w:r>
      <w:r w:rsidR="00A262B8">
        <w:rPr>
          <w:noProof/>
        </w:rPr>
        <w:t>27</w:t>
      </w:r>
      <w:r>
        <w:rPr>
          <w:noProof/>
        </w:rPr>
        <w:fldChar w:fldCharType="end"/>
      </w:r>
    </w:p>
    <w:p w:rsidR="00F37CA7" w:rsidRDefault="00F37CA7">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Did SWAps achieve the expected sector/program results?</w:t>
      </w:r>
      <w:r>
        <w:rPr>
          <w:noProof/>
        </w:rPr>
        <w:tab/>
      </w:r>
      <w:r>
        <w:rPr>
          <w:noProof/>
        </w:rPr>
        <w:fldChar w:fldCharType="begin"/>
      </w:r>
      <w:r>
        <w:rPr>
          <w:noProof/>
        </w:rPr>
        <w:instrText xml:space="preserve"> PAGEREF _Toc403403690 \h </w:instrText>
      </w:r>
      <w:r>
        <w:rPr>
          <w:noProof/>
        </w:rPr>
      </w:r>
      <w:r>
        <w:rPr>
          <w:noProof/>
        </w:rPr>
        <w:fldChar w:fldCharType="separate"/>
      </w:r>
      <w:r w:rsidR="00A262B8">
        <w:rPr>
          <w:noProof/>
        </w:rPr>
        <w:t>28</w:t>
      </w:r>
      <w:r>
        <w:rPr>
          <w:noProof/>
        </w:rPr>
        <w:fldChar w:fldCharType="end"/>
      </w:r>
    </w:p>
    <w:p w:rsidR="00F37CA7" w:rsidRDefault="00F37CA7">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Did SWAps improve sector or program M&amp;E?</w:t>
      </w:r>
      <w:r>
        <w:rPr>
          <w:noProof/>
        </w:rPr>
        <w:tab/>
      </w:r>
      <w:r>
        <w:rPr>
          <w:noProof/>
        </w:rPr>
        <w:fldChar w:fldCharType="begin"/>
      </w:r>
      <w:r>
        <w:rPr>
          <w:noProof/>
        </w:rPr>
        <w:instrText xml:space="preserve"> PAGEREF _Toc403403691 \h </w:instrText>
      </w:r>
      <w:r>
        <w:rPr>
          <w:noProof/>
        </w:rPr>
      </w:r>
      <w:r>
        <w:rPr>
          <w:noProof/>
        </w:rPr>
        <w:fldChar w:fldCharType="separate"/>
      </w:r>
      <w:r w:rsidR="00A262B8">
        <w:rPr>
          <w:noProof/>
        </w:rPr>
        <w:t>28</w:t>
      </w:r>
      <w:r>
        <w:rPr>
          <w:noProof/>
        </w:rPr>
        <w:fldChar w:fldCharType="end"/>
      </w:r>
    </w:p>
    <w:p w:rsidR="00F37CA7" w:rsidRDefault="00F37CA7">
      <w:pPr>
        <w:pStyle w:val="TOC2"/>
        <w:rPr>
          <w:rFonts w:asciiTheme="minorHAnsi" w:eastAsiaTheme="minorEastAsia" w:hAnsiTheme="minorHAnsi" w:cstheme="minorBidi"/>
          <w:noProof/>
          <w:sz w:val="22"/>
          <w:szCs w:val="22"/>
        </w:rPr>
      </w:pPr>
      <w:r>
        <w:rPr>
          <w:noProof/>
        </w:rPr>
        <w:t>3.5</w:t>
      </w:r>
      <w:r>
        <w:rPr>
          <w:rFonts w:asciiTheme="minorHAnsi" w:eastAsiaTheme="minorEastAsia" w:hAnsiTheme="minorHAnsi" w:cstheme="minorBidi"/>
          <w:noProof/>
          <w:sz w:val="22"/>
          <w:szCs w:val="22"/>
        </w:rPr>
        <w:tab/>
      </w:r>
      <w:r>
        <w:rPr>
          <w:noProof/>
        </w:rPr>
        <w:t>Did SWAps improve joint work and policy dialogue?</w:t>
      </w:r>
      <w:r>
        <w:rPr>
          <w:noProof/>
        </w:rPr>
        <w:tab/>
      </w:r>
      <w:r>
        <w:rPr>
          <w:noProof/>
        </w:rPr>
        <w:fldChar w:fldCharType="begin"/>
      </w:r>
      <w:r>
        <w:rPr>
          <w:noProof/>
        </w:rPr>
        <w:instrText xml:space="preserve"> PAGEREF _Toc403403692 \h </w:instrText>
      </w:r>
      <w:r>
        <w:rPr>
          <w:noProof/>
        </w:rPr>
      </w:r>
      <w:r>
        <w:rPr>
          <w:noProof/>
        </w:rPr>
        <w:fldChar w:fldCharType="separate"/>
      </w:r>
      <w:r w:rsidR="00A262B8">
        <w:rPr>
          <w:noProof/>
        </w:rPr>
        <w:t>29</w:t>
      </w:r>
      <w:r>
        <w:rPr>
          <w:noProof/>
        </w:rPr>
        <w:fldChar w:fldCharType="end"/>
      </w:r>
    </w:p>
    <w:p w:rsidR="00F37CA7" w:rsidRDefault="00F37CA7">
      <w:pPr>
        <w:pStyle w:val="TOC2"/>
        <w:rPr>
          <w:rFonts w:asciiTheme="minorHAnsi" w:eastAsiaTheme="minorEastAsia" w:hAnsiTheme="minorHAnsi" w:cstheme="minorBidi"/>
          <w:noProof/>
          <w:sz w:val="22"/>
          <w:szCs w:val="22"/>
        </w:rPr>
      </w:pPr>
      <w:r>
        <w:rPr>
          <w:noProof/>
        </w:rPr>
        <w:t>3.6</w:t>
      </w:r>
      <w:r>
        <w:rPr>
          <w:rFonts w:asciiTheme="minorHAnsi" w:eastAsiaTheme="minorEastAsia" w:hAnsiTheme="minorHAnsi" w:cstheme="minorBidi"/>
          <w:noProof/>
          <w:sz w:val="22"/>
          <w:szCs w:val="22"/>
        </w:rPr>
        <w:tab/>
      </w:r>
      <w:r>
        <w:rPr>
          <w:noProof/>
        </w:rPr>
        <w:t>Did SWAps improve government ownership and leadership?</w:t>
      </w:r>
      <w:r>
        <w:rPr>
          <w:noProof/>
        </w:rPr>
        <w:tab/>
      </w:r>
      <w:r>
        <w:rPr>
          <w:noProof/>
        </w:rPr>
        <w:fldChar w:fldCharType="begin"/>
      </w:r>
      <w:r>
        <w:rPr>
          <w:noProof/>
        </w:rPr>
        <w:instrText xml:space="preserve"> PAGEREF _Toc403403693 \h </w:instrText>
      </w:r>
      <w:r>
        <w:rPr>
          <w:noProof/>
        </w:rPr>
      </w:r>
      <w:r>
        <w:rPr>
          <w:noProof/>
        </w:rPr>
        <w:fldChar w:fldCharType="separate"/>
      </w:r>
      <w:r w:rsidR="00A262B8">
        <w:rPr>
          <w:noProof/>
        </w:rPr>
        <w:t>30</w:t>
      </w:r>
      <w:r>
        <w:rPr>
          <w:noProof/>
        </w:rPr>
        <w:fldChar w:fldCharType="end"/>
      </w:r>
    </w:p>
    <w:p w:rsidR="00F37CA7" w:rsidRDefault="00F37CA7">
      <w:pPr>
        <w:pStyle w:val="TOC2"/>
        <w:rPr>
          <w:rFonts w:asciiTheme="minorHAnsi" w:eastAsiaTheme="minorEastAsia" w:hAnsiTheme="minorHAnsi" w:cstheme="minorBidi"/>
          <w:noProof/>
          <w:sz w:val="22"/>
          <w:szCs w:val="22"/>
        </w:rPr>
      </w:pPr>
      <w:r>
        <w:rPr>
          <w:noProof/>
        </w:rPr>
        <w:t>3.7</w:t>
      </w:r>
      <w:r>
        <w:rPr>
          <w:rFonts w:asciiTheme="minorHAnsi" w:eastAsiaTheme="minorEastAsia" w:hAnsiTheme="minorHAnsi" w:cstheme="minorBidi"/>
          <w:noProof/>
          <w:sz w:val="22"/>
          <w:szCs w:val="22"/>
        </w:rPr>
        <w:tab/>
      </w:r>
      <w:r>
        <w:rPr>
          <w:noProof/>
        </w:rPr>
        <w:t>Did SWAps increase alignment?</w:t>
      </w:r>
      <w:r>
        <w:rPr>
          <w:noProof/>
        </w:rPr>
        <w:tab/>
      </w:r>
      <w:r>
        <w:rPr>
          <w:noProof/>
        </w:rPr>
        <w:fldChar w:fldCharType="begin"/>
      </w:r>
      <w:r>
        <w:rPr>
          <w:noProof/>
        </w:rPr>
        <w:instrText xml:space="preserve"> PAGEREF _Toc403403694 \h </w:instrText>
      </w:r>
      <w:r>
        <w:rPr>
          <w:noProof/>
        </w:rPr>
      </w:r>
      <w:r>
        <w:rPr>
          <w:noProof/>
        </w:rPr>
        <w:fldChar w:fldCharType="separate"/>
      </w:r>
      <w:r w:rsidR="00A262B8">
        <w:rPr>
          <w:noProof/>
        </w:rPr>
        <w:t>32</w:t>
      </w:r>
      <w:r>
        <w:rPr>
          <w:noProof/>
        </w:rPr>
        <w:fldChar w:fldCharType="end"/>
      </w:r>
    </w:p>
    <w:p w:rsidR="00F37CA7" w:rsidRDefault="00F37CA7">
      <w:pPr>
        <w:pStyle w:val="TOC2"/>
        <w:rPr>
          <w:rFonts w:asciiTheme="minorHAnsi" w:eastAsiaTheme="minorEastAsia" w:hAnsiTheme="minorHAnsi" w:cstheme="minorBidi"/>
          <w:noProof/>
          <w:sz w:val="22"/>
          <w:szCs w:val="22"/>
        </w:rPr>
      </w:pPr>
      <w:r>
        <w:rPr>
          <w:noProof/>
        </w:rPr>
        <w:t>3.8</w:t>
      </w:r>
      <w:r>
        <w:rPr>
          <w:rFonts w:asciiTheme="minorHAnsi" w:eastAsiaTheme="minorEastAsia" w:hAnsiTheme="minorHAnsi" w:cstheme="minorBidi"/>
          <w:noProof/>
          <w:sz w:val="22"/>
          <w:szCs w:val="22"/>
        </w:rPr>
        <w:tab/>
      </w:r>
      <w:r>
        <w:rPr>
          <w:noProof/>
        </w:rPr>
        <w:t>Did SWAps increase the use of government systems?</w:t>
      </w:r>
      <w:r>
        <w:rPr>
          <w:noProof/>
        </w:rPr>
        <w:tab/>
      </w:r>
      <w:r>
        <w:rPr>
          <w:noProof/>
        </w:rPr>
        <w:fldChar w:fldCharType="begin"/>
      </w:r>
      <w:r>
        <w:rPr>
          <w:noProof/>
        </w:rPr>
        <w:instrText xml:space="preserve"> PAGEREF _Toc403403695 \h </w:instrText>
      </w:r>
      <w:r>
        <w:rPr>
          <w:noProof/>
        </w:rPr>
      </w:r>
      <w:r>
        <w:rPr>
          <w:noProof/>
        </w:rPr>
        <w:fldChar w:fldCharType="separate"/>
      </w:r>
      <w:r w:rsidR="00A262B8">
        <w:rPr>
          <w:noProof/>
        </w:rPr>
        <w:t>33</w:t>
      </w:r>
      <w:r>
        <w:rPr>
          <w:noProof/>
        </w:rPr>
        <w:fldChar w:fldCharType="end"/>
      </w:r>
    </w:p>
    <w:p w:rsidR="00F37CA7" w:rsidRDefault="00F37CA7">
      <w:pPr>
        <w:pStyle w:val="TOC2"/>
        <w:rPr>
          <w:rFonts w:asciiTheme="minorHAnsi" w:eastAsiaTheme="minorEastAsia" w:hAnsiTheme="minorHAnsi" w:cstheme="minorBidi"/>
          <w:noProof/>
          <w:sz w:val="22"/>
          <w:szCs w:val="22"/>
        </w:rPr>
      </w:pPr>
      <w:r>
        <w:rPr>
          <w:noProof/>
        </w:rPr>
        <w:t>3.9</w:t>
      </w:r>
      <w:r>
        <w:rPr>
          <w:rFonts w:asciiTheme="minorHAnsi" w:eastAsiaTheme="minorEastAsia" w:hAnsiTheme="minorHAnsi" w:cstheme="minorBidi"/>
          <w:noProof/>
          <w:sz w:val="22"/>
          <w:szCs w:val="22"/>
        </w:rPr>
        <w:tab/>
      </w:r>
      <w:r>
        <w:rPr>
          <w:noProof/>
        </w:rPr>
        <w:t>Gender focus and reporting</w:t>
      </w:r>
      <w:r>
        <w:rPr>
          <w:noProof/>
        </w:rPr>
        <w:tab/>
      </w:r>
      <w:r>
        <w:rPr>
          <w:noProof/>
        </w:rPr>
        <w:fldChar w:fldCharType="begin"/>
      </w:r>
      <w:r>
        <w:rPr>
          <w:noProof/>
        </w:rPr>
        <w:instrText xml:space="preserve"> PAGEREF _Toc403403696 \h </w:instrText>
      </w:r>
      <w:r>
        <w:rPr>
          <w:noProof/>
        </w:rPr>
      </w:r>
      <w:r>
        <w:rPr>
          <w:noProof/>
        </w:rPr>
        <w:fldChar w:fldCharType="separate"/>
      </w:r>
      <w:r w:rsidR="00A262B8">
        <w:rPr>
          <w:noProof/>
        </w:rPr>
        <w:t>36</w:t>
      </w:r>
      <w:r>
        <w:rPr>
          <w:noProof/>
        </w:rPr>
        <w:fldChar w:fldCharType="end"/>
      </w:r>
    </w:p>
    <w:p w:rsidR="00F37CA7" w:rsidRDefault="00F37CA7">
      <w:pPr>
        <w:pStyle w:val="TOC1"/>
        <w:rPr>
          <w:rFonts w:asciiTheme="minorHAnsi" w:eastAsiaTheme="minorEastAsia" w:hAnsiTheme="minorHAnsi" w:cstheme="minorBidi"/>
          <w:bCs w:val="0"/>
          <w:color w:val="auto"/>
          <w:sz w:val="22"/>
          <w:szCs w:val="22"/>
        </w:rPr>
      </w:pPr>
      <w:r>
        <w:t>Appendix 1: Terms of reference</w:t>
      </w:r>
      <w:r>
        <w:tab/>
      </w:r>
      <w:r>
        <w:fldChar w:fldCharType="begin"/>
      </w:r>
      <w:r>
        <w:instrText xml:space="preserve"> PAGEREF _Toc403403697 \h </w:instrText>
      </w:r>
      <w:r>
        <w:fldChar w:fldCharType="separate"/>
      </w:r>
      <w:r w:rsidR="00A262B8">
        <w:t>38</w:t>
      </w:r>
      <w:r>
        <w:fldChar w:fldCharType="end"/>
      </w:r>
    </w:p>
    <w:p w:rsidR="00F37CA7" w:rsidRDefault="00F37CA7">
      <w:pPr>
        <w:pStyle w:val="TOC1"/>
        <w:rPr>
          <w:rFonts w:asciiTheme="minorHAnsi" w:eastAsiaTheme="minorEastAsia" w:hAnsiTheme="minorHAnsi" w:cstheme="minorBidi"/>
          <w:bCs w:val="0"/>
          <w:color w:val="auto"/>
          <w:sz w:val="22"/>
          <w:szCs w:val="22"/>
        </w:rPr>
      </w:pPr>
      <w:r>
        <w:t>Appendix 2: Approach to documentation</w:t>
      </w:r>
      <w:r>
        <w:tab/>
      </w:r>
      <w:r>
        <w:fldChar w:fldCharType="begin"/>
      </w:r>
      <w:r>
        <w:instrText xml:space="preserve"> PAGEREF _Toc403403698 \h </w:instrText>
      </w:r>
      <w:r>
        <w:fldChar w:fldCharType="separate"/>
      </w:r>
      <w:r w:rsidR="00A262B8">
        <w:t>41</w:t>
      </w:r>
      <w:r>
        <w:fldChar w:fldCharType="end"/>
      </w:r>
    </w:p>
    <w:p w:rsidR="00F37CA7" w:rsidRDefault="00F37CA7">
      <w:pPr>
        <w:pStyle w:val="TOC1"/>
        <w:rPr>
          <w:rFonts w:asciiTheme="minorHAnsi" w:eastAsiaTheme="minorEastAsia" w:hAnsiTheme="minorHAnsi" w:cstheme="minorBidi"/>
          <w:bCs w:val="0"/>
          <w:color w:val="auto"/>
          <w:sz w:val="22"/>
          <w:szCs w:val="22"/>
        </w:rPr>
      </w:pPr>
      <w:r>
        <w:t>Appendix 3: Country evidence tables</w:t>
      </w:r>
      <w:r>
        <w:tab/>
      </w:r>
      <w:r>
        <w:fldChar w:fldCharType="begin"/>
      </w:r>
      <w:r>
        <w:instrText xml:space="preserve"> PAGEREF _Toc403403699 \h </w:instrText>
      </w:r>
      <w:r>
        <w:fldChar w:fldCharType="separate"/>
      </w:r>
      <w:r w:rsidR="00A262B8">
        <w:t>43</w:t>
      </w:r>
      <w:r>
        <w:fldChar w:fldCharType="end"/>
      </w:r>
    </w:p>
    <w:p w:rsidR="00F37CA7" w:rsidRDefault="00F37CA7">
      <w:pPr>
        <w:pStyle w:val="TOC1"/>
        <w:rPr>
          <w:rFonts w:asciiTheme="minorHAnsi" w:eastAsiaTheme="minorEastAsia" w:hAnsiTheme="minorHAnsi" w:cstheme="minorBidi"/>
          <w:bCs w:val="0"/>
          <w:color w:val="auto"/>
          <w:sz w:val="22"/>
          <w:szCs w:val="22"/>
        </w:rPr>
      </w:pPr>
      <w:r>
        <w:t>Appendix 4: List of references</w:t>
      </w:r>
      <w:r>
        <w:tab/>
      </w:r>
      <w:r>
        <w:fldChar w:fldCharType="begin"/>
      </w:r>
      <w:r>
        <w:instrText xml:space="preserve"> PAGEREF _Toc403403700 \h </w:instrText>
      </w:r>
      <w:r>
        <w:fldChar w:fldCharType="separate"/>
      </w:r>
      <w:r w:rsidR="00A262B8">
        <w:t>69</w:t>
      </w:r>
      <w:r>
        <w:fldChar w:fldCharType="end"/>
      </w:r>
    </w:p>
    <w:p w:rsidR="00F37CA7" w:rsidRDefault="00F37CA7">
      <w:pPr>
        <w:pStyle w:val="TOC1"/>
        <w:rPr>
          <w:rFonts w:asciiTheme="minorHAnsi" w:eastAsiaTheme="minorEastAsia" w:hAnsiTheme="minorHAnsi" w:cstheme="minorBidi"/>
          <w:bCs w:val="0"/>
          <w:color w:val="auto"/>
          <w:sz w:val="22"/>
          <w:szCs w:val="22"/>
        </w:rPr>
      </w:pPr>
      <w:r>
        <w:t>Appendix 5: Annotated bibliography</w:t>
      </w:r>
      <w:r>
        <w:tab/>
      </w:r>
      <w:r>
        <w:fldChar w:fldCharType="begin"/>
      </w:r>
      <w:r>
        <w:instrText xml:space="preserve"> PAGEREF _Toc403403701 \h </w:instrText>
      </w:r>
      <w:r>
        <w:fldChar w:fldCharType="separate"/>
      </w:r>
      <w:r w:rsidR="00A262B8">
        <w:t>75</w:t>
      </w:r>
      <w:r>
        <w:fldChar w:fldCharType="end"/>
      </w:r>
    </w:p>
    <w:p w:rsidR="00F37CA7" w:rsidRDefault="00F37CA7">
      <w:pPr>
        <w:pStyle w:val="TOC2"/>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Australia’s policy documents</w:t>
      </w:r>
      <w:r>
        <w:rPr>
          <w:noProof/>
        </w:rPr>
        <w:tab/>
      </w:r>
      <w:r>
        <w:rPr>
          <w:noProof/>
        </w:rPr>
        <w:fldChar w:fldCharType="begin"/>
      </w:r>
      <w:r>
        <w:rPr>
          <w:noProof/>
        </w:rPr>
        <w:instrText xml:space="preserve"> PAGEREF _Toc403403702 \h </w:instrText>
      </w:r>
      <w:r>
        <w:rPr>
          <w:noProof/>
        </w:rPr>
      </w:r>
      <w:r>
        <w:rPr>
          <w:noProof/>
        </w:rPr>
        <w:fldChar w:fldCharType="separate"/>
      </w:r>
      <w:r w:rsidR="00A262B8">
        <w:rPr>
          <w:noProof/>
        </w:rPr>
        <w:t>75</w:t>
      </w:r>
      <w:r>
        <w:rPr>
          <w:noProof/>
        </w:rPr>
        <w:fldChar w:fldCharType="end"/>
      </w:r>
    </w:p>
    <w:p w:rsidR="00F37CA7" w:rsidRDefault="00F37CA7">
      <w:pPr>
        <w:pStyle w:val="TOC2"/>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Country documents</w:t>
      </w:r>
      <w:r>
        <w:rPr>
          <w:noProof/>
        </w:rPr>
        <w:tab/>
      </w:r>
      <w:r>
        <w:rPr>
          <w:noProof/>
        </w:rPr>
        <w:fldChar w:fldCharType="begin"/>
      </w:r>
      <w:r>
        <w:rPr>
          <w:noProof/>
        </w:rPr>
        <w:instrText xml:space="preserve"> PAGEREF _Toc403403703 \h </w:instrText>
      </w:r>
      <w:r>
        <w:rPr>
          <w:noProof/>
        </w:rPr>
      </w:r>
      <w:r>
        <w:rPr>
          <w:noProof/>
        </w:rPr>
        <w:fldChar w:fldCharType="separate"/>
      </w:r>
      <w:r w:rsidR="00A262B8">
        <w:rPr>
          <w:noProof/>
        </w:rPr>
        <w:t>76</w:t>
      </w:r>
      <w:r>
        <w:rPr>
          <w:noProof/>
        </w:rPr>
        <w:fldChar w:fldCharType="end"/>
      </w:r>
    </w:p>
    <w:p w:rsidR="006068DE" w:rsidRPr="007B781B" w:rsidRDefault="00887FA3" w:rsidP="006068DE">
      <w:pPr>
        <w:rPr>
          <w:noProof/>
          <w:sz w:val="8"/>
        </w:rPr>
      </w:pPr>
      <w:r w:rsidRPr="007B781B">
        <w:rPr>
          <w:rFonts w:ascii="Arial" w:hAnsi="Arial" w:cs="Arial"/>
          <w:noProof/>
        </w:rPr>
        <w:fldChar w:fldCharType="end"/>
      </w:r>
    </w:p>
    <w:p w:rsidR="00094F12" w:rsidRDefault="00094F12" w:rsidP="00AE0259">
      <w:pPr>
        <w:pStyle w:val="Heading3a"/>
      </w:pPr>
    </w:p>
    <w:p w:rsidR="00805815" w:rsidRDefault="00805815" w:rsidP="00AE0259">
      <w:pPr>
        <w:pStyle w:val="Heading3a"/>
      </w:pPr>
      <w:r>
        <w:t xml:space="preserve">Boxes </w:t>
      </w:r>
    </w:p>
    <w:p w:rsidR="002B5EAE" w:rsidRDefault="00077780" w:rsidP="00B34092">
      <w:pPr>
        <w:pStyle w:val="TableofFigures"/>
        <w:ind w:left="990" w:hanging="990"/>
        <w:rPr>
          <w:rFonts w:asciiTheme="minorHAnsi" w:eastAsiaTheme="minorEastAsia" w:hAnsiTheme="minorHAnsi" w:cstheme="minorBidi"/>
          <w:noProof/>
          <w:szCs w:val="22"/>
        </w:rPr>
      </w:pPr>
      <w:r>
        <w:rPr>
          <w:rFonts w:asciiTheme="minorHAnsi" w:hAnsiTheme="minorHAnsi"/>
          <w:color w:val="007C92"/>
        </w:rPr>
        <w:fldChar w:fldCharType="begin"/>
      </w:r>
      <w:r>
        <w:instrText xml:space="preserve"> TOC \h \z \t "BoxName" \c </w:instrText>
      </w:r>
      <w:r>
        <w:rPr>
          <w:rFonts w:asciiTheme="minorHAnsi" w:hAnsiTheme="minorHAnsi"/>
          <w:color w:val="007C92"/>
        </w:rPr>
        <w:fldChar w:fldCharType="separate"/>
      </w:r>
      <w:hyperlink w:anchor="_Toc402192217" w:history="1">
        <w:r w:rsidR="002B5EAE" w:rsidRPr="00A652A3">
          <w:rPr>
            <w:rStyle w:val="Hyperlink"/>
            <w:noProof/>
          </w:rPr>
          <w:t>Box 1</w:t>
        </w:r>
        <w:r w:rsidR="002B5EAE">
          <w:rPr>
            <w:rFonts w:asciiTheme="minorHAnsi" w:eastAsiaTheme="minorEastAsia" w:hAnsiTheme="minorHAnsi" w:cstheme="minorBidi"/>
            <w:noProof/>
            <w:szCs w:val="22"/>
          </w:rPr>
          <w:tab/>
        </w:r>
        <w:r w:rsidR="002B5EAE" w:rsidRPr="00A652A3">
          <w:rPr>
            <w:rStyle w:val="Hyperlink"/>
            <w:noProof/>
          </w:rPr>
          <w:t>Definitions</w:t>
        </w:r>
        <w:r w:rsidR="002B5EAE">
          <w:rPr>
            <w:noProof/>
            <w:webHidden/>
          </w:rPr>
          <w:tab/>
        </w:r>
        <w:r w:rsidR="002B5EAE">
          <w:rPr>
            <w:noProof/>
            <w:webHidden/>
          </w:rPr>
          <w:fldChar w:fldCharType="begin"/>
        </w:r>
        <w:r w:rsidR="002B5EAE">
          <w:rPr>
            <w:noProof/>
            <w:webHidden/>
          </w:rPr>
          <w:instrText xml:space="preserve"> PAGEREF _Toc402192217 \h </w:instrText>
        </w:r>
        <w:r w:rsidR="002B5EAE">
          <w:rPr>
            <w:noProof/>
            <w:webHidden/>
          </w:rPr>
        </w:r>
        <w:r w:rsidR="002B5EAE">
          <w:rPr>
            <w:noProof/>
            <w:webHidden/>
          </w:rPr>
          <w:fldChar w:fldCharType="separate"/>
        </w:r>
        <w:r w:rsidR="00A262B8">
          <w:rPr>
            <w:noProof/>
            <w:webHidden/>
          </w:rPr>
          <w:t>11</w:t>
        </w:r>
        <w:r w:rsidR="002B5EAE">
          <w:rPr>
            <w:noProof/>
            <w:webHidden/>
          </w:rPr>
          <w:fldChar w:fldCharType="end"/>
        </w:r>
      </w:hyperlink>
    </w:p>
    <w:p w:rsidR="002B5EAE" w:rsidRDefault="000171C6" w:rsidP="00B34092">
      <w:pPr>
        <w:pStyle w:val="TableofFigures"/>
        <w:ind w:left="990" w:hanging="990"/>
        <w:rPr>
          <w:rFonts w:asciiTheme="minorHAnsi" w:eastAsiaTheme="minorEastAsia" w:hAnsiTheme="minorHAnsi" w:cstheme="minorBidi"/>
          <w:noProof/>
          <w:szCs w:val="22"/>
        </w:rPr>
      </w:pPr>
      <w:hyperlink w:anchor="_Toc402192218" w:history="1">
        <w:r w:rsidR="002B5EAE" w:rsidRPr="00A652A3">
          <w:rPr>
            <w:rStyle w:val="Hyperlink"/>
            <w:noProof/>
          </w:rPr>
          <w:t>Box 2</w:t>
        </w:r>
        <w:r w:rsidR="002B5EAE">
          <w:rPr>
            <w:rFonts w:asciiTheme="minorHAnsi" w:eastAsiaTheme="minorEastAsia" w:hAnsiTheme="minorHAnsi" w:cstheme="minorBidi"/>
            <w:noProof/>
            <w:szCs w:val="22"/>
          </w:rPr>
          <w:tab/>
        </w:r>
        <w:r w:rsidR="002B5EAE" w:rsidRPr="00A652A3">
          <w:rPr>
            <w:rStyle w:val="Hyperlink"/>
            <w:noProof/>
          </w:rPr>
          <w:t>Key findings from the international literature</w:t>
        </w:r>
        <w:r w:rsidR="002B5EAE">
          <w:rPr>
            <w:noProof/>
            <w:webHidden/>
          </w:rPr>
          <w:tab/>
        </w:r>
        <w:r w:rsidR="002B5EAE">
          <w:rPr>
            <w:noProof/>
            <w:webHidden/>
          </w:rPr>
          <w:fldChar w:fldCharType="begin"/>
        </w:r>
        <w:r w:rsidR="002B5EAE">
          <w:rPr>
            <w:noProof/>
            <w:webHidden/>
          </w:rPr>
          <w:instrText xml:space="preserve"> PAGEREF _Toc402192218 \h </w:instrText>
        </w:r>
        <w:r w:rsidR="002B5EAE">
          <w:rPr>
            <w:noProof/>
            <w:webHidden/>
          </w:rPr>
        </w:r>
        <w:r w:rsidR="002B5EAE">
          <w:rPr>
            <w:noProof/>
            <w:webHidden/>
          </w:rPr>
          <w:fldChar w:fldCharType="separate"/>
        </w:r>
        <w:r w:rsidR="00A262B8">
          <w:rPr>
            <w:noProof/>
            <w:webHidden/>
          </w:rPr>
          <w:t>24</w:t>
        </w:r>
        <w:r w:rsidR="002B5EAE">
          <w:rPr>
            <w:noProof/>
            <w:webHidden/>
          </w:rPr>
          <w:fldChar w:fldCharType="end"/>
        </w:r>
      </w:hyperlink>
    </w:p>
    <w:p w:rsidR="00077780" w:rsidRPr="00C21CF8" w:rsidRDefault="00077780" w:rsidP="00077780">
      <w:pPr>
        <w:rPr>
          <w:sz w:val="8"/>
        </w:rPr>
      </w:pPr>
      <w:r>
        <w:rPr>
          <w:noProof/>
        </w:rPr>
        <w:fldChar w:fldCharType="end"/>
      </w:r>
    </w:p>
    <w:p w:rsidR="00D20FD9" w:rsidRPr="00E92F8F" w:rsidRDefault="0048295D" w:rsidP="00325186">
      <w:pPr>
        <w:pStyle w:val="Heading3a"/>
      </w:pPr>
      <w:r>
        <w:t>Tables</w:t>
      </w:r>
      <w:r w:rsidR="00104E39">
        <w:t xml:space="preserve"> </w:t>
      </w:r>
    </w:p>
    <w:p w:rsidR="002B5EAE" w:rsidRDefault="007B6376" w:rsidP="00B34092">
      <w:pPr>
        <w:pStyle w:val="TableofFigures"/>
        <w:ind w:left="990" w:hanging="990"/>
        <w:rPr>
          <w:rFonts w:asciiTheme="minorHAnsi" w:eastAsiaTheme="minorEastAsia" w:hAnsiTheme="minorHAnsi" w:cstheme="minorBidi"/>
          <w:noProof/>
          <w:szCs w:val="22"/>
        </w:rPr>
      </w:pPr>
      <w:r w:rsidRPr="007754ED">
        <w:rPr>
          <w:rFonts w:asciiTheme="minorHAnsi" w:hAnsiTheme="minorHAnsi"/>
          <w:color w:val="007C92"/>
        </w:rPr>
        <w:fldChar w:fldCharType="begin"/>
      </w:r>
      <w:r w:rsidR="0048295D" w:rsidRPr="007754ED">
        <w:instrText xml:space="preserve"> TOC \t "TableName" \c </w:instrText>
      </w:r>
      <w:r w:rsidRPr="007754ED">
        <w:rPr>
          <w:rFonts w:asciiTheme="minorHAnsi" w:hAnsiTheme="minorHAnsi"/>
          <w:color w:val="007C92"/>
        </w:rPr>
        <w:fldChar w:fldCharType="separate"/>
      </w:r>
      <w:r w:rsidR="002B5EAE">
        <w:rPr>
          <w:noProof/>
        </w:rPr>
        <w:t>Table 1</w:t>
      </w:r>
      <w:r w:rsidR="002B5EAE">
        <w:rPr>
          <w:rFonts w:asciiTheme="minorHAnsi" w:eastAsiaTheme="minorEastAsia" w:hAnsiTheme="minorHAnsi" w:cstheme="minorBidi"/>
          <w:noProof/>
          <w:szCs w:val="22"/>
        </w:rPr>
        <w:tab/>
      </w:r>
      <w:r w:rsidR="002B5EAE">
        <w:rPr>
          <w:noProof/>
        </w:rPr>
        <w:t>Availability of information by country</w:t>
      </w:r>
      <w:r w:rsidR="002B5EAE">
        <w:rPr>
          <w:noProof/>
        </w:rPr>
        <w:tab/>
      </w:r>
      <w:r w:rsidR="002B5EAE">
        <w:rPr>
          <w:noProof/>
        </w:rPr>
        <w:fldChar w:fldCharType="begin"/>
      </w:r>
      <w:r w:rsidR="002B5EAE">
        <w:rPr>
          <w:noProof/>
        </w:rPr>
        <w:instrText xml:space="preserve"> PAGEREF _Toc402192194 \h </w:instrText>
      </w:r>
      <w:r w:rsidR="002B5EAE">
        <w:rPr>
          <w:noProof/>
        </w:rPr>
      </w:r>
      <w:r w:rsidR="002B5EAE">
        <w:rPr>
          <w:noProof/>
        </w:rPr>
        <w:fldChar w:fldCharType="separate"/>
      </w:r>
      <w:r w:rsidR="00A262B8">
        <w:rPr>
          <w:noProof/>
        </w:rPr>
        <w:t>12</w:t>
      </w:r>
      <w:r w:rsidR="002B5EAE">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2</w:t>
      </w:r>
      <w:r>
        <w:rPr>
          <w:rFonts w:asciiTheme="minorHAnsi" w:eastAsiaTheme="minorEastAsia" w:hAnsiTheme="minorHAnsi" w:cstheme="minorBidi"/>
          <w:noProof/>
          <w:szCs w:val="22"/>
        </w:rPr>
        <w:tab/>
      </w:r>
      <w:r>
        <w:rPr>
          <w:noProof/>
        </w:rPr>
        <w:t>Summary of main evaluations used</w:t>
      </w:r>
      <w:r>
        <w:rPr>
          <w:noProof/>
        </w:rPr>
        <w:tab/>
      </w:r>
      <w:r>
        <w:rPr>
          <w:noProof/>
        </w:rPr>
        <w:fldChar w:fldCharType="begin"/>
      </w:r>
      <w:r>
        <w:rPr>
          <w:noProof/>
        </w:rPr>
        <w:instrText xml:space="preserve"> PAGEREF _Toc402192195 \h </w:instrText>
      </w:r>
      <w:r>
        <w:rPr>
          <w:noProof/>
        </w:rPr>
      </w:r>
      <w:r>
        <w:rPr>
          <w:noProof/>
        </w:rPr>
        <w:fldChar w:fldCharType="separate"/>
      </w:r>
      <w:r w:rsidR="00A262B8">
        <w:rPr>
          <w:noProof/>
        </w:rPr>
        <w:t>12</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3</w:t>
      </w:r>
      <w:r>
        <w:rPr>
          <w:rFonts w:asciiTheme="minorHAnsi" w:eastAsiaTheme="minorEastAsia" w:hAnsiTheme="minorHAnsi" w:cstheme="minorBidi"/>
          <w:noProof/>
          <w:szCs w:val="22"/>
        </w:rPr>
        <w:tab/>
      </w:r>
      <w:r>
        <w:rPr>
          <w:noProof/>
        </w:rPr>
        <w:t xml:space="preserve"> Analytical tool to guide the review</w:t>
      </w:r>
      <w:r>
        <w:rPr>
          <w:noProof/>
        </w:rPr>
        <w:tab/>
      </w:r>
      <w:r>
        <w:rPr>
          <w:noProof/>
        </w:rPr>
        <w:fldChar w:fldCharType="begin"/>
      </w:r>
      <w:r>
        <w:rPr>
          <w:noProof/>
        </w:rPr>
        <w:instrText xml:space="preserve"> PAGEREF _Toc402192196 \h </w:instrText>
      </w:r>
      <w:r>
        <w:rPr>
          <w:noProof/>
        </w:rPr>
      </w:r>
      <w:r>
        <w:rPr>
          <w:noProof/>
        </w:rPr>
        <w:fldChar w:fldCharType="separate"/>
      </w:r>
      <w:r w:rsidR="00A262B8">
        <w:rPr>
          <w:noProof/>
        </w:rPr>
        <w:t>14</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4</w:t>
      </w:r>
      <w:r>
        <w:rPr>
          <w:rFonts w:asciiTheme="minorHAnsi" w:eastAsiaTheme="minorEastAsia" w:hAnsiTheme="minorHAnsi" w:cstheme="minorBidi"/>
          <w:noProof/>
          <w:szCs w:val="22"/>
        </w:rPr>
        <w:tab/>
      </w:r>
      <w:r>
        <w:rPr>
          <w:noProof/>
        </w:rPr>
        <w:t xml:space="preserve"> Country programs and approaches</w:t>
      </w:r>
      <w:r>
        <w:rPr>
          <w:noProof/>
        </w:rPr>
        <w:tab/>
      </w:r>
      <w:r>
        <w:rPr>
          <w:noProof/>
        </w:rPr>
        <w:fldChar w:fldCharType="begin"/>
      </w:r>
      <w:r>
        <w:rPr>
          <w:noProof/>
        </w:rPr>
        <w:instrText xml:space="preserve"> PAGEREF _Toc402192197 \h </w:instrText>
      </w:r>
      <w:r>
        <w:rPr>
          <w:noProof/>
        </w:rPr>
      </w:r>
      <w:r>
        <w:rPr>
          <w:noProof/>
        </w:rPr>
        <w:fldChar w:fldCharType="separate"/>
      </w:r>
      <w:r w:rsidR="00A262B8">
        <w:rPr>
          <w:noProof/>
        </w:rPr>
        <w:t>19</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5</w:t>
      </w:r>
      <w:r>
        <w:rPr>
          <w:rFonts w:asciiTheme="minorHAnsi" w:eastAsiaTheme="minorEastAsia" w:hAnsiTheme="minorHAnsi" w:cstheme="minorBidi"/>
          <w:noProof/>
          <w:szCs w:val="22"/>
        </w:rPr>
        <w:tab/>
      </w:r>
      <w:r>
        <w:rPr>
          <w:noProof/>
        </w:rPr>
        <w:t>Reasons for the Australian aid program’s choice of approach</w:t>
      </w:r>
      <w:r>
        <w:rPr>
          <w:noProof/>
        </w:rPr>
        <w:tab/>
      </w:r>
      <w:r>
        <w:rPr>
          <w:noProof/>
        </w:rPr>
        <w:fldChar w:fldCharType="begin"/>
      </w:r>
      <w:r>
        <w:rPr>
          <w:noProof/>
        </w:rPr>
        <w:instrText xml:space="preserve"> PAGEREF _Toc402192198 \h </w:instrText>
      </w:r>
      <w:r>
        <w:rPr>
          <w:noProof/>
        </w:rPr>
      </w:r>
      <w:r>
        <w:rPr>
          <w:noProof/>
        </w:rPr>
        <w:fldChar w:fldCharType="separate"/>
      </w:r>
      <w:r w:rsidR="00A262B8">
        <w:rPr>
          <w:noProof/>
        </w:rPr>
        <w:t>21</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6</w:t>
      </w:r>
      <w:r>
        <w:rPr>
          <w:rFonts w:asciiTheme="minorHAnsi" w:eastAsiaTheme="minorEastAsia" w:hAnsiTheme="minorHAnsi" w:cstheme="minorBidi"/>
          <w:noProof/>
          <w:szCs w:val="22"/>
        </w:rPr>
        <w:tab/>
      </w:r>
      <w:r>
        <w:rPr>
          <w:noProof/>
        </w:rPr>
        <w:t>Summary of progress on alignment</w:t>
      </w:r>
      <w:r>
        <w:rPr>
          <w:noProof/>
        </w:rPr>
        <w:tab/>
      </w:r>
      <w:r>
        <w:rPr>
          <w:noProof/>
        </w:rPr>
        <w:fldChar w:fldCharType="begin"/>
      </w:r>
      <w:r>
        <w:rPr>
          <w:noProof/>
        </w:rPr>
        <w:instrText xml:space="preserve"> PAGEREF _Toc402192199 \h </w:instrText>
      </w:r>
      <w:r>
        <w:rPr>
          <w:noProof/>
        </w:rPr>
      </w:r>
      <w:r>
        <w:rPr>
          <w:noProof/>
        </w:rPr>
        <w:fldChar w:fldCharType="separate"/>
      </w:r>
      <w:r w:rsidR="00A262B8">
        <w:rPr>
          <w:noProof/>
        </w:rPr>
        <w:t>32</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7</w:t>
      </w:r>
      <w:r>
        <w:rPr>
          <w:rFonts w:asciiTheme="minorHAnsi" w:eastAsiaTheme="minorEastAsia" w:hAnsiTheme="minorHAnsi" w:cstheme="minorBidi"/>
          <w:noProof/>
          <w:szCs w:val="22"/>
        </w:rPr>
        <w:tab/>
      </w:r>
      <w:r>
        <w:rPr>
          <w:noProof/>
        </w:rPr>
        <w:t>Use of government systems</w:t>
      </w:r>
      <w:r>
        <w:rPr>
          <w:noProof/>
        </w:rPr>
        <w:tab/>
      </w:r>
      <w:r>
        <w:rPr>
          <w:noProof/>
        </w:rPr>
        <w:fldChar w:fldCharType="begin"/>
      </w:r>
      <w:r>
        <w:rPr>
          <w:noProof/>
        </w:rPr>
        <w:instrText xml:space="preserve"> PAGEREF _Toc402192200 \h </w:instrText>
      </w:r>
      <w:r>
        <w:rPr>
          <w:noProof/>
        </w:rPr>
      </w:r>
      <w:r>
        <w:rPr>
          <w:noProof/>
        </w:rPr>
        <w:fldChar w:fldCharType="separate"/>
      </w:r>
      <w:r w:rsidR="00A262B8">
        <w:rPr>
          <w:noProof/>
        </w:rPr>
        <w:t>33</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8</w:t>
      </w:r>
      <w:r>
        <w:rPr>
          <w:rFonts w:asciiTheme="minorHAnsi" w:eastAsiaTheme="minorEastAsia" w:hAnsiTheme="minorHAnsi" w:cstheme="minorBidi"/>
          <w:noProof/>
          <w:szCs w:val="22"/>
        </w:rPr>
        <w:tab/>
      </w:r>
      <w:r>
        <w:rPr>
          <w:noProof/>
        </w:rPr>
        <w:t>Focus on gender in the six countries</w:t>
      </w:r>
      <w:r>
        <w:rPr>
          <w:noProof/>
        </w:rPr>
        <w:tab/>
      </w:r>
      <w:r>
        <w:rPr>
          <w:noProof/>
        </w:rPr>
        <w:fldChar w:fldCharType="begin"/>
      </w:r>
      <w:r>
        <w:rPr>
          <w:noProof/>
        </w:rPr>
        <w:instrText xml:space="preserve"> PAGEREF _Toc402192201 \h </w:instrText>
      </w:r>
      <w:r>
        <w:rPr>
          <w:noProof/>
        </w:rPr>
      </w:r>
      <w:r>
        <w:rPr>
          <w:noProof/>
        </w:rPr>
        <w:fldChar w:fldCharType="separate"/>
      </w:r>
      <w:r w:rsidR="00A262B8">
        <w:rPr>
          <w:noProof/>
        </w:rPr>
        <w:t>36</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A1</w:t>
      </w:r>
      <w:r>
        <w:rPr>
          <w:rFonts w:asciiTheme="minorHAnsi" w:eastAsiaTheme="minorEastAsia" w:hAnsiTheme="minorHAnsi" w:cstheme="minorBidi"/>
          <w:noProof/>
          <w:szCs w:val="22"/>
        </w:rPr>
        <w:tab/>
      </w:r>
      <w:r>
        <w:rPr>
          <w:noProof/>
        </w:rPr>
        <w:t>Were results defined for the SWAp and for the Australian aid program?</w:t>
      </w:r>
      <w:r>
        <w:rPr>
          <w:noProof/>
        </w:rPr>
        <w:tab/>
      </w:r>
      <w:r>
        <w:rPr>
          <w:noProof/>
        </w:rPr>
        <w:fldChar w:fldCharType="begin"/>
      </w:r>
      <w:r>
        <w:rPr>
          <w:noProof/>
        </w:rPr>
        <w:instrText xml:space="preserve"> PAGEREF _Toc402192202 \h </w:instrText>
      </w:r>
      <w:r>
        <w:rPr>
          <w:noProof/>
        </w:rPr>
      </w:r>
      <w:r>
        <w:rPr>
          <w:noProof/>
        </w:rPr>
        <w:fldChar w:fldCharType="separate"/>
      </w:r>
      <w:r w:rsidR="00A262B8">
        <w:rPr>
          <w:noProof/>
        </w:rPr>
        <w:t>43</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A2</w:t>
      </w:r>
      <w:r>
        <w:rPr>
          <w:rFonts w:asciiTheme="minorHAnsi" w:eastAsiaTheme="minorEastAsia" w:hAnsiTheme="minorHAnsi" w:cstheme="minorBidi"/>
          <w:noProof/>
          <w:szCs w:val="22"/>
        </w:rPr>
        <w:tab/>
      </w:r>
      <w:r>
        <w:rPr>
          <w:noProof/>
        </w:rPr>
        <w:t>Were results defined at the sector or program levels? Were results prioritised?</w:t>
      </w:r>
      <w:r>
        <w:rPr>
          <w:noProof/>
        </w:rPr>
        <w:tab/>
      </w:r>
      <w:r>
        <w:rPr>
          <w:noProof/>
        </w:rPr>
        <w:fldChar w:fldCharType="begin"/>
      </w:r>
      <w:r>
        <w:rPr>
          <w:noProof/>
        </w:rPr>
        <w:instrText xml:space="preserve"> PAGEREF _Toc402192203 \h </w:instrText>
      </w:r>
      <w:r>
        <w:rPr>
          <w:noProof/>
        </w:rPr>
      </w:r>
      <w:r>
        <w:rPr>
          <w:noProof/>
        </w:rPr>
        <w:fldChar w:fldCharType="separate"/>
      </w:r>
      <w:r w:rsidR="00A262B8">
        <w:rPr>
          <w:noProof/>
        </w:rPr>
        <w:t>44</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A3</w:t>
      </w:r>
      <w:r>
        <w:rPr>
          <w:rFonts w:asciiTheme="minorHAnsi" w:eastAsiaTheme="minorEastAsia" w:hAnsiTheme="minorHAnsi" w:cstheme="minorBidi"/>
          <w:noProof/>
          <w:szCs w:val="22"/>
        </w:rPr>
        <w:tab/>
      </w:r>
      <w:r>
        <w:rPr>
          <w:noProof/>
        </w:rPr>
        <w:t>Did the SWAp increase the focus on results?</w:t>
      </w:r>
      <w:r>
        <w:rPr>
          <w:noProof/>
        </w:rPr>
        <w:tab/>
      </w:r>
      <w:r>
        <w:rPr>
          <w:noProof/>
        </w:rPr>
        <w:fldChar w:fldCharType="begin"/>
      </w:r>
      <w:r>
        <w:rPr>
          <w:noProof/>
        </w:rPr>
        <w:instrText xml:space="preserve"> PAGEREF _Toc402192204 \h </w:instrText>
      </w:r>
      <w:r>
        <w:rPr>
          <w:noProof/>
        </w:rPr>
      </w:r>
      <w:r>
        <w:rPr>
          <w:noProof/>
        </w:rPr>
        <w:fldChar w:fldCharType="separate"/>
      </w:r>
      <w:r w:rsidR="00A262B8">
        <w:rPr>
          <w:noProof/>
        </w:rPr>
        <w:t>45</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A4</w:t>
      </w:r>
      <w:r>
        <w:rPr>
          <w:rFonts w:asciiTheme="minorHAnsi" w:eastAsiaTheme="minorEastAsia" w:hAnsiTheme="minorHAnsi" w:cstheme="minorBidi"/>
          <w:noProof/>
          <w:szCs w:val="22"/>
        </w:rPr>
        <w:tab/>
      </w:r>
      <w:r>
        <w:rPr>
          <w:noProof/>
        </w:rPr>
        <w:t>What results were defined and reported in the SWAp at sector or program level?</w:t>
      </w:r>
      <w:r>
        <w:rPr>
          <w:noProof/>
        </w:rPr>
        <w:tab/>
      </w:r>
      <w:r>
        <w:rPr>
          <w:noProof/>
        </w:rPr>
        <w:fldChar w:fldCharType="begin"/>
      </w:r>
      <w:r>
        <w:rPr>
          <w:noProof/>
        </w:rPr>
        <w:instrText xml:space="preserve"> PAGEREF _Toc402192205 \h </w:instrText>
      </w:r>
      <w:r>
        <w:rPr>
          <w:noProof/>
        </w:rPr>
      </w:r>
      <w:r>
        <w:rPr>
          <w:noProof/>
        </w:rPr>
        <w:fldChar w:fldCharType="separate"/>
      </w:r>
      <w:r w:rsidR="00A262B8">
        <w:rPr>
          <w:noProof/>
        </w:rPr>
        <w:t>46</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A5</w:t>
      </w:r>
      <w:r>
        <w:rPr>
          <w:rFonts w:asciiTheme="minorHAnsi" w:eastAsiaTheme="minorEastAsia" w:hAnsiTheme="minorHAnsi" w:cstheme="minorBidi"/>
          <w:noProof/>
          <w:szCs w:val="22"/>
        </w:rPr>
        <w:tab/>
      </w:r>
      <w:r>
        <w:rPr>
          <w:noProof/>
        </w:rPr>
        <w:t>The components of the M&amp;E plan: was there an M&amp;E framework?</w:t>
      </w:r>
      <w:r>
        <w:rPr>
          <w:noProof/>
        </w:rPr>
        <w:tab/>
      </w:r>
      <w:r>
        <w:rPr>
          <w:noProof/>
        </w:rPr>
        <w:fldChar w:fldCharType="begin"/>
      </w:r>
      <w:r>
        <w:rPr>
          <w:noProof/>
        </w:rPr>
        <w:instrText xml:space="preserve"> PAGEREF _Toc402192206 \h </w:instrText>
      </w:r>
      <w:r>
        <w:rPr>
          <w:noProof/>
        </w:rPr>
      </w:r>
      <w:r>
        <w:rPr>
          <w:noProof/>
        </w:rPr>
        <w:fldChar w:fldCharType="separate"/>
      </w:r>
      <w:r w:rsidR="00A262B8">
        <w:rPr>
          <w:noProof/>
        </w:rPr>
        <w:t>49</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A6</w:t>
      </w:r>
      <w:r>
        <w:rPr>
          <w:rFonts w:asciiTheme="minorHAnsi" w:eastAsiaTheme="minorEastAsia" w:hAnsiTheme="minorHAnsi" w:cstheme="minorBidi"/>
          <w:noProof/>
          <w:szCs w:val="22"/>
        </w:rPr>
        <w:tab/>
      </w:r>
      <w:r>
        <w:rPr>
          <w:noProof/>
        </w:rPr>
        <w:t>Regularity of M&amp;E processes and their perceived effectiveness</w:t>
      </w:r>
      <w:r>
        <w:rPr>
          <w:noProof/>
        </w:rPr>
        <w:tab/>
      </w:r>
      <w:r>
        <w:rPr>
          <w:noProof/>
        </w:rPr>
        <w:fldChar w:fldCharType="begin"/>
      </w:r>
      <w:r>
        <w:rPr>
          <w:noProof/>
        </w:rPr>
        <w:instrText xml:space="preserve"> PAGEREF _Toc402192207 \h </w:instrText>
      </w:r>
      <w:r>
        <w:rPr>
          <w:noProof/>
        </w:rPr>
      </w:r>
      <w:r>
        <w:rPr>
          <w:noProof/>
        </w:rPr>
        <w:fldChar w:fldCharType="separate"/>
      </w:r>
      <w:r w:rsidR="00A262B8">
        <w:rPr>
          <w:noProof/>
        </w:rPr>
        <w:t>49</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A7</w:t>
      </w:r>
      <w:r>
        <w:rPr>
          <w:rFonts w:asciiTheme="minorHAnsi" w:eastAsiaTheme="minorEastAsia" w:hAnsiTheme="minorHAnsi" w:cstheme="minorBidi"/>
          <w:noProof/>
          <w:szCs w:val="22"/>
        </w:rPr>
        <w:tab/>
      </w:r>
      <w:r>
        <w:rPr>
          <w:noProof/>
        </w:rPr>
        <w:t>Did the health SWAp improve M&amp;E at sector or program levels?</w:t>
      </w:r>
      <w:r>
        <w:rPr>
          <w:noProof/>
        </w:rPr>
        <w:tab/>
      </w:r>
      <w:r>
        <w:rPr>
          <w:noProof/>
        </w:rPr>
        <w:fldChar w:fldCharType="begin"/>
      </w:r>
      <w:r>
        <w:rPr>
          <w:noProof/>
        </w:rPr>
        <w:instrText xml:space="preserve"> PAGEREF _Toc402192208 \h </w:instrText>
      </w:r>
      <w:r>
        <w:rPr>
          <w:noProof/>
        </w:rPr>
      </w:r>
      <w:r>
        <w:rPr>
          <w:noProof/>
        </w:rPr>
        <w:fldChar w:fldCharType="separate"/>
      </w:r>
      <w:r w:rsidR="00A262B8">
        <w:rPr>
          <w:noProof/>
        </w:rPr>
        <w:t>50</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A8</w:t>
      </w:r>
      <w:r>
        <w:rPr>
          <w:rFonts w:asciiTheme="minorHAnsi" w:eastAsiaTheme="minorEastAsia" w:hAnsiTheme="minorHAnsi" w:cstheme="minorBidi"/>
          <w:noProof/>
          <w:szCs w:val="22"/>
        </w:rPr>
        <w:tab/>
      </w:r>
      <w:r>
        <w:rPr>
          <w:noProof/>
        </w:rPr>
        <w:t>Did SWAps improve joint work and policy dialogue?</w:t>
      </w:r>
      <w:r>
        <w:rPr>
          <w:noProof/>
        </w:rPr>
        <w:tab/>
      </w:r>
      <w:r>
        <w:rPr>
          <w:noProof/>
        </w:rPr>
        <w:fldChar w:fldCharType="begin"/>
      </w:r>
      <w:r>
        <w:rPr>
          <w:noProof/>
        </w:rPr>
        <w:instrText xml:space="preserve"> PAGEREF _Toc402192209 \h </w:instrText>
      </w:r>
      <w:r>
        <w:rPr>
          <w:noProof/>
        </w:rPr>
      </w:r>
      <w:r>
        <w:rPr>
          <w:noProof/>
        </w:rPr>
        <w:fldChar w:fldCharType="separate"/>
      </w:r>
      <w:r w:rsidR="00A262B8">
        <w:rPr>
          <w:noProof/>
        </w:rPr>
        <w:t>51</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A9</w:t>
      </w:r>
      <w:r>
        <w:rPr>
          <w:rFonts w:asciiTheme="minorHAnsi" w:eastAsiaTheme="minorEastAsia" w:hAnsiTheme="minorHAnsi" w:cstheme="minorBidi"/>
          <w:noProof/>
          <w:szCs w:val="22"/>
        </w:rPr>
        <w:tab/>
      </w:r>
      <w:r>
        <w:rPr>
          <w:noProof/>
        </w:rPr>
        <w:t>Extent and quality of government leadership, ownership and accountability</w:t>
      </w:r>
      <w:r>
        <w:rPr>
          <w:noProof/>
        </w:rPr>
        <w:tab/>
      </w:r>
      <w:r>
        <w:rPr>
          <w:noProof/>
        </w:rPr>
        <w:fldChar w:fldCharType="begin"/>
      </w:r>
      <w:r>
        <w:rPr>
          <w:noProof/>
        </w:rPr>
        <w:instrText xml:space="preserve"> PAGEREF _Toc402192210 \h </w:instrText>
      </w:r>
      <w:r>
        <w:rPr>
          <w:noProof/>
        </w:rPr>
      </w:r>
      <w:r>
        <w:rPr>
          <w:noProof/>
        </w:rPr>
        <w:fldChar w:fldCharType="separate"/>
      </w:r>
      <w:r w:rsidR="00A262B8">
        <w:rPr>
          <w:noProof/>
        </w:rPr>
        <w:t>53</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A10</w:t>
      </w:r>
      <w:r>
        <w:rPr>
          <w:rFonts w:asciiTheme="minorHAnsi" w:eastAsiaTheme="minorEastAsia" w:hAnsiTheme="minorHAnsi" w:cstheme="minorBidi"/>
          <w:noProof/>
          <w:szCs w:val="22"/>
        </w:rPr>
        <w:tab/>
      </w:r>
      <w:r>
        <w:rPr>
          <w:noProof/>
        </w:rPr>
        <w:t>Alignment with government planning and budget systems</w:t>
      </w:r>
      <w:r>
        <w:rPr>
          <w:noProof/>
        </w:rPr>
        <w:tab/>
      </w:r>
      <w:r>
        <w:rPr>
          <w:noProof/>
        </w:rPr>
        <w:fldChar w:fldCharType="begin"/>
      </w:r>
      <w:r>
        <w:rPr>
          <w:noProof/>
        </w:rPr>
        <w:instrText xml:space="preserve"> PAGEREF _Toc402192211 \h </w:instrText>
      </w:r>
      <w:r>
        <w:rPr>
          <w:noProof/>
        </w:rPr>
      </w:r>
      <w:r>
        <w:rPr>
          <w:noProof/>
        </w:rPr>
        <w:fldChar w:fldCharType="separate"/>
      </w:r>
      <w:r w:rsidR="00A262B8">
        <w:rPr>
          <w:noProof/>
        </w:rPr>
        <w:t>55</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A11</w:t>
      </w:r>
      <w:r>
        <w:rPr>
          <w:rFonts w:asciiTheme="minorHAnsi" w:eastAsiaTheme="minorEastAsia" w:hAnsiTheme="minorHAnsi" w:cstheme="minorBidi"/>
          <w:noProof/>
          <w:szCs w:val="22"/>
        </w:rPr>
        <w:tab/>
      </w:r>
      <w:r>
        <w:rPr>
          <w:noProof/>
        </w:rPr>
        <w:t>Alignment of external financing with the priorities of the plan and MTEF</w:t>
      </w:r>
      <w:r>
        <w:rPr>
          <w:noProof/>
        </w:rPr>
        <w:tab/>
      </w:r>
      <w:r>
        <w:rPr>
          <w:noProof/>
        </w:rPr>
        <w:fldChar w:fldCharType="begin"/>
      </w:r>
      <w:r>
        <w:rPr>
          <w:noProof/>
        </w:rPr>
        <w:instrText xml:space="preserve"> PAGEREF _Toc402192212 \h </w:instrText>
      </w:r>
      <w:r>
        <w:rPr>
          <w:noProof/>
        </w:rPr>
      </w:r>
      <w:r>
        <w:rPr>
          <w:noProof/>
        </w:rPr>
        <w:fldChar w:fldCharType="separate"/>
      </w:r>
      <w:r w:rsidR="00A262B8">
        <w:rPr>
          <w:noProof/>
        </w:rPr>
        <w:t>55</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A12</w:t>
      </w:r>
      <w:r>
        <w:rPr>
          <w:rFonts w:asciiTheme="minorHAnsi" w:eastAsiaTheme="minorEastAsia" w:hAnsiTheme="minorHAnsi" w:cstheme="minorBidi"/>
          <w:noProof/>
          <w:szCs w:val="22"/>
        </w:rPr>
        <w:tab/>
      </w:r>
      <w:r>
        <w:rPr>
          <w:noProof/>
        </w:rPr>
        <w:t xml:space="preserve"> Did health financing and/or expenditure become more predictable?</w:t>
      </w:r>
      <w:r>
        <w:rPr>
          <w:noProof/>
        </w:rPr>
        <w:tab/>
      </w:r>
      <w:r>
        <w:rPr>
          <w:noProof/>
        </w:rPr>
        <w:fldChar w:fldCharType="begin"/>
      </w:r>
      <w:r>
        <w:rPr>
          <w:noProof/>
        </w:rPr>
        <w:instrText xml:space="preserve"> PAGEREF _Toc402192213 \h </w:instrText>
      </w:r>
      <w:r>
        <w:rPr>
          <w:noProof/>
        </w:rPr>
      </w:r>
      <w:r>
        <w:rPr>
          <w:noProof/>
        </w:rPr>
        <w:fldChar w:fldCharType="separate"/>
      </w:r>
      <w:r w:rsidR="00A262B8">
        <w:rPr>
          <w:noProof/>
        </w:rPr>
        <w:t>57</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A13 Did health financing or expenditure support incrementally the defined sector priorities?</w:t>
      </w:r>
      <w:r>
        <w:rPr>
          <w:noProof/>
        </w:rPr>
        <w:tab/>
      </w:r>
      <w:r>
        <w:rPr>
          <w:noProof/>
        </w:rPr>
        <w:fldChar w:fldCharType="begin"/>
      </w:r>
      <w:r>
        <w:rPr>
          <w:noProof/>
        </w:rPr>
        <w:instrText xml:space="preserve"> PAGEREF _Toc402192214 \h </w:instrText>
      </w:r>
      <w:r>
        <w:rPr>
          <w:noProof/>
        </w:rPr>
      </w:r>
      <w:r>
        <w:rPr>
          <w:noProof/>
        </w:rPr>
        <w:fldChar w:fldCharType="separate"/>
      </w:r>
      <w:r w:rsidR="00A262B8">
        <w:rPr>
          <w:noProof/>
        </w:rPr>
        <w:t>58</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t>Table A14</w:t>
      </w:r>
      <w:r>
        <w:rPr>
          <w:rFonts w:asciiTheme="minorHAnsi" w:eastAsiaTheme="minorEastAsia" w:hAnsiTheme="minorHAnsi" w:cstheme="minorBidi"/>
          <w:noProof/>
          <w:szCs w:val="22"/>
        </w:rPr>
        <w:tab/>
      </w:r>
      <w:r>
        <w:rPr>
          <w:noProof/>
        </w:rPr>
        <w:t>Summary table: Did alignment increase in the context of the SWAp?</w:t>
      </w:r>
      <w:r>
        <w:rPr>
          <w:noProof/>
        </w:rPr>
        <w:tab/>
      </w:r>
      <w:r>
        <w:rPr>
          <w:noProof/>
        </w:rPr>
        <w:fldChar w:fldCharType="begin"/>
      </w:r>
      <w:r>
        <w:rPr>
          <w:noProof/>
        </w:rPr>
        <w:instrText xml:space="preserve"> PAGEREF _Toc402192215 \h </w:instrText>
      </w:r>
      <w:r>
        <w:rPr>
          <w:noProof/>
        </w:rPr>
      </w:r>
      <w:r>
        <w:rPr>
          <w:noProof/>
        </w:rPr>
        <w:fldChar w:fldCharType="separate"/>
      </w:r>
      <w:r w:rsidR="00A262B8">
        <w:rPr>
          <w:noProof/>
        </w:rPr>
        <w:t>58</w:t>
      </w:r>
      <w:r>
        <w:rPr>
          <w:noProof/>
        </w:rPr>
        <w:fldChar w:fldCharType="end"/>
      </w:r>
    </w:p>
    <w:p w:rsidR="002B5EAE" w:rsidRDefault="002B5EAE" w:rsidP="00B34092">
      <w:pPr>
        <w:pStyle w:val="TableofFigures"/>
        <w:ind w:left="990" w:hanging="990"/>
        <w:rPr>
          <w:rFonts w:asciiTheme="minorHAnsi" w:eastAsiaTheme="minorEastAsia" w:hAnsiTheme="minorHAnsi" w:cstheme="minorBidi"/>
          <w:noProof/>
          <w:szCs w:val="22"/>
        </w:rPr>
      </w:pPr>
      <w:r>
        <w:rPr>
          <w:noProof/>
        </w:rPr>
        <w:lastRenderedPageBreak/>
        <w:t>Table A15</w:t>
      </w:r>
      <w:r>
        <w:rPr>
          <w:rFonts w:asciiTheme="minorHAnsi" w:eastAsiaTheme="minorEastAsia" w:hAnsiTheme="minorHAnsi" w:cstheme="minorBidi"/>
          <w:noProof/>
          <w:szCs w:val="22"/>
        </w:rPr>
        <w:tab/>
      </w:r>
      <w:r>
        <w:rPr>
          <w:noProof/>
        </w:rPr>
        <w:t>Focus on gender and reporting on it in annual reviews and in the Australian aid program.</w:t>
      </w:r>
      <w:r>
        <w:rPr>
          <w:noProof/>
        </w:rPr>
        <w:tab/>
      </w:r>
      <w:r>
        <w:rPr>
          <w:noProof/>
        </w:rPr>
        <w:fldChar w:fldCharType="begin"/>
      </w:r>
      <w:r>
        <w:rPr>
          <w:noProof/>
        </w:rPr>
        <w:instrText xml:space="preserve"> PAGEREF _Toc402192216 \h </w:instrText>
      </w:r>
      <w:r>
        <w:rPr>
          <w:noProof/>
        </w:rPr>
      </w:r>
      <w:r>
        <w:rPr>
          <w:noProof/>
        </w:rPr>
        <w:fldChar w:fldCharType="separate"/>
      </w:r>
      <w:r w:rsidR="00A262B8">
        <w:rPr>
          <w:noProof/>
        </w:rPr>
        <w:t>60</w:t>
      </w:r>
      <w:r>
        <w:rPr>
          <w:noProof/>
        </w:rPr>
        <w:fldChar w:fldCharType="end"/>
      </w:r>
    </w:p>
    <w:p w:rsidR="00795B53" w:rsidRDefault="007B6376" w:rsidP="0080270A">
      <w:pPr>
        <w:pStyle w:val="Heading3a"/>
        <w:sectPr w:rsidR="00795B53" w:rsidSect="00F94BBA">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1440" w:right="1440" w:bottom="1440" w:left="1440" w:header="576" w:footer="576" w:gutter="0"/>
          <w:pgNumType w:fmt="lowerRoman"/>
          <w:cols w:space="720"/>
          <w:titlePg/>
        </w:sectPr>
      </w:pPr>
      <w:r w:rsidRPr="007754ED">
        <w:fldChar w:fldCharType="end"/>
      </w:r>
    </w:p>
    <w:p w:rsidR="00D20FD9" w:rsidRDefault="00795B53" w:rsidP="00D75AC5">
      <w:pPr>
        <w:pStyle w:val="SectionTitle"/>
      </w:pPr>
      <w:bookmarkStart w:id="1" w:name="_Toc403403674"/>
      <w:r>
        <w:lastRenderedPageBreak/>
        <w:t>Acknowledgments</w:t>
      </w:r>
      <w:bookmarkEnd w:id="1"/>
      <w:r w:rsidR="00C15DB3">
        <w:t xml:space="preserve"> </w:t>
      </w:r>
    </w:p>
    <w:p w:rsidR="008E32C4" w:rsidRDefault="00C630DF" w:rsidP="00FD0482">
      <w:r>
        <w:t xml:space="preserve">This report was written by Javier Martinez </w:t>
      </w:r>
      <w:r w:rsidR="00FD0482">
        <w:t xml:space="preserve">(team leader) </w:t>
      </w:r>
      <w:r>
        <w:t>with substantial research</w:t>
      </w:r>
      <w:r w:rsidR="00CC1947">
        <w:t xml:space="preserve"> support</w:t>
      </w:r>
      <w:r>
        <w:t>, contributions</w:t>
      </w:r>
      <w:r w:rsidR="00FD0482">
        <w:t xml:space="preserve"> and </w:t>
      </w:r>
      <w:r>
        <w:t xml:space="preserve">reviews </w:t>
      </w:r>
      <w:r w:rsidR="00FD0482">
        <w:t xml:space="preserve">of successive drafts </w:t>
      </w:r>
      <w:r>
        <w:t xml:space="preserve">by </w:t>
      </w:r>
      <w:r w:rsidR="00E51429">
        <w:t xml:space="preserve">Clare Dickinson, Claudia Sambo, Jody Tate and Jane </w:t>
      </w:r>
      <w:proofErr w:type="spellStart"/>
      <w:r w:rsidR="00E51429">
        <w:t>Pepperall</w:t>
      </w:r>
      <w:proofErr w:type="spellEnd"/>
      <w:r>
        <w:t xml:space="preserve">. The author and contributors would like to thank the Department </w:t>
      </w:r>
      <w:r w:rsidR="00A57BB7">
        <w:t>of</w:t>
      </w:r>
      <w:r>
        <w:t xml:space="preserve"> Forei</w:t>
      </w:r>
      <w:r w:rsidR="00FD0482">
        <w:t xml:space="preserve">gn Affairs and Trade (DFAT) of the Government of Australia and the Office of Development Effectiveness (ODE) of DFAT for commissioning this </w:t>
      </w:r>
      <w:r w:rsidR="00CB1723" w:rsidRPr="00CB1723">
        <w:t>desk-based</w:t>
      </w:r>
      <w:r w:rsidR="00A57BB7">
        <w:t xml:space="preserve"> </w:t>
      </w:r>
      <w:r w:rsidR="00FD0482">
        <w:t>review and for providing regular support and guidance to the reviewers</w:t>
      </w:r>
      <w:r w:rsidR="006B3476">
        <w:t>.</w:t>
      </w:r>
      <w:r w:rsidR="00FD0482">
        <w:t xml:space="preserve"> </w:t>
      </w:r>
    </w:p>
    <w:p w:rsidR="00FD0482" w:rsidRDefault="00FD0482" w:rsidP="00FD0482">
      <w:r>
        <w:t xml:space="preserve">We would also like to express our thanks to the Health Resource Facility </w:t>
      </w:r>
      <w:r w:rsidR="008E32C4">
        <w:t xml:space="preserve">for </w:t>
      </w:r>
      <w:r w:rsidR="001E0E49">
        <w:t xml:space="preserve">the </w:t>
      </w:r>
      <w:r>
        <w:t xml:space="preserve">Australian </w:t>
      </w:r>
      <w:r w:rsidR="008E32C4">
        <w:t>a</w:t>
      </w:r>
      <w:r>
        <w:t xml:space="preserve">id </w:t>
      </w:r>
      <w:r w:rsidR="008E32C4">
        <w:t>p</w:t>
      </w:r>
      <w:r>
        <w:t xml:space="preserve">rogram in Canberra for managing this piece of work effectively </w:t>
      </w:r>
      <w:r w:rsidR="00287317">
        <w:t xml:space="preserve">and flexibly, </w:t>
      </w:r>
      <w:r>
        <w:t xml:space="preserve">and for thoroughly reviewing and providing feedback on successive drafts. </w:t>
      </w:r>
    </w:p>
    <w:p w:rsidR="00287317" w:rsidRDefault="00287317" w:rsidP="00FD0482">
      <w:r>
        <w:t>While the</w:t>
      </w:r>
      <w:r w:rsidR="00CC1947">
        <w:t xml:space="preserve"> support of all the above is acknowledged, the responsibility for the contents of this report remains solely with the author.</w:t>
      </w:r>
      <w:r>
        <w:t xml:space="preserve"> </w:t>
      </w:r>
    </w:p>
    <w:p w:rsidR="00BE3345" w:rsidRDefault="00BE3345" w:rsidP="00FD0482">
      <w:pPr>
        <w:rPr>
          <w:highlight w:val="yellow"/>
        </w:rPr>
      </w:pPr>
    </w:p>
    <w:p w:rsidR="000F3739" w:rsidRDefault="000F3739" w:rsidP="00FD0482">
      <w:pPr>
        <w:rPr>
          <w:highlight w:val="yellow"/>
        </w:rPr>
      </w:pPr>
    </w:p>
    <w:p w:rsidR="00EF57A3" w:rsidRDefault="00EF57A3">
      <w:pPr>
        <w:spacing w:before="0" w:after="0" w:line="240" w:lineRule="auto"/>
        <w:rPr>
          <w:highlight w:val="yellow"/>
        </w:rPr>
      </w:pPr>
      <w:r>
        <w:rPr>
          <w:highlight w:val="yellow"/>
        </w:rPr>
        <w:br w:type="page"/>
      </w:r>
    </w:p>
    <w:p w:rsidR="00EF57A3" w:rsidRDefault="00EF57A3" w:rsidP="00EF57A3">
      <w:pPr>
        <w:pStyle w:val="SectionTitle"/>
      </w:pPr>
      <w:bookmarkStart w:id="2" w:name="_Toc403403675"/>
      <w:r>
        <w:lastRenderedPageBreak/>
        <w:t>Acronyms</w:t>
      </w:r>
      <w:bookmarkEnd w:id="2"/>
      <w:r>
        <w:t xml:space="preserve"> </w:t>
      </w:r>
    </w:p>
    <w:p w:rsidR="00EF57A3" w:rsidRDefault="00EF57A3" w:rsidP="00EF57A3">
      <w:r>
        <w:t xml:space="preserve">AIDS </w:t>
      </w:r>
      <w:r>
        <w:tab/>
      </w:r>
      <w:r>
        <w:tab/>
      </w:r>
      <w:r w:rsidRPr="00D5121C">
        <w:t>Acquired Immunodeficiency Syndrome</w:t>
      </w:r>
    </w:p>
    <w:p w:rsidR="00EF57A3" w:rsidRDefault="00EF57A3" w:rsidP="00EF57A3">
      <w:r>
        <w:t>APR</w:t>
      </w:r>
      <w:r>
        <w:tab/>
      </w:r>
      <w:r>
        <w:tab/>
        <w:t xml:space="preserve">Annual Performance Review </w:t>
      </w:r>
    </w:p>
    <w:p w:rsidR="00EF57A3" w:rsidRDefault="00EF57A3" w:rsidP="00EF57A3">
      <w:r>
        <w:t>APPR</w:t>
      </w:r>
      <w:r>
        <w:tab/>
      </w:r>
      <w:r>
        <w:tab/>
        <w:t xml:space="preserve">Annual Progress Performance Report </w:t>
      </w:r>
    </w:p>
    <w:p w:rsidR="00EF57A3" w:rsidRDefault="00EF57A3" w:rsidP="00EF57A3">
      <w:r>
        <w:t>AusAID</w:t>
      </w:r>
      <w:r>
        <w:tab/>
      </w:r>
      <w:r>
        <w:tab/>
        <w:t xml:space="preserve">Australian Agency for International Development </w:t>
      </w:r>
    </w:p>
    <w:p w:rsidR="00EF57A3" w:rsidRDefault="00EF57A3" w:rsidP="00EF57A3">
      <w:r>
        <w:t>AWPB</w:t>
      </w:r>
      <w:r>
        <w:tab/>
      </w:r>
      <w:r>
        <w:tab/>
        <w:t xml:space="preserve">Annual Work Plan and Budget </w:t>
      </w:r>
    </w:p>
    <w:p w:rsidR="00EF57A3" w:rsidRDefault="00EF57A3" w:rsidP="00EF57A3">
      <w:r>
        <w:t>CAPF</w:t>
      </w:r>
      <w:r>
        <w:tab/>
      </w:r>
      <w:r>
        <w:tab/>
        <w:t xml:space="preserve">Comprehensive Aid Policy Framework </w:t>
      </w:r>
    </w:p>
    <w:p w:rsidR="00EF57A3" w:rsidRDefault="00EF57A3" w:rsidP="00EF57A3">
      <w:r>
        <w:t>CPR</w:t>
      </w:r>
      <w:r>
        <w:tab/>
      </w:r>
      <w:r>
        <w:tab/>
        <w:t>Contraceptive prevalence rate</w:t>
      </w:r>
    </w:p>
    <w:p w:rsidR="00EF57A3" w:rsidRDefault="00EF57A3" w:rsidP="00EF57A3">
      <w:r>
        <w:t>DFAT</w:t>
      </w:r>
      <w:r>
        <w:tab/>
      </w:r>
      <w:r>
        <w:tab/>
        <w:t xml:space="preserve">Department of Foreign Affairs and Trade </w:t>
      </w:r>
    </w:p>
    <w:p w:rsidR="00EF57A3" w:rsidRDefault="00EF57A3" w:rsidP="00EF57A3">
      <w:r>
        <w:t>DFID</w:t>
      </w:r>
      <w:r>
        <w:tab/>
      </w:r>
      <w:r>
        <w:tab/>
        <w:t>Department for International Development (UK)</w:t>
      </w:r>
    </w:p>
    <w:p w:rsidR="00EF57A3" w:rsidRDefault="00EF57A3" w:rsidP="00EF57A3">
      <w:r>
        <w:t>DHS</w:t>
      </w:r>
      <w:r>
        <w:tab/>
      </w:r>
      <w:r>
        <w:tab/>
        <w:t xml:space="preserve">Demographic Health Survey </w:t>
      </w:r>
    </w:p>
    <w:p w:rsidR="00EF57A3" w:rsidRDefault="00EF57A3" w:rsidP="00EF57A3">
      <w:r>
        <w:t>DP</w:t>
      </w:r>
      <w:r>
        <w:tab/>
      </w:r>
      <w:r>
        <w:tab/>
        <w:t xml:space="preserve">Development partner </w:t>
      </w:r>
    </w:p>
    <w:p w:rsidR="00EF57A3" w:rsidRDefault="00EF57A3" w:rsidP="00EF57A3">
      <w:r>
        <w:t>EDPs</w:t>
      </w:r>
      <w:r>
        <w:tab/>
      </w:r>
      <w:r>
        <w:tab/>
        <w:t xml:space="preserve">External development partners </w:t>
      </w:r>
    </w:p>
    <w:p w:rsidR="00EF57A3" w:rsidRDefault="00EF57A3" w:rsidP="00EF57A3">
      <w:r>
        <w:t>EGVNP</w:t>
      </w:r>
      <w:r>
        <w:tab/>
      </w:r>
      <w:r w:rsidR="00013434">
        <w:tab/>
      </w:r>
      <w:r w:rsidR="00013434" w:rsidRPr="00013434">
        <w:t>Equity, Gender and Voice, NGO participation</w:t>
      </w:r>
    </w:p>
    <w:p w:rsidR="00EF57A3" w:rsidRDefault="00EF57A3" w:rsidP="00EF57A3">
      <w:r>
        <w:t>EHCS</w:t>
      </w:r>
      <w:r>
        <w:tab/>
      </w:r>
      <w:r>
        <w:tab/>
        <w:t xml:space="preserve">Essential Health Care Services </w:t>
      </w:r>
    </w:p>
    <w:p w:rsidR="00EF57A3" w:rsidRDefault="00EF57A3" w:rsidP="00EF57A3">
      <w:r>
        <w:t>EU</w:t>
      </w:r>
      <w:r>
        <w:tab/>
      </w:r>
      <w:r>
        <w:tab/>
        <w:t xml:space="preserve">European Union </w:t>
      </w:r>
    </w:p>
    <w:p w:rsidR="00EF57A3" w:rsidRDefault="00EF57A3" w:rsidP="00EF57A3">
      <w:r>
        <w:t>GAAP</w:t>
      </w:r>
      <w:r>
        <w:tab/>
      </w:r>
      <w:r>
        <w:tab/>
        <w:t xml:space="preserve">Governance and Accountability Action Plan </w:t>
      </w:r>
    </w:p>
    <w:p w:rsidR="00EF57A3" w:rsidRDefault="00EF57A3" w:rsidP="00EF57A3">
      <w:r>
        <w:t>GESI</w:t>
      </w:r>
      <w:r>
        <w:tab/>
      </w:r>
      <w:r>
        <w:tab/>
        <w:t xml:space="preserve">Gender, equality and social inclusion </w:t>
      </w:r>
    </w:p>
    <w:p w:rsidR="00EF57A3" w:rsidRDefault="00EF57A3" w:rsidP="00EF57A3">
      <w:r>
        <w:t>GEV</w:t>
      </w:r>
      <w:r>
        <w:tab/>
      </w:r>
      <w:r>
        <w:tab/>
        <w:t xml:space="preserve">Gender, Equity and Voice </w:t>
      </w:r>
    </w:p>
    <w:p w:rsidR="00EF57A3" w:rsidRDefault="00013434" w:rsidP="00EF57A3">
      <w:r>
        <w:t>GO</w:t>
      </w:r>
      <w:r w:rsidR="00EF57A3">
        <w:t>N</w:t>
      </w:r>
      <w:r w:rsidR="00EF57A3">
        <w:tab/>
      </w:r>
      <w:r w:rsidR="00EF57A3">
        <w:tab/>
        <w:t xml:space="preserve">Government of Nepal </w:t>
      </w:r>
    </w:p>
    <w:p w:rsidR="00EF57A3" w:rsidRDefault="00013434" w:rsidP="00EF57A3">
      <w:r>
        <w:t>GO</w:t>
      </w:r>
      <w:r w:rsidR="00EF57A3">
        <w:t>S</w:t>
      </w:r>
      <w:r w:rsidR="00EF57A3">
        <w:tab/>
      </w:r>
      <w:r w:rsidR="00EF57A3">
        <w:tab/>
        <w:t xml:space="preserve">Government of Samoa </w:t>
      </w:r>
    </w:p>
    <w:p w:rsidR="00EF57A3" w:rsidRDefault="00EF57A3" w:rsidP="00EF57A3">
      <w:r>
        <w:t>HIS</w:t>
      </w:r>
      <w:r>
        <w:tab/>
      </w:r>
      <w:r>
        <w:tab/>
        <w:t>Health Information System</w:t>
      </w:r>
    </w:p>
    <w:p w:rsidR="00EF57A3" w:rsidRDefault="00EF57A3" w:rsidP="00EF57A3">
      <w:r>
        <w:t>HISP</w:t>
      </w:r>
      <w:r>
        <w:tab/>
      </w:r>
      <w:r>
        <w:tab/>
        <w:t xml:space="preserve">Health Services Improvement Program </w:t>
      </w:r>
    </w:p>
    <w:p w:rsidR="00EF57A3" w:rsidRDefault="00EF57A3" w:rsidP="00EF57A3">
      <w:r>
        <w:t>HIV</w:t>
      </w:r>
      <w:r>
        <w:tab/>
      </w:r>
      <w:r>
        <w:tab/>
      </w:r>
      <w:r w:rsidRPr="00D5121C">
        <w:t>Human Immunodeficiency Virus</w:t>
      </w:r>
    </w:p>
    <w:p w:rsidR="00EF57A3" w:rsidRDefault="00EF57A3" w:rsidP="00EF57A3">
      <w:r>
        <w:t>HMIS</w:t>
      </w:r>
      <w:r>
        <w:tab/>
      </w:r>
      <w:r>
        <w:tab/>
        <w:t>Health Management Information System</w:t>
      </w:r>
    </w:p>
    <w:p w:rsidR="00EF57A3" w:rsidRDefault="00EF57A3" w:rsidP="00EF57A3">
      <w:r>
        <w:t>HPNSDP</w:t>
      </w:r>
      <w:r>
        <w:tab/>
        <w:t xml:space="preserve">Health Population and Nutrition Sector Development Program </w:t>
      </w:r>
    </w:p>
    <w:p w:rsidR="00EF57A3" w:rsidRDefault="00EF57A3" w:rsidP="00EF57A3">
      <w:r>
        <w:t>HR</w:t>
      </w:r>
      <w:r>
        <w:tab/>
      </w:r>
      <w:r>
        <w:tab/>
        <w:t xml:space="preserve">Human resources </w:t>
      </w:r>
    </w:p>
    <w:p w:rsidR="00EF57A3" w:rsidRDefault="00EF57A3" w:rsidP="00EF57A3">
      <w:r>
        <w:t>HRH</w:t>
      </w:r>
      <w:r>
        <w:tab/>
      </w:r>
      <w:r>
        <w:tab/>
        <w:t xml:space="preserve">Human resources for health </w:t>
      </w:r>
    </w:p>
    <w:p w:rsidR="00EF57A3" w:rsidRDefault="00EF57A3" w:rsidP="00EF57A3">
      <w:r>
        <w:t>HSDP</w:t>
      </w:r>
      <w:r>
        <w:tab/>
      </w:r>
      <w:r>
        <w:tab/>
        <w:t xml:space="preserve">Health Sector Development Programme </w:t>
      </w:r>
    </w:p>
    <w:p w:rsidR="00EF57A3" w:rsidRDefault="00EF57A3" w:rsidP="00EF57A3">
      <w:r>
        <w:t>HSIP</w:t>
      </w:r>
      <w:r>
        <w:tab/>
      </w:r>
      <w:r>
        <w:tab/>
        <w:t xml:space="preserve">Health Services Improvement Program </w:t>
      </w:r>
    </w:p>
    <w:p w:rsidR="00EF57A3" w:rsidRDefault="00EF57A3" w:rsidP="00EF57A3">
      <w:r>
        <w:lastRenderedPageBreak/>
        <w:t>HSP</w:t>
      </w:r>
      <w:r>
        <w:tab/>
      </w:r>
      <w:r>
        <w:tab/>
        <w:t xml:space="preserve">Health Sector Plan </w:t>
      </w:r>
    </w:p>
    <w:p w:rsidR="00EF57A3" w:rsidRDefault="00EF57A3" w:rsidP="00EF57A3">
      <w:r>
        <w:t>HSSP2</w:t>
      </w:r>
      <w:r>
        <w:tab/>
      </w:r>
      <w:r>
        <w:tab/>
        <w:t>Second Health Sector Strategic Plan</w:t>
      </w:r>
    </w:p>
    <w:p w:rsidR="00EF57A3" w:rsidRDefault="00EF57A3" w:rsidP="00EF57A3">
      <w:r>
        <w:t>HSSP</w:t>
      </w:r>
      <w:r>
        <w:tab/>
      </w:r>
      <w:r>
        <w:tab/>
        <w:t xml:space="preserve">Health Sector Support Program </w:t>
      </w:r>
    </w:p>
    <w:p w:rsidR="00EF57A3" w:rsidRDefault="00EF57A3" w:rsidP="00EF57A3">
      <w:r>
        <w:t>ICDDR</w:t>
      </w:r>
      <w:proofErr w:type="gramStart"/>
      <w:r>
        <w:t>,B</w:t>
      </w:r>
      <w:proofErr w:type="gramEnd"/>
      <w:r>
        <w:tab/>
        <w:t xml:space="preserve">International Centre for Diarrhoeal Disease Research, Bangladesh </w:t>
      </w:r>
    </w:p>
    <w:p w:rsidR="00EF57A3" w:rsidRDefault="00EF57A3" w:rsidP="00EF57A3">
      <w:r>
        <w:t>ICR</w:t>
      </w:r>
      <w:r>
        <w:tab/>
      </w:r>
      <w:r>
        <w:tab/>
        <w:t xml:space="preserve">Implementation Completion Report </w:t>
      </w:r>
    </w:p>
    <w:p w:rsidR="00EF57A3" w:rsidRDefault="00EF57A3" w:rsidP="00EF57A3">
      <w:r>
        <w:t>IHP</w:t>
      </w:r>
      <w:r>
        <w:tab/>
      </w:r>
      <w:r>
        <w:tab/>
        <w:t xml:space="preserve">International Health Partnership </w:t>
      </w:r>
    </w:p>
    <w:p w:rsidR="00EF57A3" w:rsidRDefault="00EF57A3" w:rsidP="00EF57A3">
      <w:r>
        <w:t>IEC</w:t>
      </w:r>
      <w:r>
        <w:tab/>
      </w:r>
      <w:r>
        <w:tab/>
        <w:t xml:space="preserve">Independent Evaluation Committee </w:t>
      </w:r>
    </w:p>
    <w:p w:rsidR="00EF57A3" w:rsidRDefault="00EF57A3" w:rsidP="00EF57A3">
      <w:r>
        <w:t>IHP</w:t>
      </w:r>
      <w:r>
        <w:tab/>
      </w:r>
      <w:r>
        <w:tab/>
        <w:t xml:space="preserve">International Health Partnership </w:t>
      </w:r>
    </w:p>
    <w:p w:rsidR="00EF57A3" w:rsidRDefault="00EF57A3" w:rsidP="00EF57A3">
      <w:r>
        <w:t>JAPR</w:t>
      </w:r>
      <w:r>
        <w:tab/>
      </w:r>
      <w:r>
        <w:tab/>
        <w:t xml:space="preserve">Joint Annual Program Reviews </w:t>
      </w:r>
    </w:p>
    <w:p w:rsidR="00EF57A3" w:rsidRDefault="00EF57A3" w:rsidP="00EF57A3">
      <w:r>
        <w:t>JAR</w:t>
      </w:r>
      <w:r>
        <w:tab/>
      </w:r>
      <w:r>
        <w:tab/>
        <w:t xml:space="preserve">Joint Annual Review </w:t>
      </w:r>
    </w:p>
    <w:p w:rsidR="00EF57A3" w:rsidRDefault="00EF57A3" w:rsidP="00EF57A3">
      <w:r>
        <w:t>JFA</w:t>
      </w:r>
      <w:r>
        <w:tab/>
      </w:r>
      <w:r>
        <w:tab/>
        <w:t xml:space="preserve">Joint financial agreement </w:t>
      </w:r>
    </w:p>
    <w:p w:rsidR="00EF57A3" w:rsidRDefault="00EF57A3" w:rsidP="00EF57A3">
      <w:r>
        <w:t>JPA</w:t>
      </w:r>
      <w:r>
        <w:tab/>
      </w:r>
      <w:r>
        <w:tab/>
        <w:t xml:space="preserve">Joint partnership agreement </w:t>
      </w:r>
    </w:p>
    <w:p w:rsidR="00EF57A3" w:rsidRDefault="00EF57A3" w:rsidP="00EF57A3">
      <w:r>
        <w:t>M&amp;E</w:t>
      </w:r>
      <w:r>
        <w:tab/>
      </w:r>
      <w:r>
        <w:tab/>
        <w:t xml:space="preserve">Monitoring and evaluation </w:t>
      </w:r>
    </w:p>
    <w:p w:rsidR="00EF57A3" w:rsidRDefault="00EF57A3" w:rsidP="00EF57A3">
      <w:r>
        <w:t>MCH</w:t>
      </w:r>
      <w:r>
        <w:tab/>
      </w:r>
      <w:r>
        <w:tab/>
        <w:t xml:space="preserve">Maternal and child health </w:t>
      </w:r>
    </w:p>
    <w:p w:rsidR="00EF57A3" w:rsidRDefault="00EF57A3" w:rsidP="00EF57A3">
      <w:r>
        <w:t>MDG</w:t>
      </w:r>
      <w:r>
        <w:tab/>
      </w:r>
      <w:r>
        <w:tab/>
        <w:t xml:space="preserve">Millennium Development Goal </w:t>
      </w:r>
    </w:p>
    <w:p w:rsidR="00EF57A3" w:rsidRDefault="00EF57A3" w:rsidP="00EF57A3">
      <w:r>
        <w:t>MHMS</w:t>
      </w:r>
      <w:r>
        <w:tab/>
      </w:r>
      <w:r>
        <w:tab/>
        <w:t xml:space="preserve">Ministry of Health and Medical Services </w:t>
      </w:r>
    </w:p>
    <w:p w:rsidR="00EF57A3" w:rsidRDefault="00EF57A3" w:rsidP="00EF57A3">
      <w:r>
        <w:t>MICS</w:t>
      </w:r>
      <w:r>
        <w:tab/>
      </w:r>
      <w:r>
        <w:tab/>
        <w:t xml:space="preserve">Multiple Indicator Cluster Survey </w:t>
      </w:r>
    </w:p>
    <w:p w:rsidR="00EF57A3" w:rsidRDefault="00EF57A3" w:rsidP="00EF57A3">
      <w:r>
        <w:t>MMR</w:t>
      </w:r>
      <w:r>
        <w:tab/>
      </w:r>
      <w:r>
        <w:tab/>
        <w:t xml:space="preserve">Maternal mortality rate </w:t>
      </w:r>
    </w:p>
    <w:p w:rsidR="00EF57A3" w:rsidRDefault="00EF57A3" w:rsidP="00EF57A3">
      <w:r>
        <w:t>MNCH</w:t>
      </w:r>
      <w:r>
        <w:tab/>
      </w:r>
      <w:r>
        <w:tab/>
        <w:t xml:space="preserve">Maternal, neonatal and child health </w:t>
      </w:r>
    </w:p>
    <w:p w:rsidR="00EF57A3" w:rsidRDefault="00013434" w:rsidP="00EF57A3">
      <w:r>
        <w:t>MO</w:t>
      </w:r>
      <w:r w:rsidR="00EF57A3">
        <w:t>H</w:t>
      </w:r>
      <w:r w:rsidR="00EF57A3">
        <w:tab/>
      </w:r>
      <w:r w:rsidR="00EF57A3">
        <w:tab/>
        <w:t xml:space="preserve">Ministry of Health </w:t>
      </w:r>
    </w:p>
    <w:p w:rsidR="00EF57A3" w:rsidRDefault="00EF57A3" w:rsidP="00EF57A3">
      <w:r>
        <w:t>MOHFW</w:t>
      </w:r>
      <w:r w:rsidR="00386086">
        <w:tab/>
      </w:r>
      <w:r>
        <w:tab/>
        <w:t>Ministry of Health and Family Welfare</w:t>
      </w:r>
    </w:p>
    <w:p w:rsidR="00EF57A3" w:rsidRDefault="00EF57A3" w:rsidP="00EF57A3">
      <w:r>
        <w:t>M</w:t>
      </w:r>
      <w:r w:rsidR="00013434">
        <w:t>O</w:t>
      </w:r>
      <w:r>
        <w:t>HP</w:t>
      </w:r>
      <w:r>
        <w:tab/>
      </w:r>
      <w:r>
        <w:tab/>
        <w:t xml:space="preserve">Ministry of Health and Population </w:t>
      </w:r>
    </w:p>
    <w:p w:rsidR="00EF57A3" w:rsidRDefault="00EF57A3" w:rsidP="00EF57A3">
      <w:r>
        <w:t>MTEF</w:t>
      </w:r>
      <w:r>
        <w:tab/>
      </w:r>
      <w:r>
        <w:tab/>
        <w:t xml:space="preserve">Medium term expenditure framework </w:t>
      </w:r>
    </w:p>
    <w:p w:rsidR="00EF57A3" w:rsidRDefault="00EF57A3" w:rsidP="00EF57A3">
      <w:r>
        <w:t>MTR</w:t>
      </w:r>
      <w:r>
        <w:tab/>
      </w:r>
      <w:r>
        <w:tab/>
        <w:t xml:space="preserve">Mid-Term Review </w:t>
      </w:r>
    </w:p>
    <w:p w:rsidR="00EF57A3" w:rsidRDefault="00EF57A3" w:rsidP="00EF57A3">
      <w:r>
        <w:t>NCD</w:t>
      </w:r>
      <w:r>
        <w:tab/>
      </w:r>
      <w:r>
        <w:tab/>
        <w:t>Non-communicable disease</w:t>
      </w:r>
    </w:p>
    <w:p w:rsidR="00EF57A3" w:rsidRDefault="00EF57A3" w:rsidP="00EF57A3">
      <w:r>
        <w:t>NDOH</w:t>
      </w:r>
      <w:r>
        <w:tab/>
      </w:r>
      <w:r>
        <w:tab/>
        <w:t xml:space="preserve">National Department of Health </w:t>
      </w:r>
    </w:p>
    <w:p w:rsidR="00EF57A3" w:rsidRDefault="00EF57A3" w:rsidP="00EF57A3">
      <w:r>
        <w:t>NGO</w:t>
      </w:r>
      <w:r>
        <w:tab/>
      </w:r>
      <w:r>
        <w:tab/>
        <w:t>Non-government organisation</w:t>
      </w:r>
    </w:p>
    <w:p w:rsidR="00EF57A3" w:rsidRDefault="00EF57A3" w:rsidP="00EF57A3">
      <w:r>
        <w:t>NHSP</w:t>
      </w:r>
      <w:r>
        <w:tab/>
      </w:r>
      <w:r>
        <w:tab/>
        <w:t xml:space="preserve">Nepal Health Sector Program </w:t>
      </w:r>
    </w:p>
    <w:p w:rsidR="00F37CA7" w:rsidRDefault="00F37CA7" w:rsidP="00EF57A3">
      <w:r>
        <w:t>ODE</w:t>
      </w:r>
      <w:r>
        <w:tab/>
      </w:r>
      <w:r>
        <w:tab/>
        <w:t xml:space="preserve">Office of Development Effectiveness </w:t>
      </w:r>
    </w:p>
    <w:p w:rsidR="00EF57A3" w:rsidRDefault="00EF57A3" w:rsidP="00EF57A3">
      <w:r>
        <w:t>OECD</w:t>
      </w:r>
      <w:r>
        <w:tab/>
      </w:r>
      <w:r>
        <w:tab/>
        <w:t xml:space="preserve">Organisation for Economic Co-operation and Development </w:t>
      </w:r>
    </w:p>
    <w:p w:rsidR="00EF57A3" w:rsidRDefault="00EF57A3" w:rsidP="00EF57A3">
      <w:r>
        <w:t>PER</w:t>
      </w:r>
      <w:r>
        <w:tab/>
      </w:r>
      <w:r>
        <w:tab/>
        <w:t xml:space="preserve">Provincial Expenditure Review </w:t>
      </w:r>
    </w:p>
    <w:p w:rsidR="00EF57A3" w:rsidRDefault="00EF57A3" w:rsidP="00EF57A3">
      <w:r>
        <w:lastRenderedPageBreak/>
        <w:t>PFM</w:t>
      </w:r>
      <w:r>
        <w:tab/>
      </w:r>
      <w:r>
        <w:tab/>
        <w:t xml:space="preserve">Public finance management </w:t>
      </w:r>
    </w:p>
    <w:p w:rsidR="00EF57A3" w:rsidRDefault="00EF57A3" w:rsidP="00EF57A3">
      <w:r>
        <w:t>PIP</w:t>
      </w:r>
      <w:r>
        <w:tab/>
      </w:r>
      <w:r>
        <w:tab/>
        <w:t xml:space="preserve">Program Implementation Plan </w:t>
      </w:r>
    </w:p>
    <w:p w:rsidR="00EF57A3" w:rsidRDefault="00EF57A3" w:rsidP="00EF57A3">
      <w:r>
        <w:t>PNG</w:t>
      </w:r>
      <w:r>
        <w:tab/>
      </w:r>
      <w:r>
        <w:tab/>
        <w:t xml:space="preserve">Papua New Guinea </w:t>
      </w:r>
    </w:p>
    <w:p w:rsidR="00EF57A3" w:rsidRDefault="00642530" w:rsidP="00EF57A3">
      <w:r>
        <w:t>PO</w:t>
      </w:r>
      <w:r w:rsidR="00EF57A3">
        <w:t>W</w:t>
      </w:r>
      <w:r w:rsidR="00EF57A3">
        <w:tab/>
      </w:r>
      <w:r w:rsidR="00EF57A3">
        <w:tab/>
        <w:t xml:space="preserve">Programs of work </w:t>
      </w:r>
    </w:p>
    <w:p w:rsidR="00EF57A3" w:rsidRDefault="00EF57A3" w:rsidP="00EF57A3">
      <w:r>
        <w:t>SAT</w:t>
      </w:r>
      <w:r>
        <w:tab/>
      </w:r>
      <w:r>
        <w:tab/>
        <w:t xml:space="preserve">Samoan </w:t>
      </w:r>
      <w:proofErr w:type="spellStart"/>
      <w:r>
        <w:t>Tala</w:t>
      </w:r>
      <w:proofErr w:type="spellEnd"/>
      <w:r>
        <w:t xml:space="preserve"> </w:t>
      </w:r>
    </w:p>
    <w:p w:rsidR="00EF57A3" w:rsidRDefault="00EF57A3" w:rsidP="00EF57A3">
      <w:r>
        <w:t>SBS</w:t>
      </w:r>
      <w:r>
        <w:tab/>
      </w:r>
      <w:r>
        <w:tab/>
        <w:t xml:space="preserve">Sector budget support </w:t>
      </w:r>
    </w:p>
    <w:p w:rsidR="00EF57A3" w:rsidRDefault="00EF57A3" w:rsidP="00EF57A3">
      <w:proofErr w:type="spellStart"/>
      <w:r>
        <w:t>SWAp</w:t>
      </w:r>
      <w:proofErr w:type="spellEnd"/>
      <w:r>
        <w:tab/>
      </w:r>
      <w:r>
        <w:tab/>
        <w:t xml:space="preserve">Sector wide approach </w:t>
      </w:r>
    </w:p>
    <w:p w:rsidR="00EF57A3" w:rsidRDefault="00EF57A3" w:rsidP="00EF57A3">
      <w:proofErr w:type="spellStart"/>
      <w:r>
        <w:t>SWiM</w:t>
      </w:r>
      <w:proofErr w:type="spellEnd"/>
      <w:r>
        <w:tab/>
      </w:r>
      <w:r>
        <w:tab/>
        <w:t xml:space="preserve">Sector-wide Management </w:t>
      </w:r>
    </w:p>
    <w:p w:rsidR="00EF57A3" w:rsidRDefault="00EF57A3" w:rsidP="00EF57A3">
      <w:r>
        <w:t>TA</w:t>
      </w:r>
      <w:r>
        <w:tab/>
      </w:r>
      <w:r>
        <w:tab/>
        <w:t xml:space="preserve">Technical assistance </w:t>
      </w:r>
    </w:p>
    <w:p w:rsidR="00EF57A3" w:rsidRDefault="00EF57A3" w:rsidP="00EF57A3">
      <w:r>
        <w:t>TB</w:t>
      </w:r>
      <w:r>
        <w:tab/>
      </w:r>
      <w:r>
        <w:tab/>
        <w:t xml:space="preserve">Tuberculosis </w:t>
      </w:r>
    </w:p>
    <w:p w:rsidR="00EF57A3" w:rsidRDefault="00EF57A3" w:rsidP="00EF57A3">
      <w:r>
        <w:t>TOR</w:t>
      </w:r>
      <w:r>
        <w:tab/>
      </w:r>
      <w:r>
        <w:tab/>
        <w:t xml:space="preserve">Terms of Reference </w:t>
      </w:r>
    </w:p>
    <w:p w:rsidR="00EF57A3" w:rsidRDefault="00EF57A3" w:rsidP="00EF57A3">
      <w:r>
        <w:t>TRD</w:t>
      </w:r>
      <w:r>
        <w:tab/>
      </w:r>
      <w:r>
        <w:tab/>
        <w:t xml:space="preserve">Training, research and development </w:t>
      </w:r>
    </w:p>
    <w:p w:rsidR="00EF57A3" w:rsidRDefault="00EF57A3" w:rsidP="00EF57A3">
      <w:r>
        <w:t>UN</w:t>
      </w:r>
      <w:r>
        <w:tab/>
      </w:r>
      <w:r>
        <w:tab/>
        <w:t xml:space="preserve">United Nations </w:t>
      </w:r>
    </w:p>
    <w:p w:rsidR="00EF57A3" w:rsidRDefault="00EF57A3" w:rsidP="00EF57A3">
      <w:r>
        <w:t>UNFPA</w:t>
      </w:r>
      <w:r>
        <w:tab/>
      </w:r>
      <w:r>
        <w:tab/>
        <w:t xml:space="preserve">United Nations Population Fund </w:t>
      </w:r>
    </w:p>
    <w:p w:rsidR="00EF57A3" w:rsidRDefault="00EF57A3" w:rsidP="00EF57A3">
      <w:r>
        <w:t>UNICEF</w:t>
      </w:r>
      <w:r>
        <w:tab/>
      </w:r>
      <w:r>
        <w:tab/>
        <w:t xml:space="preserve">United Nations Children’s Fund </w:t>
      </w:r>
    </w:p>
    <w:p w:rsidR="00EF57A3" w:rsidRDefault="00EF57A3" w:rsidP="00EF57A3">
      <w:r>
        <w:t>US</w:t>
      </w:r>
      <w:r>
        <w:tab/>
      </w:r>
      <w:r>
        <w:tab/>
        <w:t>United States</w:t>
      </w:r>
    </w:p>
    <w:p w:rsidR="00EF57A3" w:rsidRDefault="00EF57A3" w:rsidP="00EF57A3">
      <w:proofErr w:type="gramStart"/>
      <w:r>
        <w:t>WHO</w:t>
      </w:r>
      <w:proofErr w:type="gramEnd"/>
      <w:r>
        <w:tab/>
      </w:r>
      <w:r>
        <w:tab/>
        <w:t xml:space="preserve">World Health Organisation </w:t>
      </w:r>
    </w:p>
    <w:bookmarkStart w:id="3" w:name="_Toc403403676"/>
    <w:p w:rsidR="00D20FD9" w:rsidRDefault="0098333F">
      <w:pPr>
        <w:pStyle w:val="Heading1"/>
      </w:pPr>
      <w:r>
        <w:rPr>
          <w:noProof/>
        </w:rPr>
        <w:lastRenderedPageBreak/>
        <mc:AlternateContent>
          <mc:Choice Requires="wps">
            <w:drawing>
              <wp:anchor distT="0" distB="0" distL="114300" distR="114300" simplePos="0" relativeHeight="251685888" behindDoc="1" locked="0" layoutInCell="1" allowOverlap="1" wp14:anchorId="3DA968DC" wp14:editId="2728A647">
                <wp:simplePos x="0" y="0"/>
                <wp:positionH relativeFrom="page">
                  <wp:align>left</wp:align>
                </wp:positionH>
                <wp:positionV relativeFrom="paragraph">
                  <wp:posOffset>-144145</wp:posOffset>
                </wp:positionV>
                <wp:extent cx="7610400" cy="1468800"/>
                <wp:effectExtent l="0" t="0" r="0" b="0"/>
                <wp:wrapNone/>
                <wp:docPr id="9" name="Rectangle 9"/>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0;margin-top:-11.35pt;width:599.25pt;height:115.65pt;z-index:-2516305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" fillcolor="#124486" stroked="f" strokeweight="2pt">
                <w10:wrap anchorx="page"/>
              </v:rect>
            </w:pict>
          </mc:Fallback>
        </mc:AlternateContent>
      </w:r>
      <w:r w:rsidR="008E4082">
        <w:t xml:space="preserve">Executive </w:t>
      </w:r>
      <w:r w:rsidR="00A70D9B">
        <w:t>s</w:t>
      </w:r>
      <w:r w:rsidR="008E4082">
        <w:t>ummary</w:t>
      </w:r>
      <w:bookmarkEnd w:id="3"/>
    </w:p>
    <w:p w:rsidR="0060380E" w:rsidRDefault="0064287B" w:rsidP="008108E8">
      <w:r>
        <w:t>T</w:t>
      </w:r>
      <w:r w:rsidR="00FE4213">
        <w:t xml:space="preserve">his report </w:t>
      </w:r>
      <w:r>
        <w:t xml:space="preserve">presents the findings from a </w:t>
      </w:r>
      <w:r w:rsidR="00CB1723" w:rsidRPr="00CB1723">
        <w:t xml:space="preserve">desk-based </w:t>
      </w:r>
      <w:r w:rsidR="00FE4213">
        <w:t>review</w:t>
      </w:r>
      <w:r>
        <w:t xml:space="preserve"> of evidence on the </w:t>
      </w:r>
      <w:r w:rsidR="00FE4213">
        <w:t>effectiveness of donor support for the health sector through the use of sector-wide approaches (</w:t>
      </w:r>
      <w:proofErr w:type="spellStart"/>
      <w:r w:rsidR="00FE4213">
        <w:t>SWAps</w:t>
      </w:r>
      <w:proofErr w:type="spellEnd"/>
      <w:r w:rsidR="00FE4213">
        <w:t xml:space="preserve">), sector budget support and government systems. </w:t>
      </w:r>
      <w:r w:rsidR="00635DED">
        <w:t>S</w:t>
      </w:r>
      <w:r>
        <w:t xml:space="preserve">ix </w:t>
      </w:r>
      <w:r w:rsidR="00FE4213">
        <w:t xml:space="preserve">countries </w:t>
      </w:r>
      <w:r>
        <w:t xml:space="preserve">in </w:t>
      </w:r>
      <w:r w:rsidR="00FE4213">
        <w:t xml:space="preserve">the Asia Pacific region where the Australian aid program </w:t>
      </w:r>
      <w:r>
        <w:t>has used such approaches and/or systems</w:t>
      </w:r>
      <w:r w:rsidR="00635DED">
        <w:t xml:space="preserve"> were reviewed in detail</w:t>
      </w:r>
      <w:r>
        <w:rPr>
          <w:rFonts w:ascii="Corbel" w:hAnsi="Corbel"/>
        </w:rPr>
        <w:t>—</w:t>
      </w:r>
      <w:r w:rsidRPr="00487D77">
        <w:t xml:space="preserve">Bangladesh, Cambodia, Nepal, Papua New Guinea, Samoa, </w:t>
      </w:r>
      <w:r>
        <w:t>and Solomo</w:t>
      </w:r>
      <w:r w:rsidRPr="00487D77">
        <w:t>n Islands</w:t>
      </w:r>
      <w:r w:rsidR="00635DED">
        <w:t xml:space="preserve">. </w:t>
      </w:r>
      <w:r w:rsidR="00635DED" w:rsidRPr="00937B37">
        <w:t>T</w:t>
      </w:r>
      <w:r w:rsidRPr="00937B37">
        <w:t xml:space="preserve">he findings </w:t>
      </w:r>
      <w:r w:rsidR="00635DED" w:rsidRPr="00937B37">
        <w:t xml:space="preserve">are discussed </w:t>
      </w:r>
      <w:r w:rsidRPr="00937B37">
        <w:t xml:space="preserve">in the context </w:t>
      </w:r>
      <w:r>
        <w:t xml:space="preserve">of the broader international literature. </w:t>
      </w:r>
    </w:p>
    <w:p w:rsidR="008108E8" w:rsidRDefault="00C9551B" w:rsidP="008108E8">
      <w:r w:rsidRPr="005106CE">
        <w:rPr>
          <w:b/>
        </w:rPr>
        <w:t xml:space="preserve">It is important to note that this report is based on the findings of </w:t>
      </w:r>
      <w:r w:rsidR="00777661">
        <w:rPr>
          <w:b/>
        </w:rPr>
        <w:t xml:space="preserve">donors’ (including </w:t>
      </w:r>
      <w:r w:rsidRPr="005106CE">
        <w:rPr>
          <w:b/>
        </w:rPr>
        <w:t>Australia</w:t>
      </w:r>
      <w:r w:rsidR="00777661">
        <w:rPr>
          <w:b/>
        </w:rPr>
        <w:t>)</w:t>
      </w:r>
      <w:r w:rsidRPr="005106CE">
        <w:rPr>
          <w:b/>
        </w:rPr>
        <w:t xml:space="preserve"> experience in supporting sector-wide approaches in Asia and the Pacific. It does not evaluate the effectiveness of Australia’s broader interventions in health system reform</w:t>
      </w:r>
      <w:r w:rsidR="0060380E">
        <w:t>.</w:t>
      </w:r>
    </w:p>
    <w:p w:rsidR="001B2409" w:rsidRPr="003478F4" w:rsidRDefault="00BD158C" w:rsidP="001B2409">
      <w:pPr>
        <w:rPr>
          <w:rFonts w:ascii="Arial" w:hAnsi="Arial" w:cs="Arial"/>
          <w:b/>
          <w:color w:val="124486"/>
          <w:sz w:val="28"/>
          <w:szCs w:val="28"/>
        </w:rPr>
      </w:pPr>
      <w:r>
        <w:rPr>
          <w:rFonts w:ascii="Arial" w:hAnsi="Arial" w:cs="Arial"/>
          <w:b/>
          <w:color w:val="124486"/>
          <w:sz w:val="28"/>
          <w:szCs w:val="28"/>
        </w:rPr>
        <w:t>T</w:t>
      </w:r>
      <w:r w:rsidR="001B2409" w:rsidRPr="003478F4">
        <w:rPr>
          <w:rFonts w:ascii="Arial" w:hAnsi="Arial" w:cs="Arial"/>
          <w:b/>
          <w:color w:val="124486"/>
          <w:sz w:val="28"/>
          <w:szCs w:val="28"/>
        </w:rPr>
        <w:t>his evidence review</w:t>
      </w:r>
    </w:p>
    <w:p w:rsidR="001B2409" w:rsidRDefault="001B2409" w:rsidP="001B2409">
      <w:r>
        <w:t xml:space="preserve">In recent years </w:t>
      </w:r>
      <w:proofErr w:type="spellStart"/>
      <w:r>
        <w:t>SWAps</w:t>
      </w:r>
      <w:proofErr w:type="spellEnd"/>
      <w:r>
        <w:t xml:space="preserve"> have been increasingly implemented in the Asia Pacific region. There is limited analysis or evidence of their effectiveness, or their related financing instruments. This paper reviews the evidence, mainly from experience in six Asia Pacific countries where the Australian aid program is using these approaches or providing funds through government systems. </w:t>
      </w:r>
    </w:p>
    <w:p w:rsidR="001B2409" w:rsidRDefault="00A40502" w:rsidP="001B2409">
      <w:proofErr w:type="spellStart"/>
      <w:r>
        <w:t>SWAps</w:t>
      </w:r>
      <w:proofErr w:type="spellEnd"/>
      <w:r>
        <w:t xml:space="preserve"> have been in existence for more than 20 years. They were d</w:t>
      </w:r>
      <w:r w:rsidR="001B2409">
        <w:t xml:space="preserve">eveloped in response to widespread dissatisfaction with fragmented donor-funded projects and overly prescriptive assistance. There are various definitions and interpretations of </w:t>
      </w:r>
      <w:proofErr w:type="spellStart"/>
      <w:r w:rsidR="001B2409">
        <w:t>SWAps</w:t>
      </w:r>
      <w:proofErr w:type="spellEnd"/>
      <w:r w:rsidR="001B2409">
        <w:t xml:space="preserve">, but the literature is consistent in characterising them as an evolving partnership between governments, other national actors and development partners </w:t>
      </w:r>
      <w:proofErr w:type="gramStart"/>
      <w:r w:rsidR="001B2409">
        <w:t>coalescing</w:t>
      </w:r>
      <w:proofErr w:type="gramEnd"/>
      <w:r w:rsidR="001B2409">
        <w:t xml:space="preserve"> their joint support of nationally-defined programs, to be managed and implemented through increased reliance on country systems and capacities, and with a strong results focus.  </w:t>
      </w:r>
    </w:p>
    <w:p w:rsidR="001B2409" w:rsidRDefault="001B2409" w:rsidP="001B2409">
      <w:proofErr w:type="spellStart"/>
      <w:r>
        <w:t>SWAps</w:t>
      </w:r>
      <w:proofErr w:type="spellEnd"/>
      <w:r>
        <w:t xml:space="preserve"> are intended to bring about improvements both in development outcomes and processes, such as better harmonisation and alignment of assistance, and strengthened institutional capacity. They are also intended to reduce transaction costs for governments by removing their need to deal with the individual mechanisms and processes of multiple development partners.</w:t>
      </w:r>
    </w:p>
    <w:p w:rsidR="008108E8" w:rsidRPr="003478F4" w:rsidRDefault="008108E8" w:rsidP="008108E8">
      <w:pPr>
        <w:rPr>
          <w:rFonts w:ascii="Arial" w:hAnsi="Arial" w:cs="Arial"/>
          <w:b/>
          <w:color w:val="124486"/>
          <w:sz w:val="28"/>
          <w:szCs w:val="28"/>
        </w:rPr>
      </w:pPr>
      <w:r w:rsidRPr="003478F4">
        <w:rPr>
          <w:rFonts w:ascii="Arial" w:hAnsi="Arial" w:cs="Arial"/>
          <w:b/>
          <w:color w:val="124486"/>
          <w:sz w:val="28"/>
          <w:szCs w:val="28"/>
        </w:rPr>
        <w:t>Key Findings</w:t>
      </w:r>
    </w:p>
    <w:p w:rsidR="008108E8" w:rsidRPr="00834D49" w:rsidRDefault="00BD158C" w:rsidP="008108E8">
      <w:pPr>
        <w:rPr>
          <w:rFonts w:ascii="Arial" w:hAnsi="Arial" w:cs="Arial"/>
          <w:color w:val="007FAD"/>
          <w:sz w:val="24"/>
          <w:szCs w:val="24"/>
        </w:rPr>
      </w:pPr>
      <w:r>
        <w:rPr>
          <w:rFonts w:ascii="Arial" w:hAnsi="Arial" w:cs="Arial"/>
          <w:color w:val="007FAD"/>
          <w:sz w:val="24"/>
          <w:szCs w:val="24"/>
        </w:rPr>
        <w:t>T</w:t>
      </w:r>
      <w:r w:rsidR="008108E8" w:rsidRPr="00834D49">
        <w:rPr>
          <w:rFonts w:ascii="Arial" w:hAnsi="Arial" w:cs="Arial"/>
          <w:color w:val="007FAD"/>
          <w:sz w:val="24"/>
          <w:szCs w:val="24"/>
        </w:rPr>
        <w:t>he evidence available</w:t>
      </w:r>
    </w:p>
    <w:p w:rsidR="00937B37" w:rsidRPr="003F79D6" w:rsidRDefault="001B6819" w:rsidP="00937B37">
      <w:r>
        <w:t xml:space="preserve">While the literature on </w:t>
      </w:r>
      <w:proofErr w:type="spellStart"/>
      <w:r>
        <w:t>SWAps</w:t>
      </w:r>
      <w:proofErr w:type="spellEnd"/>
      <w:r>
        <w:t xml:space="preserve"> is prolific w</w:t>
      </w:r>
      <w:r w:rsidR="00937B37" w:rsidRPr="003F79D6">
        <w:t xml:space="preserve">e found a </w:t>
      </w:r>
      <w:r w:rsidR="00937B37" w:rsidRPr="003F79D6">
        <w:rPr>
          <w:b/>
        </w:rPr>
        <w:t>limited volume of evidence of sufficient quality</w:t>
      </w:r>
      <w:r w:rsidR="00937B37" w:rsidRPr="003F79D6">
        <w:t xml:space="preserve"> in the period covered by the review</w:t>
      </w:r>
      <w:r w:rsidR="00BD158C">
        <w:t xml:space="preserve"> (</w:t>
      </w:r>
      <w:r w:rsidR="009E1115">
        <w:t>2008-2014</w:t>
      </w:r>
      <w:r w:rsidR="00BD158C">
        <w:t>)</w:t>
      </w:r>
      <w:r w:rsidR="00937B37">
        <w:t>.  We also found that</w:t>
      </w:r>
      <w:r w:rsidR="00937B37" w:rsidRPr="003F79D6">
        <w:t xml:space="preserve"> </w:t>
      </w:r>
      <w:proofErr w:type="spellStart"/>
      <w:r w:rsidR="00937B37" w:rsidRPr="003F79D6">
        <w:t>SWAps</w:t>
      </w:r>
      <w:proofErr w:type="spellEnd"/>
      <w:r w:rsidR="00937B37" w:rsidRPr="003F79D6">
        <w:t xml:space="preserve"> </w:t>
      </w:r>
      <w:r w:rsidR="00937B37">
        <w:t xml:space="preserve">that were </w:t>
      </w:r>
      <w:r w:rsidR="00937B37" w:rsidRPr="003F79D6">
        <w:t>developed relatively recently, such as those in the Pacific countries (Samoa, Solomon Island and Papua New Guinea) ha</w:t>
      </w:r>
      <w:r w:rsidR="001B2409">
        <w:t>ve</w:t>
      </w:r>
      <w:r w:rsidR="00937B37" w:rsidRPr="003F79D6">
        <w:t xml:space="preserve"> not yet generated sufficient or sufficiently robust evidence. Several evaluations and structured reviews focused on the early stages of </w:t>
      </w:r>
      <w:proofErr w:type="spellStart"/>
      <w:r w:rsidR="00937B37" w:rsidRPr="003F79D6">
        <w:t>SWAps</w:t>
      </w:r>
      <w:proofErr w:type="spellEnd"/>
      <w:r w:rsidR="00937B37" w:rsidRPr="003F79D6">
        <w:t>, which limited our ability to analyse their effectiveness.</w:t>
      </w:r>
      <w:r w:rsidR="00582E44">
        <w:t xml:space="preserve"> </w:t>
      </w:r>
      <w:r w:rsidR="00937B37" w:rsidRPr="003F79D6">
        <w:t xml:space="preserve">We expected to find a stronger evidence base from the Asian countries (Bangladesh, Cambodia and Nepal) where </w:t>
      </w:r>
      <w:proofErr w:type="spellStart"/>
      <w:r w:rsidR="00937B37" w:rsidRPr="003F79D6">
        <w:t>SWAps</w:t>
      </w:r>
      <w:proofErr w:type="spellEnd"/>
      <w:r w:rsidR="00937B37" w:rsidRPr="003F79D6">
        <w:t xml:space="preserve"> </w:t>
      </w:r>
      <w:r w:rsidR="001B2409">
        <w:t xml:space="preserve">are </w:t>
      </w:r>
      <w:r w:rsidR="00937B37" w:rsidRPr="003F79D6">
        <w:t>more mature, but in practice this was not the case</w:t>
      </w:r>
      <w:r w:rsidR="00582E44">
        <w:t xml:space="preserve"> as we found only </w:t>
      </w:r>
      <w:r w:rsidR="00937B37" w:rsidRPr="003F79D6">
        <w:t>a small number of speci</w:t>
      </w:r>
      <w:r w:rsidR="00582E44">
        <w:t>fic evaluations</w:t>
      </w:r>
      <w:r w:rsidR="001B2409">
        <w:t>.  T</w:t>
      </w:r>
      <w:r w:rsidR="00582E44">
        <w:t xml:space="preserve">he annual </w:t>
      </w:r>
      <w:r w:rsidR="00937B37" w:rsidRPr="003F79D6">
        <w:t xml:space="preserve">sector and program reviews </w:t>
      </w:r>
      <w:r w:rsidR="00582E44">
        <w:t xml:space="preserve">that we </w:t>
      </w:r>
      <w:r w:rsidR="00582E44">
        <w:lastRenderedPageBreak/>
        <w:t>used as main sources</w:t>
      </w:r>
      <w:r w:rsidR="00937B37" w:rsidRPr="003F79D6">
        <w:t xml:space="preserve"> often made assumptions about the attribution of the results to the </w:t>
      </w:r>
      <w:proofErr w:type="spellStart"/>
      <w:r w:rsidR="00937B37" w:rsidRPr="003F79D6">
        <w:t>SWAp</w:t>
      </w:r>
      <w:proofErr w:type="spellEnd"/>
      <w:r w:rsidR="00937B37" w:rsidRPr="003F79D6">
        <w:t xml:space="preserve"> when, in fact, such attribution is problematic. </w:t>
      </w:r>
    </w:p>
    <w:p w:rsidR="00937B37" w:rsidRPr="003F79D6" w:rsidRDefault="00937B37" w:rsidP="00937B37">
      <w:r w:rsidRPr="003F79D6">
        <w:t xml:space="preserve">We also encountered </w:t>
      </w:r>
      <w:r w:rsidRPr="003F79D6">
        <w:rPr>
          <w:b/>
        </w:rPr>
        <w:t>evidence gaps in baseline data</w:t>
      </w:r>
      <w:r w:rsidRPr="003F79D6">
        <w:t xml:space="preserve">, such as limited or no baseline information focusing on the </w:t>
      </w:r>
      <w:proofErr w:type="spellStart"/>
      <w:r w:rsidRPr="003F79D6">
        <w:t>SWAps</w:t>
      </w:r>
      <w:proofErr w:type="spellEnd"/>
      <w:r w:rsidRPr="003F79D6">
        <w:t xml:space="preserve"> components. Although there was a substantial amount of data relating to health outcomes (or intermediate outcomes/outputs), these data were often not presented systematically, or there was no evidence of their reliability.</w:t>
      </w:r>
      <w:r w:rsidRPr="00716F3F">
        <w:t xml:space="preserve"> </w:t>
      </w:r>
      <w:r w:rsidRPr="003F79D6">
        <w:t xml:space="preserve">Some of the documents show </w:t>
      </w:r>
      <w:r w:rsidRPr="003F79D6">
        <w:rPr>
          <w:b/>
          <w:i/>
        </w:rPr>
        <w:t xml:space="preserve">lack of internal coherence and confusion between indicators, results and monitoring and evaluations arrangements. </w:t>
      </w:r>
      <w:r w:rsidRPr="003F79D6">
        <w:t xml:space="preserve">This has made it difficult to determine whether the </w:t>
      </w:r>
      <w:proofErr w:type="spellStart"/>
      <w:r w:rsidRPr="003F79D6">
        <w:t>SWAps</w:t>
      </w:r>
      <w:proofErr w:type="spellEnd"/>
      <w:r w:rsidRPr="003F79D6">
        <w:t xml:space="preserve"> achieved what they set out to. Further, the expectations of what should be achieved are often implicit rather than explicit.</w:t>
      </w:r>
    </w:p>
    <w:p w:rsidR="00D82FB8" w:rsidRDefault="00937B37" w:rsidP="00582E44">
      <w:r w:rsidRPr="003F79D6">
        <w:t xml:space="preserve">It is important to emphasise </w:t>
      </w:r>
      <w:r w:rsidRPr="003F79D6">
        <w:rPr>
          <w:b/>
          <w:i/>
        </w:rPr>
        <w:t xml:space="preserve">that an assessment of effectiveness cannot be proven to be directly attributed to </w:t>
      </w:r>
      <w:proofErr w:type="spellStart"/>
      <w:r w:rsidRPr="003F79D6">
        <w:rPr>
          <w:b/>
          <w:i/>
        </w:rPr>
        <w:t>SWAps</w:t>
      </w:r>
      <w:proofErr w:type="spellEnd"/>
      <w:r w:rsidRPr="003F79D6">
        <w:rPr>
          <w:b/>
          <w:i/>
        </w:rPr>
        <w:t xml:space="preserve"> or related financing instruments, </w:t>
      </w:r>
      <w:r w:rsidRPr="003F79D6">
        <w:t xml:space="preserve">neither is it likely to be feasible if additional research is undertaken. In some cases it has been possible to document some of the results that have been achieved and to make limited judgements about what role the </w:t>
      </w:r>
      <w:proofErr w:type="spellStart"/>
      <w:r w:rsidRPr="003F79D6">
        <w:t>SWAp</w:t>
      </w:r>
      <w:proofErr w:type="spellEnd"/>
      <w:r w:rsidRPr="003F79D6">
        <w:t xml:space="preserve"> and related instruments might have played, but such judgements, while made in good faith, cannot be considered as ‘evidence’. </w:t>
      </w:r>
    </w:p>
    <w:p w:rsidR="00D82FB8" w:rsidRDefault="00582E44" w:rsidP="00582E44">
      <w:r w:rsidRPr="003F79D6">
        <w:t xml:space="preserve">The </w:t>
      </w:r>
      <w:r w:rsidRPr="003F79D6">
        <w:rPr>
          <w:b/>
        </w:rPr>
        <w:t xml:space="preserve">lack of qualitative assessments of </w:t>
      </w:r>
      <w:r w:rsidR="00A92110">
        <w:rPr>
          <w:b/>
        </w:rPr>
        <w:t>financing</w:t>
      </w:r>
      <w:r w:rsidR="00F23111">
        <w:rPr>
          <w:b/>
        </w:rPr>
        <w:t xml:space="preserve"> </w:t>
      </w:r>
      <w:r w:rsidR="004D367B">
        <w:rPr>
          <w:b/>
        </w:rPr>
        <w:t xml:space="preserve">and aid management </w:t>
      </w:r>
      <w:proofErr w:type="gramStart"/>
      <w:r w:rsidR="00F23111">
        <w:rPr>
          <w:b/>
        </w:rPr>
        <w:t xml:space="preserve">decisions </w:t>
      </w:r>
      <w:r w:rsidRPr="003F79D6">
        <w:t xml:space="preserve"> was</w:t>
      </w:r>
      <w:proofErr w:type="gramEnd"/>
      <w:r w:rsidRPr="003F79D6">
        <w:t xml:space="preserve"> a main gap </w:t>
      </w:r>
      <w:r>
        <w:t xml:space="preserve">while attempting to document how or why the Australian aid programme </w:t>
      </w:r>
      <w:r w:rsidR="001B2409">
        <w:t xml:space="preserve">had </w:t>
      </w:r>
      <w:r>
        <w:t xml:space="preserve">adopted a </w:t>
      </w:r>
      <w:proofErr w:type="spellStart"/>
      <w:r>
        <w:t>SWAp</w:t>
      </w:r>
      <w:proofErr w:type="spellEnd"/>
      <w:r>
        <w:t xml:space="preserve"> (covered in Chapter 2)</w:t>
      </w:r>
      <w:r w:rsidRPr="003F79D6">
        <w:t xml:space="preserve">. The evidence for assessing the operational approach adopted by the Australian aid program was limited to aid program performance reports and other internal documents. While useful, these documents do not permit an assessment of </w:t>
      </w:r>
      <w:r w:rsidR="00A92110">
        <w:t>financing</w:t>
      </w:r>
      <w:r w:rsidR="00F23111">
        <w:t xml:space="preserve"> </w:t>
      </w:r>
      <w:r w:rsidR="008C1373">
        <w:t xml:space="preserve">decisions </w:t>
      </w:r>
      <w:r w:rsidR="004D367B">
        <w:t>linked to the allocation of health aid in that particular country</w:t>
      </w:r>
      <w:r w:rsidRPr="003F79D6">
        <w:t xml:space="preserve">, </w:t>
      </w:r>
      <w:r w:rsidR="00D82FB8">
        <w:t xml:space="preserve">which </w:t>
      </w:r>
      <w:r w:rsidRPr="003F79D6">
        <w:t xml:space="preserve">would </w:t>
      </w:r>
      <w:r w:rsidR="00D82FB8">
        <w:t xml:space="preserve">have </w:t>
      </w:r>
      <w:r w:rsidRPr="003F79D6">
        <w:t>require</w:t>
      </w:r>
      <w:r w:rsidR="00D82FB8">
        <w:t>d</w:t>
      </w:r>
      <w:r w:rsidRPr="003F79D6">
        <w:t xml:space="preserve"> in-country work</w:t>
      </w:r>
      <w:r w:rsidR="00D82FB8">
        <w:t xml:space="preserve"> that was out of the scope of this review.  </w:t>
      </w:r>
    </w:p>
    <w:p w:rsidR="00582E44" w:rsidRPr="003F79D6" w:rsidRDefault="00582E44" w:rsidP="00582E44">
      <w:r w:rsidRPr="003F79D6">
        <w:t xml:space="preserve">Overall, </w:t>
      </w:r>
      <w:r w:rsidR="00F23111">
        <w:t xml:space="preserve">among the evidence that was available, </w:t>
      </w:r>
      <w:r>
        <w:t xml:space="preserve">an </w:t>
      </w:r>
      <w:r w:rsidRPr="003F79D6">
        <w:rPr>
          <w:b/>
        </w:rPr>
        <w:t>evidence bias</w:t>
      </w:r>
      <w:r w:rsidRPr="003F79D6">
        <w:t xml:space="preserve"> </w:t>
      </w:r>
      <w:r>
        <w:t xml:space="preserve">was detected </w:t>
      </w:r>
      <w:r w:rsidRPr="003F79D6">
        <w:t xml:space="preserve">in that a large part of the literature focused on what was not working rather than </w:t>
      </w:r>
      <w:r w:rsidR="00D82FB8">
        <w:t xml:space="preserve">on </w:t>
      </w:r>
      <w:r w:rsidRPr="003F79D6">
        <w:t>what was working well.</w:t>
      </w:r>
      <w:r w:rsidR="00F23111">
        <w:t xml:space="preserve"> This is likely to have impacted on our findings.</w:t>
      </w:r>
      <w:r w:rsidR="001B2409">
        <w:t xml:space="preserve">  </w:t>
      </w:r>
    </w:p>
    <w:p w:rsidR="005A4230" w:rsidRPr="00834D49" w:rsidRDefault="00327074" w:rsidP="003E531F">
      <w:pPr>
        <w:rPr>
          <w:rFonts w:ascii="Arial" w:hAnsi="Arial" w:cs="Arial"/>
          <w:color w:val="007FAD"/>
          <w:sz w:val="24"/>
          <w:szCs w:val="24"/>
        </w:rPr>
      </w:pPr>
      <w:r>
        <w:rPr>
          <w:rFonts w:ascii="Arial" w:hAnsi="Arial" w:cs="Arial"/>
          <w:color w:val="007FAD"/>
          <w:sz w:val="24"/>
          <w:szCs w:val="24"/>
        </w:rPr>
        <w:t>T</w:t>
      </w:r>
      <w:r w:rsidR="008108E8" w:rsidRPr="00834D49">
        <w:rPr>
          <w:rFonts w:ascii="Arial" w:hAnsi="Arial" w:cs="Arial"/>
          <w:color w:val="007FAD"/>
          <w:sz w:val="24"/>
          <w:szCs w:val="24"/>
        </w:rPr>
        <w:t xml:space="preserve">he effectiveness of </w:t>
      </w:r>
      <w:proofErr w:type="spellStart"/>
      <w:r w:rsidR="008108E8" w:rsidRPr="00834D49">
        <w:rPr>
          <w:rFonts w:ascii="Arial" w:hAnsi="Arial" w:cs="Arial"/>
          <w:color w:val="007FAD"/>
          <w:sz w:val="24"/>
          <w:szCs w:val="24"/>
        </w:rPr>
        <w:t>SWAps</w:t>
      </w:r>
      <w:proofErr w:type="spellEnd"/>
    </w:p>
    <w:p w:rsidR="005A4230" w:rsidRDefault="003E531F" w:rsidP="005A4230">
      <w:pPr>
        <w:pStyle w:val="NormalBeforeBullet"/>
      </w:pPr>
      <w:r>
        <w:t xml:space="preserve">Assessing the evidence available on the use of </w:t>
      </w:r>
      <w:proofErr w:type="spellStart"/>
      <w:r>
        <w:t>SWAps</w:t>
      </w:r>
      <w:proofErr w:type="spellEnd"/>
      <w:r>
        <w:t xml:space="preserve"> </w:t>
      </w:r>
      <w:r w:rsidR="001B2409">
        <w:t xml:space="preserve">has been challenging due to </w:t>
      </w:r>
      <w:r>
        <w:t xml:space="preserve">the inherent limitations of measuring the effectiveness of </w:t>
      </w:r>
      <w:r w:rsidR="006632DE">
        <w:t xml:space="preserve">health </w:t>
      </w:r>
      <w:proofErr w:type="spellStart"/>
      <w:r>
        <w:t>SWAps</w:t>
      </w:r>
      <w:proofErr w:type="spellEnd"/>
      <w:r>
        <w:t xml:space="preserve">, </w:t>
      </w:r>
      <w:r w:rsidR="006632DE">
        <w:t xml:space="preserve">as widely acknowledged in the international literature and </w:t>
      </w:r>
      <w:r>
        <w:t xml:space="preserve">discussed at length in Chapter 1.  </w:t>
      </w:r>
      <w:r w:rsidR="005A4230">
        <w:t xml:space="preserve">There are many descriptions (in the form of case studies, literature reviews, and synthesis papers) of the rationale, progress and challenges of implementing </w:t>
      </w:r>
      <w:proofErr w:type="spellStart"/>
      <w:r w:rsidR="005A4230">
        <w:t>SWAps</w:t>
      </w:r>
      <w:proofErr w:type="spellEnd"/>
      <w:r w:rsidR="005A4230">
        <w:t xml:space="preserve"> in different settings. There are</w:t>
      </w:r>
      <w:r w:rsidR="006632DE">
        <w:t xml:space="preserve"> also</w:t>
      </w:r>
      <w:r w:rsidR="005A4230">
        <w:t xml:space="preserve"> country program reviews, and donor-specific documents describing and reporting on the program supported. However, there </w:t>
      </w:r>
      <w:proofErr w:type="gramStart"/>
      <w:r w:rsidR="005A4230">
        <w:t xml:space="preserve">are very few robust, </w:t>
      </w:r>
      <w:r w:rsidR="006632DE">
        <w:t>country</w:t>
      </w:r>
      <w:proofErr w:type="gramEnd"/>
      <w:r w:rsidR="006632DE">
        <w:t xml:space="preserve"> or </w:t>
      </w:r>
      <w:r w:rsidR="005A4230">
        <w:t xml:space="preserve">multi-country </w:t>
      </w:r>
      <w:r w:rsidR="005A4230" w:rsidRPr="00533152">
        <w:t xml:space="preserve">evaluations systematically </w:t>
      </w:r>
      <w:r w:rsidR="005A4230">
        <w:t>looking at</w:t>
      </w:r>
      <w:r w:rsidR="005A4230" w:rsidRPr="00533152">
        <w:t xml:space="preserve"> the effectiveness </w:t>
      </w:r>
      <w:r w:rsidR="005A4230">
        <w:t xml:space="preserve">and performance </w:t>
      </w:r>
      <w:r w:rsidR="005A4230" w:rsidRPr="00533152">
        <w:t xml:space="preserve">of </w:t>
      </w:r>
      <w:proofErr w:type="spellStart"/>
      <w:r w:rsidR="005A4230">
        <w:t>SWAps</w:t>
      </w:r>
      <w:proofErr w:type="spellEnd"/>
      <w:r w:rsidR="005A4230">
        <w:t xml:space="preserve">, and whether they achieved their intended benefits. </w:t>
      </w:r>
      <w:r w:rsidR="00167D43">
        <w:t xml:space="preserve">These types of assessments are difficult because of the following </w:t>
      </w:r>
      <w:r w:rsidR="005A4230">
        <w:t xml:space="preserve">methodological issues and evidence gaps </w:t>
      </w:r>
      <w:r w:rsidR="00167D43">
        <w:t xml:space="preserve">which are widely described in the </w:t>
      </w:r>
      <w:r w:rsidR="008309A2">
        <w:t>international literature</w:t>
      </w:r>
      <w:r w:rsidR="005A4230">
        <w:t xml:space="preserve">: </w:t>
      </w:r>
    </w:p>
    <w:p w:rsidR="001B6819" w:rsidRDefault="001B6819" w:rsidP="005A4230">
      <w:pPr>
        <w:pStyle w:val="Bullet"/>
      </w:pPr>
      <w:proofErr w:type="spellStart"/>
      <w:r>
        <w:t>SWAps</w:t>
      </w:r>
      <w:proofErr w:type="spellEnd"/>
      <w:r>
        <w:t xml:space="preserve"> are highly context specific and linked to the political economy of the countries and to the aid policies of the donors supporting the </w:t>
      </w:r>
      <w:proofErr w:type="spellStart"/>
      <w:r>
        <w:t>SWAp</w:t>
      </w:r>
      <w:proofErr w:type="spellEnd"/>
      <w:r>
        <w:t>.  Comparisons across countries are extremely challenging</w:t>
      </w:r>
      <w:r w:rsidR="00EC6052">
        <w:t xml:space="preserve"> or even unfeasible.</w:t>
      </w:r>
    </w:p>
    <w:p w:rsidR="005A4230" w:rsidRDefault="005A4230" w:rsidP="005A4230">
      <w:pPr>
        <w:pStyle w:val="Bullet"/>
      </w:pPr>
      <w:r>
        <w:t xml:space="preserve">The multidimensional nature of </w:t>
      </w:r>
      <w:proofErr w:type="spellStart"/>
      <w:r>
        <w:t>SWAps</w:t>
      </w:r>
      <w:proofErr w:type="spellEnd"/>
      <w:r>
        <w:t xml:space="preserve">, where different components often interact with each other in unclear ways. </w:t>
      </w:r>
    </w:p>
    <w:p w:rsidR="005A4230" w:rsidRDefault="005A4230" w:rsidP="005A4230">
      <w:pPr>
        <w:pStyle w:val="Bullet"/>
      </w:pPr>
      <w:r>
        <w:t>T</w:t>
      </w:r>
      <w:r w:rsidRPr="000977DE">
        <w:t>he difficulties of establishing ‘before and after’ comparisons</w:t>
      </w:r>
      <w:r>
        <w:t>,</w:t>
      </w:r>
      <w:r w:rsidRPr="000977DE">
        <w:t xml:space="preserve"> because </w:t>
      </w:r>
      <w:proofErr w:type="spellStart"/>
      <w:r>
        <w:t>SWAps</w:t>
      </w:r>
      <w:proofErr w:type="spellEnd"/>
      <w:r>
        <w:t xml:space="preserve"> </w:t>
      </w:r>
      <w:r w:rsidRPr="000977DE">
        <w:t xml:space="preserve">are often designed </w:t>
      </w:r>
      <w:r>
        <w:t xml:space="preserve">and implemented </w:t>
      </w:r>
      <w:r w:rsidRPr="000977DE">
        <w:t>incrementally, with no defined start date</w:t>
      </w:r>
      <w:r>
        <w:t>.</w:t>
      </w:r>
    </w:p>
    <w:p w:rsidR="003E531F" w:rsidRDefault="005A4230" w:rsidP="003E531F">
      <w:pPr>
        <w:pStyle w:val="BulletLast"/>
        <w:ind w:left="284" w:hanging="284"/>
      </w:pPr>
      <w:r>
        <w:lastRenderedPageBreak/>
        <w:t xml:space="preserve">The absence of baselines on the situation predating the </w:t>
      </w:r>
      <w:proofErr w:type="spellStart"/>
      <w:r>
        <w:t>SWAp</w:t>
      </w:r>
      <w:proofErr w:type="spellEnd"/>
      <w:r>
        <w:t xml:space="preserve">, of result chains (showing the intended progression from inputs to outputs and outcomes) and of a counterfactual. </w:t>
      </w:r>
    </w:p>
    <w:p w:rsidR="006632DE" w:rsidRDefault="006632DE" w:rsidP="003E531F">
      <w:pPr>
        <w:pStyle w:val="BulletLast"/>
        <w:ind w:left="284" w:hanging="284"/>
      </w:pPr>
      <w:r>
        <w:t xml:space="preserve">The absence of explicit objectives to be achieved by the </w:t>
      </w:r>
      <w:proofErr w:type="spellStart"/>
      <w:r>
        <w:t>SWAp</w:t>
      </w:r>
      <w:proofErr w:type="spellEnd"/>
      <w:r>
        <w:t xml:space="preserve"> in terms of aid effectiveness or the limited amount of monitoring on whether the stated objectives are being met.</w:t>
      </w:r>
    </w:p>
    <w:p w:rsidR="00732467" w:rsidRPr="00834D49" w:rsidRDefault="00732467" w:rsidP="00732467">
      <w:pPr>
        <w:rPr>
          <w:rFonts w:ascii="Arial" w:hAnsi="Arial" w:cs="Arial"/>
          <w:color w:val="007FAD"/>
          <w:sz w:val="24"/>
          <w:szCs w:val="24"/>
        </w:rPr>
      </w:pPr>
      <w:r w:rsidRPr="00834D49">
        <w:rPr>
          <w:rFonts w:ascii="Arial" w:hAnsi="Arial" w:cs="Arial"/>
          <w:color w:val="007FAD"/>
          <w:sz w:val="24"/>
          <w:szCs w:val="24"/>
        </w:rPr>
        <w:t xml:space="preserve">Limitations of the </w:t>
      </w:r>
      <w:proofErr w:type="spellStart"/>
      <w:r w:rsidRPr="00834D49">
        <w:rPr>
          <w:rFonts w:ascii="Arial" w:hAnsi="Arial" w:cs="Arial"/>
          <w:color w:val="007FAD"/>
          <w:sz w:val="24"/>
          <w:szCs w:val="24"/>
        </w:rPr>
        <w:t>SWAp</w:t>
      </w:r>
      <w:proofErr w:type="spellEnd"/>
    </w:p>
    <w:p w:rsidR="00732467" w:rsidRDefault="005C646F" w:rsidP="00732467">
      <w:pPr>
        <w:pStyle w:val="NormalBeforeBullet"/>
      </w:pPr>
      <w:r>
        <w:t>The</w:t>
      </w:r>
      <w:r w:rsidR="00732467">
        <w:t xml:space="preserve"> limitations</w:t>
      </w:r>
      <w:r>
        <w:t xml:space="preserve"> of </w:t>
      </w:r>
      <w:proofErr w:type="spellStart"/>
      <w:r>
        <w:t>SWAps</w:t>
      </w:r>
      <w:proofErr w:type="spellEnd"/>
      <w:r>
        <w:t xml:space="preserve"> as a development approach have been</w:t>
      </w:r>
      <w:r w:rsidR="00732467">
        <w:t xml:space="preserve"> widely described in the international literature. Common issues include: </w:t>
      </w:r>
    </w:p>
    <w:p w:rsidR="00732467" w:rsidRDefault="00732467" w:rsidP="00732467">
      <w:pPr>
        <w:pStyle w:val="Bullet"/>
      </w:pPr>
      <w:r>
        <w:t xml:space="preserve">A focus on upstream policy and monitoring processes (both by </w:t>
      </w:r>
      <w:proofErr w:type="spellStart"/>
      <w:r>
        <w:t>SWAps</w:t>
      </w:r>
      <w:proofErr w:type="spellEnd"/>
      <w:r>
        <w:t xml:space="preserve"> and sector budget support) rather than on addressing implementation capacity constraints</w:t>
      </w:r>
      <w:r>
        <w:rPr>
          <w:rFonts w:ascii="Corbel" w:hAnsi="Corbel"/>
        </w:rPr>
        <w:t>—</w:t>
      </w:r>
      <w:r>
        <w:t>the so-called ‘missing middle’ in service delivery.</w:t>
      </w:r>
    </w:p>
    <w:p w:rsidR="00732467" w:rsidRDefault="005C646F" w:rsidP="00732467">
      <w:pPr>
        <w:pStyle w:val="Bullet"/>
      </w:pPr>
      <w:proofErr w:type="spellStart"/>
      <w:r>
        <w:t>SWAps</w:t>
      </w:r>
      <w:proofErr w:type="spellEnd"/>
      <w:r>
        <w:t xml:space="preserve"> do not always serve</w:t>
      </w:r>
      <w:r w:rsidR="00732467">
        <w:t xml:space="preserve"> as a common framework for all external aid. In most countries there are still substantial volumes of resources outside pooled arrangements, and out of sync with </w:t>
      </w:r>
      <w:proofErr w:type="spellStart"/>
      <w:r w:rsidR="00732467">
        <w:t>SWAp</w:t>
      </w:r>
      <w:proofErr w:type="spellEnd"/>
      <w:r w:rsidR="00732467">
        <w:t xml:space="preserve"> or national planning frameworks. </w:t>
      </w:r>
    </w:p>
    <w:p w:rsidR="00732467" w:rsidRDefault="00732467" w:rsidP="00732467">
      <w:pPr>
        <w:pStyle w:val="Bullet"/>
      </w:pPr>
      <w:r>
        <w:t xml:space="preserve">Efforts towards implementing ‘standardised’ </w:t>
      </w:r>
      <w:proofErr w:type="spellStart"/>
      <w:r>
        <w:t>SWAp</w:t>
      </w:r>
      <w:proofErr w:type="spellEnd"/>
      <w:r>
        <w:t xml:space="preserve"> processes, have perhaps reduced the focus on rooting the approach in a thorough assessment and understanding of the political economy of countries’ health sector.</w:t>
      </w:r>
    </w:p>
    <w:p w:rsidR="00732467" w:rsidRDefault="00C6406A" w:rsidP="00732467">
      <w:pPr>
        <w:pStyle w:val="BulletLast"/>
      </w:pPr>
      <w:proofErr w:type="spellStart"/>
      <w:r>
        <w:t>SWAps</w:t>
      </w:r>
      <w:proofErr w:type="spellEnd"/>
      <w:r>
        <w:t xml:space="preserve"> are highly dynamic, context specific processes that require governments and donors to work in new ways and to develop skills that are different from the ones traditionally used to </w:t>
      </w:r>
      <w:r w:rsidR="00527ACF">
        <w:t xml:space="preserve">manage </w:t>
      </w:r>
      <w:r>
        <w:t xml:space="preserve">project-based aid. An </w:t>
      </w:r>
      <w:r w:rsidR="00732467">
        <w:t>under-estimation of the</w:t>
      </w:r>
      <w:r>
        <w:t xml:space="preserve"> new </w:t>
      </w:r>
      <w:r w:rsidR="00732467">
        <w:t>competencies needed to adapt to new ways of working</w:t>
      </w:r>
      <w:r>
        <w:t xml:space="preserve"> </w:t>
      </w:r>
      <w:r w:rsidR="00527ACF">
        <w:t xml:space="preserve">has been often described in the international literature and can </w:t>
      </w:r>
      <w:r>
        <w:t xml:space="preserve">lead to poorly managed </w:t>
      </w:r>
      <w:proofErr w:type="spellStart"/>
      <w:r>
        <w:t>SWAps</w:t>
      </w:r>
      <w:proofErr w:type="spellEnd"/>
      <w:r>
        <w:t xml:space="preserve">.  </w:t>
      </w:r>
      <w:r w:rsidR="00527ACF">
        <w:t>Imbalances in the competence base may affect the</w:t>
      </w:r>
      <w:r w:rsidR="00732467">
        <w:t xml:space="preserve"> government side (often overwhelmed with the ‘nitty gritty’) or on the donor side (i.e. having to engage around </w:t>
      </w:r>
      <w:r w:rsidR="00527ACF">
        <w:t xml:space="preserve">new </w:t>
      </w:r>
      <w:r w:rsidR="00732467">
        <w:t xml:space="preserve">technical and policy issues that </w:t>
      </w:r>
      <w:r w:rsidR="00527ACF">
        <w:t xml:space="preserve">may be </w:t>
      </w:r>
      <w:r w:rsidR="00732467">
        <w:t>poorly understood)</w:t>
      </w:r>
      <w:r w:rsidR="00527ACF">
        <w:t>.</w:t>
      </w:r>
      <w:r w:rsidR="005C646F">
        <w:t xml:space="preserve"> </w:t>
      </w:r>
    </w:p>
    <w:p w:rsidR="005F4AAB" w:rsidRPr="00834D49" w:rsidRDefault="005C646F" w:rsidP="003E531F">
      <w:pPr>
        <w:rPr>
          <w:rFonts w:ascii="Arial" w:hAnsi="Arial" w:cs="Arial"/>
          <w:color w:val="007FAD"/>
          <w:sz w:val="24"/>
          <w:szCs w:val="24"/>
        </w:rPr>
      </w:pPr>
      <w:r>
        <w:rPr>
          <w:rFonts w:ascii="Arial" w:hAnsi="Arial" w:cs="Arial"/>
          <w:color w:val="007FAD"/>
          <w:sz w:val="24"/>
          <w:szCs w:val="24"/>
        </w:rPr>
        <w:t>P</w:t>
      </w:r>
      <w:r w:rsidR="008108E8" w:rsidRPr="00834D49">
        <w:rPr>
          <w:rFonts w:ascii="Arial" w:hAnsi="Arial" w:cs="Arial"/>
          <w:color w:val="007FAD"/>
          <w:sz w:val="24"/>
          <w:szCs w:val="24"/>
        </w:rPr>
        <w:t xml:space="preserve">articipation in health </w:t>
      </w:r>
      <w:proofErr w:type="spellStart"/>
      <w:r w:rsidR="008108E8" w:rsidRPr="00834D49">
        <w:rPr>
          <w:rFonts w:ascii="Arial" w:hAnsi="Arial" w:cs="Arial"/>
          <w:color w:val="007FAD"/>
          <w:sz w:val="24"/>
          <w:szCs w:val="24"/>
        </w:rPr>
        <w:t>SWAps</w:t>
      </w:r>
      <w:proofErr w:type="spellEnd"/>
      <w:r w:rsidR="003E531F" w:rsidRPr="00834D49">
        <w:rPr>
          <w:rFonts w:ascii="Arial" w:hAnsi="Arial" w:cs="Arial"/>
          <w:color w:val="007FAD"/>
          <w:sz w:val="24"/>
          <w:szCs w:val="24"/>
        </w:rPr>
        <w:t xml:space="preserve"> by the Australian aid program</w:t>
      </w:r>
    </w:p>
    <w:p w:rsidR="00116AC3" w:rsidRDefault="00116AC3" w:rsidP="00116AC3">
      <w:pPr>
        <w:pStyle w:val="NormalBeforeBullet"/>
      </w:pPr>
      <w:r w:rsidRPr="005F4AAB">
        <w:t>The Australian aid program</w:t>
      </w:r>
      <w:r w:rsidR="008309A2">
        <w:t>’s</w:t>
      </w:r>
      <w:r w:rsidRPr="005F4AAB">
        <w:t xml:space="preserve"> choice of </w:t>
      </w:r>
      <w:proofErr w:type="spellStart"/>
      <w:r w:rsidRPr="005F4AAB">
        <w:t>SWAps</w:t>
      </w:r>
      <w:proofErr w:type="spellEnd"/>
      <w:r w:rsidRPr="005F4AAB">
        <w:t xml:space="preserve"> and related financing instruments appear</w:t>
      </w:r>
      <w:r w:rsidR="006632DE">
        <w:t>s</w:t>
      </w:r>
      <w:r w:rsidRPr="005F4AAB">
        <w:t xml:space="preserve"> to have been both strategic and contextual.</w:t>
      </w:r>
      <w:r w:rsidRPr="006E5DF9">
        <w:t xml:space="preserve"> A</w:t>
      </w:r>
      <w:r>
        <w:t>lthough a</w:t>
      </w:r>
      <w:r w:rsidRPr="00533152">
        <w:t xml:space="preserve"> desk review does not provide sufficient or robust enough insights into </w:t>
      </w:r>
      <w:r>
        <w:t xml:space="preserve">this, it appears that in all the six countries the Australian aid program chose what </w:t>
      </w:r>
      <w:r w:rsidRPr="00533152">
        <w:t>w</w:t>
      </w:r>
      <w:r>
        <w:t>as</w:t>
      </w:r>
      <w:r w:rsidRPr="00533152">
        <w:t xml:space="preserve"> considered the best option in the circumstances</w:t>
      </w:r>
      <w:r>
        <w:t xml:space="preserve"> (</w:t>
      </w:r>
      <w:r w:rsidRPr="00533152">
        <w:t>particularly if other key donors were doing the same)</w:t>
      </w:r>
      <w:r>
        <w:t xml:space="preserve">, and it </w:t>
      </w:r>
      <w:r w:rsidRPr="00533152">
        <w:t xml:space="preserve">aligned its aid policies </w:t>
      </w:r>
      <w:r>
        <w:t xml:space="preserve">and country operations </w:t>
      </w:r>
      <w:r w:rsidRPr="00533152">
        <w:t xml:space="preserve">to the </w:t>
      </w:r>
      <w:r>
        <w:t xml:space="preserve">prevailing </w:t>
      </w:r>
      <w:r w:rsidRPr="00533152">
        <w:t>internati</w:t>
      </w:r>
      <w:r>
        <w:t>onal focus on aid effectiveness:</w:t>
      </w:r>
    </w:p>
    <w:p w:rsidR="00834D49" w:rsidRDefault="00116AC3" w:rsidP="00834D49">
      <w:pPr>
        <w:pStyle w:val="Bullet"/>
        <w:ind w:left="284" w:hanging="284"/>
      </w:pPr>
      <w:r w:rsidRPr="00533152">
        <w:t xml:space="preserve">In </w:t>
      </w:r>
      <w:r>
        <w:t>Papua New Guinea</w:t>
      </w:r>
      <w:r w:rsidRPr="00533152">
        <w:t xml:space="preserve">, Samoa and Solomon Islands </w:t>
      </w:r>
      <w:r>
        <w:t>the</w:t>
      </w:r>
      <w:r w:rsidRPr="00533152">
        <w:t xml:space="preserve"> </w:t>
      </w:r>
      <w:r>
        <w:t xml:space="preserve">Australian aid program </w:t>
      </w:r>
      <w:r w:rsidRPr="00533152">
        <w:t>led by example and used an inclusive approach to aid delivery, involving other donors in order to achieve greater leverage</w:t>
      </w:r>
      <w:r w:rsidR="00F23111">
        <w:t xml:space="preserve"> with the government</w:t>
      </w:r>
      <w:r w:rsidRPr="00533152">
        <w:t xml:space="preserve"> and to balance </w:t>
      </w:r>
      <w:r>
        <w:t>risks</w:t>
      </w:r>
      <w:r w:rsidR="006929B3">
        <w:t xml:space="preserve"> in the aid portfolio</w:t>
      </w:r>
      <w:r>
        <w:t xml:space="preserve">. </w:t>
      </w:r>
    </w:p>
    <w:p w:rsidR="00834D49" w:rsidRDefault="00116AC3" w:rsidP="00834D49">
      <w:pPr>
        <w:pStyle w:val="Bullet"/>
        <w:ind w:left="284" w:hanging="284"/>
      </w:pPr>
      <w:r>
        <w:t xml:space="preserve">In Nepal and Bangladesh </w:t>
      </w:r>
      <w:r w:rsidR="00331663">
        <w:t>Australia</w:t>
      </w:r>
      <w:r w:rsidR="00331663" w:rsidRPr="00533152">
        <w:t xml:space="preserve"> </w:t>
      </w:r>
      <w:r w:rsidRPr="00533152">
        <w:t xml:space="preserve">participated actively in the </w:t>
      </w:r>
      <w:r w:rsidR="00C04C4C">
        <w:t xml:space="preserve">existing </w:t>
      </w:r>
      <w:r w:rsidRPr="00533152">
        <w:t xml:space="preserve">health </w:t>
      </w:r>
      <w:proofErr w:type="spellStart"/>
      <w:r w:rsidRPr="00533152">
        <w:t>SWAp</w:t>
      </w:r>
      <w:proofErr w:type="spellEnd"/>
      <w:r w:rsidRPr="00533152">
        <w:t xml:space="preserve"> and (from 2008) pooled risks with other donors supporting the pooled fund</w:t>
      </w:r>
      <w:r>
        <w:t xml:space="preserve">. </w:t>
      </w:r>
    </w:p>
    <w:p w:rsidR="00116AC3" w:rsidRPr="00533152" w:rsidRDefault="00116AC3" w:rsidP="00834D49">
      <w:pPr>
        <w:pStyle w:val="Bullet"/>
        <w:ind w:left="284" w:hanging="284"/>
      </w:pPr>
      <w:r w:rsidRPr="00533152">
        <w:t>In Cambodia</w:t>
      </w:r>
      <w:r>
        <w:t>,</w:t>
      </w:r>
      <w:r w:rsidRPr="00533152">
        <w:t xml:space="preserve"> </w:t>
      </w:r>
      <w:r>
        <w:t>join</w:t>
      </w:r>
      <w:r w:rsidRPr="00533152">
        <w:t xml:space="preserve">tly with </w:t>
      </w:r>
      <w:r>
        <w:t xml:space="preserve">the United Kingdom </w:t>
      </w:r>
      <w:r w:rsidRPr="00533152">
        <w:t>and the World Bank</w:t>
      </w:r>
      <w:r>
        <w:t xml:space="preserve">, </w:t>
      </w:r>
      <w:r w:rsidR="00331663">
        <w:t>Australia</w:t>
      </w:r>
      <w:r w:rsidR="00331663" w:rsidRPr="00533152">
        <w:t xml:space="preserve"> </w:t>
      </w:r>
      <w:r w:rsidRPr="00533152">
        <w:t>adopted a cautious approach to aid delivery</w:t>
      </w:r>
      <w:r>
        <w:t xml:space="preserve"> after the peace agreements, </w:t>
      </w:r>
      <w:r w:rsidRPr="00533152">
        <w:t xml:space="preserve">avoiding the </w:t>
      </w:r>
      <w:r>
        <w:t xml:space="preserve">risk of placing </w:t>
      </w:r>
      <w:r w:rsidRPr="00533152">
        <w:t>the pooled funds on budget</w:t>
      </w:r>
      <w:r w:rsidR="006929B3">
        <w:t xml:space="preserve">, </w:t>
      </w:r>
      <w:r w:rsidR="00F23111">
        <w:t>by using a separate funding mechanism</w:t>
      </w:r>
      <w:r>
        <w:t xml:space="preserve"> and working with other </w:t>
      </w:r>
      <w:r w:rsidRPr="00533152">
        <w:t>donors to gain leverage</w:t>
      </w:r>
      <w:r w:rsidR="00F23111">
        <w:t xml:space="preserve"> with the government</w:t>
      </w:r>
      <w:r w:rsidRPr="00533152">
        <w:t xml:space="preserve"> and </w:t>
      </w:r>
      <w:r>
        <w:t>to manage risks.</w:t>
      </w:r>
      <w:r w:rsidRPr="0044659A">
        <w:t xml:space="preserve"> </w:t>
      </w:r>
    </w:p>
    <w:p w:rsidR="00DB3B74" w:rsidRDefault="00116AC3" w:rsidP="00116AC3">
      <w:r w:rsidRPr="006E5DF9">
        <w:t>The Australian aid program</w:t>
      </w:r>
      <w:r>
        <w:rPr>
          <w:b/>
          <w:i/>
        </w:rPr>
        <w:t xml:space="preserve"> </w:t>
      </w:r>
      <w:r w:rsidRPr="00533152">
        <w:t xml:space="preserve">triggered and commissioned a considerable amount of </w:t>
      </w:r>
      <w:r w:rsidRPr="005D71A9">
        <w:t>analysis</w:t>
      </w:r>
      <w:r w:rsidR="0098385C">
        <w:t xml:space="preserve"> </w:t>
      </w:r>
      <w:r w:rsidR="006929B3">
        <w:t xml:space="preserve">on the progress achieved by the </w:t>
      </w:r>
      <w:proofErr w:type="spellStart"/>
      <w:r w:rsidR="006929B3">
        <w:t>SWAp</w:t>
      </w:r>
      <w:proofErr w:type="spellEnd"/>
      <w:r w:rsidR="006929B3">
        <w:t xml:space="preserve"> or the health sector and on some of the available aid financing options</w:t>
      </w:r>
      <w:r>
        <w:t xml:space="preserve">, which we found </w:t>
      </w:r>
      <w:r w:rsidR="008309A2">
        <w:t xml:space="preserve">to be </w:t>
      </w:r>
      <w:r>
        <w:t xml:space="preserve">of high quality. This has </w:t>
      </w:r>
      <w:r w:rsidRPr="00533152">
        <w:t xml:space="preserve">increased </w:t>
      </w:r>
      <w:r>
        <w:t xml:space="preserve">its </w:t>
      </w:r>
      <w:r w:rsidRPr="00533152">
        <w:t>visibility</w:t>
      </w:r>
      <w:r>
        <w:t>,</w:t>
      </w:r>
      <w:r w:rsidRPr="00533152">
        <w:t xml:space="preserve"> </w:t>
      </w:r>
      <w:r>
        <w:t xml:space="preserve">relevance and </w:t>
      </w:r>
      <w:r w:rsidRPr="00533152">
        <w:t xml:space="preserve">adherence to </w:t>
      </w:r>
      <w:r>
        <w:t xml:space="preserve">the </w:t>
      </w:r>
      <w:r w:rsidRPr="00533152">
        <w:t>aid effectiveness principles</w:t>
      </w:r>
      <w:r>
        <w:t xml:space="preserve">. </w:t>
      </w:r>
    </w:p>
    <w:p w:rsidR="00116AC3" w:rsidRPr="00533152" w:rsidRDefault="00C04C4C" w:rsidP="00116AC3">
      <w:r>
        <w:lastRenderedPageBreak/>
        <w:t xml:space="preserve">Managing </w:t>
      </w:r>
      <w:proofErr w:type="spellStart"/>
      <w:r>
        <w:t>SWAps</w:t>
      </w:r>
      <w:proofErr w:type="spellEnd"/>
      <w:r>
        <w:t xml:space="preserve"> at the country level was challenging for Australia</w:t>
      </w:r>
      <w:r w:rsidR="00836190">
        <w:t xml:space="preserve"> </w:t>
      </w:r>
      <w:r w:rsidR="00DB3B74">
        <w:t xml:space="preserve">because it was a new approach </w:t>
      </w:r>
      <w:r w:rsidR="00836190">
        <w:t xml:space="preserve">that took time to set up and implement.  </w:t>
      </w:r>
    </w:p>
    <w:p w:rsidR="005F4AAB" w:rsidRPr="00DE491F" w:rsidRDefault="00D83F1E" w:rsidP="005F4AAB">
      <w:pPr>
        <w:pStyle w:val="NormalBeforeBullet"/>
      </w:pPr>
      <w:r>
        <w:t xml:space="preserve">This review finds that Australia’s participation in </w:t>
      </w:r>
      <w:r w:rsidR="008108E8">
        <w:t xml:space="preserve">health </w:t>
      </w:r>
      <w:proofErr w:type="spellStart"/>
      <w:r w:rsidRPr="005F4AAB">
        <w:t>SWAps</w:t>
      </w:r>
      <w:proofErr w:type="spellEnd"/>
      <w:r w:rsidRPr="005F4AAB">
        <w:t xml:space="preserve"> </w:t>
      </w:r>
      <w:r>
        <w:t xml:space="preserve">in </w:t>
      </w:r>
      <w:r w:rsidR="008108E8">
        <w:t xml:space="preserve">the six countries </w:t>
      </w:r>
      <w:r w:rsidR="00635DED">
        <w:t>ha</w:t>
      </w:r>
      <w:r w:rsidR="00116AC3">
        <w:t>s</w:t>
      </w:r>
      <w:r w:rsidR="00635DED">
        <w:t xml:space="preserve"> delivered reasonably against various measures of aid effectiveness</w:t>
      </w:r>
      <w:r w:rsidR="005F4AAB">
        <w:t>. F</w:t>
      </w:r>
      <w:r w:rsidR="005F4AAB" w:rsidRPr="00E840B4">
        <w:t>or example</w:t>
      </w:r>
      <w:r w:rsidR="005F4AAB">
        <w:t xml:space="preserve">, they </w:t>
      </w:r>
      <w:r w:rsidR="00635DED">
        <w:t xml:space="preserve">have been found to have </w:t>
      </w:r>
      <w:r w:rsidR="005F4AAB">
        <w:t>contributed to:</w:t>
      </w:r>
    </w:p>
    <w:p w:rsidR="005F4AAB" w:rsidRDefault="005F4AAB" w:rsidP="005F4AAB">
      <w:pPr>
        <w:pStyle w:val="Bullet"/>
      </w:pPr>
      <w:r>
        <w:t>setting up</w:t>
      </w:r>
      <w:r w:rsidRPr="00586B79">
        <w:t xml:space="preserve"> processes for </w:t>
      </w:r>
      <w:r w:rsidR="001E0E49">
        <w:t>cooperation</w:t>
      </w:r>
      <w:r w:rsidRPr="00586B79">
        <w:t xml:space="preserve"> </w:t>
      </w:r>
      <w:r>
        <w:t xml:space="preserve">among governments and donors </w:t>
      </w:r>
    </w:p>
    <w:p w:rsidR="005F4AAB" w:rsidRDefault="005F4AAB" w:rsidP="005F4AAB">
      <w:pPr>
        <w:pStyle w:val="Bullet"/>
      </w:pPr>
      <w:r>
        <w:t xml:space="preserve">increased policy dialogue (though the quality of this dialogue </w:t>
      </w:r>
      <w:r w:rsidR="008309A2">
        <w:t>was found to be</w:t>
      </w:r>
      <w:r>
        <w:t xml:space="preserve"> mixed)</w:t>
      </w:r>
    </w:p>
    <w:p w:rsidR="005F4AAB" w:rsidRDefault="005F4AAB" w:rsidP="005F4AAB">
      <w:pPr>
        <w:pStyle w:val="Bullet"/>
      </w:pPr>
      <w:r>
        <w:t xml:space="preserve">establishing common monitoring arrangements (though weaknesses remain in country information systems) </w:t>
      </w:r>
    </w:p>
    <w:p w:rsidR="005F4AAB" w:rsidRDefault="005F4AAB" w:rsidP="005F4AAB">
      <w:pPr>
        <w:pStyle w:val="Bullet"/>
      </w:pPr>
      <w:r>
        <w:t xml:space="preserve">better alignment of aid objectives with country health sector priorities (though alignment of </w:t>
      </w:r>
      <w:r w:rsidR="008C1373">
        <w:t>f</w:t>
      </w:r>
      <w:r w:rsidR="00530E14">
        <w:t>unding</w:t>
      </w:r>
      <w:r w:rsidR="0098385C">
        <w:t xml:space="preserve"> with country level funding priorities</w:t>
      </w:r>
      <w:r>
        <w:t xml:space="preserve"> remains less clear except where there are pooled funds for a health plan or program of work)</w:t>
      </w:r>
    </w:p>
    <w:p w:rsidR="005F4AAB" w:rsidRDefault="005F4AAB" w:rsidP="005F4AAB">
      <w:pPr>
        <w:pStyle w:val="BulletLast"/>
      </w:pPr>
      <w:proofErr w:type="gramStart"/>
      <w:r>
        <w:t>s</w:t>
      </w:r>
      <w:r w:rsidRPr="00586B79">
        <w:t>tronger</w:t>
      </w:r>
      <w:proofErr w:type="gramEnd"/>
      <w:r w:rsidRPr="00586B79">
        <w:t xml:space="preserve"> country</w:t>
      </w:r>
      <w:r>
        <w:t xml:space="preserve"> ownership, with many processes increasingly</w:t>
      </w:r>
      <w:r w:rsidR="008309A2">
        <w:t xml:space="preserve"> being</w:t>
      </w:r>
      <w:r w:rsidRPr="00586B79">
        <w:t xml:space="preserve"> country-led</w:t>
      </w:r>
      <w:r>
        <w:t>.</w:t>
      </w:r>
    </w:p>
    <w:p w:rsidR="005F4AAB" w:rsidRDefault="005F4AAB" w:rsidP="005F4AAB">
      <w:r>
        <w:t xml:space="preserve">Based on these findings, </w:t>
      </w:r>
      <w:r w:rsidR="00635DED">
        <w:t xml:space="preserve">it appears </w:t>
      </w:r>
      <w:r>
        <w:t>that t</w:t>
      </w:r>
      <w:r w:rsidRPr="001D2EF0">
        <w:t xml:space="preserve">he theory of change and principles underpinning </w:t>
      </w:r>
      <w:proofErr w:type="spellStart"/>
      <w:r w:rsidRPr="001D2EF0">
        <w:t>SWAps</w:t>
      </w:r>
      <w:proofErr w:type="spellEnd"/>
      <w:r w:rsidRPr="001D2EF0">
        <w:t xml:space="preserve"> </w:t>
      </w:r>
      <w:r>
        <w:t xml:space="preserve">remain </w:t>
      </w:r>
      <w:r w:rsidRPr="001D2EF0">
        <w:t xml:space="preserve">consistent with </w:t>
      </w:r>
      <w:r>
        <w:t xml:space="preserve">the principles of </w:t>
      </w:r>
      <w:r w:rsidRPr="001D2EF0">
        <w:t xml:space="preserve">aid </w:t>
      </w:r>
      <w:r>
        <w:t xml:space="preserve">effectiveness </w:t>
      </w:r>
      <w:r w:rsidRPr="001D2EF0">
        <w:t>and</w:t>
      </w:r>
      <w:r w:rsidR="00E52173">
        <w:t xml:space="preserve"> </w:t>
      </w:r>
      <w:r w:rsidR="001E0E49">
        <w:t xml:space="preserve">are </w:t>
      </w:r>
      <w:r w:rsidRPr="001D2EF0">
        <w:t>highly relevant.</w:t>
      </w:r>
    </w:p>
    <w:p w:rsidR="005F4AAB" w:rsidRPr="00834D49" w:rsidRDefault="00836190" w:rsidP="005F4AAB">
      <w:pPr>
        <w:pStyle w:val="Heading3"/>
      </w:pPr>
      <w:r w:rsidRPr="00834D49">
        <w:t xml:space="preserve">Did </w:t>
      </w:r>
      <w:proofErr w:type="spellStart"/>
      <w:r w:rsidRPr="00834D49">
        <w:t>SWAps</w:t>
      </w:r>
      <w:proofErr w:type="spellEnd"/>
      <w:r w:rsidRPr="00834D49">
        <w:t xml:space="preserve"> increase the u</w:t>
      </w:r>
      <w:r w:rsidR="005F4AAB" w:rsidRPr="00834D49">
        <w:t>se of gov</w:t>
      </w:r>
      <w:r w:rsidRPr="00834D49">
        <w:t>ernment</w:t>
      </w:r>
      <w:r w:rsidR="005F4AAB" w:rsidRPr="00834D49">
        <w:t xml:space="preserve"> systems</w:t>
      </w:r>
      <w:r w:rsidRPr="00834D49">
        <w:t>?</w:t>
      </w:r>
    </w:p>
    <w:p w:rsidR="001772F3" w:rsidRDefault="00E87BE9" w:rsidP="005F4AAB">
      <w:r>
        <w:t xml:space="preserve">One of the objectives </w:t>
      </w:r>
      <w:r w:rsidR="00F236FC">
        <w:t xml:space="preserve">of health </w:t>
      </w:r>
      <w:proofErr w:type="spellStart"/>
      <w:r w:rsidR="00F236FC">
        <w:t>SWAps</w:t>
      </w:r>
      <w:proofErr w:type="spellEnd"/>
      <w:r w:rsidR="00F236FC">
        <w:t xml:space="preserve"> </w:t>
      </w:r>
      <w:r>
        <w:t xml:space="preserve">and a key principle underpinning the aid effectiveness literature is that health </w:t>
      </w:r>
      <w:proofErr w:type="spellStart"/>
      <w:r>
        <w:t>SWAps</w:t>
      </w:r>
      <w:proofErr w:type="spellEnd"/>
      <w:r>
        <w:t xml:space="preserve"> should lead towards </w:t>
      </w:r>
      <w:r w:rsidR="00EE52E8">
        <w:t xml:space="preserve">an </w:t>
      </w:r>
      <w:r w:rsidR="00116AC3">
        <w:t>increased use of government systems</w:t>
      </w:r>
      <w:r>
        <w:t xml:space="preserve"> by development partners.  </w:t>
      </w:r>
      <w:r w:rsidR="00836190">
        <w:t xml:space="preserve">It has been challenging </w:t>
      </w:r>
      <w:r>
        <w:t xml:space="preserve">to assess whether there is evidence supporting such </w:t>
      </w:r>
      <w:r w:rsidR="00D24D7E">
        <w:t xml:space="preserve">a </w:t>
      </w:r>
      <w:r>
        <w:t xml:space="preserve">claim in the six countries covered in this review.  The picture is mixed and the evidence inconclusive, in part because the use of government systems is often a long term objective that is not always translated into </w:t>
      </w:r>
      <w:r w:rsidR="00C04C4C">
        <w:t>intermediate</w:t>
      </w:r>
      <w:r w:rsidR="00F236FC">
        <w:t xml:space="preserve"> </w:t>
      </w:r>
      <w:r>
        <w:t xml:space="preserve">indicators, and in part because the six countries </w:t>
      </w:r>
      <w:r w:rsidR="00F236FC">
        <w:t xml:space="preserve">are at different stages of development regarding whether their public finance management systems are robust enough to guarantee minimum levels of accountability on the use of external aid.  Finally, there are many types of government systems linked to planning, budgeting, procurement of goods and services and so forth, so it is not possible to summarise the situation without </w:t>
      </w:r>
      <w:r w:rsidR="00C04C4C">
        <w:t>oversimplifying</w:t>
      </w:r>
      <w:r w:rsidR="00F236FC">
        <w:t xml:space="preserve"> complex </w:t>
      </w:r>
      <w:r w:rsidR="001772F3">
        <w:t xml:space="preserve">country-level </w:t>
      </w:r>
      <w:r w:rsidR="00F236FC">
        <w:t xml:space="preserve">realities. </w:t>
      </w:r>
    </w:p>
    <w:p w:rsidR="005F4AAB" w:rsidRDefault="001772F3" w:rsidP="005F4AAB">
      <w:r>
        <w:t xml:space="preserve">The overall picture suggests that while </w:t>
      </w:r>
      <w:r w:rsidR="00C04C4C">
        <w:t xml:space="preserve">use of government systems cannot be directly attributed to </w:t>
      </w:r>
      <w:proofErr w:type="spellStart"/>
      <w:r>
        <w:t>SWAps</w:t>
      </w:r>
      <w:proofErr w:type="spellEnd"/>
      <w:r w:rsidR="00C04C4C">
        <w:t>, they</w:t>
      </w:r>
      <w:r>
        <w:t xml:space="preserve"> often acted as an enabling environment in some countries.  Another important finding is that the use of pool</w:t>
      </w:r>
      <w:r w:rsidR="00574AEC">
        <w:t>ed</w:t>
      </w:r>
      <w:r>
        <w:t xml:space="preserve"> funds –a common funding modality in most of the health </w:t>
      </w:r>
      <w:proofErr w:type="spellStart"/>
      <w:r>
        <w:t>SWAps</w:t>
      </w:r>
      <w:proofErr w:type="spellEnd"/>
      <w:r>
        <w:t xml:space="preserve"> covered in this review-  did not necessarily imply the use of government systems, as some pool funds used parallel structures for p</w:t>
      </w:r>
      <w:r w:rsidR="00574AEC">
        <w:t xml:space="preserve">lanning, spending or accounting.  </w:t>
      </w:r>
      <w:r>
        <w:t>The following snapshots summarise what this evidence review was able to document:</w:t>
      </w:r>
    </w:p>
    <w:p w:rsidR="005F4AAB" w:rsidRDefault="00AF3C88" w:rsidP="00AF3C88">
      <w:pPr>
        <w:pStyle w:val="Bullet"/>
      </w:pPr>
      <w:r>
        <w:t xml:space="preserve">Three out of five pooled funds (Bangladesh, Nepal and Samoa) supported the government program financially, and only two (Bangladesh and Nepal) used government systems for financial accounting and reporting. </w:t>
      </w:r>
      <w:r w:rsidR="005A4230">
        <w:t xml:space="preserve"> </w:t>
      </w:r>
    </w:p>
    <w:p w:rsidR="00AF3C88" w:rsidRDefault="00AF3C88" w:rsidP="0029335F">
      <w:pPr>
        <w:pStyle w:val="Bullet"/>
      </w:pPr>
      <w:r>
        <w:t xml:space="preserve">In Cambodia and Papua New Guinea </w:t>
      </w:r>
      <w:r w:rsidR="00C04C4C">
        <w:t>a</w:t>
      </w:r>
      <w:r w:rsidR="003110A0">
        <w:t xml:space="preserve"> </w:t>
      </w:r>
      <w:r w:rsidR="0018544D">
        <w:t>program</w:t>
      </w:r>
      <w:r w:rsidR="003110A0">
        <w:t xml:space="preserve"> </w:t>
      </w:r>
      <w:r w:rsidR="00C04C4C">
        <w:t xml:space="preserve">managed </w:t>
      </w:r>
      <w:r w:rsidR="0018544D">
        <w:t xml:space="preserve">by </w:t>
      </w:r>
      <w:r w:rsidR="002C1A6B">
        <w:t>a Project Management Unit</w:t>
      </w:r>
      <w:r w:rsidR="0018544D">
        <w:t xml:space="preserve"> </w:t>
      </w:r>
      <w:r w:rsidR="002C1A6B">
        <w:t xml:space="preserve">co-managed by the government and one or more donors- </w:t>
      </w:r>
      <w:r w:rsidR="0018544D">
        <w:t>was</w:t>
      </w:r>
      <w:r w:rsidR="00C04C4C">
        <w:t xml:space="preserve"> supported by </w:t>
      </w:r>
      <w:r>
        <w:t>pooled funds</w:t>
      </w:r>
      <w:r w:rsidR="0018544D">
        <w:t>.</w:t>
      </w:r>
      <w:r>
        <w:t xml:space="preserve"> </w:t>
      </w:r>
      <w:r w:rsidR="0018544D">
        <w:t xml:space="preserve">It </w:t>
      </w:r>
      <w:r w:rsidR="00C04C4C">
        <w:t xml:space="preserve">used </w:t>
      </w:r>
      <w:r>
        <w:t xml:space="preserve">separate accounting and financial management procedures, not the government’s. </w:t>
      </w:r>
      <w:r w:rsidR="0029335F">
        <w:t xml:space="preserve"> A</w:t>
      </w:r>
      <w:r w:rsidR="0029335F" w:rsidRPr="0029335F">
        <w:t xml:space="preserve">ccording to DFAT sources, </w:t>
      </w:r>
      <w:r w:rsidR="0029335F">
        <w:t>t</w:t>
      </w:r>
      <w:r w:rsidR="0029335F" w:rsidRPr="0029335F">
        <w:t>he situation in P</w:t>
      </w:r>
      <w:r w:rsidR="0029335F">
        <w:t xml:space="preserve">apua New Guinea </w:t>
      </w:r>
      <w:r w:rsidR="0029335F" w:rsidRPr="0029335F">
        <w:t xml:space="preserve">has changed </w:t>
      </w:r>
      <w:r w:rsidR="0029335F">
        <w:t xml:space="preserve">since 2013 </w:t>
      </w:r>
      <w:r w:rsidR="0029335F" w:rsidRPr="0029335F">
        <w:t>and</w:t>
      </w:r>
      <w:r w:rsidR="0029335F">
        <w:t xml:space="preserve"> </w:t>
      </w:r>
      <w:r w:rsidR="0029335F" w:rsidRPr="0029335F">
        <w:t>Australia’s pooled funding now supports the government’s program</w:t>
      </w:r>
      <w:r w:rsidR="0029335F">
        <w:t xml:space="preserve"> and uses government systems for accounting and reporting – there is not a separate project management unit in place anymore.</w:t>
      </w:r>
    </w:p>
    <w:p w:rsidR="005F4AAB" w:rsidRDefault="005F4AAB" w:rsidP="00AF3C88">
      <w:pPr>
        <w:pStyle w:val="Bullet"/>
      </w:pPr>
      <w:r w:rsidRPr="005F4AAB">
        <w:lastRenderedPageBreak/>
        <w:t>Sector budget support</w:t>
      </w:r>
      <w:r>
        <w:t xml:space="preserve"> was found in only one country (Solomon Islands), where only the Australian aid program provided un-earmarked funds (as well as earmarked funds, along with other donors). Earmarked sector budget support is an unusual approach, little discussed in the literature, which may warrant further study. </w:t>
      </w:r>
    </w:p>
    <w:p w:rsidR="005A4230" w:rsidRDefault="00AF3C88" w:rsidP="005A4230">
      <w:pPr>
        <w:pStyle w:val="Bullet"/>
      </w:pPr>
      <w:r>
        <w:t>Only one country (Samoa) exclusively</w:t>
      </w:r>
      <w:r w:rsidR="00732467">
        <w:t xml:space="preserve"> used </w:t>
      </w:r>
      <w:r>
        <w:t>government systems for</w:t>
      </w:r>
      <w:r w:rsidRPr="00AF3C88">
        <w:rPr>
          <w:b/>
        </w:rPr>
        <w:t xml:space="preserve"> </w:t>
      </w:r>
      <w:r w:rsidRPr="005F4AAB">
        <w:t xml:space="preserve">procurement </w:t>
      </w:r>
      <w:r>
        <w:t xml:space="preserve">of goods. In two others (Solomon Islands and Nepal) government and donor procurement were used. </w:t>
      </w:r>
    </w:p>
    <w:p w:rsidR="005A4230" w:rsidRDefault="005A4230" w:rsidP="005A4230">
      <w:pPr>
        <w:pStyle w:val="BulletLast"/>
      </w:pPr>
      <w:r w:rsidRPr="005F4AAB">
        <w:t>Technical assistance</w:t>
      </w:r>
      <w:r>
        <w:t xml:space="preserve"> was procured directly by donors in all countries. </w:t>
      </w:r>
    </w:p>
    <w:p w:rsidR="000D7681" w:rsidRDefault="00B54E38" w:rsidP="00AF3C88">
      <w:pPr>
        <w:pStyle w:val="Bullet"/>
        <w:numPr>
          <w:ilvl w:val="0"/>
          <w:numId w:val="0"/>
        </w:numPr>
      </w:pPr>
      <w:r>
        <w:t xml:space="preserve">Some of the findings above may not apply </w:t>
      </w:r>
      <w:r w:rsidR="000A0AF0">
        <w:t>anymore</w:t>
      </w:r>
      <w:r>
        <w:t>, particularly in Pacific countries like the Solomon Islands and Papua New Guinea where</w:t>
      </w:r>
      <w:r w:rsidR="000D7681">
        <w:t xml:space="preserve"> increased use of governmen</w:t>
      </w:r>
      <w:r w:rsidR="006408E4">
        <w:t>t systems seems to be the trend</w:t>
      </w:r>
      <w:r w:rsidR="00574AEC">
        <w:t>.</w:t>
      </w:r>
      <w:r w:rsidR="006408E4">
        <w:t xml:space="preserve">  </w:t>
      </w:r>
    </w:p>
    <w:p w:rsidR="005F4AAB" w:rsidRDefault="000D7681" w:rsidP="00AF3C88">
      <w:pPr>
        <w:pStyle w:val="Bullet"/>
        <w:numPr>
          <w:ilvl w:val="0"/>
          <w:numId w:val="0"/>
        </w:numPr>
      </w:pPr>
      <w:r>
        <w:t>Finally, the available literature did not permit the reviewers to assess whether decisions by development partners</w:t>
      </w:r>
      <w:r w:rsidR="00BF3BE1">
        <w:t xml:space="preserve"> (</w:t>
      </w:r>
      <w:r>
        <w:t>including the A</w:t>
      </w:r>
      <w:r w:rsidR="00BF3BE1">
        <w:t>us</w:t>
      </w:r>
      <w:r>
        <w:t>tralian aid program</w:t>
      </w:r>
      <w:r w:rsidR="00BF3BE1">
        <w:t xml:space="preserve">) </w:t>
      </w:r>
      <w:r w:rsidR="006408E4">
        <w:t xml:space="preserve">on the adoption of government systems </w:t>
      </w:r>
      <w:r>
        <w:t>were always guid</w:t>
      </w:r>
      <w:r w:rsidR="00BF3BE1">
        <w:t>ed by public finance management</w:t>
      </w:r>
      <w:r>
        <w:t xml:space="preserve"> or fiduciary</w:t>
      </w:r>
      <w:r w:rsidR="00BF3BE1">
        <w:t xml:space="preserve"> risk</w:t>
      </w:r>
      <w:r>
        <w:t xml:space="preserve"> considerations</w:t>
      </w:r>
      <w:r w:rsidR="00BF3BE1">
        <w:t>. This was probably a reflection of the methodology used in this evidence review, which relied solely on documentation and did not allow for more in depth assessments with key informants at country level.</w:t>
      </w:r>
      <w:r w:rsidR="000A0AF0">
        <w:t xml:space="preserve"> I</w:t>
      </w:r>
      <w:r w:rsidR="00BF3BE1">
        <w:t>n depth, country</w:t>
      </w:r>
      <w:r w:rsidR="000A0AF0">
        <w:t xml:space="preserve"> level</w:t>
      </w:r>
      <w:r w:rsidR="00BF3BE1">
        <w:t xml:space="preserve"> assessments </w:t>
      </w:r>
      <w:r w:rsidR="000A0AF0">
        <w:t xml:space="preserve">might </w:t>
      </w:r>
      <w:r w:rsidR="00BF3BE1">
        <w:t>have helped</w:t>
      </w:r>
      <w:r w:rsidR="000A0AF0">
        <w:t xml:space="preserve"> </w:t>
      </w:r>
      <w:r w:rsidR="00BF3BE1">
        <w:t>explain why</w:t>
      </w:r>
      <w:r w:rsidR="000A0AF0">
        <w:t xml:space="preserve">, for example, </w:t>
      </w:r>
      <w:r w:rsidR="00BF3BE1">
        <w:t xml:space="preserve">different donors integrated in the </w:t>
      </w:r>
      <w:r w:rsidR="000A0AF0">
        <w:t xml:space="preserve">same </w:t>
      </w:r>
      <w:proofErr w:type="spellStart"/>
      <w:r w:rsidR="00BF3BE1">
        <w:t>SWAp</w:t>
      </w:r>
      <w:proofErr w:type="spellEnd"/>
      <w:r w:rsidR="00BF3BE1">
        <w:t xml:space="preserve"> structure took very different positions and decisions in relation to the use of government systems</w:t>
      </w:r>
      <w:r w:rsidR="000A0AF0">
        <w:t>. Likewise, the</w:t>
      </w:r>
      <w:r w:rsidR="00B54E38">
        <w:t xml:space="preserve"> </w:t>
      </w:r>
      <w:r w:rsidR="000A0AF0">
        <w:t xml:space="preserve">often quoted </w:t>
      </w:r>
      <w:r w:rsidR="00B54E38">
        <w:t xml:space="preserve">justification for not using government systems </w:t>
      </w:r>
      <w:r w:rsidR="00574AEC">
        <w:t>-</w:t>
      </w:r>
      <w:r w:rsidR="00B54E38">
        <w:t>that the</w:t>
      </w:r>
      <w:r w:rsidR="000A0AF0">
        <w:t>se</w:t>
      </w:r>
      <w:r w:rsidR="00B54E38">
        <w:t xml:space="preserve"> are weak or risky, or that other agencies can procure better </w:t>
      </w:r>
      <w:r w:rsidR="00574AEC">
        <w:t xml:space="preserve">and </w:t>
      </w:r>
      <w:r w:rsidR="00B54E38">
        <w:t>with less fiduciary risks</w:t>
      </w:r>
      <w:proofErr w:type="gramStart"/>
      <w:r w:rsidR="00574AEC">
        <w:t xml:space="preserve">- </w:t>
      </w:r>
      <w:r w:rsidR="000A0AF0">
        <w:t xml:space="preserve"> could</w:t>
      </w:r>
      <w:proofErr w:type="gramEnd"/>
      <w:r w:rsidR="000A0AF0">
        <w:t xml:space="preserve"> not be substantiated by the evidence found in available evaluations and reviews.  </w:t>
      </w:r>
    </w:p>
    <w:p w:rsidR="005D71A9" w:rsidRDefault="005D71A9" w:rsidP="005D71A9">
      <w:pPr>
        <w:pStyle w:val="Heading3"/>
      </w:pPr>
      <w:r>
        <w:t>Gender focus</w:t>
      </w:r>
    </w:p>
    <w:p w:rsidR="005D71A9" w:rsidRDefault="005D71A9" w:rsidP="005D71A9">
      <w:r>
        <w:t xml:space="preserve">We also looked at whether country and Australian aid program documents had a gender </w:t>
      </w:r>
      <w:r w:rsidR="00D24D7E">
        <w:t xml:space="preserve">equality </w:t>
      </w:r>
      <w:r>
        <w:t xml:space="preserve">focus. </w:t>
      </w:r>
      <w:r w:rsidRPr="005F4AAB">
        <w:t>A clear focus on gender</w:t>
      </w:r>
      <w:r>
        <w:t xml:space="preserve"> was apparent </w:t>
      </w:r>
      <w:r w:rsidRPr="00F8573C">
        <w:t xml:space="preserve">in the national health plans or </w:t>
      </w:r>
      <w:proofErr w:type="spellStart"/>
      <w:r w:rsidRPr="00F8573C">
        <w:t>SWAp</w:t>
      </w:r>
      <w:proofErr w:type="spellEnd"/>
      <w:r w:rsidRPr="00F8573C">
        <w:t xml:space="preserve"> arrangements of Bangladesh, Nepal and Cambodia, </w:t>
      </w:r>
      <w:r>
        <w:t xml:space="preserve">with regular reporting on </w:t>
      </w:r>
      <w:r w:rsidRPr="00F8573C">
        <w:t>progress</w:t>
      </w:r>
      <w:r>
        <w:t xml:space="preserve"> (</w:t>
      </w:r>
      <w:r w:rsidRPr="00F8573C">
        <w:t>although some</w:t>
      </w:r>
      <w:r>
        <w:t xml:space="preserve">times </w:t>
      </w:r>
      <w:r w:rsidRPr="00F8573C">
        <w:t>incomplete</w:t>
      </w:r>
      <w:r>
        <w:t>)</w:t>
      </w:r>
      <w:r w:rsidRPr="00F8573C">
        <w:t xml:space="preserve">. </w:t>
      </w:r>
      <w:r>
        <w:t xml:space="preserve">For the other countries we found limited </w:t>
      </w:r>
      <w:r w:rsidR="006408E4">
        <w:t>reference and/or inconsistent reporting on gender issues</w:t>
      </w:r>
      <w:r w:rsidRPr="00F8573C">
        <w:t xml:space="preserve"> </w:t>
      </w:r>
      <w:r>
        <w:t>in the documents reviewed. R</w:t>
      </w:r>
      <w:r w:rsidRPr="00F8573C">
        <w:t xml:space="preserve">eporting on </w:t>
      </w:r>
      <w:r w:rsidRPr="005F4AAB">
        <w:t>gender</w:t>
      </w:r>
      <w:r>
        <w:t xml:space="preserve"> </w:t>
      </w:r>
      <w:r w:rsidRPr="00F8573C">
        <w:t>progress within the Australian aid program was</w:t>
      </w:r>
      <w:r>
        <w:t xml:space="preserve"> somewhat </w:t>
      </w:r>
      <w:r w:rsidRPr="00F8573C">
        <w:t>limited and uneven.</w:t>
      </w:r>
    </w:p>
    <w:bookmarkStart w:id="4" w:name="_Toc403403677"/>
    <w:bookmarkStart w:id="5" w:name="_Toc394224868"/>
    <w:p w:rsidR="00FA3775" w:rsidRDefault="00FA3775" w:rsidP="00FA3775">
      <w:pPr>
        <w:pStyle w:val="Heading1"/>
      </w:pPr>
      <w:r>
        <w:rPr>
          <w:noProof/>
        </w:rPr>
        <w:lastRenderedPageBreak/>
        <mc:AlternateContent>
          <mc:Choice Requires="wps">
            <w:drawing>
              <wp:anchor distT="0" distB="0" distL="114300" distR="114300" simplePos="0" relativeHeight="251702272" behindDoc="1" locked="0" layoutInCell="1" allowOverlap="1" wp14:anchorId="6B193BC5" wp14:editId="4216F0A6">
                <wp:simplePos x="0" y="771525"/>
                <wp:positionH relativeFrom="page">
                  <wp:align>left</wp:align>
                </wp:positionH>
                <wp:positionV relativeFrom="paragraph">
                  <wp:posOffset>-142875</wp:posOffset>
                </wp:positionV>
                <wp:extent cx="7610475" cy="1468800"/>
                <wp:effectExtent l="0" t="0" r="9525" b="0"/>
                <wp:wrapNone/>
                <wp:docPr id="11" name="Rectangle 11"/>
                <wp:cNvGraphicFramePr/>
                <a:graphic xmlns:a="http://schemas.openxmlformats.org/drawingml/2006/main">
                  <a:graphicData uri="http://schemas.microsoft.com/office/word/2010/wordprocessingShape">
                    <wps:wsp>
                      <wps:cNvSpPr/>
                      <wps:spPr>
                        <a:xfrm>
                          <a:off x="0" y="0"/>
                          <a:ext cx="7610475"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0;margin-top:-11.25pt;width:599.25pt;height:115.65pt;z-index:-2516142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" fillcolor="#124486" stroked="f" strokeweight="2pt">
                <w10:wrap anchorx="page"/>
              </v:rect>
            </w:pict>
          </mc:Fallback>
        </mc:AlternateContent>
      </w:r>
      <w:r w:rsidR="00E51429">
        <w:t>1</w:t>
      </w:r>
      <w:r>
        <w:tab/>
      </w:r>
      <w:r w:rsidR="00E51429">
        <w:t>Introduction</w:t>
      </w:r>
      <w:r w:rsidRPr="004E3C43">
        <w:rPr>
          <w:noProof/>
        </w:rPr>
        <w:t xml:space="preserve"> </w:t>
      </w:r>
      <w:r w:rsidR="00A268C5">
        <w:rPr>
          <w:noProof/>
        </w:rPr>
        <w:t xml:space="preserve">and findings </w:t>
      </w:r>
      <w:r w:rsidR="000429F1">
        <w:rPr>
          <w:noProof/>
        </w:rPr>
        <w:t>on</w:t>
      </w:r>
      <w:r w:rsidR="00A268C5">
        <w:rPr>
          <w:noProof/>
        </w:rPr>
        <w:t xml:space="preserve"> the available evidence</w:t>
      </w:r>
      <w:bookmarkEnd w:id="4"/>
    </w:p>
    <w:p w:rsidR="00A3613E" w:rsidRDefault="00095D5B" w:rsidP="00E51429">
      <w:r>
        <w:t>I</w:t>
      </w:r>
      <w:r w:rsidRPr="00C344E8">
        <w:t xml:space="preserve">n recent years </w:t>
      </w:r>
      <w:r>
        <w:t>t</w:t>
      </w:r>
      <w:r w:rsidRPr="00C344E8">
        <w:t xml:space="preserve">he Australian aid program has increased the use of </w:t>
      </w:r>
      <w:r w:rsidRPr="00487D77">
        <w:t xml:space="preserve">sector wide approaches </w:t>
      </w:r>
      <w:r>
        <w:t>(</w:t>
      </w:r>
      <w:proofErr w:type="spellStart"/>
      <w:r w:rsidRPr="00C344E8">
        <w:t>SWAps</w:t>
      </w:r>
      <w:proofErr w:type="spellEnd"/>
      <w:r>
        <w:t>)</w:t>
      </w:r>
      <w:r w:rsidR="00344E75">
        <w:rPr>
          <w:rStyle w:val="FootnoteReference"/>
        </w:rPr>
        <w:footnoteReference w:id="1"/>
      </w:r>
      <w:r w:rsidRPr="00C344E8">
        <w:t xml:space="preserve"> and allocated a small but not insignificant portion of funding through </w:t>
      </w:r>
      <w:r>
        <w:t xml:space="preserve">sector budget support </w:t>
      </w:r>
      <w:r w:rsidRPr="00C344E8">
        <w:t>and partner government systems</w:t>
      </w:r>
      <w:r>
        <w:t>.</w:t>
      </w:r>
      <w:r w:rsidR="00A3613E">
        <w:t xml:space="preserve"> </w:t>
      </w:r>
    </w:p>
    <w:p w:rsidR="00E51429" w:rsidRDefault="00A3613E" w:rsidP="00E51429">
      <w:r>
        <w:t xml:space="preserve">However there </w:t>
      </w:r>
      <w:r w:rsidRPr="00B971D4">
        <w:t>seems to be limited analysis or evidence</w:t>
      </w:r>
      <w:r>
        <w:t xml:space="preserve"> of their effectiveness. </w:t>
      </w:r>
      <w:r w:rsidR="00487D77" w:rsidRPr="00487D77">
        <w:t xml:space="preserve">This study reviews the available evidence on the use and effectiveness of </w:t>
      </w:r>
      <w:r w:rsidR="00095D5B">
        <w:t xml:space="preserve">these approaches and instruments </w:t>
      </w:r>
      <w:r w:rsidR="00487D77" w:rsidRPr="00487D77">
        <w:t>in strengthening the health sector</w:t>
      </w:r>
      <w:r w:rsidR="00095D5B">
        <w:t>, with a focus</w:t>
      </w:r>
      <w:r w:rsidR="00487D77">
        <w:t xml:space="preserve"> on</w:t>
      </w:r>
      <w:r w:rsidR="00487D77" w:rsidRPr="00487D77">
        <w:t xml:space="preserve"> six countries </w:t>
      </w:r>
      <w:r w:rsidR="00487D77">
        <w:t xml:space="preserve">in </w:t>
      </w:r>
      <w:r w:rsidR="00487D77" w:rsidRPr="00487D77">
        <w:t>the Asia</w:t>
      </w:r>
      <w:r w:rsidR="00487D77">
        <w:t xml:space="preserve"> </w:t>
      </w:r>
      <w:r w:rsidR="00487D77" w:rsidRPr="00487D77">
        <w:t>Pacific region</w:t>
      </w:r>
      <w:r w:rsidR="005F4AAB">
        <w:t xml:space="preserve"> where the Australian aid program </w:t>
      </w:r>
      <w:r w:rsidR="00E52173">
        <w:t>has</w:t>
      </w:r>
      <w:r w:rsidR="00DB6571">
        <w:t xml:space="preserve"> supported these </w:t>
      </w:r>
      <w:r w:rsidR="00E52173">
        <w:t xml:space="preserve">approaches </w:t>
      </w:r>
      <w:r w:rsidR="007D0803">
        <w:t>and/</w:t>
      </w:r>
      <w:r w:rsidR="00DB6571">
        <w:t>or instruments</w:t>
      </w:r>
      <w:r w:rsidR="00487D77">
        <w:rPr>
          <w:rFonts w:ascii="Corbel" w:hAnsi="Corbel"/>
        </w:rPr>
        <w:t>—</w:t>
      </w:r>
      <w:r w:rsidR="00487D77" w:rsidRPr="00487D77">
        <w:t xml:space="preserve">Bangladesh, Cambodia, Nepal, </w:t>
      </w:r>
      <w:r w:rsidR="00DF1DD1">
        <w:t>Papua New Guinea</w:t>
      </w:r>
      <w:r w:rsidR="00487D77" w:rsidRPr="00487D77">
        <w:t xml:space="preserve">, Samoa, </w:t>
      </w:r>
      <w:r w:rsidR="00487D77">
        <w:t>and Solomo</w:t>
      </w:r>
      <w:r w:rsidR="00487D77" w:rsidRPr="00487D77">
        <w:t>n Islands</w:t>
      </w:r>
      <w:r w:rsidR="00487D77">
        <w:t xml:space="preserve">. </w:t>
      </w:r>
    </w:p>
    <w:p w:rsidR="00BC3FB6" w:rsidRPr="004474CB" w:rsidRDefault="00E33C6F" w:rsidP="00BC3FB6">
      <w:r>
        <w:t xml:space="preserve">The report starts by </w:t>
      </w:r>
      <w:r w:rsidR="004474CB">
        <w:t>discussing the methodology</w:t>
      </w:r>
      <w:r w:rsidR="00BC3FB6">
        <w:t>, analytical tool</w:t>
      </w:r>
      <w:r w:rsidR="004474CB">
        <w:t xml:space="preserve"> and measurement issues </w:t>
      </w:r>
      <w:r>
        <w:t xml:space="preserve">encountered </w:t>
      </w:r>
      <w:r w:rsidR="004474CB">
        <w:t>(Section 1)</w:t>
      </w:r>
      <w:r>
        <w:t xml:space="preserve">. It then looks at </w:t>
      </w:r>
      <w:r w:rsidRPr="00A80113">
        <w:t xml:space="preserve">how and </w:t>
      </w:r>
      <w:r w:rsidR="00B67242">
        <w:t>why the Australian aid program</w:t>
      </w:r>
      <w:r w:rsidRPr="00A80113">
        <w:t xml:space="preserve"> has used </w:t>
      </w:r>
      <w:proofErr w:type="spellStart"/>
      <w:r w:rsidRPr="00A80113">
        <w:t>SWAps</w:t>
      </w:r>
      <w:proofErr w:type="spellEnd"/>
      <w:r w:rsidRPr="00A80113">
        <w:t xml:space="preserve">, </w:t>
      </w:r>
      <w:r>
        <w:t xml:space="preserve">sector budget support </w:t>
      </w:r>
      <w:r w:rsidRPr="00A80113">
        <w:t>and government systems in the countries under review</w:t>
      </w:r>
      <w:r>
        <w:t xml:space="preserve"> (Section 2). The synthesis of evidence on</w:t>
      </w:r>
      <w:r w:rsidR="00E52173">
        <w:t xml:space="preserve"> the effectiveness of </w:t>
      </w:r>
      <w:proofErr w:type="spellStart"/>
      <w:r>
        <w:t>SWAps</w:t>
      </w:r>
      <w:proofErr w:type="spellEnd"/>
      <w:r>
        <w:t xml:space="preserve"> and use of country government systems follows in Section 3, and is supported by in-depth analysis included a</w:t>
      </w:r>
      <w:r w:rsidR="00A724E9">
        <w:t>t</w:t>
      </w:r>
      <w:r w:rsidR="0054221D">
        <w:t xml:space="preserve"> </w:t>
      </w:r>
      <w:r>
        <w:t>Appendix</w:t>
      </w:r>
      <w:r w:rsidR="00A724E9">
        <w:t xml:space="preserve"> </w:t>
      </w:r>
      <w:r w:rsidR="0054221D">
        <w:t>3.</w:t>
      </w:r>
      <w:r>
        <w:t xml:space="preserve"> </w:t>
      </w:r>
      <w:r w:rsidR="00BC3FB6">
        <w:t xml:space="preserve">The report concludes with a summary of findings on </w:t>
      </w:r>
      <w:r w:rsidR="002C1A6B">
        <w:t xml:space="preserve">whether </w:t>
      </w:r>
      <w:proofErr w:type="spellStart"/>
      <w:r w:rsidR="002C1A6B">
        <w:t>SWAps</w:t>
      </w:r>
      <w:proofErr w:type="spellEnd"/>
      <w:r w:rsidR="002C1A6B">
        <w:t xml:space="preserve"> </w:t>
      </w:r>
      <w:r w:rsidR="00D910CA">
        <w:t xml:space="preserve">increased the attention of the government and its partners on </w:t>
      </w:r>
      <w:r w:rsidR="00BC3FB6">
        <w:t xml:space="preserve">gender </w:t>
      </w:r>
      <w:r w:rsidR="00D910CA">
        <w:t xml:space="preserve">equity and equality in accordance with the aid policies of the Australian government. </w:t>
      </w:r>
      <w:r w:rsidR="00BC3FB6">
        <w:t xml:space="preserve"> </w:t>
      </w:r>
    </w:p>
    <w:p w:rsidR="0088667E" w:rsidRDefault="00CB68F3" w:rsidP="0088667E">
      <w:pPr>
        <w:pStyle w:val="Heading2"/>
      </w:pPr>
      <w:bookmarkStart w:id="6" w:name="_Toc403403678"/>
      <w:r>
        <w:t>1</w:t>
      </w:r>
      <w:r w:rsidR="003931F6">
        <w:t>.1</w:t>
      </w:r>
      <w:r w:rsidR="003931F6">
        <w:tab/>
      </w:r>
      <w:r w:rsidR="00BC3FB6">
        <w:t>Background</w:t>
      </w:r>
      <w:bookmarkEnd w:id="5"/>
      <w:bookmarkEnd w:id="6"/>
    </w:p>
    <w:p w:rsidR="00095D5B" w:rsidRPr="00095D5B" w:rsidRDefault="00D3514D" w:rsidP="00095D5B">
      <w:proofErr w:type="spellStart"/>
      <w:r w:rsidRPr="00095D5B">
        <w:t>SWAps</w:t>
      </w:r>
      <w:proofErr w:type="spellEnd"/>
      <w:r w:rsidRPr="00095D5B">
        <w:t xml:space="preserve"> </w:t>
      </w:r>
      <w:r>
        <w:t>have been in existence for more than 20 years. They were d</w:t>
      </w:r>
      <w:r w:rsidR="004E43E9" w:rsidRPr="00095D5B">
        <w:t>eveloped in response to widespread dissatisfaction with fragmented d</w:t>
      </w:r>
      <w:r w:rsidR="004E43E9">
        <w:t>onor</w:t>
      </w:r>
      <w:r w:rsidR="004E43E9" w:rsidRPr="00095D5B">
        <w:t>-funded projects and overly prescriptive assistance</w:t>
      </w:r>
      <w:r w:rsidR="00A70D9B">
        <w:t xml:space="preserve">. </w:t>
      </w:r>
      <w:r w:rsidR="004E43E9">
        <w:t xml:space="preserve">There are various </w:t>
      </w:r>
      <w:r w:rsidR="00095D5B" w:rsidRPr="00095D5B">
        <w:t>definitions and interpretations</w:t>
      </w:r>
      <w:r w:rsidR="004E43E9">
        <w:t xml:space="preserve"> of </w:t>
      </w:r>
      <w:proofErr w:type="spellStart"/>
      <w:r w:rsidR="004E43E9">
        <w:t>SWAps</w:t>
      </w:r>
      <w:proofErr w:type="spellEnd"/>
      <w:r w:rsidR="00095D5B" w:rsidRPr="00095D5B">
        <w:t>,</w:t>
      </w:r>
      <w:r w:rsidR="004E43E9">
        <w:t xml:space="preserve"> but </w:t>
      </w:r>
      <w:r w:rsidR="00095D5B" w:rsidRPr="00095D5B">
        <w:t xml:space="preserve">the literature is consistent in characterising </w:t>
      </w:r>
      <w:r w:rsidR="004E43E9">
        <w:t xml:space="preserve">them </w:t>
      </w:r>
      <w:r w:rsidR="00095D5B" w:rsidRPr="00095D5B">
        <w:t xml:space="preserve">as an evolving partnership between governments, other national actors and development partners </w:t>
      </w:r>
      <w:proofErr w:type="gramStart"/>
      <w:r w:rsidR="00095D5B" w:rsidRPr="00095D5B">
        <w:t>coalescing</w:t>
      </w:r>
      <w:proofErr w:type="gramEnd"/>
      <w:r w:rsidR="00095D5B" w:rsidRPr="00095D5B">
        <w:t xml:space="preserve"> their joint support of nationally-defined programs, </w:t>
      </w:r>
      <w:r w:rsidR="00EE3699">
        <w:t>to be</w:t>
      </w:r>
      <w:r w:rsidR="00095D5B" w:rsidRPr="00095D5B">
        <w:t xml:space="preserve"> managed and implemented through increased reliance on country systems and capacities, and </w:t>
      </w:r>
      <w:r w:rsidR="00EE3699">
        <w:t xml:space="preserve">with </w:t>
      </w:r>
      <w:r w:rsidR="00095D5B" w:rsidRPr="00095D5B">
        <w:t>a strong results focus.</w:t>
      </w:r>
      <w:r w:rsidR="00095D5B" w:rsidRPr="00095D5B">
        <w:rPr>
          <w:vertAlign w:val="superscript"/>
        </w:rPr>
        <w:footnoteReference w:id="2"/>
      </w:r>
      <w:r w:rsidR="00095D5B" w:rsidRPr="00095D5B">
        <w:t xml:space="preserve"> </w:t>
      </w:r>
    </w:p>
    <w:p w:rsidR="00095D5B" w:rsidRPr="00095D5B" w:rsidRDefault="00095D5B" w:rsidP="00095D5B">
      <w:proofErr w:type="spellStart"/>
      <w:r w:rsidRPr="00095D5B">
        <w:t>SWAps</w:t>
      </w:r>
      <w:proofErr w:type="spellEnd"/>
      <w:r w:rsidRPr="00095D5B">
        <w:t xml:space="preserve"> are intended to bring about improvements both in development outcomes and processes, such as better harmonisation and alignment of assistance, and strengthened institutional capacity. They are also intended to reduce transaction costs for governments by removing their need to deal with the individual mechanisms and processes of multiple development partners. </w:t>
      </w:r>
    </w:p>
    <w:p w:rsidR="00095D5B" w:rsidRPr="00095D5B" w:rsidRDefault="004E43E9" w:rsidP="00095D5B">
      <w:r>
        <w:t>T</w:t>
      </w:r>
      <w:r w:rsidRPr="00095D5B">
        <w:t>here is no prescribed approach to financing a</w:t>
      </w:r>
      <w:r>
        <w:t xml:space="preserve"> </w:t>
      </w:r>
      <w:proofErr w:type="spellStart"/>
      <w:r w:rsidR="00095D5B" w:rsidRPr="00095D5B">
        <w:t>SWAp</w:t>
      </w:r>
      <w:proofErr w:type="spellEnd"/>
      <w:r>
        <w:t xml:space="preserve">, which is often financed through </w:t>
      </w:r>
      <w:r w:rsidR="00095D5B" w:rsidRPr="00095D5B">
        <w:t xml:space="preserve">a mix of different instruments including project aid, pooled funds and </w:t>
      </w:r>
      <w:r w:rsidR="00EE3699">
        <w:t>s</w:t>
      </w:r>
      <w:r w:rsidR="00095D5B" w:rsidRPr="00095D5B">
        <w:t xml:space="preserve">ector </w:t>
      </w:r>
      <w:r w:rsidR="00EE3699">
        <w:t>b</w:t>
      </w:r>
      <w:r w:rsidR="00095D5B" w:rsidRPr="00095D5B">
        <w:t xml:space="preserve">udget </w:t>
      </w:r>
      <w:r w:rsidR="00EE3699">
        <w:t>s</w:t>
      </w:r>
      <w:r w:rsidR="0084428F">
        <w:t>upport</w:t>
      </w:r>
      <w:r w:rsidR="00095D5B" w:rsidRPr="00095D5B">
        <w:t xml:space="preserve">. </w:t>
      </w:r>
      <w:r w:rsidR="00255A72">
        <w:t xml:space="preserve">Sector budget </w:t>
      </w:r>
      <w:r w:rsidR="00255A72">
        <w:lastRenderedPageBreak/>
        <w:t>support is</w:t>
      </w:r>
      <w:r>
        <w:t xml:space="preserve"> </w:t>
      </w:r>
      <w:r w:rsidR="00095D5B" w:rsidRPr="00095D5B">
        <w:t xml:space="preserve">designed to use partner government systems (e.g. planning, budgeting, accounting and auditing systems) to channel aid to all or part of the health sector plan. </w:t>
      </w:r>
    </w:p>
    <w:p w:rsidR="00095D5B" w:rsidRDefault="00095D5B" w:rsidP="00095D5B">
      <w:r w:rsidRPr="00095D5B">
        <w:t xml:space="preserve">The characteristics of </w:t>
      </w:r>
      <w:proofErr w:type="spellStart"/>
      <w:r w:rsidRPr="00095D5B">
        <w:t>SWAps</w:t>
      </w:r>
      <w:proofErr w:type="spellEnd"/>
      <w:r w:rsidRPr="00095D5B">
        <w:t xml:space="preserve"> are consistent with the principles of aid effectiveness and good practices which have emerged over the past dec</w:t>
      </w:r>
      <w:r w:rsidR="00A70D9B">
        <w:t>ade or more, and to which most de</w:t>
      </w:r>
      <w:r w:rsidRPr="00095D5B">
        <w:t>velopment partners and developing countries have committed.</w:t>
      </w:r>
      <w:r w:rsidR="00E52173">
        <w:t xml:space="preserve"> </w:t>
      </w:r>
      <w:r w:rsidR="00A458FF">
        <w:t>D</w:t>
      </w:r>
      <w:r w:rsidR="00E52173">
        <w:t xml:space="preserve">efinitions of the key terms used </w:t>
      </w:r>
      <w:r w:rsidR="00A458FF">
        <w:t xml:space="preserve">are in Box 1. </w:t>
      </w:r>
    </w:p>
    <w:p w:rsidR="00077780" w:rsidRDefault="00077780" w:rsidP="00077780">
      <w:pPr>
        <w:pStyle w:val="BoxName"/>
      </w:pPr>
      <w:bookmarkStart w:id="7" w:name="_Toc402192217"/>
      <w:r>
        <w:t>Box 1</w:t>
      </w:r>
      <w:r>
        <w:tab/>
        <w:t>Definitions</w:t>
      </w:r>
      <w:bookmarkEnd w:id="7"/>
      <w:r>
        <w:t xml:space="preserve"> </w:t>
      </w:r>
    </w:p>
    <w:p w:rsidR="00077780" w:rsidRPr="000716DD" w:rsidRDefault="00077780" w:rsidP="0013770D">
      <w:pPr>
        <w:pStyle w:val="BoxText"/>
        <w:spacing w:before="120"/>
      </w:pPr>
      <w:r>
        <w:t>The</w:t>
      </w:r>
      <w:r w:rsidRPr="000716DD">
        <w:t xml:space="preserve"> </w:t>
      </w:r>
      <w:r w:rsidRPr="000716DD">
        <w:rPr>
          <w:b/>
        </w:rPr>
        <w:t>sector wide approach (</w:t>
      </w:r>
      <w:proofErr w:type="spellStart"/>
      <w:r w:rsidRPr="000716DD">
        <w:rPr>
          <w:b/>
        </w:rPr>
        <w:t>SWAp</w:t>
      </w:r>
      <w:proofErr w:type="spellEnd"/>
      <w:r w:rsidRPr="000716DD">
        <w:rPr>
          <w:b/>
        </w:rPr>
        <w:t>)</w:t>
      </w:r>
      <w:r w:rsidRPr="000716DD">
        <w:t xml:space="preserve"> is an approach to aid delivery</w:t>
      </w:r>
      <w:r>
        <w:t>,</w:t>
      </w:r>
      <w:r w:rsidRPr="000716DD">
        <w:t xml:space="preserve"> to doing business</w:t>
      </w:r>
      <w:r w:rsidRPr="000716DD">
        <w:rPr>
          <w:vertAlign w:val="superscript"/>
        </w:rPr>
        <w:footnoteReference w:id="3"/>
      </w:r>
      <w:r w:rsidRPr="000716DD">
        <w:t xml:space="preserve">, </w:t>
      </w:r>
      <w:r>
        <w:t xml:space="preserve">or, </w:t>
      </w:r>
      <w:r w:rsidRPr="000716DD">
        <w:t xml:space="preserve">as defined by </w:t>
      </w:r>
      <w:proofErr w:type="spellStart"/>
      <w:r w:rsidRPr="000716DD">
        <w:t>Cassels</w:t>
      </w:r>
      <w:proofErr w:type="spellEnd"/>
      <w:r w:rsidRPr="000716DD">
        <w:rPr>
          <w:vertAlign w:val="superscript"/>
        </w:rPr>
        <w:footnoteReference w:id="4"/>
      </w:r>
      <w:r>
        <w:t>,</w:t>
      </w:r>
      <w:r w:rsidRPr="000716DD">
        <w:t xml:space="preserve"> an </w:t>
      </w:r>
      <w:r w:rsidRPr="000716DD">
        <w:rPr>
          <w:i/>
        </w:rPr>
        <w:t>aid modality</w:t>
      </w:r>
      <w:r>
        <w:rPr>
          <w:i/>
        </w:rPr>
        <w:t xml:space="preserve">. </w:t>
      </w:r>
      <w:r w:rsidRPr="000716DD">
        <w:t xml:space="preserve">The defining characteristics of a </w:t>
      </w:r>
      <w:proofErr w:type="spellStart"/>
      <w:r w:rsidRPr="000716DD">
        <w:t>SWAp</w:t>
      </w:r>
      <w:proofErr w:type="spellEnd"/>
      <w:r w:rsidRPr="000716DD">
        <w:t xml:space="preserve"> are that all significant funding for the sector supports a single sector policy and expenditure program, under government leadership, adopting common approaches across the sector, and progressing towards relying on government systems to disb</w:t>
      </w:r>
      <w:r>
        <w:t xml:space="preserve">urse and account for all funds </w:t>
      </w:r>
      <w:r w:rsidRPr="000716DD">
        <w:t>and to procure commodities and services.</w:t>
      </w:r>
    </w:p>
    <w:p w:rsidR="00077780" w:rsidRDefault="00077780" w:rsidP="0013770D">
      <w:pPr>
        <w:pStyle w:val="BoxText"/>
      </w:pPr>
      <w:r w:rsidRPr="000716DD">
        <w:rPr>
          <w:b/>
        </w:rPr>
        <w:t>Sector budget support</w:t>
      </w:r>
      <w:r w:rsidRPr="00325186">
        <w:t xml:space="preserve"> </w:t>
      </w:r>
      <w:r>
        <w:t xml:space="preserve">is a financing instrument </w:t>
      </w:r>
      <w:r w:rsidRPr="00325186">
        <w:t>refer</w:t>
      </w:r>
      <w:r>
        <w:t>ring</w:t>
      </w:r>
      <w:r w:rsidRPr="00325186">
        <w:t xml:space="preserve"> to the transfer of aid funds directly into the national treasury or equivalent, for allocation to the national health budget</w:t>
      </w:r>
      <w:r>
        <w:t xml:space="preserve">. </w:t>
      </w:r>
      <w:r w:rsidRPr="00325186">
        <w:t xml:space="preserve">This usually requires a Medium Term Expenditure Framework and can be best assessed when the country can produce national health accounts for the sector. Sector budget support usually takes place within the context of a </w:t>
      </w:r>
      <w:proofErr w:type="spellStart"/>
      <w:r w:rsidRPr="00325186">
        <w:t>SWAp</w:t>
      </w:r>
      <w:proofErr w:type="spellEnd"/>
      <w:r w:rsidRPr="00325186">
        <w:t xml:space="preserve"> but there are cases where a donor may provide </w:t>
      </w:r>
      <w:r>
        <w:t>s</w:t>
      </w:r>
      <w:r w:rsidRPr="00325186">
        <w:t xml:space="preserve">ector budget support in </w:t>
      </w:r>
      <w:r>
        <w:t xml:space="preserve">its </w:t>
      </w:r>
      <w:r w:rsidRPr="00325186">
        <w:t>absence.</w:t>
      </w:r>
    </w:p>
    <w:p w:rsidR="00077780" w:rsidRDefault="00077780" w:rsidP="00077780">
      <w:pPr>
        <w:pStyle w:val="BoxText"/>
      </w:pPr>
      <w:r w:rsidRPr="000716DD">
        <w:rPr>
          <w:b/>
        </w:rPr>
        <w:t>Pooled funds</w:t>
      </w:r>
      <w:r w:rsidRPr="00325186">
        <w:t xml:space="preserve"> are where two or more donors pool their financial aid to co</w:t>
      </w:r>
      <w:r>
        <w:t>ntribute to a national program</w:t>
      </w:r>
      <w:r w:rsidRPr="00325186">
        <w:t xml:space="preserve"> or health sector plan</w:t>
      </w:r>
      <w:r>
        <w:t xml:space="preserve">, </w:t>
      </w:r>
      <w:r w:rsidRPr="00325186">
        <w:t xml:space="preserve">in full or partially. </w:t>
      </w:r>
      <w:r>
        <w:t xml:space="preserve">A number of </w:t>
      </w:r>
      <w:r w:rsidRPr="00325186">
        <w:t>financial management arrangements may support a pool</w:t>
      </w:r>
      <w:r>
        <w:t>ed</w:t>
      </w:r>
      <w:r w:rsidRPr="00325186">
        <w:t xml:space="preserve"> fund</w:t>
      </w:r>
      <w:r>
        <w:t>,</w:t>
      </w:r>
      <w:r w:rsidRPr="00325186">
        <w:t xml:space="preserve"> </w:t>
      </w:r>
      <w:r>
        <w:t xml:space="preserve">for example a Multi </w:t>
      </w:r>
      <w:r w:rsidRPr="00325186">
        <w:t>Donor Trust Fund administered by one of the development partners, usually the World Bank, or a Joint Financing Agreement signed by the pool funders</w:t>
      </w:r>
      <w:r>
        <w:t xml:space="preserve">. </w:t>
      </w:r>
    </w:p>
    <w:p w:rsidR="00077780" w:rsidRPr="00325186" w:rsidRDefault="00077780" w:rsidP="00077780">
      <w:pPr>
        <w:pStyle w:val="BoxText"/>
      </w:pPr>
      <w:r w:rsidRPr="000716DD">
        <w:t xml:space="preserve">The term </w:t>
      </w:r>
      <w:r>
        <w:rPr>
          <w:b/>
        </w:rPr>
        <w:t>g</w:t>
      </w:r>
      <w:r w:rsidRPr="000716DD">
        <w:rPr>
          <w:b/>
        </w:rPr>
        <w:t>overnment systems</w:t>
      </w:r>
      <w:r w:rsidRPr="000716DD">
        <w:t xml:space="preserve"> i</w:t>
      </w:r>
      <w:r>
        <w:t xml:space="preserve">n this context </w:t>
      </w:r>
      <w:r w:rsidRPr="000716DD">
        <w:t>refer</w:t>
      </w:r>
      <w:r>
        <w:t>s</w:t>
      </w:r>
      <w:r w:rsidRPr="000716DD">
        <w:t xml:space="preserve"> to </w:t>
      </w:r>
      <w:r>
        <w:t xml:space="preserve">a variety </w:t>
      </w:r>
      <w:r w:rsidRPr="000716DD">
        <w:t>of instruments and systems, such as planning, budgeting, financial management and procurement</w:t>
      </w:r>
      <w:r>
        <w:t>,</w:t>
      </w:r>
      <w:r w:rsidRPr="000716DD">
        <w:t xml:space="preserve"> which may</w:t>
      </w:r>
      <w:r>
        <w:t xml:space="preserve"> or may not be part of a </w:t>
      </w:r>
      <w:proofErr w:type="spellStart"/>
      <w:r w:rsidRPr="000716DD">
        <w:t>SWAp</w:t>
      </w:r>
      <w:proofErr w:type="spellEnd"/>
      <w:r w:rsidRPr="000716DD">
        <w:t xml:space="preserve">. </w:t>
      </w:r>
    </w:p>
    <w:p w:rsidR="00077780" w:rsidRDefault="00077780" w:rsidP="00077780">
      <w:pPr>
        <w:pStyle w:val="BoxText"/>
      </w:pPr>
      <w:r>
        <w:t>In this report w</w:t>
      </w:r>
      <w:r w:rsidRPr="000716DD">
        <w:t xml:space="preserve">e use the terms </w:t>
      </w:r>
      <w:r>
        <w:rPr>
          <w:b/>
        </w:rPr>
        <w:t>d</w:t>
      </w:r>
      <w:r w:rsidRPr="000716DD">
        <w:rPr>
          <w:b/>
        </w:rPr>
        <w:t>evelopment partners/donors</w:t>
      </w:r>
      <w:r w:rsidRPr="00A74688">
        <w:t xml:space="preserve"> </w:t>
      </w:r>
      <w:r w:rsidRPr="000716DD">
        <w:t>interchangeably</w:t>
      </w:r>
      <w:r>
        <w:t xml:space="preserve">. </w:t>
      </w:r>
      <w:r w:rsidRPr="000716DD">
        <w:t>Donors</w:t>
      </w:r>
      <w:r>
        <w:t xml:space="preserve"> (</w:t>
      </w:r>
      <w:r w:rsidRPr="000716DD">
        <w:t>donor agencies</w:t>
      </w:r>
      <w:r>
        <w:t>) strictly speaking</w:t>
      </w:r>
      <w:r w:rsidRPr="000716DD">
        <w:t xml:space="preserve"> </w:t>
      </w:r>
      <w:r>
        <w:t>are</w:t>
      </w:r>
      <w:r w:rsidRPr="000716DD">
        <w:t xml:space="preserve"> the bilateral, multilateral or global organi</w:t>
      </w:r>
      <w:r>
        <w:t>s</w:t>
      </w:r>
      <w:r w:rsidRPr="000716DD">
        <w:t>ations providing grants, credits or loans to a country. Development partners, on the other hand, are a wider group comprising donors</w:t>
      </w:r>
      <w:r>
        <w:t xml:space="preserve">, </w:t>
      </w:r>
      <w:r w:rsidRPr="000716DD">
        <w:t>technical agencies (</w:t>
      </w:r>
      <w:r>
        <w:t xml:space="preserve">i.e. </w:t>
      </w:r>
      <w:r w:rsidRPr="000716DD">
        <w:t>UN organisations) and, in some countries, na</w:t>
      </w:r>
      <w:r>
        <w:t>tional, international and civil society organis</w:t>
      </w:r>
      <w:r w:rsidRPr="000716DD">
        <w:t>ations</w:t>
      </w:r>
      <w:r>
        <w:t xml:space="preserve">. </w:t>
      </w:r>
    </w:p>
    <w:p w:rsidR="00EE3699" w:rsidRDefault="00EE3699" w:rsidP="003931F6">
      <w:r>
        <w:t xml:space="preserve">In recent years </w:t>
      </w:r>
      <w:proofErr w:type="spellStart"/>
      <w:r>
        <w:t>SWAps</w:t>
      </w:r>
      <w:proofErr w:type="spellEnd"/>
      <w:r>
        <w:t xml:space="preserve"> have been increasingly implemented in the Asia Pacific region. However there is limited analysis or evidence of the</w:t>
      </w:r>
      <w:r w:rsidR="00CB68F3">
        <w:t>ir</w:t>
      </w:r>
      <w:r>
        <w:t xml:space="preserve"> effectiveness, or </w:t>
      </w:r>
      <w:r w:rsidR="00CB68F3">
        <w:t>their</w:t>
      </w:r>
      <w:r>
        <w:t xml:space="preserve"> related financing instruments. This paper reviews the </w:t>
      </w:r>
      <w:r w:rsidRPr="00EE3699">
        <w:t>evidence</w:t>
      </w:r>
      <w:r>
        <w:t xml:space="preserve">, mainly from experience in six </w:t>
      </w:r>
      <w:r w:rsidR="00E214E1">
        <w:t xml:space="preserve">Asia Pacific </w:t>
      </w:r>
      <w:r>
        <w:t>countries</w:t>
      </w:r>
      <w:r w:rsidR="004474CB">
        <w:t xml:space="preserve"> wh</w:t>
      </w:r>
      <w:r w:rsidR="00705E1B">
        <w:t>ere the Australian aid program</w:t>
      </w:r>
      <w:r w:rsidR="004474CB">
        <w:t xml:space="preserve"> is using these approaches </w:t>
      </w:r>
      <w:r w:rsidR="00AD4339">
        <w:t xml:space="preserve">or </w:t>
      </w:r>
      <w:r w:rsidR="004474CB">
        <w:t>provid</w:t>
      </w:r>
      <w:r w:rsidR="00AD4339">
        <w:t>ing</w:t>
      </w:r>
      <w:r w:rsidR="004474CB">
        <w:t xml:space="preserve"> funds through government systems. </w:t>
      </w:r>
    </w:p>
    <w:p w:rsidR="00CB68F3" w:rsidRPr="00460991" w:rsidRDefault="00CB68F3" w:rsidP="00CB68F3">
      <w:pPr>
        <w:pStyle w:val="Heading2"/>
      </w:pPr>
      <w:bookmarkStart w:id="8" w:name="_Toc403403679"/>
      <w:r w:rsidRPr="00460991">
        <w:t>1.2</w:t>
      </w:r>
      <w:r w:rsidRPr="00460991">
        <w:tab/>
        <w:t>Methodology</w:t>
      </w:r>
      <w:bookmarkEnd w:id="8"/>
      <w:r w:rsidRPr="00460991">
        <w:t xml:space="preserve"> </w:t>
      </w:r>
    </w:p>
    <w:p w:rsidR="00CB68F3" w:rsidRDefault="004B3E0B" w:rsidP="003931F6">
      <w:r>
        <w:t>The study was conducted as a desk review, primarily of secondary data.</w:t>
      </w:r>
    </w:p>
    <w:p w:rsidR="0088667E" w:rsidRPr="00C344E8" w:rsidRDefault="004B3E0B" w:rsidP="0088667E">
      <w:r>
        <w:rPr>
          <w:b/>
          <w:i/>
        </w:rPr>
        <w:t>C</w:t>
      </w:r>
      <w:r w:rsidR="0088667E" w:rsidRPr="00FA3775">
        <w:rPr>
          <w:b/>
          <w:i/>
        </w:rPr>
        <w:t>ountr</w:t>
      </w:r>
      <w:r>
        <w:rPr>
          <w:b/>
          <w:i/>
        </w:rPr>
        <w:t>y inclusion</w:t>
      </w:r>
      <w:r w:rsidR="0088667E" w:rsidRPr="00C344E8">
        <w:rPr>
          <w:b/>
        </w:rPr>
        <w:t xml:space="preserve"> </w:t>
      </w:r>
      <w:r>
        <w:t xml:space="preserve">was determined </w:t>
      </w:r>
      <w:r w:rsidR="004E43E9">
        <w:t>mainly</w:t>
      </w:r>
      <w:r>
        <w:t xml:space="preserve"> by whether the </w:t>
      </w:r>
      <w:r w:rsidRPr="00C344E8">
        <w:t xml:space="preserve">Australian aid program </w:t>
      </w:r>
      <w:r w:rsidR="0088667E" w:rsidRPr="00C344E8">
        <w:t>ha</w:t>
      </w:r>
      <w:r>
        <w:t>d</w:t>
      </w:r>
      <w:r w:rsidR="0088667E" w:rsidRPr="00C344E8">
        <w:t xml:space="preserve"> support</w:t>
      </w:r>
      <w:r>
        <w:t xml:space="preserve">ed </w:t>
      </w:r>
      <w:r w:rsidR="0088667E" w:rsidRPr="00C344E8">
        <w:t xml:space="preserve">a </w:t>
      </w:r>
      <w:proofErr w:type="spellStart"/>
      <w:r w:rsidR="0088667E" w:rsidRPr="00C344E8">
        <w:t>SWAp</w:t>
      </w:r>
      <w:proofErr w:type="spellEnd"/>
      <w:r w:rsidR="0088667E" w:rsidRPr="00C344E8">
        <w:t xml:space="preserve">, </w:t>
      </w:r>
      <w:r>
        <w:t>sector budget support</w:t>
      </w:r>
      <w:r w:rsidR="0088667E" w:rsidRPr="00C344E8">
        <w:t xml:space="preserve"> or used partner government systems in the health sector over the last five years</w:t>
      </w:r>
      <w:r w:rsidR="0088667E" w:rsidRPr="004B3E0B">
        <w:t xml:space="preserve">. </w:t>
      </w:r>
      <w:r w:rsidRPr="004B3E0B">
        <w:t xml:space="preserve">From the </w:t>
      </w:r>
      <w:r w:rsidR="0088667E" w:rsidRPr="00C344E8">
        <w:t xml:space="preserve">initial list of countries </w:t>
      </w:r>
      <w:r w:rsidR="0088667E">
        <w:t xml:space="preserve">that met the criteria </w:t>
      </w:r>
      <w:r w:rsidR="00E214E1">
        <w:t>(</w:t>
      </w:r>
      <w:r w:rsidR="00E214E1" w:rsidRPr="00487D77">
        <w:t xml:space="preserve">Bangladesh, Cambodia, Nepal, </w:t>
      </w:r>
      <w:r w:rsidR="00E214E1">
        <w:t xml:space="preserve">Pakistan </w:t>
      </w:r>
      <w:r w:rsidR="00DF1DD1">
        <w:t>Papua New Guinea</w:t>
      </w:r>
      <w:r w:rsidR="00E214E1" w:rsidRPr="00487D77">
        <w:t xml:space="preserve">, Samoa, </w:t>
      </w:r>
      <w:r w:rsidR="00E214E1">
        <w:t>Solomo</w:t>
      </w:r>
      <w:r w:rsidR="00E214E1" w:rsidRPr="00487D77">
        <w:t>n Islands</w:t>
      </w:r>
      <w:r w:rsidR="00E214E1">
        <w:t xml:space="preserve"> and Timor </w:t>
      </w:r>
      <w:proofErr w:type="spellStart"/>
      <w:r w:rsidR="00E214E1">
        <w:t>Leste</w:t>
      </w:r>
      <w:proofErr w:type="spellEnd"/>
      <w:r w:rsidR="00E214E1">
        <w:t xml:space="preserve">) </w:t>
      </w:r>
      <w:r>
        <w:t xml:space="preserve">we removed </w:t>
      </w:r>
      <w:r w:rsidR="0088667E" w:rsidRPr="00C344E8">
        <w:t xml:space="preserve">Pakistan </w:t>
      </w:r>
      <w:r w:rsidR="009839BA">
        <w:t xml:space="preserve">and Timor </w:t>
      </w:r>
      <w:proofErr w:type="spellStart"/>
      <w:r w:rsidR="009839BA">
        <w:t>Leste</w:t>
      </w:r>
      <w:proofErr w:type="spellEnd"/>
      <w:r w:rsidR="009839BA">
        <w:t xml:space="preserve">. In Pakistan, many donors’ country programs </w:t>
      </w:r>
      <w:r w:rsidR="009839BA" w:rsidRPr="009839BA">
        <w:t>ha</w:t>
      </w:r>
      <w:r w:rsidR="009839BA">
        <w:t>ve</w:t>
      </w:r>
      <w:r w:rsidR="009839BA" w:rsidRPr="009839BA">
        <w:t xml:space="preserve"> undergone a significant transition </w:t>
      </w:r>
      <w:r w:rsidR="009839BA">
        <w:lastRenderedPageBreak/>
        <w:t>following de</w:t>
      </w:r>
      <w:r w:rsidR="009839BA" w:rsidRPr="009839BA">
        <w:t>volution</w:t>
      </w:r>
      <w:r w:rsidR="0054221D">
        <w:t xml:space="preserve"> in 2011</w:t>
      </w:r>
      <w:r w:rsidR="009839BA">
        <w:t xml:space="preserve">, and tend to be at early stages of implementation. This also applies to the </w:t>
      </w:r>
      <w:r w:rsidR="009839BA" w:rsidRPr="009839BA">
        <w:t xml:space="preserve">nutrition multi donor trust fund </w:t>
      </w:r>
      <w:r w:rsidR="009839BA">
        <w:t xml:space="preserve">supported by the Australian aid program. The </w:t>
      </w:r>
      <w:r w:rsidR="009839BA" w:rsidRPr="009839BA">
        <w:t xml:space="preserve">program under implementation </w:t>
      </w:r>
      <w:r w:rsidR="009839BA">
        <w:t xml:space="preserve">in Timor </w:t>
      </w:r>
      <w:proofErr w:type="spellStart"/>
      <w:r w:rsidR="009839BA" w:rsidRPr="00E60C43">
        <w:t>Leste</w:t>
      </w:r>
      <w:proofErr w:type="spellEnd"/>
      <w:r w:rsidR="009839BA" w:rsidRPr="00E60C43">
        <w:t xml:space="preserve"> is also recent</w:t>
      </w:r>
      <w:r w:rsidR="00E60C43" w:rsidRPr="00E60C43">
        <w:t xml:space="preserve"> (2013</w:t>
      </w:r>
      <w:r w:rsidR="00E60C43">
        <w:t>-2014)</w:t>
      </w:r>
      <w:r w:rsidR="009839BA">
        <w:t xml:space="preserve">, and </w:t>
      </w:r>
      <w:r w:rsidR="008B7E2D">
        <w:t xml:space="preserve">the </w:t>
      </w:r>
      <w:r w:rsidR="009839BA">
        <w:t xml:space="preserve">information </w:t>
      </w:r>
      <w:r w:rsidR="008B7E2D">
        <w:t xml:space="preserve">available was not sufficient for an evidence review. </w:t>
      </w:r>
    </w:p>
    <w:p w:rsidR="0088667E" w:rsidRDefault="00DB6571" w:rsidP="0088667E">
      <w:r>
        <w:t xml:space="preserve">Because of the limited literature </w:t>
      </w:r>
      <w:r w:rsidR="0054221D">
        <w:t xml:space="preserve">on these six countries </w:t>
      </w:r>
      <w:r>
        <w:t>w</w:t>
      </w:r>
      <w:r w:rsidR="008B7E2D">
        <w:t>e</w:t>
      </w:r>
      <w:r w:rsidR="0088667E" w:rsidRPr="008B7E2D">
        <w:t xml:space="preserve"> extended th</w:t>
      </w:r>
      <w:r w:rsidR="008B7E2D">
        <w:t>e</w:t>
      </w:r>
      <w:r w:rsidR="0088667E" w:rsidRPr="008B7E2D">
        <w:t xml:space="preserve"> </w:t>
      </w:r>
      <w:r w:rsidR="00E214E1">
        <w:t xml:space="preserve">five-year </w:t>
      </w:r>
      <w:r w:rsidR="0088667E" w:rsidRPr="008B7E2D">
        <w:t>timeline slightly to cover</w:t>
      </w:r>
      <w:r w:rsidR="0088667E" w:rsidRPr="00C344E8">
        <w:t xml:space="preserve"> documents released or publishe</w:t>
      </w:r>
      <w:r w:rsidR="0088667E">
        <w:t>d between 2008 and 2014</w:t>
      </w:r>
      <w:r w:rsidR="000E1CFA">
        <w:t xml:space="preserve">. </w:t>
      </w:r>
      <w:r w:rsidR="008B7E2D">
        <w:t xml:space="preserve">For international </w:t>
      </w:r>
      <w:r w:rsidR="0088667E">
        <w:t>evidence</w:t>
      </w:r>
      <w:r w:rsidR="008B7E2D">
        <w:t xml:space="preserve"> (beyond the six countries under review) we included </w:t>
      </w:r>
      <w:r w:rsidR="0088667E">
        <w:t xml:space="preserve">literature published over the last </w:t>
      </w:r>
      <w:r w:rsidR="002041C4">
        <w:t>decade which remains</w:t>
      </w:r>
      <w:r w:rsidR="006B28EB">
        <w:t xml:space="preserve"> relevant to this analysis</w:t>
      </w:r>
      <w:r w:rsidR="0088667E">
        <w:t>.</w:t>
      </w:r>
    </w:p>
    <w:p w:rsidR="008B7E2D" w:rsidRDefault="00E06902" w:rsidP="008B7E2D">
      <w:pPr>
        <w:rPr>
          <w:rFonts w:cs="Mangal"/>
          <w:lang w:eastAsia="en-GB" w:bidi="hi-IN"/>
        </w:rPr>
      </w:pPr>
      <w:r>
        <w:t>We reviewed, assessed and classified a large number of documents</w:t>
      </w:r>
      <w:r w:rsidR="001C6AD8">
        <w:t xml:space="preserve"> (</w:t>
      </w:r>
      <w:r>
        <w:t>Table 1</w:t>
      </w:r>
      <w:r w:rsidR="001C6AD8">
        <w:t>)</w:t>
      </w:r>
      <w:r>
        <w:t xml:space="preserve">. </w:t>
      </w:r>
      <w:r w:rsidR="001C6AD8">
        <w:t>The number of documents considered relevant or potentially useful however was much smaller (marked with asterisks in Table 1</w:t>
      </w:r>
      <w:r w:rsidR="00720360">
        <w:t xml:space="preserve"> and briefly discussed in Table 2</w:t>
      </w:r>
      <w:r w:rsidR="001C6AD8">
        <w:t>). Evaluations were even fewer.</w:t>
      </w:r>
      <w:r w:rsidR="009E70D9">
        <w:rPr>
          <w:rStyle w:val="FootnoteReference"/>
        </w:rPr>
        <w:footnoteReference w:id="5"/>
      </w:r>
      <w:r w:rsidR="001C6AD8">
        <w:t xml:space="preserve"> In</w:t>
      </w:r>
      <w:r w:rsidR="008B7E2D" w:rsidRPr="00C344E8">
        <w:rPr>
          <w:rFonts w:cs="Mangal"/>
          <w:lang w:eastAsia="en-GB" w:bidi="hi-IN"/>
        </w:rPr>
        <w:t xml:space="preserve"> general, only the documents marked as very relevant or relevant were </w:t>
      </w:r>
      <w:r w:rsidR="001C6AD8">
        <w:rPr>
          <w:rFonts w:cs="Mangal"/>
          <w:lang w:eastAsia="en-GB" w:bidi="hi-IN"/>
        </w:rPr>
        <w:t xml:space="preserve">used as </w:t>
      </w:r>
      <w:r w:rsidR="008B7E2D" w:rsidRPr="00C344E8">
        <w:rPr>
          <w:rFonts w:cs="Mangal"/>
          <w:lang w:eastAsia="en-GB" w:bidi="hi-IN"/>
        </w:rPr>
        <w:t xml:space="preserve">references </w:t>
      </w:r>
      <w:r w:rsidR="001C6AD8">
        <w:rPr>
          <w:rFonts w:cs="Mangal"/>
          <w:lang w:eastAsia="en-GB" w:bidi="hi-IN"/>
        </w:rPr>
        <w:t xml:space="preserve">(listed in </w:t>
      </w:r>
      <w:r w:rsidR="008B7E2D" w:rsidRPr="009E70D9">
        <w:rPr>
          <w:rFonts w:cs="Mangal"/>
          <w:lang w:eastAsia="en-GB" w:bidi="hi-IN"/>
        </w:rPr>
        <w:t>Appendix 4</w:t>
      </w:r>
      <w:r w:rsidR="001C6AD8" w:rsidRPr="009E70D9">
        <w:rPr>
          <w:rFonts w:cs="Mangal"/>
          <w:lang w:eastAsia="en-GB" w:bidi="hi-IN"/>
        </w:rPr>
        <w:t>)</w:t>
      </w:r>
      <w:r w:rsidR="008B7E2D" w:rsidRPr="009E70D9">
        <w:rPr>
          <w:rFonts w:cs="Mangal"/>
          <w:lang w:eastAsia="en-GB" w:bidi="hi-IN"/>
        </w:rPr>
        <w:t>.</w:t>
      </w:r>
      <w:r w:rsidR="008B7E2D">
        <w:rPr>
          <w:rFonts w:cs="Mangal"/>
          <w:lang w:eastAsia="en-GB" w:bidi="hi-IN"/>
        </w:rPr>
        <w:t xml:space="preserve"> </w:t>
      </w:r>
    </w:p>
    <w:p w:rsidR="0054221D" w:rsidRDefault="0054221D" w:rsidP="0054221D">
      <w:pPr>
        <w:rPr>
          <w:rFonts w:cs="Mangal"/>
          <w:lang w:eastAsia="en-GB" w:bidi="hi-IN"/>
        </w:rPr>
      </w:pPr>
      <w:r>
        <w:t xml:space="preserve">We conducted a </w:t>
      </w:r>
      <w:r w:rsidRPr="00C344E8">
        <w:t>review of the international literature</w:t>
      </w:r>
      <w:r>
        <w:t xml:space="preserve"> separately (</w:t>
      </w:r>
      <w:r w:rsidRPr="000C49FC">
        <w:t xml:space="preserve">summarised </w:t>
      </w:r>
      <w:r>
        <w:t xml:space="preserve">in </w:t>
      </w:r>
      <w:r w:rsidRPr="000C49FC">
        <w:t>Box 2, Section 3).</w:t>
      </w:r>
    </w:p>
    <w:p w:rsidR="0088667E" w:rsidRPr="009F73E7" w:rsidRDefault="0088667E" w:rsidP="002568ED">
      <w:pPr>
        <w:pStyle w:val="TableName"/>
      </w:pPr>
      <w:bookmarkStart w:id="9" w:name="_Toc402192194"/>
      <w:r w:rsidRPr="009F73E7">
        <w:t>Table 1</w:t>
      </w:r>
      <w:r w:rsidR="00746AA8" w:rsidRPr="009F73E7">
        <w:tab/>
      </w:r>
      <w:r w:rsidRPr="009F73E7">
        <w:t>Availability of information by country</w:t>
      </w:r>
      <w:bookmarkEnd w:id="9"/>
    </w:p>
    <w:tbl>
      <w:tblPr>
        <w:tblStyle w:val="TableGrid"/>
        <w:tblW w:w="5000" w:type="pct"/>
        <w:tblLook w:val="04A0" w:firstRow="1" w:lastRow="0" w:firstColumn="1" w:lastColumn="0" w:noHBand="0" w:noVBand="1"/>
      </w:tblPr>
      <w:tblGrid>
        <w:gridCol w:w="2092"/>
        <w:gridCol w:w="2410"/>
        <w:gridCol w:w="2418"/>
        <w:gridCol w:w="2322"/>
      </w:tblGrid>
      <w:tr w:rsidR="0088667E" w:rsidRPr="00510DFE" w:rsidTr="00FE764D">
        <w:trPr>
          <w:cnfStyle w:val="100000000000" w:firstRow="1" w:lastRow="0" w:firstColumn="0" w:lastColumn="0" w:oddVBand="0" w:evenVBand="0" w:oddHBand="0" w:evenHBand="0" w:firstRowFirstColumn="0" w:firstRowLastColumn="0" w:lastRowFirstColumn="0" w:lastRowLastColumn="0"/>
          <w:trHeight w:val="453"/>
        </w:trPr>
        <w:tc>
          <w:tcPr>
            <w:tcW w:w="1132" w:type="pct"/>
            <w:vMerge w:val="restart"/>
          </w:tcPr>
          <w:p w:rsidR="0088667E" w:rsidRPr="00C344E8" w:rsidRDefault="0088667E" w:rsidP="002568ED">
            <w:pPr>
              <w:pStyle w:val="TableHeading2"/>
              <w:spacing w:before="0" w:after="0" w:line="240" w:lineRule="auto"/>
              <w:rPr>
                <w:lang w:eastAsia="en-GB" w:bidi="hi-IN"/>
              </w:rPr>
            </w:pPr>
            <w:r w:rsidRPr="00C344E8">
              <w:rPr>
                <w:lang w:eastAsia="en-GB" w:bidi="hi-IN"/>
              </w:rPr>
              <w:t>Countr</w:t>
            </w:r>
            <w:r w:rsidR="00911FF9">
              <w:rPr>
                <w:lang w:eastAsia="en-GB" w:bidi="hi-IN"/>
              </w:rPr>
              <w:t>y</w:t>
            </w:r>
          </w:p>
        </w:tc>
        <w:tc>
          <w:tcPr>
            <w:tcW w:w="1304" w:type="pct"/>
            <w:vMerge w:val="restart"/>
          </w:tcPr>
          <w:p w:rsidR="0088667E" w:rsidRPr="00C344E8" w:rsidRDefault="008B7E2D" w:rsidP="001C6AD8">
            <w:pPr>
              <w:pStyle w:val="TableHeading"/>
              <w:spacing w:before="0" w:after="0" w:line="240" w:lineRule="auto"/>
              <w:rPr>
                <w:lang w:eastAsia="en-GB" w:bidi="hi-IN"/>
              </w:rPr>
            </w:pPr>
            <w:r>
              <w:rPr>
                <w:lang w:eastAsia="en-GB" w:bidi="hi-IN"/>
              </w:rPr>
              <w:t>N</w:t>
            </w:r>
            <w:r w:rsidR="0088667E" w:rsidRPr="00C344E8">
              <w:rPr>
                <w:lang w:eastAsia="en-GB" w:bidi="hi-IN"/>
              </w:rPr>
              <w:t xml:space="preserve">umber of documents </w:t>
            </w:r>
            <w:r>
              <w:rPr>
                <w:lang w:eastAsia="en-GB" w:bidi="hi-IN"/>
              </w:rPr>
              <w:t>reviewed (</w:t>
            </w:r>
            <w:r w:rsidR="0088667E" w:rsidRPr="00C344E8">
              <w:rPr>
                <w:lang w:eastAsia="en-GB" w:bidi="hi-IN"/>
              </w:rPr>
              <w:t>documentation phase</w:t>
            </w:r>
            <w:r>
              <w:rPr>
                <w:lang w:eastAsia="en-GB" w:bidi="hi-IN"/>
              </w:rPr>
              <w:t>)</w:t>
            </w:r>
          </w:p>
        </w:tc>
        <w:tc>
          <w:tcPr>
            <w:tcW w:w="1308" w:type="pct"/>
            <w:vMerge w:val="restart"/>
          </w:tcPr>
          <w:p w:rsidR="0088667E" w:rsidRPr="00C344E8" w:rsidRDefault="0088667E" w:rsidP="000A202A">
            <w:pPr>
              <w:pStyle w:val="TableHeading"/>
              <w:spacing w:before="0" w:after="0" w:line="240" w:lineRule="auto"/>
              <w:rPr>
                <w:lang w:eastAsia="en-GB" w:bidi="hi-IN"/>
              </w:rPr>
            </w:pPr>
            <w:r w:rsidRPr="00C344E8">
              <w:rPr>
                <w:lang w:eastAsia="en-GB" w:bidi="hi-IN"/>
              </w:rPr>
              <w:t xml:space="preserve">Number of documents prioritised </w:t>
            </w:r>
            <w:r w:rsidR="000A202A">
              <w:rPr>
                <w:lang w:eastAsia="en-GB" w:bidi="hi-IN"/>
              </w:rPr>
              <w:t>fo</w:t>
            </w:r>
            <w:r w:rsidRPr="00C344E8">
              <w:rPr>
                <w:lang w:eastAsia="en-GB" w:bidi="hi-IN"/>
              </w:rPr>
              <w:t>r the evidence review</w:t>
            </w:r>
          </w:p>
        </w:tc>
        <w:tc>
          <w:tcPr>
            <w:tcW w:w="1256" w:type="pct"/>
            <w:vMerge w:val="restart"/>
          </w:tcPr>
          <w:p w:rsidR="0088667E" w:rsidRPr="00C344E8" w:rsidRDefault="0088667E" w:rsidP="0054221D">
            <w:pPr>
              <w:pStyle w:val="TableHeading"/>
              <w:spacing w:before="0" w:after="0" w:line="240" w:lineRule="auto"/>
              <w:rPr>
                <w:lang w:eastAsia="en-GB" w:bidi="hi-IN"/>
              </w:rPr>
            </w:pPr>
            <w:r w:rsidRPr="00C344E8">
              <w:rPr>
                <w:lang w:eastAsia="en-GB" w:bidi="hi-IN"/>
              </w:rPr>
              <w:t>Number of evaluations</w:t>
            </w:r>
            <w:r w:rsidR="0054221D">
              <w:rPr>
                <w:lang w:eastAsia="en-GB" w:bidi="hi-IN"/>
              </w:rPr>
              <w:t xml:space="preserve"> and reviews</w:t>
            </w:r>
          </w:p>
        </w:tc>
      </w:tr>
      <w:tr w:rsidR="0088667E" w:rsidRPr="00510DFE" w:rsidTr="00FE764D">
        <w:trPr>
          <w:trHeight w:val="258"/>
        </w:trPr>
        <w:tc>
          <w:tcPr>
            <w:tcW w:w="1132" w:type="pct"/>
            <w:vMerge/>
          </w:tcPr>
          <w:p w:rsidR="0088667E" w:rsidRPr="00C344E8" w:rsidRDefault="0088667E" w:rsidP="002568ED">
            <w:pPr>
              <w:spacing w:before="0" w:after="0" w:line="240" w:lineRule="auto"/>
              <w:rPr>
                <w:lang w:eastAsia="en-GB" w:bidi="hi-IN"/>
              </w:rPr>
            </w:pPr>
          </w:p>
        </w:tc>
        <w:tc>
          <w:tcPr>
            <w:tcW w:w="1304" w:type="pct"/>
            <w:vMerge/>
          </w:tcPr>
          <w:p w:rsidR="0088667E" w:rsidRPr="00C344E8" w:rsidRDefault="0088667E" w:rsidP="002568ED">
            <w:pPr>
              <w:spacing w:before="0" w:after="0" w:line="240" w:lineRule="auto"/>
              <w:rPr>
                <w:lang w:eastAsia="en-GB" w:bidi="hi-IN"/>
              </w:rPr>
            </w:pPr>
          </w:p>
        </w:tc>
        <w:tc>
          <w:tcPr>
            <w:tcW w:w="1308" w:type="pct"/>
            <w:vMerge/>
          </w:tcPr>
          <w:p w:rsidR="0088667E" w:rsidRPr="00C344E8" w:rsidRDefault="0088667E" w:rsidP="002568ED">
            <w:pPr>
              <w:spacing w:before="0" w:after="0" w:line="240" w:lineRule="auto"/>
              <w:rPr>
                <w:lang w:eastAsia="en-GB" w:bidi="hi-IN"/>
              </w:rPr>
            </w:pPr>
          </w:p>
        </w:tc>
        <w:tc>
          <w:tcPr>
            <w:tcW w:w="1256" w:type="pct"/>
            <w:vMerge/>
          </w:tcPr>
          <w:p w:rsidR="0088667E" w:rsidRPr="00C344E8" w:rsidRDefault="0088667E" w:rsidP="002568ED">
            <w:pPr>
              <w:spacing w:before="0" w:after="0" w:line="240" w:lineRule="auto"/>
              <w:rPr>
                <w:lang w:eastAsia="en-GB" w:bidi="hi-IN"/>
              </w:rPr>
            </w:pPr>
          </w:p>
        </w:tc>
      </w:tr>
      <w:tr w:rsidR="0088667E" w:rsidRPr="00510DFE" w:rsidTr="00FE764D">
        <w:tc>
          <w:tcPr>
            <w:tcW w:w="1132" w:type="pct"/>
          </w:tcPr>
          <w:p w:rsidR="0088667E" w:rsidRPr="00C344E8" w:rsidRDefault="0088667E" w:rsidP="002568ED">
            <w:pPr>
              <w:pStyle w:val="TableText"/>
              <w:spacing w:before="0" w:after="0" w:line="240" w:lineRule="auto"/>
              <w:rPr>
                <w:lang w:eastAsia="en-GB" w:bidi="hi-IN"/>
              </w:rPr>
            </w:pPr>
            <w:r w:rsidRPr="00C344E8">
              <w:rPr>
                <w:lang w:eastAsia="en-GB" w:bidi="hi-IN"/>
              </w:rPr>
              <w:t>Bangladesh</w:t>
            </w:r>
          </w:p>
        </w:tc>
        <w:tc>
          <w:tcPr>
            <w:tcW w:w="1304" w:type="pct"/>
          </w:tcPr>
          <w:p w:rsidR="0088667E" w:rsidRPr="00C344E8" w:rsidRDefault="0088667E" w:rsidP="002568ED">
            <w:pPr>
              <w:pStyle w:val="TableText"/>
              <w:spacing w:before="0" w:after="0" w:line="240" w:lineRule="auto"/>
              <w:rPr>
                <w:lang w:eastAsia="en-GB" w:bidi="hi-IN"/>
              </w:rPr>
            </w:pPr>
            <w:r w:rsidRPr="00C344E8">
              <w:rPr>
                <w:lang w:eastAsia="en-GB" w:bidi="hi-IN"/>
              </w:rPr>
              <w:t>More than 40</w:t>
            </w:r>
          </w:p>
        </w:tc>
        <w:tc>
          <w:tcPr>
            <w:tcW w:w="1308" w:type="pct"/>
          </w:tcPr>
          <w:p w:rsidR="0088667E" w:rsidRPr="00C344E8" w:rsidRDefault="0088667E" w:rsidP="002568ED">
            <w:pPr>
              <w:pStyle w:val="TableText"/>
              <w:spacing w:before="0" w:after="0" w:line="240" w:lineRule="auto"/>
              <w:rPr>
                <w:lang w:eastAsia="en-GB" w:bidi="hi-IN"/>
              </w:rPr>
            </w:pPr>
            <w:r w:rsidRPr="00C344E8">
              <w:rPr>
                <w:lang w:eastAsia="en-GB" w:bidi="hi-IN"/>
              </w:rPr>
              <w:t>2**, 15*</w:t>
            </w:r>
          </w:p>
        </w:tc>
        <w:tc>
          <w:tcPr>
            <w:tcW w:w="1256" w:type="pct"/>
          </w:tcPr>
          <w:p w:rsidR="0088667E" w:rsidRPr="00C344E8" w:rsidRDefault="0088667E" w:rsidP="002568ED">
            <w:pPr>
              <w:pStyle w:val="TableText"/>
              <w:spacing w:before="0" w:after="0" w:line="240" w:lineRule="auto"/>
              <w:rPr>
                <w:lang w:eastAsia="en-GB" w:bidi="hi-IN"/>
              </w:rPr>
            </w:pPr>
            <w:r w:rsidRPr="00C344E8">
              <w:rPr>
                <w:lang w:eastAsia="en-GB" w:bidi="hi-IN"/>
              </w:rPr>
              <w:t>0</w:t>
            </w:r>
          </w:p>
        </w:tc>
      </w:tr>
      <w:tr w:rsidR="0088667E" w:rsidRPr="00510DFE" w:rsidTr="00FE764D">
        <w:tc>
          <w:tcPr>
            <w:tcW w:w="1132" w:type="pct"/>
          </w:tcPr>
          <w:p w:rsidR="0088667E" w:rsidRPr="00C344E8" w:rsidRDefault="0088667E" w:rsidP="002568ED">
            <w:pPr>
              <w:pStyle w:val="TableText"/>
              <w:spacing w:before="0" w:after="0" w:line="240" w:lineRule="auto"/>
              <w:rPr>
                <w:lang w:eastAsia="en-GB" w:bidi="hi-IN"/>
              </w:rPr>
            </w:pPr>
            <w:r w:rsidRPr="00C344E8">
              <w:rPr>
                <w:lang w:eastAsia="en-GB" w:bidi="hi-IN"/>
              </w:rPr>
              <w:t>Cambodia</w:t>
            </w:r>
          </w:p>
        </w:tc>
        <w:tc>
          <w:tcPr>
            <w:tcW w:w="1304" w:type="pct"/>
          </w:tcPr>
          <w:p w:rsidR="0088667E" w:rsidRPr="00C344E8" w:rsidRDefault="0088667E" w:rsidP="002568ED">
            <w:pPr>
              <w:pStyle w:val="TableText"/>
              <w:spacing w:before="0" w:after="0" w:line="240" w:lineRule="auto"/>
              <w:rPr>
                <w:lang w:eastAsia="en-GB" w:bidi="hi-IN"/>
              </w:rPr>
            </w:pPr>
            <w:r w:rsidRPr="00C344E8">
              <w:rPr>
                <w:lang w:eastAsia="en-GB" w:bidi="hi-IN"/>
              </w:rPr>
              <w:t>More than 40</w:t>
            </w:r>
          </w:p>
        </w:tc>
        <w:tc>
          <w:tcPr>
            <w:tcW w:w="1308" w:type="pct"/>
          </w:tcPr>
          <w:p w:rsidR="0088667E" w:rsidRPr="000429F1" w:rsidRDefault="0088667E" w:rsidP="002568ED">
            <w:pPr>
              <w:pStyle w:val="TableText"/>
              <w:spacing w:before="0" w:after="0" w:line="240" w:lineRule="auto"/>
              <w:rPr>
                <w:lang w:eastAsia="en-GB" w:bidi="hi-IN"/>
              </w:rPr>
            </w:pPr>
            <w:r w:rsidRPr="000429F1">
              <w:rPr>
                <w:lang w:eastAsia="en-GB" w:bidi="hi-IN"/>
              </w:rPr>
              <w:t>3**, 17*</w:t>
            </w:r>
          </w:p>
        </w:tc>
        <w:tc>
          <w:tcPr>
            <w:tcW w:w="1256" w:type="pct"/>
          </w:tcPr>
          <w:p w:rsidR="0088667E" w:rsidRPr="000429F1" w:rsidRDefault="0088667E" w:rsidP="002568ED">
            <w:pPr>
              <w:pStyle w:val="TableText"/>
              <w:spacing w:before="0" w:after="0" w:line="240" w:lineRule="auto"/>
              <w:rPr>
                <w:lang w:eastAsia="en-GB" w:bidi="hi-IN"/>
              </w:rPr>
            </w:pPr>
            <w:r w:rsidRPr="000429F1">
              <w:rPr>
                <w:lang w:eastAsia="en-GB" w:bidi="hi-IN"/>
              </w:rPr>
              <w:t>2</w:t>
            </w:r>
          </w:p>
        </w:tc>
      </w:tr>
      <w:tr w:rsidR="0088667E" w:rsidRPr="00510DFE" w:rsidTr="00FE764D">
        <w:tc>
          <w:tcPr>
            <w:tcW w:w="1132" w:type="pct"/>
          </w:tcPr>
          <w:p w:rsidR="0088667E" w:rsidRPr="00C344E8" w:rsidRDefault="0088667E" w:rsidP="002568ED">
            <w:pPr>
              <w:pStyle w:val="TableText"/>
              <w:spacing w:before="0" w:after="0" w:line="240" w:lineRule="auto"/>
              <w:rPr>
                <w:lang w:eastAsia="en-GB" w:bidi="hi-IN"/>
              </w:rPr>
            </w:pPr>
            <w:r w:rsidRPr="00C344E8">
              <w:rPr>
                <w:lang w:eastAsia="en-GB" w:bidi="hi-IN"/>
              </w:rPr>
              <w:t>Nepal</w:t>
            </w:r>
          </w:p>
        </w:tc>
        <w:tc>
          <w:tcPr>
            <w:tcW w:w="1304" w:type="pct"/>
          </w:tcPr>
          <w:p w:rsidR="0088667E" w:rsidRPr="00C344E8" w:rsidRDefault="0088667E" w:rsidP="002568ED">
            <w:pPr>
              <w:pStyle w:val="TableText"/>
              <w:spacing w:before="0" w:after="0" w:line="240" w:lineRule="auto"/>
              <w:rPr>
                <w:lang w:eastAsia="en-GB" w:bidi="hi-IN"/>
              </w:rPr>
            </w:pPr>
            <w:r w:rsidRPr="00C344E8">
              <w:rPr>
                <w:lang w:eastAsia="en-GB" w:bidi="hi-IN"/>
              </w:rPr>
              <w:t>33</w:t>
            </w:r>
          </w:p>
        </w:tc>
        <w:tc>
          <w:tcPr>
            <w:tcW w:w="1308" w:type="pct"/>
          </w:tcPr>
          <w:p w:rsidR="0088667E" w:rsidRPr="000429F1" w:rsidRDefault="0088667E" w:rsidP="002568ED">
            <w:pPr>
              <w:pStyle w:val="TableText"/>
              <w:spacing w:before="0" w:after="0" w:line="240" w:lineRule="auto"/>
              <w:rPr>
                <w:lang w:eastAsia="en-GB" w:bidi="hi-IN"/>
              </w:rPr>
            </w:pPr>
            <w:r w:rsidRPr="000429F1">
              <w:rPr>
                <w:lang w:eastAsia="en-GB" w:bidi="hi-IN"/>
              </w:rPr>
              <w:t>6-8**, 10*</w:t>
            </w:r>
          </w:p>
        </w:tc>
        <w:tc>
          <w:tcPr>
            <w:tcW w:w="1256" w:type="pct"/>
          </w:tcPr>
          <w:p w:rsidR="0088667E" w:rsidRPr="000429F1" w:rsidRDefault="0088667E" w:rsidP="002568ED">
            <w:pPr>
              <w:pStyle w:val="TableText"/>
              <w:spacing w:before="0" w:after="0" w:line="240" w:lineRule="auto"/>
              <w:rPr>
                <w:lang w:eastAsia="en-GB" w:bidi="hi-IN"/>
              </w:rPr>
            </w:pPr>
            <w:r w:rsidRPr="000429F1">
              <w:rPr>
                <w:lang w:eastAsia="en-GB" w:bidi="hi-IN"/>
              </w:rPr>
              <w:t>2</w:t>
            </w:r>
          </w:p>
        </w:tc>
      </w:tr>
      <w:tr w:rsidR="0088667E" w:rsidRPr="00510DFE" w:rsidTr="00FE764D">
        <w:tc>
          <w:tcPr>
            <w:tcW w:w="1132" w:type="pct"/>
          </w:tcPr>
          <w:p w:rsidR="0088667E" w:rsidRPr="00C344E8" w:rsidRDefault="0088667E" w:rsidP="0097056D">
            <w:pPr>
              <w:pStyle w:val="TableText"/>
              <w:spacing w:before="0" w:after="0" w:line="240" w:lineRule="auto"/>
              <w:rPr>
                <w:lang w:eastAsia="en-GB" w:bidi="hi-IN"/>
              </w:rPr>
            </w:pPr>
            <w:r w:rsidRPr="00C344E8">
              <w:rPr>
                <w:lang w:eastAsia="en-GB" w:bidi="hi-IN"/>
              </w:rPr>
              <w:t>P</w:t>
            </w:r>
            <w:r w:rsidR="00DF1DD1">
              <w:rPr>
                <w:lang w:eastAsia="en-GB" w:bidi="hi-IN"/>
              </w:rPr>
              <w:t>apua New Guinea</w:t>
            </w:r>
          </w:p>
        </w:tc>
        <w:tc>
          <w:tcPr>
            <w:tcW w:w="1304" w:type="pct"/>
          </w:tcPr>
          <w:p w:rsidR="0088667E" w:rsidRPr="00C344E8" w:rsidRDefault="0088667E" w:rsidP="002568ED">
            <w:pPr>
              <w:pStyle w:val="TableText"/>
              <w:spacing w:before="0" w:after="0" w:line="240" w:lineRule="auto"/>
              <w:rPr>
                <w:lang w:eastAsia="en-GB" w:bidi="hi-IN"/>
              </w:rPr>
            </w:pPr>
            <w:r w:rsidRPr="00C344E8">
              <w:rPr>
                <w:lang w:eastAsia="en-GB" w:bidi="hi-IN"/>
              </w:rPr>
              <w:t>32</w:t>
            </w:r>
          </w:p>
        </w:tc>
        <w:tc>
          <w:tcPr>
            <w:tcW w:w="1308" w:type="pct"/>
          </w:tcPr>
          <w:p w:rsidR="0088667E" w:rsidRPr="00C344E8" w:rsidRDefault="0088667E" w:rsidP="002568ED">
            <w:pPr>
              <w:pStyle w:val="TableText"/>
              <w:spacing w:before="0" w:after="0" w:line="240" w:lineRule="auto"/>
              <w:rPr>
                <w:lang w:eastAsia="en-GB" w:bidi="hi-IN"/>
              </w:rPr>
            </w:pPr>
            <w:r w:rsidRPr="00C344E8">
              <w:rPr>
                <w:lang w:eastAsia="en-GB" w:bidi="hi-IN"/>
              </w:rPr>
              <w:t>1**, 10*</w:t>
            </w:r>
          </w:p>
        </w:tc>
        <w:tc>
          <w:tcPr>
            <w:tcW w:w="1256" w:type="pct"/>
          </w:tcPr>
          <w:p w:rsidR="0088667E" w:rsidRPr="00C344E8" w:rsidRDefault="0088667E" w:rsidP="002568ED">
            <w:pPr>
              <w:pStyle w:val="TableText"/>
              <w:spacing w:before="0" w:after="0" w:line="240" w:lineRule="auto"/>
              <w:rPr>
                <w:lang w:eastAsia="en-GB" w:bidi="hi-IN"/>
              </w:rPr>
            </w:pPr>
            <w:r w:rsidRPr="00C344E8">
              <w:rPr>
                <w:lang w:eastAsia="en-GB" w:bidi="hi-IN"/>
              </w:rPr>
              <w:t>1-2</w:t>
            </w:r>
          </w:p>
        </w:tc>
      </w:tr>
      <w:tr w:rsidR="0088667E" w:rsidRPr="00510DFE" w:rsidTr="00FE764D">
        <w:tc>
          <w:tcPr>
            <w:tcW w:w="1132" w:type="pct"/>
          </w:tcPr>
          <w:p w:rsidR="0088667E" w:rsidRPr="00C344E8" w:rsidRDefault="0088667E" w:rsidP="002568ED">
            <w:pPr>
              <w:pStyle w:val="TableText"/>
              <w:spacing w:before="0" w:after="0" w:line="240" w:lineRule="auto"/>
              <w:rPr>
                <w:lang w:eastAsia="en-GB" w:bidi="hi-IN"/>
              </w:rPr>
            </w:pPr>
            <w:r w:rsidRPr="00C344E8">
              <w:rPr>
                <w:lang w:eastAsia="en-GB" w:bidi="hi-IN"/>
              </w:rPr>
              <w:t>Samoa</w:t>
            </w:r>
          </w:p>
        </w:tc>
        <w:tc>
          <w:tcPr>
            <w:tcW w:w="1304" w:type="pct"/>
          </w:tcPr>
          <w:p w:rsidR="0088667E" w:rsidRPr="00C344E8" w:rsidRDefault="0088667E" w:rsidP="002568ED">
            <w:pPr>
              <w:pStyle w:val="TableText"/>
              <w:spacing w:before="0" w:after="0" w:line="240" w:lineRule="auto"/>
              <w:rPr>
                <w:lang w:eastAsia="en-GB" w:bidi="hi-IN"/>
              </w:rPr>
            </w:pPr>
            <w:r w:rsidRPr="00C344E8">
              <w:rPr>
                <w:lang w:eastAsia="en-GB" w:bidi="hi-IN"/>
              </w:rPr>
              <w:t>20</w:t>
            </w:r>
          </w:p>
        </w:tc>
        <w:tc>
          <w:tcPr>
            <w:tcW w:w="1308" w:type="pct"/>
          </w:tcPr>
          <w:p w:rsidR="0088667E" w:rsidRPr="00C344E8" w:rsidRDefault="0088667E" w:rsidP="002568ED">
            <w:pPr>
              <w:pStyle w:val="TableText"/>
              <w:spacing w:before="0" w:after="0" w:line="240" w:lineRule="auto"/>
              <w:rPr>
                <w:lang w:eastAsia="en-GB" w:bidi="hi-IN"/>
              </w:rPr>
            </w:pPr>
            <w:r w:rsidRPr="00C344E8">
              <w:rPr>
                <w:lang w:eastAsia="en-GB" w:bidi="hi-IN"/>
              </w:rPr>
              <w:t>3**, 10*</w:t>
            </w:r>
          </w:p>
        </w:tc>
        <w:tc>
          <w:tcPr>
            <w:tcW w:w="1256" w:type="pct"/>
          </w:tcPr>
          <w:p w:rsidR="0088667E" w:rsidRPr="00C344E8" w:rsidRDefault="0088667E" w:rsidP="002568ED">
            <w:pPr>
              <w:pStyle w:val="TableText"/>
              <w:spacing w:before="0" w:after="0" w:line="240" w:lineRule="auto"/>
              <w:rPr>
                <w:lang w:eastAsia="en-GB" w:bidi="hi-IN"/>
              </w:rPr>
            </w:pPr>
            <w:r w:rsidRPr="00C344E8">
              <w:rPr>
                <w:lang w:eastAsia="en-GB" w:bidi="hi-IN"/>
              </w:rPr>
              <w:t>2</w:t>
            </w:r>
          </w:p>
        </w:tc>
      </w:tr>
      <w:tr w:rsidR="0088667E" w:rsidRPr="00510DFE" w:rsidTr="00FE764D">
        <w:tc>
          <w:tcPr>
            <w:tcW w:w="1132" w:type="pct"/>
          </w:tcPr>
          <w:p w:rsidR="0088667E" w:rsidRPr="00C344E8" w:rsidRDefault="0088667E" w:rsidP="002568ED">
            <w:pPr>
              <w:pStyle w:val="TableText"/>
              <w:spacing w:before="0" w:after="0" w:line="240" w:lineRule="auto"/>
              <w:rPr>
                <w:lang w:eastAsia="en-GB" w:bidi="hi-IN"/>
              </w:rPr>
            </w:pPr>
            <w:r w:rsidRPr="00C344E8">
              <w:rPr>
                <w:lang w:eastAsia="en-GB" w:bidi="hi-IN"/>
              </w:rPr>
              <w:t>Solomon Islands</w:t>
            </w:r>
          </w:p>
        </w:tc>
        <w:tc>
          <w:tcPr>
            <w:tcW w:w="1304" w:type="pct"/>
          </w:tcPr>
          <w:p w:rsidR="0088667E" w:rsidRPr="00C344E8" w:rsidRDefault="0088667E" w:rsidP="002568ED">
            <w:pPr>
              <w:pStyle w:val="TableText"/>
              <w:spacing w:before="0" w:after="0" w:line="240" w:lineRule="auto"/>
              <w:rPr>
                <w:lang w:eastAsia="en-GB" w:bidi="hi-IN"/>
              </w:rPr>
            </w:pPr>
            <w:r w:rsidRPr="00C344E8">
              <w:rPr>
                <w:lang w:eastAsia="en-GB" w:bidi="hi-IN"/>
              </w:rPr>
              <w:t>More than 40</w:t>
            </w:r>
          </w:p>
        </w:tc>
        <w:tc>
          <w:tcPr>
            <w:tcW w:w="1308" w:type="pct"/>
          </w:tcPr>
          <w:p w:rsidR="0088667E" w:rsidRPr="00C344E8" w:rsidRDefault="0088667E" w:rsidP="002568ED">
            <w:pPr>
              <w:pStyle w:val="TableText"/>
              <w:spacing w:before="0" w:after="0" w:line="240" w:lineRule="auto"/>
              <w:rPr>
                <w:lang w:eastAsia="en-GB" w:bidi="hi-IN"/>
              </w:rPr>
            </w:pPr>
            <w:r w:rsidRPr="00C344E8">
              <w:rPr>
                <w:lang w:eastAsia="en-GB" w:bidi="hi-IN"/>
              </w:rPr>
              <w:t>4**, 9*</w:t>
            </w:r>
          </w:p>
        </w:tc>
        <w:tc>
          <w:tcPr>
            <w:tcW w:w="1256" w:type="pct"/>
          </w:tcPr>
          <w:p w:rsidR="0088667E" w:rsidRPr="00C344E8" w:rsidRDefault="0088667E" w:rsidP="002568ED">
            <w:pPr>
              <w:pStyle w:val="TableText"/>
              <w:spacing w:before="0" w:after="0" w:line="240" w:lineRule="auto"/>
              <w:rPr>
                <w:lang w:eastAsia="en-GB" w:bidi="hi-IN"/>
              </w:rPr>
            </w:pPr>
            <w:r w:rsidRPr="00C344E8">
              <w:rPr>
                <w:lang w:eastAsia="en-GB" w:bidi="hi-IN"/>
              </w:rPr>
              <w:t>2</w:t>
            </w:r>
          </w:p>
        </w:tc>
      </w:tr>
      <w:tr w:rsidR="0088667E" w:rsidRPr="00510DFE" w:rsidTr="00FE764D">
        <w:tc>
          <w:tcPr>
            <w:tcW w:w="1132" w:type="pct"/>
          </w:tcPr>
          <w:p w:rsidR="0088667E" w:rsidRPr="00C344E8" w:rsidRDefault="0088667E" w:rsidP="002568ED">
            <w:pPr>
              <w:pStyle w:val="TableText"/>
              <w:spacing w:before="0" w:after="0" w:line="240" w:lineRule="auto"/>
              <w:rPr>
                <w:lang w:eastAsia="en-GB" w:bidi="hi-IN"/>
              </w:rPr>
            </w:pPr>
            <w:r w:rsidRPr="00C344E8">
              <w:rPr>
                <w:lang w:eastAsia="en-GB" w:bidi="hi-IN"/>
              </w:rPr>
              <w:t xml:space="preserve">Timor </w:t>
            </w:r>
            <w:proofErr w:type="spellStart"/>
            <w:r w:rsidRPr="00C344E8">
              <w:rPr>
                <w:lang w:eastAsia="en-GB" w:bidi="hi-IN"/>
              </w:rPr>
              <w:t>Leste</w:t>
            </w:r>
            <w:proofErr w:type="spellEnd"/>
          </w:p>
        </w:tc>
        <w:tc>
          <w:tcPr>
            <w:tcW w:w="1304" w:type="pct"/>
          </w:tcPr>
          <w:p w:rsidR="0088667E" w:rsidRPr="00C344E8" w:rsidRDefault="0088667E" w:rsidP="002568ED">
            <w:pPr>
              <w:pStyle w:val="TableText"/>
              <w:spacing w:before="0" w:after="0" w:line="240" w:lineRule="auto"/>
              <w:rPr>
                <w:lang w:eastAsia="en-GB" w:bidi="hi-IN"/>
              </w:rPr>
            </w:pPr>
            <w:r w:rsidRPr="00C344E8">
              <w:rPr>
                <w:lang w:eastAsia="en-GB" w:bidi="hi-IN"/>
              </w:rPr>
              <w:t>20</w:t>
            </w:r>
          </w:p>
        </w:tc>
        <w:tc>
          <w:tcPr>
            <w:tcW w:w="1308" w:type="pct"/>
          </w:tcPr>
          <w:p w:rsidR="0088667E" w:rsidRPr="00C344E8" w:rsidRDefault="0088667E" w:rsidP="002568ED">
            <w:pPr>
              <w:pStyle w:val="TableText"/>
              <w:spacing w:before="0" w:after="0" w:line="240" w:lineRule="auto"/>
              <w:rPr>
                <w:lang w:eastAsia="en-GB" w:bidi="hi-IN"/>
              </w:rPr>
            </w:pPr>
            <w:r w:rsidRPr="00C344E8">
              <w:rPr>
                <w:lang w:eastAsia="en-GB" w:bidi="hi-IN"/>
              </w:rPr>
              <w:t>1**, 8*</w:t>
            </w:r>
          </w:p>
        </w:tc>
        <w:tc>
          <w:tcPr>
            <w:tcW w:w="1256" w:type="pct"/>
          </w:tcPr>
          <w:p w:rsidR="0088667E" w:rsidRPr="00C344E8" w:rsidRDefault="0088667E" w:rsidP="002568ED">
            <w:pPr>
              <w:pStyle w:val="TableText"/>
              <w:spacing w:before="0" w:after="0" w:line="240" w:lineRule="auto"/>
              <w:rPr>
                <w:lang w:eastAsia="en-GB" w:bidi="hi-IN"/>
              </w:rPr>
            </w:pPr>
            <w:r w:rsidRPr="00C344E8">
              <w:rPr>
                <w:lang w:eastAsia="en-GB" w:bidi="hi-IN"/>
              </w:rPr>
              <w:t>0</w:t>
            </w:r>
          </w:p>
        </w:tc>
      </w:tr>
    </w:tbl>
    <w:p w:rsidR="00253CF5" w:rsidRPr="000429F1" w:rsidRDefault="000429F1">
      <w:pPr>
        <w:spacing w:before="0" w:after="0" w:line="240" w:lineRule="auto"/>
        <w:rPr>
          <w:bCs/>
          <w:sz w:val="16"/>
          <w:szCs w:val="16"/>
        </w:rPr>
      </w:pPr>
      <w:r w:rsidRPr="000429F1">
        <w:rPr>
          <w:bCs/>
          <w:sz w:val="16"/>
          <w:szCs w:val="16"/>
        </w:rPr>
        <w:t>* Somewhat relevant or potentially useful</w:t>
      </w:r>
    </w:p>
    <w:p w:rsidR="000429F1" w:rsidRDefault="000429F1">
      <w:pPr>
        <w:spacing w:before="0" w:after="0" w:line="240" w:lineRule="auto"/>
        <w:rPr>
          <w:bCs/>
          <w:sz w:val="16"/>
          <w:szCs w:val="16"/>
        </w:rPr>
      </w:pPr>
      <w:r w:rsidRPr="000429F1">
        <w:rPr>
          <w:bCs/>
          <w:sz w:val="16"/>
          <w:szCs w:val="16"/>
        </w:rPr>
        <w:t>** Highly relevant or potentially useful</w:t>
      </w:r>
    </w:p>
    <w:p w:rsidR="000429F1" w:rsidRPr="000429F1" w:rsidRDefault="000429F1">
      <w:pPr>
        <w:spacing w:before="0" w:after="0" w:line="240" w:lineRule="auto"/>
        <w:rPr>
          <w:bCs/>
          <w:sz w:val="16"/>
          <w:szCs w:val="16"/>
        </w:rPr>
      </w:pPr>
    </w:p>
    <w:p w:rsidR="00720360" w:rsidRPr="00720360" w:rsidRDefault="00720360" w:rsidP="00720360">
      <w:pPr>
        <w:pStyle w:val="TableName"/>
      </w:pPr>
      <w:bookmarkStart w:id="10" w:name="_Toc402192195"/>
      <w:r w:rsidRPr="00720360">
        <w:t>Table 2</w:t>
      </w:r>
      <w:r w:rsidR="00911FF9">
        <w:tab/>
      </w:r>
      <w:r w:rsidR="008463D7" w:rsidRPr="008463D7">
        <w:t>Summary of main evaluations used</w:t>
      </w:r>
      <w:bookmarkEnd w:id="10"/>
      <w:r w:rsidR="008463D7" w:rsidRPr="008463D7">
        <w:t xml:space="preserve"> </w:t>
      </w:r>
    </w:p>
    <w:tbl>
      <w:tblPr>
        <w:tblpPr w:leftFromText="180" w:rightFromText="180" w:vertAnchor="text"/>
        <w:tblW w:w="5000" w:type="pct"/>
        <w:tblCellMar>
          <w:left w:w="0" w:type="dxa"/>
          <w:right w:w="0" w:type="dxa"/>
        </w:tblCellMar>
        <w:tblLook w:val="04A0" w:firstRow="1" w:lastRow="0" w:firstColumn="1" w:lastColumn="0" w:noHBand="0" w:noVBand="1"/>
      </w:tblPr>
      <w:tblGrid>
        <w:gridCol w:w="1102"/>
        <w:gridCol w:w="8140"/>
      </w:tblGrid>
      <w:tr w:rsidR="00720360" w:rsidTr="00720360">
        <w:trPr>
          <w:cantSplit/>
          <w:trHeight w:val="426"/>
        </w:trPr>
        <w:tc>
          <w:tcPr>
            <w:tcW w:w="596" w:type="pct"/>
            <w:tcBorders>
              <w:top w:val="single" w:sz="8" w:space="0" w:color="007FAD"/>
              <w:left w:val="nil"/>
              <w:bottom w:val="single" w:sz="8" w:space="0" w:color="007FAD"/>
              <w:right w:val="nil"/>
            </w:tcBorders>
            <w:shd w:val="clear" w:color="auto" w:fill="007FAD"/>
            <w:tcMar>
              <w:top w:w="85" w:type="dxa"/>
              <w:left w:w="108" w:type="dxa"/>
              <w:bottom w:w="85" w:type="dxa"/>
              <w:right w:w="108" w:type="dxa"/>
            </w:tcMar>
            <w:hideMark/>
          </w:tcPr>
          <w:p w:rsidR="00720360" w:rsidRDefault="00911FF9" w:rsidP="00911FF9">
            <w:pPr>
              <w:pStyle w:val="TableHeading2"/>
            </w:pPr>
            <w:r>
              <w:t>Country</w:t>
            </w:r>
          </w:p>
        </w:tc>
        <w:tc>
          <w:tcPr>
            <w:tcW w:w="4404" w:type="pct"/>
            <w:tcBorders>
              <w:top w:val="single" w:sz="8" w:space="0" w:color="007FAD"/>
              <w:left w:val="nil"/>
              <w:bottom w:val="single" w:sz="8" w:space="0" w:color="007FAD"/>
              <w:right w:val="nil"/>
            </w:tcBorders>
            <w:shd w:val="clear" w:color="auto" w:fill="007FAD"/>
            <w:tcMar>
              <w:top w:w="85" w:type="dxa"/>
              <w:left w:w="108" w:type="dxa"/>
              <w:bottom w:w="85" w:type="dxa"/>
              <w:right w:w="108" w:type="dxa"/>
            </w:tcMar>
            <w:hideMark/>
          </w:tcPr>
          <w:p w:rsidR="00720360" w:rsidRDefault="00720360" w:rsidP="00911FF9">
            <w:pPr>
              <w:pStyle w:val="TableHeading"/>
            </w:pPr>
            <w:r>
              <w:t xml:space="preserve">Main evaluations and reviews </w:t>
            </w:r>
          </w:p>
        </w:tc>
      </w:tr>
      <w:tr w:rsidR="00720360" w:rsidTr="00720360">
        <w:trPr>
          <w:cantSplit/>
        </w:trPr>
        <w:tc>
          <w:tcPr>
            <w:tcW w:w="596" w:type="pct"/>
            <w:tcBorders>
              <w:top w:val="nil"/>
              <w:left w:val="nil"/>
              <w:bottom w:val="single" w:sz="8" w:space="0" w:color="007FAD"/>
              <w:right w:val="nil"/>
            </w:tcBorders>
            <w:shd w:val="clear" w:color="auto" w:fill="FFFFFF"/>
            <w:tcMar>
              <w:top w:w="85" w:type="dxa"/>
              <w:left w:w="108" w:type="dxa"/>
              <w:bottom w:w="85" w:type="dxa"/>
              <w:right w:w="108" w:type="dxa"/>
            </w:tcMar>
            <w:hideMark/>
          </w:tcPr>
          <w:p w:rsidR="00720360" w:rsidRDefault="00720360">
            <w:pPr>
              <w:pStyle w:val="TableText"/>
            </w:pPr>
            <w:r>
              <w:t>Bangladesh</w:t>
            </w:r>
          </w:p>
        </w:tc>
        <w:tc>
          <w:tcPr>
            <w:tcW w:w="4404" w:type="pct"/>
            <w:tcBorders>
              <w:top w:val="nil"/>
              <w:left w:val="nil"/>
              <w:bottom w:val="single" w:sz="8" w:space="0" w:color="007FAD"/>
              <w:right w:val="nil"/>
            </w:tcBorders>
            <w:shd w:val="clear" w:color="auto" w:fill="FFFFFF"/>
            <w:tcMar>
              <w:top w:w="85" w:type="dxa"/>
              <w:left w:w="108" w:type="dxa"/>
              <w:bottom w:w="85" w:type="dxa"/>
              <w:right w:w="108" w:type="dxa"/>
            </w:tcMar>
            <w:hideMark/>
          </w:tcPr>
          <w:p w:rsidR="00720360" w:rsidRDefault="00720360" w:rsidP="00FE764D">
            <w:pPr>
              <w:pStyle w:val="TableText"/>
              <w:rPr>
                <w:lang w:val="en-US"/>
              </w:rPr>
            </w:pPr>
            <w:r>
              <w:rPr>
                <w:lang w:val="en-US"/>
              </w:rPr>
              <w:t xml:space="preserve">The timeframe of our review focuses on a sector program in a state of transition, when the foundations of the </w:t>
            </w:r>
            <w:r w:rsidRPr="00E60C43">
              <w:rPr>
                <w:lang w:val="en-US"/>
              </w:rPr>
              <w:t xml:space="preserve">new </w:t>
            </w:r>
            <w:r w:rsidR="00D130FD" w:rsidRPr="00E60C43">
              <w:rPr>
                <w:lang w:val="en-US"/>
              </w:rPr>
              <w:t xml:space="preserve">Health Population and Nutrition Sector Development Program (HPNSDP, </w:t>
            </w:r>
            <w:r w:rsidR="00FE764D" w:rsidRPr="00E60C43">
              <w:rPr>
                <w:lang w:val="en-US"/>
              </w:rPr>
              <w:t>2011-2016</w:t>
            </w:r>
            <w:r w:rsidR="00D130FD" w:rsidRPr="00E60C43">
              <w:rPr>
                <w:lang w:val="en-US"/>
              </w:rPr>
              <w:t xml:space="preserve">) </w:t>
            </w:r>
            <w:r w:rsidRPr="00E60C43">
              <w:rPr>
                <w:lang w:val="en-US"/>
              </w:rPr>
              <w:t xml:space="preserve">were being laid. </w:t>
            </w:r>
            <w:r w:rsidR="00D130FD" w:rsidRPr="00E60C43">
              <w:rPr>
                <w:lang w:val="en-US"/>
              </w:rPr>
              <w:t>N</w:t>
            </w:r>
            <w:r w:rsidRPr="00E60C43">
              <w:rPr>
                <w:lang w:val="en-US"/>
              </w:rPr>
              <w:t xml:space="preserve">o evaluations </w:t>
            </w:r>
            <w:r w:rsidR="00D130FD" w:rsidRPr="00E60C43">
              <w:rPr>
                <w:lang w:val="en-US"/>
              </w:rPr>
              <w:t>are</w:t>
            </w:r>
            <w:r w:rsidRPr="00E60C43">
              <w:rPr>
                <w:lang w:val="en-US"/>
              </w:rPr>
              <w:t xml:space="preserve"> available for the period covered </w:t>
            </w:r>
            <w:r w:rsidR="00FE764D" w:rsidRPr="00E60C43">
              <w:rPr>
                <w:lang w:val="en-US"/>
              </w:rPr>
              <w:t xml:space="preserve">by </w:t>
            </w:r>
            <w:r w:rsidRPr="00E60C43">
              <w:rPr>
                <w:lang w:val="en-US"/>
              </w:rPr>
              <w:t>this review.</w:t>
            </w:r>
            <w:r w:rsidRPr="00D130FD">
              <w:rPr>
                <w:lang w:val="en-US"/>
              </w:rPr>
              <w:t xml:space="preserve"> </w:t>
            </w:r>
            <w:r>
              <w:rPr>
                <w:lang w:val="en-US"/>
              </w:rPr>
              <w:t>However, there is plenty of evidence from independent reviews of all or parts of the program, since the sector program has been independently reviewed in A</w:t>
            </w:r>
            <w:r w:rsidR="00D130FD">
              <w:rPr>
                <w:lang w:val="en-US"/>
              </w:rPr>
              <w:t xml:space="preserve">nnual </w:t>
            </w:r>
            <w:r>
              <w:rPr>
                <w:lang w:val="en-US"/>
              </w:rPr>
              <w:t>P</w:t>
            </w:r>
            <w:r w:rsidR="00D130FD">
              <w:rPr>
                <w:lang w:val="en-US"/>
              </w:rPr>
              <w:t xml:space="preserve">rogress </w:t>
            </w:r>
            <w:r>
              <w:rPr>
                <w:lang w:val="en-US"/>
              </w:rPr>
              <w:t>R</w:t>
            </w:r>
            <w:r w:rsidR="00D130FD">
              <w:rPr>
                <w:lang w:val="en-US"/>
              </w:rPr>
              <w:t xml:space="preserve">eviews </w:t>
            </w:r>
            <w:r>
              <w:rPr>
                <w:lang w:val="en-US"/>
              </w:rPr>
              <w:t xml:space="preserve">and Mid-Term Reviews </w:t>
            </w:r>
            <w:r w:rsidR="00B13CB5">
              <w:rPr>
                <w:lang w:val="en-US"/>
              </w:rPr>
              <w:t xml:space="preserve">(MTRs) </w:t>
            </w:r>
            <w:r>
              <w:rPr>
                <w:lang w:val="en-US"/>
              </w:rPr>
              <w:t xml:space="preserve">since 1998. </w:t>
            </w:r>
            <w:r w:rsidR="00D130FD">
              <w:rPr>
                <w:lang w:val="en-US"/>
              </w:rPr>
              <w:t xml:space="preserve">Our </w:t>
            </w:r>
            <w:r>
              <w:rPr>
                <w:lang w:val="en-US"/>
              </w:rPr>
              <w:t xml:space="preserve">main sources of information </w:t>
            </w:r>
            <w:r w:rsidR="00D130FD">
              <w:rPr>
                <w:lang w:val="en-US"/>
              </w:rPr>
              <w:t xml:space="preserve">are: </w:t>
            </w:r>
            <w:r>
              <w:rPr>
                <w:lang w:val="en-US"/>
              </w:rPr>
              <w:t>Strategic plan for HPNSDP 2011-2016; Program Implementation P</w:t>
            </w:r>
            <w:r w:rsidR="00D130FD">
              <w:rPr>
                <w:lang w:val="en-US"/>
              </w:rPr>
              <w:t xml:space="preserve">lan (PIP) of the HPNSDP (2011); Annual Progress Reviews </w:t>
            </w:r>
            <w:r>
              <w:rPr>
                <w:lang w:val="en-US"/>
              </w:rPr>
              <w:t>2012 and 2013</w:t>
            </w:r>
            <w:r w:rsidR="00D130FD">
              <w:rPr>
                <w:lang w:val="en-US"/>
              </w:rPr>
              <w:t>;</w:t>
            </w:r>
            <w:r>
              <w:rPr>
                <w:lang w:val="en-US"/>
              </w:rPr>
              <w:t xml:space="preserve"> </w:t>
            </w:r>
            <w:r w:rsidR="00D130FD">
              <w:rPr>
                <w:lang w:val="en-US"/>
              </w:rPr>
              <w:t xml:space="preserve">Australian </w:t>
            </w:r>
            <w:r w:rsidR="008F281B">
              <w:rPr>
                <w:lang w:val="en-US"/>
              </w:rPr>
              <w:t>aid program document</w:t>
            </w:r>
            <w:r>
              <w:rPr>
                <w:lang w:val="en-US"/>
              </w:rPr>
              <w:t>s inclu</w:t>
            </w:r>
            <w:r w:rsidR="00D130FD">
              <w:rPr>
                <w:lang w:val="en-US"/>
              </w:rPr>
              <w:t>ding a Quality at Entry Report and</w:t>
            </w:r>
            <w:r>
              <w:rPr>
                <w:lang w:val="en-US"/>
              </w:rPr>
              <w:t xml:space="preserve"> Aid Program Performance Reviews (APPR).</w:t>
            </w:r>
          </w:p>
        </w:tc>
      </w:tr>
      <w:tr w:rsidR="00720360" w:rsidTr="00720360">
        <w:trPr>
          <w:cantSplit/>
        </w:trPr>
        <w:tc>
          <w:tcPr>
            <w:tcW w:w="596" w:type="pct"/>
            <w:tcBorders>
              <w:top w:val="nil"/>
              <w:left w:val="nil"/>
              <w:bottom w:val="single" w:sz="8" w:space="0" w:color="007FAD"/>
              <w:right w:val="nil"/>
            </w:tcBorders>
            <w:shd w:val="clear" w:color="auto" w:fill="FFFFFF"/>
            <w:tcMar>
              <w:top w:w="85" w:type="dxa"/>
              <w:left w:w="108" w:type="dxa"/>
              <w:bottom w:w="85" w:type="dxa"/>
              <w:right w:w="108" w:type="dxa"/>
            </w:tcMar>
            <w:hideMark/>
          </w:tcPr>
          <w:p w:rsidR="00720360" w:rsidRDefault="00720360">
            <w:pPr>
              <w:pStyle w:val="TableText"/>
            </w:pPr>
            <w:r>
              <w:lastRenderedPageBreak/>
              <w:t>Cambodia</w:t>
            </w:r>
          </w:p>
        </w:tc>
        <w:tc>
          <w:tcPr>
            <w:tcW w:w="4404" w:type="pct"/>
            <w:tcBorders>
              <w:top w:val="nil"/>
              <w:left w:val="nil"/>
              <w:bottom w:val="single" w:sz="8" w:space="0" w:color="007FAD"/>
              <w:right w:val="nil"/>
            </w:tcBorders>
            <w:shd w:val="clear" w:color="auto" w:fill="FFFFFF"/>
            <w:tcMar>
              <w:top w:w="85" w:type="dxa"/>
              <w:left w:w="108" w:type="dxa"/>
              <w:bottom w:w="85" w:type="dxa"/>
              <w:right w:w="108" w:type="dxa"/>
            </w:tcMar>
            <w:hideMark/>
          </w:tcPr>
          <w:p w:rsidR="00720360" w:rsidRDefault="00720360" w:rsidP="00AC5559">
            <w:pPr>
              <w:pStyle w:val="TableText"/>
            </w:pPr>
            <w:r>
              <w:t>There have not been any formal evaluations of Cambodia’s Sector-wide Management (</w:t>
            </w:r>
            <w:proofErr w:type="spellStart"/>
            <w:r>
              <w:t>SWiM</w:t>
            </w:r>
            <w:proofErr w:type="spellEnd"/>
            <w:r>
              <w:t>). There are however two very good reviews conducted in 2006 and 2011</w:t>
            </w:r>
            <w:r w:rsidR="00DB6571">
              <w:t xml:space="preserve"> by </w:t>
            </w:r>
            <w:proofErr w:type="spellStart"/>
            <w:r w:rsidR="00DB6571">
              <w:t>Vaillancourt</w:t>
            </w:r>
            <w:proofErr w:type="spellEnd"/>
            <w:r w:rsidR="00AC5559">
              <w:t>;</w:t>
            </w:r>
            <w:r>
              <w:t xml:space="preserve"> </w:t>
            </w:r>
            <w:r w:rsidR="00AC5559">
              <w:t>w</w:t>
            </w:r>
            <w:r>
              <w:t>e have used the latter</w:t>
            </w:r>
            <w:r w:rsidR="00AC5559">
              <w:t>.</w:t>
            </w:r>
            <w:r>
              <w:t xml:space="preserve"> There is a considerable body of evidence on the performance of the </w:t>
            </w:r>
            <w:r w:rsidR="00AC5559">
              <w:t xml:space="preserve">second </w:t>
            </w:r>
            <w:r>
              <w:t>H</w:t>
            </w:r>
            <w:r w:rsidR="0011722F">
              <w:t xml:space="preserve">ealth Sector </w:t>
            </w:r>
            <w:r>
              <w:t>P</w:t>
            </w:r>
            <w:r w:rsidR="0011722F">
              <w:t xml:space="preserve">rogram </w:t>
            </w:r>
            <w:r w:rsidR="00AC5559">
              <w:t>and its related support program</w:t>
            </w:r>
            <w:r>
              <w:t xml:space="preserve">. </w:t>
            </w:r>
            <w:r w:rsidR="0011722F">
              <w:t>W</w:t>
            </w:r>
            <w:r>
              <w:t xml:space="preserve">e made extensive use of the </w:t>
            </w:r>
            <w:r w:rsidR="0011722F">
              <w:t xml:space="preserve">2011 </w:t>
            </w:r>
            <w:r w:rsidR="00A458FF">
              <w:t>mid-</w:t>
            </w:r>
            <w:r w:rsidR="00AC5559">
              <w:t>term review</w:t>
            </w:r>
            <w:r w:rsidR="00A458FF">
              <w:t>,</w:t>
            </w:r>
            <w:r>
              <w:t xml:space="preserve"> </w:t>
            </w:r>
            <w:r w:rsidR="0011722F">
              <w:t xml:space="preserve">and </w:t>
            </w:r>
            <w:r>
              <w:t xml:space="preserve">of </w:t>
            </w:r>
            <w:r w:rsidR="0011722F">
              <w:t xml:space="preserve">prior </w:t>
            </w:r>
            <w:r>
              <w:t xml:space="preserve">assessments </w:t>
            </w:r>
            <w:r w:rsidR="0011722F">
              <w:t>covering</w:t>
            </w:r>
            <w:r>
              <w:t xml:space="preserve">: health financing and contracting in the health sector (Hawkins); human resource development (less relevant for this review); aid effectiveness </w:t>
            </w:r>
            <w:r w:rsidR="0011722F">
              <w:t>(</w:t>
            </w:r>
            <w:proofErr w:type="spellStart"/>
            <w:r>
              <w:t>Vaillancourt</w:t>
            </w:r>
            <w:proofErr w:type="spellEnd"/>
            <w:r w:rsidR="0011722F">
              <w:t xml:space="preserve">, </w:t>
            </w:r>
            <w:r>
              <w:t>very relevant); gender issues (</w:t>
            </w:r>
            <w:proofErr w:type="spellStart"/>
            <w:r>
              <w:t>Frieson</w:t>
            </w:r>
            <w:proofErr w:type="spellEnd"/>
            <w:r>
              <w:t xml:space="preserve"> et al)</w:t>
            </w:r>
            <w:r w:rsidR="0011722F">
              <w:t xml:space="preserve">. </w:t>
            </w:r>
            <w:r>
              <w:t xml:space="preserve">Additional information has been drawn from the DFAT country office, </w:t>
            </w:r>
            <w:r w:rsidR="00AC5559">
              <w:t xml:space="preserve">UK </w:t>
            </w:r>
            <w:r>
              <w:t>D</w:t>
            </w:r>
            <w:r w:rsidR="00697C59">
              <w:t xml:space="preserve">epartment for </w:t>
            </w:r>
            <w:r>
              <w:t>I</w:t>
            </w:r>
            <w:r w:rsidR="00697C59">
              <w:t xml:space="preserve">nternational </w:t>
            </w:r>
            <w:r>
              <w:t>D</w:t>
            </w:r>
            <w:r w:rsidR="00697C59">
              <w:t>evelopment (DFID)</w:t>
            </w:r>
            <w:r>
              <w:t xml:space="preserve"> and the World Bank.</w:t>
            </w:r>
          </w:p>
        </w:tc>
      </w:tr>
      <w:tr w:rsidR="00720360" w:rsidTr="00720360">
        <w:trPr>
          <w:cantSplit/>
        </w:trPr>
        <w:tc>
          <w:tcPr>
            <w:tcW w:w="596" w:type="pct"/>
            <w:tcBorders>
              <w:top w:val="nil"/>
              <w:left w:val="nil"/>
              <w:bottom w:val="single" w:sz="8" w:space="0" w:color="007FAD"/>
              <w:right w:val="nil"/>
            </w:tcBorders>
            <w:shd w:val="clear" w:color="auto" w:fill="FFFFFF"/>
            <w:tcMar>
              <w:top w:w="85" w:type="dxa"/>
              <w:left w:w="108" w:type="dxa"/>
              <w:bottom w:w="85" w:type="dxa"/>
              <w:right w:w="108" w:type="dxa"/>
            </w:tcMar>
            <w:hideMark/>
          </w:tcPr>
          <w:p w:rsidR="00720360" w:rsidRDefault="00720360">
            <w:pPr>
              <w:pStyle w:val="TableText"/>
            </w:pPr>
            <w:r>
              <w:t>Nepal</w:t>
            </w:r>
          </w:p>
        </w:tc>
        <w:tc>
          <w:tcPr>
            <w:tcW w:w="4404" w:type="pct"/>
            <w:tcBorders>
              <w:top w:val="nil"/>
              <w:left w:val="nil"/>
              <w:bottom w:val="single" w:sz="8" w:space="0" w:color="007FAD"/>
              <w:right w:val="nil"/>
            </w:tcBorders>
            <w:shd w:val="clear" w:color="auto" w:fill="FFFFFF"/>
            <w:tcMar>
              <w:top w:w="85" w:type="dxa"/>
              <w:left w:w="108" w:type="dxa"/>
              <w:bottom w:w="85" w:type="dxa"/>
              <w:right w:w="108" w:type="dxa"/>
            </w:tcMar>
            <w:hideMark/>
          </w:tcPr>
          <w:p w:rsidR="00720360" w:rsidRDefault="00720360" w:rsidP="00735739">
            <w:pPr>
              <w:pStyle w:val="TableText"/>
            </w:pPr>
            <w:r>
              <w:t xml:space="preserve">There were no formal evaluations </w:t>
            </w:r>
            <w:r w:rsidR="00B13CB5">
              <w:t>for the period covered by</w:t>
            </w:r>
            <w:r>
              <w:t xml:space="preserve"> this review. However, there are a number of reviews conducted systematically (using an agreed approach and framework). T</w:t>
            </w:r>
            <w:r w:rsidR="00AC5559">
              <w:t>hese include two documents by AusAID (the 2012 a Q</w:t>
            </w:r>
            <w:r>
              <w:t xml:space="preserve">uality at Implementation Report </w:t>
            </w:r>
            <w:r w:rsidR="00AC5559">
              <w:t xml:space="preserve">and 2010 </w:t>
            </w:r>
            <w:r>
              <w:t>Nepal Dev</w:t>
            </w:r>
            <w:r w:rsidR="00AC5559">
              <w:t xml:space="preserve">elopment Cooperation Report); the 2013 </w:t>
            </w:r>
            <w:r>
              <w:t>M</w:t>
            </w:r>
            <w:r w:rsidR="00B13CB5">
              <w:t xml:space="preserve">TR; </w:t>
            </w:r>
            <w:r w:rsidR="00AC5559">
              <w:t xml:space="preserve">an assessment by </w:t>
            </w:r>
            <w:proofErr w:type="spellStart"/>
            <w:r w:rsidR="00B13CB5">
              <w:t>Vaillancourt</w:t>
            </w:r>
            <w:proofErr w:type="spellEnd"/>
            <w:r w:rsidR="00B13CB5">
              <w:t xml:space="preserve"> &amp; </w:t>
            </w:r>
            <w:proofErr w:type="spellStart"/>
            <w:r w:rsidR="00B13CB5">
              <w:t>Pokhrel</w:t>
            </w:r>
            <w:proofErr w:type="spellEnd"/>
            <w:r w:rsidR="00AC5559">
              <w:t xml:space="preserve"> (</w:t>
            </w:r>
            <w:r w:rsidR="00B13CB5">
              <w:t xml:space="preserve">2012); </w:t>
            </w:r>
            <w:r w:rsidR="00AC5559">
              <w:t>an a</w:t>
            </w:r>
            <w:r>
              <w:t xml:space="preserve">nnual </w:t>
            </w:r>
            <w:r w:rsidR="00AC5559">
              <w:t>r</w:t>
            </w:r>
            <w:r>
              <w:t xml:space="preserve">eview </w:t>
            </w:r>
            <w:r w:rsidR="00AC5559">
              <w:t xml:space="preserve">by </w:t>
            </w:r>
            <w:r>
              <w:t xml:space="preserve">DFID </w:t>
            </w:r>
            <w:r w:rsidR="00B13CB5">
              <w:t>(</w:t>
            </w:r>
            <w:r>
              <w:t>2014</w:t>
            </w:r>
            <w:r w:rsidR="00B13CB5">
              <w:t>)</w:t>
            </w:r>
            <w:r w:rsidR="00735739">
              <w:t xml:space="preserve"> and the World Bank’s Project Appraisal Document</w:t>
            </w:r>
            <w:r>
              <w:t>.</w:t>
            </w:r>
          </w:p>
        </w:tc>
      </w:tr>
      <w:tr w:rsidR="00720360" w:rsidTr="00720360">
        <w:trPr>
          <w:cantSplit/>
        </w:trPr>
        <w:tc>
          <w:tcPr>
            <w:tcW w:w="596" w:type="pct"/>
            <w:tcBorders>
              <w:top w:val="nil"/>
              <w:left w:val="nil"/>
              <w:bottom w:val="single" w:sz="8" w:space="0" w:color="007FAD"/>
              <w:right w:val="nil"/>
            </w:tcBorders>
            <w:shd w:val="clear" w:color="auto" w:fill="FFFFFF"/>
            <w:tcMar>
              <w:top w:w="85" w:type="dxa"/>
              <w:left w:w="108" w:type="dxa"/>
              <w:bottom w:w="85" w:type="dxa"/>
              <w:right w:w="108" w:type="dxa"/>
            </w:tcMar>
            <w:hideMark/>
          </w:tcPr>
          <w:p w:rsidR="00720360" w:rsidRDefault="00720360" w:rsidP="0097056D">
            <w:pPr>
              <w:pStyle w:val="TableText"/>
            </w:pPr>
            <w:r>
              <w:t>P</w:t>
            </w:r>
            <w:r w:rsidR="00DF1DD1">
              <w:t>apua New Guinea</w:t>
            </w:r>
          </w:p>
        </w:tc>
        <w:tc>
          <w:tcPr>
            <w:tcW w:w="4404" w:type="pct"/>
            <w:tcBorders>
              <w:top w:val="nil"/>
              <w:left w:val="nil"/>
              <w:bottom w:val="single" w:sz="8" w:space="0" w:color="007FAD"/>
              <w:right w:val="nil"/>
            </w:tcBorders>
            <w:shd w:val="clear" w:color="auto" w:fill="FFFFFF"/>
            <w:tcMar>
              <w:top w:w="85" w:type="dxa"/>
              <w:left w:w="108" w:type="dxa"/>
              <w:bottom w:w="85" w:type="dxa"/>
              <w:right w:w="108" w:type="dxa"/>
            </w:tcMar>
            <w:hideMark/>
          </w:tcPr>
          <w:p w:rsidR="00720360" w:rsidRDefault="00720360" w:rsidP="00735739">
            <w:pPr>
              <w:pStyle w:val="TableText"/>
            </w:pPr>
            <w:r>
              <w:t>The timeframe of th</w:t>
            </w:r>
            <w:r w:rsidR="003C5BF9">
              <w:t>is</w:t>
            </w:r>
            <w:r>
              <w:t xml:space="preserve"> review captures a national health system in a state of transition to a National Health Plan expected to run from 2011-2020. It also coincides with a major restructuring of the N</w:t>
            </w:r>
            <w:r w:rsidR="003C5BF9">
              <w:t xml:space="preserve">ational </w:t>
            </w:r>
            <w:r>
              <w:t>D</w:t>
            </w:r>
            <w:r w:rsidR="003C5BF9">
              <w:t xml:space="preserve">epartment of </w:t>
            </w:r>
            <w:r>
              <w:t>H</w:t>
            </w:r>
            <w:r w:rsidR="003C5BF9">
              <w:t>ealth</w:t>
            </w:r>
            <w:r>
              <w:t xml:space="preserve"> and, on DFAT’s side, with the AusAID-DFAT integration. The main documents used</w:t>
            </w:r>
            <w:r w:rsidR="00735739">
              <w:t xml:space="preserve"> are reports commissioned by the Australian aid program, conducted </w:t>
            </w:r>
            <w:r w:rsidR="004A3143">
              <w:t xml:space="preserve">by </w:t>
            </w:r>
            <w:proofErr w:type="spellStart"/>
            <w:r>
              <w:t>Janovsky</w:t>
            </w:r>
            <w:proofErr w:type="spellEnd"/>
            <w:r w:rsidR="00735739">
              <w:t xml:space="preserve"> (2010), </w:t>
            </w:r>
            <w:r>
              <w:t xml:space="preserve">Foster &amp; </w:t>
            </w:r>
            <w:proofErr w:type="spellStart"/>
            <w:r>
              <w:t>Piel</w:t>
            </w:r>
            <w:proofErr w:type="spellEnd"/>
            <w:r>
              <w:t xml:space="preserve"> </w:t>
            </w:r>
            <w:r w:rsidR="00735739">
              <w:t>(2010)</w:t>
            </w:r>
            <w:r>
              <w:t xml:space="preserve">, Van West-Charles </w:t>
            </w:r>
            <w:r w:rsidR="00735739">
              <w:t>(</w:t>
            </w:r>
            <w:r w:rsidR="003C5BF9">
              <w:t>2012</w:t>
            </w:r>
            <w:r w:rsidR="00735739">
              <w:t xml:space="preserve">) and </w:t>
            </w:r>
            <w:r w:rsidR="00705E1B">
              <w:t>Richards</w:t>
            </w:r>
            <w:r w:rsidR="003C5BF9">
              <w:t xml:space="preserve"> </w:t>
            </w:r>
            <w:r w:rsidR="00735739">
              <w:t>(</w:t>
            </w:r>
            <w:r w:rsidR="003C5BF9">
              <w:t>2012</w:t>
            </w:r>
            <w:r w:rsidR="00735739">
              <w:t>)</w:t>
            </w:r>
            <w:r>
              <w:t xml:space="preserve">. In 2012 the </w:t>
            </w:r>
            <w:r w:rsidR="003C5BF9">
              <w:t>Health Sector Improvement Program</w:t>
            </w:r>
            <w:r>
              <w:t xml:space="preserve"> was completely redesigned</w:t>
            </w:r>
            <w:r w:rsidR="00F0381C">
              <w:t>; t</w:t>
            </w:r>
            <w:r>
              <w:t>he Richards 2012 report articulate</w:t>
            </w:r>
            <w:r w:rsidR="00F0381C">
              <w:t>s</w:t>
            </w:r>
            <w:r>
              <w:t xml:space="preserve"> how the </w:t>
            </w:r>
            <w:proofErr w:type="spellStart"/>
            <w:r>
              <w:t>SWAp</w:t>
            </w:r>
            <w:proofErr w:type="spellEnd"/>
            <w:r>
              <w:t xml:space="preserve"> adapted to major restructuring. </w:t>
            </w:r>
          </w:p>
        </w:tc>
      </w:tr>
      <w:tr w:rsidR="00720360" w:rsidTr="00FE764D">
        <w:trPr>
          <w:cantSplit/>
          <w:trHeight w:val="1129"/>
        </w:trPr>
        <w:tc>
          <w:tcPr>
            <w:tcW w:w="596" w:type="pct"/>
            <w:tcBorders>
              <w:top w:val="nil"/>
              <w:left w:val="nil"/>
              <w:bottom w:val="single" w:sz="8" w:space="0" w:color="007FAD"/>
              <w:right w:val="nil"/>
            </w:tcBorders>
            <w:shd w:val="clear" w:color="auto" w:fill="FFFFFF"/>
            <w:tcMar>
              <w:top w:w="85" w:type="dxa"/>
              <w:left w:w="108" w:type="dxa"/>
              <w:bottom w:w="85" w:type="dxa"/>
              <w:right w:w="108" w:type="dxa"/>
            </w:tcMar>
            <w:hideMark/>
          </w:tcPr>
          <w:p w:rsidR="00720360" w:rsidRDefault="00720360">
            <w:pPr>
              <w:pStyle w:val="TableText"/>
            </w:pPr>
            <w:r>
              <w:t>Samoa</w:t>
            </w:r>
          </w:p>
        </w:tc>
        <w:tc>
          <w:tcPr>
            <w:tcW w:w="4404" w:type="pct"/>
            <w:tcBorders>
              <w:top w:val="nil"/>
              <w:left w:val="nil"/>
              <w:bottom w:val="single" w:sz="8" w:space="0" w:color="007FAD"/>
              <w:right w:val="nil"/>
            </w:tcBorders>
            <w:shd w:val="clear" w:color="auto" w:fill="FFFFFF"/>
            <w:tcMar>
              <w:top w:w="85" w:type="dxa"/>
              <w:left w:w="108" w:type="dxa"/>
              <w:bottom w:w="85" w:type="dxa"/>
              <w:right w:w="108" w:type="dxa"/>
            </w:tcMar>
            <w:hideMark/>
          </w:tcPr>
          <w:p w:rsidR="00720360" w:rsidRDefault="00735739" w:rsidP="00735739">
            <w:pPr>
              <w:pStyle w:val="TableText"/>
            </w:pPr>
            <w:r>
              <w:t xml:space="preserve">The main sources of information are the </w:t>
            </w:r>
            <w:r w:rsidR="00720360">
              <w:t xml:space="preserve">evaluations conducted by </w:t>
            </w:r>
            <w:proofErr w:type="spellStart"/>
            <w:r w:rsidR="00720360">
              <w:t>Vaillancourt</w:t>
            </w:r>
            <w:proofErr w:type="spellEnd"/>
            <w:r w:rsidR="00720360">
              <w:t xml:space="preserve"> (2012</w:t>
            </w:r>
            <w:r>
              <w:t>, Samoa Appendix)</w:t>
            </w:r>
            <w:r w:rsidR="00720360">
              <w:t xml:space="preserve"> and Davies </w:t>
            </w:r>
            <w:r>
              <w:t>(</w:t>
            </w:r>
            <w:r w:rsidR="00720360">
              <w:t>2013</w:t>
            </w:r>
            <w:r>
              <w:t>)</w:t>
            </w:r>
            <w:r w:rsidR="00F0381C">
              <w:t>. B</w:t>
            </w:r>
            <w:r w:rsidR="00720360">
              <w:t>oth use an analytic framework,</w:t>
            </w:r>
            <w:r w:rsidR="00F0381C">
              <w:t xml:space="preserve"> but </w:t>
            </w:r>
            <w:r>
              <w:t>one (</w:t>
            </w:r>
            <w:proofErr w:type="spellStart"/>
            <w:r>
              <w:t>V</w:t>
            </w:r>
            <w:r w:rsidR="00720360">
              <w:t>aillancourt’s</w:t>
            </w:r>
            <w:proofErr w:type="spellEnd"/>
            <w:r>
              <w:t>)</w:t>
            </w:r>
            <w:r w:rsidR="00720360">
              <w:t xml:space="preserve"> is exclusively desk based while </w:t>
            </w:r>
            <w:r>
              <w:t xml:space="preserve">the other (by </w:t>
            </w:r>
            <w:r w:rsidR="00720360">
              <w:t>Davies</w:t>
            </w:r>
            <w:r>
              <w:t>)</w:t>
            </w:r>
            <w:r w:rsidR="00720360">
              <w:t xml:space="preserve"> included in-country work and interviews with key informants. We consider both </w:t>
            </w:r>
            <w:r>
              <w:t xml:space="preserve">as </w:t>
            </w:r>
            <w:r w:rsidR="00F0381C">
              <w:t>robust evaluations. T</w:t>
            </w:r>
            <w:r w:rsidR="00720360">
              <w:t>he Australian aid program funded the Davies evaluation through the Health Resource Facility and co-</w:t>
            </w:r>
            <w:proofErr w:type="spellStart"/>
            <w:r w:rsidR="00720360">
              <w:t>funded</w:t>
            </w:r>
            <w:proofErr w:type="spellEnd"/>
            <w:r w:rsidR="00720360">
              <w:t xml:space="preserve"> the </w:t>
            </w:r>
            <w:proofErr w:type="spellStart"/>
            <w:r w:rsidR="00720360">
              <w:t>Vaillancourt</w:t>
            </w:r>
            <w:proofErr w:type="spellEnd"/>
            <w:r w:rsidR="00720360">
              <w:t xml:space="preserve"> evaluation through the Joint Learning Initiative.</w:t>
            </w:r>
          </w:p>
        </w:tc>
      </w:tr>
      <w:tr w:rsidR="00720360" w:rsidTr="00FE764D">
        <w:trPr>
          <w:cantSplit/>
          <w:trHeight w:val="1958"/>
        </w:trPr>
        <w:tc>
          <w:tcPr>
            <w:tcW w:w="596" w:type="pct"/>
            <w:tcBorders>
              <w:top w:val="nil"/>
              <w:left w:val="nil"/>
              <w:bottom w:val="single" w:sz="8" w:space="0" w:color="007FAD"/>
              <w:right w:val="nil"/>
            </w:tcBorders>
            <w:shd w:val="clear" w:color="auto" w:fill="FFFFFF"/>
            <w:tcMar>
              <w:top w:w="85" w:type="dxa"/>
              <w:left w:w="108" w:type="dxa"/>
              <w:bottom w:w="85" w:type="dxa"/>
              <w:right w:w="108" w:type="dxa"/>
            </w:tcMar>
            <w:hideMark/>
          </w:tcPr>
          <w:p w:rsidR="00720360" w:rsidRDefault="00720360">
            <w:pPr>
              <w:pStyle w:val="TableText"/>
            </w:pPr>
            <w:r>
              <w:t>Solomon Islands</w:t>
            </w:r>
          </w:p>
        </w:tc>
        <w:tc>
          <w:tcPr>
            <w:tcW w:w="4404" w:type="pct"/>
            <w:tcBorders>
              <w:top w:val="nil"/>
              <w:left w:val="nil"/>
              <w:bottom w:val="single" w:sz="8" w:space="0" w:color="007FAD"/>
              <w:right w:val="nil"/>
            </w:tcBorders>
            <w:shd w:val="clear" w:color="auto" w:fill="FFFFFF"/>
            <w:tcMar>
              <w:top w:w="85" w:type="dxa"/>
              <w:left w:w="108" w:type="dxa"/>
              <w:bottom w:w="85" w:type="dxa"/>
              <w:right w:w="108" w:type="dxa"/>
            </w:tcMar>
            <w:hideMark/>
          </w:tcPr>
          <w:p w:rsidR="00720360" w:rsidRDefault="00735739" w:rsidP="00A458FF">
            <w:pPr>
              <w:pStyle w:val="TableText"/>
            </w:pPr>
            <w:r>
              <w:t>The two main sources of information are o</w:t>
            </w:r>
            <w:r w:rsidR="00720360">
              <w:t xml:space="preserve">ne desk review of the health </w:t>
            </w:r>
            <w:proofErr w:type="spellStart"/>
            <w:r w:rsidR="00720360">
              <w:t>SWAp</w:t>
            </w:r>
            <w:proofErr w:type="spellEnd"/>
            <w:r w:rsidR="00720360">
              <w:t xml:space="preserve"> in Solomon Islands by </w:t>
            </w:r>
            <w:proofErr w:type="spellStart"/>
            <w:r w:rsidR="00720360">
              <w:t>Vaillancourt</w:t>
            </w:r>
            <w:proofErr w:type="spellEnd"/>
            <w:r w:rsidR="00720360">
              <w:t xml:space="preserve"> (2012</w:t>
            </w:r>
            <w:r w:rsidR="003B7626">
              <w:t>, S</w:t>
            </w:r>
            <w:r>
              <w:t>olomon Islands</w:t>
            </w:r>
            <w:r w:rsidR="00720360">
              <w:t xml:space="preserve">) and </w:t>
            </w:r>
            <w:r w:rsidR="00A458FF">
              <w:t>a mid-</w:t>
            </w:r>
            <w:r>
              <w:t xml:space="preserve">term review </w:t>
            </w:r>
            <w:r w:rsidR="008E5CBC">
              <w:t>(Ty</w:t>
            </w:r>
            <w:r w:rsidR="00720360">
              <w:t>son</w:t>
            </w:r>
            <w:r w:rsidR="008E5CBC">
              <w:t>,</w:t>
            </w:r>
            <w:r w:rsidR="00720360">
              <w:t xml:space="preserve"> 2011</w:t>
            </w:r>
            <w:r w:rsidR="008E5CBC">
              <w:t>)</w:t>
            </w:r>
            <w:r w:rsidR="00F0381C">
              <w:t>.</w:t>
            </w:r>
            <w:r w:rsidR="00720360">
              <w:t xml:space="preserve"> Tyson’s work was commissioned by the Australian aid program through the Health Resource Facility and involved desk review and in-country work</w:t>
            </w:r>
            <w:r w:rsidR="00F0381C">
              <w:t xml:space="preserve">. </w:t>
            </w:r>
            <w:proofErr w:type="spellStart"/>
            <w:r w:rsidR="00720360">
              <w:t>Vaillancourt’s</w:t>
            </w:r>
            <w:proofErr w:type="spellEnd"/>
            <w:r w:rsidR="00720360">
              <w:t xml:space="preserve"> work is a desk-based case study included as part of the Joint Learning Initiative, co-funded by the Australian aid program. </w:t>
            </w:r>
            <w:r w:rsidR="00A458FF">
              <w:t>T</w:t>
            </w:r>
            <w:r w:rsidR="00720360">
              <w:t>o assess progress at sector level</w:t>
            </w:r>
            <w:r w:rsidR="00A458FF">
              <w:t xml:space="preserve"> we used the</w:t>
            </w:r>
            <w:r w:rsidR="00720360">
              <w:t xml:space="preserve"> </w:t>
            </w:r>
            <w:r w:rsidR="00A458FF">
              <w:t>i</w:t>
            </w:r>
            <w:r w:rsidR="00720360">
              <w:t xml:space="preserve">ndependent </w:t>
            </w:r>
            <w:r w:rsidR="00A458FF">
              <w:t>p</w:t>
            </w:r>
            <w:r w:rsidR="00720360">
              <w:t xml:space="preserve">erformance </w:t>
            </w:r>
            <w:r w:rsidR="00A458FF">
              <w:t>a</w:t>
            </w:r>
            <w:r w:rsidR="00720360">
              <w:t xml:space="preserve">ssessment of the </w:t>
            </w:r>
            <w:r w:rsidR="00A458FF">
              <w:t>h</w:t>
            </w:r>
            <w:r w:rsidR="00720360">
              <w:t xml:space="preserve">ealth </w:t>
            </w:r>
            <w:r w:rsidR="00A458FF">
              <w:t>s</w:t>
            </w:r>
            <w:r w:rsidR="00720360">
              <w:t xml:space="preserve">ector </w:t>
            </w:r>
            <w:r w:rsidR="00A458FF">
              <w:t>s</w:t>
            </w:r>
            <w:r w:rsidR="00720360">
              <w:t xml:space="preserve">upport </w:t>
            </w:r>
            <w:r w:rsidR="00A458FF">
              <w:t>p</w:t>
            </w:r>
            <w:r w:rsidR="00720360">
              <w:t xml:space="preserve">rogram </w:t>
            </w:r>
            <w:r w:rsidR="004A3143">
              <w:t xml:space="preserve">by </w:t>
            </w:r>
            <w:r w:rsidR="00720360">
              <w:t xml:space="preserve">Kelly &amp; </w:t>
            </w:r>
            <w:proofErr w:type="spellStart"/>
            <w:r w:rsidR="00720360">
              <w:t>Tuckwell</w:t>
            </w:r>
            <w:proofErr w:type="spellEnd"/>
            <w:r w:rsidR="00720360">
              <w:t xml:space="preserve"> </w:t>
            </w:r>
            <w:r w:rsidR="00A458FF">
              <w:t>(</w:t>
            </w:r>
            <w:r w:rsidR="00720360">
              <w:t>2014</w:t>
            </w:r>
            <w:r w:rsidR="00A458FF">
              <w:t>)</w:t>
            </w:r>
            <w:r w:rsidR="00720360">
              <w:t xml:space="preserve">, and </w:t>
            </w:r>
            <w:r w:rsidR="00A458FF">
              <w:t xml:space="preserve">a review of sector wide approaches for health in small island states by </w:t>
            </w:r>
            <w:proofErr w:type="spellStart"/>
            <w:r w:rsidR="00720360">
              <w:t>Negin</w:t>
            </w:r>
            <w:proofErr w:type="spellEnd"/>
            <w:r w:rsidR="00720360">
              <w:t xml:space="preserve"> &amp; </w:t>
            </w:r>
            <w:proofErr w:type="spellStart"/>
            <w:r w:rsidR="00A458FF">
              <w:t>Martiniuk</w:t>
            </w:r>
            <w:proofErr w:type="spellEnd"/>
            <w:r w:rsidR="00720360">
              <w:t xml:space="preserve"> (2011).Important contextual information is also provided in </w:t>
            </w:r>
            <w:r w:rsidR="00F0381C">
              <w:t>the Australian aid program’s a</w:t>
            </w:r>
            <w:r w:rsidR="00720360">
              <w:t xml:space="preserve">id </w:t>
            </w:r>
            <w:r w:rsidR="00F0381C">
              <w:t>d</w:t>
            </w:r>
            <w:r w:rsidR="00720360">
              <w:t xml:space="preserve">elivery </w:t>
            </w:r>
            <w:r w:rsidR="00F0381C">
              <w:t>p</w:t>
            </w:r>
            <w:r w:rsidR="00720360">
              <w:t xml:space="preserve">lan 2012-2016 and in </w:t>
            </w:r>
            <w:r w:rsidR="00A458FF">
              <w:t xml:space="preserve">other </w:t>
            </w:r>
            <w:r w:rsidR="00720360">
              <w:t>reports (</w:t>
            </w:r>
            <w:r w:rsidR="00F0381C">
              <w:t xml:space="preserve">e.g. </w:t>
            </w:r>
            <w:r w:rsidR="00720360">
              <w:t>Foster</w:t>
            </w:r>
            <w:r w:rsidR="00F0381C">
              <w:t xml:space="preserve">) </w:t>
            </w:r>
            <w:r w:rsidR="00720360">
              <w:t xml:space="preserve">listed in </w:t>
            </w:r>
            <w:r w:rsidR="00720360" w:rsidRPr="009E70D9">
              <w:t>Appendix 4.</w:t>
            </w:r>
            <w:r w:rsidR="00720360">
              <w:t xml:space="preserve"> </w:t>
            </w:r>
          </w:p>
        </w:tc>
      </w:tr>
    </w:tbl>
    <w:p w:rsidR="00A458FF" w:rsidRDefault="00A458FF" w:rsidP="00720360"/>
    <w:p w:rsidR="00720360" w:rsidRPr="00A458FF" w:rsidRDefault="00A458FF" w:rsidP="00720360">
      <w:r w:rsidRPr="00A458FF">
        <w:t>Full references for the documents listed in Table 2 can be found in Appendix 4.</w:t>
      </w:r>
    </w:p>
    <w:p w:rsidR="00720360" w:rsidRDefault="00760DD2" w:rsidP="00720360">
      <w:proofErr w:type="gramStart"/>
      <w:r w:rsidRPr="00760DD2">
        <w:rPr>
          <w:b/>
        </w:rPr>
        <w:t>Analytical tool</w:t>
      </w:r>
      <w:r>
        <w:t>.</w:t>
      </w:r>
      <w:proofErr w:type="gramEnd"/>
      <w:r>
        <w:t xml:space="preserve">  </w:t>
      </w:r>
      <w:r w:rsidR="00676C5C">
        <w:t xml:space="preserve">We developed an analytical tool </w:t>
      </w:r>
      <w:r w:rsidR="00C151E6" w:rsidRPr="00C344E8">
        <w:t xml:space="preserve">to </w:t>
      </w:r>
      <w:r w:rsidR="00C151E6">
        <w:t xml:space="preserve">analyse and summarise </w:t>
      </w:r>
      <w:r w:rsidR="00C151E6" w:rsidRPr="00C344E8">
        <w:t xml:space="preserve">the evidence of the effectiveness of </w:t>
      </w:r>
      <w:proofErr w:type="spellStart"/>
      <w:r w:rsidR="00C151E6" w:rsidRPr="00C344E8">
        <w:t>SWAps</w:t>
      </w:r>
      <w:proofErr w:type="spellEnd"/>
      <w:r w:rsidR="00C151E6" w:rsidRPr="00C344E8">
        <w:t xml:space="preserve">, </w:t>
      </w:r>
      <w:r w:rsidR="00C151E6">
        <w:t xml:space="preserve">sector budget support </w:t>
      </w:r>
      <w:r w:rsidR="00C151E6" w:rsidRPr="00C344E8">
        <w:t>and use of partner government systems in the relevant documents identified</w:t>
      </w:r>
      <w:r w:rsidR="00C151E6" w:rsidRPr="009E70D9">
        <w:t>.</w:t>
      </w:r>
      <w:r w:rsidR="00530E14">
        <w:rPr>
          <w:rStyle w:val="FootnoteReference"/>
        </w:rPr>
        <w:footnoteReference w:id="6"/>
      </w:r>
      <w:r w:rsidR="00C151E6">
        <w:t xml:space="preserve"> </w:t>
      </w:r>
      <w:r w:rsidR="004A3143">
        <w:t>The tool</w:t>
      </w:r>
      <w:r w:rsidR="007573CD">
        <w:t>, detailed in Table 3, was developed by applying</w:t>
      </w:r>
      <w:r w:rsidR="004A3143">
        <w:t xml:space="preserve"> </w:t>
      </w:r>
      <w:r w:rsidR="007573CD">
        <w:t>the 2005 Paris Declaration principles of aid effectiveness</w:t>
      </w:r>
      <w:r w:rsidR="00530E14">
        <w:rPr>
          <w:rStyle w:val="FootnoteReference"/>
        </w:rPr>
        <w:footnoteReference w:id="7"/>
      </w:r>
      <w:r w:rsidR="007573CD">
        <w:t xml:space="preserve"> to the specific questions for this review</w:t>
      </w:r>
      <w:r w:rsidR="00F27F42">
        <w:t xml:space="preserve"> which are listed in the terms of reference (Appendix 1)</w:t>
      </w:r>
      <w:r w:rsidR="007573CD">
        <w:t>.</w:t>
      </w:r>
      <w:r w:rsidR="004A3143">
        <w:t xml:space="preserve"> </w:t>
      </w:r>
      <w:r w:rsidR="0054221D">
        <w:t>Further information on our approach to documentation is in Appendix 2.</w:t>
      </w:r>
      <w:r w:rsidR="00C151E6">
        <w:t xml:space="preserve"> </w:t>
      </w:r>
    </w:p>
    <w:p w:rsidR="0074567E" w:rsidRDefault="0074567E">
      <w:pPr>
        <w:spacing w:before="0" w:after="0" w:line="240" w:lineRule="auto"/>
        <w:rPr>
          <w:b/>
          <w:bCs/>
          <w:sz w:val="22"/>
          <w:szCs w:val="21"/>
        </w:rPr>
      </w:pPr>
      <w:r>
        <w:br w:type="page"/>
      </w:r>
    </w:p>
    <w:p w:rsidR="002568ED" w:rsidRPr="003252D1" w:rsidRDefault="003252D1" w:rsidP="003252D1">
      <w:pPr>
        <w:pStyle w:val="TableName"/>
        <w:spacing w:after="100" w:afterAutospacing="1"/>
        <w:rPr>
          <w:szCs w:val="22"/>
        </w:rPr>
      </w:pPr>
      <w:bookmarkStart w:id="11" w:name="_Toc402192196"/>
      <w:r>
        <w:lastRenderedPageBreak/>
        <w:t xml:space="preserve">Table </w:t>
      </w:r>
      <w:r w:rsidR="00A15665">
        <w:t>3</w:t>
      </w:r>
      <w:r>
        <w:tab/>
      </w:r>
      <w:r>
        <w:tab/>
      </w:r>
      <w:r w:rsidRPr="00746AA8">
        <w:t>Analytical tool to guide the review</w:t>
      </w:r>
      <w:bookmarkEnd w:id="11"/>
      <w:r w:rsidRPr="00746AA8">
        <w:t xml:space="preserve"> </w:t>
      </w:r>
    </w:p>
    <w:tbl>
      <w:tblPr>
        <w:tblStyle w:val="TableGrid"/>
        <w:tblpPr w:leftFromText="181" w:rightFromText="181" w:vertAnchor="text" w:horzAnchor="margin" w:tblpY="1"/>
        <w:tblW w:w="5000" w:type="pct"/>
        <w:tblLook w:val="04A0" w:firstRow="1" w:lastRow="0" w:firstColumn="1" w:lastColumn="0" w:noHBand="0" w:noVBand="1"/>
      </w:tblPr>
      <w:tblGrid>
        <w:gridCol w:w="3370"/>
        <w:gridCol w:w="5872"/>
      </w:tblGrid>
      <w:tr w:rsidR="002568ED" w:rsidRPr="005B2975" w:rsidTr="003252D1">
        <w:trPr>
          <w:cnfStyle w:val="100000000000" w:firstRow="1" w:lastRow="0" w:firstColumn="0" w:lastColumn="0" w:oddVBand="0" w:evenVBand="0" w:oddHBand="0" w:evenHBand="0" w:firstRowFirstColumn="0" w:firstRowLastColumn="0" w:lastRowFirstColumn="0" w:lastRowLastColumn="0"/>
          <w:cantSplit/>
          <w:trHeight w:val="355"/>
          <w:tblHeader/>
        </w:trPr>
        <w:tc>
          <w:tcPr>
            <w:tcW w:w="1823" w:type="pct"/>
          </w:tcPr>
          <w:p w:rsidR="002568ED" w:rsidRPr="005B2975" w:rsidRDefault="002568ED" w:rsidP="003252D1">
            <w:pPr>
              <w:pStyle w:val="TableHeading2"/>
              <w:spacing w:after="0" w:line="240" w:lineRule="auto"/>
            </w:pPr>
            <w:proofErr w:type="spellStart"/>
            <w:r w:rsidRPr="005B2975">
              <w:t>SWAp</w:t>
            </w:r>
            <w:proofErr w:type="spellEnd"/>
            <w:r w:rsidRPr="005B2975">
              <w:t xml:space="preserve"> and aid effectiveness components: main questions</w:t>
            </w:r>
          </w:p>
        </w:tc>
        <w:tc>
          <w:tcPr>
            <w:tcW w:w="3177" w:type="pct"/>
          </w:tcPr>
          <w:p w:rsidR="002568ED" w:rsidRPr="005B2975" w:rsidRDefault="002568ED" w:rsidP="003252D1">
            <w:pPr>
              <w:pStyle w:val="TableHeading"/>
              <w:spacing w:after="0" w:line="240" w:lineRule="auto"/>
            </w:pPr>
            <w:r w:rsidRPr="005B2975">
              <w:t>S</w:t>
            </w:r>
            <w:bookmarkStart w:id="12" w:name="_GoBack"/>
            <w:bookmarkEnd w:id="12"/>
            <w:r w:rsidRPr="005B2975">
              <w:t>ub-questions covered in this evidence review</w:t>
            </w:r>
          </w:p>
        </w:tc>
      </w:tr>
      <w:tr w:rsidR="002568ED" w:rsidRPr="005B2975" w:rsidTr="003252D1">
        <w:trPr>
          <w:cantSplit/>
          <w:trHeight w:val="1348"/>
        </w:trPr>
        <w:tc>
          <w:tcPr>
            <w:tcW w:w="1823" w:type="pct"/>
          </w:tcPr>
          <w:p w:rsidR="002568ED" w:rsidRPr="005B2975" w:rsidRDefault="002568ED" w:rsidP="00872E0F">
            <w:pPr>
              <w:pStyle w:val="TableText"/>
              <w:spacing w:after="0" w:line="240" w:lineRule="auto"/>
            </w:pPr>
            <w:r w:rsidRPr="005B2975">
              <w:t>Focus on results</w:t>
            </w:r>
            <w:r w:rsidR="00872E0F">
              <w:br/>
            </w:r>
          </w:p>
          <w:p w:rsidR="002568ED" w:rsidRPr="005B2975" w:rsidRDefault="002568ED" w:rsidP="00CE4001">
            <w:pPr>
              <w:pStyle w:val="TableText"/>
              <w:numPr>
                <w:ilvl w:val="0"/>
                <w:numId w:val="17"/>
              </w:numPr>
              <w:spacing w:after="0" w:line="240" w:lineRule="auto"/>
              <w:ind w:left="284" w:hanging="284"/>
            </w:pPr>
            <w:r w:rsidRPr="005B2975">
              <w:t xml:space="preserve">Did the </w:t>
            </w:r>
            <w:proofErr w:type="spellStart"/>
            <w:r w:rsidRPr="005B2975">
              <w:t>SWAp</w:t>
            </w:r>
            <w:proofErr w:type="spellEnd"/>
            <w:r w:rsidRPr="005B2975">
              <w:t xml:space="preserve"> increase the focus on results by </w:t>
            </w:r>
            <w:r w:rsidR="00B55651">
              <w:t>the Australian aid program</w:t>
            </w:r>
            <w:r w:rsidRPr="005B2975">
              <w:t xml:space="preserve"> and/or for its partners? </w:t>
            </w:r>
          </w:p>
          <w:p w:rsidR="002568ED" w:rsidRPr="005B2975" w:rsidRDefault="002568ED" w:rsidP="00CE4001">
            <w:pPr>
              <w:pStyle w:val="TableText"/>
              <w:numPr>
                <w:ilvl w:val="0"/>
                <w:numId w:val="17"/>
              </w:numPr>
              <w:spacing w:after="0" w:line="240" w:lineRule="auto"/>
              <w:ind w:left="284" w:hanging="284"/>
            </w:pPr>
            <w:r w:rsidRPr="005B2975">
              <w:t>Were results achieved at sector or program levels?</w:t>
            </w:r>
          </w:p>
        </w:tc>
        <w:tc>
          <w:tcPr>
            <w:tcW w:w="3177" w:type="pct"/>
          </w:tcPr>
          <w:p w:rsidR="00F87845" w:rsidRDefault="00F87845" w:rsidP="00F87845">
            <w:pPr>
              <w:pStyle w:val="TableBullet"/>
            </w:pPr>
            <w:r>
              <w:t xml:space="preserve">Were results defined for the </w:t>
            </w:r>
            <w:proofErr w:type="spellStart"/>
            <w:r>
              <w:t>SWAp</w:t>
            </w:r>
            <w:proofErr w:type="spellEnd"/>
            <w:r>
              <w:t>? Results at what level?</w:t>
            </w:r>
          </w:p>
          <w:p w:rsidR="00F87845" w:rsidRDefault="002568ED" w:rsidP="00F87845">
            <w:pPr>
              <w:pStyle w:val="TableBullet"/>
            </w:pPr>
            <w:r w:rsidRPr="005B2975">
              <w:t xml:space="preserve">Were these results also defined specifically for </w:t>
            </w:r>
            <w:r w:rsidR="00B55651">
              <w:t>the Australian aid program</w:t>
            </w:r>
            <w:r w:rsidR="00872E0F">
              <w:t>?</w:t>
            </w:r>
          </w:p>
          <w:p w:rsidR="00F87845" w:rsidRDefault="002568ED" w:rsidP="00F87845">
            <w:pPr>
              <w:pStyle w:val="TableBullet"/>
            </w:pPr>
            <w:r w:rsidRPr="005B2975">
              <w:t xml:space="preserve">Were expected results defined </w:t>
            </w:r>
            <w:r w:rsidR="00B67242">
              <w:t>at program</w:t>
            </w:r>
            <w:r w:rsidRPr="005B2975">
              <w:t xml:space="preserve"> or sector levels? Were the results prioritised?</w:t>
            </w:r>
          </w:p>
          <w:p w:rsidR="002568ED" w:rsidRPr="005B2975" w:rsidRDefault="002568ED" w:rsidP="00F87845">
            <w:pPr>
              <w:pStyle w:val="TableBullet"/>
            </w:pPr>
            <w:r w:rsidRPr="005B2975">
              <w:t xml:space="preserve">Did the </w:t>
            </w:r>
            <w:proofErr w:type="spellStart"/>
            <w:r w:rsidRPr="005B2975">
              <w:t>SWAp</w:t>
            </w:r>
            <w:proofErr w:type="spellEnd"/>
            <w:r w:rsidRPr="005B2975">
              <w:t xml:space="preserve"> and its financing instruments increase the focus on results, generally and for </w:t>
            </w:r>
            <w:r w:rsidR="00B55651">
              <w:t>the Australian aid program</w:t>
            </w:r>
            <w:r w:rsidRPr="005B2975">
              <w:t xml:space="preserve"> in particular?</w:t>
            </w:r>
          </w:p>
        </w:tc>
      </w:tr>
      <w:tr w:rsidR="002568ED" w:rsidRPr="005B2975" w:rsidTr="003252D1">
        <w:trPr>
          <w:cantSplit/>
        </w:trPr>
        <w:tc>
          <w:tcPr>
            <w:tcW w:w="1823" w:type="pct"/>
          </w:tcPr>
          <w:p w:rsidR="002568ED" w:rsidRPr="005B2975" w:rsidRDefault="002568ED" w:rsidP="00872E0F">
            <w:pPr>
              <w:pStyle w:val="TableText"/>
              <w:spacing w:after="0" w:line="240" w:lineRule="auto"/>
            </w:pPr>
            <w:r w:rsidRPr="005B2975">
              <w:t xml:space="preserve">Stronger </w:t>
            </w:r>
            <w:r w:rsidR="00E52173">
              <w:t>monitoring and evaluation (</w:t>
            </w:r>
            <w:r w:rsidR="008E4FCF">
              <w:t>M&amp;E</w:t>
            </w:r>
            <w:r w:rsidR="00E52173">
              <w:t>)</w:t>
            </w:r>
            <w:r w:rsidR="00872E0F">
              <w:br/>
            </w:r>
          </w:p>
          <w:p w:rsidR="002568ED" w:rsidRPr="005B2975" w:rsidRDefault="002568ED" w:rsidP="00CE4001">
            <w:pPr>
              <w:pStyle w:val="TableText"/>
              <w:numPr>
                <w:ilvl w:val="0"/>
                <w:numId w:val="17"/>
              </w:numPr>
              <w:spacing w:after="0" w:line="240" w:lineRule="auto"/>
              <w:ind w:left="284" w:hanging="284"/>
            </w:pPr>
            <w:r w:rsidRPr="005B2975">
              <w:t xml:space="preserve">Did </w:t>
            </w:r>
            <w:proofErr w:type="spellStart"/>
            <w:r w:rsidRPr="005B2975">
              <w:t>SWAps</w:t>
            </w:r>
            <w:proofErr w:type="spellEnd"/>
            <w:r w:rsidRPr="005B2975">
              <w:t xml:space="preserve"> improve sector or program monitoring and evaluation?</w:t>
            </w:r>
          </w:p>
          <w:p w:rsidR="002568ED" w:rsidRPr="005B2975" w:rsidRDefault="002568ED" w:rsidP="003252D1">
            <w:pPr>
              <w:pStyle w:val="TableText"/>
              <w:spacing w:after="0" w:line="240" w:lineRule="auto"/>
              <w:ind w:left="284" w:hanging="284"/>
            </w:pPr>
          </w:p>
        </w:tc>
        <w:tc>
          <w:tcPr>
            <w:tcW w:w="3177" w:type="pct"/>
          </w:tcPr>
          <w:p w:rsidR="00E27BA1" w:rsidRDefault="002568ED" w:rsidP="00E27BA1">
            <w:pPr>
              <w:pStyle w:val="TableBullet"/>
            </w:pPr>
            <w:r w:rsidRPr="005B2975">
              <w:t>What were the main components of the</w:t>
            </w:r>
            <w:r w:rsidR="006047AE">
              <w:t xml:space="preserve"> </w:t>
            </w:r>
            <w:r w:rsidRPr="005B2975">
              <w:t xml:space="preserve">M&amp;E plan or strategy? </w:t>
            </w:r>
          </w:p>
          <w:p w:rsidR="00E27BA1" w:rsidRDefault="002568ED" w:rsidP="00E27BA1">
            <w:pPr>
              <w:pStyle w:val="TableBullet"/>
            </w:pPr>
            <w:r w:rsidRPr="005B2975">
              <w:t>Was there a monitoring framework o</w:t>
            </w:r>
            <w:r w:rsidR="00872E0F">
              <w:t>r</w:t>
            </w:r>
            <w:r w:rsidRPr="005B2975">
              <w:t xml:space="preserve"> indicators?</w:t>
            </w:r>
          </w:p>
          <w:p w:rsidR="00E27BA1" w:rsidRDefault="002568ED" w:rsidP="00E27BA1">
            <w:pPr>
              <w:pStyle w:val="TableBullet"/>
            </w:pPr>
            <w:r w:rsidRPr="005B2975">
              <w:t>Were the M&amp;E processes undertaken periodically, as expected? Were these described in the literature as effective?</w:t>
            </w:r>
          </w:p>
          <w:p w:rsidR="002568ED" w:rsidRPr="005B2975" w:rsidRDefault="002568ED" w:rsidP="00E27BA1">
            <w:pPr>
              <w:pStyle w:val="TableBullet"/>
            </w:pPr>
            <w:r w:rsidRPr="005B2975">
              <w:t xml:space="preserve">Did the </w:t>
            </w:r>
            <w:proofErr w:type="spellStart"/>
            <w:r w:rsidRPr="005B2975">
              <w:t>SWAp</w:t>
            </w:r>
            <w:proofErr w:type="spellEnd"/>
            <w:r w:rsidRPr="005B2975">
              <w:t xml:space="preserve"> or financing instruments </w:t>
            </w:r>
            <w:r w:rsidRPr="00E214E1">
              <w:t>improve M&amp;E o</w:t>
            </w:r>
            <w:r w:rsidR="00E214E1" w:rsidRPr="00E214E1">
              <w:t>f</w:t>
            </w:r>
            <w:r w:rsidR="008E4FCF">
              <w:t xml:space="preserve"> the sector or program</w:t>
            </w:r>
            <w:r w:rsidRPr="00E214E1">
              <w:t>?</w:t>
            </w:r>
          </w:p>
        </w:tc>
      </w:tr>
      <w:tr w:rsidR="002568ED" w:rsidRPr="005B2975" w:rsidTr="003252D1">
        <w:trPr>
          <w:cantSplit/>
        </w:trPr>
        <w:tc>
          <w:tcPr>
            <w:tcW w:w="1823" w:type="pct"/>
          </w:tcPr>
          <w:p w:rsidR="002568ED" w:rsidRPr="005B2975" w:rsidRDefault="002568ED" w:rsidP="00872E0F">
            <w:pPr>
              <w:pStyle w:val="TableText"/>
              <w:spacing w:after="0" w:line="240" w:lineRule="auto"/>
            </w:pPr>
            <w:r w:rsidRPr="005B2975">
              <w:t xml:space="preserve">Improved joint work and policy dialogue </w:t>
            </w:r>
            <w:r w:rsidR="00872E0F">
              <w:br/>
            </w:r>
          </w:p>
          <w:p w:rsidR="002568ED" w:rsidRPr="005B2975" w:rsidRDefault="002568ED" w:rsidP="00CE4001">
            <w:pPr>
              <w:pStyle w:val="TableText"/>
              <w:numPr>
                <w:ilvl w:val="0"/>
                <w:numId w:val="17"/>
              </w:numPr>
              <w:spacing w:after="0" w:line="240" w:lineRule="auto"/>
              <w:ind w:left="284" w:hanging="284"/>
            </w:pPr>
            <w:r w:rsidRPr="005B2975">
              <w:t xml:space="preserve">Did </w:t>
            </w:r>
            <w:proofErr w:type="spellStart"/>
            <w:r w:rsidRPr="005B2975">
              <w:t>SWAps</w:t>
            </w:r>
            <w:proofErr w:type="spellEnd"/>
            <w:r w:rsidRPr="005B2975">
              <w:t xml:space="preserve"> improve joint work and policy dialogue among partners?</w:t>
            </w:r>
          </w:p>
        </w:tc>
        <w:tc>
          <w:tcPr>
            <w:tcW w:w="3177" w:type="pct"/>
          </w:tcPr>
          <w:p w:rsidR="009F5415" w:rsidRDefault="002568ED" w:rsidP="009F5415">
            <w:pPr>
              <w:pStyle w:val="TableBullet"/>
            </w:pPr>
            <w:r w:rsidRPr="005B2975">
              <w:t xml:space="preserve">Did </w:t>
            </w:r>
            <w:r w:rsidR="00872E0F">
              <w:t xml:space="preserve">the </w:t>
            </w:r>
            <w:proofErr w:type="spellStart"/>
            <w:r w:rsidR="00872E0F">
              <w:t>SWAp</w:t>
            </w:r>
            <w:proofErr w:type="spellEnd"/>
            <w:r w:rsidRPr="005B2975">
              <w:t xml:space="preserve"> improve joint work</w:t>
            </w:r>
            <w:r w:rsidR="00872E0F">
              <w:t>ing</w:t>
            </w:r>
            <w:r w:rsidRPr="005B2975">
              <w:t>?</w:t>
            </w:r>
          </w:p>
          <w:p w:rsidR="002568ED" w:rsidRPr="005B2975" w:rsidRDefault="002568ED" w:rsidP="009F5415">
            <w:pPr>
              <w:pStyle w:val="TableBullet"/>
            </w:pPr>
            <w:r w:rsidRPr="005B2975">
              <w:t xml:space="preserve">Did the </w:t>
            </w:r>
            <w:proofErr w:type="spellStart"/>
            <w:r w:rsidRPr="005B2975">
              <w:t>SWAp</w:t>
            </w:r>
            <w:proofErr w:type="spellEnd"/>
            <w:r w:rsidRPr="005B2975">
              <w:t xml:space="preserve"> increase and strengthen policy dialogue?  </w:t>
            </w:r>
          </w:p>
          <w:p w:rsidR="002568ED" w:rsidRPr="005B2975" w:rsidRDefault="002568ED" w:rsidP="003252D1">
            <w:pPr>
              <w:pStyle w:val="TableText"/>
              <w:spacing w:after="0" w:line="240" w:lineRule="auto"/>
              <w:ind w:left="174" w:hanging="283"/>
            </w:pPr>
          </w:p>
        </w:tc>
      </w:tr>
      <w:tr w:rsidR="002568ED" w:rsidRPr="005B2975" w:rsidTr="003252D1">
        <w:trPr>
          <w:cantSplit/>
        </w:trPr>
        <w:tc>
          <w:tcPr>
            <w:tcW w:w="1823" w:type="pct"/>
          </w:tcPr>
          <w:p w:rsidR="002568ED" w:rsidRPr="005B2975" w:rsidRDefault="002568ED" w:rsidP="00872E0F">
            <w:pPr>
              <w:pStyle w:val="TableText"/>
              <w:spacing w:after="0" w:line="240" w:lineRule="auto"/>
            </w:pPr>
            <w:r w:rsidRPr="005B2975">
              <w:t xml:space="preserve">Greater leadership and ownership by the government </w:t>
            </w:r>
            <w:r w:rsidR="00872E0F">
              <w:br/>
            </w:r>
          </w:p>
          <w:p w:rsidR="002568ED" w:rsidRPr="00872E0F" w:rsidRDefault="002568ED" w:rsidP="00CE4001">
            <w:pPr>
              <w:pStyle w:val="TableText"/>
              <w:numPr>
                <w:ilvl w:val="0"/>
                <w:numId w:val="17"/>
              </w:numPr>
              <w:spacing w:after="0" w:line="240" w:lineRule="auto"/>
              <w:ind w:left="284" w:hanging="284"/>
            </w:pPr>
            <w:r w:rsidRPr="00872E0F">
              <w:t xml:space="preserve">Did </w:t>
            </w:r>
            <w:proofErr w:type="spellStart"/>
            <w:r w:rsidRPr="00872E0F">
              <w:t>SWAps</w:t>
            </w:r>
            <w:proofErr w:type="spellEnd"/>
            <w:r w:rsidRPr="00872E0F">
              <w:t xml:space="preserve"> contribute to greater ownership and leadership by the government?</w:t>
            </w:r>
          </w:p>
        </w:tc>
        <w:tc>
          <w:tcPr>
            <w:tcW w:w="3177" w:type="pct"/>
          </w:tcPr>
          <w:p w:rsidR="009F5415" w:rsidRDefault="002568ED" w:rsidP="009F5415">
            <w:pPr>
              <w:pStyle w:val="TableBullet"/>
            </w:pPr>
            <w:r w:rsidRPr="005B2975">
              <w:t>What were the extent and quality of ownership and leadership? How did that compare to the</w:t>
            </w:r>
            <w:r w:rsidR="00872E0F">
              <w:t xml:space="preserve"> situation preceding the </w:t>
            </w:r>
            <w:proofErr w:type="spellStart"/>
            <w:r w:rsidR="00872E0F">
              <w:t>SWAp</w:t>
            </w:r>
            <w:proofErr w:type="spellEnd"/>
            <w:r w:rsidR="00872E0F">
              <w:t xml:space="preserve"> (or use of i</w:t>
            </w:r>
            <w:r w:rsidRPr="005B2975">
              <w:t>nstruments</w:t>
            </w:r>
            <w:r w:rsidR="00872E0F">
              <w:t>)</w:t>
            </w:r>
            <w:r w:rsidRPr="005B2975">
              <w:t>?</w:t>
            </w:r>
          </w:p>
          <w:p w:rsidR="009F5415" w:rsidRDefault="002568ED" w:rsidP="009F5415">
            <w:pPr>
              <w:pStyle w:val="TableBullet"/>
            </w:pPr>
            <w:r w:rsidRPr="005B2975">
              <w:t>Was there mutual accountability for results?</w:t>
            </w:r>
          </w:p>
          <w:p w:rsidR="002568ED" w:rsidRPr="005B2975" w:rsidRDefault="002568ED" w:rsidP="009F5415">
            <w:pPr>
              <w:pStyle w:val="TableBullet"/>
            </w:pPr>
            <w:r w:rsidRPr="005B2975">
              <w:t xml:space="preserve">Did the </w:t>
            </w:r>
            <w:proofErr w:type="spellStart"/>
            <w:r w:rsidRPr="005B2975">
              <w:t>SWAp</w:t>
            </w:r>
            <w:proofErr w:type="spellEnd"/>
            <w:r w:rsidRPr="005B2975">
              <w:t xml:space="preserve"> and financing instruments strengthen government ownership and leadership?  </w:t>
            </w:r>
          </w:p>
        </w:tc>
      </w:tr>
      <w:tr w:rsidR="002568ED" w:rsidRPr="005B2975" w:rsidTr="003252D1">
        <w:trPr>
          <w:cantSplit/>
        </w:trPr>
        <w:tc>
          <w:tcPr>
            <w:tcW w:w="1823" w:type="pct"/>
          </w:tcPr>
          <w:p w:rsidR="002568ED" w:rsidRPr="005B2975" w:rsidRDefault="002568ED" w:rsidP="00872E0F">
            <w:pPr>
              <w:pStyle w:val="TableText"/>
              <w:spacing w:after="0" w:line="240" w:lineRule="auto"/>
            </w:pPr>
            <w:r w:rsidRPr="005B2975">
              <w:t>Increased alignment of aid and government resources with health policy and financing</w:t>
            </w:r>
            <w:r w:rsidR="00872E0F">
              <w:br/>
            </w:r>
          </w:p>
          <w:p w:rsidR="002568ED" w:rsidRPr="005B2975" w:rsidRDefault="002568ED" w:rsidP="00CE4001">
            <w:pPr>
              <w:pStyle w:val="TableText"/>
              <w:numPr>
                <w:ilvl w:val="0"/>
                <w:numId w:val="17"/>
              </w:numPr>
              <w:spacing w:after="0" w:line="240" w:lineRule="auto"/>
              <w:ind w:left="284" w:hanging="284"/>
            </w:pPr>
            <w:r w:rsidRPr="005B2975">
              <w:t xml:space="preserve">Did </w:t>
            </w:r>
            <w:proofErr w:type="spellStart"/>
            <w:r w:rsidRPr="005B2975">
              <w:t>SWAps</w:t>
            </w:r>
            <w:proofErr w:type="spellEnd"/>
            <w:r w:rsidRPr="005B2975">
              <w:t xml:space="preserve"> increase alignment with health policy and financing?</w:t>
            </w:r>
          </w:p>
        </w:tc>
        <w:tc>
          <w:tcPr>
            <w:tcW w:w="3177" w:type="pct"/>
          </w:tcPr>
          <w:p w:rsidR="009F5415" w:rsidRDefault="002568ED" w:rsidP="009F5415">
            <w:pPr>
              <w:pStyle w:val="TableBullet"/>
            </w:pPr>
            <w:r w:rsidRPr="005B2975">
              <w:t xml:space="preserve">What was the extent of alignment with government planning and budgeting systems by </w:t>
            </w:r>
            <w:r w:rsidR="00872E0F">
              <w:t xml:space="preserve">the </w:t>
            </w:r>
            <w:r w:rsidRPr="005B2975">
              <w:t>Australia</w:t>
            </w:r>
            <w:r w:rsidR="00872E0F">
              <w:t>n aid program</w:t>
            </w:r>
            <w:r w:rsidRPr="005B2975">
              <w:t xml:space="preserve"> and </w:t>
            </w:r>
            <w:r w:rsidR="00E52173">
              <w:t>other</w:t>
            </w:r>
            <w:r w:rsidRPr="005B2975">
              <w:t xml:space="preserve"> main donors?</w:t>
            </w:r>
          </w:p>
          <w:p w:rsidR="009F5415" w:rsidRDefault="002568ED" w:rsidP="009F5415">
            <w:pPr>
              <w:pStyle w:val="TableBullet"/>
            </w:pPr>
            <w:r w:rsidRPr="005B2975">
              <w:t>What was the extent of alignment of external financing with the priorities of the plan?</w:t>
            </w:r>
          </w:p>
          <w:p w:rsidR="009F5415" w:rsidRDefault="002A1B80" w:rsidP="009F5415">
            <w:pPr>
              <w:pStyle w:val="TableBullet"/>
            </w:pPr>
            <w:r>
              <w:t>Was a</w:t>
            </w:r>
            <w:r w:rsidRPr="003D7E2F">
              <w:t xml:space="preserve"> Medium Term Expenditure Framework </w:t>
            </w:r>
            <w:r w:rsidR="002568ED" w:rsidRPr="005B2975">
              <w:t>in place</w:t>
            </w:r>
            <w:r w:rsidR="00872E0F">
              <w:t>,</w:t>
            </w:r>
            <w:r w:rsidR="002568ED" w:rsidRPr="005B2975">
              <w:t xml:space="preserve"> and was it used?</w:t>
            </w:r>
          </w:p>
          <w:p w:rsidR="009F5415" w:rsidRDefault="002568ED" w:rsidP="009F5415">
            <w:pPr>
              <w:pStyle w:val="TableBullet"/>
            </w:pPr>
            <w:r w:rsidRPr="005B2975">
              <w:t xml:space="preserve">Did alignment increase in the context of the </w:t>
            </w:r>
            <w:proofErr w:type="spellStart"/>
            <w:r w:rsidRPr="005B2975">
              <w:t>SWAp</w:t>
            </w:r>
            <w:proofErr w:type="spellEnd"/>
            <w:r w:rsidRPr="005B2975">
              <w:t xml:space="preserve"> and financing instruments?</w:t>
            </w:r>
          </w:p>
          <w:p w:rsidR="009F5415" w:rsidRDefault="002568ED" w:rsidP="009F5415">
            <w:pPr>
              <w:pStyle w:val="TableBullet"/>
            </w:pPr>
            <w:r w:rsidRPr="005B2975">
              <w:t>Did health financing or expenditure become more predictable?</w:t>
            </w:r>
          </w:p>
          <w:p w:rsidR="002568ED" w:rsidRPr="005B2975" w:rsidRDefault="002568ED" w:rsidP="009F5415">
            <w:pPr>
              <w:pStyle w:val="TableBullet"/>
            </w:pPr>
            <w:r w:rsidRPr="005B2975">
              <w:t>Did health financing or expenditure support incrementally the defined sector priorities?</w:t>
            </w:r>
          </w:p>
        </w:tc>
      </w:tr>
      <w:tr w:rsidR="002568ED" w:rsidRPr="005B2975" w:rsidTr="003252D1">
        <w:trPr>
          <w:cantSplit/>
        </w:trPr>
        <w:tc>
          <w:tcPr>
            <w:tcW w:w="1823" w:type="pct"/>
          </w:tcPr>
          <w:p w:rsidR="002568ED" w:rsidRPr="005B2975" w:rsidRDefault="002568ED" w:rsidP="00872E0F">
            <w:pPr>
              <w:pStyle w:val="TableText"/>
              <w:spacing w:after="0" w:line="240" w:lineRule="auto"/>
            </w:pPr>
            <w:r w:rsidRPr="005B2975">
              <w:t>Enhance</w:t>
            </w:r>
            <w:r w:rsidR="00872E0F">
              <w:t>d</w:t>
            </w:r>
            <w:r w:rsidRPr="005B2975">
              <w:t xml:space="preserve"> use of government systems </w:t>
            </w:r>
            <w:r w:rsidR="00872E0F">
              <w:br/>
            </w:r>
          </w:p>
          <w:p w:rsidR="002568ED" w:rsidRPr="005B2975" w:rsidRDefault="002568ED" w:rsidP="00826301">
            <w:pPr>
              <w:pStyle w:val="TableText"/>
              <w:numPr>
                <w:ilvl w:val="0"/>
                <w:numId w:val="17"/>
              </w:numPr>
              <w:spacing w:after="0" w:line="240" w:lineRule="auto"/>
              <w:ind w:left="284" w:hanging="284"/>
            </w:pPr>
            <w:r w:rsidRPr="005B2975">
              <w:t xml:space="preserve">Did </w:t>
            </w:r>
            <w:r w:rsidR="00872E0F">
              <w:t xml:space="preserve">the </w:t>
            </w:r>
            <w:r w:rsidRPr="005B2975">
              <w:t>Australia</w:t>
            </w:r>
            <w:r w:rsidR="00872E0F">
              <w:t>n aid program</w:t>
            </w:r>
            <w:r w:rsidRPr="005B2975">
              <w:t xml:space="preserve"> increase the use of government systems through the health </w:t>
            </w:r>
            <w:proofErr w:type="spellStart"/>
            <w:r w:rsidRPr="005B2975">
              <w:t>SWAp</w:t>
            </w:r>
            <w:proofErr w:type="spellEnd"/>
            <w:r w:rsidRPr="005B2975">
              <w:t>?</w:t>
            </w:r>
          </w:p>
        </w:tc>
        <w:tc>
          <w:tcPr>
            <w:tcW w:w="3177" w:type="pct"/>
          </w:tcPr>
          <w:p w:rsidR="009F5415" w:rsidRDefault="002568ED" w:rsidP="009F5415">
            <w:pPr>
              <w:pStyle w:val="TableBullet"/>
            </w:pPr>
            <w:r w:rsidRPr="005B2975">
              <w:t xml:space="preserve">What and whose systems were used </w:t>
            </w:r>
            <w:r w:rsidR="00B67242">
              <w:t>to finance the plan or program</w:t>
            </w:r>
            <w:r w:rsidRPr="005B2975">
              <w:t xml:space="preserve"> being supported?</w:t>
            </w:r>
          </w:p>
          <w:p w:rsidR="009F5415" w:rsidRDefault="002568ED" w:rsidP="009F5415">
            <w:pPr>
              <w:pStyle w:val="TableBullet"/>
            </w:pPr>
            <w:r w:rsidRPr="005B2975">
              <w:t>Were government systems used for procurement?</w:t>
            </w:r>
          </w:p>
          <w:p w:rsidR="002568ED" w:rsidRPr="005B2975" w:rsidRDefault="002568ED" w:rsidP="009F5415">
            <w:pPr>
              <w:pStyle w:val="TableBullet"/>
            </w:pPr>
            <w:r w:rsidRPr="005B2975">
              <w:t xml:space="preserve">Did the </w:t>
            </w:r>
            <w:proofErr w:type="spellStart"/>
            <w:r w:rsidRPr="005B2975">
              <w:t>SWAp</w:t>
            </w:r>
            <w:proofErr w:type="spellEnd"/>
            <w:r w:rsidRPr="005B2975">
              <w:t xml:space="preserve"> or financing instruments enable, enhance or increase the use of governments systems?</w:t>
            </w:r>
          </w:p>
        </w:tc>
      </w:tr>
    </w:tbl>
    <w:p w:rsidR="0084428F" w:rsidRDefault="0084428F" w:rsidP="002568ED">
      <w:pPr>
        <w:spacing w:after="0" w:line="200" w:lineRule="atLeast"/>
        <w:rPr>
          <w:highlight w:val="yellow"/>
        </w:rPr>
      </w:pPr>
    </w:p>
    <w:p w:rsidR="0054221D" w:rsidRPr="00FB257B" w:rsidRDefault="002E6551" w:rsidP="003F79D6">
      <w:pPr>
        <w:pStyle w:val="NormalBeforeBullet"/>
      </w:pPr>
      <w:r>
        <w:t>W</w:t>
      </w:r>
      <w:r w:rsidR="007573CD">
        <w:t xml:space="preserve">e drew on three main </w:t>
      </w:r>
      <w:r w:rsidR="0054221D" w:rsidRPr="00F65BD4">
        <w:rPr>
          <w:b/>
        </w:rPr>
        <w:t>conceptual frameworks</w:t>
      </w:r>
      <w:r w:rsidR="0054221D" w:rsidRPr="00F65BD4">
        <w:t xml:space="preserve"> </w:t>
      </w:r>
      <w:r w:rsidR="007573CD">
        <w:t>to ground our analytical tool. These are</w:t>
      </w:r>
      <w:r w:rsidR="0054221D">
        <w:t>:</w:t>
      </w:r>
    </w:p>
    <w:p w:rsidR="0054221D" w:rsidRDefault="0054221D" w:rsidP="0054221D">
      <w:pPr>
        <w:pStyle w:val="Bullet"/>
      </w:pPr>
      <w:proofErr w:type="spellStart"/>
      <w:r w:rsidRPr="008A2491">
        <w:t>Walford</w:t>
      </w:r>
      <w:proofErr w:type="spellEnd"/>
      <w:r>
        <w:t xml:space="preserve"> </w:t>
      </w:r>
      <w:r w:rsidRPr="008A2491">
        <w:t>uses the ‘core ingredients</w:t>
      </w:r>
      <w:r w:rsidRPr="00E052EA">
        <w:t xml:space="preserve"> of a </w:t>
      </w:r>
      <w:proofErr w:type="spellStart"/>
      <w:r w:rsidRPr="00E052EA">
        <w:t>SWAp</w:t>
      </w:r>
      <w:proofErr w:type="spellEnd"/>
      <w:r w:rsidRPr="00E052EA">
        <w:t>’ to look at experience across countries</w:t>
      </w:r>
      <w:r>
        <w:t xml:space="preserve"> (government leadership; a shared sector wide policy and strategy; a medium term expenditure framework; shared processes and approaches, including shared progress reviews and indicators of progress; commitment to greater reliance on government financial management and accountability systems).</w:t>
      </w:r>
      <w:r w:rsidRPr="008A2491">
        <w:rPr>
          <w:vertAlign w:val="superscript"/>
        </w:rPr>
        <w:footnoteReference w:id="8"/>
      </w:r>
      <w:r w:rsidRPr="008A2491">
        <w:t xml:space="preserve"> </w:t>
      </w:r>
      <w:r w:rsidRPr="00E052EA">
        <w:t>The</w:t>
      </w:r>
      <w:r>
        <w:t xml:space="preserve">se </w:t>
      </w:r>
      <w:r w:rsidRPr="00E052EA">
        <w:t>are similar to the categories used in the reviews (</w:t>
      </w:r>
      <w:r w:rsidRPr="00FB257B">
        <w:t xml:space="preserve">not evaluations) by </w:t>
      </w:r>
      <w:proofErr w:type="spellStart"/>
      <w:r w:rsidRPr="00FB257B">
        <w:t>Negin</w:t>
      </w:r>
      <w:proofErr w:type="spellEnd"/>
      <w:r w:rsidRPr="00FB257B">
        <w:rPr>
          <w:vertAlign w:val="superscript"/>
        </w:rPr>
        <w:footnoteReference w:id="9"/>
      </w:r>
      <w:r w:rsidRPr="00FB257B">
        <w:t xml:space="preserve"> and </w:t>
      </w:r>
      <w:proofErr w:type="spellStart"/>
      <w:r w:rsidRPr="00FB257B">
        <w:t>McNee</w:t>
      </w:r>
      <w:proofErr w:type="spellEnd"/>
      <w:r w:rsidRPr="00FB257B">
        <w:rPr>
          <w:vertAlign w:val="superscript"/>
        </w:rPr>
        <w:footnoteReference w:id="10"/>
      </w:r>
      <w:r w:rsidRPr="00FB257B">
        <w:t xml:space="preserve"> and very similar to the ones </w:t>
      </w:r>
      <w:r>
        <w:t xml:space="preserve">we </w:t>
      </w:r>
      <w:r w:rsidRPr="00FB257B">
        <w:t xml:space="preserve">used (Table </w:t>
      </w:r>
      <w:r>
        <w:t xml:space="preserve">3). </w:t>
      </w:r>
    </w:p>
    <w:p w:rsidR="0054221D" w:rsidRDefault="0054221D" w:rsidP="0054221D">
      <w:pPr>
        <w:pStyle w:val="Bullet"/>
      </w:pPr>
      <w:r w:rsidRPr="00FB257B">
        <w:lastRenderedPageBreak/>
        <w:t xml:space="preserve">In his impact assessment of the health </w:t>
      </w:r>
      <w:proofErr w:type="spellStart"/>
      <w:r w:rsidRPr="00FB257B">
        <w:t>SWAp</w:t>
      </w:r>
      <w:proofErr w:type="spellEnd"/>
      <w:r w:rsidRPr="00FB257B">
        <w:t xml:space="preserve"> in Malawi, Pearson uses a simple causal pathway (from inputs to processes, outputs, outcomes and impact), to compare progress against the expectations s</w:t>
      </w:r>
      <w:r>
        <w:t>et out at the time the program</w:t>
      </w:r>
      <w:r w:rsidRPr="00FB257B">
        <w:t xml:space="preserve"> was adopted or, as the author puts it, to assess ‘whether what has been achieved seems reasonable against what was expected at the time</w:t>
      </w:r>
      <w:r w:rsidR="00FA74F2">
        <w:t>.’</w:t>
      </w:r>
      <w:r w:rsidRPr="00E052EA">
        <w:rPr>
          <w:vertAlign w:val="superscript"/>
        </w:rPr>
        <w:footnoteReference w:id="11"/>
      </w:r>
      <w:r w:rsidRPr="00FB257B">
        <w:t xml:space="preserve"> While </w:t>
      </w:r>
      <w:r w:rsidRPr="00F65BD4">
        <w:t xml:space="preserve">this framework is suitable for individual countries where there is information about the policy objectives of the </w:t>
      </w:r>
      <w:proofErr w:type="spellStart"/>
      <w:r w:rsidRPr="00F65BD4">
        <w:t>SWAp</w:t>
      </w:r>
      <w:proofErr w:type="spellEnd"/>
      <w:r w:rsidRPr="00FB257B">
        <w:t xml:space="preserve"> it is less appropriate for establishing comparisons across countries.</w:t>
      </w:r>
    </w:p>
    <w:p w:rsidR="0054221D" w:rsidRDefault="0054221D" w:rsidP="003F79D6">
      <w:pPr>
        <w:pStyle w:val="BulletLast"/>
      </w:pPr>
      <w:r w:rsidRPr="00FB257B">
        <w:t xml:space="preserve">The third type of conceptual framework is the one used by </w:t>
      </w:r>
      <w:proofErr w:type="spellStart"/>
      <w:r w:rsidRPr="00FB257B">
        <w:t>Vaillancourt</w:t>
      </w:r>
      <w:proofErr w:type="spellEnd"/>
      <w:r w:rsidRPr="00FB257B">
        <w:rPr>
          <w:vertAlign w:val="superscript"/>
        </w:rPr>
        <w:footnoteReference w:id="12"/>
      </w:r>
      <w:r w:rsidRPr="00FB257B">
        <w:t xml:space="preserve"> </w:t>
      </w:r>
      <w:r>
        <w:t xml:space="preserve">and </w:t>
      </w:r>
      <w:r w:rsidRPr="00FB257B">
        <w:t>attempts to answer four questions: (</w:t>
      </w:r>
      <w:proofErr w:type="spellStart"/>
      <w:r w:rsidRPr="00FB257B">
        <w:t>i</w:t>
      </w:r>
      <w:proofErr w:type="spellEnd"/>
      <w:r w:rsidRPr="00FB257B">
        <w:t xml:space="preserve">) are the anticipated benefits of the approach being realized; (ii) are the objectives of national sector programs likely to be achieved; (iii) how is the approach affecting sector program results; and (iv) how is the approach affecting the efficacy of </w:t>
      </w:r>
      <w:r>
        <w:t>d</w:t>
      </w:r>
      <w:r w:rsidRPr="00FB257B">
        <w:t>evelopmen</w:t>
      </w:r>
      <w:r>
        <w:t>t Partners</w:t>
      </w:r>
      <w:r w:rsidRPr="00FB257B">
        <w:t xml:space="preserve">. This framework employs an objectives-based methodology, whereby aid effectiveness efforts under </w:t>
      </w:r>
      <w:proofErr w:type="spellStart"/>
      <w:r w:rsidRPr="00FB257B">
        <w:t>SWAps</w:t>
      </w:r>
      <w:proofErr w:type="spellEnd"/>
      <w:r w:rsidRPr="00FB257B">
        <w:t xml:space="preserve"> and sector development programs are assessed against the specific objectives and indicators set and agreed by the relevant country and development partners. The </w:t>
      </w:r>
      <w:r>
        <w:t xml:space="preserve">Development Assistance Committee </w:t>
      </w:r>
      <w:r w:rsidRPr="000A1FC9">
        <w:t>Criteria for Evaluating Development Assistance</w:t>
      </w:r>
      <w:r w:rsidRPr="00FB257B">
        <w:t xml:space="preserve"> guide the review’s analysis of the relevance, efficacy, efficiency and sustainability of specific </w:t>
      </w:r>
      <w:proofErr w:type="spellStart"/>
      <w:r w:rsidRPr="00FB257B">
        <w:t>SWAps</w:t>
      </w:r>
      <w:proofErr w:type="spellEnd"/>
      <w:r w:rsidRPr="00FB257B">
        <w:t>.</w:t>
      </w:r>
      <w:r>
        <w:rPr>
          <w:rStyle w:val="FootnoteReference"/>
        </w:rPr>
        <w:footnoteReference w:id="13"/>
      </w:r>
    </w:p>
    <w:p w:rsidR="000D5AD9" w:rsidRDefault="000D5AD9" w:rsidP="000D5AD9">
      <w:pPr>
        <w:pStyle w:val="Heading2"/>
      </w:pPr>
      <w:bookmarkStart w:id="13" w:name="_Toc403403680"/>
      <w:r>
        <w:t>1.3</w:t>
      </w:r>
      <w:r>
        <w:tab/>
      </w:r>
      <w:r w:rsidR="00F00B75">
        <w:t>Summary of f</w:t>
      </w:r>
      <w:r w:rsidR="003F79D6">
        <w:t>indings</w:t>
      </w:r>
      <w:r w:rsidRPr="0088667E">
        <w:t xml:space="preserve"> </w:t>
      </w:r>
      <w:r w:rsidR="00760DD2">
        <w:t>relating to the evidence available</w:t>
      </w:r>
      <w:bookmarkEnd w:id="13"/>
    </w:p>
    <w:p w:rsidR="003F79D6" w:rsidRPr="003F79D6" w:rsidRDefault="003F79D6" w:rsidP="003F79D6">
      <w:r w:rsidRPr="003F79D6">
        <w:t xml:space="preserve">We found a </w:t>
      </w:r>
      <w:r w:rsidRPr="003F79D6">
        <w:rPr>
          <w:b/>
        </w:rPr>
        <w:t>limited volume of evidence of sufficient quality</w:t>
      </w:r>
      <w:r w:rsidRPr="003F79D6">
        <w:t xml:space="preserve"> (see Table 1) in the period covered by the review (we used 2009 as the cut off-point, although we slightly extended this to incorporate more documents.) </w:t>
      </w:r>
    </w:p>
    <w:p w:rsidR="003F79D6" w:rsidRPr="003F79D6" w:rsidRDefault="003F79D6" w:rsidP="003F79D6">
      <w:r w:rsidRPr="003F79D6">
        <w:t xml:space="preserve">We found that </w:t>
      </w:r>
      <w:proofErr w:type="spellStart"/>
      <w:r w:rsidRPr="003F79D6">
        <w:t>SWAps</w:t>
      </w:r>
      <w:proofErr w:type="spellEnd"/>
      <w:r w:rsidRPr="003F79D6">
        <w:t xml:space="preserve"> developed relatively recently, such as those in the Pacific countries (Samoa, Solomon Island and Papua New Guinea) had not yet generated sufficient or sufficiently robust evidence. Several evaluations and structured reviews focused on the early stages of </w:t>
      </w:r>
      <w:proofErr w:type="spellStart"/>
      <w:r w:rsidRPr="003F79D6">
        <w:t>SWAps</w:t>
      </w:r>
      <w:proofErr w:type="spellEnd"/>
      <w:r w:rsidRPr="003F79D6">
        <w:t>, which limited our ability to analyse their effectiveness.</w:t>
      </w:r>
    </w:p>
    <w:p w:rsidR="003F79D6" w:rsidRPr="003F79D6" w:rsidRDefault="003F79D6" w:rsidP="003F79D6">
      <w:r w:rsidRPr="003F79D6">
        <w:t xml:space="preserve">We expected to find a stronger evidence base from the Asian countries (Bangladesh, Cambodia and Nepal) where </w:t>
      </w:r>
      <w:proofErr w:type="spellStart"/>
      <w:r w:rsidRPr="003F79D6">
        <w:t>SWAps</w:t>
      </w:r>
      <w:proofErr w:type="spellEnd"/>
      <w:r w:rsidRPr="003F79D6">
        <w:t xml:space="preserve"> were more mature, but in practice this was not the case. Only a small number of specific evaluations were conducted during the timeframe of the review</w:t>
      </w:r>
      <w:r w:rsidR="00A92110">
        <w:t xml:space="preserve">. This meant that we had to rely primarily </w:t>
      </w:r>
      <w:r w:rsidR="00530E14">
        <w:t>on</w:t>
      </w:r>
      <w:r w:rsidR="00530E14" w:rsidRPr="003F79D6">
        <w:t xml:space="preserve"> </w:t>
      </w:r>
      <w:r w:rsidRPr="003F79D6">
        <w:t xml:space="preserve">annual sector and program reviews and smaller scale analysis. These documents often made assumptions about the attribution of the results to the </w:t>
      </w:r>
      <w:proofErr w:type="spellStart"/>
      <w:r w:rsidRPr="003F79D6">
        <w:t>SWAp</w:t>
      </w:r>
      <w:proofErr w:type="spellEnd"/>
      <w:r w:rsidRPr="003F79D6">
        <w:t xml:space="preserve"> when, in fact, such attribution is problematic (as explained in </w:t>
      </w:r>
      <w:r w:rsidR="000429F1">
        <w:t>1.4</w:t>
      </w:r>
      <w:r w:rsidRPr="003F79D6">
        <w:t xml:space="preserve">). </w:t>
      </w:r>
    </w:p>
    <w:p w:rsidR="003F79D6" w:rsidRPr="003F79D6" w:rsidRDefault="003F79D6" w:rsidP="003F79D6">
      <w:r w:rsidRPr="003F79D6">
        <w:t xml:space="preserve">Overall, we also found an </w:t>
      </w:r>
      <w:r w:rsidRPr="003F79D6">
        <w:rPr>
          <w:b/>
        </w:rPr>
        <w:t>evidence bias</w:t>
      </w:r>
      <w:r w:rsidRPr="003F79D6">
        <w:t xml:space="preserve"> in that a large part of the literature focused on what was not working rather than what was working well.</w:t>
      </w:r>
    </w:p>
    <w:p w:rsidR="00716F3F" w:rsidRPr="003F79D6" w:rsidRDefault="003F79D6" w:rsidP="00716F3F">
      <w:r w:rsidRPr="003F79D6">
        <w:t xml:space="preserve">We also encountered </w:t>
      </w:r>
      <w:r w:rsidRPr="003F79D6">
        <w:rPr>
          <w:b/>
        </w:rPr>
        <w:t>evidence gaps in baseline data</w:t>
      </w:r>
      <w:r w:rsidRPr="003F79D6">
        <w:t xml:space="preserve">, such as limited or no baseline information focusing on the </w:t>
      </w:r>
      <w:proofErr w:type="spellStart"/>
      <w:r w:rsidRPr="003F79D6">
        <w:t>SWAps</w:t>
      </w:r>
      <w:proofErr w:type="spellEnd"/>
      <w:r w:rsidRPr="003F79D6">
        <w:t xml:space="preserve"> components. Although there was a substantial amount of data relating to health outcomes (or intermediate outcomes/outputs), these data were often not presented systematically, or there was no evidence of their reliability.</w:t>
      </w:r>
      <w:r w:rsidR="00716F3F" w:rsidRPr="00716F3F">
        <w:t xml:space="preserve"> </w:t>
      </w:r>
      <w:r w:rsidR="00716F3F" w:rsidRPr="003F79D6">
        <w:t xml:space="preserve">Some of the documents show </w:t>
      </w:r>
      <w:r w:rsidR="00716F3F" w:rsidRPr="003F79D6">
        <w:rPr>
          <w:b/>
          <w:i/>
        </w:rPr>
        <w:t xml:space="preserve">lack of internal coherence and confusion between indicators, results and monitoring and evaluations </w:t>
      </w:r>
      <w:r w:rsidR="00716F3F" w:rsidRPr="003F79D6">
        <w:rPr>
          <w:b/>
          <w:i/>
        </w:rPr>
        <w:lastRenderedPageBreak/>
        <w:t xml:space="preserve">arrangements. </w:t>
      </w:r>
      <w:r w:rsidR="00716F3F" w:rsidRPr="003F79D6">
        <w:t xml:space="preserve">This has made it difficult to determine whether the </w:t>
      </w:r>
      <w:proofErr w:type="spellStart"/>
      <w:r w:rsidR="00716F3F" w:rsidRPr="003F79D6">
        <w:t>SWAps</w:t>
      </w:r>
      <w:proofErr w:type="spellEnd"/>
      <w:r w:rsidR="00716F3F" w:rsidRPr="003F79D6">
        <w:t xml:space="preserve"> achieved what they set out to. Further, the expectations of what should be achieved are often implicit rather than explicit.</w:t>
      </w:r>
    </w:p>
    <w:p w:rsidR="003F79D6" w:rsidRPr="003F79D6" w:rsidRDefault="003F79D6" w:rsidP="003F79D6">
      <w:r w:rsidRPr="003F79D6">
        <w:t xml:space="preserve">We found considerable baseline information on sector or program indicators in the three Asian countries where health </w:t>
      </w:r>
      <w:proofErr w:type="spellStart"/>
      <w:proofErr w:type="gramStart"/>
      <w:r w:rsidRPr="003F79D6">
        <w:t>SWAps</w:t>
      </w:r>
      <w:proofErr w:type="spellEnd"/>
      <w:proofErr w:type="gramEnd"/>
      <w:r w:rsidRPr="003F79D6">
        <w:t xml:space="preserve"> have been longer in operation, but also that it had not always been used by the authors of the countries’ sector reviews. It was more difficult to find reliable baseline data on outcomes and service outputs pre-dating the </w:t>
      </w:r>
      <w:proofErr w:type="spellStart"/>
      <w:r w:rsidRPr="003F79D6">
        <w:t>SWAp</w:t>
      </w:r>
      <w:proofErr w:type="spellEnd"/>
      <w:r w:rsidRPr="003F79D6">
        <w:t xml:space="preserve"> in the Pacific countries, where information from reliable data sources such as Demographic and Health Surveys (DHS) or similar was not available or not used in the evaluations and reviews, with a few exceptions. In general, the quality of information for health outcome indicators was higher than it was for service or program outputs. </w:t>
      </w:r>
    </w:p>
    <w:p w:rsidR="003F79D6" w:rsidRPr="003F79D6" w:rsidRDefault="003F79D6" w:rsidP="003F79D6">
      <w:r w:rsidRPr="003F79D6">
        <w:t xml:space="preserve">The </w:t>
      </w:r>
      <w:r w:rsidRPr="003F79D6">
        <w:rPr>
          <w:b/>
        </w:rPr>
        <w:t xml:space="preserve">lack of qualitative assessments of </w:t>
      </w:r>
      <w:r w:rsidR="00A92110">
        <w:rPr>
          <w:b/>
        </w:rPr>
        <w:t>decisions</w:t>
      </w:r>
      <w:r w:rsidRPr="003F79D6">
        <w:t xml:space="preserve"> </w:t>
      </w:r>
      <w:r w:rsidR="0050015F">
        <w:t xml:space="preserve">linked to the management of the health aid portfolio </w:t>
      </w:r>
      <w:r w:rsidRPr="003F79D6">
        <w:t xml:space="preserve">was a main gap </w:t>
      </w:r>
      <w:r w:rsidR="00760DD2">
        <w:t>while attempting to document how or why the Australian aid programme</w:t>
      </w:r>
      <w:r w:rsidR="000429F1">
        <w:t xml:space="preserve"> had</w:t>
      </w:r>
      <w:r w:rsidR="00760DD2">
        <w:t xml:space="preserve"> adopted a </w:t>
      </w:r>
      <w:proofErr w:type="spellStart"/>
      <w:r w:rsidR="00760DD2">
        <w:t>SWAp</w:t>
      </w:r>
      <w:proofErr w:type="spellEnd"/>
      <w:r w:rsidR="00760DD2">
        <w:t xml:space="preserve"> (covered in Chapter 2)</w:t>
      </w:r>
      <w:r w:rsidRPr="003F79D6">
        <w:t xml:space="preserve">. The evidence for assessing the operational approach adopted by the Australian aid program was limited to aid program performance reports and other internal documents. While useful, these documents do not permit an assessment of </w:t>
      </w:r>
      <w:r w:rsidR="00A92110">
        <w:t xml:space="preserve">how </w:t>
      </w:r>
      <w:r w:rsidR="0050015F">
        <w:t xml:space="preserve">or why </w:t>
      </w:r>
      <w:r w:rsidR="00A92110">
        <w:t xml:space="preserve">decisions </w:t>
      </w:r>
      <w:r w:rsidR="0050015F">
        <w:t xml:space="preserve">were </w:t>
      </w:r>
      <w:r w:rsidR="00A92110">
        <w:t>made</w:t>
      </w:r>
      <w:r w:rsidRPr="003F79D6">
        <w:t xml:space="preserve">, in part because their purpose is different and they have been written by country officers without external assessment, and partly because they only reflect a fraction of the amount of work undertaken to adapt to </w:t>
      </w:r>
      <w:proofErr w:type="spellStart"/>
      <w:r w:rsidRPr="003F79D6">
        <w:t>SWAps</w:t>
      </w:r>
      <w:proofErr w:type="spellEnd"/>
      <w:r w:rsidRPr="003F79D6">
        <w:t xml:space="preserve"> and instruments that were new to the Australian aid program at the time. </w:t>
      </w:r>
    </w:p>
    <w:p w:rsidR="003F79D6" w:rsidRPr="003F79D6" w:rsidRDefault="003F79D6" w:rsidP="003F79D6">
      <w:r w:rsidRPr="003F79D6">
        <w:t xml:space="preserve">It is important to emphasise </w:t>
      </w:r>
      <w:r w:rsidRPr="003F79D6">
        <w:rPr>
          <w:b/>
          <w:i/>
        </w:rPr>
        <w:t xml:space="preserve">that an assessment of effectiveness cannot be proven to be directly attributed to </w:t>
      </w:r>
      <w:proofErr w:type="spellStart"/>
      <w:r w:rsidRPr="003F79D6">
        <w:rPr>
          <w:b/>
          <w:i/>
        </w:rPr>
        <w:t>SWAps</w:t>
      </w:r>
      <w:proofErr w:type="spellEnd"/>
      <w:r w:rsidRPr="003F79D6">
        <w:rPr>
          <w:b/>
          <w:i/>
        </w:rPr>
        <w:t xml:space="preserve"> or related financing instruments, </w:t>
      </w:r>
      <w:r w:rsidRPr="003F79D6">
        <w:t xml:space="preserve">neither is it likely to be feasible if additional research is undertaken. In some cases it has been possible to document some of the results that have been achieved and to make limited judgements about what role the </w:t>
      </w:r>
      <w:proofErr w:type="spellStart"/>
      <w:r w:rsidRPr="003F79D6">
        <w:t>SWAp</w:t>
      </w:r>
      <w:proofErr w:type="spellEnd"/>
      <w:r w:rsidRPr="003F79D6">
        <w:t xml:space="preserve"> and related instruments might have played, but such judgements, while made in good faith, cannot be consid</w:t>
      </w:r>
      <w:r w:rsidR="00A9018F">
        <w:t>ered as ‘evidence’. We explain</w:t>
      </w:r>
      <w:r w:rsidRPr="003F79D6">
        <w:t xml:space="preserve"> in detail why this type of assessment is challenging in section </w:t>
      </w:r>
      <w:r w:rsidR="000429F1">
        <w:t>1.4</w:t>
      </w:r>
      <w:r w:rsidRPr="003F79D6">
        <w:t>.</w:t>
      </w:r>
    </w:p>
    <w:p w:rsidR="00A2261D" w:rsidRPr="00A268C5" w:rsidRDefault="00A2261D" w:rsidP="006E22A0">
      <w:pPr>
        <w:pStyle w:val="Heading2"/>
      </w:pPr>
      <w:bookmarkStart w:id="14" w:name="_Toc403403681"/>
      <w:r>
        <w:t>1.</w:t>
      </w:r>
      <w:r w:rsidR="00A268C5">
        <w:t>4</w:t>
      </w:r>
      <w:r w:rsidRPr="00A268C5">
        <w:tab/>
      </w:r>
      <w:r w:rsidR="0054221D" w:rsidRPr="00A268C5">
        <w:t>Methodological challenges</w:t>
      </w:r>
      <w:bookmarkEnd w:id="14"/>
      <w:r w:rsidRPr="00A268C5">
        <w:t xml:space="preserve"> </w:t>
      </w:r>
    </w:p>
    <w:p w:rsidR="00A169D8" w:rsidRDefault="00A169D8" w:rsidP="0054221D">
      <w:r>
        <w:t xml:space="preserve">There are several methodological challenges and limitations that should be born in mind </w:t>
      </w:r>
      <w:r w:rsidR="000429F1">
        <w:t>when</w:t>
      </w:r>
      <w:r>
        <w:t xml:space="preserve"> interpreting the results from this evidence review.  </w:t>
      </w:r>
      <w:r w:rsidR="00CE32A3">
        <w:t xml:space="preserve">These are briefly </w:t>
      </w:r>
      <w:r w:rsidR="000429F1">
        <w:t>summarised below</w:t>
      </w:r>
      <w:r w:rsidR="00CE32A3">
        <w:t xml:space="preserve">. </w:t>
      </w:r>
    </w:p>
    <w:p w:rsidR="00A169D8" w:rsidRPr="006E22A0" w:rsidRDefault="006E22A0" w:rsidP="006E22A0">
      <w:pPr>
        <w:pStyle w:val="Heading3"/>
      </w:pPr>
      <w:r>
        <w:t>1.4.1</w:t>
      </w:r>
      <w:r>
        <w:tab/>
      </w:r>
      <w:r w:rsidR="00A169D8">
        <w:t>Challenges linked to the stu</w:t>
      </w:r>
      <w:r>
        <w:t>dy approach and timeframe</w:t>
      </w:r>
    </w:p>
    <w:p w:rsidR="006E22A0" w:rsidRPr="004E2EBA" w:rsidRDefault="006E22A0" w:rsidP="006E22A0">
      <w:r w:rsidRPr="00670BC7">
        <w:rPr>
          <w:b/>
          <w:i/>
          <w:iCs/>
        </w:rPr>
        <w:t>This is a desk-based study relying solely on available literature.</w:t>
      </w:r>
      <w:r>
        <w:t xml:space="preserve"> A large part of </w:t>
      </w:r>
      <w:r w:rsidRPr="004E2EBA">
        <w:t>the literature</w:t>
      </w:r>
      <w:r>
        <w:t xml:space="preserve"> focus</w:t>
      </w:r>
      <w:r w:rsidRPr="004E2EBA">
        <w:t xml:space="preserve">ed on what was not working </w:t>
      </w:r>
      <w:r>
        <w:t xml:space="preserve">rather than </w:t>
      </w:r>
      <w:r w:rsidRPr="004E2EBA">
        <w:t>what was working well</w:t>
      </w:r>
      <w:r w:rsidRPr="00530E14">
        <w:t>.</w:t>
      </w:r>
      <w:r w:rsidR="00483032" w:rsidRPr="00530E14">
        <w:t xml:space="preserve">  This is probably because most of the literature that we found consisted of consulting reports commissioned by donor agencies as part of their efforts to improve the functioning of the </w:t>
      </w:r>
      <w:proofErr w:type="spellStart"/>
      <w:r w:rsidR="00483032" w:rsidRPr="00530E14">
        <w:t>SWAp</w:t>
      </w:r>
      <w:proofErr w:type="spellEnd"/>
      <w:r w:rsidR="00483032" w:rsidRPr="00530E14">
        <w:t xml:space="preserve"> or the sector, hence a focus on what is not working and on how it could be made to work better.</w:t>
      </w:r>
      <w:r w:rsidRPr="004E2EBA">
        <w:t xml:space="preserve"> </w:t>
      </w:r>
      <w:r>
        <w:t xml:space="preserve">In addition, it </w:t>
      </w:r>
      <w:r w:rsidRPr="004E2EBA">
        <w:t xml:space="preserve">is challenging </w:t>
      </w:r>
      <w:r>
        <w:t>to u</w:t>
      </w:r>
      <w:r w:rsidRPr="004E2EBA">
        <w:t xml:space="preserve">nderstand why an approach has been adopted and </w:t>
      </w:r>
      <w:r>
        <w:t>the extent of its effectiveness</w:t>
      </w:r>
      <w:r w:rsidRPr="004E2EBA">
        <w:t xml:space="preserve"> based on a desk review. </w:t>
      </w:r>
      <w:r>
        <w:t>R</w:t>
      </w:r>
      <w:r w:rsidRPr="004E2EBA">
        <w:t>eview</w:t>
      </w:r>
      <w:r>
        <w:t>ing</w:t>
      </w:r>
      <w:r w:rsidRPr="004E2EBA">
        <w:t xml:space="preserve"> the Samoa and Solomon Islands health </w:t>
      </w:r>
      <w:proofErr w:type="spellStart"/>
      <w:r w:rsidRPr="004E2EBA">
        <w:t>SWAps</w:t>
      </w:r>
      <w:proofErr w:type="spellEnd"/>
      <w:r>
        <w:t>,</w:t>
      </w:r>
      <w:r w:rsidRPr="004E2EBA">
        <w:t xml:space="preserve"> </w:t>
      </w:r>
      <w:proofErr w:type="spellStart"/>
      <w:r w:rsidRPr="004E2EBA">
        <w:t>Vaillancourt</w:t>
      </w:r>
      <w:proofErr w:type="spellEnd"/>
      <w:r w:rsidRPr="004E2EBA">
        <w:t xml:space="preserve"> </w:t>
      </w:r>
      <w:r>
        <w:t>argues</w:t>
      </w:r>
      <w:r w:rsidRPr="004E2EBA">
        <w:t xml:space="preserve"> </w:t>
      </w:r>
      <w:r>
        <w:t xml:space="preserve">that </w:t>
      </w:r>
      <w:r w:rsidRPr="004E2EBA">
        <w:t>much of the official literature lacks candour and is constrained by the rules of diplomacy, while the evidence that might shed light on effectiveness of an approach is contained in confidential, internal documents that cannot be cited or referenced.</w:t>
      </w:r>
      <w:r w:rsidRPr="004E2EBA">
        <w:rPr>
          <w:rStyle w:val="FootnoteReference"/>
        </w:rPr>
        <w:footnoteReference w:id="14"/>
      </w:r>
      <w:r w:rsidRPr="004E2EBA">
        <w:t xml:space="preserve"> </w:t>
      </w:r>
      <w:r>
        <w:t>We faced similar issues while conducting this evidence review.</w:t>
      </w:r>
    </w:p>
    <w:p w:rsidR="006E22A0" w:rsidRPr="004E2EBA" w:rsidRDefault="006E22A0" w:rsidP="006E22A0">
      <w:r w:rsidRPr="006B3619">
        <w:rPr>
          <w:b/>
        </w:rPr>
        <w:t>The</w:t>
      </w:r>
      <w:r>
        <w:t xml:space="preserve"> </w:t>
      </w:r>
      <w:r w:rsidRPr="006B3619">
        <w:rPr>
          <w:b/>
        </w:rPr>
        <w:t>lack of qualitative assessments of portfolio management</w:t>
      </w:r>
      <w:r w:rsidR="006B3619">
        <w:t xml:space="preserve"> (as described in Section 1.3)</w:t>
      </w:r>
      <w:r>
        <w:t xml:space="preserve"> was a main gap</w:t>
      </w:r>
      <w:r w:rsidRPr="004E2EBA">
        <w:t xml:space="preserve"> </w:t>
      </w:r>
      <w:r>
        <w:t xml:space="preserve">for this review. </w:t>
      </w:r>
      <w:r w:rsidR="006B3619" w:rsidRPr="003F79D6">
        <w:t xml:space="preserve">Qualitative assessments might have helped to understand how and why the Australian aid program adopted </w:t>
      </w:r>
      <w:proofErr w:type="spellStart"/>
      <w:r w:rsidR="006B3619" w:rsidRPr="003F79D6">
        <w:t>SWAps</w:t>
      </w:r>
      <w:proofErr w:type="spellEnd"/>
      <w:r w:rsidR="006B3619" w:rsidRPr="003F79D6">
        <w:t xml:space="preserve">, how these new aid modalities were managed and so forth. </w:t>
      </w:r>
      <w:r w:rsidR="006B3619" w:rsidRPr="003F79D6">
        <w:lastRenderedPageBreak/>
        <w:t>However this would require in-country work, preferably by independent researchers, to interview agency staff and other key stakeholders.</w:t>
      </w:r>
    </w:p>
    <w:p w:rsidR="00A169D8" w:rsidRPr="004E2EBA" w:rsidRDefault="00A169D8" w:rsidP="00A169D8">
      <w:r w:rsidRPr="00670BC7">
        <w:rPr>
          <w:b/>
          <w:i/>
        </w:rPr>
        <w:t xml:space="preserve">The timeframe </w:t>
      </w:r>
      <w:r w:rsidR="00F00B75">
        <w:rPr>
          <w:b/>
          <w:i/>
        </w:rPr>
        <w:t xml:space="preserve">of this review </w:t>
      </w:r>
      <w:r w:rsidRPr="00670BC7">
        <w:rPr>
          <w:b/>
          <w:i/>
        </w:rPr>
        <w:t xml:space="preserve">has affected the strength </w:t>
      </w:r>
      <w:r>
        <w:rPr>
          <w:b/>
          <w:i/>
        </w:rPr>
        <w:t xml:space="preserve">(and volume) </w:t>
      </w:r>
      <w:r w:rsidRPr="00670BC7">
        <w:rPr>
          <w:b/>
          <w:i/>
        </w:rPr>
        <w:t>of the evidence found</w:t>
      </w:r>
      <w:r w:rsidRPr="00A2261D">
        <w:t xml:space="preserve">. </w:t>
      </w:r>
      <w:r>
        <w:t>This is inevitable</w:t>
      </w:r>
      <w:r w:rsidRPr="004E2EBA">
        <w:t xml:space="preserve"> </w:t>
      </w:r>
      <w:r>
        <w:t>when using a limited timeline. In addition, s</w:t>
      </w:r>
      <w:r w:rsidRPr="004E2EBA">
        <w:t xml:space="preserve">everal evaluations and structured reviews undertaken in the Pacific </w:t>
      </w:r>
      <w:r>
        <w:t xml:space="preserve">countries </w:t>
      </w:r>
      <w:r w:rsidRPr="004E2EBA">
        <w:t xml:space="preserve">(Samoa, Solomon Islands and </w:t>
      </w:r>
      <w:r>
        <w:t xml:space="preserve">Papua New Guinea) </w:t>
      </w:r>
      <w:proofErr w:type="gramStart"/>
      <w:r w:rsidRPr="004E2EBA">
        <w:t>between 2010-2012</w:t>
      </w:r>
      <w:proofErr w:type="gramEnd"/>
      <w:r w:rsidRPr="004E2EBA">
        <w:t xml:space="preserve"> focused on the early stages of </w:t>
      </w:r>
      <w:proofErr w:type="spellStart"/>
      <w:r w:rsidRPr="004E2EBA">
        <w:t>SWAps</w:t>
      </w:r>
      <w:proofErr w:type="spellEnd"/>
      <w:r>
        <w:t xml:space="preserve">, which in these cases </w:t>
      </w:r>
      <w:r w:rsidRPr="004E2EBA">
        <w:t>were developed relatively recently</w:t>
      </w:r>
      <w:r>
        <w:t>.</w:t>
      </w:r>
      <w:r w:rsidRPr="008D45EB">
        <w:rPr>
          <w:vertAlign w:val="superscript"/>
        </w:rPr>
        <w:t xml:space="preserve"> </w:t>
      </w:r>
      <w:r>
        <w:t>This however limited our ability</w:t>
      </w:r>
      <w:r w:rsidRPr="004E2EBA">
        <w:t xml:space="preserve"> to </w:t>
      </w:r>
      <w:r>
        <w:t>analyse their</w:t>
      </w:r>
      <w:r w:rsidRPr="004E2EBA">
        <w:t xml:space="preserve"> effectiveness</w:t>
      </w:r>
      <w:r>
        <w:t>.</w:t>
      </w:r>
      <w:r w:rsidRPr="004E2EBA">
        <w:t xml:space="preserve"> </w:t>
      </w:r>
    </w:p>
    <w:p w:rsidR="00CE32A3" w:rsidRDefault="006B3619" w:rsidP="0054221D">
      <w:r w:rsidRPr="006B3619">
        <w:rPr>
          <w:b/>
        </w:rPr>
        <w:t>T</w:t>
      </w:r>
      <w:r w:rsidR="00A169D8" w:rsidRPr="006B3619">
        <w:rPr>
          <w:b/>
        </w:rPr>
        <w:t>he</w:t>
      </w:r>
      <w:r w:rsidR="00A169D8" w:rsidRPr="004E2EBA">
        <w:t xml:space="preserve"> </w:t>
      </w:r>
      <w:r w:rsidR="00A169D8" w:rsidRPr="006B3619">
        <w:rPr>
          <w:b/>
        </w:rPr>
        <w:t xml:space="preserve">paucity of specific evaluations </w:t>
      </w:r>
      <w:r w:rsidRPr="006B3619">
        <w:rPr>
          <w:b/>
        </w:rPr>
        <w:t>in the Asian countries</w:t>
      </w:r>
      <w:r w:rsidRPr="004E2EBA">
        <w:t xml:space="preserve"> (Bangladesh, Cambodia and Nepal) where </w:t>
      </w:r>
      <w:proofErr w:type="spellStart"/>
      <w:r w:rsidRPr="004E2EBA">
        <w:t>SWAps</w:t>
      </w:r>
      <w:proofErr w:type="spellEnd"/>
      <w:r w:rsidRPr="004E2EBA">
        <w:t xml:space="preserve"> are more mature, and where one would expect to find </w:t>
      </w:r>
      <w:r>
        <w:t xml:space="preserve">more </w:t>
      </w:r>
      <w:r w:rsidRPr="004E2EBA">
        <w:t xml:space="preserve">evidence of effectiveness, </w:t>
      </w:r>
      <w:r w:rsidR="00A169D8" w:rsidRPr="004E2EBA">
        <w:t xml:space="preserve">during the timeframe of the review limited </w:t>
      </w:r>
      <w:r w:rsidR="00A169D8">
        <w:t>our analysis</w:t>
      </w:r>
      <w:r w:rsidR="00A169D8" w:rsidRPr="004E2EBA">
        <w:t xml:space="preserve">. </w:t>
      </w:r>
    </w:p>
    <w:p w:rsidR="00CE32A3" w:rsidRDefault="006E22A0" w:rsidP="00F00B75">
      <w:pPr>
        <w:pStyle w:val="Heading3"/>
      </w:pPr>
      <w:r>
        <w:t>1.4.2</w:t>
      </w:r>
      <w:r w:rsidR="00CE32A3">
        <w:tab/>
        <w:t xml:space="preserve">The challenges of measuring </w:t>
      </w:r>
      <w:proofErr w:type="spellStart"/>
      <w:r w:rsidR="00CE32A3">
        <w:t>SWAp</w:t>
      </w:r>
      <w:proofErr w:type="spellEnd"/>
      <w:r w:rsidR="00CE32A3">
        <w:t xml:space="preserve"> effectiveness</w:t>
      </w:r>
    </w:p>
    <w:p w:rsidR="0054221D" w:rsidRDefault="00CE32A3" w:rsidP="0054221D">
      <w:r>
        <w:t xml:space="preserve">There are a number of challenges linked to </w:t>
      </w:r>
      <w:r w:rsidR="0054221D">
        <w:t xml:space="preserve">measuring </w:t>
      </w:r>
      <w:proofErr w:type="spellStart"/>
      <w:r w:rsidR="0054221D">
        <w:t>SWAp</w:t>
      </w:r>
      <w:proofErr w:type="spellEnd"/>
      <w:r w:rsidR="0054221D">
        <w:t xml:space="preserve"> effectiveness </w:t>
      </w:r>
      <w:r>
        <w:t xml:space="preserve">that </w:t>
      </w:r>
      <w:r w:rsidR="0054221D">
        <w:t>need to be taken into account</w:t>
      </w:r>
      <w:r>
        <w:t xml:space="preserve"> </w:t>
      </w:r>
      <w:r w:rsidR="006B3619">
        <w:t>when</w:t>
      </w:r>
      <w:r>
        <w:t xml:space="preserve"> interpreting</w:t>
      </w:r>
      <w:r w:rsidR="006B3619">
        <w:t xml:space="preserve"> the</w:t>
      </w:r>
      <w:r>
        <w:t xml:space="preserve"> results</w:t>
      </w:r>
      <w:r w:rsidR="0054221D">
        <w:t>. These relate to the lack of explicit causal pathways, of baseline data, and of a counterfactual.</w:t>
      </w:r>
    </w:p>
    <w:p w:rsidR="0054221D" w:rsidRPr="009F445C" w:rsidRDefault="0054221D" w:rsidP="0054221D">
      <w:r>
        <w:t xml:space="preserve">There </w:t>
      </w:r>
      <w:r w:rsidR="006B3619">
        <w:t>are</w:t>
      </w:r>
      <w:r>
        <w:t xml:space="preserve"> a</w:t>
      </w:r>
      <w:r w:rsidRPr="009F445C">
        <w:t xml:space="preserve"> multitude of potential </w:t>
      </w:r>
      <w:r w:rsidRPr="00290DCD">
        <w:rPr>
          <w:b/>
        </w:rPr>
        <w:t>causal pathways</w:t>
      </w:r>
      <w:r w:rsidRPr="009F445C">
        <w:t xml:space="preserve"> link</w:t>
      </w:r>
      <w:r>
        <w:t>ing</w:t>
      </w:r>
      <w:r w:rsidRPr="009F445C">
        <w:t xml:space="preserve"> a </w:t>
      </w:r>
      <w:proofErr w:type="spellStart"/>
      <w:r w:rsidRPr="009F445C">
        <w:t>SWAp</w:t>
      </w:r>
      <w:proofErr w:type="spellEnd"/>
      <w:r w:rsidRPr="009F445C">
        <w:t xml:space="preserve"> to the results achieved at sector or program levels. Th</w:t>
      </w:r>
      <w:r>
        <w:t xml:space="preserve">is </w:t>
      </w:r>
      <w:r w:rsidRPr="009F445C">
        <w:t xml:space="preserve">challenge </w:t>
      </w:r>
      <w:r>
        <w:t xml:space="preserve">is </w:t>
      </w:r>
      <w:r w:rsidRPr="009F445C">
        <w:t xml:space="preserve">acknowledged in all the main evaluations, assessments and reviews </w:t>
      </w:r>
      <w:r>
        <w:t>consulted,</w:t>
      </w:r>
      <w:r w:rsidRPr="00E052EA">
        <w:rPr>
          <w:vertAlign w:val="superscript"/>
        </w:rPr>
        <w:footnoteReference w:id="15"/>
      </w:r>
      <w:r>
        <w:t xml:space="preserve"> and should be </w:t>
      </w:r>
      <w:r w:rsidRPr="009F445C">
        <w:t>b</w:t>
      </w:r>
      <w:r>
        <w:t xml:space="preserve">orne </w:t>
      </w:r>
      <w:r w:rsidRPr="009F445C">
        <w:t xml:space="preserve">in mind </w:t>
      </w:r>
      <w:r>
        <w:t>in the case of follow-</w:t>
      </w:r>
      <w:r w:rsidRPr="009F445C">
        <w:t xml:space="preserve">on evaluation work in countries, where the same limitations will most likely be faced. A useful summary has been provided by Pearson while attempting an impact assessment of the health </w:t>
      </w:r>
      <w:proofErr w:type="spellStart"/>
      <w:r w:rsidRPr="009F445C">
        <w:t>SWAp</w:t>
      </w:r>
      <w:proofErr w:type="spellEnd"/>
      <w:r w:rsidRPr="009F445C">
        <w:t xml:space="preserve"> in Malawi</w:t>
      </w:r>
      <w:r>
        <w:t>:</w:t>
      </w:r>
      <w:r w:rsidRPr="009F445C">
        <w:rPr>
          <w:vertAlign w:val="superscript"/>
        </w:rPr>
        <w:footnoteReference w:id="16"/>
      </w:r>
    </w:p>
    <w:p w:rsidR="0054221D" w:rsidRPr="00290DCD" w:rsidRDefault="0054221D" w:rsidP="0054221D">
      <w:pPr>
        <w:pStyle w:val="Bullet"/>
      </w:pPr>
      <w:r w:rsidRPr="00290DCD">
        <w:t xml:space="preserve">We know very little about how important </w:t>
      </w:r>
      <w:proofErr w:type="spellStart"/>
      <w:r w:rsidRPr="00290DCD">
        <w:t>SWAp</w:t>
      </w:r>
      <w:proofErr w:type="spellEnd"/>
      <w:r w:rsidRPr="00290DCD">
        <w:t xml:space="preserve"> component</w:t>
      </w:r>
      <w:r>
        <w:t>s</w:t>
      </w:r>
      <w:r w:rsidRPr="00290DCD">
        <w:t xml:space="preserve"> </w:t>
      </w:r>
      <w:r>
        <w:t>are individually</w:t>
      </w:r>
      <w:r w:rsidRPr="00290DCD">
        <w:t xml:space="preserve"> and how they interact. </w:t>
      </w:r>
      <w:r>
        <w:t xml:space="preserve">Often </w:t>
      </w:r>
      <w:r w:rsidRPr="00290DCD">
        <w:t xml:space="preserve">there is </w:t>
      </w:r>
      <w:r>
        <w:t xml:space="preserve">also </w:t>
      </w:r>
      <w:r w:rsidRPr="00290DCD">
        <w:t>ambiguity on the extent to which the</w:t>
      </w:r>
      <w:r>
        <w:t>y</w:t>
      </w:r>
      <w:r w:rsidRPr="00290DCD">
        <w:t xml:space="preserve"> are actually in place. For example, there could be a </w:t>
      </w:r>
      <w:r>
        <w:t>medium term expenditure framework for the sector</w:t>
      </w:r>
      <w:r w:rsidRPr="00290DCD">
        <w:t xml:space="preserve">, but there may still be doubts as to </w:t>
      </w:r>
      <w:r>
        <w:t xml:space="preserve">its </w:t>
      </w:r>
      <w:r w:rsidRPr="00290DCD">
        <w:t>effective</w:t>
      </w:r>
      <w:r>
        <w:t>ness</w:t>
      </w:r>
      <w:r w:rsidRPr="00290DCD">
        <w:t xml:space="preserve"> whe</w:t>
      </w:r>
      <w:r>
        <w:t>n</w:t>
      </w:r>
      <w:r w:rsidRPr="00290DCD">
        <w:t xml:space="preserve"> there is </w:t>
      </w:r>
      <w:r>
        <w:t xml:space="preserve">also </w:t>
      </w:r>
      <w:r w:rsidRPr="00290DCD">
        <w:t>significant off-budget funding</w:t>
      </w:r>
      <w:r>
        <w:t>,</w:t>
      </w:r>
      <w:r w:rsidRPr="00290DCD">
        <w:t xml:space="preserve"> and doubts about whether the process actually supports a rational resource allocation process.</w:t>
      </w:r>
    </w:p>
    <w:p w:rsidR="0054221D" w:rsidRPr="00290DCD" w:rsidRDefault="0054221D" w:rsidP="0054221D">
      <w:pPr>
        <w:pStyle w:val="Bullet"/>
      </w:pPr>
      <w:r w:rsidRPr="00290DCD">
        <w:t xml:space="preserve">There is often lack of clarity on the results we expect a </w:t>
      </w:r>
      <w:proofErr w:type="spellStart"/>
      <w:r w:rsidRPr="00290DCD">
        <w:t>SWAp</w:t>
      </w:r>
      <w:proofErr w:type="spellEnd"/>
      <w:r w:rsidRPr="00290DCD">
        <w:t xml:space="preserve"> to achieve. Even if health outcomes can be measured</w:t>
      </w:r>
      <w:r>
        <w:t>,</w:t>
      </w:r>
      <w:r w:rsidRPr="00290DCD">
        <w:t xml:space="preserve"> evidence suggests that health sector and health systems contribute relatively little to health outcomes</w:t>
      </w:r>
      <w:r w:rsidR="00530E14">
        <w:t xml:space="preserve"> and that other factors are more important</w:t>
      </w:r>
      <w:r w:rsidRPr="00290DCD">
        <w:t>.</w:t>
      </w:r>
      <w:r>
        <w:rPr>
          <w:rStyle w:val="FootnoteReference"/>
        </w:rPr>
        <w:footnoteReference w:id="17"/>
      </w:r>
    </w:p>
    <w:p w:rsidR="0054221D" w:rsidRPr="00290DCD" w:rsidRDefault="0054221D" w:rsidP="0054221D">
      <w:pPr>
        <w:pStyle w:val="Bullet"/>
      </w:pPr>
      <w:r>
        <w:t>It is</w:t>
      </w:r>
      <w:r w:rsidRPr="00290DCD">
        <w:t xml:space="preserve"> extremely difficult to measure the extent to which intermediate outcomes such as capacity development, improved policy dialogue or increased focus on results have been actually achieved. In principle, it should be easier to attribute any such improvements to a </w:t>
      </w:r>
      <w:proofErr w:type="spellStart"/>
      <w:r w:rsidRPr="00290DCD">
        <w:t>SWAp</w:t>
      </w:r>
      <w:proofErr w:type="spellEnd"/>
      <w:r w:rsidRPr="00290DCD">
        <w:t xml:space="preserve"> process if such intermediate outcomes were not in place before the </w:t>
      </w:r>
      <w:proofErr w:type="spellStart"/>
      <w:r w:rsidRPr="00290DCD">
        <w:t>SWAp</w:t>
      </w:r>
      <w:proofErr w:type="spellEnd"/>
      <w:r w:rsidRPr="00290DCD">
        <w:t xml:space="preserve"> was established</w:t>
      </w:r>
      <w:r>
        <w:t>,</w:t>
      </w:r>
      <w:r w:rsidRPr="00290DCD">
        <w:t xml:space="preserve"> but the absence of baselines on intermediate outcomes make</w:t>
      </w:r>
      <w:r>
        <w:t>s</w:t>
      </w:r>
      <w:r w:rsidRPr="00290DCD">
        <w:t xml:space="preserve"> such comparison unfeasible most of the time.</w:t>
      </w:r>
    </w:p>
    <w:p w:rsidR="0054221D" w:rsidRDefault="00EB6A10" w:rsidP="0054221D">
      <w:pPr>
        <w:pStyle w:val="BulletLast"/>
      </w:pPr>
      <w:r>
        <w:t xml:space="preserve">SWAPs </w:t>
      </w:r>
      <w:r w:rsidR="00205F21">
        <w:t xml:space="preserve">can only be effective in delivering health outcomes if the health programs they support are effective. </w:t>
      </w:r>
    </w:p>
    <w:p w:rsidR="0054221D" w:rsidRDefault="0054221D" w:rsidP="0054221D">
      <w:r>
        <w:t xml:space="preserve">Measuring the effectiveness of a </w:t>
      </w:r>
      <w:proofErr w:type="spellStart"/>
      <w:r>
        <w:t>SWAp</w:t>
      </w:r>
      <w:proofErr w:type="spellEnd"/>
      <w:r>
        <w:t xml:space="preserve"> requires meaningful </w:t>
      </w:r>
      <w:r w:rsidRPr="00663A72">
        <w:rPr>
          <w:b/>
        </w:rPr>
        <w:t>baseline data</w:t>
      </w:r>
      <w:r>
        <w:t xml:space="preserve"> such as: </w:t>
      </w:r>
    </w:p>
    <w:p w:rsidR="0054221D" w:rsidRPr="00C532A3" w:rsidRDefault="0054221D" w:rsidP="0054221D">
      <w:pPr>
        <w:pStyle w:val="Bullet"/>
      </w:pPr>
      <w:r>
        <w:lastRenderedPageBreak/>
        <w:t>D</w:t>
      </w:r>
      <w:r w:rsidRPr="00C532A3">
        <w:t xml:space="preserve">ata relating to the </w:t>
      </w:r>
      <w:proofErr w:type="spellStart"/>
      <w:r>
        <w:t>SWAp</w:t>
      </w:r>
      <w:proofErr w:type="spellEnd"/>
      <w:r>
        <w:t xml:space="preserve"> </w:t>
      </w:r>
      <w:r w:rsidRPr="00C532A3">
        <w:t xml:space="preserve">components (focus on results, use of joint M&amp;E systems, etc.) which would provide a direct dimension of the extent to which the </w:t>
      </w:r>
      <w:proofErr w:type="spellStart"/>
      <w:r w:rsidRPr="00C532A3">
        <w:t>SWAp</w:t>
      </w:r>
      <w:proofErr w:type="spellEnd"/>
      <w:r w:rsidRPr="00C532A3">
        <w:t xml:space="preserve"> met the objectives for which it was designed.</w:t>
      </w:r>
    </w:p>
    <w:p w:rsidR="0054221D" w:rsidRDefault="0054221D" w:rsidP="0054221D">
      <w:pPr>
        <w:pStyle w:val="BulletLast"/>
      </w:pPr>
      <w:r>
        <w:t>D</w:t>
      </w:r>
      <w:r w:rsidRPr="00C532A3">
        <w:t>ata relating to the health outcomes and intermediate outcomes/outputs t</w:t>
      </w:r>
      <w:r>
        <w:t>hat the sector plan or program</w:t>
      </w:r>
      <w:r w:rsidRPr="00C532A3">
        <w:t xml:space="preserve"> of work supported by the </w:t>
      </w:r>
      <w:proofErr w:type="spellStart"/>
      <w:r w:rsidRPr="00C532A3">
        <w:t>SWAp</w:t>
      </w:r>
      <w:proofErr w:type="spellEnd"/>
      <w:r w:rsidRPr="00C532A3">
        <w:t xml:space="preserve"> were trying to achieve.</w:t>
      </w:r>
    </w:p>
    <w:p w:rsidR="0054221D" w:rsidRPr="00290DCD" w:rsidRDefault="0054221D" w:rsidP="0054221D">
      <w:r>
        <w:t>These data are not always available. Our findings (described in section 1.3) confirm this observation.</w:t>
      </w:r>
    </w:p>
    <w:p w:rsidR="0054221D" w:rsidRPr="00C1664F" w:rsidRDefault="0054221D" w:rsidP="0054221D">
      <w:r>
        <w:t xml:space="preserve">Another challenge relates to the </w:t>
      </w:r>
      <w:r w:rsidRPr="00C1664F">
        <w:t xml:space="preserve">use of </w:t>
      </w:r>
      <w:r w:rsidRPr="00C1664F">
        <w:rPr>
          <w:b/>
        </w:rPr>
        <w:t>counterfactuals</w:t>
      </w:r>
      <w:r w:rsidRPr="00C1664F">
        <w:t xml:space="preserve"> (</w:t>
      </w:r>
      <w:r>
        <w:t xml:space="preserve">i.e. </w:t>
      </w:r>
      <w:r w:rsidRPr="00C1664F">
        <w:t xml:space="preserve">‘what would have happened </w:t>
      </w:r>
      <w:r w:rsidR="00205F21">
        <w:t xml:space="preserve">if the </w:t>
      </w:r>
      <w:proofErr w:type="spellStart"/>
      <w:r w:rsidR="00205F21">
        <w:t>SWAp</w:t>
      </w:r>
      <w:proofErr w:type="spellEnd"/>
      <w:r w:rsidR="00205F21">
        <w:t xml:space="preserve"> did not exist</w:t>
      </w:r>
      <w:r>
        <w:t>?</w:t>
      </w:r>
      <w:r w:rsidRPr="00C1664F">
        <w:t>’)</w:t>
      </w:r>
      <w:r w:rsidR="00205F21">
        <w:t xml:space="preserve">.Counterfactuals are considered </w:t>
      </w:r>
      <w:r w:rsidRPr="00C1664F">
        <w:t>good practice</w:t>
      </w:r>
      <w:r w:rsidR="00205F21">
        <w:t xml:space="preserve"> in all evaluations</w:t>
      </w:r>
      <w:r>
        <w:t>. F</w:t>
      </w:r>
      <w:r w:rsidRPr="00C1664F">
        <w:t>or</w:t>
      </w:r>
      <w:r>
        <w:t xml:space="preserve"> the approaches under review this </w:t>
      </w:r>
      <w:r w:rsidRPr="00C1664F">
        <w:t>is problematic</w:t>
      </w:r>
      <w:r>
        <w:t>,</w:t>
      </w:r>
      <w:r w:rsidRPr="00C1664F">
        <w:t xml:space="preserve"> partly </w:t>
      </w:r>
      <w:r>
        <w:t xml:space="preserve">because of the lack of </w:t>
      </w:r>
      <w:r w:rsidRPr="00C1664F">
        <w:t xml:space="preserve">baselines </w:t>
      </w:r>
      <w:r>
        <w:t xml:space="preserve">and partly </w:t>
      </w:r>
      <w:r w:rsidRPr="00C1664F">
        <w:t xml:space="preserve">because, as Pearson </w:t>
      </w:r>
      <w:r>
        <w:t xml:space="preserve">notes </w:t>
      </w:r>
      <w:r w:rsidRPr="00C1664F">
        <w:rPr>
          <w:i/>
        </w:rPr>
        <w:t>‘.</w:t>
      </w:r>
      <w:r>
        <w:rPr>
          <w:i/>
        </w:rPr>
        <w:t>.</w:t>
      </w:r>
      <w:r w:rsidRPr="00C1664F">
        <w:rPr>
          <w:i/>
        </w:rPr>
        <w:t xml:space="preserve">. one could argue that a </w:t>
      </w:r>
      <w:proofErr w:type="spellStart"/>
      <w:r w:rsidRPr="00C1664F">
        <w:rPr>
          <w:i/>
        </w:rPr>
        <w:t>SWAp</w:t>
      </w:r>
      <w:proofErr w:type="spellEnd"/>
      <w:r w:rsidRPr="00C1664F">
        <w:rPr>
          <w:i/>
        </w:rPr>
        <w:t xml:space="preserve"> is an end in itself and, if done well, represents a civilised way of doing business and is a good thing to do irrespective of whether it improves health outcomes or not’</w:t>
      </w:r>
      <w:r>
        <w:rPr>
          <w:i/>
        </w:rPr>
        <w:t>.</w:t>
      </w:r>
      <w:r w:rsidRPr="00C1664F">
        <w:rPr>
          <w:vertAlign w:val="superscript"/>
        </w:rPr>
        <w:footnoteReference w:id="18"/>
      </w:r>
      <w:r w:rsidRPr="00C1664F">
        <w:t xml:space="preserve"> In other words, the counterfactual </w:t>
      </w:r>
      <w:r w:rsidR="00944BDE">
        <w:t xml:space="preserve">of adopting a </w:t>
      </w:r>
      <w:proofErr w:type="spellStart"/>
      <w:r w:rsidR="00944BDE">
        <w:t>SWAp</w:t>
      </w:r>
      <w:proofErr w:type="spellEnd"/>
      <w:r w:rsidR="00944BDE">
        <w:t xml:space="preserve"> </w:t>
      </w:r>
      <w:r w:rsidR="00CE63A4">
        <w:t>cannot be fully established</w:t>
      </w:r>
      <w:r w:rsidR="00944BDE">
        <w:t xml:space="preserve"> because it </w:t>
      </w:r>
      <w:r w:rsidRPr="00C1664F">
        <w:t xml:space="preserve">is implicit in the approach: </w:t>
      </w:r>
      <w:proofErr w:type="spellStart"/>
      <w:r w:rsidRPr="00C1664F">
        <w:t>SWAps</w:t>
      </w:r>
      <w:proofErr w:type="spellEnd"/>
      <w:r w:rsidRPr="00C1664F">
        <w:t xml:space="preserve"> were established </w:t>
      </w:r>
      <w:r w:rsidRPr="00C1664F">
        <w:rPr>
          <w:i/>
        </w:rPr>
        <w:t xml:space="preserve">because </w:t>
      </w:r>
      <w:r>
        <w:t xml:space="preserve">of the shortcomings of </w:t>
      </w:r>
      <w:r w:rsidRPr="00C1664F">
        <w:t>pre</w:t>
      </w:r>
      <w:r>
        <w:t>vious</w:t>
      </w:r>
      <w:r w:rsidRPr="00C1664F">
        <w:t xml:space="preserve"> aid modalities</w:t>
      </w:r>
      <w:r>
        <w:t xml:space="preserve"> and instruments. </w:t>
      </w:r>
      <w:r w:rsidRPr="00C1664F">
        <w:t xml:space="preserve">The implication is that if </w:t>
      </w:r>
      <w:proofErr w:type="spellStart"/>
      <w:r w:rsidRPr="00C1664F">
        <w:t>SWAps</w:t>
      </w:r>
      <w:proofErr w:type="spellEnd"/>
      <w:r w:rsidRPr="00C1664F">
        <w:t xml:space="preserve"> achieved results</w:t>
      </w:r>
      <w:r>
        <w:t xml:space="preserve"> (</w:t>
      </w:r>
      <w:r w:rsidRPr="00C1664F">
        <w:t>whether modest or substantial</w:t>
      </w:r>
      <w:r>
        <w:t xml:space="preserve">) </w:t>
      </w:r>
      <w:r w:rsidRPr="00C1664F">
        <w:t xml:space="preserve">in addressing </w:t>
      </w:r>
      <w:r>
        <w:t xml:space="preserve">such </w:t>
      </w:r>
      <w:r w:rsidRPr="00C1664F">
        <w:t xml:space="preserve">shortcomings then most authors </w:t>
      </w:r>
      <w:r w:rsidRPr="00C1664F">
        <w:rPr>
          <w:i/>
        </w:rPr>
        <w:t xml:space="preserve">assumed </w:t>
      </w:r>
      <w:r w:rsidRPr="00C1664F">
        <w:t xml:space="preserve">that </w:t>
      </w:r>
      <w:proofErr w:type="spellStart"/>
      <w:r w:rsidRPr="00C1664F">
        <w:t>SWAps</w:t>
      </w:r>
      <w:proofErr w:type="spellEnd"/>
      <w:r w:rsidRPr="00C1664F">
        <w:t xml:space="preserve"> were effective. However, this is a controversial viewpoint.</w:t>
      </w:r>
      <w:r w:rsidR="00944BDE">
        <w:t xml:space="preserve">      </w:t>
      </w:r>
    </w:p>
    <w:p w:rsidR="0054221D" w:rsidRDefault="0054221D" w:rsidP="0054221D">
      <w:r w:rsidRPr="00C1664F">
        <w:t xml:space="preserve">The discussion on counterfactual and on baselines permeates all the evaluations </w:t>
      </w:r>
      <w:r>
        <w:t>consulted, and</w:t>
      </w:r>
      <w:r w:rsidRPr="00C1664F">
        <w:t xml:space="preserve"> has complicated </w:t>
      </w:r>
      <w:r>
        <w:t xml:space="preserve">our </w:t>
      </w:r>
      <w:r w:rsidRPr="00C1664F">
        <w:t>review</w:t>
      </w:r>
      <w:r>
        <w:t xml:space="preserve"> because some </w:t>
      </w:r>
      <w:r w:rsidRPr="00C1664F">
        <w:t xml:space="preserve">authors </w:t>
      </w:r>
      <w:r>
        <w:t xml:space="preserve">have reached very </w:t>
      </w:r>
      <w:r w:rsidRPr="00C1664F">
        <w:t>different conclusion</w:t>
      </w:r>
      <w:r>
        <w:t>s</w:t>
      </w:r>
      <w:r w:rsidRPr="00C1664F">
        <w:t xml:space="preserve"> </w:t>
      </w:r>
      <w:r>
        <w:t xml:space="preserve">on </w:t>
      </w:r>
      <w:proofErr w:type="spellStart"/>
      <w:r>
        <w:t>SWAp</w:t>
      </w:r>
      <w:proofErr w:type="spellEnd"/>
      <w:r>
        <w:t xml:space="preserve"> e</w:t>
      </w:r>
      <w:r w:rsidRPr="00C1664F">
        <w:t xml:space="preserve">ffectiveness even when looking at the same data. </w:t>
      </w:r>
      <w:r>
        <w:t xml:space="preserve">The discussion </w:t>
      </w:r>
      <w:r w:rsidRPr="00C1664F">
        <w:t xml:space="preserve">can be </w:t>
      </w:r>
      <w:r>
        <w:t xml:space="preserve">situated </w:t>
      </w:r>
      <w:r w:rsidRPr="00C1664F">
        <w:t>within two extreme viewpoints</w:t>
      </w:r>
      <w:r>
        <w:t>:</w:t>
      </w:r>
      <w:r w:rsidRPr="00C1664F">
        <w:t xml:space="preserve"> </w:t>
      </w:r>
      <w:r>
        <w:t>a</w:t>
      </w:r>
      <w:r w:rsidRPr="00C1664F">
        <w:t xml:space="preserve">t one end are those proposing that the effectiveness of </w:t>
      </w:r>
      <w:proofErr w:type="spellStart"/>
      <w:r w:rsidRPr="00C1664F">
        <w:t>SWAps</w:t>
      </w:r>
      <w:proofErr w:type="spellEnd"/>
      <w:r w:rsidRPr="00C1664F">
        <w:t xml:space="preserve"> should be measured according to their ability to address the failures of previous aid modalities</w:t>
      </w:r>
      <w:r>
        <w:t>, a</w:t>
      </w:r>
      <w:r w:rsidRPr="00C1664F">
        <w:t xml:space="preserve">t the other are those arguing that the effectiveness of </w:t>
      </w:r>
      <w:proofErr w:type="spellStart"/>
      <w:r w:rsidRPr="00C1664F">
        <w:t>SWAps</w:t>
      </w:r>
      <w:proofErr w:type="spellEnd"/>
      <w:r w:rsidRPr="00C1664F">
        <w:t xml:space="preserve"> depends on their ability to improve health and intermediate outcomes and outputs. Unfortunately, there is limited strong evidence to substantiate </w:t>
      </w:r>
      <w:r>
        <w:t>either viewpoint.</w:t>
      </w:r>
    </w:p>
    <w:p w:rsidR="00826301" w:rsidRDefault="00826301" w:rsidP="00F00B75">
      <w:pPr>
        <w:pStyle w:val="Heading3"/>
      </w:pPr>
      <w:r>
        <w:t>1.</w:t>
      </w:r>
      <w:r w:rsidR="00F00B75">
        <w:t>4.</w:t>
      </w:r>
      <w:r>
        <w:t>3</w:t>
      </w:r>
      <w:r>
        <w:tab/>
      </w:r>
      <w:r w:rsidR="006E4B91">
        <w:t>Challenges associated with data sources</w:t>
      </w:r>
      <w:r>
        <w:t xml:space="preserve"> </w:t>
      </w:r>
    </w:p>
    <w:p w:rsidR="009F445C" w:rsidRPr="00B971D4" w:rsidRDefault="00B3398F" w:rsidP="00C532A3">
      <w:r w:rsidRPr="00B3398F">
        <w:t xml:space="preserve">The literature on health </w:t>
      </w:r>
      <w:proofErr w:type="spellStart"/>
      <w:r w:rsidRPr="00B3398F">
        <w:t>SWAps</w:t>
      </w:r>
      <w:proofErr w:type="spellEnd"/>
      <w:r w:rsidRPr="00B3398F">
        <w:t xml:space="preserve">, </w:t>
      </w:r>
      <w:r>
        <w:t xml:space="preserve">sector budget support </w:t>
      </w:r>
      <w:r w:rsidRPr="00B3398F">
        <w:t xml:space="preserve">and use of partner government systems is </w:t>
      </w:r>
      <w:r w:rsidRPr="00B971D4">
        <w:t>prolific. There is an</w:t>
      </w:r>
      <w:r w:rsidR="009F445C" w:rsidRPr="00B971D4">
        <w:t xml:space="preserve"> extensive body of knowledge (case studies, literature reviews and synthesis papers) describ</w:t>
      </w:r>
      <w:r w:rsidRPr="00B971D4">
        <w:t xml:space="preserve">ing </w:t>
      </w:r>
      <w:r w:rsidR="009F445C" w:rsidRPr="00B971D4">
        <w:t xml:space="preserve">the rationale, progress and challenges of developing and implementing </w:t>
      </w:r>
      <w:proofErr w:type="spellStart"/>
      <w:r w:rsidR="009F445C" w:rsidRPr="00B971D4">
        <w:t>SWAps</w:t>
      </w:r>
      <w:proofErr w:type="spellEnd"/>
      <w:r w:rsidR="009F445C" w:rsidRPr="00B971D4">
        <w:t xml:space="preserve"> in different contexts, including in fragile states. </w:t>
      </w:r>
      <w:r w:rsidR="00775582" w:rsidRPr="00B971D4">
        <w:t xml:space="preserve">However, only a handful of robust multi-country reviews </w:t>
      </w:r>
      <w:r w:rsidR="00EA27D5" w:rsidRPr="00B971D4">
        <w:t xml:space="preserve">have been conducted </w:t>
      </w:r>
      <w:r w:rsidR="00775582" w:rsidRPr="00B971D4">
        <w:t xml:space="preserve">specifically </w:t>
      </w:r>
      <w:r w:rsidR="00EA27D5" w:rsidRPr="00B971D4">
        <w:t xml:space="preserve">to </w:t>
      </w:r>
      <w:r w:rsidR="00775582" w:rsidRPr="00B971D4">
        <w:t xml:space="preserve">assess </w:t>
      </w:r>
      <w:proofErr w:type="spellStart"/>
      <w:r w:rsidR="00775582" w:rsidRPr="00B971D4">
        <w:t>SWAp</w:t>
      </w:r>
      <w:proofErr w:type="spellEnd"/>
      <w:r w:rsidR="00775582" w:rsidRPr="00B971D4">
        <w:t xml:space="preserve"> performance, effectiveness, and achievement of intended benefits. </w:t>
      </w:r>
      <w:r w:rsidR="009F445C" w:rsidRPr="00B971D4">
        <w:t xml:space="preserve">Most of these pre-date 2010 and </w:t>
      </w:r>
      <w:r w:rsidR="00775582" w:rsidRPr="00B971D4">
        <w:t xml:space="preserve">tend to focus on </w:t>
      </w:r>
      <w:r w:rsidR="009F445C" w:rsidRPr="00B971D4">
        <w:t xml:space="preserve">sub-Saharan Africa, </w:t>
      </w:r>
      <w:r w:rsidR="00775582" w:rsidRPr="00B971D4">
        <w:t xml:space="preserve">although </w:t>
      </w:r>
      <w:r w:rsidR="009F445C" w:rsidRPr="00B971D4">
        <w:t>there are also case studies from Asia (Bangladesh</w:t>
      </w:r>
      <w:r w:rsidR="009F445C" w:rsidRPr="00B971D4">
        <w:rPr>
          <w:vertAlign w:val="superscript"/>
        </w:rPr>
        <w:footnoteReference w:id="19"/>
      </w:r>
      <w:r w:rsidR="009F445C" w:rsidRPr="00B971D4">
        <w:t>, Nepal</w:t>
      </w:r>
      <w:r w:rsidR="009F445C" w:rsidRPr="00B971D4">
        <w:rPr>
          <w:vertAlign w:val="superscript"/>
        </w:rPr>
        <w:footnoteReference w:id="20"/>
      </w:r>
      <w:r w:rsidR="009F445C" w:rsidRPr="00B971D4">
        <w:t>, Kyrgyz Republic</w:t>
      </w:r>
      <w:r w:rsidR="00D9022A" w:rsidRPr="00B971D4">
        <w:rPr>
          <w:rStyle w:val="FootnoteReference"/>
        </w:rPr>
        <w:footnoteReference w:id="21"/>
      </w:r>
      <w:r w:rsidR="009F445C" w:rsidRPr="00B971D4">
        <w:t xml:space="preserve">) and a desk review </w:t>
      </w:r>
      <w:r w:rsidR="00EA27D5" w:rsidRPr="00B971D4">
        <w:t xml:space="preserve">from </w:t>
      </w:r>
      <w:r w:rsidR="00E52173" w:rsidRPr="00B971D4">
        <w:t xml:space="preserve">the </w:t>
      </w:r>
      <w:r w:rsidR="00775582" w:rsidRPr="00B971D4">
        <w:t xml:space="preserve">South </w:t>
      </w:r>
      <w:r w:rsidR="00E52173" w:rsidRPr="00B971D4">
        <w:t>Pacific</w:t>
      </w:r>
      <w:r w:rsidR="009F445C" w:rsidRPr="00B971D4">
        <w:t xml:space="preserve"> which includes case studies of the health </w:t>
      </w:r>
      <w:proofErr w:type="spellStart"/>
      <w:r w:rsidR="009F445C" w:rsidRPr="00B971D4">
        <w:t>SWAps</w:t>
      </w:r>
      <w:proofErr w:type="spellEnd"/>
      <w:r w:rsidR="009F445C" w:rsidRPr="00B971D4">
        <w:t xml:space="preserve"> of Samoa and Solomon Islands.</w:t>
      </w:r>
      <w:r w:rsidR="009F445C" w:rsidRPr="00B971D4">
        <w:rPr>
          <w:vertAlign w:val="superscript"/>
        </w:rPr>
        <w:footnoteReference w:id="22"/>
      </w:r>
      <w:r w:rsidR="00FB257B" w:rsidRPr="00B971D4">
        <w:t xml:space="preserve"> The specialised fields of sector budget support and use of partner government systems (such as procurement systems) have their own body of literature.</w:t>
      </w:r>
      <w:r w:rsidR="00FB257B" w:rsidRPr="00B971D4">
        <w:rPr>
          <w:rStyle w:val="FootnoteReference"/>
        </w:rPr>
        <w:footnoteReference w:id="23"/>
      </w:r>
    </w:p>
    <w:bookmarkStart w:id="15" w:name="_Toc403403682"/>
    <w:p w:rsidR="00670BC7" w:rsidRPr="00086DF0" w:rsidRDefault="00746AA8" w:rsidP="00AE0683">
      <w:pPr>
        <w:pStyle w:val="Heading1"/>
        <w:spacing w:after="960"/>
      </w:pPr>
      <w:r>
        <w:rPr>
          <w:noProof/>
        </w:rPr>
        <w:lastRenderedPageBreak/>
        <mc:AlternateContent>
          <mc:Choice Requires="wps">
            <w:drawing>
              <wp:anchor distT="0" distB="0" distL="114300" distR="114300" simplePos="0" relativeHeight="251694080" behindDoc="1" locked="0" layoutInCell="1" allowOverlap="1" wp14:anchorId="4AFA7128" wp14:editId="04D3F03D">
                <wp:simplePos x="0" y="0"/>
                <wp:positionH relativeFrom="page">
                  <wp:align>left</wp:align>
                </wp:positionH>
                <wp:positionV relativeFrom="paragraph">
                  <wp:posOffset>-144145</wp:posOffset>
                </wp:positionV>
                <wp:extent cx="7610400" cy="1468800"/>
                <wp:effectExtent l="0" t="0" r="0" b="0"/>
                <wp:wrapNone/>
                <wp:docPr id="4" name="Rectangle 4"/>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0;margin-top:-11.35pt;width:599.25pt;height:115.65pt;z-index:-2516224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" fillcolor="#124486" stroked="f" strokeweight="2pt">
                <w10:wrap anchorx="page"/>
              </v:rect>
            </w:pict>
          </mc:Fallback>
        </mc:AlternateContent>
      </w:r>
      <w:r w:rsidR="00670BC7">
        <w:rPr>
          <w:noProof/>
        </w:rPr>
        <mc:AlternateContent>
          <mc:Choice Requires="wps">
            <w:drawing>
              <wp:anchor distT="0" distB="0" distL="114300" distR="114300" simplePos="0" relativeHeight="251696128" behindDoc="1" locked="0" layoutInCell="1" allowOverlap="1" wp14:anchorId="51B40C6E" wp14:editId="034DC19D">
                <wp:simplePos x="0" y="0"/>
                <wp:positionH relativeFrom="page">
                  <wp:align>left</wp:align>
                </wp:positionH>
                <wp:positionV relativeFrom="paragraph">
                  <wp:posOffset>-144145</wp:posOffset>
                </wp:positionV>
                <wp:extent cx="7610400" cy="1468800"/>
                <wp:effectExtent l="0" t="0" r="0" b="0"/>
                <wp:wrapNone/>
                <wp:docPr id="6" name="Rectangle 6"/>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0;margin-top:-11.35pt;width:599.25pt;height:115.65pt;z-index:-2516203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" fillcolor="#124486" stroked="f" strokeweight="2pt">
                <w10:wrap anchorx="page"/>
              </v:rect>
            </w:pict>
          </mc:Fallback>
        </mc:AlternateContent>
      </w:r>
      <w:r w:rsidR="000A202A">
        <w:rPr>
          <w:noProof/>
        </w:rPr>
        <w:t>2</w:t>
      </w:r>
      <w:r w:rsidR="00670BC7">
        <w:rPr>
          <w:noProof/>
        </w:rPr>
        <w:tab/>
      </w:r>
      <w:bookmarkStart w:id="16" w:name="_Toc394224875"/>
      <w:r w:rsidR="00670BC7" w:rsidRPr="00C344E8">
        <w:t xml:space="preserve">How and why has </w:t>
      </w:r>
      <w:r w:rsidR="00B55651">
        <w:t>the Australian aid program</w:t>
      </w:r>
      <w:r w:rsidR="00670BC7" w:rsidRPr="00C344E8">
        <w:t xml:space="preserve"> </w:t>
      </w:r>
      <w:r w:rsidR="00670BC7" w:rsidRPr="00A45383">
        <w:t xml:space="preserve">supported </w:t>
      </w:r>
      <w:proofErr w:type="spellStart"/>
      <w:r w:rsidR="00670BC7" w:rsidRPr="00086DF0">
        <w:t>SWAps</w:t>
      </w:r>
      <w:proofErr w:type="spellEnd"/>
      <w:r w:rsidR="00670BC7" w:rsidRPr="00086DF0">
        <w:t>?</w:t>
      </w:r>
      <w:bookmarkEnd w:id="15"/>
      <w:bookmarkEnd w:id="16"/>
    </w:p>
    <w:p w:rsidR="00670BC7" w:rsidRPr="00A80113" w:rsidRDefault="00670BC7" w:rsidP="00670BC7">
      <w:r w:rsidRPr="00A80113">
        <w:t xml:space="preserve">This </w:t>
      </w:r>
      <w:r w:rsidR="000A202A">
        <w:t xml:space="preserve">section looks at </w:t>
      </w:r>
      <w:r w:rsidRPr="00A80113">
        <w:t xml:space="preserve">how and </w:t>
      </w:r>
      <w:r w:rsidR="00B67242">
        <w:t>why the Australian aid program</w:t>
      </w:r>
      <w:r w:rsidRPr="00A80113">
        <w:t xml:space="preserve"> has used </w:t>
      </w:r>
      <w:proofErr w:type="spellStart"/>
      <w:r w:rsidRPr="00A80113">
        <w:t>SWAps</w:t>
      </w:r>
      <w:proofErr w:type="spellEnd"/>
      <w:r w:rsidRPr="00A80113">
        <w:t xml:space="preserve">, </w:t>
      </w:r>
      <w:r w:rsidR="000A202A">
        <w:t xml:space="preserve">sector budget support </w:t>
      </w:r>
      <w:r w:rsidRPr="00A80113">
        <w:t>and government systems to improve the health sector in the countries under review</w:t>
      </w:r>
      <w:r w:rsidR="000E1CFA">
        <w:t xml:space="preserve">. </w:t>
      </w:r>
    </w:p>
    <w:p w:rsidR="00670BC7" w:rsidRPr="00670BC7" w:rsidRDefault="00213696" w:rsidP="00670BC7">
      <w:pPr>
        <w:pStyle w:val="Heading2"/>
      </w:pPr>
      <w:bookmarkStart w:id="17" w:name="_Toc394224876"/>
      <w:bookmarkStart w:id="18" w:name="_Toc403403683"/>
      <w:r>
        <w:t>2</w:t>
      </w:r>
      <w:r w:rsidR="00670BC7">
        <w:t>.1</w:t>
      </w:r>
      <w:r w:rsidR="00670BC7">
        <w:tab/>
      </w:r>
      <w:r w:rsidR="00670BC7" w:rsidRPr="00670BC7">
        <w:t xml:space="preserve">How </w:t>
      </w:r>
      <w:r w:rsidR="009D2634">
        <w:t xml:space="preserve">are </w:t>
      </w:r>
      <w:r w:rsidR="000A202A">
        <w:t>these approaches</w:t>
      </w:r>
      <w:r w:rsidR="009D2634">
        <w:t xml:space="preserve"> supported</w:t>
      </w:r>
      <w:r w:rsidR="000A202A">
        <w:t>?</w:t>
      </w:r>
      <w:bookmarkEnd w:id="17"/>
      <w:bookmarkEnd w:id="18"/>
    </w:p>
    <w:p w:rsidR="001C67BD" w:rsidRDefault="000A202A" w:rsidP="001C67BD">
      <w:r>
        <w:t xml:space="preserve">The </w:t>
      </w:r>
      <w:r w:rsidR="00670BC7" w:rsidRPr="00197C5B">
        <w:t>Australia</w:t>
      </w:r>
      <w:r>
        <w:t>n aid program</w:t>
      </w:r>
      <w:r w:rsidR="00670BC7" w:rsidRPr="00197C5B">
        <w:t xml:space="preserve"> pioneered the </w:t>
      </w:r>
      <w:proofErr w:type="spellStart"/>
      <w:r w:rsidR="00670BC7" w:rsidRPr="00197C5B">
        <w:t>SWAp</w:t>
      </w:r>
      <w:proofErr w:type="spellEnd"/>
      <w:r w:rsidR="00670BC7" w:rsidRPr="00197C5B">
        <w:t xml:space="preserve"> approach in </w:t>
      </w:r>
      <w:r w:rsidR="00DF1DD1">
        <w:t>Papua New Guinea</w:t>
      </w:r>
      <w:r w:rsidR="00670BC7" w:rsidRPr="00197C5B">
        <w:t xml:space="preserve">, Samoa and Solomon Islands, and joined an existing </w:t>
      </w:r>
      <w:proofErr w:type="spellStart"/>
      <w:r w:rsidR="00670BC7" w:rsidRPr="00197C5B">
        <w:t>SWAp</w:t>
      </w:r>
      <w:proofErr w:type="spellEnd"/>
      <w:r w:rsidR="00670BC7" w:rsidRPr="00197C5B">
        <w:t xml:space="preserve"> in Bangladesh, Cambodia and Nepal. It provides financing through a pooled fund in all countries except in Solomon Islands where it provides earmarked and un-earmarked </w:t>
      </w:r>
      <w:r>
        <w:t>sector budget support</w:t>
      </w:r>
      <w:r w:rsidR="00670BC7" w:rsidRPr="00197C5B">
        <w:t xml:space="preserve">. Government systems are used to channel </w:t>
      </w:r>
      <w:r w:rsidR="0093462B">
        <w:t xml:space="preserve">pooled fund </w:t>
      </w:r>
      <w:r w:rsidR="00670BC7" w:rsidRPr="00197C5B">
        <w:t xml:space="preserve">financing </w:t>
      </w:r>
      <w:r w:rsidR="002624E1">
        <w:t>(but not necessarily to account fo</w:t>
      </w:r>
      <w:r w:rsidR="00786965">
        <w:t>r</w:t>
      </w:r>
      <w:r w:rsidR="002624E1">
        <w:t xml:space="preserve"> it) </w:t>
      </w:r>
      <w:r w:rsidR="00670BC7" w:rsidRPr="00197C5B">
        <w:t>in all countries except Cambodia</w:t>
      </w:r>
      <w:r w:rsidR="000E1CFA">
        <w:t xml:space="preserve">. </w:t>
      </w:r>
      <w:r w:rsidR="00AF3C88" w:rsidRPr="00197C5B">
        <w:t>Procurement is done through government systems in all countries except Bangladesh</w:t>
      </w:r>
      <w:r w:rsidR="0093462B">
        <w:t xml:space="preserve"> and</w:t>
      </w:r>
      <w:r w:rsidR="00AF3C88" w:rsidRPr="00197C5B">
        <w:t xml:space="preserve"> Cambodia</w:t>
      </w:r>
      <w:r w:rsidR="0093462B">
        <w:t xml:space="preserve">.  In </w:t>
      </w:r>
      <w:r w:rsidR="00AF3C88" w:rsidRPr="00197C5B">
        <w:t>P</w:t>
      </w:r>
      <w:r w:rsidR="00AF3C88">
        <w:t>apua New Guinea</w:t>
      </w:r>
      <w:r w:rsidR="0093462B">
        <w:t>,</w:t>
      </w:r>
      <w:r w:rsidR="0093462B" w:rsidRPr="0093462B">
        <w:t xml:space="preserve"> Australia has a separate procurement agent for large scale procurements, but </w:t>
      </w:r>
      <w:r w:rsidR="00176933">
        <w:t>HSIP procurement is</w:t>
      </w:r>
      <w:r w:rsidR="0093462B" w:rsidRPr="0093462B">
        <w:t xml:space="preserve"> managed using </w:t>
      </w:r>
      <w:r w:rsidR="0093462B">
        <w:t xml:space="preserve">government systems.  </w:t>
      </w:r>
      <w:r w:rsidR="00670BC7" w:rsidRPr="00197C5B">
        <w:t xml:space="preserve">Technical </w:t>
      </w:r>
      <w:r w:rsidR="00D91B73">
        <w:t>a</w:t>
      </w:r>
      <w:r w:rsidR="00670BC7" w:rsidRPr="00197C5B">
        <w:t>ssistance is procured directly by donors in all countries.</w:t>
      </w:r>
      <w:r w:rsidR="00670BC7">
        <w:t xml:space="preserve"> </w:t>
      </w:r>
      <w:r w:rsidR="003D06DE">
        <w:t xml:space="preserve">A country-by-country summary is in </w:t>
      </w:r>
      <w:r w:rsidR="003D06DE" w:rsidRPr="009E70D9">
        <w:t xml:space="preserve">Table </w:t>
      </w:r>
      <w:r w:rsidR="002624E1" w:rsidRPr="009E70D9">
        <w:t>4</w:t>
      </w:r>
      <w:r w:rsidR="003D06DE" w:rsidRPr="009E70D9">
        <w:t>.</w:t>
      </w:r>
      <w:r w:rsidR="003D06DE">
        <w:t xml:space="preserve"> </w:t>
      </w:r>
    </w:p>
    <w:p w:rsidR="001C67BD" w:rsidRDefault="001C67BD" w:rsidP="00502659">
      <w:pPr>
        <w:pStyle w:val="TableName"/>
        <w:spacing w:after="0"/>
      </w:pPr>
      <w:bookmarkStart w:id="19" w:name="_Toc402192197"/>
      <w:r>
        <w:t>T</w:t>
      </w:r>
      <w:r w:rsidR="006E2A3B">
        <w:t xml:space="preserve">able </w:t>
      </w:r>
      <w:r w:rsidR="002624E1">
        <w:t>4</w:t>
      </w:r>
      <w:r w:rsidR="006E2A3B">
        <w:tab/>
      </w:r>
      <w:r w:rsidR="006E2A3B">
        <w:tab/>
      </w:r>
      <w:r w:rsidR="00F75C88">
        <w:t>C</w:t>
      </w:r>
      <w:r w:rsidR="006E2A3B" w:rsidRPr="00670BC7">
        <w:t xml:space="preserve">ountry </w:t>
      </w:r>
      <w:r w:rsidR="00F75C88">
        <w:t>programs and approaches</w:t>
      </w:r>
      <w:bookmarkEnd w:id="19"/>
    </w:p>
    <w:tbl>
      <w:tblPr>
        <w:tblStyle w:val="TableGrid"/>
        <w:tblpPr w:leftFromText="181" w:rightFromText="181" w:horzAnchor="margin" w:tblpYSpec="bottom"/>
        <w:tblW w:w="5000" w:type="pct"/>
        <w:tblLook w:val="04A0" w:firstRow="1" w:lastRow="0" w:firstColumn="1" w:lastColumn="0" w:noHBand="0" w:noVBand="1"/>
      </w:tblPr>
      <w:tblGrid>
        <w:gridCol w:w="1102"/>
        <w:gridCol w:w="8140"/>
      </w:tblGrid>
      <w:tr w:rsidR="001C67BD" w:rsidRPr="00312479" w:rsidTr="005841F1">
        <w:trPr>
          <w:cnfStyle w:val="100000000000" w:firstRow="1" w:lastRow="0" w:firstColumn="0" w:lastColumn="0" w:oddVBand="0" w:evenVBand="0" w:oddHBand="0" w:evenHBand="0" w:firstRowFirstColumn="0" w:firstRowLastColumn="0" w:lastRowFirstColumn="0" w:lastRowLastColumn="0"/>
          <w:trHeight w:val="426"/>
        </w:trPr>
        <w:tc>
          <w:tcPr>
            <w:tcW w:w="596" w:type="pct"/>
          </w:tcPr>
          <w:p w:rsidR="001C67BD" w:rsidRPr="00312479" w:rsidRDefault="001C67BD" w:rsidP="005841F1">
            <w:pPr>
              <w:pStyle w:val="TableHeading2"/>
            </w:pPr>
            <w:r w:rsidRPr="00312479">
              <w:t>Countr</w:t>
            </w:r>
            <w:r w:rsidR="005841F1">
              <w:t>y</w:t>
            </w:r>
          </w:p>
        </w:tc>
        <w:tc>
          <w:tcPr>
            <w:tcW w:w="4404" w:type="pct"/>
          </w:tcPr>
          <w:p w:rsidR="001C67BD" w:rsidRPr="00312479" w:rsidRDefault="001C67BD" w:rsidP="002E603C">
            <w:pPr>
              <w:pStyle w:val="TableHeading"/>
            </w:pPr>
            <w:r w:rsidRPr="00312479">
              <w:t xml:space="preserve">What </w:t>
            </w:r>
            <w:r w:rsidR="0039530F">
              <w:t>approach ha</w:t>
            </w:r>
            <w:r w:rsidR="002E603C">
              <w:t>s</w:t>
            </w:r>
            <w:r w:rsidR="0039530F">
              <w:t xml:space="preserve"> been </w:t>
            </w:r>
            <w:r w:rsidR="002E603C">
              <w:t>used</w:t>
            </w:r>
            <w:r w:rsidR="002E603C" w:rsidRPr="00312479">
              <w:t xml:space="preserve"> </w:t>
            </w:r>
            <w:r w:rsidRPr="00312479">
              <w:t xml:space="preserve">in each country? How has </w:t>
            </w:r>
            <w:r w:rsidR="00B55651">
              <w:t>the Australian aid program</w:t>
            </w:r>
            <w:r w:rsidRPr="00312479">
              <w:t xml:space="preserve"> supported it?</w:t>
            </w:r>
          </w:p>
        </w:tc>
      </w:tr>
      <w:tr w:rsidR="001C67BD" w:rsidRPr="00312479" w:rsidTr="005841F1">
        <w:tc>
          <w:tcPr>
            <w:tcW w:w="596" w:type="pct"/>
          </w:tcPr>
          <w:p w:rsidR="001C67BD" w:rsidRPr="00312479" w:rsidRDefault="001C67BD" w:rsidP="001C67BD">
            <w:pPr>
              <w:pStyle w:val="TableText"/>
            </w:pPr>
            <w:r w:rsidRPr="00312479">
              <w:t>Bangladesh</w:t>
            </w:r>
          </w:p>
        </w:tc>
        <w:tc>
          <w:tcPr>
            <w:tcW w:w="4404" w:type="pct"/>
          </w:tcPr>
          <w:p w:rsidR="001C67BD" w:rsidRPr="00312479" w:rsidRDefault="0093462B" w:rsidP="001C67BD">
            <w:pPr>
              <w:pStyle w:val="TableText"/>
            </w:pPr>
            <w:r>
              <w:rPr>
                <w:i/>
              </w:rPr>
              <w:t xml:space="preserve">What </w:t>
            </w:r>
            <w:r w:rsidR="002E603C">
              <w:rPr>
                <w:i/>
              </w:rPr>
              <w:t>approach</w:t>
            </w:r>
            <w:r>
              <w:rPr>
                <w:i/>
              </w:rPr>
              <w:t xml:space="preserve"> </w:t>
            </w:r>
            <w:r w:rsidR="0039530F">
              <w:rPr>
                <w:i/>
              </w:rPr>
              <w:t>has been used</w:t>
            </w:r>
            <w:r w:rsidR="001C67BD" w:rsidRPr="00312479">
              <w:rPr>
                <w:i/>
              </w:rPr>
              <w:t>?</w:t>
            </w:r>
            <w:r w:rsidR="001C67BD" w:rsidRPr="00312479">
              <w:t xml:space="preserve"> </w:t>
            </w:r>
            <w:r w:rsidR="0082586C">
              <w:t xml:space="preserve"> </w:t>
            </w:r>
            <w:r w:rsidR="009B3CB6">
              <w:t>Australia’s support to the</w:t>
            </w:r>
            <w:r w:rsidR="009B3CB6" w:rsidRPr="003D7E2F">
              <w:t xml:space="preserve"> Health Population and Nutrition Sector Development Program</w:t>
            </w:r>
            <w:r w:rsidR="009B3CB6">
              <w:t xml:space="preserve"> (</w:t>
            </w:r>
            <w:r w:rsidR="001626F5">
              <w:t xml:space="preserve">HPNSDP </w:t>
            </w:r>
            <w:r w:rsidR="001C67BD" w:rsidRPr="00312479">
              <w:t>2011-2016</w:t>
            </w:r>
            <w:r w:rsidR="00C62400">
              <w:t>)</w:t>
            </w:r>
            <w:r w:rsidR="001C67BD" w:rsidRPr="00312479">
              <w:t xml:space="preserve">. This is the third sector-wide program since 1998. It </w:t>
            </w:r>
            <w:r w:rsidR="00D91B73">
              <w:t>was</w:t>
            </w:r>
            <w:r w:rsidR="00D91B73" w:rsidRPr="00312479">
              <w:t xml:space="preserve"> </w:t>
            </w:r>
            <w:r w:rsidR="001C67BD" w:rsidRPr="00312479">
              <w:t xml:space="preserve">one of the first health </w:t>
            </w:r>
            <w:proofErr w:type="spellStart"/>
            <w:r w:rsidR="001C67BD" w:rsidRPr="00312479">
              <w:t>SWAps</w:t>
            </w:r>
            <w:proofErr w:type="spellEnd"/>
            <w:r w:rsidR="001C67BD" w:rsidRPr="00312479">
              <w:t xml:space="preserve"> in the world.</w:t>
            </w:r>
          </w:p>
          <w:p w:rsidR="001C67BD" w:rsidRPr="00312479" w:rsidRDefault="001C67BD" w:rsidP="001C67BD">
            <w:pPr>
              <w:pStyle w:val="TableText"/>
            </w:pPr>
            <w:r w:rsidRPr="00312479">
              <w:rPr>
                <w:i/>
              </w:rPr>
              <w:t>What financing instruments</w:t>
            </w:r>
            <w:r w:rsidR="007F41BB">
              <w:rPr>
                <w:i/>
              </w:rPr>
              <w:t>/</w:t>
            </w:r>
            <w:r w:rsidRPr="00312479">
              <w:rPr>
                <w:i/>
              </w:rPr>
              <w:t xml:space="preserve">government systems </w:t>
            </w:r>
            <w:r w:rsidR="007F41BB">
              <w:rPr>
                <w:i/>
              </w:rPr>
              <w:t xml:space="preserve">are used? </w:t>
            </w:r>
            <w:r w:rsidRPr="00312479">
              <w:t xml:space="preserve">A pooled fund. </w:t>
            </w:r>
            <w:r w:rsidR="000A202A">
              <w:t>U</w:t>
            </w:r>
            <w:r w:rsidR="000A202A" w:rsidRPr="00312479">
              <w:t xml:space="preserve">nder the two preceding health sector programs </w:t>
            </w:r>
            <w:r w:rsidR="00BA0D41">
              <w:t xml:space="preserve">the </w:t>
            </w:r>
            <w:r w:rsidRPr="00312479">
              <w:t>Australia</w:t>
            </w:r>
            <w:r w:rsidR="00BA0D41">
              <w:t xml:space="preserve">n aid program </w:t>
            </w:r>
            <w:r w:rsidRPr="00312479">
              <w:t>provided parallel support through project aid.</w:t>
            </w:r>
          </w:p>
          <w:p w:rsidR="001C67BD" w:rsidRPr="00312479" w:rsidRDefault="001C67BD" w:rsidP="001C67BD">
            <w:pPr>
              <w:pStyle w:val="TableText"/>
            </w:pPr>
            <w:r w:rsidRPr="00312479">
              <w:rPr>
                <w:i/>
              </w:rPr>
              <w:t>Do other donors support the above?</w:t>
            </w:r>
            <w:r w:rsidRPr="00312479">
              <w:t xml:space="preserve"> </w:t>
            </w:r>
            <w:r w:rsidR="0082586C">
              <w:t xml:space="preserve"> </w:t>
            </w:r>
            <w:r w:rsidR="0002181F">
              <w:t>15</w:t>
            </w:r>
            <w:r w:rsidR="0002181F" w:rsidRPr="00312479">
              <w:t xml:space="preserve"> </w:t>
            </w:r>
            <w:r w:rsidR="000A202A">
              <w:t>donors</w:t>
            </w:r>
            <w:r w:rsidRPr="00312479">
              <w:t xml:space="preserve"> support the program and </w:t>
            </w:r>
            <w:proofErr w:type="spellStart"/>
            <w:r w:rsidRPr="00312479">
              <w:t>SWAp</w:t>
            </w:r>
            <w:proofErr w:type="spellEnd"/>
            <w:r w:rsidR="000E1CFA">
              <w:t xml:space="preserve">. </w:t>
            </w:r>
            <w:r w:rsidRPr="00312479">
              <w:t xml:space="preserve">Australia, </w:t>
            </w:r>
            <w:r w:rsidR="00CA24DF" w:rsidRPr="003D7E2F">
              <w:t>Canad</w:t>
            </w:r>
            <w:r w:rsidR="000A202A">
              <w:t xml:space="preserve">a, </w:t>
            </w:r>
            <w:r w:rsidR="0082586C" w:rsidRPr="003D7E2F">
              <w:t>Swed</w:t>
            </w:r>
            <w:r w:rsidR="000A202A">
              <w:t>en, the</w:t>
            </w:r>
            <w:r w:rsidR="0082586C">
              <w:t xml:space="preserve"> </w:t>
            </w:r>
            <w:r w:rsidR="0082586C" w:rsidRPr="003D7E2F">
              <w:t>European</w:t>
            </w:r>
            <w:r w:rsidR="00D8435B" w:rsidRPr="003D7E2F">
              <w:t xml:space="preserve"> Union</w:t>
            </w:r>
            <w:r w:rsidR="0097056D">
              <w:t xml:space="preserve"> (EU)</w:t>
            </w:r>
            <w:r w:rsidR="000A202A">
              <w:t xml:space="preserve">, </w:t>
            </w:r>
            <w:r w:rsidR="00782D36">
              <w:t>United Kingdom</w:t>
            </w:r>
            <w:r w:rsidR="00D8435B">
              <w:t xml:space="preserve">, </w:t>
            </w:r>
            <w:r w:rsidR="000A202A">
              <w:t xml:space="preserve">and </w:t>
            </w:r>
            <w:r w:rsidR="00D8435B" w:rsidRPr="003D7E2F">
              <w:t>German</w:t>
            </w:r>
            <w:r w:rsidR="000A202A">
              <w:t>y</w:t>
            </w:r>
            <w:r w:rsidR="00D8435B" w:rsidRPr="003D7E2F">
              <w:t xml:space="preserve"> </w:t>
            </w:r>
            <w:r w:rsidR="000A202A">
              <w:t xml:space="preserve">provide </w:t>
            </w:r>
            <w:r w:rsidRPr="00312479">
              <w:t>support through a Multi-Donor Trust Fund administered by the World Bank.</w:t>
            </w:r>
          </w:p>
          <w:p w:rsidR="001C67BD" w:rsidRPr="00312479" w:rsidRDefault="001C67BD" w:rsidP="00EB5D6F">
            <w:pPr>
              <w:pStyle w:val="TableText"/>
              <w:rPr>
                <w:lang w:val="en-US"/>
              </w:rPr>
            </w:pPr>
            <w:r w:rsidRPr="00312479">
              <w:t xml:space="preserve">Note: </w:t>
            </w:r>
            <w:r w:rsidRPr="00312479">
              <w:rPr>
                <w:lang w:val="en-US"/>
              </w:rPr>
              <w:t xml:space="preserve">DFAT has withdrawn from the sector program with effect from May 2014 due to cuts to </w:t>
            </w:r>
            <w:r w:rsidR="00EB5D6F">
              <w:rPr>
                <w:lang w:val="en-US"/>
              </w:rPr>
              <w:t>the</w:t>
            </w:r>
            <w:r w:rsidRPr="00312479">
              <w:rPr>
                <w:lang w:val="en-US"/>
              </w:rPr>
              <w:t xml:space="preserve"> aid budget. Only the first tranche payment to the trust fund was made (2011/12). The second tranche was deferred, </w:t>
            </w:r>
            <w:proofErr w:type="gramStart"/>
            <w:r w:rsidRPr="00312479">
              <w:rPr>
                <w:lang w:val="en-US"/>
              </w:rPr>
              <w:t>then</w:t>
            </w:r>
            <w:proofErr w:type="gramEnd"/>
            <w:r w:rsidRPr="00312479">
              <w:rPr>
                <w:lang w:val="en-US"/>
              </w:rPr>
              <w:t xml:space="preserve"> all payments were cancelled.</w:t>
            </w:r>
          </w:p>
        </w:tc>
      </w:tr>
      <w:tr w:rsidR="001C67BD" w:rsidRPr="00312479" w:rsidTr="005841F1">
        <w:tc>
          <w:tcPr>
            <w:tcW w:w="596" w:type="pct"/>
          </w:tcPr>
          <w:p w:rsidR="001C67BD" w:rsidRPr="00312479" w:rsidRDefault="001C67BD" w:rsidP="001C67BD">
            <w:pPr>
              <w:pStyle w:val="TableText"/>
            </w:pPr>
            <w:r w:rsidRPr="00312479">
              <w:t>Cambodia</w:t>
            </w:r>
          </w:p>
        </w:tc>
        <w:tc>
          <w:tcPr>
            <w:tcW w:w="4404" w:type="pct"/>
          </w:tcPr>
          <w:p w:rsidR="001C67BD" w:rsidRPr="00312479" w:rsidRDefault="001C67BD" w:rsidP="001C67BD">
            <w:pPr>
              <w:pStyle w:val="TableText"/>
            </w:pPr>
            <w:r w:rsidRPr="00312479">
              <w:rPr>
                <w:i/>
              </w:rPr>
              <w:t xml:space="preserve">What </w:t>
            </w:r>
            <w:r w:rsidR="0039530F">
              <w:rPr>
                <w:i/>
              </w:rPr>
              <w:t>approach has been used</w:t>
            </w:r>
            <w:r w:rsidRPr="00312479">
              <w:rPr>
                <w:i/>
              </w:rPr>
              <w:t>?</w:t>
            </w:r>
            <w:r w:rsidRPr="00312479">
              <w:t xml:space="preserve"> Australia’s support to the Second Health Sector Support Program (HS</w:t>
            </w:r>
            <w:r w:rsidR="00933448">
              <w:t xml:space="preserve">SP2), which adopts a so-called </w:t>
            </w:r>
            <w:r w:rsidR="00BA0D41">
              <w:t>sector-wide management (</w:t>
            </w:r>
            <w:proofErr w:type="spellStart"/>
            <w:r w:rsidR="00933448">
              <w:t>SWiM</w:t>
            </w:r>
            <w:proofErr w:type="spellEnd"/>
            <w:r w:rsidR="00BA0D41">
              <w:t>)</w:t>
            </w:r>
            <w:r w:rsidRPr="00312479">
              <w:t xml:space="preserve">. The </w:t>
            </w:r>
            <w:proofErr w:type="spellStart"/>
            <w:r w:rsidRPr="00312479">
              <w:t>SWiM</w:t>
            </w:r>
            <w:proofErr w:type="spellEnd"/>
            <w:r w:rsidRPr="00312479">
              <w:t xml:space="preserve"> shares many features </w:t>
            </w:r>
            <w:r>
              <w:t>of</w:t>
            </w:r>
            <w:r w:rsidRPr="00312479">
              <w:t xml:space="preserve"> a </w:t>
            </w:r>
            <w:proofErr w:type="spellStart"/>
            <w:r w:rsidRPr="00312479">
              <w:t>SWAp</w:t>
            </w:r>
            <w:proofErr w:type="spellEnd"/>
            <w:r w:rsidRPr="00312479">
              <w:t xml:space="preserve">. </w:t>
            </w:r>
          </w:p>
          <w:p w:rsidR="001C67BD" w:rsidRPr="00312479" w:rsidRDefault="007F41BB" w:rsidP="001C67BD">
            <w:pPr>
              <w:pStyle w:val="TableText"/>
            </w:pPr>
            <w:r w:rsidRPr="00312479">
              <w:rPr>
                <w:i/>
              </w:rPr>
              <w:t>What financing instruments</w:t>
            </w:r>
            <w:r>
              <w:rPr>
                <w:i/>
              </w:rPr>
              <w:t>/</w:t>
            </w:r>
            <w:r w:rsidRPr="00312479">
              <w:rPr>
                <w:i/>
              </w:rPr>
              <w:t xml:space="preserve">government systems </w:t>
            </w:r>
            <w:r>
              <w:rPr>
                <w:i/>
              </w:rPr>
              <w:t xml:space="preserve">are used? </w:t>
            </w:r>
            <w:r w:rsidR="00BA0D41">
              <w:t>A M</w:t>
            </w:r>
            <w:r w:rsidR="001C67BD" w:rsidRPr="00312479">
              <w:t>ulti-</w:t>
            </w:r>
            <w:r w:rsidR="00BA0D41">
              <w:t>D</w:t>
            </w:r>
            <w:r w:rsidR="001C67BD" w:rsidRPr="00312479">
              <w:t xml:space="preserve">onor </w:t>
            </w:r>
            <w:r w:rsidR="00BA0D41">
              <w:t>T</w:t>
            </w:r>
            <w:r w:rsidR="001C67BD" w:rsidRPr="00312479">
              <w:t xml:space="preserve">rust </w:t>
            </w:r>
            <w:r w:rsidR="00BA0D41">
              <w:t>F</w:t>
            </w:r>
            <w:r w:rsidR="001C67BD" w:rsidRPr="00312479">
              <w:t>und administered by the World Bank is</w:t>
            </w:r>
            <w:r w:rsidR="00B67242">
              <w:t xml:space="preserve"> in place supporting a program</w:t>
            </w:r>
            <w:r w:rsidR="001C67BD" w:rsidRPr="00312479">
              <w:t xml:space="preserve"> of work that contributes to the Health Strategic Plan of the </w:t>
            </w:r>
            <w:r w:rsidR="00BA0D41">
              <w:t xml:space="preserve">Cambodia </w:t>
            </w:r>
            <w:r w:rsidR="001C67BD" w:rsidRPr="00312479">
              <w:t xml:space="preserve">Government. </w:t>
            </w:r>
            <w:r w:rsidR="001C67BD" w:rsidRPr="00BA0D41">
              <w:t>The HSSP2 cannot be said to use government systems</w:t>
            </w:r>
            <w:r w:rsidR="001C67BD" w:rsidRPr="00312479">
              <w:t xml:space="preserve"> as it does not contribute funds directly to the government budget. It is a multi-funded project type arrang</w:t>
            </w:r>
            <w:r w:rsidR="00BA0D41">
              <w:t xml:space="preserve">ement managed by the World Bank, and </w:t>
            </w:r>
            <w:r w:rsidR="001C67BD" w:rsidRPr="00312479">
              <w:t>the Director of Planning and Monitoring of the Ministry of Health</w:t>
            </w:r>
            <w:r w:rsidR="00BA0D41">
              <w:t xml:space="preserve"> as its executive director</w:t>
            </w:r>
            <w:r w:rsidR="001C67BD" w:rsidRPr="00312479">
              <w:t xml:space="preserve">. </w:t>
            </w:r>
          </w:p>
          <w:p w:rsidR="001C67BD" w:rsidRPr="00312479" w:rsidRDefault="001C67BD" w:rsidP="00521D10">
            <w:pPr>
              <w:pStyle w:val="TableText"/>
            </w:pPr>
            <w:r w:rsidRPr="00312479">
              <w:rPr>
                <w:i/>
              </w:rPr>
              <w:t xml:space="preserve">Do other donors support the above? </w:t>
            </w:r>
            <w:r w:rsidRPr="00312479">
              <w:t>A</w:t>
            </w:r>
            <w:r w:rsidR="00BA0D41">
              <w:t xml:space="preserve"> Joint Financing Agreement</w:t>
            </w:r>
            <w:r w:rsidRPr="00312479">
              <w:t xml:space="preserve"> to support HSSP2 was signed in 2008. Members of the Joi</w:t>
            </w:r>
            <w:r w:rsidR="00521D10">
              <w:t xml:space="preserve">nt Partnership Interface Group </w:t>
            </w:r>
            <w:r w:rsidRPr="00312479">
              <w:t xml:space="preserve">comprise: Australia, France, Belgium, </w:t>
            </w:r>
            <w:r w:rsidR="00933448" w:rsidRPr="003D7E2F">
              <w:t>United Nations Children’s Fund</w:t>
            </w:r>
            <w:r w:rsidR="00933448" w:rsidRPr="00312479">
              <w:t xml:space="preserve"> </w:t>
            </w:r>
            <w:r w:rsidR="00933448">
              <w:t>(</w:t>
            </w:r>
            <w:r w:rsidRPr="00312479">
              <w:t>UNICEF</w:t>
            </w:r>
            <w:r w:rsidR="00933448">
              <w:t>)</w:t>
            </w:r>
            <w:r w:rsidRPr="00312479">
              <w:t xml:space="preserve">, </w:t>
            </w:r>
            <w:r w:rsidR="00933448" w:rsidRPr="003D7E2F">
              <w:t xml:space="preserve">United Nations </w:t>
            </w:r>
            <w:r w:rsidR="00213696" w:rsidRPr="003D7E2F">
              <w:t xml:space="preserve">Population </w:t>
            </w:r>
            <w:r w:rsidR="00933448" w:rsidRPr="003D7E2F">
              <w:t xml:space="preserve">Fund </w:t>
            </w:r>
            <w:r w:rsidR="00933448">
              <w:t>(</w:t>
            </w:r>
            <w:r w:rsidRPr="00312479">
              <w:t>UNFPA</w:t>
            </w:r>
            <w:r w:rsidR="00933448">
              <w:t>)</w:t>
            </w:r>
            <w:r w:rsidRPr="00312479">
              <w:t xml:space="preserve">, and </w:t>
            </w:r>
            <w:r w:rsidR="00BA0D41">
              <w:t xml:space="preserve">the </w:t>
            </w:r>
            <w:r w:rsidR="00782D36">
              <w:t>United Kingdom</w:t>
            </w:r>
            <w:r w:rsidR="009E7EEB">
              <w:t xml:space="preserve"> </w:t>
            </w:r>
            <w:r w:rsidRPr="00312479">
              <w:t>(which exited at the end of 2013).</w:t>
            </w:r>
          </w:p>
        </w:tc>
      </w:tr>
      <w:tr w:rsidR="001C67BD" w:rsidRPr="00312479" w:rsidTr="005841F1">
        <w:tc>
          <w:tcPr>
            <w:tcW w:w="596" w:type="pct"/>
          </w:tcPr>
          <w:p w:rsidR="001C67BD" w:rsidRPr="00312479" w:rsidRDefault="001C67BD" w:rsidP="001C67BD">
            <w:pPr>
              <w:pStyle w:val="TableText"/>
            </w:pPr>
            <w:r w:rsidRPr="00312479">
              <w:t>Nepal</w:t>
            </w:r>
          </w:p>
        </w:tc>
        <w:tc>
          <w:tcPr>
            <w:tcW w:w="4404" w:type="pct"/>
          </w:tcPr>
          <w:p w:rsidR="001C67BD" w:rsidRPr="00312479" w:rsidRDefault="001C67BD" w:rsidP="001C67BD">
            <w:pPr>
              <w:pStyle w:val="TableText"/>
            </w:pPr>
            <w:r w:rsidRPr="00312479">
              <w:rPr>
                <w:i/>
              </w:rPr>
              <w:t xml:space="preserve">What </w:t>
            </w:r>
            <w:r w:rsidR="0039530F">
              <w:rPr>
                <w:i/>
              </w:rPr>
              <w:t>approach has been used</w:t>
            </w:r>
            <w:r w:rsidRPr="00312479">
              <w:rPr>
                <w:i/>
              </w:rPr>
              <w:t>?</w:t>
            </w:r>
            <w:r w:rsidRPr="00312479">
              <w:t xml:space="preserve"> Australia’s support to the Nepal Health Sector Program –Implementation Plan II (NHSP II) 2010-2015</w:t>
            </w:r>
            <w:r w:rsidR="000E1CFA">
              <w:t xml:space="preserve">. </w:t>
            </w:r>
            <w:r w:rsidRPr="00312479">
              <w:t xml:space="preserve">It is implemented through a </w:t>
            </w:r>
            <w:proofErr w:type="spellStart"/>
            <w:r w:rsidRPr="00312479">
              <w:t>SWAp</w:t>
            </w:r>
            <w:proofErr w:type="spellEnd"/>
            <w:r w:rsidRPr="00312479">
              <w:t xml:space="preserve"> by the Ministry of Health and Population (</w:t>
            </w:r>
            <w:proofErr w:type="spellStart"/>
            <w:r w:rsidRPr="00312479">
              <w:t>MoHP</w:t>
            </w:r>
            <w:proofErr w:type="spellEnd"/>
            <w:r w:rsidRPr="00312479">
              <w:t>)</w:t>
            </w:r>
            <w:r w:rsidR="000E1CFA">
              <w:t xml:space="preserve">. </w:t>
            </w:r>
            <w:r w:rsidRPr="00312479">
              <w:t>The Program is a continuation of the first phase</w:t>
            </w:r>
            <w:r w:rsidR="00BA0D41">
              <w:t xml:space="preserve"> (</w:t>
            </w:r>
            <w:r w:rsidRPr="00312479">
              <w:t>NHSP</w:t>
            </w:r>
            <w:r w:rsidR="009267B2">
              <w:t xml:space="preserve"> </w:t>
            </w:r>
            <w:r w:rsidRPr="00312479">
              <w:t>I</w:t>
            </w:r>
            <w:r w:rsidR="00BA0D41">
              <w:t>)</w:t>
            </w:r>
            <w:r w:rsidRPr="00312479">
              <w:t>.</w:t>
            </w:r>
          </w:p>
          <w:p w:rsidR="001C67BD" w:rsidRPr="00312479" w:rsidRDefault="007F41BB" w:rsidP="001C67BD">
            <w:pPr>
              <w:pStyle w:val="TableText"/>
              <w:rPr>
                <w:i/>
              </w:rPr>
            </w:pPr>
            <w:r w:rsidRPr="00312479">
              <w:rPr>
                <w:i/>
              </w:rPr>
              <w:t>What financing instruments</w:t>
            </w:r>
            <w:r>
              <w:rPr>
                <w:i/>
              </w:rPr>
              <w:t>/</w:t>
            </w:r>
            <w:r w:rsidRPr="00312479">
              <w:rPr>
                <w:i/>
              </w:rPr>
              <w:t xml:space="preserve">government systems </w:t>
            </w:r>
            <w:r>
              <w:rPr>
                <w:i/>
              </w:rPr>
              <w:t xml:space="preserve">are used? </w:t>
            </w:r>
            <w:r w:rsidR="001C67BD" w:rsidRPr="00312479">
              <w:t xml:space="preserve">Australian </w:t>
            </w:r>
            <w:r w:rsidR="00BA0D41">
              <w:t xml:space="preserve">Government </w:t>
            </w:r>
            <w:r w:rsidR="001C67BD" w:rsidRPr="00312479">
              <w:t xml:space="preserve">funding is provided </w:t>
            </w:r>
            <w:r w:rsidR="001C67BD" w:rsidRPr="00312479">
              <w:lastRenderedPageBreak/>
              <w:t>through the government system through a pool</w:t>
            </w:r>
            <w:r w:rsidR="00BA0D41">
              <w:t>ed</w:t>
            </w:r>
            <w:r w:rsidR="001C67BD" w:rsidRPr="00312479">
              <w:t xml:space="preserve"> funding arrangement</w:t>
            </w:r>
            <w:r w:rsidR="00BA0D41">
              <w:t xml:space="preserve">, </w:t>
            </w:r>
            <w:r w:rsidR="001C67BD" w:rsidRPr="00312479">
              <w:t>governed by</w:t>
            </w:r>
            <w:r w:rsidR="00032FC2">
              <w:t xml:space="preserve"> a J</w:t>
            </w:r>
            <w:r w:rsidR="00BA0D41">
              <w:t xml:space="preserve">oint </w:t>
            </w:r>
            <w:r w:rsidR="00032FC2">
              <w:t>F</w:t>
            </w:r>
            <w:r w:rsidR="00BA0D41">
              <w:t xml:space="preserve">inancing </w:t>
            </w:r>
            <w:r w:rsidR="00032FC2">
              <w:t>A</w:t>
            </w:r>
            <w:r w:rsidR="00BA0D41">
              <w:t xml:space="preserve">greement, since </w:t>
            </w:r>
            <w:r w:rsidR="001C67BD" w:rsidRPr="00312479">
              <w:t>2008/09</w:t>
            </w:r>
            <w:r w:rsidR="009E7EEB">
              <w:t>.</w:t>
            </w:r>
          </w:p>
          <w:p w:rsidR="001C67BD" w:rsidRPr="00312479" w:rsidRDefault="001C67BD" w:rsidP="00F517AE">
            <w:pPr>
              <w:pStyle w:val="TableText"/>
            </w:pPr>
            <w:r w:rsidRPr="00312479">
              <w:rPr>
                <w:i/>
              </w:rPr>
              <w:t>Do other donors support the above?</w:t>
            </w:r>
            <w:r w:rsidRPr="00312479">
              <w:t xml:space="preserve">  There are currently </w:t>
            </w:r>
            <w:r w:rsidR="00BA0D41">
              <w:t xml:space="preserve">four other pooling donors: </w:t>
            </w:r>
            <w:r w:rsidR="00782D36">
              <w:t>United Kingdom</w:t>
            </w:r>
            <w:r w:rsidRPr="00312479">
              <w:t xml:space="preserve">, World Bank, </w:t>
            </w:r>
            <w:proofErr w:type="spellStart"/>
            <w:r w:rsidR="00F517AE">
              <w:t>Gavi</w:t>
            </w:r>
            <w:proofErr w:type="spellEnd"/>
            <w:r w:rsidR="00F517AE">
              <w:t xml:space="preserve"> (The Vaccine Alliance, formerly known as t</w:t>
            </w:r>
            <w:r w:rsidR="00EC055B">
              <w:t xml:space="preserve">he </w:t>
            </w:r>
            <w:r w:rsidR="0082586C">
              <w:rPr>
                <w:lang w:val="en"/>
              </w:rPr>
              <w:t>Global</w:t>
            </w:r>
            <w:r w:rsidR="00D8435B">
              <w:rPr>
                <w:lang w:val="en"/>
              </w:rPr>
              <w:t xml:space="preserve"> A</w:t>
            </w:r>
            <w:r w:rsidR="00213696">
              <w:rPr>
                <w:lang w:val="en"/>
              </w:rPr>
              <w:t>lliance for Vaccines and Immuniz</w:t>
            </w:r>
            <w:r w:rsidR="00D8435B">
              <w:rPr>
                <w:lang w:val="en"/>
              </w:rPr>
              <w:t>ation</w:t>
            </w:r>
            <w:r w:rsidR="00F517AE">
              <w:rPr>
                <w:lang w:val="en"/>
              </w:rPr>
              <w:t>)</w:t>
            </w:r>
            <w:r w:rsidRPr="00312479">
              <w:t xml:space="preserve">, and </w:t>
            </w:r>
            <w:r w:rsidR="00BA0D41">
              <w:t>Germany</w:t>
            </w:r>
            <w:r w:rsidR="000E1CFA">
              <w:t xml:space="preserve">. </w:t>
            </w:r>
            <w:r w:rsidR="0082586C" w:rsidRPr="00312479">
              <w:t xml:space="preserve">The </w:t>
            </w:r>
            <w:r w:rsidR="00BA0D41">
              <w:t xml:space="preserve">Nepal </w:t>
            </w:r>
            <w:r w:rsidR="0082586C" w:rsidRPr="003D7E2F">
              <w:t>Government</w:t>
            </w:r>
            <w:r w:rsidR="001626F5" w:rsidRPr="003D7E2F">
              <w:t xml:space="preserve"> </w:t>
            </w:r>
            <w:r w:rsidRPr="00312479">
              <w:t xml:space="preserve">is responsible for managing the pooled </w:t>
            </w:r>
            <w:r w:rsidR="0082586C" w:rsidRPr="00312479">
              <w:t>fund;</w:t>
            </w:r>
            <w:r w:rsidRPr="00312479">
              <w:t xml:space="preserve"> the World Bank undertakes the financial oversight</w:t>
            </w:r>
            <w:r w:rsidR="000E1CFA">
              <w:t xml:space="preserve">. </w:t>
            </w:r>
            <w:r w:rsidR="00BA0D41">
              <w:t xml:space="preserve">The </w:t>
            </w:r>
            <w:r w:rsidR="00782D36">
              <w:t xml:space="preserve">United Kingdom </w:t>
            </w:r>
            <w:r w:rsidRPr="00312479">
              <w:t xml:space="preserve">manages the </w:t>
            </w:r>
            <w:r w:rsidR="005A4C99">
              <w:t>T</w:t>
            </w:r>
            <w:r w:rsidR="00BA0D41">
              <w:t xml:space="preserve">echnical </w:t>
            </w:r>
            <w:r w:rsidR="005A4C99">
              <w:t>A</w:t>
            </w:r>
            <w:r w:rsidR="00BA0D41">
              <w:t>ssistance</w:t>
            </w:r>
            <w:r w:rsidRPr="00312479">
              <w:t xml:space="preserve"> component on behalf of all pooling donors. </w:t>
            </w:r>
          </w:p>
        </w:tc>
      </w:tr>
      <w:tr w:rsidR="001C67BD" w:rsidRPr="00312479" w:rsidTr="005841F1">
        <w:tc>
          <w:tcPr>
            <w:tcW w:w="596" w:type="pct"/>
          </w:tcPr>
          <w:p w:rsidR="001C67BD" w:rsidRPr="00312479" w:rsidRDefault="001C67BD" w:rsidP="0097056D">
            <w:pPr>
              <w:pStyle w:val="TableText"/>
            </w:pPr>
            <w:r w:rsidRPr="00312479">
              <w:lastRenderedPageBreak/>
              <w:t>P</w:t>
            </w:r>
            <w:r w:rsidR="00DF1DD1">
              <w:t>apua New Guinea</w:t>
            </w:r>
          </w:p>
        </w:tc>
        <w:tc>
          <w:tcPr>
            <w:tcW w:w="4404" w:type="pct"/>
          </w:tcPr>
          <w:p w:rsidR="00AF3C88" w:rsidRPr="00312479" w:rsidRDefault="001C67BD" w:rsidP="00AF3C88">
            <w:pPr>
              <w:pStyle w:val="TableText"/>
              <w:rPr>
                <w:i/>
              </w:rPr>
            </w:pPr>
            <w:r w:rsidRPr="00312479">
              <w:rPr>
                <w:i/>
              </w:rPr>
              <w:t>What</w:t>
            </w:r>
            <w:r w:rsidR="0039530F">
              <w:rPr>
                <w:i/>
              </w:rPr>
              <w:t xml:space="preserve"> approach has been used</w:t>
            </w:r>
            <w:r w:rsidRPr="00312479">
              <w:rPr>
                <w:i/>
              </w:rPr>
              <w:t>?</w:t>
            </w:r>
            <w:r w:rsidRPr="00312479">
              <w:t xml:space="preserve"> </w:t>
            </w:r>
            <w:r w:rsidR="00AF3C88" w:rsidRPr="00312479">
              <w:t xml:space="preserve"> In 2000 the Australia and </w:t>
            </w:r>
            <w:r w:rsidR="00AF3C88">
              <w:t xml:space="preserve">Papua New Guinea </w:t>
            </w:r>
            <w:r w:rsidR="00AF3C88" w:rsidRPr="00312479">
              <w:t>governments established the</w:t>
            </w:r>
            <w:r w:rsidR="00AF3C88">
              <w:t xml:space="preserve"> </w:t>
            </w:r>
            <w:r w:rsidR="00AF3C88" w:rsidRPr="00312479">
              <w:t xml:space="preserve">Health </w:t>
            </w:r>
            <w:r w:rsidR="00AF3C88">
              <w:t>Services</w:t>
            </w:r>
            <w:r w:rsidR="00AF3C88" w:rsidRPr="00312479">
              <w:t xml:space="preserve"> Improvement Program </w:t>
            </w:r>
            <w:r w:rsidR="00AF3C88">
              <w:t>(HSIP)</w:t>
            </w:r>
            <w:r w:rsidR="00AF3C88" w:rsidRPr="00312479">
              <w:t xml:space="preserve"> Trust Account as the means of channelling funds to support the health sector plan and the M</w:t>
            </w:r>
            <w:r w:rsidR="00AF3C88">
              <w:t xml:space="preserve">edium </w:t>
            </w:r>
            <w:r w:rsidR="00AF3C88" w:rsidRPr="00312479">
              <w:t>T</w:t>
            </w:r>
            <w:r w:rsidR="00AF3C88">
              <w:t xml:space="preserve">erm </w:t>
            </w:r>
            <w:r w:rsidR="00AF3C88" w:rsidRPr="00312479">
              <w:t>E</w:t>
            </w:r>
            <w:r w:rsidR="00AF3C88">
              <w:t xml:space="preserve">xpenditure </w:t>
            </w:r>
            <w:r w:rsidR="00AF3C88" w:rsidRPr="00312479">
              <w:t>F</w:t>
            </w:r>
            <w:r w:rsidR="00AF3C88">
              <w:t>ramework</w:t>
            </w:r>
            <w:r w:rsidR="00AF3C88" w:rsidRPr="00312479">
              <w:t xml:space="preserve">. </w:t>
            </w:r>
          </w:p>
          <w:p w:rsidR="00AF3C88" w:rsidRPr="00312479" w:rsidRDefault="00AF3C88" w:rsidP="00AF3C88">
            <w:pPr>
              <w:pStyle w:val="TableText"/>
            </w:pPr>
            <w:r w:rsidRPr="00312479">
              <w:rPr>
                <w:i/>
              </w:rPr>
              <w:t>What financing instruments</w:t>
            </w:r>
            <w:r>
              <w:rPr>
                <w:i/>
              </w:rPr>
              <w:t>/</w:t>
            </w:r>
            <w:r w:rsidRPr="00312479">
              <w:rPr>
                <w:i/>
              </w:rPr>
              <w:t xml:space="preserve">government systems </w:t>
            </w:r>
            <w:r>
              <w:rPr>
                <w:i/>
              </w:rPr>
              <w:t xml:space="preserve">are used? </w:t>
            </w:r>
            <w:r w:rsidRPr="00312479">
              <w:t xml:space="preserve"> It seems from reports that all of the Australian funds in the Trust Account in 2012 were earmarked.</w:t>
            </w:r>
            <w:r w:rsidR="00B321BD">
              <w:rPr>
                <w:rStyle w:val="FootnoteReference"/>
              </w:rPr>
              <w:footnoteReference w:id="24"/>
            </w:r>
            <w:r w:rsidRPr="00312479">
              <w:t xml:space="preserve"> Use of the Trust Account is seen by </w:t>
            </w:r>
            <w:r>
              <w:t xml:space="preserve">the </w:t>
            </w:r>
            <w:r w:rsidRPr="00312479">
              <w:t>Australia</w:t>
            </w:r>
            <w:r>
              <w:t>n aid program</w:t>
            </w:r>
            <w:r w:rsidRPr="00312479">
              <w:t xml:space="preserve"> as a step towa</w:t>
            </w:r>
            <w:r>
              <w:t xml:space="preserve">rds channelling funds through Papua New Guinea Government </w:t>
            </w:r>
            <w:r w:rsidRPr="00312479">
              <w:t>systems</w:t>
            </w:r>
            <w:r>
              <w:t xml:space="preserve">. </w:t>
            </w:r>
          </w:p>
          <w:p w:rsidR="001C67BD" w:rsidRPr="00312479" w:rsidRDefault="00AF3C88" w:rsidP="005A2CD6">
            <w:pPr>
              <w:pStyle w:val="TableText"/>
            </w:pPr>
            <w:r w:rsidRPr="00312479">
              <w:rPr>
                <w:i/>
              </w:rPr>
              <w:t>Do other donors support the above?</w:t>
            </w:r>
            <w:r w:rsidRPr="00312479">
              <w:t xml:space="preserve"> </w:t>
            </w:r>
            <w:r>
              <w:t xml:space="preserve"> New Zealand</w:t>
            </w:r>
            <w:r w:rsidRPr="00312479">
              <w:t xml:space="preserve"> joined the HSIP pool in 2003. </w:t>
            </w:r>
            <w:r>
              <w:t>I</w:t>
            </w:r>
            <w:r w:rsidRPr="00312479">
              <w:t xml:space="preserve">n 2012 </w:t>
            </w:r>
            <w:r>
              <w:t>the other d</w:t>
            </w:r>
            <w:r w:rsidRPr="00312479">
              <w:t>onors were</w:t>
            </w:r>
            <w:r>
              <w:t>:</w:t>
            </w:r>
            <w:r w:rsidRPr="00312479">
              <w:t xml:space="preserve"> </w:t>
            </w:r>
            <w:r w:rsidRPr="003D7E2F">
              <w:t>Asian Development Bank</w:t>
            </w:r>
            <w:r w:rsidRPr="00312479">
              <w:t>, UNFPA, Global Fund</w:t>
            </w:r>
            <w:r>
              <w:t xml:space="preserve"> to Fight AIDS, TB and Malaria</w:t>
            </w:r>
            <w:r w:rsidRPr="00312479">
              <w:t xml:space="preserve">, </w:t>
            </w:r>
            <w:r w:rsidRPr="003D7E2F">
              <w:t>New Zealand</w:t>
            </w:r>
            <w:r>
              <w:t xml:space="preserve">, </w:t>
            </w:r>
            <w:r w:rsidRPr="00312479">
              <w:t xml:space="preserve">and </w:t>
            </w:r>
            <w:r>
              <w:t xml:space="preserve">the </w:t>
            </w:r>
            <w:r w:rsidRPr="003D7E2F">
              <w:t>World</w:t>
            </w:r>
            <w:r>
              <w:t xml:space="preserve"> Health Organiz</w:t>
            </w:r>
            <w:r w:rsidRPr="003D7E2F">
              <w:t>ation</w:t>
            </w:r>
            <w:r>
              <w:t xml:space="preserve"> (WHO)</w:t>
            </w:r>
            <w:r w:rsidRPr="00312479">
              <w:t>. The Global Fund began channelling its resources through the HSIP in 2004 although the funds are project-specific and earmarked, rather than pooled and flexible</w:t>
            </w:r>
            <w:r w:rsidR="005A2CD6">
              <w:t>. Australia is now the only development partner to provide funding through HSIP.</w:t>
            </w:r>
          </w:p>
        </w:tc>
      </w:tr>
      <w:tr w:rsidR="001C67BD" w:rsidRPr="00312479" w:rsidTr="005841F1">
        <w:tc>
          <w:tcPr>
            <w:tcW w:w="596" w:type="pct"/>
          </w:tcPr>
          <w:p w:rsidR="001C67BD" w:rsidRPr="00312479" w:rsidRDefault="001C67BD" w:rsidP="001C67BD">
            <w:pPr>
              <w:pStyle w:val="TableText"/>
            </w:pPr>
            <w:r w:rsidRPr="00312479">
              <w:t>Samoa</w:t>
            </w:r>
          </w:p>
        </w:tc>
        <w:tc>
          <w:tcPr>
            <w:tcW w:w="4404" w:type="pct"/>
          </w:tcPr>
          <w:p w:rsidR="001C67BD" w:rsidRPr="00312479" w:rsidRDefault="001C67BD" w:rsidP="001C67BD">
            <w:pPr>
              <w:pStyle w:val="TableText"/>
            </w:pPr>
            <w:r w:rsidRPr="00312479">
              <w:rPr>
                <w:i/>
              </w:rPr>
              <w:t>What</w:t>
            </w:r>
            <w:r w:rsidR="0039530F">
              <w:rPr>
                <w:i/>
              </w:rPr>
              <w:t xml:space="preserve"> approach has been used</w:t>
            </w:r>
            <w:r w:rsidRPr="00312479">
              <w:rPr>
                <w:i/>
              </w:rPr>
              <w:t>?</w:t>
            </w:r>
            <w:r w:rsidRPr="00312479">
              <w:t xml:space="preserve"> In July 2008 the </w:t>
            </w:r>
            <w:r w:rsidR="00AB2B02" w:rsidRPr="00312479">
              <w:t xml:space="preserve">Samoa </w:t>
            </w:r>
            <w:r w:rsidRPr="00312479">
              <w:t>Government entered into an agreement with key d</w:t>
            </w:r>
            <w:r w:rsidR="00AB2B02">
              <w:t>onors</w:t>
            </w:r>
            <w:r w:rsidRPr="00312479">
              <w:t xml:space="preserve"> to establish a health </w:t>
            </w:r>
            <w:proofErr w:type="spellStart"/>
            <w:r w:rsidRPr="00312479">
              <w:t>SWAp</w:t>
            </w:r>
            <w:proofErr w:type="spellEnd"/>
            <w:r w:rsidRPr="00312479">
              <w:t xml:space="preserve"> in support of the first five years of the 20</w:t>
            </w:r>
            <w:r w:rsidR="00AB2B02">
              <w:t xml:space="preserve">08-2018 health sector </w:t>
            </w:r>
            <w:proofErr w:type="gramStart"/>
            <w:r w:rsidR="00AB2B02">
              <w:t>plan</w:t>
            </w:r>
            <w:proofErr w:type="gramEnd"/>
            <w:r w:rsidRPr="00312479">
              <w:t>.</w:t>
            </w:r>
          </w:p>
          <w:p w:rsidR="001C67BD" w:rsidRPr="00312479" w:rsidRDefault="007F41BB" w:rsidP="001C67BD">
            <w:pPr>
              <w:pStyle w:val="TableText"/>
            </w:pPr>
            <w:r w:rsidRPr="00312479">
              <w:rPr>
                <w:i/>
              </w:rPr>
              <w:t>What financing instruments</w:t>
            </w:r>
            <w:r>
              <w:rPr>
                <w:i/>
              </w:rPr>
              <w:t>/</w:t>
            </w:r>
            <w:r w:rsidRPr="00312479">
              <w:rPr>
                <w:i/>
              </w:rPr>
              <w:t xml:space="preserve">government systems </w:t>
            </w:r>
            <w:r>
              <w:rPr>
                <w:i/>
              </w:rPr>
              <w:t xml:space="preserve">are used? </w:t>
            </w:r>
            <w:r w:rsidR="001C67BD" w:rsidRPr="00312479">
              <w:t>A pooled fund</w:t>
            </w:r>
            <w:r w:rsidR="00AB2B02">
              <w:t xml:space="preserve"> w</w:t>
            </w:r>
            <w:r w:rsidR="003646F7">
              <w:t>as established but we could not establish from the literature if government systems are used for pool fund accounting and financial reporting</w:t>
            </w:r>
            <w:r w:rsidR="000E1CFA">
              <w:t xml:space="preserve">. </w:t>
            </w:r>
            <w:r w:rsidR="003646F7">
              <w:t xml:space="preserve">Procurement uses </w:t>
            </w:r>
            <w:r w:rsidR="001C67BD" w:rsidRPr="00312479">
              <w:t xml:space="preserve">government systems. </w:t>
            </w:r>
            <w:r w:rsidR="00D91B73">
              <w:t>T</w:t>
            </w:r>
            <w:r w:rsidR="00AB2B02">
              <w:t>echnical Assistance</w:t>
            </w:r>
            <w:r w:rsidR="001C67BD" w:rsidRPr="00312479">
              <w:t xml:space="preserve"> is pr</w:t>
            </w:r>
            <w:r w:rsidR="009B3CB6">
              <w:t xml:space="preserve">ocured separately by individual </w:t>
            </w:r>
            <w:r w:rsidR="00AB2B02">
              <w:t>donors</w:t>
            </w:r>
            <w:r w:rsidR="001C67BD" w:rsidRPr="00312479">
              <w:t xml:space="preserve"> using their own systems.</w:t>
            </w:r>
          </w:p>
          <w:p w:rsidR="001C67BD" w:rsidRPr="00312479" w:rsidRDefault="001C67BD" w:rsidP="00AB2B02">
            <w:pPr>
              <w:pStyle w:val="TableText"/>
            </w:pPr>
            <w:r w:rsidRPr="00312479">
              <w:rPr>
                <w:i/>
              </w:rPr>
              <w:t xml:space="preserve">Do other donors support the above? </w:t>
            </w:r>
            <w:r w:rsidR="00AB2B02">
              <w:t xml:space="preserve">New Zealand, </w:t>
            </w:r>
            <w:r w:rsidRPr="00312479">
              <w:t xml:space="preserve">World Bank, UNFPA, UNICEF and WHO. The </w:t>
            </w:r>
            <w:r w:rsidR="00AB2B02">
              <w:t xml:space="preserve">Samoa, Australian, New Zealand Governments and the World Bank </w:t>
            </w:r>
            <w:r w:rsidRPr="00312479">
              <w:t xml:space="preserve">pool </w:t>
            </w:r>
            <w:r w:rsidR="00AB2B02">
              <w:t xml:space="preserve">their </w:t>
            </w:r>
            <w:r w:rsidRPr="00312479">
              <w:t>funds and use government systems for procurement of goods</w:t>
            </w:r>
            <w:r w:rsidR="000E1CFA">
              <w:t xml:space="preserve">. </w:t>
            </w:r>
          </w:p>
        </w:tc>
      </w:tr>
      <w:tr w:rsidR="001C67BD" w:rsidRPr="00312479" w:rsidTr="005841F1">
        <w:tc>
          <w:tcPr>
            <w:tcW w:w="596" w:type="pct"/>
          </w:tcPr>
          <w:p w:rsidR="001C67BD" w:rsidRPr="00312479" w:rsidRDefault="001C67BD" w:rsidP="001C67BD">
            <w:pPr>
              <w:pStyle w:val="TableText"/>
            </w:pPr>
            <w:r w:rsidRPr="00312479">
              <w:t>Solomon Islands</w:t>
            </w:r>
          </w:p>
        </w:tc>
        <w:tc>
          <w:tcPr>
            <w:tcW w:w="4404" w:type="pct"/>
          </w:tcPr>
          <w:p w:rsidR="005A4230" w:rsidRPr="00312479" w:rsidRDefault="005A4230" w:rsidP="005A4230">
            <w:pPr>
              <w:pStyle w:val="TableText"/>
              <w:rPr>
                <w:i/>
              </w:rPr>
            </w:pPr>
            <w:r w:rsidRPr="00312479">
              <w:rPr>
                <w:i/>
              </w:rPr>
              <w:t xml:space="preserve">What </w:t>
            </w:r>
            <w:r>
              <w:rPr>
                <w:i/>
              </w:rPr>
              <w:t xml:space="preserve">approach has been used? </w:t>
            </w:r>
            <w:r w:rsidRPr="00312479">
              <w:t xml:space="preserve">Australia’s support to Solomon Islands health </w:t>
            </w:r>
            <w:proofErr w:type="spellStart"/>
            <w:r w:rsidRPr="00312479">
              <w:t>SWAp</w:t>
            </w:r>
            <w:proofErr w:type="spellEnd"/>
            <w:r w:rsidRPr="00312479">
              <w:t>, launched in 2008</w:t>
            </w:r>
            <w:r>
              <w:t>.</w:t>
            </w:r>
          </w:p>
          <w:p w:rsidR="005A4230" w:rsidRPr="00312479" w:rsidRDefault="005A4230" w:rsidP="005A4230">
            <w:pPr>
              <w:pStyle w:val="TableText"/>
              <w:rPr>
                <w:i/>
              </w:rPr>
            </w:pPr>
            <w:r w:rsidRPr="00312479">
              <w:rPr>
                <w:i/>
              </w:rPr>
              <w:t>What financing instruments</w:t>
            </w:r>
            <w:r>
              <w:rPr>
                <w:i/>
              </w:rPr>
              <w:t>/</w:t>
            </w:r>
            <w:r w:rsidRPr="00312479">
              <w:rPr>
                <w:i/>
              </w:rPr>
              <w:t xml:space="preserve">government systems </w:t>
            </w:r>
            <w:r>
              <w:rPr>
                <w:i/>
              </w:rPr>
              <w:t xml:space="preserve">are used? </w:t>
            </w:r>
            <w:r>
              <w:t>Sector Budget Support</w:t>
            </w:r>
            <w:r w:rsidRPr="00312479">
              <w:t xml:space="preserve">, </w:t>
            </w:r>
            <w:r>
              <w:t xml:space="preserve">part </w:t>
            </w:r>
            <w:r w:rsidRPr="00312479">
              <w:t xml:space="preserve">un-earmarked and </w:t>
            </w:r>
            <w:r>
              <w:t xml:space="preserve">part </w:t>
            </w:r>
            <w:r w:rsidRPr="00312479">
              <w:t>earmarked. It also uses the government’s procurement systems.</w:t>
            </w:r>
          </w:p>
          <w:p w:rsidR="001C67BD" w:rsidRPr="005A4230" w:rsidRDefault="005A4230" w:rsidP="004B36E8">
            <w:pPr>
              <w:pStyle w:val="TableText"/>
              <w:rPr>
                <w:i/>
              </w:rPr>
            </w:pPr>
            <w:r w:rsidRPr="00312479">
              <w:rPr>
                <w:i/>
              </w:rPr>
              <w:t xml:space="preserve">Do other donors support the above? </w:t>
            </w:r>
            <w:r w:rsidRPr="00312479">
              <w:t xml:space="preserve"> While significant funding is channelled through national systems, only </w:t>
            </w:r>
            <w:r>
              <w:t xml:space="preserve">the </w:t>
            </w:r>
            <w:r w:rsidRPr="00312479">
              <w:t>Aus</w:t>
            </w:r>
            <w:r>
              <w:t xml:space="preserve">tralian aid program (the largest donor) provides </w:t>
            </w:r>
            <w:proofErr w:type="spellStart"/>
            <w:r>
              <w:t>un</w:t>
            </w:r>
            <w:r w:rsidRPr="00312479">
              <w:t>earmarked</w:t>
            </w:r>
            <w:proofErr w:type="spellEnd"/>
            <w:r w:rsidRPr="00312479">
              <w:t xml:space="preserve"> budget support. Other</w:t>
            </w:r>
            <w:r>
              <w:t>s</w:t>
            </w:r>
            <w:r w:rsidRPr="00312479">
              <w:t xml:space="preserve"> </w:t>
            </w:r>
            <w:r>
              <w:t>(</w:t>
            </w:r>
            <w:r w:rsidRPr="00312479">
              <w:t>including Aus</w:t>
            </w:r>
            <w:r>
              <w:t xml:space="preserve">tralia) </w:t>
            </w:r>
            <w:r w:rsidRPr="00312479">
              <w:t>also provide earmarked budget support through the ‘</w:t>
            </w:r>
            <w:proofErr w:type="spellStart"/>
            <w:r w:rsidRPr="00312479">
              <w:t>SWAp</w:t>
            </w:r>
            <w:proofErr w:type="spellEnd"/>
            <w:r w:rsidRPr="00312479">
              <w:t xml:space="preserve"> account’ and/or project assistance. Some </w:t>
            </w:r>
            <w:r>
              <w:t xml:space="preserve">donors </w:t>
            </w:r>
            <w:r w:rsidRPr="00312479">
              <w:t>use national procurement systems for essential medicines and medical equipment. Procurement of T</w:t>
            </w:r>
            <w:r>
              <w:t xml:space="preserve">echnical </w:t>
            </w:r>
            <w:r w:rsidRPr="00312479">
              <w:t>A</w:t>
            </w:r>
            <w:r>
              <w:t xml:space="preserve">ssistance </w:t>
            </w:r>
            <w:r w:rsidRPr="00312479">
              <w:t xml:space="preserve">is largely carried out through individual </w:t>
            </w:r>
            <w:r>
              <w:t>donors.</w:t>
            </w:r>
          </w:p>
        </w:tc>
      </w:tr>
    </w:tbl>
    <w:p w:rsidR="00670BC7" w:rsidRPr="008771C7" w:rsidRDefault="00213696" w:rsidP="00C535CC">
      <w:pPr>
        <w:pStyle w:val="Heading2"/>
        <w:ind w:left="0" w:firstLine="0"/>
      </w:pPr>
      <w:bookmarkStart w:id="20" w:name="_Toc394224877"/>
      <w:bookmarkStart w:id="21" w:name="_Toc403403684"/>
      <w:r>
        <w:t>2</w:t>
      </w:r>
      <w:r w:rsidR="008771C7">
        <w:t>.2</w:t>
      </w:r>
      <w:r w:rsidR="008771C7">
        <w:tab/>
      </w:r>
      <w:r w:rsidR="00CC0E3A">
        <w:t xml:space="preserve">Why were these approaches </w:t>
      </w:r>
      <w:r w:rsidR="00670BC7" w:rsidRPr="008771C7">
        <w:t>adopted</w:t>
      </w:r>
      <w:r w:rsidR="000A202A">
        <w:t>?</w:t>
      </w:r>
      <w:bookmarkEnd w:id="20"/>
      <w:bookmarkEnd w:id="21"/>
    </w:p>
    <w:p w:rsidR="00B826D1" w:rsidRDefault="00670BC7" w:rsidP="00776598">
      <w:r w:rsidRPr="00197C5B">
        <w:t xml:space="preserve">Without further consultation, particularly at country level, it is not possible to fully assess the reasons why </w:t>
      </w:r>
      <w:r w:rsidR="009E70D9">
        <w:t xml:space="preserve">the </w:t>
      </w:r>
      <w:r w:rsidRPr="00197C5B">
        <w:t>Australia</w:t>
      </w:r>
      <w:r w:rsidR="009E70D9">
        <w:t>n aid program</w:t>
      </w:r>
      <w:r w:rsidRPr="00197C5B">
        <w:t xml:space="preserve"> adopted the approaches outlined in </w:t>
      </w:r>
      <w:r w:rsidR="00975C95">
        <w:t>T</w:t>
      </w:r>
      <w:r w:rsidRPr="00197C5B">
        <w:t xml:space="preserve">able </w:t>
      </w:r>
      <w:r w:rsidR="002624E1">
        <w:t>4</w:t>
      </w:r>
      <w:r w:rsidR="00975C95">
        <w:t>.</w:t>
      </w:r>
      <w:r w:rsidRPr="00197C5B">
        <w:t xml:space="preserve"> Choices about</w:t>
      </w:r>
      <w:r w:rsidR="00F75C88">
        <w:t xml:space="preserve"> </w:t>
      </w:r>
      <w:proofErr w:type="spellStart"/>
      <w:r w:rsidR="00F75C88">
        <w:t>SWAps</w:t>
      </w:r>
      <w:proofErr w:type="spellEnd"/>
      <w:r w:rsidR="00F75C88">
        <w:t xml:space="preserve"> </w:t>
      </w:r>
      <w:r w:rsidRPr="00197C5B">
        <w:t xml:space="preserve">and </w:t>
      </w:r>
      <w:r w:rsidR="00F75C88">
        <w:t xml:space="preserve">financing </w:t>
      </w:r>
      <w:r w:rsidRPr="00197C5B">
        <w:t xml:space="preserve">instruments appear to be contextual (in the sense that they were considered the best option in the circumstances, particularly if other key donors were doing the same), aligned with the aid policies of </w:t>
      </w:r>
      <w:r w:rsidR="009E70D9">
        <w:t xml:space="preserve">the </w:t>
      </w:r>
      <w:r w:rsidRPr="00197C5B">
        <w:t>Australia</w:t>
      </w:r>
      <w:r w:rsidR="009E70D9">
        <w:t>n government</w:t>
      </w:r>
      <w:r w:rsidRPr="00197C5B">
        <w:t xml:space="preserve"> at the time (explain</w:t>
      </w:r>
      <w:r w:rsidR="00975C95">
        <w:t>ing</w:t>
      </w:r>
      <w:r w:rsidRPr="00197C5B">
        <w:t xml:space="preserve"> why </w:t>
      </w:r>
      <w:r w:rsidR="009E70D9">
        <w:t xml:space="preserve">it </w:t>
      </w:r>
      <w:r w:rsidRPr="00197C5B">
        <w:t>did not join pooled funding arrangements in some of the Asian countries before 2008</w:t>
      </w:r>
      <w:r w:rsidR="00F75C88">
        <w:t>)</w:t>
      </w:r>
      <w:r w:rsidRPr="00197C5B">
        <w:t xml:space="preserve"> and in the context of an international focus on aid effectiveness (namely the 2005 Paris Declaration on Aid Effectiveness and subsequent commitments). </w:t>
      </w:r>
      <w:r w:rsidR="00213696">
        <w:t>Available i</w:t>
      </w:r>
      <w:r w:rsidR="00975C95">
        <w:t xml:space="preserve">nformation </w:t>
      </w:r>
      <w:r w:rsidRPr="00197C5B">
        <w:t xml:space="preserve">that helps explain </w:t>
      </w:r>
      <w:r w:rsidR="00975C95">
        <w:t xml:space="preserve">the </w:t>
      </w:r>
      <w:r w:rsidR="00F75C88">
        <w:t xml:space="preserve">choices made by the </w:t>
      </w:r>
      <w:r w:rsidRPr="00197C5B">
        <w:t>Australia</w:t>
      </w:r>
      <w:r w:rsidR="00975C95">
        <w:t xml:space="preserve">n </w:t>
      </w:r>
      <w:r w:rsidR="00213696">
        <w:t>aid program</w:t>
      </w:r>
      <w:r w:rsidRPr="00197C5B">
        <w:t xml:space="preserve"> </w:t>
      </w:r>
      <w:r w:rsidR="00975C95">
        <w:t xml:space="preserve">is summarised in </w:t>
      </w:r>
      <w:r w:rsidR="00975C95" w:rsidRPr="00197C5B">
        <w:t xml:space="preserve">Table </w:t>
      </w:r>
      <w:r w:rsidR="00A26DC6">
        <w:t>5</w:t>
      </w:r>
      <w:r w:rsidR="00975C95">
        <w:t>.</w:t>
      </w:r>
    </w:p>
    <w:p w:rsidR="00B826D1" w:rsidRDefault="00B826D1">
      <w:pPr>
        <w:spacing w:before="0" w:after="0" w:line="240" w:lineRule="auto"/>
      </w:pPr>
      <w:r>
        <w:br w:type="page"/>
      </w:r>
    </w:p>
    <w:p w:rsidR="00670BC7" w:rsidRPr="008771C7" w:rsidRDefault="00670BC7" w:rsidP="00776598">
      <w:pPr>
        <w:pStyle w:val="TableName"/>
      </w:pPr>
      <w:bookmarkStart w:id="22" w:name="_Toc402192198"/>
      <w:r w:rsidRPr="008771C7">
        <w:lastRenderedPageBreak/>
        <w:t xml:space="preserve">Table </w:t>
      </w:r>
      <w:r w:rsidR="00A26DC6">
        <w:t>5</w:t>
      </w:r>
      <w:r w:rsidR="009F73E7">
        <w:tab/>
      </w:r>
      <w:r w:rsidRPr="008771C7">
        <w:t xml:space="preserve">Reasons for </w:t>
      </w:r>
      <w:r w:rsidR="00B55651">
        <w:t>the Australian aid program</w:t>
      </w:r>
      <w:r w:rsidRPr="008771C7">
        <w:t>’s choice of a</w:t>
      </w:r>
      <w:r w:rsidR="00F75C88">
        <w:t>pproach</w:t>
      </w:r>
      <w:bookmarkEnd w:id="22"/>
    </w:p>
    <w:tbl>
      <w:tblPr>
        <w:tblStyle w:val="TableGrid"/>
        <w:tblpPr w:leftFromText="181" w:rightFromText="181" w:vertAnchor="text" w:tblpY="1"/>
        <w:tblOverlap w:val="never"/>
        <w:tblW w:w="4967" w:type="pct"/>
        <w:tblLook w:val="04A0" w:firstRow="1" w:lastRow="0" w:firstColumn="1" w:lastColumn="0" w:noHBand="0" w:noVBand="1"/>
      </w:tblPr>
      <w:tblGrid>
        <w:gridCol w:w="1168"/>
        <w:gridCol w:w="8013"/>
      </w:tblGrid>
      <w:tr w:rsidR="00670BC7" w:rsidRPr="00312479" w:rsidTr="00B871E0">
        <w:trPr>
          <w:cnfStyle w:val="100000000000" w:firstRow="1" w:lastRow="0" w:firstColumn="0" w:lastColumn="0" w:oddVBand="0" w:evenVBand="0" w:oddHBand="0" w:evenHBand="0" w:firstRowFirstColumn="0" w:firstRowLastColumn="0" w:lastRowFirstColumn="0" w:lastRowLastColumn="0"/>
          <w:trHeight w:val="616"/>
        </w:trPr>
        <w:tc>
          <w:tcPr>
            <w:tcW w:w="636" w:type="pct"/>
          </w:tcPr>
          <w:p w:rsidR="00670BC7" w:rsidRPr="00312479" w:rsidRDefault="00670BC7" w:rsidP="005841F1">
            <w:pPr>
              <w:pStyle w:val="TableHeading2"/>
            </w:pPr>
            <w:r w:rsidRPr="00312479">
              <w:t>Countr</w:t>
            </w:r>
            <w:r w:rsidR="005841F1">
              <w:t>y</w:t>
            </w:r>
          </w:p>
        </w:tc>
        <w:tc>
          <w:tcPr>
            <w:tcW w:w="4364" w:type="pct"/>
          </w:tcPr>
          <w:p w:rsidR="00670BC7" w:rsidRPr="00312479" w:rsidRDefault="00670BC7" w:rsidP="00B871E0">
            <w:pPr>
              <w:pStyle w:val="TableHeading"/>
            </w:pPr>
            <w:r w:rsidRPr="00312479">
              <w:t xml:space="preserve">Why </w:t>
            </w:r>
            <w:r w:rsidR="00B871E0">
              <w:t xml:space="preserve">were </w:t>
            </w:r>
            <w:r w:rsidRPr="00312479">
              <w:t xml:space="preserve">the </w:t>
            </w:r>
            <w:r w:rsidR="00B871E0">
              <w:t xml:space="preserve">approaches </w:t>
            </w:r>
            <w:r w:rsidRPr="00312479">
              <w:t>and</w:t>
            </w:r>
            <w:r w:rsidR="00B871E0">
              <w:t>/or</w:t>
            </w:r>
            <w:r w:rsidRPr="00312479">
              <w:t xml:space="preserve"> instruments</w:t>
            </w:r>
            <w:r w:rsidR="00B871E0">
              <w:t xml:space="preserve"> adopted</w:t>
            </w:r>
            <w:r w:rsidRPr="00312479">
              <w:t>?</w:t>
            </w:r>
            <w:r w:rsidR="00B871E0">
              <w:t xml:space="preserve"> </w:t>
            </w:r>
            <w:r w:rsidRPr="00312479">
              <w:t>In what context?</w:t>
            </w:r>
          </w:p>
        </w:tc>
      </w:tr>
      <w:tr w:rsidR="00670BC7" w:rsidRPr="00312479" w:rsidTr="00776598">
        <w:tc>
          <w:tcPr>
            <w:tcW w:w="636" w:type="pct"/>
          </w:tcPr>
          <w:p w:rsidR="00670BC7" w:rsidRPr="00312479" w:rsidRDefault="00670BC7" w:rsidP="00776598">
            <w:pPr>
              <w:pStyle w:val="TableText"/>
            </w:pPr>
            <w:r w:rsidRPr="00312479">
              <w:t>Bangladesh</w:t>
            </w:r>
          </w:p>
        </w:tc>
        <w:tc>
          <w:tcPr>
            <w:tcW w:w="4364" w:type="pct"/>
          </w:tcPr>
          <w:p w:rsidR="00670BC7" w:rsidRPr="00312479" w:rsidRDefault="00670BC7" w:rsidP="0097056D">
            <w:pPr>
              <w:pStyle w:val="TableText"/>
            </w:pPr>
            <w:r w:rsidRPr="00312479">
              <w:t>Until 2010 AusAID support was delivered through project aid</w:t>
            </w:r>
            <w:r w:rsidR="000E1CFA">
              <w:t xml:space="preserve">. </w:t>
            </w:r>
            <w:r w:rsidRPr="00312479">
              <w:t xml:space="preserve">In 2010 AusAID decided to contribute to the health pooled fund </w:t>
            </w:r>
            <w:r w:rsidR="00211C60">
              <w:t>(</w:t>
            </w:r>
            <w:r w:rsidRPr="00312479">
              <w:t>while maintaining other parallel investments through project aid</w:t>
            </w:r>
            <w:r w:rsidR="00211C60">
              <w:t>)</w:t>
            </w:r>
            <w:r w:rsidRPr="00312479">
              <w:t xml:space="preserve"> mainly in support of mate</w:t>
            </w:r>
            <w:r w:rsidR="00B67242">
              <w:t>rnal and child health program</w:t>
            </w:r>
            <w:r w:rsidRPr="00312479">
              <w:t xml:space="preserve"> in partnership with the </w:t>
            </w:r>
            <w:r w:rsidR="00213696">
              <w:t xml:space="preserve">Bangladesh </w:t>
            </w:r>
            <w:r w:rsidRPr="00312479">
              <w:t xml:space="preserve">government, other donors (DFID, </w:t>
            </w:r>
            <w:r w:rsidR="0097056D">
              <w:t>EU</w:t>
            </w:r>
            <w:r w:rsidRPr="00312479">
              <w:t xml:space="preserve">, UNICEF, UNFPA) and </w:t>
            </w:r>
            <w:r w:rsidR="00211C60">
              <w:t xml:space="preserve">the </w:t>
            </w:r>
            <w:r w:rsidRPr="00312479">
              <w:t>private sector/</w:t>
            </w:r>
            <w:r w:rsidR="00211C60">
              <w:t>n</w:t>
            </w:r>
            <w:r w:rsidR="006047AE" w:rsidRPr="003D7E2F">
              <w:t>on-</w:t>
            </w:r>
            <w:r w:rsidR="00211C60">
              <w:t>g</w:t>
            </w:r>
            <w:r w:rsidR="006047AE" w:rsidRPr="003D7E2F">
              <w:t>overnment</w:t>
            </w:r>
            <w:r w:rsidR="00211C60">
              <w:t xml:space="preserve"> o</w:t>
            </w:r>
            <w:r w:rsidR="006047AE" w:rsidRPr="003D7E2F">
              <w:t>rgani</w:t>
            </w:r>
            <w:r w:rsidR="00211C60">
              <w:t>s</w:t>
            </w:r>
            <w:r w:rsidR="006047AE" w:rsidRPr="003D7E2F">
              <w:t>ation</w:t>
            </w:r>
            <w:r w:rsidR="006047AE">
              <w:t>s</w:t>
            </w:r>
            <w:r w:rsidR="004B36E8">
              <w:t xml:space="preserve"> (NGOs)</w:t>
            </w:r>
            <w:r w:rsidR="006047AE" w:rsidRPr="00312479">
              <w:t xml:space="preserve"> </w:t>
            </w:r>
            <w:r w:rsidRPr="00312479">
              <w:t>(</w:t>
            </w:r>
            <w:r w:rsidR="00211C60">
              <w:t xml:space="preserve">e.g. </w:t>
            </w:r>
            <w:r w:rsidR="002A1B80" w:rsidRPr="00ED618E">
              <w:t>International Centre for Diarrhoeal Disease Research, Bangladesh</w:t>
            </w:r>
            <w:r w:rsidR="002A1B80" w:rsidRPr="00312479">
              <w:t xml:space="preserve"> </w:t>
            </w:r>
            <w:r w:rsidR="002A1B80">
              <w:t>(</w:t>
            </w:r>
            <w:r w:rsidRPr="00312479">
              <w:t>ICDDR</w:t>
            </w:r>
            <w:proofErr w:type="gramStart"/>
            <w:r w:rsidRPr="00312479">
              <w:t>,B</w:t>
            </w:r>
            <w:proofErr w:type="gramEnd"/>
            <w:r w:rsidR="002A1B80">
              <w:t>)</w:t>
            </w:r>
            <w:r w:rsidRPr="00312479">
              <w:t xml:space="preserve"> and BRAC</w:t>
            </w:r>
            <w:r w:rsidR="00013434">
              <w:t xml:space="preserve">- formerly the </w:t>
            </w:r>
            <w:r w:rsidR="00013434" w:rsidRPr="00013434">
              <w:t>Bangladesh Rural Advancement Committee</w:t>
            </w:r>
            <w:r w:rsidRPr="00312479">
              <w:t xml:space="preserve">). The main drivers for the change appear to be the renewed focus by </w:t>
            </w:r>
            <w:r w:rsidR="00B55651">
              <w:t>the Australian aid program</w:t>
            </w:r>
            <w:r w:rsidRPr="00312479">
              <w:t xml:space="preserve"> on improving aid effectiveness as evidenced </w:t>
            </w:r>
            <w:r w:rsidR="00211C60">
              <w:t>in ai</w:t>
            </w:r>
            <w:r w:rsidR="009B3CB6" w:rsidRPr="003D7E2F">
              <w:t>d progr</w:t>
            </w:r>
            <w:r w:rsidR="009B3CB6">
              <w:t>am performance repo</w:t>
            </w:r>
            <w:r w:rsidR="00211C60">
              <w:t>rts</w:t>
            </w:r>
            <w:r w:rsidRPr="00312479">
              <w:t>.</w:t>
            </w:r>
          </w:p>
        </w:tc>
      </w:tr>
      <w:tr w:rsidR="00670BC7" w:rsidRPr="00312479" w:rsidTr="00776598">
        <w:tc>
          <w:tcPr>
            <w:tcW w:w="636" w:type="pct"/>
          </w:tcPr>
          <w:p w:rsidR="00670BC7" w:rsidRPr="00312479" w:rsidRDefault="00670BC7" w:rsidP="00776598">
            <w:pPr>
              <w:pStyle w:val="TableText"/>
            </w:pPr>
            <w:r w:rsidRPr="00312479">
              <w:t>Cambodia</w:t>
            </w:r>
          </w:p>
        </w:tc>
        <w:tc>
          <w:tcPr>
            <w:tcW w:w="4364" w:type="pct"/>
          </w:tcPr>
          <w:p w:rsidR="00670BC7" w:rsidRPr="00312479" w:rsidRDefault="00670BC7" w:rsidP="008445C2">
            <w:pPr>
              <w:pStyle w:val="TableText"/>
            </w:pPr>
            <w:r w:rsidRPr="00312479">
              <w:t xml:space="preserve">Australia has been a long term partner of the </w:t>
            </w:r>
            <w:r w:rsidR="00211C60" w:rsidRPr="00312479">
              <w:t xml:space="preserve">Cambodia </w:t>
            </w:r>
            <w:r w:rsidRPr="00312479">
              <w:t>Government</w:t>
            </w:r>
            <w:r w:rsidR="00211C60">
              <w:t xml:space="preserve">; in </w:t>
            </w:r>
            <w:r w:rsidRPr="00312479">
              <w:t>2012</w:t>
            </w:r>
            <w:r w:rsidR="00211C60">
              <w:t xml:space="preserve"> it was</w:t>
            </w:r>
            <w:r w:rsidRPr="00312479">
              <w:t xml:space="preserve"> the </w:t>
            </w:r>
            <w:r w:rsidR="008445C2">
              <w:t xml:space="preserve">second </w:t>
            </w:r>
            <w:r w:rsidRPr="00312479">
              <w:t xml:space="preserve">largest bilateral </w:t>
            </w:r>
            <w:r w:rsidR="008445C2" w:rsidRPr="00312479">
              <w:t>donor</w:t>
            </w:r>
            <w:r w:rsidR="008445C2">
              <w:t xml:space="preserve"> after the US </w:t>
            </w:r>
            <w:r w:rsidRPr="00312479">
              <w:t xml:space="preserve">following the departure of </w:t>
            </w:r>
            <w:r w:rsidR="00211C60">
              <w:t xml:space="preserve">the </w:t>
            </w:r>
            <w:r w:rsidR="00E64C27">
              <w:t>United Kingdom</w:t>
            </w:r>
            <w:r w:rsidR="004B36E8">
              <w:t xml:space="preserve"> </w:t>
            </w:r>
            <w:r w:rsidRPr="00312479">
              <w:t xml:space="preserve">from the health sector. </w:t>
            </w:r>
            <w:r w:rsidR="00211C60">
              <w:t xml:space="preserve">We found no </w:t>
            </w:r>
            <w:r w:rsidRPr="00312479">
              <w:t xml:space="preserve">specific documents explaining why </w:t>
            </w:r>
            <w:r w:rsidR="00211C60">
              <w:t xml:space="preserve">the </w:t>
            </w:r>
            <w:r w:rsidRPr="00312479">
              <w:t>Australia</w:t>
            </w:r>
            <w:r w:rsidR="00211C60">
              <w:t>n aid program</w:t>
            </w:r>
            <w:r w:rsidRPr="00312479">
              <w:t xml:space="preserve"> made the decision to support the </w:t>
            </w:r>
            <w:r w:rsidR="00211C60">
              <w:t xml:space="preserve">health sector program </w:t>
            </w:r>
            <w:r w:rsidRPr="00312479">
              <w:t>instead of pursuing, for example, discrete project aid</w:t>
            </w:r>
            <w:r w:rsidR="000E1CFA">
              <w:t xml:space="preserve">. </w:t>
            </w:r>
            <w:r w:rsidRPr="00312479">
              <w:t>The most likely reasons are however the need for donors to provide joint support to a country that had come out from a severe civil conflict and required reconstruction and institutional development and strengthening</w:t>
            </w:r>
            <w:r w:rsidR="000E1CFA">
              <w:t xml:space="preserve">. </w:t>
            </w:r>
          </w:p>
        </w:tc>
      </w:tr>
      <w:tr w:rsidR="00670BC7" w:rsidRPr="00312479" w:rsidTr="00776598">
        <w:tc>
          <w:tcPr>
            <w:tcW w:w="636" w:type="pct"/>
          </w:tcPr>
          <w:p w:rsidR="00670BC7" w:rsidRPr="00312479" w:rsidRDefault="00670BC7" w:rsidP="00776598">
            <w:pPr>
              <w:pStyle w:val="TableText"/>
            </w:pPr>
            <w:r w:rsidRPr="00312479">
              <w:t>Nepal</w:t>
            </w:r>
          </w:p>
        </w:tc>
        <w:tc>
          <w:tcPr>
            <w:tcW w:w="4364" w:type="pct"/>
          </w:tcPr>
          <w:p w:rsidR="00670BC7" w:rsidRPr="00312479" w:rsidRDefault="00670BC7" w:rsidP="007F5108">
            <w:pPr>
              <w:pStyle w:val="TableText"/>
            </w:pPr>
            <w:r w:rsidRPr="00312479">
              <w:t xml:space="preserve">The DFAT country office (AusAID at the time) highlights that </w:t>
            </w:r>
            <w:r w:rsidR="00211C60">
              <w:t xml:space="preserve">the current (and previous) health sector program </w:t>
            </w:r>
            <w:r w:rsidRPr="00312479">
              <w:t xml:space="preserve">priorities are aligned with the </w:t>
            </w:r>
            <w:r w:rsidR="0083063E">
              <w:t>p</w:t>
            </w:r>
            <w:r w:rsidRPr="00312479">
              <w:t xml:space="preserve">olicy </w:t>
            </w:r>
            <w:r w:rsidR="0083063E">
              <w:t>o</w:t>
            </w:r>
            <w:r w:rsidRPr="00312479">
              <w:t>bjective on saving lives and health strategy</w:t>
            </w:r>
            <w:r w:rsidR="00211C60">
              <w:t xml:space="preserve"> of the Australian aid program</w:t>
            </w:r>
            <w:r w:rsidRPr="00312479">
              <w:t xml:space="preserve">. The </w:t>
            </w:r>
            <w:r w:rsidR="00211C60">
              <w:t xml:space="preserve">Nepal health sector program </w:t>
            </w:r>
            <w:r w:rsidRPr="00312479">
              <w:t xml:space="preserve">also strongly aligns with </w:t>
            </w:r>
            <w:r w:rsidR="00211C60">
              <w:t>the</w:t>
            </w:r>
            <w:r w:rsidRPr="00312479">
              <w:t xml:space="preserve"> draft </w:t>
            </w:r>
            <w:r w:rsidR="00C62400">
              <w:t xml:space="preserve">Australian aid program </w:t>
            </w:r>
            <w:r w:rsidRPr="00312479">
              <w:t xml:space="preserve">Country Strategy </w:t>
            </w:r>
            <w:r w:rsidR="00211C60">
              <w:t>o</w:t>
            </w:r>
            <w:r w:rsidRPr="00312479">
              <w:t xml:space="preserve">bjective </w:t>
            </w:r>
            <w:r w:rsidR="00211C60">
              <w:t>that ‘</w:t>
            </w:r>
            <w:r w:rsidRPr="00312479">
              <w:t xml:space="preserve">All </w:t>
            </w:r>
            <w:proofErr w:type="spellStart"/>
            <w:r w:rsidRPr="00312479">
              <w:t>Nepalis</w:t>
            </w:r>
            <w:proofErr w:type="spellEnd"/>
            <w:r w:rsidRPr="00312479">
              <w:t xml:space="preserve"> have improved access to key services delivered by an increasingly effective state</w:t>
            </w:r>
            <w:r w:rsidR="00211C60">
              <w:t>’</w:t>
            </w:r>
            <w:r w:rsidRPr="00312479">
              <w:t xml:space="preserve">. The Essential Health Care Services </w:t>
            </w:r>
            <w:r w:rsidR="004B36E8">
              <w:t xml:space="preserve">(EHCS) </w:t>
            </w:r>
            <w:r w:rsidR="00211C60">
              <w:t>(which</w:t>
            </w:r>
            <w:r w:rsidRPr="00312479">
              <w:t xml:space="preserve"> include maternal and child health</w:t>
            </w:r>
            <w:r w:rsidR="00211C60">
              <w:t>)</w:t>
            </w:r>
            <w:r w:rsidRPr="00312479">
              <w:t xml:space="preserve"> </w:t>
            </w:r>
            <w:r w:rsidR="00211C60">
              <w:t>are</w:t>
            </w:r>
            <w:r w:rsidRPr="00312479">
              <w:t xml:space="preserve"> one of the key priorities of</w:t>
            </w:r>
            <w:r w:rsidR="00211C60">
              <w:t xml:space="preserve"> </w:t>
            </w:r>
            <w:r w:rsidR="007F5108">
              <w:t xml:space="preserve">the </w:t>
            </w:r>
            <w:r w:rsidR="00211C60">
              <w:t>health sector program</w:t>
            </w:r>
            <w:r w:rsidR="000E1CFA">
              <w:t xml:space="preserve">. </w:t>
            </w:r>
            <w:r w:rsidR="00211C60">
              <w:t xml:space="preserve">The Country Strategy </w:t>
            </w:r>
            <w:r w:rsidRPr="00312479">
              <w:t xml:space="preserve">further explains that </w:t>
            </w:r>
            <w:r w:rsidR="00211C60">
              <w:t>‘</w:t>
            </w:r>
            <w:r w:rsidRPr="00312479">
              <w:t>the</w:t>
            </w:r>
            <w:r w:rsidR="00211C60">
              <w:t xml:space="preserve"> </w:t>
            </w:r>
            <w:r w:rsidRPr="00312479">
              <w:t xml:space="preserve">involvement of </w:t>
            </w:r>
            <w:r w:rsidR="00211C60">
              <w:t>[the Australian aid program]</w:t>
            </w:r>
            <w:r w:rsidRPr="00312479">
              <w:t xml:space="preserve"> as one of the pooling donors continues to be relevant, to increase efficiency and effectiveness as well as to address fiduciary and other risks</w:t>
            </w:r>
            <w:r w:rsidR="000E1CFA">
              <w:t xml:space="preserve">. </w:t>
            </w:r>
            <w:r w:rsidRPr="00312479">
              <w:t xml:space="preserve">Furthermore, in a politically volatile environment Nepal has been going through in recent times, </w:t>
            </w:r>
            <w:r w:rsidR="00A26DC6">
              <w:t>‘</w:t>
            </w:r>
            <w:r w:rsidRPr="00312479">
              <w:t xml:space="preserve">it is important for like-minded donors to stick together and assist the government system withstand the ongoing challenges and continue delivering </w:t>
            </w:r>
            <w:r w:rsidR="0082586C">
              <w:t>social services’.</w:t>
            </w:r>
            <w:r w:rsidR="0082586C">
              <w:rPr>
                <w:rStyle w:val="FootnoteReference"/>
              </w:rPr>
              <w:footnoteReference w:id="25"/>
            </w:r>
          </w:p>
        </w:tc>
      </w:tr>
      <w:tr w:rsidR="00670BC7" w:rsidRPr="00312479" w:rsidTr="00776598">
        <w:tc>
          <w:tcPr>
            <w:tcW w:w="636" w:type="pct"/>
          </w:tcPr>
          <w:p w:rsidR="00670BC7" w:rsidRPr="00312479" w:rsidRDefault="00670BC7" w:rsidP="0097056D">
            <w:pPr>
              <w:pStyle w:val="TableText"/>
            </w:pPr>
            <w:r w:rsidRPr="00312479">
              <w:t>P</w:t>
            </w:r>
            <w:r w:rsidR="00DF1DD1">
              <w:t>apua New Guinea</w:t>
            </w:r>
          </w:p>
        </w:tc>
        <w:tc>
          <w:tcPr>
            <w:tcW w:w="4364" w:type="pct"/>
          </w:tcPr>
          <w:p w:rsidR="00670BC7" w:rsidRPr="00312479" w:rsidRDefault="00670BC7" w:rsidP="005A2CD6">
            <w:pPr>
              <w:pStyle w:val="TableText"/>
            </w:pPr>
            <w:r w:rsidRPr="00312479">
              <w:t xml:space="preserve">We could not find </w:t>
            </w:r>
            <w:r w:rsidR="007F41BB">
              <w:t xml:space="preserve">any </w:t>
            </w:r>
            <w:r w:rsidRPr="00312479">
              <w:t xml:space="preserve">specific documents describing </w:t>
            </w:r>
            <w:r w:rsidR="007F41BB">
              <w:t>why</w:t>
            </w:r>
            <w:r w:rsidR="00C62400">
              <w:t xml:space="preserve"> this</w:t>
            </w:r>
            <w:r w:rsidR="007F41BB">
              <w:t xml:space="preserve"> </w:t>
            </w:r>
            <w:r w:rsidRPr="00312479">
              <w:t xml:space="preserve">approach to aid delivery </w:t>
            </w:r>
            <w:r w:rsidR="007F41BB">
              <w:t xml:space="preserve">was chosen </w:t>
            </w:r>
            <w:r w:rsidRPr="00312479">
              <w:t xml:space="preserve">or the options considered at the time, </w:t>
            </w:r>
            <w:r w:rsidR="007F41BB">
              <w:t xml:space="preserve">but </w:t>
            </w:r>
            <w:r w:rsidRPr="00312479">
              <w:t xml:space="preserve">we know from other sources and policy documents that </w:t>
            </w:r>
            <w:r w:rsidR="00B55651">
              <w:t>the Australian aid program</w:t>
            </w:r>
            <w:r w:rsidRPr="00312479">
              <w:t xml:space="preserve"> developed a focus on aid effectiveness during the last decade which is consistent with the approach adopted in P</w:t>
            </w:r>
            <w:r>
              <w:t>apua New Guinea</w:t>
            </w:r>
            <w:r w:rsidR="00AF3C88" w:rsidRPr="00312479">
              <w:t>.</w:t>
            </w:r>
          </w:p>
        </w:tc>
      </w:tr>
      <w:tr w:rsidR="00670BC7" w:rsidRPr="00312479" w:rsidTr="00776598">
        <w:tc>
          <w:tcPr>
            <w:tcW w:w="636" w:type="pct"/>
          </w:tcPr>
          <w:p w:rsidR="00670BC7" w:rsidRPr="00312479" w:rsidRDefault="00670BC7" w:rsidP="00776598">
            <w:pPr>
              <w:pStyle w:val="TableText"/>
            </w:pPr>
            <w:r w:rsidRPr="00312479">
              <w:t>Samoa</w:t>
            </w:r>
          </w:p>
        </w:tc>
        <w:tc>
          <w:tcPr>
            <w:tcW w:w="4364" w:type="pct"/>
          </w:tcPr>
          <w:p w:rsidR="00670BC7" w:rsidRPr="00312479" w:rsidRDefault="00211C60" w:rsidP="00C5750C">
            <w:pPr>
              <w:pStyle w:val="TableText"/>
            </w:pPr>
            <w:r>
              <w:t>Ai</w:t>
            </w:r>
            <w:r w:rsidRPr="003D7E2F">
              <w:t>d progr</w:t>
            </w:r>
            <w:r>
              <w:t>am performance reports</w:t>
            </w:r>
            <w:r w:rsidRPr="00312479">
              <w:t xml:space="preserve"> </w:t>
            </w:r>
            <w:r w:rsidR="00670BC7" w:rsidRPr="00312479">
              <w:t xml:space="preserve">implicitly refer to dissatisfaction with the limitations of project aid </w:t>
            </w:r>
            <w:r w:rsidR="00B826D1">
              <w:t xml:space="preserve">within </w:t>
            </w:r>
            <w:r w:rsidR="00670BC7" w:rsidRPr="00312479">
              <w:t xml:space="preserve">the </w:t>
            </w:r>
            <w:r>
              <w:t xml:space="preserve">Samoa </w:t>
            </w:r>
            <w:r w:rsidR="00670BC7" w:rsidRPr="00312479">
              <w:t>Go</w:t>
            </w:r>
            <w:r>
              <w:t xml:space="preserve">vernment </w:t>
            </w:r>
            <w:r w:rsidR="00CA24DF">
              <w:t xml:space="preserve">and </w:t>
            </w:r>
            <w:r w:rsidR="00B826D1">
              <w:t xml:space="preserve">among </w:t>
            </w:r>
            <w:r>
              <w:t>donors,</w:t>
            </w:r>
            <w:r w:rsidR="00670BC7" w:rsidRPr="00312479">
              <w:t xml:space="preserve"> the </w:t>
            </w:r>
            <w:r>
              <w:t xml:space="preserve">Government </w:t>
            </w:r>
            <w:r w:rsidR="00670BC7" w:rsidRPr="00312479">
              <w:t xml:space="preserve">expectation to use a </w:t>
            </w:r>
            <w:proofErr w:type="spellStart"/>
            <w:r w:rsidR="00670BC7" w:rsidRPr="00312479">
              <w:t>SWAp</w:t>
            </w:r>
            <w:proofErr w:type="spellEnd"/>
            <w:r w:rsidR="00670BC7" w:rsidRPr="00312479">
              <w:t xml:space="preserve"> and move towards </w:t>
            </w:r>
            <w:r>
              <w:t>sector budget support</w:t>
            </w:r>
            <w:r w:rsidR="00C5750C" w:rsidRPr="00312479">
              <w:t xml:space="preserve"> incrementally</w:t>
            </w:r>
            <w:r w:rsidR="00670BC7" w:rsidRPr="00312479">
              <w:t xml:space="preserve">, </w:t>
            </w:r>
            <w:r w:rsidR="00B826D1">
              <w:t xml:space="preserve">and that </w:t>
            </w:r>
            <w:r w:rsidR="00670BC7" w:rsidRPr="00312479">
              <w:t>pool</w:t>
            </w:r>
            <w:r>
              <w:t>ed</w:t>
            </w:r>
            <w:r w:rsidR="00670BC7" w:rsidRPr="00312479">
              <w:t xml:space="preserve"> funding </w:t>
            </w:r>
            <w:r w:rsidR="00B826D1">
              <w:t xml:space="preserve">was </w:t>
            </w:r>
            <w:r w:rsidR="00670BC7" w:rsidRPr="00312479">
              <w:t>seen as a step in the right direction</w:t>
            </w:r>
            <w:r w:rsidR="000E1CFA">
              <w:t xml:space="preserve">. </w:t>
            </w:r>
            <w:r w:rsidR="00670BC7" w:rsidRPr="00312479">
              <w:t xml:space="preserve">The context was the renewed focus on aid effectiveness by </w:t>
            </w:r>
            <w:r w:rsidR="00B55651">
              <w:t>the Australian aid program</w:t>
            </w:r>
            <w:r w:rsidR="00B826D1">
              <w:t>,</w:t>
            </w:r>
            <w:r w:rsidR="00670BC7" w:rsidRPr="00312479">
              <w:t xml:space="preserve"> in </w:t>
            </w:r>
            <w:r w:rsidR="00B826D1">
              <w:t xml:space="preserve">line </w:t>
            </w:r>
            <w:r w:rsidR="00670BC7" w:rsidRPr="00312479">
              <w:t xml:space="preserve">with the international development community. </w:t>
            </w:r>
            <w:r w:rsidR="00670BC7">
              <w:t xml:space="preserve">This was complemented by </w:t>
            </w:r>
            <w:r w:rsidR="00B826D1">
              <w:t xml:space="preserve">a very proactive </w:t>
            </w:r>
            <w:r w:rsidR="00670BC7">
              <w:t>Samoan Aid Coordination Unit in developing the Pacific Aid Effectiveness Principles and calling for greater h</w:t>
            </w:r>
            <w:r w:rsidR="008606D1">
              <w:t>armonis</w:t>
            </w:r>
            <w:r w:rsidR="00670BC7">
              <w:t xml:space="preserve">ation and aid coordination. </w:t>
            </w:r>
            <w:r w:rsidR="00B826D1">
              <w:t xml:space="preserve">Further, </w:t>
            </w:r>
            <w:r w:rsidR="00670BC7">
              <w:t xml:space="preserve">Samoa already had </w:t>
            </w:r>
            <w:proofErr w:type="spellStart"/>
            <w:r w:rsidR="00670BC7">
              <w:t>SWAps</w:t>
            </w:r>
            <w:proofErr w:type="spellEnd"/>
            <w:r w:rsidR="00670BC7">
              <w:t xml:space="preserve"> underway in both the water and education sectors</w:t>
            </w:r>
            <w:r w:rsidR="0082586C">
              <w:t>.</w:t>
            </w:r>
            <w:r w:rsidR="0082586C">
              <w:rPr>
                <w:rStyle w:val="FootnoteReference"/>
              </w:rPr>
              <w:footnoteReference w:id="26"/>
            </w:r>
          </w:p>
        </w:tc>
      </w:tr>
      <w:tr w:rsidR="00670BC7" w:rsidRPr="00312479" w:rsidTr="00776598">
        <w:tc>
          <w:tcPr>
            <w:tcW w:w="636" w:type="pct"/>
          </w:tcPr>
          <w:p w:rsidR="00670BC7" w:rsidRPr="00312479" w:rsidRDefault="00670BC7" w:rsidP="00776598">
            <w:pPr>
              <w:pStyle w:val="TableText"/>
            </w:pPr>
            <w:r w:rsidRPr="00312479">
              <w:t>Solomon Islands</w:t>
            </w:r>
          </w:p>
        </w:tc>
        <w:tc>
          <w:tcPr>
            <w:tcW w:w="4364" w:type="pct"/>
          </w:tcPr>
          <w:p w:rsidR="00670BC7" w:rsidRPr="00312479" w:rsidRDefault="00670BC7" w:rsidP="005A2CD6">
            <w:pPr>
              <w:pStyle w:val="TableText"/>
            </w:pPr>
            <w:r w:rsidRPr="00312479">
              <w:t xml:space="preserve">The National Health Strategic Plan (2006-10) outlined the intention to adopt a </w:t>
            </w:r>
            <w:proofErr w:type="spellStart"/>
            <w:r w:rsidRPr="00312479">
              <w:t>SWAp</w:t>
            </w:r>
            <w:proofErr w:type="spellEnd"/>
            <w:r w:rsidRPr="00312479">
              <w:t xml:space="preserve">. This was in line with the </w:t>
            </w:r>
            <w:r w:rsidR="008606D1">
              <w:t xml:space="preserve">policy </w:t>
            </w:r>
            <w:r w:rsidRPr="00312479">
              <w:t xml:space="preserve">direction </w:t>
            </w:r>
            <w:r w:rsidR="008606D1">
              <w:t>the</w:t>
            </w:r>
            <w:r w:rsidRPr="00312479">
              <w:t xml:space="preserve"> Au</w:t>
            </w:r>
            <w:r w:rsidR="008606D1">
              <w:t xml:space="preserve">stralian aid program </w:t>
            </w:r>
            <w:r w:rsidRPr="00312479">
              <w:t>and the World Bank w</w:t>
            </w:r>
            <w:r w:rsidR="008606D1">
              <w:t>ere</w:t>
            </w:r>
            <w:r w:rsidRPr="00312479">
              <w:t xml:space="preserve"> </w:t>
            </w:r>
            <w:r w:rsidR="008606D1">
              <w:t>taking</w:t>
            </w:r>
            <w:r w:rsidR="000E1CFA">
              <w:t xml:space="preserve">. </w:t>
            </w:r>
            <w:r w:rsidR="005A4230">
              <w:t xml:space="preserve"> </w:t>
            </w:r>
            <w:r w:rsidR="005A4230" w:rsidRPr="00312479">
              <w:t xml:space="preserve">In 2008 </w:t>
            </w:r>
            <w:r w:rsidR="005A4230">
              <w:t>the Australian aid program</w:t>
            </w:r>
            <w:r w:rsidR="005A4230" w:rsidRPr="00312479">
              <w:t xml:space="preserve"> policies enabled the use of pool</w:t>
            </w:r>
            <w:r w:rsidR="005A4230">
              <w:t>ed</w:t>
            </w:r>
            <w:r w:rsidR="005A4230" w:rsidRPr="00312479">
              <w:t xml:space="preserve"> funds and </w:t>
            </w:r>
            <w:r w:rsidR="005A4230">
              <w:t>sector budget support</w:t>
            </w:r>
            <w:r w:rsidR="005A4230" w:rsidRPr="00312479">
              <w:t xml:space="preserve"> where circumstances allowed</w:t>
            </w:r>
            <w:r w:rsidR="005A4230">
              <w:t xml:space="preserve">, and for the first time support was provided through sector budget support. </w:t>
            </w:r>
            <w:r w:rsidR="005A2CD6">
              <w:t xml:space="preserve"> </w:t>
            </w:r>
          </w:p>
        </w:tc>
      </w:tr>
    </w:tbl>
    <w:p w:rsidR="00670BC7" w:rsidRPr="008771C7" w:rsidRDefault="00213696" w:rsidP="008771C7">
      <w:pPr>
        <w:pStyle w:val="Heading2"/>
      </w:pPr>
      <w:bookmarkStart w:id="23" w:name="_Toc394224878"/>
      <w:bookmarkStart w:id="24" w:name="_Toc403403685"/>
      <w:r>
        <w:lastRenderedPageBreak/>
        <w:t>2</w:t>
      </w:r>
      <w:r w:rsidR="008771C7">
        <w:t>.3</w:t>
      </w:r>
      <w:r w:rsidR="008771C7">
        <w:tab/>
      </w:r>
      <w:r w:rsidR="009835FD">
        <w:t xml:space="preserve">How was </w:t>
      </w:r>
      <w:r w:rsidR="00670BC7" w:rsidRPr="008771C7">
        <w:t xml:space="preserve">analytic work </w:t>
      </w:r>
      <w:bookmarkEnd w:id="23"/>
      <w:r w:rsidR="009835FD">
        <w:t>used?</w:t>
      </w:r>
      <w:bookmarkEnd w:id="24"/>
    </w:p>
    <w:p w:rsidR="00670BC7" w:rsidRPr="00197C5B" w:rsidRDefault="00CF14D2" w:rsidP="008771C7">
      <w:pPr>
        <w:pStyle w:val="NormalBeforeBullet"/>
      </w:pPr>
      <w:r>
        <w:t xml:space="preserve">Our observations are </w:t>
      </w:r>
      <w:r w:rsidR="008606D1">
        <w:t xml:space="preserve">mainly based from publicly available documents </w:t>
      </w:r>
      <w:r>
        <w:t xml:space="preserve">and </w:t>
      </w:r>
      <w:r w:rsidR="00670BC7">
        <w:t xml:space="preserve">should </w:t>
      </w:r>
      <w:r w:rsidR="0083063E">
        <w:t>b</w:t>
      </w:r>
      <w:r w:rsidR="00670BC7">
        <w:t>e interpreted carefully in the absence of deeper analysis at country level</w:t>
      </w:r>
      <w:r>
        <w:t>. We found that</w:t>
      </w:r>
      <w:r w:rsidR="008A2B3F" w:rsidRPr="008A2B3F">
        <w:t xml:space="preserve"> </w:t>
      </w:r>
      <w:r w:rsidR="008A2B3F">
        <w:t xml:space="preserve">the </w:t>
      </w:r>
      <w:r w:rsidR="008A2B3F" w:rsidRPr="00086DF0">
        <w:t>Australia</w:t>
      </w:r>
      <w:r w:rsidR="008A2B3F">
        <w:t>n aid program</w:t>
      </w:r>
      <w:r>
        <w:t>:</w:t>
      </w:r>
      <w:r w:rsidR="00E43269">
        <w:t xml:space="preserve"> </w:t>
      </w:r>
    </w:p>
    <w:p w:rsidR="00670BC7" w:rsidRPr="004A30E9" w:rsidRDefault="008A2B3F" w:rsidP="00456255">
      <w:pPr>
        <w:pStyle w:val="Bullet"/>
      </w:pPr>
      <w:r w:rsidRPr="004A30E9">
        <w:t>I</w:t>
      </w:r>
      <w:r w:rsidR="00670BC7" w:rsidRPr="004A30E9">
        <w:t xml:space="preserve">nstigated and commissioned a considerable amount of analysis </w:t>
      </w:r>
      <w:r w:rsidR="006E4B91">
        <w:t xml:space="preserve">about the </w:t>
      </w:r>
      <w:proofErr w:type="spellStart"/>
      <w:r w:rsidR="006E4B91">
        <w:t>SWAp</w:t>
      </w:r>
      <w:proofErr w:type="spellEnd"/>
      <w:r w:rsidR="006E4B91">
        <w:t xml:space="preserve"> and/or progress with the national health plans more generally </w:t>
      </w:r>
      <w:r w:rsidR="00670BC7" w:rsidRPr="004A30E9">
        <w:t xml:space="preserve">in </w:t>
      </w:r>
      <w:r w:rsidR="00670BC7" w:rsidRPr="004A30E9">
        <w:rPr>
          <w:b/>
          <w:i/>
        </w:rPr>
        <w:t xml:space="preserve">Samoa, Solomon Islands and </w:t>
      </w:r>
      <w:r w:rsidR="00460BF5" w:rsidRPr="004A30E9">
        <w:rPr>
          <w:b/>
          <w:i/>
        </w:rPr>
        <w:t>P</w:t>
      </w:r>
      <w:r w:rsidR="00DF1DD1" w:rsidRPr="004A30E9">
        <w:rPr>
          <w:b/>
          <w:i/>
        </w:rPr>
        <w:t>apua New Guinea</w:t>
      </w:r>
      <w:r w:rsidR="00670BC7" w:rsidRPr="004A30E9">
        <w:t>, where it is a key and/or the largest donor in terms of the volume of aid pledged</w:t>
      </w:r>
      <w:r w:rsidRPr="004A30E9">
        <w:t xml:space="preserve">, and where it </w:t>
      </w:r>
      <w:r w:rsidR="00670BC7" w:rsidRPr="004A30E9">
        <w:t>led other donors and often the policy dialogue</w:t>
      </w:r>
      <w:r w:rsidR="000E1CFA" w:rsidRPr="004A30E9">
        <w:t xml:space="preserve">. </w:t>
      </w:r>
      <w:r w:rsidRPr="004A30E9">
        <w:t xml:space="preserve">In these countries it </w:t>
      </w:r>
      <w:r w:rsidR="00670BC7" w:rsidRPr="004A30E9">
        <w:t>used an inclusive approach to aid delivery, trying to involve other donors</w:t>
      </w:r>
      <w:r w:rsidR="00E43269" w:rsidRPr="004A30E9">
        <w:t>,</w:t>
      </w:r>
      <w:r w:rsidR="00670BC7" w:rsidRPr="004A30E9">
        <w:t xml:space="preserve"> to achieve greater leverage</w:t>
      </w:r>
      <w:r w:rsidR="006E4B91">
        <w:t xml:space="preserve"> with the government</w:t>
      </w:r>
      <w:r w:rsidR="00670BC7" w:rsidRPr="004A30E9">
        <w:t xml:space="preserve"> and </w:t>
      </w:r>
      <w:r w:rsidR="006E4B91">
        <w:t xml:space="preserve">to </w:t>
      </w:r>
      <w:r w:rsidR="00670BC7" w:rsidRPr="004A30E9">
        <w:t xml:space="preserve">balance </w:t>
      </w:r>
      <w:r w:rsidR="006E4B91">
        <w:t xml:space="preserve">the </w:t>
      </w:r>
      <w:r w:rsidR="00670BC7" w:rsidRPr="004A30E9">
        <w:t>risks</w:t>
      </w:r>
      <w:r w:rsidR="006E4B91">
        <w:t xml:space="preserve"> linked to aid delivery</w:t>
      </w:r>
      <w:r w:rsidR="000E1CFA" w:rsidRPr="004A30E9">
        <w:t xml:space="preserve">. </w:t>
      </w:r>
    </w:p>
    <w:p w:rsidR="00670BC7" w:rsidRPr="004A30E9" w:rsidRDefault="008A2B3F" w:rsidP="00456255">
      <w:pPr>
        <w:pStyle w:val="Bullet"/>
      </w:pPr>
      <w:r w:rsidRPr="004A30E9">
        <w:t>A key donor i</w:t>
      </w:r>
      <w:r w:rsidR="00670BC7" w:rsidRPr="004A30E9">
        <w:t xml:space="preserve">n </w:t>
      </w:r>
      <w:r w:rsidR="00670BC7" w:rsidRPr="004A30E9">
        <w:rPr>
          <w:b/>
          <w:i/>
        </w:rPr>
        <w:t>Cambodia</w:t>
      </w:r>
      <w:r w:rsidR="00670BC7" w:rsidRPr="004A30E9">
        <w:t xml:space="preserve">, </w:t>
      </w:r>
      <w:r w:rsidRPr="004A30E9">
        <w:t>i</w:t>
      </w:r>
      <w:r w:rsidR="00E43269" w:rsidRPr="004A30E9">
        <w:t>t</w:t>
      </w:r>
      <w:r w:rsidR="00670BC7" w:rsidRPr="004A30E9">
        <w:t xml:space="preserve"> delivered the largest volume of aid after </w:t>
      </w:r>
      <w:r w:rsidR="00E43269" w:rsidRPr="004A30E9">
        <w:t>the U</w:t>
      </w:r>
      <w:r w:rsidR="00E64C27" w:rsidRPr="004A30E9">
        <w:t>nited Kingdom</w:t>
      </w:r>
      <w:r w:rsidR="00E43269" w:rsidRPr="004A30E9">
        <w:t xml:space="preserve">’s </w:t>
      </w:r>
      <w:r w:rsidR="00670BC7" w:rsidRPr="004A30E9">
        <w:t>departure from the health sector</w:t>
      </w:r>
      <w:r w:rsidR="00E43269" w:rsidRPr="004A30E9">
        <w:t xml:space="preserve">, and </w:t>
      </w:r>
      <w:r w:rsidR="00670BC7" w:rsidRPr="004A30E9">
        <w:t xml:space="preserve">commissioned analytic work on the effectiveness of the </w:t>
      </w:r>
      <w:proofErr w:type="spellStart"/>
      <w:r w:rsidR="00670BC7" w:rsidRPr="004A30E9">
        <w:t>SWAp</w:t>
      </w:r>
      <w:proofErr w:type="spellEnd"/>
      <w:r w:rsidR="00670BC7" w:rsidRPr="004A30E9">
        <w:t xml:space="preserve"> </w:t>
      </w:r>
      <w:r w:rsidR="006E4B91">
        <w:t>and</w:t>
      </w:r>
      <w:r w:rsidR="007727A7">
        <w:t xml:space="preserve"> its sector program. </w:t>
      </w:r>
      <w:r w:rsidR="00670BC7" w:rsidRPr="004A30E9">
        <w:t xml:space="preserve">Alongside </w:t>
      </w:r>
      <w:r w:rsidR="00E43269" w:rsidRPr="004A30E9">
        <w:t xml:space="preserve">the other main donors (the </w:t>
      </w:r>
      <w:r w:rsidR="00E64C27" w:rsidRPr="004A30E9">
        <w:t>United Kingdom</w:t>
      </w:r>
      <w:r w:rsidR="00E43269" w:rsidRPr="004A30E9">
        <w:t xml:space="preserve"> </w:t>
      </w:r>
      <w:r w:rsidR="00670BC7" w:rsidRPr="004A30E9">
        <w:t>and the World Bank</w:t>
      </w:r>
      <w:r w:rsidR="00E43269" w:rsidRPr="004A30E9">
        <w:t xml:space="preserve">) </w:t>
      </w:r>
      <w:r w:rsidR="00670BC7" w:rsidRPr="004A30E9">
        <w:t>it tried to lead other d</w:t>
      </w:r>
      <w:r w:rsidR="00E43269" w:rsidRPr="004A30E9">
        <w:t>evelopment partners</w:t>
      </w:r>
      <w:r w:rsidR="00670BC7" w:rsidRPr="004A30E9">
        <w:t xml:space="preserve"> and often led the policy dialogue</w:t>
      </w:r>
      <w:r w:rsidR="000E1CFA" w:rsidRPr="004A30E9">
        <w:t xml:space="preserve">. </w:t>
      </w:r>
    </w:p>
    <w:p w:rsidR="0083063E" w:rsidRPr="004A30E9" w:rsidRDefault="00670BC7" w:rsidP="00456255">
      <w:pPr>
        <w:pStyle w:val="BulletLast"/>
      </w:pPr>
      <w:r w:rsidRPr="004A30E9">
        <w:t xml:space="preserve">In </w:t>
      </w:r>
      <w:r w:rsidRPr="004A30E9">
        <w:rPr>
          <w:b/>
          <w:i/>
        </w:rPr>
        <w:t>Nepal</w:t>
      </w:r>
      <w:r w:rsidRPr="004A30E9">
        <w:rPr>
          <w:i/>
        </w:rPr>
        <w:t xml:space="preserve"> </w:t>
      </w:r>
      <w:r w:rsidRPr="004A30E9">
        <w:t xml:space="preserve">and </w:t>
      </w:r>
      <w:r w:rsidRPr="004A30E9">
        <w:rPr>
          <w:b/>
          <w:i/>
        </w:rPr>
        <w:t>Bangladesh</w:t>
      </w:r>
      <w:r w:rsidR="00E43269" w:rsidRPr="004A30E9">
        <w:rPr>
          <w:i/>
        </w:rPr>
        <w:t>,</w:t>
      </w:r>
      <w:r w:rsidRPr="004A30E9">
        <w:t xml:space="preserve"> </w:t>
      </w:r>
      <w:r w:rsidR="00E43269" w:rsidRPr="004A30E9">
        <w:t xml:space="preserve">where </w:t>
      </w:r>
      <w:proofErr w:type="spellStart"/>
      <w:r w:rsidR="00E43269" w:rsidRPr="004A30E9">
        <w:t>SWAps</w:t>
      </w:r>
      <w:proofErr w:type="spellEnd"/>
      <w:r w:rsidR="00E43269" w:rsidRPr="004A30E9">
        <w:t xml:space="preserve"> are well established, </w:t>
      </w:r>
      <w:r w:rsidR="008A2B3F" w:rsidRPr="004A30E9">
        <w:t xml:space="preserve">it </w:t>
      </w:r>
      <w:r w:rsidRPr="004A30E9">
        <w:t>did not commission much analytic work because other</w:t>
      </w:r>
      <w:r w:rsidR="008A2B3F" w:rsidRPr="004A30E9">
        <w:t>s</w:t>
      </w:r>
      <w:r w:rsidRPr="004A30E9">
        <w:t xml:space="preserve"> had </w:t>
      </w:r>
      <w:r w:rsidR="008A2B3F" w:rsidRPr="004A30E9">
        <w:t xml:space="preserve">done </w:t>
      </w:r>
      <w:r w:rsidRPr="004A30E9">
        <w:t>it in the past</w:t>
      </w:r>
      <w:r w:rsidR="007727A7">
        <w:t xml:space="preserve"> and used instead the work commissioned by the donors supporting the </w:t>
      </w:r>
      <w:proofErr w:type="spellStart"/>
      <w:r w:rsidR="007727A7">
        <w:t>SWAp</w:t>
      </w:r>
      <w:proofErr w:type="spellEnd"/>
      <w:r w:rsidRPr="004A30E9">
        <w:t xml:space="preserve">. </w:t>
      </w:r>
    </w:p>
    <w:p w:rsidR="00670BC7" w:rsidRPr="00197C5B" w:rsidRDefault="00670BC7" w:rsidP="00456255">
      <w:pPr>
        <w:pStyle w:val="BulletLast"/>
        <w:numPr>
          <w:ilvl w:val="0"/>
          <w:numId w:val="0"/>
        </w:numPr>
      </w:pPr>
      <w:r w:rsidRPr="004A30E9">
        <w:t xml:space="preserve">In all cases </w:t>
      </w:r>
      <w:r w:rsidR="00B55651" w:rsidRPr="004A30E9">
        <w:t>the Australian aid progra</w:t>
      </w:r>
      <w:r w:rsidR="003615C8" w:rsidRPr="004A30E9">
        <w:t>m</w:t>
      </w:r>
      <w:r w:rsidRPr="004A30E9">
        <w:t xml:space="preserve"> used its partnerships with national and international universities and networks</w:t>
      </w:r>
      <w:r w:rsidR="00B1712A" w:rsidRPr="004A30E9">
        <w:t xml:space="preserve">, </w:t>
      </w:r>
      <w:r w:rsidR="0088584F" w:rsidRPr="004A30E9">
        <w:t xml:space="preserve">and </w:t>
      </w:r>
      <w:r w:rsidR="004E18AC" w:rsidRPr="004A30E9">
        <w:t xml:space="preserve">the </w:t>
      </w:r>
      <w:r w:rsidR="00C62400" w:rsidRPr="004A30E9">
        <w:t>Health Resource Facility for Australia’s Aid Program</w:t>
      </w:r>
      <w:r w:rsidR="00B1712A" w:rsidRPr="004A30E9">
        <w:t>,</w:t>
      </w:r>
      <w:r w:rsidRPr="004A30E9">
        <w:t xml:space="preserve"> to finance analytic work</w:t>
      </w:r>
      <w:r w:rsidR="0088584F" w:rsidRPr="004A30E9">
        <w:t>.</w:t>
      </w:r>
      <w:r w:rsidR="008A2B3F" w:rsidRPr="004A30E9">
        <w:t xml:space="preserve"> </w:t>
      </w:r>
      <w:r w:rsidRPr="004A30E9">
        <w:t>For</w:t>
      </w:r>
      <w:r w:rsidRPr="00197C5B">
        <w:t xml:space="preserve"> example, it co-</w:t>
      </w:r>
      <w:proofErr w:type="spellStart"/>
      <w:r w:rsidRPr="00197C5B">
        <w:t>funded</w:t>
      </w:r>
      <w:proofErr w:type="spellEnd"/>
      <w:r w:rsidRPr="00197C5B">
        <w:t xml:space="preserve"> the Joint Learning Initiative that </w:t>
      </w:r>
      <w:r w:rsidR="004E18AC">
        <w:t>produced the report</w:t>
      </w:r>
      <w:r w:rsidRPr="00197C5B">
        <w:t xml:space="preserve"> on the health </w:t>
      </w:r>
      <w:proofErr w:type="spellStart"/>
      <w:r w:rsidRPr="00197C5B">
        <w:t>SWAps</w:t>
      </w:r>
      <w:proofErr w:type="spellEnd"/>
      <w:r w:rsidRPr="00197C5B">
        <w:t xml:space="preserve"> in </w:t>
      </w:r>
      <w:r w:rsidR="0088584F">
        <w:t xml:space="preserve">the Pacific </w:t>
      </w:r>
      <w:r w:rsidRPr="00197C5B">
        <w:t xml:space="preserve">and the </w:t>
      </w:r>
      <w:r w:rsidR="008A2B3F">
        <w:t>Cambodia</w:t>
      </w:r>
      <w:r w:rsidRPr="00197C5B">
        <w:t xml:space="preserve"> assessment</w:t>
      </w:r>
      <w:r w:rsidR="000E1CFA">
        <w:t xml:space="preserve">. </w:t>
      </w:r>
      <w:r w:rsidR="00B1712A">
        <w:t xml:space="preserve">It </w:t>
      </w:r>
      <w:r w:rsidR="008A2B3F">
        <w:t xml:space="preserve">directly </w:t>
      </w:r>
      <w:r w:rsidRPr="00197C5B">
        <w:t>commission</w:t>
      </w:r>
      <w:r w:rsidR="008A2B3F">
        <w:t>ed</w:t>
      </w:r>
      <w:r w:rsidRPr="00197C5B">
        <w:t xml:space="preserve"> </w:t>
      </w:r>
      <w:r w:rsidR="004E18AC">
        <w:t xml:space="preserve">other </w:t>
      </w:r>
      <w:r w:rsidR="00502659">
        <w:t xml:space="preserve">reports which </w:t>
      </w:r>
      <w:r w:rsidRPr="00197C5B">
        <w:t xml:space="preserve">are </w:t>
      </w:r>
      <w:proofErr w:type="gramStart"/>
      <w:r w:rsidRPr="00197C5B">
        <w:t>key</w:t>
      </w:r>
      <w:proofErr w:type="gramEnd"/>
      <w:r w:rsidRPr="00197C5B">
        <w:t xml:space="preserve"> references for </w:t>
      </w:r>
      <w:r w:rsidR="008A2B3F">
        <w:t>the Pacific countries</w:t>
      </w:r>
      <w:r w:rsidR="005841F1">
        <w:t xml:space="preserve"> (</w:t>
      </w:r>
      <w:r w:rsidR="004E18AC">
        <w:t xml:space="preserve">see </w:t>
      </w:r>
      <w:r w:rsidR="005841F1" w:rsidRPr="0088584F">
        <w:t>Table 2, 1.</w:t>
      </w:r>
      <w:r w:rsidR="003615C8" w:rsidRPr="0088584F">
        <w:t>2</w:t>
      </w:r>
      <w:r w:rsidR="005841F1" w:rsidRPr="0088584F">
        <w:t>)</w:t>
      </w:r>
      <w:r w:rsidR="008A2B3F" w:rsidRPr="0088584F">
        <w:t>.</w:t>
      </w:r>
      <w:r w:rsidR="008A2B3F">
        <w:t xml:space="preserve"> </w:t>
      </w:r>
    </w:p>
    <w:p w:rsidR="00670BC7" w:rsidRPr="008771C7" w:rsidRDefault="00213696" w:rsidP="008771C7">
      <w:pPr>
        <w:pStyle w:val="Heading2"/>
      </w:pPr>
      <w:bookmarkStart w:id="25" w:name="_Toc394224879"/>
      <w:bookmarkStart w:id="26" w:name="_Toc403403686"/>
      <w:r>
        <w:t>2.4</w:t>
      </w:r>
      <w:r w:rsidR="008771C7">
        <w:tab/>
      </w:r>
      <w:r w:rsidR="00670BC7" w:rsidRPr="008771C7">
        <w:t>How do practices compare with other donors?</w:t>
      </w:r>
      <w:bookmarkEnd w:id="25"/>
      <w:bookmarkEnd w:id="26"/>
    </w:p>
    <w:p w:rsidR="00670BC7" w:rsidRDefault="00502659" w:rsidP="008771C7">
      <w:pPr>
        <w:rPr>
          <w:rStyle w:val="FootnoteReference"/>
        </w:rPr>
      </w:pPr>
      <w:r>
        <w:t xml:space="preserve">We looked at </w:t>
      </w:r>
      <w:r w:rsidRPr="00197C5B">
        <w:t xml:space="preserve">a limited number of documents </w:t>
      </w:r>
      <w:r w:rsidR="0088584F">
        <w:t xml:space="preserve">from </w:t>
      </w:r>
      <w:r>
        <w:t xml:space="preserve">the </w:t>
      </w:r>
      <w:r w:rsidR="00E64C27">
        <w:t>United Kingdom</w:t>
      </w:r>
      <w:r w:rsidR="009A319B">
        <w:t xml:space="preserve"> </w:t>
      </w:r>
      <w:r w:rsidRPr="00197C5B">
        <w:t xml:space="preserve">(a key partner </w:t>
      </w:r>
      <w:r>
        <w:t>in Cambodia, Nepal and Bangladesh)</w:t>
      </w:r>
      <w:r w:rsidRPr="00197C5B">
        <w:t xml:space="preserve"> and the World Bank (responsible for managing most trust fund arrangements supporting </w:t>
      </w:r>
      <w:proofErr w:type="spellStart"/>
      <w:r w:rsidRPr="00197C5B">
        <w:t>SWAps</w:t>
      </w:r>
      <w:proofErr w:type="spellEnd"/>
      <w:r w:rsidRPr="00197C5B">
        <w:t xml:space="preserve"> and for overseeing procu</w:t>
      </w:r>
      <w:r>
        <w:t>rement in several countries).</w:t>
      </w:r>
      <w:r w:rsidR="009A319B">
        <w:rPr>
          <w:rStyle w:val="FootnoteReference"/>
        </w:rPr>
        <w:footnoteReference w:id="27"/>
      </w:r>
      <w:r>
        <w:t xml:space="preserve"> We found that the </w:t>
      </w:r>
      <w:r w:rsidRPr="00197C5B">
        <w:t xml:space="preserve">approaches adopted by </w:t>
      </w:r>
      <w:r>
        <w:t xml:space="preserve">the </w:t>
      </w:r>
      <w:r w:rsidRPr="00197C5B">
        <w:t>Australia</w:t>
      </w:r>
      <w:r>
        <w:t>n aid program</w:t>
      </w:r>
      <w:r w:rsidRPr="00197C5B">
        <w:t xml:space="preserve"> </w:t>
      </w:r>
      <w:r w:rsidR="00670BC7" w:rsidRPr="00197C5B">
        <w:t>converge</w:t>
      </w:r>
      <w:r>
        <w:t>d with those of other donors,</w:t>
      </w:r>
      <w:r w:rsidR="000A01F0">
        <w:t xml:space="preserve"> and were </w:t>
      </w:r>
      <w:r w:rsidR="00670BC7" w:rsidRPr="00197C5B">
        <w:t>aimed at maximising leverage</w:t>
      </w:r>
      <w:r w:rsidR="007727A7">
        <w:t xml:space="preserve"> and </w:t>
      </w:r>
      <w:r w:rsidR="00670BC7" w:rsidRPr="00197C5B">
        <w:t xml:space="preserve">minimising </w:t>
      </w:r>
      <w:r w:rsidR="007727A7">
        <w:t xml:space="preserve">the </w:t>
      </w:r>
      <w:r w:rsidR="00670BC7" w:rsidRPr="00197C5B">
        <w:t xml:space="preserve">risks </w:t>
      </w:r>
      <w:r w:rsidR="007727A7">
        <w:t xml:space="preserve">to Australian aid and at </w:t>
      </w:r>
      <w:r w:rsidR="00670BC7" w:rsidRPr="00197C5B">
        <w:t xml:space="preserve">delivering </w:t>
      </w:r>
      <w:r w:rsidR="007727A7">
        <w:t xml:space="preserve">its health aid in </w:t>
      </w:r>
      <w:r w:rsidR="000A01F0">
        <w:t>accordance with the</w:t>
      </w:r>
      <w:r w:rsidR="00670BC7" w:rsidRPr="00197C5B">
        <w:t xml:space="preserve"> aid effectiveness principles</w:t>
      </w:r>
      <w:r w:rsidR="000E1CFA">
        <w:t xml:space="preserve">. </w:t>
      </w:r>
      <w:r w:rsidR="00AF24FA">
        <w:t>Australian a</w:t>
      </w:r>
      <w:r w:rsidR="00151F69">
        <w:t>nnual program performance reviews also</w:t>
      </w:r>
      <w:r w:rsidR="00670BC7" w:rsidRPr="00197C5B">
        <w:t xml:space="preserve"> point to </w:t>
      </w:r>
      <w:r w:rsidR="00AF24FA">
        <w:t xml:space="preserve">Australia’s </w:t>
      </w:r>
      <w:r w:rsidR="00670BC7" w:rsidRPr="00197C5B">
        <w:t>effective joint working and efforts to unify approaches in policy dialogue with the government and with other ‘like-minded’ donors.</w:t>
      </w:r>
      <w:r w:rsidR="00670BC7">
        <w:t xml:space="preserve"> Other documents however mention tensions and ineffective</w:t>
      </w:r>
      <w:r w:rsidR="00670BC7" w:rsidRPr="00197C5B">
        <w:t xml:space="preserve"> </w:t>
      </w:r>
      <w:r w:rsidR="00670BC7">
        <w:t xml:space="preserve">working within </w:t>
      </w:r>
      <w:proofErr w:type="spellStart"/>
      <w:r w:rsidR="00670BC7">
        <w:t>SWAp</w:t>
      </w:r>
      <w:proofErr w:type="spellEnd"/>
      <w:r w:rsidR="00670BC7">
        <w:t xml:space="preserve"> donors</w:t>
      </w:r>
      <w:r w:rsidR="00151F69">
        <w:t xml:space="preserve"> (e.g. </w:t>
      </w:r>
      <w:r w:rsidR="00670BC7">
        <w:t>in Samoa</w:t>
      </w:r>
      <w:r w:rsidR="00151F69">
        <w:t>)</w:t>
      </w:r>
      <w:r w:rsidR="00670BC7">
        <w:t xml:space="preserve">, </w:t>
      </w:r>
      <w:r w:rsidR="00151F69">
        <w:t xml:space="preserve">and </w:t>
      </w:r>
      <w:r w:rsidR="00670BC7">
        <w:t>tensions emanating from the perceived hierarchy between pooling and non-pooling partners.</w:t>
      </w:r>
      <w:r w:rsidR="00E0506D">
        <w:rPr>
          <w:rStyle w:val="FootnoteReference"/>
        </w:rPr>
        <w:footnoteReference w:id="28"/>
      </w:r>
      <w:r w:rsidR="00B1712A">
        <w:rPr>
          <w:rStyle w:val="FootnoteReference"/>
        </w:rPr>
        <w:t xml:space="preserve"> </w:t>
      </w:r>
    </w:p>
    <w:p w:rsidR="00670BC7" w:rsidRDefault="00B1712A" w:rsidP="00670BC7">
      <w:r>
        <w:t xml:space="preserve">Similarly with other donors, we found that although </w:t>
      </w:r>
      <w:r w:rsidR="00CF24CE">
        <w:t xml:space="preserve">the Australian aid program </w:t>
      </w:r>
      <w:r>
        <w:t>provided c</w:t>
      </w:r>
      <w:r w:rsidR="00670BC7" w:rsidRPr="00197C5B">
        <w:t xml:space="preserve">onsiderable </w:t>
      </w:r>
      <w:r w:rsidRPr="00197C5B">
        <w:t xml:space="preserve">support </w:t>
      </w:r>
      <w:r>
        <w:t xml:space="preserve">to </w:t>
      </w:r>
      <w:r w:rsidRPr="00197C5B">
        <w:t xml:space="preserve">country offices </w:t>
      </w:r>
      <w:r>
        <w:t xml:space="preserve">(in the form of </w:t>
      </w:r>
      <w:r w:rsidR="00670BC7" w:rsidRPr="00197C5B">
        <w:t>analytic work and policy guidance</w:t>
      </w:r>
      <w:r>
        <w:t>)</w:t>
      </w:r>
      <w:proofErr w:type="gramStart"/>
      <w:r w:rsidR="00670BC7" w:rsidRPr="00197C5B">
        <w:t>,</w:t>
      </w:r>
      <w:proofErr w:type="gramEnd"/>
      <w:r w:rsidR="00670BC7" w:rsidRPr="00197C5B">
        <w:t xml:space="preserve"> </w:t>
      </w:r>
      <w:r>
        <w:t>the</w:t>
      </w:r>
      <w:r w:rsidR="00AF24FA">
        <w:t>y</w:t>
      </w:r>
      <w:r>
        <w:t xml:space="preserve"> </w:t>
      </w:r>
      <w:r w:rsidR="00670BC7" w:rsidRPr="00197C5B">
        <w:t>had to learn by doing, adapting aid policies and delivery strategies to the new realities</w:t>
      </w:r>
      <w:r w:rsidR="000E1CFA">
        <w:t xml:space="preserve">. </w:t>
      </w:r>
      <w:r w:rsidR="00670BC7" w:rsidRPr="00197C5B">
        <w:t xml:space="preserve">Comments about country offices working in a new </w:t>
      </w:r>
      <w:r w:rsidR="00E63248">
        <w:t xml:space="preserve">aid effectiveness </w:t>
      </w:r>
      <w:r w:rsidR="00670BC7" w:rsidRPr="00197C5B">
        <w:t xml:space="preserve">environment but using the </w:t>
      </w:r>
      <w:r w:rsidR="00E63248">
        <w:t xml:space="preserve">same aid management practices </w:t>
      </w:r>
      <w:r w:rsidR="00670BC7" w:rsidRPr="00197C5B">
        <w:t>linked to project aid are common in the literature</w:t>
      </w:r>
      <w:r>
        <w:t>.</w:t>
      </w:r>
      <w:r w:rsidR="00670BC7" w:rsidRPr="00197C5B">
        <w:rPr>
          <w:rStyle w:val="FootnoteReference"/>
        </w:rPr>
        <w:footnoteReference w:id="29"/>
      </w:r>
      <w:r>
        <w:t xml:space="preserve"> </w:t>
      </w:r>
      <w:r w:rsidR="00670BC7" w:rsidRPr="00197C5B">
        <w:t xml:space="preserve">Transaction costs to </w:t>
      </w:r>
      <w:r w:rsidR="00B55651">
        <w:t xml:space="preserve">the </w:t>
      </w:r>
      <w:r w:rsidR="00670BC7" w:rsidRPr="00197C5B">
        <w:t>country offices increased</w:t>
      </w:r>
      <w:r w:rsidR="00AF24FA">
        <w:t xml:space="preserve"> from </w:t>
      </w:r>
      <w:proofErr w:type="spellStart"/>
      <w:r w:rsidR="00AF24FA">
        <w:t>SWAps</w:t>
      </w:r>
      <w:proofErr w:type="spellEnd"/>
      <w:r w:rsidR="00B834B9">
        <w:t>.  T</w:t>
      </w:r>
      <w:r w:rsidR="00670BC7" w:rsidRPr="00197C5B">
        <w:t xml:space="preserve">he premise that </w:t>
      </w:r>
      <w:r w:rsidR="0088584F">
        <w:t xml:space="preserve">such </w:t>
      </w:r>
      <w:r w:rsidR="00670BC7" w:rsidRPr="00197C5B">
        <w:t xml:space="preserve">costs would be reduced </w:t>
      </w:r>
      <w:r w:rsidR="00670BC7">
        <w:t xml:space="preserve">did </w:t>
      </w:r>
      <w:r w:rsidR="00670BC7" w:rsidRPr="00197C5B">
        <w:t>not materialise</w:t>
      </w:r>
      <w:r>
        <w:t>,</w:t>
      </w:r>
      <w:r w:rsidRPr="00B1712A">
        <w:t xml:space="preserve"> </w:t>
      </w:r>
      <w:r>
        <w:t xml:space="preserve">as </w:t>
      </w:r>
      <w:r w:rsidRPr="00197C5B">
        <w:t>recognised in many documents</w:t>
      </w:r>
      <w:r>
        <w:t xml:space="preserve"> on experience with </w:t>
      </w:r>
      <w:proofErr w:type="spellStart"/>
      <w:r>
        <w:t>SWAps</w:t>
      </w:r>
      <w:proofErr w:type="spellEnd"/>
      <w:r>
        <w:t>.</w:t>
      </w:r>
      <w:r w:rsidR="00AF24FA">
        <w:t xml:space="preserve"> This is </w:t>
      </w:r>
      <w:r w:rsidR="00C3363C">
        <w:t xml:space="preserve">partly </w:t>
      </w:r>
      <w:r w:rsidR="00AF24FA">
        <w:t xml:space="preserve">because </w:t>
      </w:r>
      <w:r w:rsidR="00C3363C">
        <w:t xml:space="preserve">the premise that managing a </w:t>
      </w:r>
      <w:r w:rsidR="00C3363C">
        <w:lastRenderedPageBreak/>
        <w:t xml:space="preserve">single </w:t>
      </w:r>
      <w:proofErr w:type="spellStart"/>
      <w:r w:rsidR="00C3363C">
        <w:t>SWAp</w:t>
      </w:r>
      <w:proofErr w:type="spellEnd"/>
      <w:r w:rsidR="00C3363C">
        <w:t xml:space="preserve"> would impose fewer costs on donors than the management of several p</w:t>
      </w:r>
      <w:r w:rsidR="00EB6A10">
        <w:t xml:space="preserve">rojects that preceded the </w:t>
      </w:r>
      <w:proofErr w:type="spellStart"/>
      <w:r w:rsidR="00EB6A10">
        <w:t>SWAp</w:t>
      </w:r>
      <w:proofErr w:type="spellEnd"/>
      <w:r w:rsidR="00EB6A10">
        <w:t xml:space="preserve"> approach</w:t>
      </w:r>
      <w:r w:rsidR="00C3363C">
        <w:t xml:space="preserve"> did not take fully into account the complexities involved in developing new ways of working with the government and other donors, and the time and effort required to put in place a range of new processes and mechanisms to monitor and review the effectiveness of the </w:t>
      </w:r>
      <w:proofErr w:type="spellStart"/>
      <w:r w:rsidR="00C3363C">
        <w:t>SWAp</w:t>
      </w:r>
      <w:proofErr w:type="spellEnd"/>
      <w:r w:rsidR="00C3363C">
        <w:t xml:space="preserve"> and the health sector plan</w:t>
      </w:r>
      <w:r w:rsidR="00B834B9">
        <w:t xml:space="preserve"> that it supported</w:t>
      </w:r>
      <w:r w:rsidR="00C3363C">
        <w:t>.</w:t>
      </w:r>
      <w:r w:rsidR="00C3363C">
        <w:rPr>
          <w:rStyle w:val="CommentReference"/>
        </w:rPr>
        <w:t xml:space="preserve"> </w:t>
      </w:r>
      <w:r w:rsidR="00670BC7">
        <w:br w:type="page"/>
      </w:r>
    </w:p>
    <w:bookmarkStart w:id="27" w:name="_Toc403403687"/>
    <w:p w:rsidR="00670BC7" w:rsidRDefault="008771C7" w:rsidP="00AE0683">
      <w:pPr>
        <w:pStyle w:val="Heading1"/>
        <w:spacing w:after="840"/>
      </w:pPr>
      <w:r>
        <w:rPr>
          <w:noProof/>
        </w:rPr>
        <w:lastRenderedPageBreak/>
        <mc:AlternateContent>
          <mc:Choice Requires="wps">
            <w:drawing>
              <wp:anchor distT="0" distB="0" distL="114300" distR="114300" simplePos="0" relativeHeight="251698176" behindDoc="1" locked="0" layoutInCell="1" allowOverlap="1" wp14:anchorId="59095BDB" wp14:editId="5715C6C3">
                <wp:simplePos x="0" y="0"/>
                <wp:positionH relativeFrom="page">
                  <wp:align>left</wp:align>
                </wp:positionH>
                <wp:positionV relativeFrom="paragraph">
                  <wp:posOffset>-144145</wp:posOffset>
                </wp:positionV>
                <wp:extent cx="7610400" cy="1468800"/>
                <wp:effectExtent l="0" t="0" r="0" b="0"/>
                <wp:wrapNone/>
                <wp:docPr id="8" name="Rectangle 8"/>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0;margin-top:-11.35pt;width:599.25pt;height:115.65pt;z-index:-2516183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" fillcolor="#124486" stroked="f" strokeweight="2pt">
                <w10:wrap anchorx="page"/>
              </v:rect>
            </w:pict>
          </mc:Fallback>
        </mc:AlternateContent>
      </w:r>
      <w:r w:rsidR="008A2B3F">
        <w:rPr>
          <w:noProof/>
        </w:rPr>
        <w:t>3</w:t>
      </w:r>
      <w:r>
        <w:rPr>
          <w:noProof/>
        </w:rPr>
        <w:tab/>
      </w:r>
      <w:r w:rsidR="00C03EB2">
        <w:rPr>
          <w:noProof/>
        </w:rPr>
        <w:t>What is the evidence of e</w:t>
      </w:r>
      <w:proofErr w:type="spellStart"/>
      <w:r w:rsidRPr="00A45383">
        <w:t>ffectiveness</w:t>
      </w:r>
      <w:proofErr w:type="spellEnd"/>
      <w:r w:rsidR="00C03EB2">
        <w:t>?</w:t>
      </w:r>
      <w:bookmarkEnd w:id="27"/>
    </w:p>
    <w:p w:rsidR="00AE0683" w:rsidRPr="00AE0683" w:rsidRDefault="00AE0683" w:rsidP="00AE0683"/>
    <w:p w:rsidR="00BE5881" w:rsidRDefault="00670BC7" w:rsidP="008771C7">
      <w:r w:rsidRPr="00197C5B">
        <w:t xml:space="preserve">This </w:t>
      </w:r>
      <w:r w:rsidR="002B5A07">
        <w:t>section</w:t>
      </w:r>
      <w:r w:rsidRPr="00197C5B">
        <w:t xml:space="preserve"> </w:t>
      </w:r>
      <w:r w:rsidR="00C03EB2">
        <w:t xml:space="preserve">assesses the </w:t>
      </w:r>
      <w:r w:rsidRPr="00197C5B">
        <w:t xml:space="preserve">evidence </w:t>
      </w:r>
      <w:r>
        <w:t xml:space="preserve">on the effectiveness of </w:t>
      </w:r>
      <w:proofErr w:type="spellStart"/>
      <w:r>
        <w:t>SWAps</w:t>
      </w:r>
      <w:proofErr w:type="spellEnd"/>
      <w:r w:rsidR="00C03EB2">
        <w:t>, sector budget support and use of partner government systems</w:t>
      </w:r>
      <w:r>
        <w:t xml:space="preserve"> </w:t>
      </w:r>
      <w:r w:rsidR="00C03EB2">
        <w:t xml:space="preserve">in </w:t>
      </w:r>
      <w:r w:rsidRPr="00197C5B">
        <w:t xml:space="preserve">the six countries </w:t>
      </w:r>
      <w:r w:rsidR="002B5A07">
        <w:t xml:space="preserve">under </w:t>
      </w:r>
      <w:r w:rsidRPr="00197C5B">
        <w:t>review</w:t>
      </w:r>
      <w:r w:rsidR="00BE5881">
        <w:t xml:space="preserve">. The assessment is </w:t>
      </w:r>
      <w:r w:rsidR="002B5A07">
        <w:t>preceded by a</w:t>
      </w:r>
      <w:r w:rsidR="00BE5881">
        <w:t>n</w:t>
      </w:r>
      <w:r w:rsidR="002B5A07">
        <w:t xml:space="preserve"> overview of international evidence</w:t>
      </w:r>
      <w:r w:rsidR="00BE5881">
        <w:t xml:space="preserve">, and followed by a short analysis of the gender focus of the </w:t>
      </w:r>
      <w:proofErr w:type="spellStart"/>
      <w:r w:rsidR="00BE5881">
        <w:t>SWAps</w:t>
      </w:r>
      <w:proofErr w:type="spellEnd"/>
      <w:r w:rsidR="00BE5881">
        <w:t xml:space="preserve"> in the six countries. </w:t>
      </w:r>
    </w:p>
    <w:p w:rsidR="00670BC7" w:rsidRDefault="002B5A07" w:rsidP="008771C7">
      <w:r>
        <w:t>This section</w:t>
      </w:r>
      <w:r w:rsidR="00223911">
        <w:t xml:space="preserve"> </w:t>
      </w:r>
      <w:r w:rsidR="00670BC7">
        <w:t xml:space="preserve">should be read in the context of </w:t>
      </w:r>
      <w:r w:rsidR="00223911">
        <w:t xml:space="preserve">methodological </w:t>
      </w:r>
      <w:r w:rsidR="00670BC7">
        <w:t xml:space="preserve">issues raised </w:t>
      </w:r>
      <w:r w:rsidR="00223911">
        <w:t xml:space="preserve">earlier (1.2). </w:t>
      </w:r>
      <w:r w:rsidR="00670BC7" w:rsidRPr="00197C5B">
        <w:t xml:space="preserve">Supporting tables </w:t>
      </w:r>
      <w:r w:rsidR="001B33FF">
        <w:t xml:space="preserve">detailing the </w:t>
      </w:r>
      <w:r w:rsidR="00670BC7" w:rsidRPr="00197C5B">
        <w:t>country</w:t>
      </w:r>
      <w:r w:rsidR="00223911">
        <w:t xml:space="preserve"> </w:t>
      </w:r>
      <w:r w:rsidR="00670BC7" w:rsidRPr="00197C5B">
        <w:t xml:space="preserve">evidence </w:t>
      </w:r>
      <w:r w:rsidR="00223911">
        <w:t>are</w:t>
      </w:r>
      <w:r w:rsidR="00670BC7" w:rsidRPr="00197C5B">
        <w:t xml:space="preserve"> </w:t>
      </w:r>
      <w:r w:rsidR="00223911">
        <w:t xml:space="preserve">in </w:t>
      </w:r>
      <w:r w:rsidR="00325186" w:rsidRPr="003615C8">
        <w:t>Appendix</w:t>
      </w:r>
      <w:r w:rsidR="003615C8" w:rsidRPr="003615C8">
        <w:t xml:space="preserve"> </w:t>
      </w:r>
      <w:r w:rsidR="003615C8">
        <w:t>3</w:t>
      </w:r>
      <w:r w:rsidR="00670BC7" w:rsidRPr="00197C5B">
        <w:t>.</w:t>
      </w:r>
      <w:r w:rsidR="00670BC7">
        <w:t xml:space="preserve"> </w:t>
      </w:r>
    </w:p>
    <w:p w:rsidR="00E80E74" w:rsidRPr="008771C7" w:rsidRDefault="00E80E74" w:rsidP="00456255">
      <w:pPr>
        <w:pStyle w:val="Heading2"/>
      </w:pPr>
      <w:bookmarkStart w:id="28" w:name="_Toc403403688"/>
      <w:r>
        <w:t>3.1</w:t>
      </w:r>
      <w:r>
        <w:tab/>
      </w:r>
      <w:r w:rsidR="00ED29EF">
        <w:t>Overview</w:t>
      </w:r>
      <w:r>
        <w:t xml:space="preserve"> of </w:t>
      </w:r>
      <w:r w:rsidRPr="00456255">
        <w:t>international</w:t>
      </w:r>
      <w:r>
        <w:t xml:space="preserve"> evidence</w:t>
      </w:r>
      <w:bookmarkEnd w:id="28"/>
      <w:r w:rsidRPr="008771C7">
        <w:t xml:space="preserve"> </w:t>
      </w:r>
    </w:p>
    <w:p w:rsidR="00C0755B" w:rsidRDefault="0016417A" w:rsidP="008771C7">
      <w:r w:rsidRPr="0016417A">
        <w:t>A</w:t>
      </w:r>
      <w:r>
        <w:t xml:space="preserve">s mentioned </w:t>
      </w:r>
      <w:r w:rsidR="00EE178D">
        <w:t xml:space="preserve">in </w:t>
      </w:r>
      <w:r>
        <w:t>Section 1.</w:t>
      </w:r>
      <w:r w:rsidR="00A9018F">
        <w:t>4.</w:t>
      </w:r>
      <w:r>
        <w:t xml:space="preserve">3, </w:t>
      </w:r>
      <w:r w:rsidR="00C0755B">
        <w:t>there is a large</w:t>
      </w:r>
      <w:r w:rsidR="00C62400">
        <w:t xml:space="preserve"> body of</w:t>
      </w:r>
      <w:r w:rsidR="00C0755B">
        <w:t xml:space="preserve"> </w:t>
      </w:r>
      <w:r w:rsidR="00A9018F">
        <w:t xml:space="preserve">international </w:t>
      </w:r>
      <w:r w:rsidR="00C0755B">
        <w:t xml:space="preserve">literature </w:t>
      </w:r>
      <w:r w:rsidRPr="00B3398F">
        <w:t xml:space="preserve">on health </w:t>
      </w:r>
      <w:proofErr w:type="spellStart"/>
      <w:r w:rsidRPr="00B3398F">
        <w:t>SWAps</w:t>
      </w:r>
      <w:proofErr w:type="spellEnd"/>
      <w:r w:rsidRPr="00B3398F">
        <w:t xml:space="preserve">, </w:t>
      </w:r>
      <w:r>
        <w:t xml:space="preserve">sector budget support </w:t>
      </w:r>
      <w:r w:rsidRPr="00B3398F">
        <w:t>and use of partner government systems</w:t>
      </w:r>
      <w:r>
        <w:t xml:space="preserve">. </w:t>
      </w:r>
      <w:r w:rsidR="00ED29EF">
        <w:t xml:space="preserve">Even though </w:t>
      </w:r>
      <w:r w:rsidR="00ED29EF" w:rsidRPr="0016417A">
        <w:t>the country contexts are different</w:t>
      </w:r>
      <w:r w:rsidR="00ED29EF">
        <w:t>, t</w:t>
      </w:r>
      <w:r>
        <w:t>he</w:t>
      </w:r>
      <w:r w:rsidR="00C0755B">
        <w:t xml:space="preserve"> findings are strikingly </w:t>
      </w:r>
      <w:r w:rsidR="00ED29EF">
        <w:t>convergen</w:t>
      </w:r>
      <w:r w:rsidR="00C0755B">
        <w:t>t.</w:t>
      </w:r>
      <w:r>
        <w:t xml:space="preserve"> </w:t>
      </w:r>
      <w:r w:rsidR="00ED29EF" w:rsidRPr="0016417A">
        <w:t xml:space="preserve">There is </w:t>
      </w:r>
      <w:r w:rsidR="00C0755B">
        <w:t xml:space="preserve">also </w:t>
      </w:r>
      <w:r w:rsidR="00ED29EF" w:rsidRPr="0016417A">
        <w:t xml:space="preserve">broad </w:t>
      </w:r>
      <w:r w:rsidR="00ED29EF">
        <w:t xml:space="preserve">agreement </w:t>
      </w:r>
      <w:r w:rsidR="00EE178D">
        <w:t xml:space="preserve">in the literature </w:t>
      </w:r>
      <w:r w:rsidR="00ED29EF" w:rsidRPr="0016417A">
        <w:t>around the paucity of rigorous evidence and analysis of effectiveness</w:t>
      </w:r>
      <w:r w:rsidR="00EE178D">
        <w:t>. M</w:t>
      </w:r>
      <w:r w:rsidRPr="0016417A">
        <w:t>any of the findings related to effectiveness are inconclusive.</w:t>
      </w:r>
      <w:r w:rsidR="00ED29EF">
        <w:t xml:space="preserve"> </w:t>
      </w:r>
    </w:p>
    <w:p w:rsidR="0016417A" w:rsidRDefault="00ED29EF" w:rsidP="008771C7">
      <w:r>
        <w:t>Generally t</w:t>
      </w:r>
      <w:r w:rsidRPr="00ED29EF">
        <w:t xml:space="preserve">here is consensus that </w:t>
      </w:r>
      <w:proofErr w:type="spellStart"/>
      <w:r w:rsidRPr="00ED29EF">
        <w:t>SWAps</w:t>
      </w:r>
      <w:proofErr w:type="spellEnd"/>
      <w:r w:rsidRPr="00ED29EF">
        <w:t xml:space="preserve"> have underperformed relative to their expected objectives and benefits. </w:t>
      </w:r>
      <w:r w:rsidRPr="00334CB8">
        <w:t>However, th</w:t>
      </w:r>
      <w:r w:rsidR="00334CB8" w:rsidRPr="00334CB8">
        <w:t xml:space="preserve">is </w:t>
      </w:r>
      <w:r w:rsidR="00334CB8">
        <w:t xml:space="preserve">should </w:t>
      </w:r>
      <w:r w:rsidR="00334CB8" w:rsidRPr="00334CB8">
        <w:t xml:space="preserve">be </w:t>
      </w:r>
      <w:r w:rsidR="00334CB8">
        <w:t>read in the context of a</w:t>
      </w:r>
      <w:r w:rsidR="00334CB8" w:rsidRPr="00334CB8">
        <w:t xml:space="preserve"> </w:t>
      </w:r>
      <w:r w:rsidR="00334CB8">
        <w:t xml:space="preserve">narrow and </w:t>
      </w:r>
      <w:r w:rsidR="00334CB8" w:rsidRPr="00334CB8">
        <w:t>inconclusive evidence base</w:t>
      </w:r>
      <w:r w:rsidR="00A26DC6">
        <w:t xml:space="preserve"> and in the absence of information</w:t>
      </w:r>
      <w:r w:rsidR="00EE178D">
        <w:t xml:space="preserve"> or </w:t>
      </w:r>
      <w:r w:rsidR="00A26DC6">
        <w:t>evidence on how th</w:t>
      </w:r>
      <w:r w:rsidR="00786965">
        <w:t>e</w:t>
      </w:r>
      <w:r w:rsidR="00A26DC6">
        <w:t xml:space="preserve"> aid modalities </w:t>
      </w:r>
      <w:r w:rsidR="00EE178D">
        <w:t xml:space="preserve">and instruments </w:t>
      </w:r>
      <w:r w:rsidR="00A26DC6">
        <w:t xml:space="preserve">that preceded the introduction of the </w:t>
      </w:r>
      <w:proofErr w:type="spellStart"/>
      <w:r w:rsidR="00A26DC6">
        <w:t>SWAp</w:t>
      </w:r>
      <w:proofErr w:type="spellEnd"/>
      <w:r w:rsidR="00A26DC6">
        <w:t xml:space="preserve"> actually worked</w:t>
      </w:r>
      <w:r w:rsidR="00334CB8">
        <w:t xml:space="preserve">. </w:t>
      </w:r>
      <w:r w:rsidR="00C62400">
        <w:t>More detail is provided in Box 2.</w:t>
      </w:r>
    </w:p>
    <w:p w:rsidR="00077780" w:rsidRDefault="00077780" w:rsidP="00077780">
      <w:pPr>
        <w:pStyle w:val="BoxName"/>
      </w:pPr>
      <w:bookmarkStart w:id="29" w:name="_Toc402192218"/>
      <w:r>
        <w:t>Box 2</w:t>
      </w:r>
      <w:r>
        <w:tab/>
        <w:t>Key findings from the international literature</w:t>
      </w:r>
      <w:bookmarkEnd w:id="29"/>
      <w:r>
        <w:t xml:space="preserve">  </w:t>
      </w:r>
    </w:p>
    <w:p w:rsidR="003F79D6" w:rsidRPr="0013770D" w:rsidRDefault="003F79D6" w:rsidP="00077780">
      <w:pPr>
        <w:pStyle w:val="BoxText"/>
      </w:pPr>
    </w:p>
    <w:p w:rsidR="003F79D6" w:rsidRPr="003F79D6" w:rsidRDefault="003F79D6" w:rsidP="0013770D">
      <w:pPr>
        <w:pStyle w:val="BoxText"/>
      </w:pPr>
      <w:r w:rsidRPr="003F79D6">
        <w:t xml:space="preserve">The literature on health </w:t>
      </w:r>
      <w:proofErr w:type="spellStart"/>
      <w:r w:rsidRPr="003F79D6">
        <w:t>SWAps</w:t>
      </w:r>
      <w:proofErr w:type="spellEnd"/>
      <w:r w:rsidRPr="003F79D6">
        <w:t xml:space="preserve">, sector budget support and use of partner government systems is prolific. There is an extensive body of knowledge (case studies, literature reviews and synthesis papers) describing the rationale, progress and challenges of developing and implementing </w:t>
      </w:r>
      <w:proofErr w:type="spellStart"/>
      <w:r w:rsidRPr="003F79D6">
        <w:t>SWAps</w:t>
      </w:r>
      <w:proofErr w:type="spellEnd"/>
      <w:r w:rsidRPr="003F79D6">
        <w:t xml:space="preserve"> in different contexts, including in fragile states. However, only a handful of robust multi-country reviews have been conducted specifically to assess </w:t>
      </w:r>
      <w:proofErr w:type="spellStart"/>
      <w:r w:rsidRPr="003F79D6">
        <w:t>SWAp</w:t>
      </w:r>
      <w:proofErr w:type="spellEnd"/>
      <w:r w:rsidRPr="003F79D6">
        <w:t xml:space="preserve"> performance, effectiveness, and achievement of intended benefits. Most of these pre-date 2010 and tend to focus on sub-Saharan Africa, although there are also case studies from Asia (Bangladesh</w:t>
      </w:r>
      <w:r w:rsidRPr="003F79D6">
        <w:rPr>
          <w:vertAlign w:val="superscript"/>
        </w:rPr>
        <w:footnoteReference w:id="30"/>
      </w:r>
      <w:r w:rsidRPr="003F79D6">
        <w:t>, Nepal</w:t>
      </w:r>
      <w:r w:rsidRPr="003F79D6">
        <w:rPr>
          <w:vertAlign w:val="superscript"/>
        </w:rPr>
        <w:footnoteReference w:id="31"/>
      </w:r>
      <w:r w:rsidRPr="003F79D6">
        <w:t>, Kyrgyz Republic</w:t>
      </w:r>
      <w:r w:rsidRPr="003F79D6">
        <w:rPr>
          <w:vertAlign w:val="superscript"/>
        </w:rPr>
        <w:footnoteReference w:id="32"/>
      </w:r>
      <w:r w:rsidRPr="003F79D6">
        <w:t xml:space="preserve">) and a desk review from the South Pacific which includes case studies of the health </w:t>
      </w:r>
      <w:proofErr w:type="spellStart"/>
      <w:r w:rsidRPr="003F79D6">
        <w:t>SWAps</w:t>
      </w:r>
      <w:proofErr w:type="spellEnd"/>
      <w:r w:rsidRPr="003F79D6">
        <w:t xml:space="preserve"> of Samoa and Solomon Islands.</w:t>
      </w:r>
      <w:r w:rsidRPr="003F79D6">
        <w:rPr>
          <w:vertAlign w:val="superscript"/>
        </w:rPr>
        <w:footnoteReference w:id="33"/>
      </w:r>
      <w:r w:rsidRPr="003F79D6">
        <w:t xml:space="preserve"> The specialised fields of sector budget support and use of partner government systems (such as procurement systems) have their own body of literature.</w:t>
      </w:r>
      <w:r w:rsidRPr="003F79D6">
        <w:rPr>
          <w:vertAlign w:val="superscript"/>
        </w:rPr>
        <w:footnoteReference w:id="34"/>
      </w:r>
    </w:p>
    <w:p w:rsidR="003F79D6" w:rsidRPr="0013770D" w:rsidRDefault="003F79D6" w:rsidP="00077780">
      <w:pPr>
        <w:pStyle w:val="BoxText"/>
      </w:pPr>
    </w:p>
    <w:p w:rsidR="00077780" w:rsidRPr="00A74956" w:rsidRDefault="00077780" w:rsidP="00077780">
      <w:pPr>
        <w:pStyle w:val="BoxText"/>
        <w:rPr>
          <w:b/>
        </w:rPr>
      </w:pPr>
      <w:r>
        <w:rPr>
          <w:b/>
        </w:rPr>
        <w:lastRenderedPageBreak/>
        <w:t>Improving the r</w:t>
      </w:r>
      <w:r w:rsidRPr="00A74956">
        <w:rPr>
          <w:b/>
        </w:rPr>
        <w:t>esults focus</w:t>
      </w:r>
      <w:r>
        <w:rPr>
          <w:b/>
        </w:rPr>
        <w:t>, including</w:t>
      </w:r>
      <w:r w:rsidRPr="00A74956">
        <w:rPr>
          <w:b/>
        </w:rPr>
        <w:t xml:space="preserve"> </w:t>
      </w:r>
      <w:r>
        <w:rPr>
          <w:b/>
        </w:rPr>
        <w:t>monitoring and evaluation</w:t>
      </w:r>
      <w:r w:rsidRPr="00A74956">
        <w:rPr>
          <w:b/>
        </w:rPr>
        <w:t xml:space="preserve"> </w:t>
      </w:r>
      <w:r>
        <w:rPr>
          <w:b/>
        </w:rPr>
        <w:t>of the sector</w:t>
      </w:r>
    </w:p>
    <w:p w:rsidR="00077780" w:rsidRPr="009649C7" w:rsidRDefault="00077780" w:rsidP="00077780">
      <w:pPr>
        <w:pStyle w:val="BoxText"/>
      </w:pPr>
      <w:r>
        <w:t>Studies</w:t>
      </w:r>
      <w:r w:rsidRPr="009649C7">
        <w:t xml:space="preserve"> from Africa, Asia and the Pacific region agree that </w:t>
      </w:r>
      <w:proofErr w:type="spellStart"/>
      <w:r w:rsidRPr="009649C7">
        <w:t>SWAps</w:t>
      </w:r>
      <w:proofErr w:type="spellEnd"/>
      <w:r w:rsidRPr="009649C7">
        <w:t xml:space="preserve"> have been effective in developing agreed indicators for sector-wide performance</w:t>
      </w:r>
      <w:r>
        <w:t xml:space="preserve"> (</w:t>
      </w:r>
      <w:r w:rsidRPr="009649C7">
        <w:t xml:space="preserve">compared to </w:t>
      </w:r>
      <w:r>
        <w:t xml:space="preserve">the multiple reporting and frameworks in </w:t>
      </w:r>
      <w:r w:rsidRPr="009649C7">
        <w:t>earlier systems</w:t>
      </w:r>
      <w:r>
        <w:t>)</w:t>
      </w:r>
      <w:r w:rsidRPr="009649C7">
        <w:t xml:space="preserve">, and </w:t>
      </w:r>
      <w:r>
        <w:t xml:space="preserve">that </w:t>
      </w:r>
      <w:proofErr w:type="spellStart"/>
      <w:r w:rsidRPr="009649C7">
        <w:t>SWAps</w:t>
      </w:r>
      <w:proofErr w:type="spellEnd"/>
      <w:r w:rsidRPr="009649C7">
        <w:t xml:space="preserve"> have provided an important platform for linking indicators from the national s</w:t>
      </w:r>
      <w:r>
        <w:t xml:space="preserve">trategy to resource allocation. </w:t>
      </w:r>
      <w:r w:rsidRPr="009649C7">
        <w:t xml:space="preserve">However, </w:t>
      </w:r>
      <w:proofErr w:type="spellStart"/>
      <w:r w:rsidRPr="009649C7">
        <w:t>SWAps</w:t>
      </w:r>
      <w:proofErr w:type="spellEnd"/>
      <w:r w:rsidRPr="009649C7">
        <w:t xml:space="preserve"> </w:t>
      </w:r>
      <w:r>
        <w:t>are found to have been</w:t>
      </w:r>
      <w:r w:rsidRPr="009649C7">
        <w:t xml:space="preserve"> less effective in developing country M&amp;E capacity or robust M&amp;E and measurement frameworks that drive results. In addition to measurement challenges, </w:t>
      </w:r>
      <w:r>
        <w:t xml:space="preserve">the literature identifies </w:t>
      </w:r>
      <w:r w:rsidRPr="009649C7">
        <w:t xml:space="preserve">common problems </w:t>
      </w:r>
      <w:r>
        <w:t>such as:</w:t>
      </w:r>
      <w:r w:rsidRPr="009649C7">
        <w:t xml:space="preserve"> the use of </w:t>
      </w:r>
      <w:r>
        <w:t xml:space="preserve">indicators that are </w:t>
      </w:r>
      <w:r w:rsidRPr="009649C7">
        <w:t xml:space="preserve">overly ambitious and/or unmeasurable, too process-focused or </w:t>
      </w:r>
      <w:r>
        <w:t xml:space="preserve">with </w:t>
      </w:r>
      <w:r w:rsidRPr="009649C7">
        <w:t>weak links to the health strategy</w:t>
      </w:r>
      <w:r>
        <w:t>;</w:t>
      </w:r>
      <w:r w:rsidRPr="009649C7">
        <w:t xml:space="preserve"> delays in developing M&amp;E frameworks or unavailable/delayed data hindering performance reviews</w:t>
      </w:r>
      <w:r>
        <w:t xml:space="preserve">; </w:t>
      </w:r>
      <w:r w:rsidRPr="009649C7">
        <w:t xml:space="preserve">and overall weak country prioritisation to strengthening M&amp;E capacity and systems. </w:t>
      </w:r>
    </w:p>
    <w:p w:rsidR="00077780" w:rsidRDefault="00077780" w:rsidP="00077780">
      <w:pPr>
        <w:pStyle w:val="BoxText"/>
      </w:pPr>
      <w:r w:rsidRPr="009649C7">
        <w:t xml:space="preserve">A World Bank </w:t>
      </w:r>
      <w:r>
        <w:t>study</w:t>
      </w:r>
      <w:r w:rsidRPr="009649C7">
        <w:t xml:space="preserve"> noted that in five out of six </w:t>
      </w:r>
      <w:proofErr w:type="spellStart"/>
      <w:r w:rsidRPr="009649C7">
        <w:t>SWAps</w:t>
      </w:r>
      <w:proofErr w:type="spellEnd"/>
      <w:r w:rsidRPr="009649C7">
        <w:t xml:space="preserve"> reviewed ‘the neglect of M&amp;E capacity building and use, relative to the strong emphasis on procurement, disbursement, and financial management, has resulted in an insufficient results-focus’</w:t>
      </w:r>
      <w:r>
        <w:t>,</w:t>
      </w:r>
      <w:r w:rsidRPr="009649C7">
        <w:t xml:space="preserve"> caus</w:t>
      </w:r>
      <w:r>
        <w:t>ing</w:t>
      </w:r>
      <w:r w:rsidRPr="009649C7">
        <w:t xml:space="preserve"> delays in the production of frameworks and results chains</w:t>
      </w:r>
      <w:r>
        <w:t xml:space="preserve">. A review from Samoa finds </w:t>
      </w:r>
      <w:r w:rsidRPr="009649C7">
        <w:t>that commitment to a results focus</w:t>
      </w:r>
      <w:r>
        <w:t xml:space="preserve">, while </w:t>
      </w:r>
      <w:r w:rsidRPr="009649C7">
        <w:t>captured in dialogue and in program documents, ha</w:t>
      </w:r>
      <w:r>
        <w:t>d</w:t>
      </w:r>
      <w:r w:rsidRPr="009649C7">
        <w:t xml:space="preserve"> not been fully translated into reality and that M&amp;E </w:t>
      </w:r>
      <w:r>
        <w:t xml:space="preserve">appeared to be </w:t>
      </w:r>
      <w:r w:rsidRPr="009649C7">
        <w:t xml:space="preserve">a higher priority </w:t>
      </w:r>
      <w:r>
        <w:t xml:space="preserve">for donors </w:t>
      </w:r>
      <w:r w:rsidRPr="009649C7">
        <w:t xml:space="preserve">than </w:t>
      </w:r>
      <w:r>
        <w:t>the government.</w:t>
      </w:r>
    </w:p>
    <w:p w:rsidR="00782D36" w:rsidRDefault="00782D36" w:rsidP="00077780">
      <w:pPr>
        <w:pStyle w:val="BoxText"/>
        <w:rPr>
          <w:b/>
        </w:rPr>
      </w:pPr>
    </w:p>
    <w:p w:rsidR="00077780" w:rsidRPr="00A74956" w:rsidRDefault="00077780" w:rsidP="00077780">
      <w:pPr>
        <w:pStyle w:val="BoxText"/>
        <w:rPr>
          <w:b/>
        </w:rPr>
      </w:pPr>
      <w:r w:rsidRPr="00A74956">
        <w:rPr>
          <w:b/>
        </w:rPr>
        <w:t>Joint working and harmonisation</w:t>
      </w:r>
    </w:p>
    <w:p w:rsidR="00077780" w:rsidRDefault="00077780" w:rsidP="00077780">
      <w:pPr>
        <w:pStyle w:val="BoxText"/>
      </w:pPr>
      <w:r>
        <w:t>There is general</w:t>
      </w:r>
      <w:r w:rsidRPr="009649C7">
        <w:t xml:space="preserve"> acknowledge</w:t>
      </w:r>
      <w:r>
        <w:t>ment</w:t>
      </w:r>
      <w:r w:rsidRPr="009649C7">
        <w:t xml:space="preserve"> that </w:t>
      </w:r>
      <w:proofErr w:type="spellStart"/>
      <w:r w:rsidRPr="009649C7">
        <w:t>SWAps</w:t>
      </w:r>
      <w:proofErr w:type="spellEnd"/>
      <w:r w:rsidRPr="009649C7">
        <w:t xml:space="preserve"> have been effective in improving the harmoni</w:t>
      </w:r>
      <w:r>
        <w:t>s</w:t>
      </w:r>
      <w:r w:rsidRPr="009649C7">
        <w:t xml:space="preserve">ation and alignment of development assistance, </w:t>
      </w:r>
      <w:r>
        <w:t xml:space="preserve">but </w:t>
      </w:r>
      <w:r w:rsidRPr="009649C7">
        <w:t>with shortcomings</w:t>
      </w:r>
      <w:r>
        <w:t xml:space="preserve">. </w:t>
      </w:r>
    </w:p>
    <w:p w:rsidR="00077780" w:rsidRPr="009649C7" w:rsidRDefault="00077780" w:rsidP="00077780">
      <w:pPr>
        <w:pStyle w:val="BoxText"/>
      </w:pPr>
      <w:r>
        <w:t xml:space="preserve">The literature acknowledges that </w:t>
      </w:r>
      <w:proofErr w:type="spellStart"/>
      <w:r w:rsidRPr="009649C7">
        <w:t>SWAps</w:t>
      </w:r>
      <w:proofErr w:type="spellEnd"/>
      <w:r w:rsidRPr="009649C7">
        <w:t xml:space="preserve"> have put in place and used tools to improve coordination and management of the sector</w:t>
      </w:r>
      <w:r>
        <w:t>,</w:t>
      </w:r>
      <w:r w:rsidRPr="009649C7">
        <w:t xml:space="preserve"> including sector plans supported by a multi-year budget or </w:t>
      </w:r>
      <w:r w:rsidR="00E52173">
        <w:t>medium term expenditure framework</w:t>
      </w:r>
      <w:r>
        <w:t xml:space="preserve">. </w:t>
      </w:r>
      <w:r w:rsidRPr="009649C7">
        <w:t>They have largely succeeded in establishing new and different partnerships and dynamics between government</w:t>
      </w:r>
      <w:r>
        <w:t>s</w:t>
      </w:r>
      <w:r w:rsidRPr="009649C7">
        <w:t xml:space="preserve"> and d</w:t>
      </w:r>
      <w:r>
        <w:t>onors</w:t>
      </w:r>
      <w:r w:rsidRPr="009649C7">
        <w:t>, with more structured discussion on national strategies and overall fund</w:t>
      </w:r>
      <w:r>
        <w:t>ing to the sector</w:t>
      </w:r>
      <w:r w:rsidRPr="009649C7">
        <w:t xml:space="preserve">. Government-led mechanisms </w:t>
      </w:r>
      <w:r>
        <w:t xml:space="preserve">have been put </w:t>
      </w:r>
      <w:r w:rsidRPr="009649C7">
        <w:t>in place to ensure regular meetings with d</w:t>
      </w:r>
      <w:r>
        <w:t xml:space="preserve">onors, </w:t>
      </w:r>
      <w:r w:rsidRPr="009649C7">
        <w:t>a</w:t>
      </w:r>
      <w:r>
        <w:t>s well as</w:t>
      </w:r>
      <w:r w:rsidRPr="009649C7">
        <w:t xml:space="preserve"> technical working groups for coordination and information sharing. Compared to the pre-</w:t>
      </w:r>
      <w:proofErr w:type="spellStart"/>
      <w:r w:rsidRPr="009649C7">
        <w:t>SWAp</w:t>
      </w:r>
      <w:proofErr w:type="spellEnd"/>
      <w:r w:rsidRPr="009649C7">
        <w:t xml:space="preserve"> era, d</w:t>
      </w:r>
      <w:r>
        <w:t>onors</w:t>
      </w:r>
      <w:r w:rsidRPr="009649C7">
        <w:t xml:space="preserve"> are a </w:t>
      </w:r>
      <w:r>
        <w:t>better harmonised group.</w:t>
      </w:r>
    </w:p>
    <w:p w:rsidR="00077780" w:rsidRDefault="00077780" w:rsidP="00077780">
      <w:pPr>
        <w:pStyle w:val="BoxText"/>
      </w:pPr>
      <w:proofErr w:type="spellStart"/>
      <w:r w:rsidRPr="009649C7">
        <w:t>SWAps</w:t>
      </w:r>
      <w:proofErr w:type="spellEnd"/>
      <w:r w:rsidRPr="009649C7">
        <w:t xml:space="preserve"> </w:t>
      </w:r>
      <w:r>
        <w:t xml:space="preserve">are also found to </w:t>
      </w:r>
      <w:r w:rsidRPr="009649C7">
        <w:t>have been instrumental in developing common management and financing arrangements</w:t>
      </w:r>
      <w:r>
        <w:t>,</w:t>
      </w:r>
      <w:r w:rsidRPr="009649C7">
        <w:t xml:space="preserve"> including some form of pool</w:t>
      </w:r>
      <w:r>
        <w:t>ed funding</w:t>
      </w:r>
      <w:r w:rsidRPr="009649C7">
        <w:t xml:space="preserve"> or budget support (</w:t>
      </w:r>
      <w:r>
        <w:t xml:space="preserve">to </w:t>
      </w:r>
      <w:r w:rsidRPr="009649C7">
        <w:t>enabl</w:t>
      </w:r>
      <w:r>
        <w:t>e</w:t>
      </w:r>
      <w:r w:rsidRPr="009649C7">
        <w:t xml:space="preserve"> government</w:t>
      </w:r>
      <w:r>
        <w:t>s</w:t>
      </w:r>
      <w:r w:rsidRPr="009649C7">
        <w:t xml:space="preserve"> to have more control over sector resources), joint annual planning and budgeting processes, joint financial management and procurement, and regular</w:t>
      </w:r>
      <w:r>
        <w:t>, government-led</w:t>
      </w:r>
      <w:r w:rsidRPr="009649C7">
        <w:t xml:space="preserve"> revie</w:t>
      </w:r>
      <w:r>
        <w:t>ws of progress.</w:t>
      </w:r>
    </w:p>
    <w:p w:rsidR="00077780" w:rsidRPr="009649C7" w:rsidRDefault="00077780" w:rsidP="00077780">
      <w:pPr>
        <w:pStyle w:val="BoxText"/>
      </w:pPr>
      <w:r>
        <w:t>T</w:t>
      </w:r>
      <w:r w:rsidRPr="009649C7">
        <w:t xml:space="preserve">here is evidence that </w:t>
      </w:r>
      <w:r>
        <w:t xml:space="preserve">sector budget support </w:t>
      </w:r>
      <w:proofErr w:type="spellStart"/>
      <w:r w:rsidRPr="009649C7">
        <w:t>conditionalities</w:t>
      </w:r>
      <w:proofErr w:type="spellEnd"/>
      <w:r w:rsidRPr="009649C7">
        <w:t xml:space="preserve"> and use of </w:t>
      </w:r>
      <w:proofErr w:type="spellStart"/>
      <w:r w:rsidRPr="009649C7">
        <w:t>SWAp</w:t>
      </w:r>
      <w:proofErr w:type="spellEnd"/>
      <w:r w:rsidRPr="009649C7">
        <w:t xml:space="preserve"> structures have been effective in strengthening policy, planning and budgetary processes</w:t>
      </w:r>
      <w:r>
        <w:t xml:space="preserve">. </w:t>
      </w:r>
      <w:r w:rsidRPr="009649C7">
        <w:t xml:space="preserve">Non-financial inputs </w:t>
      </w:r>
      <w:r>
        <w:t xml:space="preserve">such as </w:t>
      </w:r>
      <w:r w:rsidRPr="009649C7">
        <w:t>dialogue and technical assistance have supported improvements in upstream policy formulation, planning, financial management and monitoring of high level outcomes</w:t>
      </w:r>
      <w:r>
        <w:t>.</w:t>
      </w:r>
    </w:p>
    <w:p w:rsidR="00077780" w:rsidRDefault="00077780" w:rsidP="00077780">
      <w:pPr>
        <w:pStyle w:val="BoxText"/>
      </w:pPr>
      <w:r>
        <w:t>However t</w:t>
      </w:r>
      <w:r w:rsidRPr="009649C7">
        <w:t xml:space="preserve">here is evidence that </w:t>
      </w:r>
      <w:proofErr w:type="spellStart"/>
      <w:r w:rsidRPr="009649C7">
        <w:t>SWAps</w:t>
      </w:r>
      <w:proofErr w:type="spellEnd"/>
      <w:r w:rsidRPr="009649C7">
        <w:t xml:space="preserve"> have been less effective than anticipated in reducing transaction costs </w:t>
      </w:r>
      <w:r>
        <w:t xml:space="preserve">(both </w:t>
      </w:r>
      <w:r w:rsidRPr="009649C7">
        <w:t>for government</w:t>
      </w:r>
      <w:r>
        <w:t>s</w:t>
      </w:r>
      <w:r w:rsidRPr="009649C7">
        <w:t xml:space="preserve"> and d</w:t>
      </w:r>
      <w:r>
        <w:t>onors)</w:t>
      </w:r>
      <w:r w:rsidRPr="009649C7">
        <w:t xml:space="preserve"> </w:t>
      </w:r>
      <w:r>
        <w:t xml:space="preserve">because of </w:t>
      </w:r>
      <w:r w:rsidRPr="009649C7">
        <w:t xml:space="preserve">the substantial administrative burden of managing </w:t>
      </w:r>
      <w:proofErr w:type="spellStart"/>
      <w:r w:rsidRPr="009649C7">
        <w:t>SWAp</w:t>
      </w:r>
      <w:proofErr w:type="spellEnd"/>
      <w:r w:rsidRPr="009649C7">
        <w:t xml:space="preserve"> processes, </w:t>
      </w:r>
      <w:r w:rsidR="005A4230" w:rsidRPr="009649C7">
        <w:t xml:space="preserve">and the continued use of project-type support by some large bilateral </w:t>
      </w:r>
      <w:r w:rsidR="005A4230">
        <w:t xml:space="preserve">donors </w:t>
      </w:r>
      <w:r w:rsidR="005A4230" w:rsidRPr="009649C7">
        <w:t>and global funds</w:t>
      </w:r>
      <w:r w:rsidR="005A4230">
        <w:t xml:space="preserve">. </w:t>
      </w:r>
      <w:r w:rsidRPr="009649C7">
        <w:t xml:space="preserve">In addition, </w:t>
      </w:r>
      <w:proofErr w:type="spellStart"/>
      <w:r w:rsidRPr="009649C7">
        <w:t>SWAps</w:t>
      </w:r>
      <w:proofErr w:type="spellEnd"/>
      <w:r w:rsidRPr="009649C7">
        <w:t xml:space="preserve"> require different ways of working</w:t>
      </w:r>
      <w:r>
        <w:t xml:space="preserve">. </w:t>
      </w:r>
      <w:r w:rsidRPr="009649C7">
        <w:t>Th</w:t>
      </w:r>
      <w:r>
        <w:t xml:space="preserve">is takes </w:t>
      </w:r>
      <w:r w:rsidRPr="009649C7">
        <w:t>time</w:t>
      </w:r>
      <w:r>
        <w:t xml:space="preserve">, </w:t>
      </w:r>
      <w:r w:rsidRPr="009649C7">
        <w:t xml:space="preserve">and technical capacity to support policy dialogue </w:t>
      </w:r>
      <w:r>
        <w:t xml:space="preserve">has been </w:t>
      </w:r>
      <w:r w:rsidRPr="009649C7">
        <w:t xml:space="preserve">often </w:t>
      </w:r>
      <w:r>
        <w:t xml:space="preserve">found </w:t>
      </w:r>
      <w:r w:rsidRPr="009649C7">
        <w:t>below requirements (e.g. in Samoa).</w:t>
      </w:r>
      <w:r w:rsidRPr="005841F1">
        <w:t xml:space="preserve"> </w:t>
      </w:r>
      <w:proofErr w:type="spellStart"/>
      <w:r w:rsidRPr="009649C7">
        <w:t>SWAps</w:t>
      </w:r>
      <w:proofErr w:type="spellEnd"/>
      <w:r w:rsidRPr="009649C7">
        <w:t xml:space="preserve"> also appear to have been less effective at ensuring technical cooperation flows through coordinated program</w:t>
      </w:r>
      <w:r>
        <w:t>s,</w:t>
      </w:r>
      <w:r w:rsidRPr="009649C7">
        <w:t xml:space="preserve"> with specific pool</w:t>
      </w:r>
      <w:r>
        <w:t>ed</w:t>
      </w:r>
      <w:r w:rsidRPr="009649C7">
        <w:t xml:space="preserve"> funds and plans delayed or not coming to fruition. </w:t>
      </w:r>
    </w:p>
    <w:p w:rsidR="00077780" w:rsidRDefault="00077780" w:rsidP="00077780">
      <w:pPr>
        <w:pStyle w:val="BoxText"/>
      </w:pPr>
    </w:p>
    <w:p w:rsidR="00077780" w:rsidRPr="00A74956" w:rsidRDefault="00077780" w:rsidP="00077780">
      <w:pPr>
        <w:pStyle w:val="BoxText"/>
        <w:rPr>
          <w:b/>
        </w:rPr>
      </w:pPr>
      <w:r w:rsidRPr="00A74956">
        <w:rPr>
          <w:b/>
        </w:rPr>
        <w:t xml:space="preserve">Supporting greater ownership and leadership of the sector </w:t>
      </w:r>
    </w:p>
    <w:p w:rsidR="00077780" w:rsidRPr="009649C7" w:rsidRDefault="00077780" w:rsidP="00077780">
      <w:pPr>
        <w:pStyle w:val="BoxText"/>
      </w:pPr>
      <w:r>
        <w:t xml:space="preserve">Reviews suggest that Ministry of Health </w:t>
      </w:r>
      <w:r w:rsidRPr="009649C7">
        <w:t xml:space="preserve">leadership has been strengthened by approaches such as </w:t>
      </w:r>
      <w:proofErr w:type="spellStart"/>
      <w:r w:rsidRPr="009649C7">
        <w:t>SWAps</w:t>
      </w:r>
      <w:proofErr w:type="spellEnd"/>
      <w:r w:rsidRPr="009649C7">
        <w:t xml:space="preserve"> and </w:t>
      </w:r>
      <w:r>
        <w:t>sector budget support</w:t>
      </w:r>
      <w:r w:rsidRPr="009649C7">
        <w:t xml:space="preserve"> in some contexts</w:t>
      </w:r>
      <w:r>
        <w:t>,</w:t>
      </w:r>
      <w:r w:rsidRPr="009649C7">
        <w:t xml:space="preserve"> </w:t>
      </w:r>
      <w:r>
        <w:t xml:space="preserve">with </w:t>
      </w:r>
      <w:r w:rsidRPr="009649C7">
        <w:t>increased ownership over the national health policy agenda, strategic planning and (increasingly) participatory review processes</w:t>
      </w:r>
      <w:r>
        <w:t>. Sector budget support</w:t>
      </w:r>
      <w:r w:rsidRPr="009649C7">
        <w:t xml:space="preserve"> funds have helped </w:t>
      </w:r>
      <w:r>
        <w:t xml:space="preserve">to </w:t>
      </w:r>
      <w:r w:rsidRPr="009649C7">
        <w:t>facilitate policy implementation, which has reinforced ownership. In a few countries, the strategy is required to be also approved by Parliament, taking the</w:t>
      </w:r>
      <w:r>
        <w:t>se approaches</w:t>
      </w:r>
      <w:r w:rsidRPr="009649C7">
        <w:t xml:space="preserve"> beyond the technical </w:t>
      </w:r>
      <w:r>
        <w:t>level</w:t>
      </w:r>
      <w:r w:rsidRPr="009649C7">
        <w:t xml:space="preserve"> to a broader political </w:t>
      </w:r>
      <w:r>
        <w:t>dimension</w:t>
      </w:r>
      <w:r w:rsidRPr="009649C7">
        <w:t xml:space="preserve">. </w:t>
      </w:r>
    </w:p>
    <w:p w:rsidR="00077780" w:rsidRDefault="00077780" w:rsidP="00077780">
      <w:pPr>
        <w:pStyle w:val="BoxText"/>
      </w:pPr>
      <w:r w:rsidRPr="009649C7">
        <w:lastRenderedPageBreak/>
        <w:t xml:space="preserve">However, the track record in strengthening wider stewardship of the sector and institutional capacity is mixed, despite considerable efforts in these areas. </w:t>
      </w:r>
      <w:r>
        <w:t>T</w:t>
      </w:r>
      <w:r w:rsidRPr="009649C7">
        <w:t xml:space="preserve">he World Bank </w:t>
      </w:r>
      <w:r>
        <w:t xml:space="preserve">found </w:t>
      </w:r>
      <w:r w:rsidRPr="009649C7">
        <w:t xml:space="preserve">that </w:t>
      </w:r>
      <w:proofErr w:type="spellStart"/>
      <w:r w:rsidRPr="009649C7">
        <w:t>SWAps</w:t>
      </w:r>
      <w:proofErr w:type="spellEnd"/>
      <w:r w:rsidRPr="009649C7">
        <w:t xml:space="preserve"> </w:t>
      </w:r>
      <w:r>
        <w:t xml:space="preserve">had been </w:t>
      </w:r>
      <w:r w:rsidRPr="009649C7">
        <w:t xml:space="preserve">only </w:t>
      </w:r>
      <w:r>
        <w:t>‘</w:t>
      </w:r>
      <w:r w:rsidRPr="009649C7">
        <w:t>modestly</w:t>
      </w:r>
      <w:r>
        <w:t>’</w:t>
      </w:r>
      <w:r w:rsidRPr="009649C7">
        <w:t xml:space="preserve"> successful in achieving improved sector stewardship</w:t>
      </w:r>
      <w:r>
        <w:t xml:space="preserve">, and that despite </w:t>
      </w:r>
      <w:r w:rsidRPr="009649C7">
        <w:t>some evidence of improved ownership of plans</w:t>
      </w:r>
      <w:r w:rsidR="00836E0E">
        <w:t>,</w:t>
      </w:r>
      <w:r w:rsidRPr="009649C7">
        <w:t xml:space="preserve"> concern</w:t>
      </w:r>
      <w:r>
        <w:t>s</w:t>
      </w:r>
      <w:r w:rsidRPr="009649C7">
        <w:t xml:space="preserve"> remained about the</w:t>
      </w:r>
      <w:r>
        <w:t>ir</w:t>
      </w:r>
      <w:r w:rsidRPr="009649C7">
        <w:t xml:space="preserve"> realism and quality</w:t>
      </w:r>
      <w:r>
        <w:t>.</w:t>
      </w:r>
      <w:r w:rsidRPr="009649C7">
        <w:t xml:space="preserve"> </w:t>
      </w:r>
      <w:r>
        <w:t>S</w:t>
      </w:r>
      <w:r w:rsidRPr="009649C7">
        <w:t>imilar finding</w:t>
      </w:r>
      <w:r>
        <w:t xml:space="preserve">s are </w:t>
      </w:r>
      <w:r w:rsidRPr="009649C7">
        <w:t xml:space="preserve">reported </w:t>
      </w:r>
      <w:r>
        <w:t>elsewhere.</w:t>
      </w:r>
      <w:r w:rsidRPr="009649C7">
        <w:t xml:space="preserve"> </w:t>
      </w:r>
      <w:proofErr w:type="spellStart"/>
      <w:r w:rsidRPr="009649C7">
        <w:t>SWAps</w:t>
      </w:r>
      <w:proofErr w:type="spellEnd"/>
      <w:r w:rsidRPr="009649C7">
        <w:t xml:space="preserve"> have been </w:t>
      </w:r>
      <w:r>
        <w:t xml:space="preserve">found </w:t>
      </w:r>
      <w:r w:rsidRPr="009649C7">
        <w:t>largely ineffective in establishing incentives to strengthen sector wide accountabilities, with public sector management responsibilities not assessed or addressed, and sector performance information not widely shared with civil society</w:t>
      </w:r>
      <w:r>
        <w:t xml:space="preserve">. </w:t>
      </w:r>
      <w:r w:rsidRPr="009649C7">
        <w:t>Performance agreements</w:t>
      </w:r>
      <w:r>
        <w:rPr>
          <w:rFonts w:ascii="Corbel" w:hAnsi="Corbel"/>
        </w:rPr>
        <w:t>—</w:t>
      </w:r>
      <w:r w:rsidRPr="009649C7">
        <w:t>both between governments and among levels of</w:t>
      </w:r>
      <w:r>
        <w:t xml:space="preserve"> government</w:t>
      </w:r>
      <w:r>
        <w:rPr>
          <w:rFonts w:ascii="Corbel" w:hAnsi="Corbel"/>
        </w:rPr>
        <w:t>—</w:t>
      </w:r>
      <w:r>
        <w:t>were often not enforced.</w:t>
      </w:r>
    </w:p>
    <w:p w:rsidR="00077780" w:rsidRPr="009649C7" w:rsidRDefault="00077780" w:rsidP="00077780">
      <w:pPr>
        <w:pStyle w:val="BoxText"/>
      </w:pPr>
      <w:proofErr w:type="spellStart"/>
      <w:r w:rsidRPr="009649C7">
        <w:t>SWAps</w:t>
      </w:r>
      <w:proofErr w:type="spellEnd"/>
      <w:r w:rsidRPr="009649C7">
        <w:t xml:space="preserve"> were designed to strengthen national systems</w:t>
      </w:r>
      <w:r>
        <w:t xml:space="preserve">, with a </w:t>
      </w:r>
      <w:r w:rsidRPr="009649C7">
        <w:t xml:space="preserve">broader </w:t>
      </w:r>
      <w:r>
        <w:t xml:space="preserve">aim to build capacity. </w:t>
      </w:r>
      <w:r w:rsidRPr="009649C7">
        <w:t>The extent to which this has happened varies from setting to setting. Individual countries have improved systems for planning, budgeting and procurement</w:t>
      </w:r>
      <w:r>
        <w:t>,</w:t>
      </w:r>
      <w:r w:rsidRPr="009649C7">
        <w:t xml:space="preserve"> but aside from the widespread introduction of annual sector reviews, ‘it is not easy to identify a set of management arrangements that have been consistently strengthened acros</w:t>
      </w:r>
      <w:r>
        <w:t xml:space="preserve">s countries involved in </w:t>
      </w:r>
      <w:proofErr w:type="spellStart"/>
      <w:r>
        <w:t>SWAps</w:t>
      </w:r>
      <w:proofErr w:type="spellEnd"/>
      <w:r>
        <w:t>.’</w:t>
      </w:r>
    </w:p>
    <w:p w:rsidR="00077780" w:rsidRDefault="00077780" w:rsidP="00077780">
      <w:pPr>
        <w:pStyle w:val="BoxText"/>
      </w:pPr>
      <w:r w:rsidRPr="009649C7">
        <w:t xml:space="preserve">In addition, </w:t>
      </w:r>
      <w:proofErr w:type="spellStart"/>
      <w:r w:rsidRPr="009649C7">
        <w:t>SWAps</w:t>
      </w:r>
      <w:proofErr w:type="spellEnd"/>
      <w:r w:rsidRPr="009649C7">
        <w:t xml:space="preserve"> and </w:t>
      </w:r>
      <w:r>
        <w:t>sector budget support</w:t>
      </w:r>
      <w:r w:rsidRPr="009649C7">
        <w:t xml:space="preserve"> have been criticised for being overly</w:t>
      </w:r>
      <w:r>
        <w:t xml:space="preserve"> </w:t>
      </w:r>
      <w:r w:rsidRPr="009649C7">
        <w:t xml:space="preserve">focused on upstream policy and monitoring processes. There is evidence that </w:t>
      </w:r>
      <w:r>
        <w:t>sector budget support</w:t>
      </w:r>
      <w:r w:rsidRPr="009649C7">
        <w:t xml:space="preserve"> has been effective in supporting the expansion of service delivery through financing inputs</w:t>
      </w:r>
      <w:r>
        <w:t>,</w:t>
      </w:r>
      <w:r w:rsidRPr="009649C7">
        <w:t xml:space="preserve"> but less effective in addressing implementation capacity constraints at local service delivery level</w:t>
      </w:r>
      <w:r>
        <w:t>.</w:t>
      </w:r>
      <w:r w:rsidRPr="009649C7">
        <w:t xml:space="preserve"> </w:t>
      </w:r>
      <w:r>
        <w:t xml:space="preserve">This gap is often referred to as ‘the </w:t>
      </w:r>
      <w:r w:rsidRPr="009649C7">
        <w:t>missing middle</w:t>
      </w:r>
      <w:r>
        <w:t>’.</w:t>
      </w:r>
    </w:p>
    <w:p w:rsidR="00077780" w:rsidRPr="009649C7" w:rsidRDefault="00077780" w:rsidP="00077780">
      <w:pPr>
        <w:pStyle w:val="BoxText"/>
      </w:pPr>
    </w:p>
    <w:p w:rsidR="00077780" w:rsidRPr="00A74956" w:rsidRDefault="00077780" w:rsidP="00077780">
      <w:pPr>
        <w:pStyle w:val="BoxText"/>
        <w:rPr>
          <w:b/>
        </w:rPr>
      </w:pPr>
      <w:r w:rsidRPr="00A74956">
        <w:rPr>
          <w:b/>
        </w:rPr>
        <w:t>Improving alignment of funding to sector priorities</w:t>
      </w:r>
    </w:p>
    <w:p w:rsidR="00077780" w:rsidRPr="009649C7" w:rsidRDefault="00077780" w:rsidP="00077780">
      <w:pPr>
        <w:pStyle w:val="BoxText"/>
      </w:pPr>
      <w:r w:rsidRPr="009649C7">
        <w:t xml:space="preserve">Evidence shows that </w:t>
      </w:r>
      <w:proofErr w:type="spellStart"/>
      <w:r w:rsidRPr="009649C7">
        <w:t>SWAps</w:t>
      </w:r>
      <w:proofErr w:type="spellEnd"/>
      <w:r w:rsidRPr="009649C7">
        <w:t xml:space="preserve"> and </w:t>
      </w:r>
      <w:r>
        <w:t>sector budget support</w:t>
      </w:r>
      <w:r w:rsidRPr="009649C7">
        <w:t xml:space="preserve"> have supported d</w:t>
      </w:r>
      <w:r>
        <w:t>onor</w:t>
      </w:r>
      <w:r w:rsidRPr="009649C7">
        <w:t xml:space="preserve"> alignment with sector policies and strategies. The use of pool</w:t>
      </w:r>
      <w:r>
        <w:t>ed</w:t>
      </w:r>
      <w:r w:rsidRPr="009649C7">
        <w:t xml:space="preserve"> funds has provided and protected funds to the health sector and enabled </w:t>
      </w:r>
      <w:r w:rsidRPr="00EB6A10">
        <w:t>greater control of health resources by governments. At the same time it has reduced risk for donors</w:t>
      </w:r>
      <w:r w:rsidR="00B834B9" w:rsidRPr="00EB6A10">
        <w:t xml:space="preserve"> (in terms of achieving aid returns)</w:t>
      </w:r>
      <w:r w:rsidR="000072E7" w:rsidRPr="00EB6A10">
        <w:t xml:space="preserve"> </w:t>
      </w:r>
      <w:r w:rsidRPr="00EB6A10">
        <w:t>and helped them overcome some of the obstacles to channelling funds to government budgets</w:t>
      </w:r>
      <w:r w:rsidR="000072E7" w:rsidRPr="00EB6A10">
        <w:t xml:space="preserve"> in countries whose </w:t>
      </w:r>
      <w:r w:rsidR="00B834B9" w:rsidRPr="00EB6A10">
        <w:t xml:space="preserve">public finance and management systems were perceived (by the donor) as not being </w:t>
      </w:r>
      <w:r w:rsidR="000072E7" w:rsidRPr="00EB6A10">
        <w:t xml:space="preserve">robust </w:t>
      </w:r>
      <w:r w:rsidR="00B834B9" w:rsidRPr="00EB6A10">
        <w:t>enough to guarantee effective</w:t>
      </w:r>
      <w:r w:rsidR="000072E7" w:rsidRPr="00EB6A10">
        <w:t>, accountable</w:t>
      </w:r>
      <w:r w:rsidR="00B834B9" w:rsidRPr="00EB6A10">
        <w:t xml:space="preserve"> and transparent use of aid.</w:t>
      </w:r>
      <w:r w:rsidRPr="009649C7">
        <w:t xml:space="preserve"> </w:t>
      </w:r>
    </w:p>
    <w:p w:rsidR="00077780" w:rsidRPr="00AF0AC5" w:rsidRDefault="00077780" w:rsidP="00077780">
      <w:pPr>
        <w:pStyle w:val="BoxText"/>
      </w:pPr>
      <w:r w:rsidRPr="00AF0AC5">
        <w:t>Countries note greater reporting and transparency of d</w:t>
      </w:r>
      <w:r>
        <w:t>onor</w:t>
      </w:r>
      <w:r w:rsidRPr="00AF0AC5">
        <w:t xml:space="preserve"> resources (even in project form or in-kind) and provision of more predictable and increased resources for the plan</w:t>
      </w:r>
      <w:r>
        <w:t>,</w:t>
      </w:r>
      <w:r w:rsidRPr="00AF0AC5">
        <w:t xml:space="preserve"> which may be routed and accounted for through national systems. For example, in Tanzania </w:t>
      </w:r>
      <w:r>
        <w:t xml:space="preserve">the </w:t>
      </w:r>
      <w:r w:rsidRPr="00AF0AC5">
        <w:t>U</w:t>
      </w:r>
      <w:r>
        <w:t>.</w:t>
      </w:r>
      <w:r w:rsidRPr="00AF0AC5">
        <w:t>S</w:t>
      </w:r>
      <w:r>
        <w:t xml:space="preserve">. </w:t>
      </w:r>
      <w:r w:rsidRPr="00AF0AC5">
        <w:t>A</w:t>
      </w:r>
      <w:r>
        <w:t xml:space="preserve">gency for </w:t>
      </w:r>
      <w:r w:rsidRPr="00AF0AC5">
        <w:t>I</w:t>
      </w:r>
      <w:r>
        <w:t xml:space="preserve">nternational </w:t>
      </w:r>
      <w:r w:rsidRPr="00AF0AC5">
        <w:t>D</w:t>
      </w:r>
      <w:r>
        <w:t xml:space="preserve">evelopment </w:t>
      </w:r>
      <w:r w:rsidRPr="00AF0AC5">
        <w:t>has been reporting its support in detail to the government</w:t>
      </w:r>
      <w:r>
        <w:t>,</w:t>
      </w:r>
      <w:r w:rsidRPr="00AF0AC5">
        <w:t xml:space="preserve"> help</w:t>
      </w:r>
      <w:r>
        <w:t xml:space="preserve">ing to </w:t>
      </w:r>
      <w:r w:rsidRPr="00AF0AC5">
        <w:t xml:space="preserve">increase the completeness of budget figures. Similar examples have been reported from Rwanda, Mozambique and Bangladesh. A report showed that </w:t>
      </w:r>
      <w:r>
        <w:t>sector budget support</w:t>
      </w:r>
      <w:r w:rsidRPr="00AF0AC5">
        <w:t xml:space="preserve"> had contributed towards an increase in the quantity of services delivered, typically providing between 10% and 40% of sector expenditure, and sometimes more. </w:t>
      </w:r>
      <w:r>
        <w:t>Sector budget support</w:t>
      </w:r>
      <w:r w:rsidRPr="00AF0AC5">
        <w:t xml:space="preserve"> </w:t>
      </w:r>
      <w:r>
        <w:t xml:space="preserve">had </w:t>
      </w:r>
      <w:r w:rsidRPr="00AF0AC5">
        <w:t xml:space="preserve">supported the expansion of basic healthcare in Tanzania and the introduction of free basic healthcare in Zambia. The World Bank reported increased capacity to spend budgets and increases in the share of resources allocated to primary care in most </w:t>
      </w:r>
      <w:proofErr w:type="spellStart"/>
      <w:r w:rsidRPr="00AF0AC5">
        <w:t>SWAps</w:t>
      </w:r>
      <w:proofErr w:type="spellEnd"/>
      <w:r w:rsidRPr="00AF0AC5">
        <w:t xml:space="preserve"> reviewed. In Ghana and Tanzania, </w:t>
      </w:r>
      <w:proofErr w:type="spellStart"/>
      <w:r w:rsidRPr="00AF0AC5">
        <w:t>SWAp</w:t>
      </w:r>
      <w:proofErr w:type="spellEnd"/>
      <w:r w:rsidRPr="00AF0AC5">
        <w:t xml:space="preserve"> pooled funding arrangements </w:t>
      </w:r>
      <w:r>
        <w:t xml:space="preserve">had </w:t>
      </w:r>
      <w:r w:rsidRPr="00AF0AC5">
        <w:t>increased funding for health at district levels.</w:t>
      </w:r>
    </w:p>
    <w:p w:rsidR="00077780" w:rsidRPr="009649C7" w:rsidRDefault="00077780" w:rsidP="00077780">
      <w:pPr>
        <w:pStyle w:val="BoxText"/>
      </w:pPr>
      <w:proofErr w:type="spellStart"/>
      <w:r w:rsidRPr="009649C7">
        <w:t>SWAps</w:t>
      </w:r>
      <w:proofErr w:type="spellEnd"/>
      <w:r w:rsidRPr="009649C7">
        <w:t xml:space="preserve"> have been </w:t>
      </w:r>
      <w:r>
        <w:t xml:space="preserve">found </w:t>
      </w:r>
      <w:r w:rsidRPr="009649C7">
        <w:t>less effective in serving as a common framework for all external aid. In most countries there are still stand-alone</w:t>
      </w:r>
      <w:r>
        <w:t xml:space="preserve"> projects, priorities program</w:t>
      </w:r>
      <w:r w:rsidRPr="009649C7">
        <w:t xml:space="preserve"> and substantial volumes of resources outside pool</w:t>
      </w:r>
      <w:r>
        <w:t>ed</w:t>
      </w:r>
      <w:r w:rsidRPr="009649C7">
        <w:t xml:space="preserve"> arrangements</w:t>
      </w:r>
      <w:r>
        <w:t xml:space="preserve"> </w:t>
      </w:r>
      <w:r w:rsidRPr="009649C7">
        <w:t xml:space="preserve">and out of sync with </w:t>
      </w:r>
      <w:proofErr w:type="spellStart"/>
      <w:r w:rsidRPr="009649C7">
        <w:t>SWAp</w:t>
      </w:r>
      <w:proofErr w:type="spellEnd"/>
      <w:r w:rsidRPr="009649C7">
        <w:t xml:space="preserve"> objectives, and which may</w:t>
      </w:r>
      <w:r>
        <w:t xml:space="preserve"> or </w:t>
      </w:r>
      <w:r w:rsidRPr="009649C7">
        <w:t xml:space="preserve">may not </w:t>
      </w:r>
      <w:r>
        <w:t xml:space="preserve">be part of </w:t>
      </w:r>
      <w:r w:rsidRPr="009649C7">
        <w:t xml:space="preserve">national planning frameworks. Progress towards closer sector-wide working has also been slower to develop than </w:t>
      </w:r>
      <w:proofErr w:type="gramStart"/>
      <w:r w:rsidRPr="009649C7">
        <w:t>anticipated,</w:t>
      </w:r>
      <w:proofErr w:type="gramEnd"/>
      <w:r w:rsidRPr="009649C7">
        <w:t xml:space="preserve"> with pool</w:t>
      </w:r>
      <w:r>
        <w:t>ed</w:t>
      </w:r>
      <w:r w:rsidRPr="009649C7">
        <w:t xml:space="preserve"> funds largely remaining within </w:t>
      </w:r>
      <w:proofErr w:type="spellStart"/>
      <w:r w:rsidRPr="009649C7">
        <w:t>SWAps</w:t>
      </w:r>
      <w:proofErr w:type="spellEnd"/>
      <w:r w:rsidRPr="009649C7">
        <w:t xml:space="preserve"> </w:t>
      </w:r>
      <w:r>
        <w:t>(</w:t>
      </w:r>
      <w:r w:rsidRPr="009649C7">
        <w:t>i.e. they do not appear to have widely facilitated the transition to, strengthening</w:t>
      </w:r>
      <w:r>
        <w:t xml:space="preserve"> and use of government systems). </w:t>
      </w:r>
      <w:r w:rsidRPr="009649C7">
        <w:t>Mozambique merged a number of common funds to become one fund support</w:t>
      </w:r>
      <w:r>
        <w:t>ing the</w:t>
      </w:r>
      <w:r w:rsidRPr="009649C7">
        <w:t xml:space="preserve"> </w:t>
      </w:r>
      <w:r>
        <w:t xml:space="preserve">sector budget </w:t>
      </w:r>
      <w:r w:rsidRPr="009649C7">
        <w:t xml:space="preserve">but overall, literature and examples of </w:t>
      </w:r>
      <w:proofErr w:type="spellStart"/>
      <w:r w:rsidRPr="009649C7">
        <w:t>SWAps</w:t>
      </w:r>
      <w:proofErr w:type="spellEnd"/>
      <w:r w:rsidRPr="009649C7">
        <w:t xml:space="preserve"> enabling transition between aid modalities is very limited. </w:t>
      </w:r>
    </w:p>
    <w:p w:rsidR="00077780" w:rsidRDefault="00077780" w:rsidP="00077780">
      <w:pPr>
        <w:pStyle w:val="BoxText"/>
      </w:pPr>
      <w:r>
        <w:t>The Organisation for Economic Co-operation and Development (</w:t>
      </w:r>
      <w:r w:rsidRPr="009649C7">
        <w:t>OECD</w:t>
      </w:r>
      <w:r>
        <w:t>)</w:t>
      </w:r>
      <w:r w:rsidRPr="009649C7">
        <w:t xml:space="preserve"> reports that even in the contexts of well-established </w:t>
      </w:r>
      <w:proofErr w:type="spellStart"/>
      <w:r w:rsidRPr="009649C7">
        <w:t>SWAps</w:t>
      </w:r>
      <w:proofErr w:type="spellEnd"/>
      <w:r w:rsidRPr="009649C7">
        <w:t xml:space="preserve"> such as Cambodia, Malawi, Mali and Zambia, or in countries with public financial management systems that achieve over and above </w:t>
      </w:r>
      <w:r>
        <w:t>donors’ expectations</w:t>
      </w:r>
      <w:r w:rsidRPr="009649C7">
        <w:t>, there continues to be modest and sometimes inconsistent use of co</w:t>
      </w:r>
      <w:r>
        <w:t>untry systems.</w:t>
      </w:r>
      <w:r w:rsidRPr="009649C7">
        <w:t xml:space="preserve"> </w:t>
      </w:r>
    </w:p>
    <w:p w:rsidR="00077780" w:rsidRPr="000A1FC9" w:rsidRDefault="00077780" w:rsidP="00077780">
      <w:pPr>
        <w:pStyle w:val="BoxQuote"/>
      </w:pPr>
      <w:r w:rsidRPr="003615C8">
        <w:t>Sources:</w:t>
      </w:r>
      <w:r w:rsidRPr="000A1FC9">
        <w:t xml:space="preserve"> </w:t>
      </w:r>
    </w:p>
    <w:p w:rsidR="00077780" w:rsidRDefault="00077780" w:rsidP="00077780">
      <w:pPr>
        <w:pStyle w:val="BoxQuote"/>
        <w:ind w:left="0" w:firstLine="0"/>
      </w:pPr>
      <w:proofErr w:type="spellStart"/>
      <w:r w:rsidRPr="000A1FC9">
        <w:lastRenderedPageBreak/>
        <w:t>Walford</w:t>
      </w:r>
      <w:proofErr w:type="spellEnd"/>
      <w:r w:rsidRPr="000A1FC9">
        <w:t>, 2007</w:t>
      </w:r>
      <w:r>
        <w:t xml:space="preserve">; </w:t>
      </w:r>
      <w:r w:rsidRPr="000A1FC9">
        <w:rPr>
          <w:noProof/>
        </w:rPr>
        <w:t>Vaillancourt, 2009</w:t>
      </w:r>
      <w:r>
        <w:rPr>
          <w:noProof/>
        </w:rPr>
        <w:t xml:space="preserve">; </w:t>
      </w:r>
      <w:r w:rsidRPr="000A1FC9">
        <w:rPr>
          <w:noProof/>
        </w:rPr>
        <w:t>Vaillancourt, 2012</w:t>
      </w:r>
      <w:r>
        <w:rPr>
          <w:noProof/>
        </w:rPr>
        <w:t xml:space="preserve">; OECD, 2011; </w:t>
      </w:r>
      <w:r w:rsidRPr="000A1FC9">
        <w:t>Williamson &amp; Dom, 2010</w:t>
      </w:r>
      <w:r>
        <w:t xml:space="preserve">; </w:t>
      </w:r>
      <w:r w:rsidRPr="000A1FC9">
        <w:t xml:space="preserve">Peters, </w:t>
      </w:r>
      <w:proofErr w:type="spellStart"/>
      <w:r w:rsidRPr="000A1FC9">
        <w:t>Paina</w:t>
      </w:r>
      <w:proofErr w:type="spellEnd"/>
      <w:r w:rsidRPr="000A1FC9">
        <w:t xml:space="preserve"> &amp; </w:t>
      </w:r>
      <w:proofErr w:type="spellStart"/>
      <w:r w:rsidRPr="000A1FC9">
        <w:t>Schleimann</w:t>
      </w:r>
      <w:proofErr w:type="spellEnd"/>
      <w:r w:rsidRPr="000A1FC9">
        <w:t>, 2013</w:t>
      </w:r>
      <w:r>
        <w:t xml:space="preserve">; </w:t>
      </w:r>
      <w:r w:rsidRPr="000A1FC9">
        <w:t>Negin,</w:t>
      </w:r>
      <w:r>
        <w:t xml:space="preserve">2010; </w:t>
      </w:r>
      <w:proofErr w:type="spellStart"/>
      <w:r w:rsidRPr="000A1FC9">
        <w:t>McNee</w:t>
      </w:r>
      <w:proofErr w:type="spellEnd"/>
      <w:r w:rsidRPr="000A1FC9">
        <w:t xml:space="preserve">, </w:t>
      </w:r>
      <w:r>
        <w:t xml:space="preserve">2012; </w:t>
      </w:r>
      <w:r w:rsidRPr="000A1FC9">
        <w:t xml:space="preserve">Dickinson, </w:t>
      </w:r>
      <w:r>
        <w:t>2011. See Appendix 4 for full list of references.</w:t>
      </w:r>
    </w:p>
    <w:p w:rsidR="00A74956" w:rsidRDefault="00A74956" w:rsidP="008771C7"/>
    <w:p w:rsidR="00B23F8D" w:rsidRDefault="00B23F8D" w:rsidP="008771C7">
      <w:r>
        <w:t xml:space="preserve">This report continues by examining in greater depth the evidence for the six </w:t>
      </w:r>
      <w:r w:rsidR="00755FCB">
        <w:t>selected</w:t>
      </w:r>
      <w:r>
        <w:t xml:space="preserve"> countries</w:t>
      </w:r>
      <w:r>
        <w:rPr>
          <w:rFonts w:ascii="Corbel" w:hAnsi="Corbel"/>
        </w:rPr>
        <w:t>—</w:t>
      </w:r>
      <w:r>
        <w:t>Bangladesh, Cambodia, Nepal, P</w:t>
      </w:r>
      <w:r w:rsidR="00DF1DD1">
        <w:t>apua New Guinea</w:t>
      </w:r>
      <w:r>
        <w:t xml:space="preserve">, Samoa, and Solomon Islands. </w:t>
      </w:r>
    </w:p>
    <w:p w:rsidR="00670BC7" w:rsidRPr="008771C7" w:rsidRDefault="00052D7C" w:rsidP="008771C7">
      <w:pPr>
        <w:pStyle w:val="Heading2"/>
      </w:pPr>
      <w:bookmarkStart w:id="30" w:name="_Toc394224881"/>
      <w:bookmarkStart w:id="31" w:name="_Toc403403689"/>
      <w:r>
        <w:t>3</w:t>
      </w:r>
      <w:r w:rsidR="008771C7">
        <w:t>.</w:t>
      </w:r>
      <w:r>
        <w:t>2</w:t>
      </w:r>
      <w:r w:rsidR="008771C7">
        <w:tab/>
      </w:r>
      <w:r w:rsidR="00670BC7" w:rsidRPr="008771C7">
        <w:t xml:space="preserve">Did </w:t>
      </w:r>
      <w:proofErr w:type="spellStart"/>
      <w:r w:rsidR="00670BC7" w:rsidRPr="008771C7">
        <w:t>SWAps</w:t>
      </w:r>
      <w:proofErr w:type="spellEnd"/>
      <w:r w:rsidR="00670BC7" w:rsidRPr="008771C7">
        <w:t xml:space="preserve"> increase the focus on results</w:t>
      </w:r>
      <w:r w:rsidR="00EB5D6F">
        <w:t>?</w:t>
      </w:r>
      <w:r w:rsidR="00670BC7" w:rsidRPr="008771C7">
        <w:t xml:space="preserve"> </w:t>
      </w:r>
      <w:bookmarkEnd w:id="30"/>
      <w:bookmarkEnd w:id="31"/>
    </w:p>
    <w:p w:rsidR="00B23F8D" w:rsidRPr="001931BB" w:rsidRDefault="000072E7" w:rsidP="00B23F8D">
      <w:pPr>
        <w:pStyle w:val="NormalBeforeBullet"/>
      </w:pPr>
      <w:r>
        <w:t xml:space="preserve">In this section we discuss the focus on results relating to </w:t>
      </w:r>
      <w:r w:rsidRPr="00197C5B">
        <w:t xml:space="preserve">the </w:t>
      </w:r>
      <w:proofErr w:type="spellStart"/>
      <w:r w:rsidRPr="00197C5B">
        <w:t>SWAp</w:t>
      </w:r>
      <w:proofErr w:type="spellEnd"/>
      <w:r w:rsidRPr="00197C5B">
        <w:t xml:space="preserve"> and </w:t>
      </w:r>
      <w:r>
        <w:t>to the Australian aid program</w:t>
      </w:r>
      <w:r w:rsidRPr="00197C5B">
        <w:t xml:space="preserve"> </w:t>
      </w:r>
      <w:r w:rsidRPr="001931BB">
        <w:t>objectives.</w:t>
      </w:r>
      <w:r w:rsidR="001931BB" w:rsidRPr="001931BB">
        <w:t xml:space="preserve">  </w:t>
      </w:r>
      <w:r w:rsidR="00B23F8D" w:rsidRPr="001931BB">
        <w:t>Key findings:</w:t>
      </w:r>
    </w:p>
    <w:p w:rsidR="00B23F8D" w:rsidRPr="001931BB" w:rsidRDefault="001931BB" w:rsidP="00B23F8D">
      <w:pPr>
        <w:pStyle w:val="Bullet"/>
      </w:pPr>
      <w:r>
        <w:t>In most countries the res</w:t>
      </w:r>
      <w:r w:rsidR="00B23F8D" w:rsidRPr="001931BB">
        <w:t xml:space="preserve">ults </w:t>
      </w:r>
      <w:r>
        <w:t xml:space="preserve">expected from </w:t>
      </w:r>
      <w:r w:rsidR="00B23F8D" w:rsidRPr="001931BB">
        <w:t xml:space="preserve">the </w:t>
      </w:r>
      <w:proofErr w:type="spellStart"/>
      <w:r w:rsidR="00B23F8D" w:rsidRPr="001931BB">
        <w:t>SWAp</w:t>
      </w:r>
      <w:proofErr w:type="spellEnd"/>
      <w:r w:rsidR="00B23F8D" w:rsidRPr="001931BB">
        <w:t xml:space="preserve"> were linked to the results </w:t>
      </w:r>
      <w:r>
        <w:t xml:space="preserve">measured </w:t>
      </w:r>
      <w:r w:rsidR="00B23F8D" w:rsidRPr="001931BB">
        <w:t>at sector or program level</w:t>
      </w:r>
      <w:r>
        <w:t xml:space="preserve"> in the form of </w:t>
      </w:r>
      <w:r w:rsidR="00B23F8D" w:rsidRPr="001931BB">
        <w:t>health outcomes and service or program outputs, and reflected in M&amp;E or results frameworks. All countries (except P</w:t>
      </w:r>
      <w:r w:rsidR="00DF1DD1" w:rsidRPr="001931BB">
        <w:t>apua New Guinea</w:t>
      </w:r>
      <w:r w:rsidR="00B23F8D" w:rsidRPr="001931BB">
        <w:t xml:space="preserve"> and Solomon Islands) had defined results frameworks, of varying suitability, by 2011 (the year when most independent evaluations were undertaken</w:t>
      </w:r>
      <w:r w:rsidR="009A16FB" w:rsidRPr="001931BB">
        <w:t>).</w:t>
      </w:r>
    </w:p>
    <w:p w:rsidR="00B23F8D" w:rsidRPr="001931BB" w:rsidRDefault="00B23F8D" w:rsidP="00B23F8D">
      <w:pPr>
        <w:pStyle w:val="Bullet"/>
      </w:pPr>
      <w:r w:rsidRPr="001931BB">
        <w:t xml:space="preserve">Only Cambodia, Nepal and to some extent Bangladesh, defined specific results expected in terms of </w:t>
      </w:r>
      <w:proofErr w:type="spellStart"/>
      <w:r w:rsidRPr="001931BB">
        <w:t>SWAp</w:t>
      </w:r>
      <w:proofErr w:type="spellEnd"/>
      <w:r w:rsidRPr="001931BB">
        <w:t xml:space="preserve"> components (focus on results, strengthened M&amp;E, etc.). The </w:t>
      </w:r>
      <w:proofErr w:type="spellStart"/>
      <w:r w:rsidRPr="001931BB">
        <w:t>SWAp</w:t>
      </w:r>
      <w:proofErr w:type="spellEnd"/>
      <w:r w:rsidRPr="001931BB">
        <w:t xml:space="preserve">-specific results were not necessarily part of the sector results frameworks and were reported qualitatively in the annual sector or program reviews. </w:t>
      </w:r>
    </w:p>
    <w:p w:rsidR="00B23F8D" w:rsidRPr="001931BB" w:rsidRDefault="00AF3C88" w:rsidP="00B23F8D">
      <w:pPr>
        <w:pStyle w:val="Bullet"/>
      </w:pPr>
      <w:r w:rsidRPr="001931BB">
        <w:t xml:space="preserve">Prioritisation of expected results at sector or program levels was stronger in the older </w:t>
      </w:r>
      <w:proofErr w:type="spellStart"/>
      <w:r w:rsidRPr="001931BB">
        <w:t>SWAps</w:t>
      </w:r>
      <w:proofErr w:type="spellEnd"/>
      <w:r w:rsidRPr="001931BB">
        <w:t xml:space="preserve"> of Asia and weaker in the Pacific countries (particularly in Papua New </w:t>
      </w:r>
      <w:r w:rsidR="00EC160E" w:rsidRPr="001931BB">
        <w:t>Guinea and</w:t>
      </w:r>
      <w:r w:rsidR="00B23F8D" w:rsidRPr="001931BB">
        <w:t xml:space="preserve"> Solomon Islands). The literature indicates that first generation </w:t>
      </w:r>
      <w:proofErr w:type="spellStart"/>
      <w:r w:rsidR="00B23F8D" w:rsidRPr="001931BB">
        <w:t>SWAps</w:t>
      </w:r>
      <w:proofErr w:type="spellEnd"/>
      <w:r w:rsidR="00B23F8D" w:rsidRPr="001931BB">
        <w:t xml:space="preserve"> tend to define many results at first and become more selective and prioritise results in the second and third generation health plans or programs.</w:t>
      </w:r>
      <w:r w:rsidR="00B23F8D" w:rsidRPr="001931BB">
        <w:rPr>
          <w:rStyle w:val="FootnoteReference"/>
        </w:rPr>
        <w:footnoteReference w:id="35"/>
      </w:r>
      <w:r w:rsidR="00B23F8D" w:rsidRPr="001931BB">
        <w:t xml:space="preserve"> </w:t>
      </w:r>
    </w:p>
    <w:p w:rsidR="00B23F8D" w:rsidRPr="001931BB" w:rsidRDefault="00B23F8D" w:rsidP="00B23F8D">
      <w:pPr>
        <w:pStyle w:val="BulletLast"/>
      </w:pPr>
      <w:r w:rsidRPr="001931BB">
        <w:t>The Australian aid program defined expected results for its health portfolio in all countries. These results were a subset of the indicators included in the country level results framework</w:t>
      </w:r>
      <w:r w:rsidR="009A16FB" w:rsidRPr="001931BB">
        <w:t xml:space="preserve">, and were </w:t>
      </w:r>
      <w:r w:rsidRPr="001931BB">
        <w:t xml:space="preserve">reported on in a range of documents (e.g. annual program performance reports or their thematic equivalents, quality at entry and quality at implementation reports). </w:t>
      </w:r>
      <w:r w:rsidR="00AF3C88" w:rsidRPr="001931BB">
        <w:t xml:space="preserve">In some countries (Samoa, Solomon Islands and Papua New Guinea) the health information system could not report against all indicators. </w:t>
      </w:r>
    </w:p>
    <w:p w:rsidR="00C20764" w:rsidRPr="001931BB" w:rsidRDefault="00670BC7" w:rsidP="008771C7">
      <w:r w:rsidRPr="001931BB">
        <w:t xml:space="preserve">The </w:t>
      </w:r>
      <w:r w:rsidR="00EB5D6F" w:rsidRPr="001931BB">
        <w:t xml:space="preserve">documents we </w:t>
      </w:r>
      <w:r w:rsidRPr="001931BB">
        <w:t>review</w:t>
      </w:r>
      <w:r w:rsidR="00EB5D6F" w:rsidRPr="001931BB">
        <w:t>ed</w:t>
      </w:r>
      <w:r w:rsidR="0014069C" w:rsidRPr="001931BB">
        <w:t xml:space="preserve"> </w:t>
      </w:r>
      <w:r w:rsidRPr="001931BB">
        <w:t xml:space="preserve">conclude that </w:t>
      </w:r>
      <w:proofErr w:type="spellStart"/>
      <w:r w:rsidRPr="001931BB">
        <w:t>SWAps</w:t>
      </w:r>
      <w:proofErr w:type="spellEnd"/>
      <w:r w:rsidRPr="001931BB">
        <w:t xml:space="preserve"> clearly contributed to an increased focus on results, although they qualify this </w:t>
      </w:r>
      <w:r w:rsidR="009A16FB" w:rsidRPr="001931BB">
        <w:t>noting</w:t>
      </w:r>
      <w:r w:rsidRPr="001931BB">
        <w:t xml:space="preserve"> the limitations and poor reliability of sector results frameworks. </w:t>
      </w:r>
      <w:r w:rsidR="00EB5D6F" w:rsidRPr="001931BB">
        <w:t xml:space="preserve">They </w:t>
      </w:r>
      <w:r w:rsidR="009A16FB" w:rsidRPr="001931BB">
        <w:t xml:space="preserve">point out </w:t>
      </w:r>
      <w:r w:rsidRPr="001931BB">
        <w:t xml:space="preserve">that problems of reporting and achieving robust results are to be expected, particularly in the more incipient </w:t>
      </w:r>
      <w:proofErr w:type="spellStart"/>
      <w:r w:rsidRPr="001931BB">
        <w:t>SWAps</w:t>
      </w:r>
      <w:proofErr w:type="spellEnd"/>
      <w:r w:rsidRPr="001931BB">
        <w:t xml:space="preserve">, where strengthening </w:t>
      </w:r>
      <w:r w:rsidR="000661E6" w:rsidRPr="001931BB">
        <w:t xml:space="preserve">the </w:t>
      </w:r>
      <w:r w:rsidRPr="001931BB">
        <w:t xml:space="preserve">results focus and the country’s health information systems are an integral part of what </w:t>
      </w:r>
      <w:r w:rsidR="00EB5D6F" w:rsidRPr="001931BB">
        <w:t xml:space="preserve">the approach </w:t>
      </w:r>
      <w:r w:rsidRPr="001931BB">
        <w:t xml:space="preserve">aims to address. This may explain the </w:t>
      </w:r>
      <w:r w:rsidR="00C20764" w:rsidRPr="001931BB">
        <w:t xml:space="preserve">weaker </w:t>
      </w:r>
      <w:r w:rsidR="00EB5D6F" w:rsidRPr="001931BB">
        <w:t xml:space="preserve">results </w:t>
      </w:r>
      <w:r w:rsidRPr="001931BB">
        <w:t xml:space="preserve">focus in the Pacific </w:t>
      </w:r>
      <w:r w:rsidR="00EB5D6F" w:rsidRPr="001931BB">
        <w:t>countr</w:t>
      </w:r>
      <w:r w:rsidR="00C20764" w:rsidRPr="001931BB">
        <w:t xml:space="preserve">ies </w:t>
      </w:r>
      <w:r w:rsidRPr="001931BB">
        <w:t xml:space="preserve">than in the more consolidated </w:t>
      </w:r>
      <w:r w:rsidR="00EB5D6F" w:rsidRPr="001931BB">
        <w:t xml:space="preserve">Asian </w:t>
      </w:r>
      <w:proofErr w:type="spellStart"/>
      <w:r w:rsidR="00EB5D6F" w:rsidRPr="001931BB">
        <w:t>SWAps</w:t>
      </w:r>
      <w:proofErr w:type="spellEnd"/>
      <w:r w:rsidR="00EB5D6F" w:rsidRPr="001931BB">
        <w:t>.</w:t>
      </w:r>
      <w:r w:rsidR="00C20764" w:rsidRPr="001931BB">
        <w:t xml:space="preserve"> </w:t>
      </w:r>
      <w:r w:rsidRPr="001931BB">
        <w:t xml:space="preserve">The literature </w:t>
      </w:r>
      <w:r w:rsidR="00C20764" w:rsidRPr="001931BB">
        <w:t xml:space="preserve">also </w:t>
      </w:r>
      <w:r w:rsidR="00EB5D6F" w:rsidRPr="001931BB">
        <w:t xml:space="preserve">notes </w:t>
      </w:r>
      <w:r w:rsidRPr="001931BB">
        <w:t xml:space="preserve">the confusion between </w:t>
      </w:r>
      <w:r w:rsidR="00C20764" w:rsidRPr="001931BB">
        <w:t>‘</w:t>
      </w:r>
      <w:proofErr w:type="spellStart"/>
      <w:r w:rsidRPr="001931BB">
        <w:t>SWAp</w:t>
      </w:r>
      <w:proofErr w:type="spellEnd"/>
      <w:r w:rsidRPr="001931BB">
        <w:t>-specific</w:t>
      </w:r>
      <w:r w:rsidR="00C20764" w:rsidRPr="001931BB">
        <w:t>’</w:t>
      </w:r>
      <w:r w:rsidRPr="001931BB">
        <w:t xml:space="preserve"> results and sector results, and the difficulties of attributi</w:t>
      </w:r>
      <w:r w:rsidR="00C20764" w:rsidRPr="001931BB">
        <w:t>on (</w:t>
      </w:r>
      <w:r w:rsidR="00247AA6" w:rsidRPr="001931BB">
        <w:t xml:space="preserve">as we explained </w:t>
      </w:r>
      <w:r w:rsidR="00C20764" w:rsidRPr="001931BB">
        <w:t>in Section 1.</w:t>
      </w:r>
      <w:r w:rsidR="00A9018F" w:rsidRPr="001931BB">
        <w:t>4</w:t>
      </w:r>
      <w:r w:rsidR="00C20764" w:rsidRPr="001931BB">
        <w:t>)</w:t>
      </w:r>
      <w:r w:rsidRPr="001931BB">
        <w:t>.</w:t>
      </w:r>
    </w:p>
    <w:p w:rsidR="00670BC7" w:rsidRPr="001931BB" w:rsidRDefault="00670BC7" w:rsidP="008771C7">
      <w:r w:rsidRPr="001931BB">
        <w:t xml:space="preserve">These limitations are </w:t>
      </w:r>
      <w:r w:rsidR="00C20764" w:rsidRPr="001931BB">
        <w:t xml:space="preserve">also </w:t>
      </w:r>
      <w:r w:rsidRPr="001931BB">
        <w:t xml:space="preserve">reflected in reports from other donors such as </w:t>
      </w:r>
      <w:r w:rsidR="00E64C27" w:rsidRPr="001931BB">
        <w:t>the United Kingdom</w:t>
      </w:r>
      <w:r w:rsidR="00247AA6" w:rsidRPr="001931BB">
        <w:t xml:space="preserve">’s </w:t>
      </w:r>
      <w:r w:rsidRPr="001931BB">
        <w:t>D</w:t>
      </w:r>
      <w:r w:rsidR="00247AA6" w:rsidRPr="001931BB">
        <w:t xml:space="preserve">epartment for International Development </w:t>
      </w:r>
      <w:r w:rsidRPr="001931BB">
        <w:t>and the World Bank</w:t>
      </w:r>
      <w:r w:rsidR="00247AA6" w:rsidRPr="001931BB">
        <w:t xml:space="preserve">. They </w:t>
      </w:r>
      <w:r w:rsidRPr="001931BB">
        <w:t xml:space="preserve">highlight that even an effective </w:t>
      </w:r>
      <w:proofErr w:type="spellStart"/>
      <w:r w:rsidRPr="001931BB">
        <w:t>SWAp</w:t>
      </w:r>
      <w:proofErr w:type="spellEnd"/>
      <w:r w:rsidRPr="001931BB">
        <w:t xml:space="preserve"> may take years to show sector results, and that even when results occur they cannot </w:t>
      </w:r>
      <w:r w:rsidR="00247AA6" w:rsidRPr="001931BB">
        <w:lastRenderedPageBreak/>
        <w:t xml:space="preserve">necessarily </w:t>
      </w:r>
      <w:r w:rsidRPr="001931BB">
        <w:t xml:space="preserve">be attributed to the </w:t>
      </w:r>
      <w:proofErr w:type="spellStart"/>
      <w:r w:rsidRPr="001931BB">
        <w:t>SWAp</w:t>
      </w:r>
      <w:proofErr w:type="spellEnd"/>
      <w:r w:rsidRPr="001931BB">
        <w:t xml:space="preserve"> itself</w:t>
      </w:r>
      <w:r w:rsidR="000E1CFA" w:rsidRPr="001931BB">
        <w:t xml:space="preserve">. </w:t>
      </w:r>
      <w:r w:rsidRPr="001931BB">
        <w:t xml:space="preserve">For example, health outcomes and service outputs were improving in Bangladesh between 2005 and 2008, at </w:t>
      </w:r>
      <w:r w:rsidR="00C20764" w:rsidRPr="001931BB">
        <w:t>a</w:t>
      </w:r>
      <w:r w:rsidRPr="001931BB">
        <w:t xml:space="preserve"> time </w:t>
      </w:r>
      <w:r w:rsidR="00C20764" w:rsidRPr="001931BB">
        <w:t xml:space="preserve">when </w:t>
      </w:r>
      <w:r w:rsidRPr="001931BB">
        <w:t xml:space="preserve">the </w:t>
      </w:r>
      <w:proofErr w:type="spellStart"/>
      <w:r w:rsidRPr="001931BB">
        <w:t>SWAp</w:t>
      </w:r>
      <w:proofErr w:type="spellEnd"/>
      <w:r w:rsidRPr="001931BB">
        <w:t xml:space="preserve"> was not working effe</w:t>
      </w:r>
      <w:r w:rsidR="00B67242" w:rsidRPr="001931BB">
        <w:t>ctively and the sector program</w:t>
      </w:r>
      <w:r w:rsidRPr="001931BB">
        <w:t xml:space="preserve"> was experiencing a crisis of leadership and focus.</w:t>
      </w:r>
      <w:r w:rsidRPr="001931BB">
        <w:rPr>
          <w:rStyle w:val="FootnoteReference"/>
        </w:rPr>
        <w:footnoteReference w:id="36"/>
      </w:r>
      <w:r w:rsidRPr="001931BB">
        <w:t xml:space="preserve">  </w:t>
      </w:r>
    </w:p>
    <w:p w:rsidR="00670BC7" w:rsidRPr="00DA4617" w:rsidRDefault="00670BC7" w:rsidP="008771C7">
      <w:pPr>
        <w:spacing w:line="276" w:lineRule="auto"/>
      </w:pPr>
      <w:proofErr w:type="gramStart"/>
      <w:r w:rsidRPr="001931BB">
        <w:t>Supporting information</w:t>
      </w:r>
      <w:r w:rsidR="003615C8" w:rsidRPr="001931BB">
        <w:t xml:space="preserve"> and references</w:t>
      </w:r>
      <w:r w:rsidR="00BF51FF" w:rsidRPr="001931BB">
        <w:t xml:space="preserve">: </w:t>
      </w:r>
      <w:r w:rsidR="00325186" w:rsidRPr="001931BB">
        <w:t>Appendix</w:t>
      </w:r>
      <w:r w:rsidRPr="001931BB">
        <w:t xml:space="preserve"> </w:t>
      </w:r>
      <w:r w:rsidR="003615C8" w:rsidRPr="001931BB">
        <w:t>3</w:t>
      </w:r>
      <w:r w:rsidR="00BF51FF" w:rsidRPr="001931BB">
        <w:t xml:space="preserve">, </w:t>
      </w:r>
      <w:r w:rsidRPr="001931BB">
        <w:t>Table</w:t>
      </w:r>
      <w:r w:rsidR="00BF51FF" w:rsidRPr="001931BB">
        <w:t>s</w:t>
      </w:r>
      <w:r w:rsidRPr="001931BB">
        <w:t xml:space="preserve"> A1</w:t>
      </w:r>
      <w:r w:rsidR="00BF51FF" w:rsidRPr="001931BB">
        <w:t xml:space="preserve">, </w:t>
      </w:r>
      <w:r w:rsidRPr="001931BB">
        <w:t>A2</w:t>
      </w:r>
      <w:r w:rsidR="00BF51FF" w:rsidRPr="001931BB">
        <w:t xml:space="preserve"> and A3</w:t>
      </w:r>
      <w:r w:rsidR="003615C8" w:rsidRPr="001931BB">
        <w:t>.</w:t>
      </w:r>
      <w:proofErr w:type="gramEnd"/>
      <w:r w:rsidR="00BF51FF">
        <w:t xml:space="preserve"> </w:t>
      </w:r>
    </w:p>
    <w:p w:rsidR="00670BC7" w:rsidRPr="00AD6DCF" w:rsidRDefault="00B97C5E" w:rsidP="008771C7">
      <w:pPr>
        <w:pStyle w:val="Heading2"/>
      </w:pPr>
      <w:bookmarkStart w:id="32" w:name="_Toc403403690"/>
      <w:bookmarkStart w:id="33" w:name="_Toc394224882"/>
      <w:r w:rsidRPr="0097056D">
        <w:t>3</w:t>
      </w:r>
      <w:r w:rsidR="008771C7" w:rsidRPr="00573409">
        <w:t>.</w:t>
      </w:r>
      <w:r w:rsidRPr="00573409">
        <w:t>3</w:t>
      </w:r>
      <w:r w:rsidR="008771C7" w:rsidRPr="004924EF">
        <w:tab/>
      </w:r>
      <w:r w:rsidR="00670BC7" w:rsidRPr="004924EF">
        <w:t xml:space="preserve">Did </w:t>
      </w:r>
      <w:proofErr w:type="spellStart"/>
      <w:r w:rsidR="00670BC7" w:rsidRPr="004924EF">
        <w:t>SWAps</w:t>
      </w:r>
      <w:proofErr w:type="spellEnd"/>
      <w:r w:rsidR="00670BC7" w:rsidRPr="004924EF">
        <w:t xml:space="preserve"> achieve </w:t>
      </w:r>
      <w:r w:rsidR="00015029" w:rsidRPr="006B5413">
        <w:t xml:space="preserve">the </w:t>
      </w:r>
      <w:r w:rsidR="00670BC7" w:rsidRPr="006B5413">
        <w:t xml:space="preserve">expected </w:t>
      </w:r>
      <w:r w:rsidR="00015029" w:rsidRPr="00883739">
        <w:t xml:space="preserve">sector/program </w:t>
      </w:r>
      <w:r w:rsidR="00670BC7" w:rsidRPr="00D961DF">
        <w:t>results</w:t>
      </w:r>
      <w:r w:rsidR="00015029" w:rsidRPr="00AD6DCF">
        <w:t>?</w:t>
      </w:r>
      <w:bookmarkEnd w:id="32"/>
      <w:r w:rsidR="00670BC7" w:rsidRPr="00AD6DCF">
        <w:t xml:space="preserve"> </w:t>
      </w:r>
      <w:bookmarkEnd w:id="33"/>
    </w:p>
    <w:p w:rsidR="00386725" w:rsidRDefault="00386725" w:rsidP="008771C7">
      <w:pPr>
        <w:pStyle w:val="NormalBeforeBullet"/>
      </w:pPr>
      <w:r w:rsidRPr="00AD6DCF">
        <w:t xml:space="preserve">There is considerable evidence that </w:t>
      </w:r>
      <w:proofErr w:type="spellStart"/>
      <w:r w:rsidRPr="00AD6DCF">
        <w:t>SWAps</w:t>
      </w:r>
      <w:proofErr w:type="spellEnd"/>
      <w:r w:rsidRPr="00AD6DCF">
        <w:t xml:space="preserve"> </w:t>
      </w:r>
      <w:r w:rsidR="00516D13">
        <w:t xml:space="preserve">in the six countries reviewed </w:t>
      </w:r>
      <w:r w:rsidRPr="00AD6DCF">
        <w:t>are contributing to str</w:t>
      </w:r>
      <w:r w:rsidR="00570A3A">
        <w:t xml:space="preserve">engthening the focus on </w:t>
      </w:r>
      <w:r w:rsidR="00FD5E11">
        <w:t>results</w:t>
      </w:r>
      <w:r w:rsidR="00FD5E11" w:rsidRPr="00AD6DCF">
        <w:t>,</w:t>
      </w:r>
      <w:r w:rsidR="00570A3A" w:rsidRPr="00AD6DCF">
        <w:t xml:space="preserve"> although the results cannot be attributed to the </w:t>
      </w:r>
      <w:proofErr w:type="spellStart"/>
      <w:r w:rsidR="00570A3A" w:rsidRPr="00AD6DCF">
        <w:t>SWAp</w:t>
      </w:r>
      <w:proofErr w:type="spellEnd"/>
      <w:r w:rsidR="00570A3A" w:rsidRPr="00AD6DCF">
        <w:t xml:space="preserve"> itself for methodologica</w:t>
      </w:r>
      <w:r w:rsidR="00570A3A" w:rsidRPr="0097056D">
        <w:t>l reasons.</w:t>
      </w:r>
    </w:p>
    <w:p w:rsidR="00670BC7" w:rsidRPr="00197C5B" w:rsidRDefault="00B23F8D" w:rsidP="008771C7">
      <w:pPr>
        <w:pStyle w:val="NormalBeforeBullet"/>
      </w:pPr>
      <w:r>
        <w:t xml:space="preserve">Key findings: </w:t>
      </w:r>
    </w:p>
    <w:p w:rsidR="00670BC7" w:rsidRPr="004E2EBA" w:rsidRDefault="00670BC7" w:rsidP="008771C7">
      <w:pPr>
        <w:pStyle w:val="Bullet"/>
      </w:pPr>
      <w:r w:rsidRPr="00086DF0">
        <w:t xml:space="preserve">Good progress at </w:t>
      </w:r>
      <w:r w:rsidR="009A16FB">
        <w:t xml:space="preserve">the </w:t>
      </w:r>
      <w:r w:rsidRPr="00086DF0">
        <w:t>health</w:t>
      </w:r>
      <w:r w:rsidR="009A16FB">
        <w:t xml:space="preserve"> sector or health program level</w:t>
      </w:r>
      <w:r w:rsidRPr="00086DF0">
        <w:t xml:space="preserve"> was reported in Bangladesh, Cambodia and Nepal</w:t>
      </w:r>
      <w:r w:rsidR="000E1CFA">
        <w:t xml:space="preserve">. </w:t>
      </w:r>
      <w:r w:rsidRPr="00086DF0">
        <w:t>In these countries progress has been reported on the main defined indicators for the sector</w:t>
      </w:r>
      <w:r w:rsidR="000E1CFA">
        <w:t xml:space="preserve">. </w:t>
      </w:r>
      <w:r w:rsidRPr="00086DF0">
        <w:t>Most indicators</w:t>
      </w:r>
      <w:r w:rsidRPr="004E2EBA">
        <w:t xml:space="preserve"> </w:t>
      </w:r>
      <w:r w:rsidR="00247AA6">
        <w:t>(</w:t>
      </w:r>
      <w:r w:rsidRPr="004E2EBA">
        <w:t>but not all</w:t>
      </w:r>
      <w:r w:rsidR="00247AA6">
        <w:t>)</w:t>
      </w:r>
      <w:r w:rsidRPr="004E2EBA">
        <w:t xml:space="preserve"> </w:t>
      </w:r>
      <w:r w:rsidR="00247AA6">
        <w:t>were</w:t>
      </w:r>
      <w:r w:rsidRPr="004E2EBA">
        <w:t xml:space="preserve"> on track. </w:t>
      </w:r>
    </w:p>
    <w:p w:rsidR="00670BC7" w:rsidRPr="00086DF0" w:rsidRDefault="00247AA6" w:rsidP="008771C7">
      <w:pPr>
        <w:pStyle w:val="Bullet"/>
      </w:pPr>
      <w:r>
        <w:t>Mixed results</w:t>
      </w:r>
      <w:r w:rsidR="00670BC7" w:rsidRPr="004E2EBA">
        <w:t xml:space="preserve"> were reported in Samoa, meaning that only some indicators show</w:t>
      </w:r>
      <w:r>
        <w:t>ed</w:t>
      </w:r>
      <w:r w:rsidR="00670BC7" w:rsidRPr="004E2EBA">
        <w:t xml:space="preserve"> progress and </w:t>
      </w:r>
      <w:r>
        <w:t>were</w:t>
      </w:r>
      <w:r w:rsidR="00670BC7" w:rsidRPr="004E2EBA">
        <w:t xml:space="preserve"> on track</w:t>
      </w:r>
      <w:r>
        <w:t>.</w:t>
      </w:r>
      <w:r w:rsidR="00670BC7" w:rsidRPr="004E2EBA">
        <w:t xml:space="preserve"> Judging from the more recent information contained in </w:t>
      </w:r>
      <w:r>
        <w:t xml:space="preserve">Australian aid program’s </w:t>
      </w:r>
      <w:r w:rsidR="00670BC7" w:rsidRPr="004E2EBA">
        <w:t xml:space="preserve">reports </w:t>
      </w:r>
      <w:r>
        <w:t>from 2013</w:t>
      </w:r>
      <w:r w:rsidR="00670BC7" w:rsidRPr="004E2EBA">
        <w:t xml:space="preserve"> it would appear that progress accelerated compared to 2011</w:t>
      </w:r>
      <w:r w:rsidR="00670BC7">
        <w:t>.</w:t>
      </w:r>
      <w:r w:rsidR="00670BC7" w:rsidRPr="00086DF0">
        <w:rPr>
          <w:rStyle w:val="FootnoteReference"/>
        </w:rPr>
        <w:footnoteReference w:id="37"/>
      </w:r>
      <w:r w:rsidR="00670BC7" w:rsidRPr="00086DF0">
        <w:t xml:space="preserve"> </w:t>
      </w:r>
    </w:p>
    <w:p w:rsidR="00670BC7" w:rsidRPr="004E2EBA" w:rsidRDefault="00670BC7" w:rsidP="001C67BD">
      <w:pPr>
        <w:pStyle w:val="BulletLast"/>
      </w:pPr>
      <w:r w:rsidRPr="00086DF0">
        <w:t>Very limited or no progress on the defined sector</w:t>
      </w:r>
      <w:r w:rsidRPr="004E2EBA">
        <w:t xml:space="preserve"> core indicators </w:t>
      </w:r>
      <w:r w:rsidR="00247AA6">
        <w:t>was</w:t>
      </w:r>
      <w:r w:rsidRPr="004E2EBA">
        <w:t xml:space="preserve"> reported in </w:t>
      </w:r>
      <w:r w:rsidR="00247AA6">
        <w:t xml:space="preserve">the </w:t>
      </w:r>
      <w:r w:rsidR="00DF1DD1">
        <w:t>Papua New Guinea</w:t>
      </w:r>
      <w:r w:rsidRPr="004E2EBA">
        <w:t xml:space="preserve"> and Solomon Islands in 2010 and 2011.</w:t>
      </w:r>
      <w:r w:rsidRPr="00086DF0">
        <w:rPr>
          <w:rStyle w:val="FootnoteReference"/>
        </w:rPr>
        <w:footnoteReference w:id="38"/>
      </w:r>
      <w:r w:rsidR="00247AA6">
        <w:t xml:space="preserve"> </w:t>
      </w:r>
      <w:r w:rsidR="00D3288D">
        <w:t xml:space="preserve"> </w:t>
      </w:r>
      <w:r w:rsidR="00AF3C88">
        <w:t>M</w:t>
      </w:r>
      <w:r w:rsidR="00AF3C88" w:rsidRPr="00086DF0">
        <w:t>ore recent</w:t>
      </w:r>
      <w:r w:rsidR="00AF3C88">
        <w:t xml:space="preserve">ly (in 2013) </w:t>
      </w:r>
      <w:r w:rsidR="00AF3C88" w:rsidRPr="00086DF0">
        <w:t xml:space="preserve">some key indicators seem to be on the upward trend judging from </w:t>
      </w:r>
      <w:r w:rsidR="00AF3C88">
        <w:t>Australian aid program</w:t>
      </w:r>
      <w:r w:rsidR="00AF3C88" w:rsidRPr="00086DF0">
        <w:t xml:space="preserve"> </w:t>
      </w:r>
      <w:r w:rsidR="00AF3C88">
        <w:t>reports</w:t>
      </w:r>
      <w:r w:rsidR="00F43F78">
        <w:t>.</w:t>
      </w:r>
      <w:r w:rsidR="00AF3C88" w:rsidRPr="004E2EBA">
        <w:t xml:space="preserve"> </w:t>
      </w:r>
    </w:p>
    <w:p w:rsidR="00386725" w:rsidRDefault="00B23F8D" w:rsidP="00B23F8D">
      <w:pPr>
        <w:pStyle w:val="Bullet"/>
        <w:numPr>
          <w:ilvl w:val="0"/>
          <w:numId w:val="0"/>
        </w:numPr>
      </w:pPr>
      <w:r w:rsidRPr="00197C5B">
        <w:t xml:space="preserve">Table </w:t>
      </w:r>
      <w:r w:rsidR="00276B44">
        <w:t>A4 in Appendix 3</w:t>
      </w:r>
      <w:r>
        <w:t xml:space="preserve"> </w:t>
      </w:r>
      <w:r w:rsidR="00247AA6">
        <w:t xml:space="preserve">shows </w:t>
      </w:r>
      <w:r w:rsidRPr="00197C5B">
        <w:t>summar</w:t>
      </w:r>
      <w:r w:rsidR="00247AA6">
        <w:t>y</w:t>
      </w:r>
      <w:r w:rsidRPr="00197C5B">
        <w:t xml:space="preserve"> progress with indicators at sector/program levels where possible</w:t>
      </w:r>
      <w:r>
        <w:t xml:space="preserve">. </w:t>
      </w:r>
      <w:r w:rsidR="00670BC7" w:rsidRPr="00197C5B">
        <w:t>Careful interpretation of these results is required given the over-simplification of sector level indicators</w:t>
      </w:r>
      <w:r w:rsidR="00247AA6">
        <w:t xml:space="preserve"> (</w:t>
      </w:r>
      <w:r w:rsidR="00670BC7" w:rsidRPr="00197C5B">
        <w:t>some of which</w:t>
      </w:r>
      <w:r w:rsidR="00247AA6">
        <w:t>, but not all,</w:t>
      </w:r>
      <w:r w:rsidR="00670BC7" w:rsidRPr="00197C5B">
        <w:t xml:space="preserve"> have progressed</w:t>
      </w:r>
      <w:r w:rsidR="00247AA6">
        <w:t>)</w:t>
      </w:r>
      <w:r w:rsidR="00670BC7" w:rsidRPr="00197C5B">
        <w:t xml:space="preserve">; difficulties </w:t>
      </w:r>
      <w:r w:rsidR="006A1305">
        <w:t>in making cross-</w:t>
      </w:r>
      <w:r w:rsidR="00670BC7" w:rsidRPr="00197C5B">
        <w:t xml:space="preserve">country comparisons given the different state of health development; </w:t>
      </w:r>
      <w:r w:rsidR="006A1305">
        <w:t xml:space="preserve">and </w:t>
      </w:r>
      <w:r w:rsidR="00386725">
        <w:t xml:space="preserve">the fact that </w:t>
      </w:r>
      <w:r w:rsidR="00670BC7" w:rsidRPr="00197C5B">
        <w:t xml:space="preserve">assessments undertaken in the three </w:t>
      </w:r>
      <w:r w:rsidR="00386725">
        <w:t xml:space="preserve">Pacific </w:t>
      </w:r>
      <w:r w:rsidR="00670BC7" w:rsidRPr="00197C5B">
        <w:t>countries focused on the earlier stages of the sector program, when health information systems were probably less reliable that they may be now</w:t>
      </w:r>
      <w:r w:rsidR="00386725">
        <w:t xml:space="preserve">. </w:t>
      </w:r>
    </w:p>
    <w:p w:rsidR="00670BC7" w:rsidRPr="00860081" w:rsidRDefault="00386725" w:rsidP="00860081">
      <w:pPr>
        <w:pStyle w:val="Bullet"/>
        <w:numPr>
          <w:ilvl w:val="0"/>
          <w:numId w:val="0"/>
        </w:numPr>
      </w:pPr>
      <w:r>
        <w:t>A</w:t>
      </w:r>
      <w:r w:rsidR="00670BC7" w:rsidRPr="00197C5B">
        <w:t xml:space="preserve">ttribution </w:t>
      </w:r>
      <w:r w:rsidR="00670BC7">
        <w:t xml:space="preserve">of results </w:t>
      </w:r>
      <w:r w:rsidR="00670BC7" w:rsidRPr="00197C5B">
        <w:t xml:space="preserve">to </w:t>
      </w:r>
      <w:proofErr w:type="spellStart"/>
      <w:r w:rsidR="00670BC7" w:rsidRPr="00197C5B">
        <w:t>SWAps</w:t>
      </w:r>
      <w:proofErr w:type="spellEnd"/>
      <w:r w:rsidR="00670BC7" w:rsidRPr="00197C5B">
        <w:t xml:space="preserve"> w</w:t>
      </w:r>
      <w:r w:rsidR="006A1305">
        <w:t>as</w:t>
      </w:r>
      <w:r w:rsidR="00670BC7" w:rsidRPr="00197C5B">
        <w:t xml:space="preserve"> not attempted by any of the authors of the main independent reviews and evaluations.</w:t>
      </w:r>
      <w:r w:rsidR="00836E0E">
        <w:t xml:space="preserve"> More detail on results in specific countries is presented in </w:t>
      </w:r>
      <w:r w:rsidR="00860081">
        <w:t xml:space="preserve">Appendix 3, Table A4 </w:t>
      </w:r>
      <w:r w:rsidRPr="00074AD9">
        <w:rPr>
          <w:rFonts w:eastAsiaTheme="majorEastAsia" w:cstheme="majorBidi"/>
        </w:rPr>
        <w:t xml:space="preserve"> </w:t>
      </w:r>
    </w:p>
    <w:p w:rsidR="00670BC7" w:rsidRPr="009F73E7" w:rsidRDefault="00B97C5E" w:rsidP="009F73E7">
      <w:pPr>
        <w:pStyle w:val="Heading2"/>
      </w:pPr>
      <w:bookmarkStart w:id="34" w:name="_Toc394224883"/>
      <w:bookmarkStart w:id="35" w:name="_Toc403403691"/>
      <w:r>
        <w:t>3</w:t>
      </w:r>
      <w:r w:rsidR="009F73E7">
        <w:t>.</w:t>
      </w:r>
      <w:r>
        <w:t>4</w:t>
      </w:r>
      <w:r w:rsidR="009F73E7">
        <w:tab/>
      </w:r>
      <w:r w:rsidR="00670BC7" w:rsidRPr="009F73E7">
        <w:t xml:space="preserve">Did </w:t>
      </w:r>
      <w:proofErr w:type="spellStart"/>
      <w:r w:rsidR="00670BC7" w:rsidRPr="009F73E7">
        <w:t>SWAps</w:t>
      </w:r>
      <w:proofErr w:type="spellEnd"/>
      <w:r w:rsidR="00670BC7" w:rsidRPr="009F73E7">
        <w:t xml:space="preserve"> improve sector or program </w:t>
      </w:r>
      <w:r w:rsidR="00015029">
        <w:t>M&amp;E</w:t>
      </w:r>
      <w:r w:rsidR="00670BC7" w:rsidRPr="009F73E7">
        <w:t>?</w:t>
      </w:r>
      <w:bookmarkEnd w:id="34"/>
      <w:bookmarkEnd w:id="35"/>
    </w:p>
    <w:p w:rsidR="00670BC7" w:rsidRPr="00197C5B" w:rsidRDefault="00670BC7" w:rsidP="00D02812">
      <w:pPr>
        <w:pStyle w:val="NormalBeforeBullet"/>
      </w:pPr>
      <w:r>
        <w:t xml:space="preserve">In line with global evidence, </w:t>
      </w:r>
      <w:r w:rsidRPr="00197C5B">
        <w:t xml:space="preserve">M&amp;E of the health sector or programs improved in the six countries as part of the </w:t>
      </w:r>
      <w:proofErr w:type="spellStart"/>
      <w:r w:rsidRPr="00197C5B">
        <w:t>SWAp</w:t>
      </w:r>
      <w:proofErr w:type="spellEnd"/>
      <w:r w:rsidRPr="00197C5B">
        <w:t xml:space="preserve">, at least in comparison with </w:t>
      </w:r>
      <w:r w:rsidR="00AC67D5">
        <w:t>pre-</w:t>
      </w:r>
      <w:proofErr w:type="spellStart"/>
      <w:r w:rsidR="00AC67D5">
        <w:t>SWAp</w:t>
      </w:r>
      <w:proofErr w:type="spellEnd"/>
      <w:r w:rsidRPr="00197C5B">
        <w:t xml:space="preserve"> situations where joint review processes or M&amp;E frameworks were not in place</w:t>
      </w:r>
      <w:r w:rsidR="000E1CFA">
        <w:t xml:space="preserve">. </w:t>
      </w:r>
      <w:r w:rsidRPr="00197C5B">
        <w:t xml:space="preserve">Annual (sometimes bi-annual) </w:t>
      </w:r>
      <w:r>
        <w:t xml:space="preserve">sector </w:t>
      </w:r>
      <w:r w:rsidRPr="00197C5B">
        <w:t xml:space="preserve">review processes </w:t>
      </w:r>
      <w:r w:rsidR="002602B3">
        <w:t xml:space="preserve">were </w:t>
      </w:r>
      <w:r w:rsidRPr="00197C5B">
        <w:t>tak</w:t>
      </w:r>
      <w:r w:rsidR="002602B3">
        <w:t>ing</w:t>
      </w:r>
      <w:r w:rsidRPr="00197C5B">
        <w:t xml:space="preserve"> place in all countries</w:t>
      </w:r>
      <w:r>
        <w:t xml:space="preserve">. </w:t>
      </w:r>
      <w:r w:rsidR="002602B3">
        <w:t xml:space="preserve">While there is evidence that </w:t>
      </w:r>
      <w:r w:rsidR="002602B3" w:rsidRPr="00197C5B">
        <w:t>M&amp;E improved or was strengthened</w:t>
      </w:r>
      <w:r w:rsidR="002602B3">
        <w:t xml:space="preserve">, the studies we reviewed </w:t>
      </w:r>
      <w:r w:rsidR="002602B3" w:rsidRPr="00197C5B">
        <w:t>provide important qualifications</w:t>
      </w:r>
      <w:r w:rsidRPr="00197C5B">
        <w:t xml:space="preserve"> to this</w:t>
      </w:r>
      <w:r w:rsidR="00800CB0">
        <w:t xml:space="preserve"> finding</w:t>
      </w:r>
      <w:r w:rsidR="002602B3">
        <w:t>. For example:</w:t>
      </w:r>
    </w:p>
    <w:p w:rsidR="00670BC7" w:rsidRPr="00086DF0" w:rsidRDefault="00670BC7" w:rsidP="009F73E7">
      <w:pPr>
        <w:pStyle w:val="Bullet"/>
      </w:pPr>
      <w:r w:rsidRPr="00086DF0">
        <w:t xml:space="preserve">There is consensus </w:t>
      </w:r>
      <w:r w:rsidR="002602B3">
        <w:t xml:space="preserve">in the literature consulted </w:t>
      </w:r>
      <w:r w:rsidRPr="00086DF0">
        <w:t xml:space="preserve">that M&amp;E clearly improved in the mature </w:t>
      </w:r>
      <w:proofErr w:type="spellStart"/>
      <w:r w:rsidRPr="00086DF0">
        <w:t>SWAps</w:t>
      </w:r>
      <w:proofErr w:type="spellEnd"/>
      <w:r w:rsidRPr="00086DF0">
        <w:t xml:space="preserve"> of Bangladesh, Cambodia</w:t>
      </w:r>
      <w:r w:rsidR="00800CB0">
        <w:t xml:space="preserve"> </w:t>
      </w:r>
      <w:r w:rsidRPr="004E2EBA">
        <w:t xml:space="preserve">and Nepal where approaches </w:t>
      </w:r>
      <w:r w:rsidR="00800CB0">
        <w:t>went through various</w:t>
      </w:r>
      <w:r w:rsidRPr="00DA4617">
        <w:t xml:space="preserve"> modifications </w:t>
      </w:r>
      <w:r w:rsidR="00800CB0">
        <w:t xml:space="preserve">leading to </w:t>
      </w:r>
      <w:r w:rsidRPr="005779D8">
        <w:t>increasingly</w:t>
      </w:r>
      <w:r w:rsidRPr="00111678">
        <w:t xml:space="preserve"> prioritised results and </w:t>
      </w:r>
      <w:r w:rsidRPr="003D6EA0">
        <w:t>strengthened</w:t>
      </w:r>
      <w:r w:rsidRPr="00086DF0">
        <w:t xml:space="preserve"> capacity to measure sector indicators more </w:t>
      </w:r>
      <w:r w:rsidRPr="00086DF0">
        <w:lastRenderedPageBreak/>
        <w:t>reliably and accurately</w:t>
      </w:r>
      <w:r w:rsidR="000E1CFA">
        <w:t xml:space="preserve">. </w:t>
      </w:r>
      <w:r w:rsidRPr="00086DF0">
        <w:t>Annual reviews took place as expected and involved external, independent scrutiny in Banglades</w:t>
      </w:r>
      <w:r w:rsidRPr="004E2EBA">
        <w:t>h</w:t>
      </w:r>
      <w:r w:rsidRPr="00086DF0">
        <w:rPr>
          <w:rStyle w:val="FootnoteReference"/>
        </w:rPr>
        <w:footnoteReference w:id="39"/>
      </w:r>
      <w:r>
        <w:t xml:space="preserve"> </w:t>
      </w:r>
      <w:r w:rsidRPr="004E2EBA">
        <w:t>and Nepal</w:t>
      </w:r>
      <w:r w:rsidR="00AC67D5">
        <w:t>.</w:t>
      </w:r>
      <w:r>
        <w:rPr>
          <w:rStyle w:val="FootnoteReference"/>
        </w:rPr>
        <w:footnoteReference w:id="40"/>
      </w:r>
      <w:r w:rsidRPr="004E2EBA">
        <w:t xml:space="preserve"> </w:t>
      </w:r>
      <w:r w:rsidR="00655733">
        <w:t>I</w:t>
      </w:r>
      <w:r w:rsidRPr="004E2EBA">
        <w:t>n Cambodia</w:t>
      </w:r>
      <w:r>
        <w:t xml:space="preserve"> </w:t>
      </w:r>
      <w:r w:rsidRPr="004E2EBA">
        <w:t xml:space="preserve">only the </w:t>
      </w:r>
      <w:r w:rsidR="00655733">
        <w:t xml:space="preserve">mid-term </w:t>
      </w:r>
      <w:r w:rsidRPr="004E2EBA">
        <w:t>reviews include</w:t>
      </w:r>
      <w:r w:rsidR="00655733">
        <w:t>d</w:t>
      </w:r>
      <w:r w:rsidRPr="004E2EBA">
        <w:t xml:space="preserve"> independent reviewers</w:t>
      </w:r>
      <w:r>
        <w:t>.</w:t>
      </w:r>
      <w:r w:rsidR="00800CB0">
        <w:rPr>
          <w:rStyle w:val="FootnoteReference"/>
        </w:rPr>
        <w:footnoteReference w:id="41"/>
      </w:r>
      <w:r w:rsidRPr="00086DF0">
        <w:t xml:space="preserve"> Information feeding into the M&amp;E reviews was considered quite robust in the three countries.</w:t>
      </w:r>
    </w:p>
    <w:p w:rsidR="00670BC7" w:rsidRDefault="00670BC7" w:rsidP="00D02812">
      <w:pPr>
        <w:pStyle w:val="BulletLast"/>
        <w:rPr>
          <w:rStyle w:val="CommentReference"/>
        </w:rPr>
      </w:pPr>
      <w:r w:rsidRPr="004E2EBA">
        <w:t>Joint review missions also took place more or less as planned in P</w:t>
      </w:r>
      <w:r w:rsidR="00DF1DD1">
        <w:t>apua New Guinea</w:t>
      </w:r>
      <w:r w:rsidRPr="00AD399C">
        <w:t xml:space="preserve">, Samoa and Solomon Islands as a result of the </w:t>
      </w:r>
      <w:proofErr w:type="spellStart"/>
      <w:r w:rsidRPr="00AD399C">
        <w:t>SWAp</w:t>
      </w:r>
      <w:proofErr w:type="spellEnd"/>
      <w:r w:rsidRPr="003D6EA0">
        <w:t>, albeit with limitations</w:t>
      </w:r>
      <w:r w:rsidRPr="00086DF0">
        <w:t xml:space="preserve"> </w:t>
      </w:r>
      <w:r>
        <w:t>(</w:t>
      </w:r>
      <w:r w:rsidRPr="00086DF0">
        <w:t xml:space="preserve">concerning the </w:t>
      </w:r>
      <w:r w:rsidRPr="004E2EBA">
        <w:t>robustness of the information available and the effectiveness of the review processes</w:t>
      </w:r>
      <w:r w:rsidR="00800CB0">
        <w:t>.</w:t>
      </w:r>
      <w:r w:rsidRPr="004E2EBA">
        <w:t xml:space="preserve"> In general, there was poor prioritisation of the </w:t>
      </w:r>
      <w:r w:rsidR="00A2211E">
        <w:t>reviews</w:t>
      </w:r>
      <w:r w:rsidR="00836E0E">
        <w:t>’</w:t>
      </w:r>
      <w:r w:rsidR="00A2211E">
        <w:t xml:space="preserve"> </w:t>
      </w:r>
      <w:r w:rsidRPr="004E2EBA">
        <w:t>recommendations and management systems were too weak to either validate the information on indicators</w:t>
      </w:r>
      <w:r w:rsidR="004463D3">
        <w:t>,</w:t>
      </w:r>
      <w:r w:rsidRPr="004E2EBA">
        <w:t xml:space="preserve"> or to act on the recommendations</w:t>
      </w:r>
      <w:r w:rsidR="000E1CFA">
        <w:t>.</w:t>
      </w:r>
      <w:r w:rsidR="00A2211E">
        <w:t xml:space="preserve"> However, </w:t>
      </w:r>
      <w:r w:rsidRPr="00AD399C">
        <w:t xml:space="preserve">shortcomings on the quality of M&amp;E processes and outputs are to be expected in incipient </w:t>
      </w:r>
      <w:proofErr w:type="spellStart"/>
      <w:r w:rsidRPr="00AD399C">
        <w:t>SWAps</w:t>
      </w:r>
      <w:proofErr w:type="spellEnd"/>
      <w:r w:rsidR="004463D3">
        <w:t xml:space="preserve">. </w:t>
      </w:r>
    </w:p>
    <w:p w:rsidR="00670BC7" w:rsidRPr="00086DF0" w:rsidRDefault="00670BC7" w:rsidP="00D02812">
      <w:proofErr w:type="gramStart"/>
      <w:r w:rsidRPr="005D6DA7">
        <w:t>Supporting information</w:t>
      </w:r>
      <w:r w:rsidR="004B6773">
        <w:t xml:space="preserve"> and references</w:t>
      </w:r>
      <w:r w:rsidR="00A2211E">
        <w:t>:</w:t>
      </w:r>
      <w:r w:rsidRPr="005D6DA7">
        <w:t xml:space="preserve"> </w:t>
      </w:r>
      <w:r w:rsidR="00325186">
        <w:t>Appendix</w:t>
      </w:r>
      <w:r w:rsidRPr="005D6DA7">
        <w:t xml:space="preserve"> </w:t>
      </w:r>
      <w:r w:rsidR="00074AD9">
        <w:t>3</w:t>
      </w:r>
      <w:r w:rsidR="00A2211E">
        <w:t>,</w:t>
      </w:r>
      <w:r w:rsidRPr="005D6DA7">
        <w:t xml:space="preserve"> </w:t>
      </w:r>
      <w:r>
        <w:t>Table</w:t>
      </w:r>
      <w:r w:rsidR="004B6773">
        <w:t>s</w:t>
      </w:r>
      <w:r>
        <w:t xml:space="preserve"> A5</w:t>
      </w:r>
      <w:r w:rsidR="00A2211E">
        <w:t xml:space="preserve">; </w:t>
      </w:r>
      <w:r>
        <w:t>A6; A7</w:t>
      </w:r>
      <w:r w:rsidR="00A2211E">
        <w:t>.</w:t>
      </w:r>
      <w:proofErr w:type="gramEnd"/>
      <w:r w:rsidR="00A2211E">
        <w:t xml:space="preserve"> </w:t>
      </w:r>
    </w:p>
    <w:p w:rsidR="00670BC7" w:rsidRPr="009F73E7" w:rsidRDefault="00B97C5E" w:rsidP="009F73E7">
      <w:pPr>
        <w:pStyle w:val="Heading2"/>
      </w:pPr>
      <w:bookmarkStart w:id="36" w:name="_Toc394224884"/>
      <w:bookmarkStart w:id="37" w:name="_Toc403403692"/>
      <w:r>
        <w:t>3.5</w:t>
      </w:r>
      <w:r w:rsidR="009F73E7">
        <w:tab/>
      </w:r>
      <w:r w:rsidR="00670BC7" w:rsidRPr="009F73E7">
        <w:t xml:space="preserve">Did </w:t>
      </w:r>
      <w:proofErr w:type="spellStart"/>
      <w:r w:rsidR="00670BC7" w:rsidRPr="009F73E7">
        <w:t>SWAps</w:t>
      </w:r>
      <w:proofErr w:type="spellEnd"/>
      <w:r w:rsidR="00670BC7" w:rsidRPr="009F73E7">
        <w:t xml:space="preserve"> improve joint work and policy dialogue?</w:t>
      </w:r>
      <w:bookmarkEnd w:id="36"/>
      <w:bookmarkEnd w:id="37"/>
    </w:p>
    <w:p w:rsidR="00670BC7" w:rsidRPr="00197C5B" w:rsidRDefault="00670BC7" w:rsidP="009F73E7">
      <w:r w:rsidRPr="00197C5B">
        <w:t xml:space="preserve">The overarching conclusion reached by the </w:t>
      </w:r>
      <w:r w:rsidR="00544BCD">
        <w:t xml:space="preserve">studies </w:t>
      </w:r>
      <w:r w:rsidRPr="00197C5B">
        <w:t>review</w:t>
      </w:r>
      <w:r w:rsidR="00544BCD">
        <w:t xml:space="preserve">ed </w:t>
      </w:r>
      <w:r w:rsidRPr="00197C5B">
        <w:t xml:space="preserve">is that the </w:t>
      </w:r>
      <w:proofErr w:type="spellStart"/>
      <w:r w:rsidRPr="00197C5B">
        <w:t>SWAps</w:t>
      </w:r>
      <w:proofErr w:type="spellEnd"/>
      <w:r w:rsidRPr="00197C5B">
        <w:t xml:space="preserve"> supported by </w:t>
      </w:r>
      <w:r w:rsidR="00544BCD">
        <w:t xml:space="preserve">the </w:t>
      </w:r>
      <w:r w:rsidRPr="00197C5B">
        <w:t>Australia</w:t>
      </w:r>
      <w:r w:rsidR="00544BCD">
        <w:t>n aid program</w:t>
      </w:r>
      <w:r w:rsidRPr="00197C5B">
        <w:t xml:space="preserve"> and other donors contributed substantially to </w:t>
      </w:r>
      <w:r>
        <w:t xml:space="preserve">more collaborative and </w:t>
      </w:r>
      <w:r w:rsidRPr="00197C5B">
        <w:t xml:space="preserve">joint work </w:t>
      </w:r>
      <w:r>
        <w:t xml:space="preserve">and </w:t>
      </w:r>
      <w:r w:rsidRPr="00197C5B">
        <w:t xml:space="preserve">improved policy dialogue between </w:t>
      </w:r>
      <w:r w:rsidR="00A55B04">
        <w:t>donors</w:t>
      </w:r>
      <w:r w:rsidR="00A55B04" w:rsidRPr="00197C5B">
        <w:t xml:space="preserve"> </w:t>
      </w:r>
      <w:r w:rsidR="00A55B04">
        <w:t xml:space="preserve">and </w:t>
      </w:r>
      <w:r w:rsidRPr="00197C5B">
        <w:t xml:space="preserve">the government. However, as </w:t>
      </w:r>
      <w:r w:rsidR="00544BCD">
        <w:t xml:space="preserve">for </w:t>
      </w:r>
      <w:r w:rsidRPr="00197C5B">
        <w:t xml:space="preserve">other </w:t>
      </w:r>
      <w:proofErr w:type="spellStart"/>
      <w:r w:rsidR="00544BCD">
        <w:t>SWAp</w:t>
      </w:r>
      <w:proofErr w:type="spellEnd"/>
      <w:r w:rsidR="00544BCD">
        <w:t xml:space="preserve"> components</w:t>
      </w:r>
      <w:r w:rsidRPr="00197C5B">
        <w:t xml:space="preserve">, systematic assessment of the </w:t>
      </w:r>
      <w:r w:rsidR="00AC67D5">
        <w:t>pre-</w:t>
      </w:r>
      <w:proofErr w:type="spellStart"/>
      <w:r w:rsidR="00AC67D5">
        <w:t>SWAp</w:t>
      </w:r>
      <w:proofErr w:type="spellEnd"/>
      <w:r w:rsidR="00AC67D5">
        <w:t xml:space="preserve"> s</w:t>
      </w:r>
      <w:r w:rsidRPr="00197C5B">
        <w:t>ituation</w:t>
      </w:r>
      <w:r w:rsidR="00AC67D5">
        <w:t xml:space="preserve"> (</w:t>
      </w:r>
      <w:r w:rsidRPr="00197C5B">
        <w:t>whe</w:t>
      </w:r>
      <w:r w:rsidR="00AC67D5">
        <w:t>re</w:t>
      </w:r>
      <w:r w:rsidR="00544BCD">
        <w:t xml:space="preserve"> we assume</w:t>
      </w:r>
      <w:r w:rsidRPr="00197C5B">
        <w:rPr>
          <w:i/>
        </w:rPr>
        <w:t xml:space="preserve"> some</w:t>
      </w:r>
      <w:r w:rsidRPr="00197C5B">
        <w:t xml:space="preserve"> degree of joint work and policy dialogue existed</w:t>
      </w:r>
      <w:r w:rsidR="00AC67D5">
        <w:t>)</w:t>
      </w:r>
      <w:r>
        <w:t xml:space="preserve"> is lacking</w:t>
      </w:r>
      <w:r w:rsidR="00AC67D5">
        <w:t>.</w:t>
      </w:r>
      <w:r w:rsidRPr="00197C5B">
        <w:t xml:space="preserve"> </w:t>
      </w:r>
    </w:p>
    <w:p w:rsidR="00670BC7" w:rsidRDefault="00670BC7" w:rsidP="009F73E7">
      <w:r>
        <w:t xml:space="preserve">The evidence suggests </w:t>
      </w:r>
      <w:r w:rsidRPr="00086DF0">
        <w:t>incremental</w:t>
      </w:r>
      <w:r w:rsidR="00FF2B04">
        <w:t xml:space="preserve"> improvements </w:t>
      </w:r>
      <w:r w:rsidRPr="00086DF0">
        <w:t>over time,</w:t>
      </w:r>
      <w:r>
        <w:t xml:space="preserve"> with</w:t>
      </w:r>
      <w:r w:rsidRPr="00086DF0">
        <w:t xml:space="preserve"> the more mature </w:t>
      </w:r>
      <w:r w:rsidR="00544BCD">
        <w:t xml:space="preserve">Asian </w:t>
      </w:r>
      <w:proofErr w:type="spellStart"/>
      <w:r w:rsidRPr="00086DF0">
        <w:t>SWAps</w:t>
      </w:r>
      <w:proofErr w:type="spellEnd"/>
      <w:r w:rsidRPr="00086DF0">
        <w:t xml:space="preserve"> show</w:t>
      </w:r>
      <w:r>
        <w:t>ing</w:t>
      </w:r>
      <w:r w:rsidRPr="00086DF0">
        <w:t xml:space="preserve">, in general, </w:t>
      </w:r>
      <w:r w:rsidR="00544BCD">
        <w:t>greater</w:t>
      </w:r>
      <w:r>
        <w:t xml:space="preserve"> and more effective </w:t>
      </w:r>
      <w:r w:rsidRPr="00086DF0">
        <w:t xml:space="preserve">joint work and policy dialogue than the </w:t>
      </w:r>
      <w:r w:rsidR="00544BCD">
        <w:t xml:space="preserve">Pacific </w:t>
      </w:r>
      <w:r w:rsidRPr="00086DF0">
        <w:t xml:space="preserve">health </w:t>
      </w:r>
      <w:proofErr w:type="spellStart"/>
      <w:proofErr w:type="gramStart"/>
      <w:r w:rsidRPr="00086DF0">
        <w:t>SWAps</w:t>
      </w:r>
      <w:proofErr w:type="spellEnd"/>
      <w:proofErr w:type="gramEnd"/>
      <w:r w:rsidR="000E1CFA">
        <w:t xml:space="preserve">. </w:t>
      </w:r>
      <w:r w:rsidRPr="00086DF0">
        <w:t xml:space="preserve">Where information is available from the </w:t>
      </w:r>
      <w:r>
        <w:t xml:space="preserve">2013 </w:t>
      </w:r>
      <w:r w:rsidR="00544BCD">
        <w:t>aid program performance reviews</w:t>
      </w:r>
      <w:r w:rsidRPr="004E2EBA">
        <w:t xml:space="preserve">, the Pacific countries also seem to have improved joint work and policy dialogue compared to </w:t>
      </w:r>
      <w:r w:rsidR="00A55B04" w:rsidRPr="004E2EBA">
        <w:t xml:space="preserve">assessments </w:t>
      </w:r>
      <w:r w:rsidR="00A55B04">
        <w:t>carried out in 2010 and 2011</w:t>
      </w:r>
      <w:r w:rsidR="00F61E38">
        <w:t>.</w:t>
      </w:r>
      <w:r w:rsidR="00F61E38">
        <w:rPr>
          <w:rStyle w:val="FootnoteReference"/>
        </w:rPr>
        <w:footnoteReference w:id="42"/>
      </w:r>
      <w:r>
        <w:t xml:space="preserve"> </w:t>
      </w:r>
    </w:p>
    <w:p w:rsidR="00670BC7" w:rsidRDefault="00670BC7" w:rsidP="009F73E7">
      <w:r w:rsidRPr="00086DF0">
        <w:t xml:space="preserve">Policy dialogue and joint work </w:t>
      </w:r>
      <w:r>
        <w:t xml:space="preserve">are </w:t>
      </w:r>
      <w:r w:rsidRPr="00086DF0">
        <w:t xml:space="preserve">dynamic </w:t>
      </w:r>
      <w:r>
        <w:t xml:space="preserve">processes </w:t>
      </w:r>
      <w:r w:rsidRPr="00086DF0">
        <w:t xml:space="preserve">and </w:t>
      </w:r>
      <w:r w:rsidRPr="004E2EBA">
        <w:t xml:space="preserve">changes to their quality </w:t>
      </w:r>
      <w:r>
        <w:t>depend on the people involved</w:t>
      </w:r>
      <w:r w:rsidR="000E1CFA">
        <w:t xml:space="preserve">. </w:t>
      </w:r>
      <w:r>
        <w:t>We found many references to staff turnover</w:t>
      </w:r>
      <w:r w:rsidR="00544BCD">
        <w:t xml:space="preserve"> (o</w:t>
      </w:r>
      <w:r w:rsidR="00F57AE3">
        <w:t xml:space="preserve">n </w:t>
      </w:r>
      <w:r>
        <w:t xml:space="preserve">either </w:t>
      </w:r>
      <w:r w:rsidR="00F57AE3">
        <w:t xml:space="preserve">the </w:t>
      </w:r>
      <w:r>
        <w:t xml:space="preserve">government or </w:t>
      </w:r>
      <w:r w:rsidR="00FF2B04">
        <w:t xml:space="preserve">the </w:t>
      </w:r>
      <w:r>
        <w:t>donor side</w:t>
      </w:r>
      <w:r w:rsidR="00544BCD">
        <w:t xml:space="preserve">) </w:t>
      </w:r>
      <w:r>
        <w:t>affecting quality of the engagement and dialogue</w:t>
      </w:r>
      <w:r w:rsidR="000E1CFA">
        <w:t xml:space="preserve">. </w:t>
      </w:r>
      <w:r>
        <w:t>S</w:t>
      </w:r>
      <w:r w:rsidRPr="004E2EBA">
        <w:t>ome ‘crises’</w:t>
      </w:r>
      <w:r w:rsidR="00544BCD">
        <w:rPr>
          <w:rFonts w:ascii="Corbel" w:hAnsi="Corbel"/>
        </w:rPr>
        <w:t>—</w:t>
      </w:r>
      <w:r>
        <w:t>where joint work or dialogue were not happening as expected</w:t>
      </w:r>
      <w:r w:rsidR="00544BCD">
        <w:rPr>
          <w:rFonts w:ascii="Corbel" w:hAnsi="Corbel"/>
        </w:rPr>
        <w:t>—</w:t>
      </w:r>
      <w:r w:rsidRPr="004E2EBA">
        <w:t xml:space="preserve">are </w:t>
      </w:r>
      <w:r>
        <w:t xml:space="preserve">also </w:t>
      </w:r>
      <w:r w:rsidRPr="004E2EBA">
        <w:t>reported for all countries</w:t>
      </w:r>
      <w:r w:rsidRPr="00086DF0">
        <w:t>.</w:t>
      </w:r>
      <w:r w:rsidRPr="001630F5">
        <w:t xml:space="preserve"> </w:t>
      </w:r>
    </w:p>
    <w:p w:rsidR="00670BC7" w:rsidRDefault="00670BC7" w:rsidP="009F73E7">
      <w:r w:rsidRPr="001630F5">
        <w:t xml:space="preserve">A key issue found in several reports </w:t>
      </w:r>
      <w:r>
        <w:t xml:space="preserve">(Samoa, Solomon Islands, Cambodia) </w:t>
      </w:r>
      <w:r w:rsidRPr="001630F5">
        <w:t>is the extent to which development partners bring the right skills and capacities to support government</w:t>
      </w:r>
      <w:r w:rsidR="00FF2B04">
        <w:t>s</w:t>
      </w:r>
      <w:r w:rsidRPr="001630F5">
        <w:t xml:space="preserve"> in the </w:t>
      </w:r>
      <w:proofErr w:type="spellStart"/>
      <w:r w:rsidRPr="001630F5">
        <w:t>SWAp</w:t>
      </w:r>
      <w:proofErr w:type="spellEnd"/>
      <w:r w:rsidRPr="001630F5">
        <w:t xml:space="preserve"> process and to carry out a sufficiently rigorous, technical dialogue</w:t>
      </w:r>
      <w:r w:rsidR="00875070">
        <w:rPr>
          <w:rFonts w:ascii="Corbel" w:hAnsi="Corbel"/>
        </w:rPr>
        <w:t>—</w:t>
      </w:r>
      <w:r w:rsidRPr="001630F5">
        <w:t>individually and collectively</w:t>
      </w:r>
      <w:r w:rsidR="000E1CFA">
        <w:t xml:space="preserve">. </w:t>
      </w:r>
    </w:p>
    <w:p w:rsidR="00670BC7" w:rsidRPr="00086DF0" w:rsidRDefault="00670BC7" w:rsidP="009F73E7">
      <w:pPr>
        <w:pStyle w:val="NormalBeforeBullet"/>
      </w:pPr>
      <w:r>
        <w:t xml:space="preserve">Key </w:t>
      </w:r>
      <w:r w:rsidR="00FF2B04">
        <w:t xml:space="preserve">findings from individual </w:t>
      </w:r>
      <w:r>
        <w:t>countries include:</w:t>
      </w:r>
    </w:p>
    <w:p w:rsidR="00670BC7" w:rsidRPr="008E21B2" w:rsidRDefault="00EF7543" w:rsidP="009F73E7">
      <w:pPr>
        <w:pStyle w:val="Bullet"/>
      </w:pPr>
      <w:r>
        <w:t xml:space="preserve">In </w:t>
      </w:r>
      <w:r w:rsidR="00670BC7" w:rsidRPr="00086DF0">
        <w:t xml:space="preserve">Bangladesh and Nepal </w:t>
      </w:r>
      <w:r>
        <w:t xml:space="preserve">there was </w:t>
      </w:r>
      <w:r w:rsidR="00670BC7" w:rsidRPr="00086DF0">
        <w:t xml:space="preserve">regular and </w:t>
      </w:r>
      <w:r w:rsidR="00670BC7" w:rsidRPr="004E2EBA">
        <w:t>close engagement among d</w:t>
      </w:r>
      <w:r w:rsidR="006271CB">
        <w:t xml:space="preserve">onors </w:t>
      </w:r>
      <w:r w:rsidR="00670BC7" w:rsidRPr="00086DF0">
        <w:t xml:space="preserve">and </w:t>
      </w:r>
      <w:r w:rsidR="009F73E7" w:rsidRPr="00086DF0">
        <w:t xml:space="preserve">with </w:t>
      </w:r>
      <w:r w:rsidR="006271CB">
        <w:t>the government</w:t>
      </w:r>
      <w:r>
        <w:t>,</w:t>
      </w:r>
      <w:r w:rsidR="00670BC7" w:rsidRPr="004E2EBA">
        <w:t xml:space="preserve"> </w:t>
      </w:r>
      <w:r>
        <w:t xml:space="preserve">both </w:t>
      </w:r>
      <w:r w:rsidR="00670BC7" w:rsidRPr="004E2EBA">
        <w:t xml:space="preserve">through scheduled annual reviews </w:t>
      </w:r>
      <w:r w:rsidR="006271CB">
        <w:t>and regular dialogue</w:t>
      </w:r>
      <w:r>
        <w:t>/</w:t>
      </w:r>
      <w:r w:rsidR="006271CB">
        <w:t>interaction</w:t>
      </w:r>
      <w:r w:rsidR="00670BC7" w:rsidRPr="004E2EBA">
        <w:t xml:space="preserve"> </w:t>
      </w:r>
      <w:r w:rsidR="00670BC7">
        <w:t xml:space="preserve">as </w:t>
      </w:r>
      <w:r w:rsidR="00670BC7" w:rsidRPr="008E21B2">
        <w:t xml:space="preserve">part of </w:t>
      </w:r>
      <w:r w:rsidR="006271CB">
        <w:t>the management arrangement</w:t>
      </w:r>
      <w:r w:rsidR="00670BC7" w:rsidRPr="008E21B2">
        <w:t>.</w:t>
      </w:r>
    </w:p>
    <w:p w:rsidR="00670BC7" w:rsidRPr="00086DF0" w:rsidRDefault="00670BC7" w:rsidP="009F73E7">
      <w:pPr>
        <w:pStyle w:val="Bullet"/>
      </w:pPr>
      <w:r w:rsidRPr="00DA4617">
        <w:lastRenderedPageBreak/>
        <w:t xml:space="preserve">In Cambodia there </w:t>
      </w:r>
      <w:r w:rsidR="006271CB">
        <w:t>was</w:t>
      </w:r>
      <w:r w:rsidRPr="00DA4617">
        <w:t xml:space="preserve"> close interaction between d</w:t>
      </w:r>
      <w:r w:rsidR="006271CB">
        <w:t>onors</w:t>
      </w:r>
      <w:r w:rsidRPr="00DA4617">
        <w:t xml:space="preserve"> and the government through the four main </w:t>
      </w:r>
      <w:r w:rsidR="006271CB">
        <w:t>technical working groups</w:t>
      </w:r>
      <w:r w:rsidR="000E1CFA">
        <w:t>.</w:t>
      </w:r>
      <w:r w:rsidR="006271CB">
        <w:rPr>
          <w:rStyle w:val="FootnoteReference"/>
        </w:rPr>
        <w:footnoteReference w:id="43"/>
      </w:r>
      <w:r w:rsidR="000E1CFA">
        <w:t xml:space="preserve"> </w:t>
      </w:r>
      <w:r w:rsidRPr="00DA4617">
        <w:t xml:space="preserve">However, the quality of </w:t>
      </w:r>
      <w:r w:rsidR="006271CB" w:rsidRPr="00DA4617">
        <w:t xml:space="preserve">senior level </w:t>
      </w:r>
      <w:r w:rsidRPr="00DA4617">
        <w:t xml:space="preserve">interaction </w:t>
      </w:r>
      <w:r w:rsidR="006271CB">
        <w:t xml:space="preserve">between </w:t>
      </w:r>
      <w:r w:rsidRPr="00DA4617">
        <w:t xml:space="preserve">the </w:t>
      </w:r>
      <w:r w:rsidR="006047AE" w:rsidRPr="003D7E2F">
        <w:t>Ministry of Health</w:t>
      </w:r>
      <w:r w:rsidRPr="00DA4617">
        <w:t xml:space="preserve"> and the d</w:t>
      </w:r>
      <w:r w:rsidR="006271CB">
        <w:t>onors</w:t>
      </w:r>
      <w:r w:rsidRPr="00DA4617">
        <w:t xml:space="preserve"> </w:t>
      </w:r>
      <w:r w:rsidR="006271CB">
        <w:t>was</w:t>
      </w:r>
      <w:r w:rsidRPr="00DA4617">
        <w:t xml:space="preserve"> often compromised by the rules of courtesy and diplomacy </w:t>
      </w:r>
      <w:r w:rsidR="006271CB">
        <w:t>(</w:t>
      </w:r>
      <w:r w:rsidRPr="00DA4617">
        <w:t>limit</w:t>
      </w:r>
      <w:r w:rsidR="006271CB">
        <w:t>ing</w:t>
      </w:r>
      <w:r w:rsidRPr="00DA4617">
        <w:t xml:space="preserve"> the candour required to discuss more sensitive </w:t>
      </w:r>
      <w:r w:rsidRPr="005779D8">
        <w:t>policy issues</w:t>
      </w:r>
      <w:r w:rsidR="006271CB">
        <w:t>)</w:t>
      </w:r>
      <w:r w:rsidRPr="005779D8">
        <w:t>.</w:t>
      </w:r>
      <w:r w:rsidRPr="00086DF0">
        <w:rPr>
          <w:rStyle w:val="FootnoteReference"/>
        </w:rPr>
        <w:footnoteReference w:id="44"/>
      </w:r>
      <w:r w:rsidRPr="00086DF0">
        <w:t xml:space="preserve"> In s</w:t>
      </w:r>
      <w:r w:rsidR="00EF7543">
        <w:t>hort</w:t>
      </w:r>
      <w:r w:rsidRPr="00086DF0">
        <w:t xml:space="preserve">, there </w:t>
      </w:r>
      <w:r w:rsidR="006271CB">
        <w:t>was</w:t>
      </w:r>
      <w:r w:rsidRPr="00086DF0">
        <w:t xml:space="preserve"> dialogue but </w:t>
      </w:r>
      <w:r w:rsidR="006271CB">
        <w:t xml:space="preserve">it </w:t>
      </w:r>
      <w:r w:rsidRPr="00086DF0">
        <w:t xml:space="preserve">could </w:t>
      </w:r>
      <w:r w:rsidR="00EF7543">
        <w:t>have been</w:t>
      </w:r>
      <w:r w:rsidRPr="00086DF0">
        <w:t xml:space="preserve"> of </w:t>
      </w:r>
      <w:r w:rsidR="006271CB">
        <w:t xml:space="preserve">higher and more </w:t>
      </w:r>
      <w:r w:rsidRPr="00086DF0">
        <w:t>strategic quality.</w:t>
      </w:r>
    </w:p>
    <w:p w:rsidR="00670BC7" w:rsidRPr="004E2EBA" w:rsidRDefault="00670BC7" w:rsidP="009F73E7">
      <w:pPr>
        <w:pStyle w:val="Bullet"/>
      </w:pPr>
      <w:r w:rsidRPr="00086DF0">
        <w:t>In P</w:t>
      </w:r>
      <w:r w:rsidR="00DF1DD1">
        <w:t>apua New Guinea</w:t>
      </w:r>
      <w:r w:rsidRPr="00086DF0">
        <w:t xml:space="preserve"> difficult relations and inadequate dialogue between d</w:t>
      </w:r>
      <w:r w:rsidR="001E08D9">
        <w:t>onors</w:t>
      </w:r>
      <w:r w:rsidRPr="00086DF0">
        <w:t xml:space="preserve"> and central agencies </w:t>
      </w:r>
      <w:r w:rsidRPr="004E2EBA">
        <w:t>linked to the H</w:t>
      </w:r>
      <w:r w:rsidR="001E08D9">
        <w:t xml:space="preserve">ealth </w:t>
      </w:r>
      <w:r w:rsidRPr="004E2EBA">
        <w:t>S</w:t>
      </w:r>
      <w:r w:rsidR="001E08D9">
        <w:t xml:space="preserve">ervice </w:t>
      </w:r>
      <w:r w:rsidRPr="004E2EBA">
        <w:t>I</w:t>
      </w:r>
      <w:r w:rsidR="001E08D9">
        <w:t xml:space="preserve">mprovement </w:t>
      </w:r>
      <w:r w:rsidRPr="004E2EBA">
        <w:t>P</w:t>
      </w:r>
      <w:r w:rsidR="001E08D9">
        <w:t>rogram</w:t>
      </w:r>
      <w:r w:rsidRPr="004E2EBA">
        <w:t xml:space="preserve"> and its trust </w:t>
      </w:r>
      <w:r w:rsidR="001E08D9">
        <w:t xml:space="preserve">account </w:t>
      </w:r>
      <w:r w:rsidRPr="004E2EBA">
        <w:t>were described as long standing concerns</w:t>
      </w:r>
      <w:r w:rsidR="001E08D9">
        <w:t xml:space="preserve"> in 2010</w:t>
      </w:r>
      <w:r w:rsidRPr="00AD399C">
        <w:t>.</w:t>
      </w:r>
      <w:r w:rsidRPr="00086DF0">
        <w:rPr>
          <w:rStyle w:val="FootnoteReference"/>
        </w:rPr>
        <w:footnoteReference w:id="45"/>
      </w:r>
      <w:r w:rsidRPr="00086DF0">
        <w:t xml:space="preserve"> More recently, the situation seems to have improved following management reforms and a full re-design of the trust account</w:t>
      </w:r>
      <w:r w:rsidR="000E1CFA">
        <w:t xml:space="preserve">. </w:t>
      </w:r>
      <w:r w:rsidRPr="00086DF0">
        <w:t xml:space="preserve">Our interpretation of the </w:t>
      </w:r>
      <w:r w:rsidR="00872016">
        <w:t xml:space="preserve">information </w:t>
      </w:r>
      <w:r w:rsidRPr="00086DF0">
        <w:t>is that while policy dialogue may have been difficult at times</w:t>
      </w:r>
      <w:r w:rsidR="001E08D9">
        <w:t>,</w:t>
      </w:r>
      <w:r w:rsidRPr="00086DF0">
        <w:t xml:space="preserve"> it has nevertheless led to decisions and reforms that both the government and its partners are currently supporting</w:t>
      </w:r>
      <w:r w:rsidR="000E1CFA">
        <w:t xml:space="preserve">. </w:t>
      </w:r>
      <w:r w:rsidRPr="00086DF0">
        <w:t xml:space="preserve">So, in aggregate, joint work and dialogue seem to be working after all through the </w:t>
      </w:r>
      <w:proofErr w:type="spellStart"/>
      <w:r w:rsidRPr="00086DF0">
        <w:t>SWAp</w:t>
      </w:r>
      <w:proofErr w:type="spellEnd"/>
      <w:r w:rsidR="000E1CFA">
        <w:t xml:space="preserve">. </w:t>
      </w:r>
      <w:r w:rsidR="001E08D9">
        <w:t>There is no i</w:t>
      </w:r>
      <w:r w:rsidRPr="004E2EBA">
        <w:t xml:space="preserve">ndependent assessment after 2011 </w:t>
      </w:r>
      <w:r w:rsidR="001E08D9">
        <w:t xml:space="preserve">to verify this conclusion, </w:t>
      </w:r>
      <w:r w:rsidRPr="004E2EBA">
        <w:t xml:space="preserve">but </w:t>
      </w:r>
      <w:r w:rsidR="00B55651">
        <w:t xml:space="preserve">the </w:t>
      </w:r>
      <w:r w:rsidR="001E08D9">
        <w:t xml:space="preserve">2013 </w:t>
      </w:r>
      <w:r w:rsidR="00B55651">
        <w:t>Australian aid program</w:t>
      </w:r>
      <w:r w:rsidRPr="004E2EBA">
        <w:t xml:space="preserve">’s </w:t>
      </w:r>
      <w:r w:rsidR="001E08D9">
        <w:t xml:space="preserve">performance report </w:t>
      </w:r>
      <w:r w:rsidRPr="004E2EBA">
        <w:t>seems to point in th</w:t>
      </w:r>
      <w:r w:rsidR="00EF7543">
        <w:t>is</w:t>
      </w:r>
      <w:r w:rsidRPr="004E2EBA">
        <w:t xml:space="preserve"> direction.</w:t>
      </w:r>
    </w:p>
    <w:p w:rsidR="00670BC7" w:rsidRPr="00086DF0" w:rsidRDefault="00670BC7" w:rsidP="009F73E7">
      <w:pPr>
        <w:pStyle w:val="Bullet"/>
      </w:pPr>
      <w:r w:rsidRPr="00AD399C">
        <w:t>In Samoa, policy dialogue t</w:t>
      </w:r>
      <w:r w:rsidR="001E08D9">
        <w:t xml:space="preserve">ook </w:t>
      </w:r>
      <w:r w:rsidRPr="00AD399C">
        <w:t>place regularly</w:t>
      </w:r>
      <w:r w:rsidR="001E08D9">
        <w:t>, but is</w:t>
      </w:r>
      <w:r w:rsidRPr="00AD399C">
        <w:t xml:space="preserve"> </w:t>
      </w:r>
      <w:r w:rsidR="001E08D9">
        <w:t>described as</w:t>
      </w:r>
      <w:r w:rsidRPr="00AD399C">
        <w:t xml:space="preserve"> </w:t>
      </w:r>
      <w:r w:rsidRPr="008E21B2">
        <w:t>too focused on day</w:t>
      </w:r>
      <w:r w:rsidR="001E08D9">
        <w:t>-</w:t>
      </w:r>
      <w:r w:rsidRPr="008E21B2">
        <w:t>to</w:t>
      </w:r>
      <w:r w:rsidR="001E08D9">
        <w:t>-</w:t>
      </w:r>
      <w:r w:rsidRPr="008E21B2">
        <w:t>day manage</w:t>
      </w:r>
      <w:r w:rsidR="001E08D9">
        <w:t xml:space="preserve">ment </w:t>
      </w:r>
      <w:r w:rsidRPr="008E21B2">
        <w:t>issues</w:t>
      </w:r>
      <w:r w:rsidR="001E08D9">
        <w:t>.</w:t>
      </w:r>
      <w:r w:rsidRPr="008E21B2">
        <w:t xml:space="preserve"> </w:t>
      </w:r>
      <w:r w:rsidR="009F73E7">
        <w:t>Questions</w:t>
      </w:r>
      <w:r>
        <w:t xml:space="preserve"> were raised about the extent to which d</w:t>
      </w:r>
      <w:r w:rsidR="001E08D9">
        <w:t xml:space="preserve">onors had </w:t>
      </w:r>
      <w:r>
        <w:t xml:space="preserve">the right skills and capacities to support the </w:t>
      </w:r>
      <w:proofErr w:type="spellStart"/>
      <w:r>
        <w:t>SWAp</w:t>
      </w:r>
      <w:proofErr w:type="spellEnd"/>
      <w:r>
        <w:t xml:space="preserve"> development and engage in appropriate dialogue, </w:t>
      </w:r>
      <w:r w:rsidR="001E08D9">
        <w:t xml:space="preserve">either </w:t>
      </w:r>
      <w:r>
        <w:t xml:space="preserve">routinely or during sector </w:t>
      </w:r>
      <w:r w:rsidR="009F73E7">
        <w:t>reviews. D</w:t>
      </w:r>
      <w:r w:rsidR="00647E29">
        <w:t>onors</w:t>
      </w:r>
      <w:r>
        <w:t xml:space="preserve"> were found passive, tolerating slippage in </w:t>
      </w:r>
      <w:r w:rsidR="009F73E7">
        <w:t>implementation, accommodating</w:t>
      </w:r>
      <w:r>
        <w:t xml:space="preserve"> missed deadlines and allowing seemingly arbitrary changes to both the format and content of important documents, in turn hindering accountability</w:t>
      </w:r>
      <w:r w:rsidR="00F000D1">
        <w:t>.</w:t>
      </w:r>
      <w:r w:rsidR="00F000D1">
        <w:rPr>
          <w:rStyle w:val="FootnoteReference"/>
        </w:rPr>
        <w:footnoteReference w:id="46"/>
      </w:r>
      <w:r w:rsidR="00F000D1">
        <w:t xml:space="preserve"> </w:t>
      </w:r>
      <w:r>
        <w:t xml:space="preserve">It would appear that lack of experience among donors led them to confuse government leadership and poor process management. In addition, lack of meaningful participation of non-pool agencies detracted from a whole sector view and allowed </w:t>
      </w:r>
      <w:r w:rsidR="00647E29">
        <w:t xml:space="preserve">the Samoa </w:t>
      </w:r>
      <w:r>
        <w:t>Go</w:t>
      </w:r>
      <w:r w:rsidR="00647E29">
        <w:t xml:space="preserve">vernment </w:t>
      </w:r>
      <w:r>
        <w:t xml:space="preserve">to seek funding for activities outside </w:t>
      </w:r>
      <w:r w:rsidR="00F000D1">
        <w:t xml:space="preserve">the agreed </w:t>
      </w:r>
      <w:proofErr w:type="spellStart"/>
      <w:r w:rsidR="00F000D1">
        <w:t>SWAp</w:t>
      </w:r>
      <w:proofErr w:type="spellEnd"/>
      <w:r w:rsidR="00F000D1">
        <w:t xml:space="preserve"> program of work.</w:t>
      </w:r>
      <w:r w:rsidR="00F000D1">
        <w:rPr>
          <w:rStyle w:val="FootnoteReference"/>
        </w:rPr>
        <w:footnoteReference w:id="47"/>
      </w:r>
    </w:p>
    <w:p w:rsidR="00570A3A" w:rsidRDefault="00570A3A" w:rsidP="00570A3A">
      <w:pPr>
        <w:pStyle w:val="BulletLast"/>
      </w:pPr>
      <w:r w:rsidRPr="00086DF0">
        <w:t>In Solomon Islands the quality of pol</w:t>
      </w:r>
      <w:r>
        <w:t xml:space="preserve">icy dialogue and joint work was found to be </w:t>
      </w:r>
      <w:r w:rsidRPr="00086DF0">
        <w:t xml:space="preserve">compromised by </w:t>
      </w:r>
      <w:r>
        <w:t xml:space="preserve">a </w:t>
      </w:r>
      <w:r w:rsidRPr="00086DF0">
        <w:t xml:space="preserve">collective failure </w:t>
      </w:r>
      <w:r>
        <w:t xml:space="preserve">(both by </w:t>
      </w:r>
      <w:r w:rsidRPr="004E2EBA">
        <w:t>d</w:t>
      </w:r>
      <w:r>
        <w:t xml:space="preserve">onors </w:t>
      </w:r>
      <w:r w:rsidRPr="004E2EBA">
        <w:t xml:space="preserve">and </w:t>
      </w:r>
      <w:r>
        <w:t xml:space="preserve">the </w:t>
      </w:r>
      <w:r w:rsidRPr="004E2EBA">
        <w:t>government</w:t>
      </w:r>
      <w:r>
        <w:t xml:space="preserve">) </w:t>
      </w:r>
      <w:r w:rsidRPr="004E2EBA">
        <w:t>to manage and monitor implementation of past recommendations</w:t>
      </w:r>
      <w:r>
        <w:t>,</w:t>
      </w:r>
      <w:r w:rsidRPr="004E2EBA">
        <w:t xml:space="preserve"> and to absorb and account for resources.</w:t>
      </w:r>
      <w:r w:rsidRPr="00086DF0">
        <w:rPr>
          <w:rStyle w:val="FootnoteReference"/>
        </w:rPr>
        <w:footnoteReference w:id="48"/>
      </w:r>
      <w:r w:rsidRPr="00086DF0">
        <w:t xml:space="preserve"> </w:t>
      </w:r>
      <w:r>
        <w:t xml:space="preserve">The Ministry of Health was cited as having significant capacity constraints, limiting its ability to deliver on its </w:t>
      </w:r>
      <w:proofErr w:type="spellStart"/>
      <w:r>
        <w:t>SWAp</w:t>
      </w:r>
      <w:proofErr w:type="spellEnd"/>
      <w:r>
        <w:t xml:space="preserve"> responsibilities. Ministry of Health leadership thus appeared reduced or undermined, with donors visibly dominant and driving the process.</w:t>
      </w:r>
      <w:r>
        <w:rPr>
          <w:rStyle w:val="FootnoteReference"/>
        </w:rPr>
        <w:footnoteReference w:id="49"/>
      </w:r>
    </w:p>
    <w:p w:rsidR="00544BCD" w:rsidRDefault="00670BC7" w:rsidP="00544BCD">
      <w:r w:rsidRPr="005D6DA7">
        <w:t>Supporting information</w:t>
      </w:r>
      <w:r w:rsidR="004B6773">
        <w:t xml:space="preserve"> and references</w:t>
      </w:r>
      <w:r w:rsidR="00544BCD">
        <w:t>:</w:t>
      </w:r>
      <w:r w:rsidRPr="005D6DA7">
        <w:t xml:space="preserve"> </w:t>
      </w:r>
      <w:r w:rsidR="00325186">
        <w:t>Appendix</w:t>
      </w:r>
      <w:r>
        <w:t xml:space="preserve"> </w:t>
      </w:r>
      <w:r w:rsidR="00074AD9">
        <w:t>3</w:t>
      </w:r>
      <w:r>
        <w:t>: Table A8</w:t>
      </w:r>
      <w:r w:rsidR="004B6773">
        <w:t>.</w:t>
      </w:r>
      <w:r w:rsidR="00782251">
        <w:t xml:space="preserve"> </w:t>
      </w:r>
    </w:p>
    <w:p w:rsidR="00670BC7" w:rsidRPr="009F73E7" w:rsidRDefault="00B97C5E" w:rsidP="009F73E7">
      <w:pPr>
        <w:pStyle w:val="Heading2"/>
      </w:pPr>
      <w:bookmarkStart w:id="38" w:name="_Toc394224885"/>
      <w:bookmarkStart w:id="39" w:name="_Toc403403693"/>
      <w:r>
        <w:t>3.6</w:t>
      </w:r>
      <w:r w:rsidR="009F73E7">
        <w:tab/>
      </w:r>
      <w:r w:rsidR="00670BC7" w:rsidRPr="009F73E7">
        <w:t xml:space="preserve">Did </w:t>
      </w:r>
      <w:proofErr w:type="spellStart"/>
      <w:r w:rsidR="00670BC7" w:rsidRPr="009F73E7">
        <w:t>SWAps</w:t>
      </w:r>
      <w:proofErr w:type="spellEnd"/>
      <w:r w:rsidR="00670BC7" w:rsidRPr="009F73E7">
        <w:t xml:space="preserve"> improve </w:t>
      </w:r>
      <w:r w:rsidR="003B38DA">
        <w:t xml:space="preserve">government </w:t>
      </w:r>
      <w:r w:rsidR="00670BC7" w:rsidRPr="009F73E7">
        <w:t>ownership and leadership?</w:t>
      </w:r>
      <w:bookmarkEnd w:id="38"/>
      <w:bookmarkEnd w:id="39"/>
    </w:p>
    <w:p w:rsidR="003B38DA" w:rsidRPr="003B38DA" w:rsidRDefault="00670BC7" w:rsidP="003B38DA">
      <w:r w:rsidRPr="003B38DA">
        <w:t xml:space="preserve">As with other </w:t>
      </w:r>
      <w:proofErr w:type="spellStart"/>
      <w:r w:rsidR="003B38DA">
        <w:t>SWAp</w:t>
      </w:r>
      <w:proofErr w:type="spellEnd"/>
      <w:r w:rsidR="003B38DA">
        <w:t xml:space="preserve"> </w:t>
      </w:r>
      <w:r w:rsidRPr="003B38DA">
        <w:t xml:space="preserve">components, baselines describing the extent of government ownership and leadership before the </w:t>
      </w:r>
      <w:proofErr w:type="spellStart"/>
      <w:r w:rsidRPr="003B38DA">
        <w:t>SWAp</w:t>
      </w:r>
      <w:proofErr w:type="spellEnd"/>
      <w:r w:rsidRPr="003B38DA">
        <w:t xml:space="preserve"> was introduced are almost non-existent. Furthermore, defining and measuring country ownership is notoriously difficult</w:t>
      </w:r>
      <w:r w:rsidR="000E1CFA" w:rsidRPr="003B38DA">
        <w:t xml:space="preserve">. </w:t>
      </w:r>
    </w:p>
    <w:p w:rsidR="00670BC7" w:rsidRPr="00D02812" w:rsidRDefault="00AF3C88" w:rsidP="001D6660">
      <w:pPr>
        <w:pStyle w:val="NormalBeforeBullet"/>
      </w:pPr>
      <w:r>
        <w:lastRenderedPageBreak/>
        <w:t>E</w:t>
      </w:r>
      <w:r w:rsidRPr="00197C5B">
        <w:t>vidence from the six countries link</w:t>
      </w:r>
      <w:r>
        <w:t>s</w:t>
      </w:r>
      <w:r w:rsidRPr="00197C5B">
        <w:t xml:space="preserve"> the </w:t>
      </w:r>
      <w:proofErr w:type="spellStart"/>
      <w:r w:rsidRPr="00197C5B">
        <w:t>SWAp</w:t>
      </w:r>
      <w:proofErr w:type="spellEnd"/>
      <w:r w:rsidRPr="00197C5B">
        <w:t xml:space="preserve"> to increased government </w:t>
      </w:r>
      <w:r w:rsidRPr="003B38DA">
        <w:t>leadership of the sector and ownership of national health plans</w:t>
      </w:r>
      <w:r>
        <w:t xml:space="preserve">. </w:t>
      </w:r>
      <w:r w:rsidR="001D6660">
        <w:t>T</w:t>
      </w:r>
      <w:r w:rsidR="00670BC7" w:rsidRPr="00197C5B">
        <w:t xml:space="preserve">he evidence also </w:t>
      </w:r>
      <w:r w:rsidR="005A596A">
        <w:t xml:space="preserve">contains important </w:t>
      </w:r>
      <w:r w:rsidR="00670BC7" w:rsidRPr="00D02812">
        <w:t>qualifi</w:t>
      </w:r>
      <w:r w:rsidR="005A596A">
        <w:t>cations to</w:t>
      </w:r>
      <w:r w:rsidR="00670BC7" w:rsidRPr="00D02812">
        <w:t xml:space="preserve"> this broad statement</w:t>
      </w:r>
      <w:r w:rsidR="005A596A">
        <w:t>:</w:t>
      </w:r>
      <w:r w:rsidR="00670BC7" w:rsidRPr="00D02812">
        <w:t xml:space="preserve"> </w:t>
      </w:r>
    </w:p>
    <w:p w:rsidR="00670BC7" w:rsidRPr="00086DF0" w:rsidRDefault="00670BC7" w:rsidP="009F73E7">
      <w:pPr>
        <w:pStyle w:val="Bullet"/>
      </w:pPr>
      <w:r w:rsidRPr="00086DF0">
        <w:t xml:space="preserve">In Bangladesh, government leadership and ownership changed over time and went through periods of crisis during which the sector program and </w:t>
      </w:r>
      <w:proofErr w:type="spellStart"/>
      <w:r w:rsidRPr="00086DF0">
        <w:t>SWAp</w:t>
      </w:r>
      <w:proofErr w:type="spellEnd"/>
      <w:r w:rsidRPr="00086DF0">
        <w:t xml:space="preserve"> helped maintain minimum levels of policy dialogue, with the government in control</w:t>
      </w:r>
      <w:r w:rsidR="000E1CFA">
        <w:t xml:space="preserve">. </w:t>
      </w:r>
      <w:r w:rsidRPr="00086DF0">
        <w:t xml:space="preserve">Accountability for decisions and results improved in recent years, although some reports </w:t>
      </w:r>
      <w:r w:rsidR="00F760B7">
        <w:t>emphasis</w:t>
      </w:r>
      <w:r w:rsidR="005A596A">
        <w:t>e</w:t>
      </w:r>
      <w:r w:rsidRPr="00086DF0">
        <w:t xml:space="preserve"> that accountability lines often seemed </w:t>
      </w:r>
      <w:r>
        <w:t>uni</w:t>
      </w:r>
      <w:r w:rsidRPr="00086DF0">
        <w:t xml:space="preserve">directional, </w:t>
      </w:r>
      <w:r w:rsidR="005A596A">
        <w:t xml:space="preserve">that is, with </w:t>
      </w:r>
      <w:r w:rsidRPr="00086DF0">
        <w:t xml:space="preserve">the government expected to be accountable to a greater extent than </w:t>
      </w:r>
      <w:r w:rsidR="005A596A">
        <w:t xml:space="preserve">the </w:t>
      </w:r>
      <w:r w:rsidRPr="00086DF0">
        <w:t>donors, some of wh</w:t>
      </w:r>
      <w:r w:rsidR="00E63248">
        <w:t xml:space="preserve">om </w:t>
      </w:r>
      <w:r w:rsidRPr="00086DF0">
        <w:t xml:space="preserve">continued to work </w:t>
      </w:r>
      <w:r w:rsidR="00E63248">
        <w:t xml:space="preserve">in ways that were not consistent with the </w:t>
      </w:r>
      <w:proofErr w:type="spellStart"/>
      <w:r w:rsidR="00E63248">
        <w:t>SWAp</w:t>
      </w:r>
      <w:proofErr w:type="spellEnd"/>
      <w:r w:rsidR="00E63248">
        <w:t xml:space="preserve"> </w:t>
      </w:r>
      <w:r w:rsidRPr="00086DF0">
        <w:t>or failed to deliver on decisions and pledges</w:t>
      </w:r>
      <w:r w:rsidR="00F760B7">
        <w:t>. This</w:t>
      </w:r>
      <w:r w:rsidRPr="00086DF0">
        <w:t xml:space="preserve"> undermined government leadership.</w:t>
      </w:r>
      <w:r w:rsidRPr="00086DF0">
        <w:rPr>
          <w:rStyle w:val="FootnoteReference"/>
        </w:rPr>
        <w:footnoteReference w:id="50"/>
      </w:r>
    </w:p>
    <w:p w:rsidR="00670BC7" w:rsidRPr="00086DF0" w:rsidRDefault="00670BC7" w:rsidP="009F73E7">
      <w:pPr>
        <w:pStyle w:val="Bullet"/>
      </w:pPr>
      <w:r w:rsidRPr="00086DF0">
        <w:t>In Cambodia, ownership, leadership and accountability by the go</w:t>
      </w:r>
      <w:r w:rsidRPr="004E2EBA">
        <w:t xml:space="preserve">vernment </w:t>
      </w:r>
      <w:r w:rsidR="00C84F48">
        <w:t>were</w:t>
      </w:r>
      <w:r w:rsidRPr="004E2EBA">
        <w:t xml:space="preserve"> reported as high</w:t>
      </w:r>
      <w:r w:rsidR="00215F28">
        <w:t>, but</w:t>
      </w:r>
      <w:r w:rsidRPr="004E2EBA">
        <w:t xml:space="preserve"> </w:t>
      </w:r>
      <w:r w:rsidR="00215F28">
        <w:t>a</w:t>
      </w:r>
      <w:r w:rsidRPr="004E2EBA">
        <w:t xml:space="preserve">ccountability </w:t>
      </w:r>
      <w:r w:rsidR="00C84F48">
        <w:t xml:space="preserve">was not found to </w:t>
      </w:r>
      <w:r w:rsidRPr="004E2EBA">
        <w:t>extend to all areas</w:t>
      </w:r>
      <w:r w:rsidR="00215F28">
        <w:t>.</w:t>
      </w:r>
      <w:r w:rsidRPr="004E2EBA">
        <w:t xml:space="preserve"> </w:t>
      </w:r>
      <w:r w:rsidR="00215F28">
        <w:t>A m</w:t>
      </w:r>
      <w:r w:rsidRPr="004E2EBA">
        <w:t xml:space="preserve">ore transparent share of information would </w:t>
      </w:r>
      <w:r w:rsidR="00C84F48">
        <w:t xml:space="preserve">have </w:t>
      </w:r>
      <w:r w:rsidRPr="004E2EBA">
        <w:t>help</w:t>
      </w:r>
      <w:r w:rsidR="00C84F48">
        <w:t>ed</w:t>
      </w:r>
      <w:r w:rsidRPr="004E2EBA">
        <w:t xml:space="preserve"> better align resources to sector priorities, including the procurement of essential drugs at market prices.</w:t>
      </w:r>
      <w:r w:rsidRPr="00086DF0">
        <w:rPr>
          <w:rStyle w:val="FootnoteReference"/>
        </w:rPr>
        <w:footnoteReference w:id="51"/>
      </w:r>
      <w:r w:rsidRPr="00086DF0">
        <w:t xml:space="preserve"> Some reports criticise donors for not being accountable for the principles of the </w:t>
      </w:r>
      <w:proofErr w:type="spellStart"/>
      <w:r w:rsidR="00215F28">
        <w:t>SWAp</w:t>
      </w:r>
      <w:proofErr w:type="spellEnd"/>
      <w:r w:rsidRPr="00086DF0">
        <w:t>, failing to define specific targets to increase align</w:t>
      </w:r>
      <w:r w:rsidRPr="004E2EBA">
        <w:t>ment and harmonisation.</w:t>
      </w:r>
      <w:r w:rsidRPr="00086DF0">
        <w:rPr>
          <w:rStyle w:val="FootnoteReference"/>
        </w:rPr>
        <w:footnoteReference w:id="52"/>
      </w:r>
    </w:p>
    <w:p w:rsidR="00670BC7" w:rsidRPr="004E2EBA" w:rsidRDefault="00670BC7" w:rsidP="009F73E7">
      <w:pPr>
        <w:pStyle w:val="Bullet"/>
        <w:rPr>
          <w:i/>
        </w:rPr>
      </w:pPr>
      <w:r w:rsidRPr="00086DF0">
        <w:t xml:space="preserve">Nepal </w:t>
      </w:r>
      <w:r w:rsidR="00C84F48">
        <w:t>is</w:t>
      </w:r>
      <w:r w:rsidRPr="00086DF0">
        <w:t xml:space="preserve"> reported as an example of a government leading and maintaining open and fluent relationships with its partners, which proved essential during the long periods of civil unrest and political instability</w:t>
      </w:r>
      <w:r w:rsidR="000E1CFA">
        <w:t xml:space="preserve">. </w:t>
      </w:r>
      <w:r w:rsidRPr="00086DF0">
        <w:t xml:space="preserve">Accountability for decisions and results </w:t>
      </w:r>
      <w:r w:rsidR="00C84F48">
        <w:t>was</w:t>
      </w:r>
      <w:r w:rsidRPr="00086DF0">
        <w:t xml:space="preserve"> also judged to be high.</w:t>
      </w:r>
      <w:r w:rsidRPr="00086DF0">
        <w:rPr>
          <w:rStyle w:val="FootnoteReference"/>
        </w:rPr>
        <w:footnoteReference w:id="53"/>
      </w:r>
      <w:r w:rsidRPr="00086DF0">
        <w:t xml:space="preserve"> The Aus</w:t>
      </w:r>
      <w:r w:rsidR="00C84F48">
        <w:t xml:space="preserve">tralian aid program’s annual performance review </w:t>
      </w:r>
      <w:r w:rsidRPr="00086DF0">
        <w:t>for 2011 states that ‘</w:t>
      </w:r>
      <w:r w:rsidRPr="00086DF0">
        <w:rPr>
          <w:i/>
        </w:rPr>
        <w:t xml:space="preserve">Donors operating in the country are noted for their commitment to working in a highly coordinated fashion and in ways </w:t>
      </w:r>
      <w:r w:rsidRPr="004E2EBA">
        <w:rPr>
          <w:i/>
        </w:rPr>
        <w:t>that build government systems and capacity’.</w:t>
      </w:r>
    </w:p>
    <w:p w:rsidR="00777462" w:rsidRPr="00667DF1" w:rsidRDefault="00670BC7" w:rsidP="009F73E7">
      <w:pPr>
        <w:pStyle w:val="Bullet"/>
        <w:rPr>
          <w:i/>
        </w:rPr>
      </w:pPr>
      <w:r w:rsidRPr="004E2EBA">
        <w:t>Government leadership in P</w:t>
      </w:r>
      <w:r w:rsidR="00DF1DD1">
        <w:t>apua New Guinea</w:t>
      </w:r>
      <w:r w:rsidR="0097056D">
        <w:t xml:space="preserve"> </w:t>
      </w:r>
      <w:r w:rsidRPr="004E2EBA">
        <w:t>was described as very low, particularly until 2010</w:t>
      </w:r>
      <w:r w:rsidR="000E1CFA">
        <w:t xml:space="preserve">. </w:t>
      </w:r>
      <w:r w:rsidRPr="004E2EBA">
        <w:t xml:space="preserve">This was linked primarily to lack of implementation capacity on the government side and to rigidity of the trust account supporting the </w:t>
      </w:r>
      <w:r w:rsidR="00C84F48">
        <w:t>health sector program.</w:t>
      </w:r>
      <w:r w:rsidR="000E1CFA">
        <w:t xml:space="preserve"> </w:t>
      </w:r>
      <w:r w:rsidR="00AF3C88">
        <w:t>A</w:t>
      </w:r>
      <w:r w:rsidR="00AF3C88" w:rsidRPr="004E2EBA">
        <w:t xml:space="preserve">ccording to </w:t>
      </w:r>
      <w:r w:rsidR="00AF3C88">
        <w:t>Australian aid program’s</w:t>
      </w:r>
      <w:r w:rsidR="00AF3C88" w:rsidRPr="004E2EBA">
        <w:t xml:space="preserve"> reports</w:t>
      </w:r>
      <w:r w:rsidR="00777462">
        <w:t xml:space="preserve"> </w:t>
      </w:r>
      <w:r w:rsidR="00AF3C88">
        <w:t>l</w:t>
      </w:r>
      <w:r w:rsidR="00AF3C88" w:rsidRPr="004E2EBA">
        <w:t xml:space="preserve">eadership seems to have improved </w:t>
      </w:r>
      <w:r w:rsidR="00B862F4">
        <w:t xml:space="preserve">somewhat </w:t>
      </w:r>
      <w:r w:rsidR="00AF3C88" w:rsidRPr="004E2EBA">
        <w:t>since 2010</w:t>
      </w:r>
      <w:r w:rsidR="00667DF1">
        <w:t>.  A recent report reviewing the Health Sector Partnership Committee</w:t>
      </w:r>
      <w:r w:rsidR="00667DF1">
        <w:rPr>
          <w:rStyle w:val="FootnoteReference"/>
        </w:rPr>
        <w:footnoteReference w:id="54"/>
      </w:r>
      <w:r w:rsidR="00667DF1">
        <w:t xml:space="preserve"> in 2014 suggests that a considerable amount of work has taken place to improve government leadership and policy dialogue, but that problems remain.</w:t>
      </w:r>
    </w:p>
    <w:p w:rsidR="00670BC7" w:rsidRPr="00777462" w:rsidRDefault="00670BC7" w:rsidP="009F73E7">
      <w:pPr>
        <w:pStyle w:val="Bullet"/>
        <w:rPr>
          <w:i/>
        </w:rPr>
      </w:pPr>
      <w:r w:rsidRPr="00AD399C">
        <w:t>Leader</w:t>
      </w:r>
      <w:r w:rsidR="001626F5">
        <w:t xml:space="preserve">ship by the </w:t>
      </w:r>
      <w:r w:rsidR="00C95F06">
        <w:t xml:space="preserve">Samoan </w:t>
      </w:r>
      <w:r w:rsidR="001626F5">
        <w:t>Go</w:t>
      </w:r>
      <w:r w:rsidR="00C95F06">
        <w:t xml:space="preserve">vernment </w:t>
      </w:r>
      <w:r w:rsidRPr="008E21B2">
        <w:t>is portrayed as very strong in two separate external reviews</w:t>
      </w:r>
      <w:r w:rsidR="00C95F06">
        <w:t>,</w:t>
      </w:r>
      <w:r w:rsidRPr="00086DF0">
        <w:t xml:space="preserve"> </w:t>
      </w:r>
      <w:r w:rsidR="00C95F06">
        <w:t>and a</w:t>
      </w:r>
      <w:r w:rsidRPr="00086DF0">
        <w:t>ccountability is described as progressing well</w:t>
      </w:r>
      <w:r w:rsidR="000E1CFA">
        <w:t>.</w:t>
      </w:r>
      <w:r w:rsidR="00D330CD" w:rsidRPr="00D330CD">
        <w:rPr>
          <w:rStyle w:val="FootnoteReference"/>
        </w:rPr>
        <w:t xml:space="preserve"> </w:t>
      </w:r>
      <w:r w:rsidR="00D330CD" w:rsidRPr="00086DF0">
        <w:rPr>
          <w:rStyle w:val="FootnoteReference"/>
        </w:rPr>
        <w:footnoteReference w:id="55"/>
      </w:r>
      <w:r w:rsidR="000E1CFA">
        <w:t xml:space="preserve"> </w:t>
      </w:r>
      <w:r w:rsidRPr="00086DF0">
        <w:t>‘</w:t>
      </w:r>
      <w:r w:rsidRPr="00777462">
        <w:rPr>
          <w:i/>
        </w:rPr>
        <w:t xml:space="preserve">The </w:t>
      </w:r>
      <w:r w:rsidR="00570A3A" w:rsidRPr="00777462">
        <w:rPr>
          <w:i/>
        </w:rPr>
        <w:t xml:space="preserve">Ministry of Health </w:t>
      </w:r>
      <w:r w:rsidRPr="00777462">
        <w:rPr>
          <w:i/>
        </w:rPr>
        <w:t xml:space="preserve">appears to have approached the task of managing the </w:t>
      </w:r>
      <w:proofErr w:type="spellStart"/>
      <w:r w:rsidRPr="00777462">
        <w:rPr>
          <w:i/>
        </w:rPr>
        <w:t>SWAp</w:t>
      </w:r>
      <w:proofErr w:type="spellEnd"/>
      <w:r w:rsidRPr="00777462">
        <w:rPr>
          <w:i/>
        </w:rPr>
        <w:t xml:space="preserve"> with energy and enthusiasm</w:t>
      </w:r>
      <w:r w:rsidR="000E1CFA" w:rsidRPr="00777462">
        <w:rPr>
          <w:i/>
        </w:rPr>
        <w:t xml:space="preserve">. </w:t>
      </w:r>
      <w:r w:rsidRPr="00777462">
        <w:rPr>
          <w:i/>
        </w:rPr>
        <w:t>The ability to consolidate interactions wi</w:t>
      </w:r>
      <w:r w:rsidRPr="00B862F4">
        <w:rPr>
          <w:i/>
        </w:rPr>
        <w:t xml:space="preserve">th </w:t>
      </w:r>
      <w:r w:rsidR="00C95F06" w:rsidRPr="00B862F4">
        <w:rPr>
          <w:i/>
        </w:rPr>
        <w:t xml:space="preserve">development partners </w:t>
      </w:r>
      <w:r w:rsidRPr="00B862F4">
        <w:rPr>
          <w:i/>
        </w:rPr>
        <w:t>into a single process as opposed to a series of discrete bilateral engagements</w:t>
      </w:r>
      <w:r w:rsidRPr="00667DF1">
        <w:rPr>
          <w:i/>
        </w:rPr>
        <w:t xml:space="preserve"> has supported more efficient and consistent dialogue’.</w:t>
      </w:r>
      <w:r w:rsidRPr="00086DF0">
        <w:rPr>
          <w:rStyle w:val="FootnoteReference"/>
          <w:i/>
        </w:rPr>
        <w:footnoteReference w:id="56"/>
      </w:r>
    </w:p>
    <w:p w:rsidR="00670BC7" w:rsidRPr="003B38DA" w:rsidRDefault="00670BC7" w:rsidP="003F751E">
      <w:pPr>
        <w:pStyle w:val="BulletLast"/>
        <w:rPr>
          <w:i/>
        </w:rPr>
      </w:pPr>
      <w:r w:rsidRPr="00086DF0">
        <w:t xml:space="preserve">Leadership in the Solomon Islands </w:t>
      </w:r>
      <w:proofErr w:type="spellStart"/>
      <w:r w:rsidRPr="00086DF0">
        <w:t>SWAp</w:t>
      </w:r>
      <w:proofErr w:type="spellEnd"/>
      <w:r w:rsidRPr="00086DF0">
        <w:t xml:space="preserve"> is described as weak</w:t>
      </w:r>
      <w:r w:rsidR="00C95F06">
        <w:t>,</w:t>
      </w:r>
      <w:r w:rsidRPr="00086DF0">
        <w:t xml:space="preserve"> </w:t>
      </w:r>
      <w:r w:rsidR="00C95F06">
        <w:t>because of</w:t>
      </w:r>
      <w:r w:rsidRPr="004E2EBA">
        <w:t xml:space="preserve"> poor definition of results at either </w:t>
      </w:r>
      <w:proofErr w:type="spellStart"/>
      <w:r w:rsidRPr="004E2EBA">
        <w:t>SWAp</w:t>
      </w:r>
      <w:proofErr w:type="spellEnd"/>
      <w:r w:rsidRPr="004E2EBA">
        <w:t xml:space="preserve"> or sector levels</w:t>
      </w:r>
      <w:r w:rsidR="00C95F06">
        <w:t>,</w:t>
      </w:r>
      <w:r w:rsidRPr="004E2EBA">
        <w:t xml:space="preserve"> and </w:t>
      </w:r>
      <w:r w:rsidR="00C95F06">
        <w:t xml:space="preserve">because of </w:t>
      </w:r>
      <w:r w:rsidRPr="004E2EBA">
        <w:t xml:space="preserve">capacity </w:t>
      </w:r>
      <w:r w:rsidR="00C95F06">
        <w:t>issues</w:t>
      </w:r>
      <w:r w:rsidRPr="004E2EBA">
        <w:t xml:space="preserve"> at the </w:t>
      </w:r>
      <w:r w:rsidR="00D330CD">
        <w:t xml:space="preserve">executive </w:t>
      </w:r>
      <w:r w:rsidRPr="004E2EBA">
        <w:t xml:space="preserve">level (described as ‘managing by </w:t>
      </w:r>
      <w:proofErr w:type="gramStart"/>
      <w:r w:rsidRPr="004E2EBA">
        <w:t>crisis</w:t>
      </w:r>
      <w:r>
        <w:t>’</w:t>
      </w:r>
      <w:proofErr w:type="gramEnd"/>
      <w:r w:rsidRPr="004E2EBA">
        <w:t xml:space="preserve">). </w:t>
      </w:r>
      <w:r w:rsidR="00570A3A" w:rsidRPr="00AD399C">
        <w:t xml:space="preserve">There is limited evidence of effective approaches to define and track </w:t>
      </w:r>
      <w:r w:rsidR="00570A3A" w:rsidRPr="008E21B2">
        <w:t>accountability f</w:t>
      </w:r>
      <w:r w:rsidR="00570A3A" w:rsidRPr="00DA4617">
        <w:t>or performance.</w:t>
      </w:r>
      <w:r w:rsidR="00570A3A" w:rsidRPr="00086DF0">
        <w:rPr>
          <w:rStyle w:val="FootnoteReference"/>
        </w:rPr>
        <w:footnoteReference w:id="57"/>
      </w:r>
      <w:r w:rsidR="00570A3A" w:rsidRPr="00086DF0">
        <w:t xml:space="preserve"> </w:t>
      </w:r>
      <w:r w:rsidRPr="00086DF0">
        <w:t xml:space="preserve"> </w:t>
      </w:r>
      <w:r>
        <w:t xml:space="preserve">The political sensitivity of the </w:t>
      </w:r>
      <w:r w:rsidR="00C95F06">
        <w:t xml:space="preserve">relationship with </w:t>
      </w:r>
      <w:r>
        <w:lastRenderedPageBreak/>
        <w:t>Solomon Islands and pressu</w:t>
      </w:r>
      <w:r w:rsidR="00F000D1">
        <w:t>res to spend the aid budget has</w:t>
      </w:r>
      <w:r>
        <w:t xml:space="preserve"> made </w:t>
      </w:r>
      <w:r w:rsidR="00D330CD">
        <w:t>the Australian aid program</w:t>
      </w:r>
      <w:r>
        <w:t xml:space="preserve"> reluctant to impose sanctions.</w:t>
      </w:r>
    </w:p>
    <w:p w:rsidR="003B38DA" w:rsidRDefault="003B38DA" w:rsidP="003B38DA">
      <w:proofErr w:type="gramStart"/>
      <w:r w:rsidRPr="00074AD9">
        <w:t xml:space="preserve">Supporting information and references: </w:t>
      </w:r>
      <w:r w:rsidR="00074AD9" w:rsidRPr="00074AD9">
        <w:t>Appendix 3</w:t>
      </w:r>
      <w:r w:rsidRPr="00074AD9">
        <w:t>, Table A9.</w:t>
      </w:r>
      <w:proofErr w:type="gramEnd"/>
    </w:p>
    <w:p w:rsidR="00670BC7" w:rsidRPr="009F73E7" w:rsidRDefault="00B97C5E" w:rsidP="009F73E7">
      <w:pPr>
        <w:pStyle w:val="Heading2"/>
      </w:pPr>
      <w:bookmarkStart w:id="40" w:name="_Toc403403694"/>
      <w:bookmarkStart w:id="41" w:name="_Toc394224886"/>
      <w:r>
        <w:t>3.7</w:t>
      </w:r>
      <w:r w:rsidR="009F73E7">
        <w:tab/>
      </w:r>
      <w:r w:rsidR="00670BC7" w:rsidRPr="009F73E7">
        <w:t xml:space="preserve">Did </w:t>
      </w:r>
      <w:proofErr w:type="spellStart"/>
      <w:r w:rsidR="00670BC7" w:rsidRPr="009F73E7">
        <w:t>SWAps</w:t>
      </w:r>
      <w:proofErr w:type="spellEnd"/>
      <w:r w:rsidR="00670BC7" w:rsidRPr="009F73E7">
        <w:t xml:space="preserve"> increase alignment</w:t>
      </w:r>
      <w:r w:rsidR="00015029">
        <w:t>?</w:t>
      </w:r>
      <w:bookmarkEnd w:id="40"/>
      <w:r w:rsidR="00015029">
        <w:t xml:space="preserve"> </w:t>
      </w:r>
      <w:bookmarkEnd w:id="41"/>
    </w:p>
    <w:p w:rsidR="00EE060B" w:rsidRDefault="00AC67D5" w:rsidP="00EE060B">
      <w:pPr>
        <w:pStyle w:val="NormalBeforeBullet"/>
      </w:pPr>
      <w:r>
        <w:t>The concept of a</w:t>
      </w:r>
      <w:r w:rsidR="00EE060B" w:rsidRPr="00197C5B">
        <w:t>lignment encompass</w:t>
      </w:r>
      <w:r>
        <w:t>es</w:t>
      </w:r>
      <w:r w:rsidR="00EE060B" w:rsidRPr="00197C5B">
        <w:t xml:space="preserve"> different dimensions</w:t>
      </w:r>
      <w:r w:rsidR="00150330">
        <w:t xml:space="preserve">, so </w:t>
      </w:r>
      <w:r w:rsidR="00EE060B" w:rsidRPr="00197C5B">
        <w:t xml:space="preserve">it is possible for strong </w:t>
      </w:r>
      <w:r w:rsidR="00150330">
        <w:t xml:space="preserve">policy </w:t>
      </w:r>
      <w:r w:rsidR="00EE060B" w:rsidRPr="00197C5B">
        <w:t>alignment to co-exist with weak alignment in terms of health financing</w:t>
      </w:r>
      <w:r w:rsidR="00EE060B">
        <w:t xml:space="preserve">. </w:t>
      </w:r>
      <w:r>
        <w:t>W</w:t>
      </w:r>
      <w:r w:rsidR="00150330">
        <w:t>e</w:t>
      </w:r>
      <w:r w:rsidR="00EE060B" w:rsidRPr="00197C5B">
        <w:t xml:space="preserve"> defined </w:t>
      </w:r>
      <w:r>
        <w:t xml:space="preserve">the </w:t>
      </w:r>
      <w:r w:rsidR="00EE060B" w:rsidRPr="00197C5B">
        <w:t>different dimensions of alignment</w:t>
      </w:r>
      <w:r>
        <w:t>,</w:t>
      </w:r>
      <w:r w:rsidR="00EE060B" w:rsidRPr="00197C5B">
        <w:t xml:space="preserve"> to guide </w:t>
      </w:r>
      <w:r>
        <w:t>our document review</w:t>
      </w:r>
      <w:r w:rsidR="00150330">
        <w:t xml:space="preserve"> as</w:t>
      </w:r>
      <w:r>
        <w:t>,</w:t>
      </w:r>
      <w:r w:rsidR="00150330">
        <w:t xml:space="preserve"> follows:</w:t>
      </w:r>
    </w:p>
    <w:p w:rsidR="00EE060B" w:rsidRDefault="001D6660" w:rsidP="00EE060B">
      <w:pPr>
        <w:pStyle w:val="Bullet"/>
      </w:pPr>
      <w:r>
        <w:t>A</w:t>
      </w:r>
      <w:r w:rsidR="00EE060B">
        <w:t xml:space="preserve">lignment with government planning and budget systems by </w:t>
      </w:r>
      <w:r w:rsidR="00150330">
        <w:t xml:space="preserve">the </w:t>
      </w:r>
      <w:r w:rsidR="00EE060B">
        <w:t>Australia</w:t>
      </w:r>
      <w:r w:rsidR="00150330">
        <w:t>n aid program and main donors.</w:t>
      </w:r>
    </w:p>
    <w:p w:rsidR="00EE060B" w:rsidRDefault="00150330" w:rsidP="00EE060B">
      <w:pPr>
        <w:pStyle w:val="Bullet"/>
      </w:pPr>
      <w:r>
        <w:t>A</w:t>
      </w:r>
      <w:r w:rsidR="00EE060B">
        <w:t xml:space="preserve">lignment of external financing with the priorities of the plan and </w:t>
      </w:r>
      <w:r>
        <w:t>medium term expenditure framework.</w:t>
      </w:r>
    </w:p>
    <w:p w:rsidR="00EE060B" w:rsidRDefault="00150330" w:rsidP="00EE060B">
      <w:pPr>
        <w:pStyle w:val="Bullet"/>
      </w:pPr>
      <w:r>
        <w:t xml:space="preserve">Predictability of </w:t>
      </w:r>
      <w:r w:rsidR="00EE060B">
        <w:t>health financing and/or expenditure</w:t>
      </w:r>
      <w:r>
        <w:t xml:space="preserve">. </w:t>
      </w:r>
    </w:p>
    <w:p w:rsidR="00EE060B" w:rsidRDefault="00150330" w:rsidP="00EE060B">
      <w:pPr>
        <w:pStyle w:val="Bullet"/>
      </w:pPr>
      <w:r>
        <w:t xml:space="preserve">Whether </w:t>
      </w:r>
      <w:r w:rsidR="00EE060B">
        <w:t>health financing or expenditure support</w:t>
      </w:r>
      <w:r>
        <w:t>ed</w:t>
      </w:r>
      <w:r w:rsidR="00EE060B">
        <w:t xml:space="preserve"> incrementally the defined sector priorities</w:t>
      </w:r>
      <w:r>
        <w:t xml:space="preserve">. </w:t>
      </w:r>
    </w:p>
    <w:p w:rsidR="00EE060B" w:rsidRDefault="00150330" w:rsidP="00EE060B">
      <w:pPr>
        <w:pStyle w:val="BulletLast"/>
      </w:pPr>
      <w:r>
        <w:t xml:space="preserve">Whether </w:t>
      </w:r>
      <w:r w:rsidR="00EE060B">
        <w:t>alignment increase</w:t>
      </w:r>
      <w:r>
        <w:t>d</w:t>
      </w:r>
      <w:r w:rsidR="00EE060B">
        <w:t xml:space="preserve"> in the context of the </w:t>
      </w:r>
      <w:proofErr w:type="spellStart"/>
      <w:r w:rsidR="00EE060B">
        <w:t>SWAp</w:t>
      </w:r>
      <w:proofErr w:type="spellEnd"/>
      <w:r>
        <w:t>.</w:t>
      </w:r>
    </w:p>
    <w:p w:rsidR="0061008C" w:rsidRDefault="0061008C" w:rsidP="0061008C">
      <w:pPr>
        <w:pStyle w:val="BulletLast"/>
        <w:numPr>
          <w:ilvl w:val="0"/>
          <w:numId w:val="0"/>
        </w:numPr>
      </w:pPr>
      <w:r w:rsidRPr="00074AD9">
        <w:t xml:space="preserve">Detailed analysis for each dimension </w:t>
      </w:r>
      <w:r w:rsidR="001D6660">
        <w:t xml:space="preserve">is </w:t>
      </w:r>
      <w:r w:rsidRPr="00074AD9">
        <w:t xml:space="preserve">in Appendix </w:t>
      </w:r>
      <w:r w:rsidR="00074AD9" w:rsidRPr="00074AD9">
        <w:t>3</w:t>
      </w:r>
      <w:r w:rsidRPr="00074AD9">
        <w:t>, Tables A11 to A15.</w:t>
      </w:r>
      <w:r>
        <w:t xml:space="preserve"> </w:t>
      </w:r>
    </w:p>
    <w:p w:rsidR="001D6660" w:rsidRPr="001D6660" w:rsidRDefault="001D6660" w:rsidP="0061008C">
      <w:pPr>
        <w:pStyle w:val="BulletLast"/>
        <w:numPr>
          <w:ilvl w:val="0"/>
          <w:numId w:val="0"/>
        </w:numPr>
      </w:pPr>
      <w:r w:rsidRPr="001D6660">
        <w:t xml:space="preserve">We found that alignment increased in all the countries reviewed, but with marked differences in the extent of progress. A snapshot of our assessment of progress </w:t>
      </w:r>
      <w:r w:rsidR="00276B44">
        <w:t>for each dimension is in Table 6</w:t>
      </w:r>
      <w:r w:rsidRPr="001D6660">
        <w:t>.</w:t>
      </w:r>
    </w:p>
    <w:p w:rsidR="00670BC7" w:rsidRPr="009F73E7" w:rsidRDefault="00E705EF" w:rsidP="009F73E7">
      <w:pPr>
        <w:pStyle w:val="TableName"/>
        <w:spacing w:before="240" w:line="276" w:lineRule="auto"/>
      </w:pPr>
      <w:bookmarkStart w:id="42" w:name="_Toc402192199"/>
      <w:r>
        <w:t xml:space="preserve">Table </w:t>
      </w:r>
      <w:r w:rsidR="00276B44">
        <w:t>6</w:t>
      </w:r>
      <w:r w:rsidR="009F73E7" w:rsidRPr="009F73E7">
        <w:tab/>
      </w:r>
      <w:r w:rsidR="0061008C">
        <w:t>Summary of progress on alignment</w:t>
      </w:r>
      <w:bookmarkEnd w:id="42"/>
    </w:p>
    <w:tbl>
      <w:tblPr>
        <w:tblStyle w:val="TableGrid"/>
        <w:tblW w:w="5000" w:type="pct"/>
        <w:tblLook w:val="04A0" w:firstRow="1" w:lastRow="0" w:firstColumn="1" w:lastColumn="0" w:noHBand="0" w:noVBand="1"/>
      </w:tblPr>
      <w:tblGrid>
        <w:gridCol w:w="2801"/>
        <w:gridCol w:w="1351"/>
        <w:gridCol w:w="1399"/>
        <w:gridCol w:w="852"/>
        <w:gridCol w:w="895"/>
        <w:gridCol w:w="872"/>
        <w:gridCol w:w="1072"/>
      </w:tblGrid>
      <w:tr w:rsidR="00670BC7" w:rsidRPr="007477B1" w:rsidTr="001D6660">
        <w:trPr>
          <w:cnfStyle w:val="100000000000" w:firstRow="1" w:lastRow="0" w:firstColumn="0" w:lastColumn="0" w:oddVBand="0" w:evenVBand="0" w:oddHBand="0" w:evenHBand="0" w:firstRowFirstColumn="0" w:firstRowLastColumn="0" w:lastRowFirstColumn="0" w:lastRowLastColumn="0"/>
          <w:trHeight w:val="217"/>
        </w:trPr>
        <w:tc>
          <w:tcPr>
            <w:tcW w:w="1515" w:type="pct"/>
          </w:tcPr>
          <w:p w:rsidR="00670BC7" w:rsidRPr="007477B1" w:rsidRDefault="00670BC7" w:rsidP="001D6660">
            <w:pPr>
              <w:pStyle w:val="TableHeading2"/>
            </w:pPr>
            <w:r>
              <w:t>Dimension of alignment</w:t>
            </w:r>
          </w:p>
        </w:tc>
        <w:tc>
          <w:tcPr>
            <w:tcW w:w="730" w:type="pct"/>
          </w:tcPr>
          <w:p w:rsidR="00670BC7" w:rsidRPr="007477B1" w:rsidRDefault="00670BC7" w:rsidP="00DE491F">
            <w:pPr>
              <w:pStyle w:val="TableHeading"/>
            </w:pPr>
            <w:r>
              <w:t>Bangladesh</w:t>
            </w:r>
          </w:p>
        </w:tc>
        <w:tc>
          <w:tcPr>
            <w:tcW w:w="757" w:type="pct"/>
          </w:tcPr>
          <w:p w:rsidR="00670BC7" w:rsidRPr="007477B1" w:rsidRDefault="00670BC7" w:rsidP="00DE491F">
            <w:pPr>
              <w:pStyle w:val="TableHeading"/>
            </w:pPr>
            <w:r>
              <w:t>Cambodia</w:t>
            </w:r>
          </w:p>
        </w:tc>
        <w:tc>
          <w:tcPr>
            <w:tcW w:w="461" w:type="pct"/>
          </w:tcPr>
          <w:p w:rsidR="00670BC7" w:rsidRPr="007477B1" w:rsidRDefault="00670BC7" w:rsidP="00DE491F">
            <w:pPr>
              <w:pStyle w:val="TableHeading"/>
            </w:pPr>
            <w:r>
              <w:t>Nepal</w:t>
            </w:r>
          </w:p>
        </w:tc>
        <w:tc>
          <w:tcPr>
            <w:tcW w:w="484" w:type="pct"/>
          </w:tcPr>
          <w:p w:rsidR="00670BC7" w:rsidRPr="007477B1" w:rsidRDefault="008E7949" w:rsidP="00DE491F">
            <w:pPr>
              <w:pStyle w:val="TableHeading"/>
            </w:pPr>
            <w:r>
              <w:t>Papua New Guinea</w:t>
            </w:r>
          </w:p>
        </w:tc>
        <w:tc>
          <w:tcPr>
            <w:tcW w:w="472" w:type="pct"/>
          </w:tcPr>
          <w:p w:rsidR="00670BC7" w:rsidRPr="007477B1" w:rsidRDefault="00670BC7" w:rsidP="00DE491F">
            <w:pPr>
              <w:pStyle w:val="TableHeading"/>
            </w:pPr>
            <w:r>
              <w:t>Samoa</w:t>
            </w:r>
          </w:p>
        </w:tc>
        <w:tc>
          <w:tcPr>
            <w:tcW w:w="580" w:type="pct"/>
          </w:tcPr>
          <w:p w:rsidR="00670BC7" w:rsidRPr="007477B1" w:rsidRDefault="00570A3A" w:rsidP="00DE491F">
            <w:pPr>
              <w:pStyle w:val="TableHeading"/>
            </w:pPr>
            <w:r>
              <w:t>Solomon Islands</w:t>
            </w:r>
            <w:r w:rsidR="001A1A97">
              <w:t xml:space="preserve"> </w:t>
            </w:r>
          </w:p>
        </w:tc>
      </w:tr>
      <w:tr w:rsidR="00670BC7" w:rsidRPr="007477B1" w:rsidTr="001D6660">
        <w:tc>
          <w:tcPr>
            <w:tcW w:w="1515" w:type="pct"/>
          </w:tcPr>
          <w:p w:rsidR="00670BC7" w:rsidRPr="007477B1" w:rsidRDefault="00670BC7" w:rsidP="009F73E7">
            <w:pPr>
              <w:pStyle w:val="TableText"/>
            </w:pPr>
            <w:r w:rsidRPr="002A4F97">
              <w:t xml:space="preserve">Alignment with government planning and budget systems by </w:t>
            </w:r>
            <w:r w:rsidR="0061008C">
              <w:t xml:space="preserve">the </w:t>
            </w:r>
            <w:r w:rsidRPr="002A4F97">
              <w:t>Australia</w:t>
            </w:r>
            <w:r w:rsidR="0061008C">
              <w:t>n aid program</w:t>
            </w:r>
            <w:r w:rsidRPr="002A4F97">
              <w:t xml:space="preserve"> and main donors</w:t>
            </w:r>
          </w:p>
        </w:tc>
        <w:tc>
          <w:tcPr>
            <w:tcW w:w="730" w:type="pct"/>
          </w:tcPr>
          <w:p w:rsidR="00670BC7" w:rsidRPr="007477B1" w:rsidRDefault="00670BC7" w:rsidP="009F73E7">
            <w:pPr>
              <w:pStyle w:val="TableText"/>
            </w:pPr>
            <w:r>
              <w:t>High</w:t>
            </w:r>
          </w:p>
        </w:tc>
        <w:tc>
          <w:tcPr>
            <w:tcW w:w="757" w:type="pct"/>
          </w:tcPr>
          <w:p w:rsidR="00670BC7" w:rsidRPr="007477B1" w:rsidRDefault="00670BC7" w:rsidP="009F73E7">
            <w:pPr>
              <w:pStyle w:val="TableText"/>
            </w:pPr>
            <w:r>
              <w:t>Good</w:t>
            </w:r>
          </w:p>
        </w:tc>
        <w:tc>
          <w:tcPr>
            <w:tcW w:w="461" w:type="pct"/>
          </w:tcPr>
          <w:p w:rsidR="00670BC7" w:rsidRPr="007477B1" w:rsidRDefault="00670BC7" w:rsidP="009F73E7">
            <w:pPr>
              <w:pStyle w:val="TableText"/>
            </w:pPr>
            <w:r>
              <w:t>High</w:t>
            </w:r>
          </w:p>
        </w:tc>
        <w:tc>
          <w:tcPr>
            <w:tcW w:w="484" w:type="pct"/>
          </w:tcPr>
          <w:p w:rsidR="00670BC7" w:rsidRPr="007477B1" w:rsidRDefault="00670BC7" w:rsidP="009F73E7">
            <w:pPr>
              <w:pStyle w:val="TableText"/>
            </w:pPr>
            <w:r>
              <w:t>Low</w:t>
            </w:r>
          </w:p>
        </w:tc>
        <w:tc>
          <w:tcPr>
            <w:tcW w:w="472" w:type="pct"/>
          </w:tcPr>
          <w:p w:rsidR="00670BC7" w:rsidRPr="007477B1" w:rsidRDefault="00670BC7" w:rsidP="009F73E7">
            <w:pPr>
              <w:pStyle w:val="TableText"/>
            </w:pPr>
            <w:r>
              <w:t>Fair</w:t>
            </w:r>
          </w:p>
        </w:tc>
        <w:tc>
          <w:tcPr>
            <w:tcW w:w="580" w:type="pct"/>
          </w:tcPr>
          <w:p w:rsidR="00670BC7" w:rsidRPr="007477B1" w:rsidRDefault="00670BC7" w:rsidP="009F73E7">
            <w:pPr>
              <w:pStyle w:val="TableText"/>
            </w:pPr>
            <w:r>
              <w:t>Low</w:t>
            </w:r>
          </w:p>
        </w:tc>
      </w:tr>
      <w:tr w:rsidR="00670BC7" w:rsidRPr="007477B1" w:rsidTr="001D6660">
        <w:tc>
          <w:tcPr>
            <w:tcW w:w="1515" w:type="pct"/>
          </w:tcPr>
          <w:p w:rsidR="00670BC7" w:rsidRPr="007477B1" w:rsidRDefault="00670BC7" w:rsidP="0061008C">
            <w:pPr>
              <w:pStyle w:val="TableText"/>
            </w:pPr>
            <w:r w:rsidRPr="0004417F">
              <w:t xml:space="preserve">Alignment of external financing </w:t>
            </w:r>
          </w:p>
        </w:tc>
        <w:tc>
          <w:tcPr>
            <w:tcW w:w="730" w:type="pct"/>
          </w:tcPr>
          <w:p w:rsidR="00670BC7" w:rsidRPr="007477B1" w:rsidRDefault="00670BC7" w:rsidP="009F73E7">
            <w:pPr>
              <w:pStyle w:val="TableText"/>
            </w:pPr>
            <w:r>
              <w:t>Good</w:t>
            </w:r>
          </w:p>
        </w:tc>
        <w:tc>
          <w:tcPr>
            <w:tcW w:w="757" w:type="pct"/>
          </w:tcPr>
          <w:p w:rsidR="00670BC7" w:rsidRPr="007477B1" w:rsidRDefault="00670BC7" w:rsidP="009F73E7">
            <w:pPr>
              <w:pStyle w:val="TableText"/>
            </w:pPr>
            <w:r>
              <w:t>Good</w:t>
            </w:r>
          </w:p>
        </w:tc>
        <w:tc>
          <w:tcPr>
            <w:tcW w:w="461" w:type="pct"/>
          </w:tcPr>
          <w:p w:rsidR="00670BC7" w:rsidRPr="007477B1" w:rsidRDefault="00670BC7" w:rsidP="009F73E7">
            <w:pPr>
              <w:pStyle w:val="TableText"/>
            </w:pPr>
            <w:r>
              <w:t>High</w:t>
            </w:r>
          </w:p>
        </w:tc>
        <w:tc>
          <w:tcPr>
            <w:tcW w:w="484" w:type="pct"/>
          </w:tcPr>
          <w:p w:rsidR="00670BC7" w:rsidRPr="007477B1" w:rsidRDefault="00670BC7" w:rsidP="009F73E7">
            <w:pPr>
              <w:pStyle w:val="TableText"/>
            </w:pPr>
            <w:r>
              <w:t>Low</w:t>
            </w:r>
          </w:p>
        </w:tc>
        <w:tc>
          <w:tcPr>
            <w:tcW w:w="472" w:type="pct"/>
          </w:tcPr>
          <w:p w:rsidR="00670BC7" w:rsidRPr="007477B1" w:rsidRDefault="00670BC7" w:rsidP="009F73E7">
            <w:pPr>
              <w:pStyle w:val="TableText"/>
            </w:pPr>
            <w:r>
              <w:t>Fair</w:t>
            </w:r>
          </w:p>
        </w:tc>
        <w:tc>
          <w:tcPr>
            <w:tcW w:w="580" w:type="pct"/>
          </w:tcPr>
          <w:p w:rsidR="00670BC7" w:rsidRPr="007477B1" w:rsidRDefault="00670BC7" w:rsidP="009F73E7">
            <w:pPr>
              <w:pStyle w:val="TableText"/>
            </w:pPr>
            <w:r>
              <w:t xml:space="preserve">Low </w:t>
            </w:r>
          </w:p>
        </w:tc>
      </w:tr>
      <w:tr w:rsidR="00670BC7" w:rsidRPr="007477B1" w:rsidTr="001D6660">
        <w:tc>
          <w:tcPr>
            <w:tcW w:w="1515" w:type="pct"/>
          </w:tcPr>
          <w:p w:rsidR="00670BC7" w:rsidRPr="007477B1" w:rsidRDefault="0061008C" w:rsidP="0061008C">
            <w:pPr>
              <w:pStyle w:val="TableText"/>
            </w:pPr>
            <w:r>
              <w:t xml:space="preserve">Predictability of </w:t>
            </w:r>
            <w:r w:rsidR="00670BC7" w:rsidRPr="0004417F">
              <w:t>health financing and/or expen</w:t>
            </w:r>
            <w:r w:rsidR="00670BC7">
              <w:t xml:space="preserve">diture </w:t>
            </w:r>
          </w:p>
        </w:tc>
        <w:tc>
          <w:tcPr>
            <w:tcW w:w="730" w:type="pct"/>
          </w:tcPr>
          <w:p w:rsidR="00670BC7" w:rsidRPr="007477B1" w:rsidRDefault="00670BC7" w:rsidP="009F73E7">
            <w:pPr>
              <w:pStyle w:val="TableText"/>
            </w:pPr>
            <w:r>
              <w:t>High</w:t>
            </w:r>
          </w:p>
        </w:tc>
        <w:tc>
          <w:tcPr>
            <w:tcW w:w="757" w:type="pct"/>
          </w:tcPr>
          <w:p w:rsidR="00670BC7" w:rsidRPr="007477B1" w:rsidRDefault="00670BC7" w:rsidP="009F73E7">
            <w:pPr>
              <w:pStyle w:val="TableText"/>
            </w:pPr>
            <w:r>
              <w:t>Good</w:t>
            </w:r>
          </w:p>
        </w:tc>
        <w:tc>
          <w:tcPr>
            <w:tcW w:w="461" w:type="pct"/>
          </w:tcPr>
          <w:p w:rsidR="00670BC7" w:rsidRPr="007477B1" w:rsidRDefault="00670BC7" w:rsidP="009F73E7">
            <w:pPr>
              <w:pStyle w:val="TableText"/>
            </w:pPr>
            <w:r>
              <w:t>High</w:t>
            </w:r>
          </w:p>
        </w:tc>
        <w:tc>
          <w:tcPr>
            <w:tcW w:w="484" w:type="pct"/>
          </w:tcPr>
          <w:p w:rsidR="00670BC7" w:rsidRPr="007477B1" w:rsidRDefault="00670BC7" w:rsidP="009F73E7">
            <w:pPr>
              <w:pStyle w:val="TableText"/>
            </w:pPr>
            <w:r>
              <w:t>Low to fair</w:t>
            </w:r>
          </w:p>
        </w:tc>
        <w:tc>
          <w:tcPr>
            <w:tcW w:w="472" w:type="pct"/>
          </w:tcPr>
          <w:p w:rsidR="00670BC7" w:rsidRPr="007477B1" w:rsidRDefault="00670BC7" w:rsidP="009F73E7">
            <w:pPr>
              <w:pStyle w:val="TableText"/>
            </w:pPr>
            <w:r>
              <w:t>Low to fair</w:t>
            </w:r>
          </w:p>
        </w:tc>
        <w:tc>
          <w:tcPr>
            <w:tcW w:w="580" w:type="pct"/>
          </w:tcPr>
          <w:p w:rsidR="00670BC7" w:rsidRPr="007477B1" w:rsidRDefault="00670BC7" w:rsidP="009F73E7">
            <w:pPr>
              <w:pStyle w:val="TableText"/>
            </w:pPr>
            <w:r>
              <w:t>Low to fair</w:t>
            </w:r>
          </w:p>
        </w:tc>
      </w:tr>
      <w:tr w:rsidR="00670BC7" w:rsidRPr="007477B1" w:rsidTr="001D6660">
        <w:tc>
          <w:tcPr>
            <w:tcW w:w="1515" w:type="pct"/>
          </w:tcPr>
          <w:p w:rsidR="00670BC7" w:rsidRPr="007477B1" w:rsidRDefault="0061008C" w:rsidP="0061008C">
            <w:pPr>
              <w:pStyle w:val="TableText"/>
            </w:pPr>
            <w:r>
              <w:t>H</w:t>
            </w:r>
            <w:r w:rsidR="00670BC7" w:rsidRPr="0004417F">
              <w:t>ealth financing or expenditure support</w:t>
            </w:r>
            <w:r>
              <w:t>ing</w:t>
            </w:r>
            <w:r w:rsidR="00670BC7" w:rsidRPr="0004417F">
              <w:t xml:space="preserve"> incrementally</w:t>
            </w:r>
            <w:r w:rsidR="00670BC7">
              <w:t xml:space="preserve"> defined sector priorities</w:t>
            </w:r>
          </w:p>
        </w:tc>
        <w:tc>
          <w:tcPr>
            <w:tcW w:w="730" w:type="pct"/>
          </w:tcPr>
          <w:p w:rsidR="00670BC7" w:rsidRPr="007477B1" w:rsidRDefault="00670BC7" w:rsidP="009F73E7">
            <w:pPr>
              <w:pStyle w:val="TableText"/>
            </w:pPr>
            <w:r>
              <w:t>High</w:t>
            </w:r>
          </w:p>
        </w:tc>
        <w:tc>
          <w:tcPr>
            <w:tcW w:w="757" w:type="pct"/>
          </w:tcPr>
          <w:p w:rsidR="00670BC7" w:rsidRPr="007477B1" w:rsidRDefault="00670BC7" w:rsidP="009F73E7">
            <w:pPr>
              <w:pStyle w:val="TableText"/>
            </w:pPr>
            <w:r>
              <w:t>Good</w:t>
            </w:r>
          </w:p>
        </w:tc>
        <w:tc>
          <w:tcPr>
            <w:tcW w:w="461" w:type="pct"/>
          </w:tcPr>
          <w:p w:rsidR="00670BC7" w:rsidRPr="007477B1" w:rsidRDefault="00670BC7" w:rsidP="009F73E7">
            <w:pPr>
              <w:pStyle w:val="TableText"/>
            </w:pPr>
            <w:r>
              <w:t>High</w:t>
            </w:r>
          </w:p>
        </w:tc>
        <w:tc>
          <w:tcPr>
            <w:tcW w:w="484" w:type="pct"/>
          </w:tcPr>
          <w:p w:rsidR="00670BC7" w:rsidRPr="007477B1" w:rsidRDefault="00670BC7" w:rsidP="009F73E7">
            <w:pPr>
              <w:pStyle w:val="TableText"/>
            </w:pPr>
            <w:r>
              <w:t>Low</w:t>
            </w:r>
          </w:p>
        </w:tc>
        <w:tc>
          <w:tcPr>
            <w:tcW w:w="472" w:type="pct"/>
          </w:tcPr>
          <w:p w:rsidR="00670BC7" w:rsidRPr="007477B1" w:rsidRDefault="00670BC7" w:rsidP="009F73E7">
            <w:pPr>
              <w:pStyle w:val="TableText"/>
            </w:pPr>
            <w:r>
              <w:t>Low to fair</w:t>
            </w:r>
          </w:p>
        </w:tc>
        <w:tc>
          <w:tcPr>
            <w:tcW w:w="580" w:type="pct"/>
          </w:tcPr>
          <w:p w:rsidR="00670BC7" w:rsidRPr="007477B1" w:rsidRDefault="00670BC7" w:rsidP="009F73E7">
            <w:pPr>
              <w:pStyle w:val="TableText"/>
            </w:pPr>
            <w:r>
              <w:t>Low to fair</w:t>
            </w:r>
          </w:p>
        </w:tc>
      </w:tr>
      <w:tr w:rsidR="00670BC7" w:rsidRPr="007477B1" w:rsidTr="001D6660">
        <w:trPr>
          <w:trHeight w:val="139"/>
        </w:trPr>
        <w:tc>
          <w:tcPr>
            <w:tcW w:w="1515" w:type="pct"/>
          </w:tcPr>
          <w:p w:rsidR="00670BC7" w:rsidRPr="007477B1" w:rsidRDefault="0061008C" w:rsidP="0061008C">
            <w:pPr>
              <w:pStyle w:val="TableText"/>
            </w:pPr>
            <w:r>
              <w:t>I</w:t>
            </w:r>
            <w:r w:rsidR="00670BC7" w:rsidRPr="0004417F">
              <w:t>ncrease</w:t>
            </w:r>
            <w:r>
              <w:t>d a</w:t>
            </w:r>
            <w:r w:rsidRPr="0004417F">
              <w:t>lignment</w:t>
            </w:r>
            <w:r w:rsidR="00670BC7" w:rsidRPr="0004417F">
              <w:t xml:space="preserve"> in the context of the </w:t>
            </w:r>
            <w:proofErr w:type="spellStart"/>
            <w:r w:rsidR="00670BC7" w:rsidRPr="0004417F">
              <w:t>SWAp</w:t>
            </w:r>
            <w:proofErr w:type="spellEnd"/>
            <w:r w:rsidR="00670BC7">
              <w:t xml:space="preserve"> </w:t>
            </w:r>
          </w:p>
        </w:tc>
        <w:tc>
          <w:tcPr>
            <w:tcW w:w="730" w:type="pct"/>
          </w:tcPr>
          <w:p w:rsidR="00670BC7" w:rsidRPr="007477B1" w:rsidRDefault="00670BC7" w:rsidP="009F73E7">
            <w:pPr>
              <w:pStyle w:val="TableText"/>
            </w:pPr>
            <w:r>
              <w:t>High</w:t>
            </w:r>
          </w:p>
        </w:tc>
        <w:tc>
          <w:tcPr>
            <w:tcW w:w="757" w:type="pct"/>
          </w:tcPr>
          <w:p w:rsidR="00670BC7" w:rsidRPr="007477B1" w:rsidRDefault="00670BC7" w:rsidP="009F73E7">
            <w:pPr>
              <w:pStyle w:val="TableText"/>
            </w:pPr>
            <w:r>
              <w:t>Good</w:t>
            </w:r>
          </w:p>
        </w:tc>
        <w:tc>
          <w:tcPr>
            <w:tcW w:w="461" w:type="pct"/>
          </w:tcPr>
          <w:p w:rsidR="00670BC7" w:rsidRPr="007477B1" w:rsidRDefault="00670BC7" w:rsidP="009F73E7">
            <w:pPr>
              <w:pStyle w:val="TableText"/>
            </w:pPr>
            <w:r>
              <w:t>High</w:t>
            </w:r>
          </w:p>
        </w:tc>
        <w:tc>
          <w:tcPr>
            <w:tcW w:w="484" w:type="pct"/>
          </w:tcPr>
          <w:p w:rsidR="00670BC7" w:rsidRPr="007477B1" w:rsidRDefault="00670BC7" w:rsidP="009F73E7">
            <w:pPr>
              <w:pStyle w:val="TableText"/>
            </w:pPr>
            <w:r>
              <w:t>Low</w:t>
            </w:r>
          </w:p>
        </w:tc>
        <w:tc>
          <w:tcPr>
            <w:tcW w:w="472" w:type="pct"/>
          </w:tcPr>
          <w:p w:rsidR="00670BC7" w:rsidRPr="007477B1" w:rsidRDefault="00670BC7" w:rsidP="009F73E7">
            <w:pPr>
              <w:pStyle w:val="TableText"/>
            </w:pPr>
            <w:r>
              <w:t>Fair</w:t>
            </w:r>
          </w:p>
        </w:tc>
        <w:tc>
          <w:tcPr>
            <w:tcW w:w="580" w:type="pct"/>
          </w:tcPr>
          <w:p w:rsidR="00670BC7" w:rsidRPr="007477B1" w:rsidRDefault="00670BC7" w:rsidP="009F73E7">
            <w:pPr>
              <w:pStyle w:val="TableText"/>
            </w:pPr>
            <w:r>
              <w:t>Low to fair</w:t>
            </w:r>
          </w:p>
        </w:tc>
      </w:tr>
    </w:tbl>
    <w:p w:rsidR="0061008C" w:rsidRDefault="0061008C" w:rsidP="0061008C">
      <w:pPr>
        <w:pStyle w:val="NormalBeforeBullet"/>
      </w:pPr>
    </w:p>
    <w:p w:rsidR="0061008C" w:rsidRPr="00197C5B" w:rsidRDefault="00407214" w:rsidP="0061008C">
      <w:pPr>
        <w:pStyle w:val="NormalBeforeBullet"/>
      </w:pPr>
      <w:r>
        <w:t xml:space="preserve">Specific </w:t>
      </w:r>
      <w:r w:rsidR="0061008C" w:rsidRPr="00197C5B">
        <w:t>observations can be made:</w:t>
      </w:r>
    </w:p>
    <w:p w:rsidR="0061008C" w:rsidRPr="00AD399C" w:rsidRDefault="0061008C" w:rsidP="0061008C">
      <w:pPr>
        <w:pStyle w:val="Bullet"/>
      </w:pPr>
      <w:r w:rsidRPr="00086DF0">
        <w:t xml:space="preserve">Countries of the Pacific were in the early stages of the </w:t>
      </w:r>
      <w:proofErr w:type="spellStart"/>
      <w:r w:rsidRPr="00086DF0">
        <w:t>SWAp</w:t>
      </w:r>
      <w:proofErr w:type="spellEnd"/>
      <w:r w:rsidRPr="00086DF0">
        <w:t xml:space="preserve"> when the main reviews were conducted</w:t>
      </w:r>
      <w:r>
        <w:t xml:space="preserve">. </w:t>
      </w:r>
      <w:r w:rsidRPr="00086DF0">
        <w:t xml:space="preserve">This </w:t>
      </w:r>
      <w:r w:rsidRPr="004E2EBA">
        <w:t xml:space="preserve">partly explains why </w:t>
      </w:r>
      <w:r>
        <w:t>they appeared to have less progress</w:t>
      </w:r>
      <w:r w:rsidRPr="004E2EBA">
        <w:t xml:space="preserve"> than the mature </w:t>
      </w:r>
      <w:r w:rsidRPr="00AD399C">
        <w:t xml:space="preserve">Asian </w:t>
      </w:r>
      <w:proofErr w:type="spellStart"/>
      <w:r w:rsidRPr="00AD399C">
        <w:t>SWAps</w:t>
      </w:r>
      <w:proofErr w:type="spellEnd"/>
      <w:r w:rsidRPr="00AD399C">
        <w:t>.</w:t>
      </w:r>
    </w:p>
    <w:p w:rsidR="0061008C" w:rsidRPr="00086DF0" w:rsidRDefault="0061008C" w:rsidP="0061008C">
      <w:pPr>
        <w:pStyle w:val="Bullet"/>
      </w:pPr>
      <w:r w:rsidRPr="00AD399C">
        <w:t xml:space="preserve">Alignment with government plans was generally high </w:t>
      </w:r>
      <w:r>
        <w:t xml:space="preserve">in terms of shared sector or program </w:t>
      </w:r>
      <w:r w:rsidRPr="00F82F66">
        <w:rPr>
          <w:i/>
        </w:rPr>
        <w:t>objectives</w:t>
      </w:r>
      <w:r>
        <w:t xml:space="preserve"> between donors and governments. However, </w:t>
      </w:r>
      <w:r w:rsidR="00C61846">
        <w:t xml:space="preserve">this </w:t>
      </w:r>
      <w:r w:rsidRPr="00AD399C">
        <w:t>did not always translate in</w:t>
      </w:r>
      <w:r>
        <w:t xml:space="preserve">to </w:t>
      </w:r>
      <w:r>
        <w:lastRenderedPageBreak/>
        <w:t>alignment of donor aid with the</w:t>
      </w:r>
      <w:r w:rsidRPr="008E21B2">
        <w:t xml:space="preserve"> </w:t>
      </w:r>
      <w:r w:rsidRPr="00F82F66">
        <w:rPr>
          <w:i/>
        </w:rPr>
        <w:t xml:space="preserve">priorities </w:t>
      </w:r>
      <w:r w:rsidRPr="008E21B2">
        <w:t>of the plan</w:t>
      </w:r>
      <w:r w:rsidR="00C61846">
        <w:t>. In</w:t>
      </w:r>
      <w:r w:rsidRPr="008E21B2">
        <w:t xml:space="preserve"> some cases </w:t>
      </w:r>
      <w:r w:rsidR="00C61846">
        <w:t xml:space="preserve">this type of alignment </w:t>
      </w:r>
      <w:r w:rsidRPr="008E21B2">
        <w:t>was low because the plan failed to define clear priorities (</w:t>
      </w:r>
      <w:r w:rsidR="008E7949" w:rsidRPr="008E21B2">
        <w:t>P</w:t>
      </w:r>
      <w:r w:rsidR="008E7949">
        <w:t xml:space="preserve">apua New Guinea </w:t>
      </w:r>
      <w:r w:rsidRPr="008E21B2">
        <w:t xml:space="preserve">and Solomon Islands) or because the priorities were poorly developed in terms of </w:t>
      </w:r>
      <w:r>
        <w:t xml:space="preserve">measurable </w:t>
      </w:r>
      <w:r w:rsidRPr="008E21B2">
        <w:t>res</w:t>
      </w:r>
      <w:r w:rsidRPr="00DA4617">
        <w:t xml:space="preserve">ults. </w:t>
      </w:r>
      <w:r w:rsidR="00C61846">
        <w:t>A</w:t>
      </w:r>
      <w:r w:rsidRPr="00DA4617">
        <w:t xml:space="preserve">t times </w:t>
      </w:r>
      <w:r w:rsidR="00C61846">
        <w:t xml:space="preserve">this was </w:t>
      </w:r>
      <w:r w:rsidRPr="00DA4617">
        <w:t xml:space="preserve">combined with </w:t>
      </w:r>
      <w:r>
        <w:t xml:space="preserve">limited transparency on the specific </w:t>
      </w:r>
      <w:r w:rsidRPr="00DA4617">
        <w:t xml:space="preserve">allocations </w:t>
      </w:r>
      <w:r>
        <w:t>made by donors</w:t>
      </w:r>
      <w:r w:rsidR="00407214">
        <w:t>,</w:t>
      </w:r>
      <w:r>
        <w:t xml:space="preserve"> </w:t>
      </w:r>
      <w:r w:rsidR="00C61846">
        <w:t>o</w:t>
      </w:r>
      <w:r>
        <w:t>r the pooled funds</w:t>
      </w:r>
      <w:r w:rsidR="00407214">
        <w:t>,</w:t>
      </w:r>
      <w:r>
        <w:t xml:space="preserve"> to the sector </w:t>
      </w:r>
      <w:r w:rsidRPr="00DA4617">
        <w:t>(Samoa and Solomon Islands</w:t>
      </w:r>
      <w:r w:rsidRPr="00086DF0">
        <w:t xml:space="preserve">). </w:t>
      </w:r>
    </w:p>
    <w:p w:rsidR="00670BC7" w:rsidRPr="002966EC" w:rsidRDefault="0061008C" w:rsidP="00670BC7">
      <w:pPr>
        <w:pStyle w:val="BulletLast"/>
      </w:pPr>
      <w:r w:rsidRPr="00086DF0">
        <w:t xml:space="preserve">Predictability of funding increased as a result of the </w:t>
      </w:r>
      <w:proofErr w:type="spellStart"/>
      <w:r w:rsidRPr="00086DF0">
        <w:t>SWAp</w:t>
      </w:r>
      <w:proofErr w:type="spellEnd"/>
      <w:r>
        <w:t xml:space="preserve">. </w:t>
      </w:r>
      <w:r w:rsidRPr="00086DF0">
        <w:t>Progress was associated (not in terms of causality) with countries using a</w:t>
      </w:r>
      <w:r w:rsidR="00C61846">
        <w:t xml:space="preserve"> medium term expenditure framework,</w:t>
      </w:r>
      <w:r w:rsidRPr="00086DF0">
        <w:t xml:space="preserve"> </w:t>
      </w:r>
      <w:r w:rsidR="00C61846">
        <w:t>p</w:t>
      </w:r>
      <w:r w:rsidRPr="00086DF0">
        <w:t xml:space="preserve">ublic </w:t>
      </w:r>
      <w:r w:rsidR="00C61846">
        <w:t>e</w:t>
      </w:r>
      <w:r w:rsidRPr="00086DF0">
        <w:t xml:space="preserve">xpenditure </w:t>
      </w:r>
      <w:r w:rsidR="00C61846">
        <w:t>r</w:t>
      </w:r>
      <w:r w:rsidRPr="00086DF0">
        <w:t>eviews</w:t>
      </w:r>
      <w:r w:rsidRPr="004E2EBA">
        <w:t xml:space="preserve">, </w:t>
      </w:r>
      <w:r w:rsidR="00C61846">
        <w:t>n</w:t>
      </w:r>
      <w:r w:rsidRPr="004E2EBA">
        <w:t xml:space="preserve">ational </w:t>
      </w:r>
      <w:r w:rsidR="00C61846">
        <w:t>h</w:t>
      </w:r>
      <w:r w:rsidRPr="004E2EBA">
        <w:t xml:space="preserve">ealth </w:t>
      </w:r>
      <w:r w:rsidR="00C61846">
        <w:t>a</w:t>
      </w:r>
      <w:r w:rsidRPr="004E2EBA">
        <w:t xml:space="preserve">ccounts and </w:t>
      </w:r>
      <w:r w:rsidR="00C61846">
        <w:t>f</w:t>
      </w:r>
      <w:r w:rsidRPr="004E2EBA">
        <w:t xml:space="preserve">inancial </w:t>
      </w:r>
      <w:r w:rsidR="00C61846">
        <w:t>m</w:t>
      </w:r>
      <w:r w:rsidRPr="004E2EBA">
        <w:t>anagement reports.</w:t>
      </w:r>
      <w:r>
        <w:t xml:space="preserve"> This is in line with findings from </w:t>
      </w:r>
      <w:r w:rsidR="004B52F4">
        <w:t xml:space="preserve">the </w:t>
      </w:r>
      <w:r>
        <w:t>international literature.</w:t>
      </w:r>
    </w:p>
    <w:p w:rsidR="00670BC7" w:rsidRPr="00DE491F" w:rsidRDefault="00B97C5E" w:rsidP="00DE491F">
      <w:pPr>
        <w:pStyle w:val="Heading2"/>
      </w:pPr>
      <w:bookmarkStart w:id="43" w:name="_Toc394224887"/>
      <w:bookmarkStart w:id="44" w:name="_Toc403403695"/>
      <w:r>
        <w:t>3.8</w:t>
      </w:r>
      <w:r w:rsidR="00DE491F">
        <w:tab/>
      </w:r>
      <w:r w:rsidR="00670BC7" w:rsidRPr="00DE491F">
        <w:t xml:space="preserve">Did </w:t>
      </w:r>
      <w:proofErr w:type="spellStart"/>
      <w:r w:rsidR="00D81B7F" w:rsidRPr="00DE491F">
        <w:t>SWAp</w:t>
      </w:r>
      <w:r w:rsidR="00D81B7F">
        <w:t>s</w:t>
      </w:r>
      <w:proofErr w:type="spellEnd"/>
      <w:r w:rsidR="00D81B7F">
        <w:t xml:space="preserve"> </w:t>
      </w:r>
      <w:r w:rsidR="00670BC7" w:rsidRPr="00DE491F">
        <w:t>increase the use o</w:t>
      </w:r>
      <w:r w:rsidR="00D81B7F">
        <w:t>f government systems</w:t>
      </w:r>
      <w:r w:rsidR="00670BC7" w:rsidRPr="00DE491F">
        <w:t>?</w:t>
      </w:r>
      <w:bookmarkEnd w:id="43"/>
      <w:bookmarkEnd w:id="44"/>
    </w:p>
    <w:p w:rsidR="00670BC7" w:rsidRDefault="00670BC7" w:rsidP="00DE491F">
      <w:r>
        <w:t xml:space="preserve">Until quite recently it was atypical for </w:t>
      </w:r>
      <w:r w:rsidR="00B55651">
        <w:t>the Australian aid program</w:t>
      </w:r>
      <w:r>
        <w:t xml:space="preserve"> to use government systems to channel financing and procurement of commodities and </w:t>
      </w:r>
      <w:r w:rsidR="00897ABE">
        <w:t xml:space="preserve">technical assistance. </w:t>
      </w:r>
      <w:r>
        <w:t>This changed from 2008 when a renewed focus on aid effectiveness led to the development of specific policies</w:t>
      </w:r>
      <w:r w:rsidR="00407214">
        <w:t xml:space="preserve"> </w:t>
      </w:r>
      <w:r>
        <w:t>that enabled the use of government systems</w:t>
      </w:r>
      <w:r w:rsidR="00897ABE">
        <w:t>, at the same time</w:t>
      </w:r>
      <w:r>
        <w:t xml:space="preserve"> ensuring </w:t>
      </w:r>
      <w:r w:rsidR="00897ABE">
        <w:t xml:space="preserve">that </w:t>
      </w:r>
      <w:r>
        <w:t>benefits and risks could be effectively balanced.</w:t>
      </w:r>
      <w:r w:rsidR="00407214">
        <w:rPr>
          <w:rStyle w:val="FootnoteReference"/>
        </w:rPr>
        <w:footnoteReference w:id="58"/>
      </w:r>
      <w:r w:rsidR="00407214">
        <w:t xml:space="preserve"> </w:t>
      </w:r>
      <w:r>
        <w:t xml:space="preserve">This is why </w:t>
      </w:r>
      <w:r w:rsidR="00897ABE">
        <w:t>despite being</w:t>
      </w:r>
      <w:r>
        <w:t xml:space="preserve"> a member and signatory of the health </w:t>
      </w:r>
      <w:proofErr w:type="spellStart"/>
      <w:r>
        <w:t>SWAps</w:t>
      </w:r>
      <w:proofErr w:type="spellEnd"/>
      <w:r>
        <w:t xml:space="preserve"> in Bangladesh and Nepal since their early stages</w:t>
      </w:r>
      <w:r w:rsidR="00897ABE">
        <w:t xml:space="preserve"> </w:t>
      </w:r>
      <w:r w:rsidR="00072411">
        <w:t xml:space="preserve">the Australian aid program </w:t>
      </w:r>
      <w:r>
        <w:t>did not pool its funds with other donors until 2008</w:t>
      </w:r>
      <w:r w:rsidR="000E1CFA">
        <w:t xml:space="preserve">. </w:t>
      </w:r>
    </w:p>
    <w:p w:rsidR="004616D0" w:rsidRDefault="00044490" w:rsidP="004616D0">
      <w:r>
        <w:t>Table 7</w:t>
      </w:r>
      <w:r w:rsidR="001931BB">
        <w:t xml:space="preserve"> </w:t>
      </w:r>
      <w:r>
        <w:t>prov</w:t>
      </w:r>
      <w:r w:rsidR="001931BB">
        <w:t xml:space="preserve">ides </w:t>
      </w:r>
      <w:r w:rsidR="00670BC7">
        <w:t>a snapshot o</w:t>
      </w:r>
      <w:r w:rsidR="00897ABE">
        <w:t>f</w:t>
      </w:r>
      <w:r w:rsidR="00670BC7">
        <w:t xml:space="preserve"> the use of government systems by </w:t>
      </w:r>
      <w:r w:rsidR="00B55651">
        <w:t>the Australian aid program</w:t>
      </w:r>
      <w:r w:rsidR="00670BC7">
        <w:t xml:space="preserve"> and other donors</w:t>
      </w:r>
      <w:r w:rsidR="00897ABE">
        <w:t xml:space="preserve"> in the six countries</w:t>
      </w:r>
      <w:r w:rsidR="00072411">
        <w:t xml:space="preserve">. </w:t>
      </w:r>
    </w:p>
    <w:p w:rsidR="00670BC7" w:rsidRDefault="00670BC7" w:rsidP="004616D0">
      <w:pPr>
        <w:pStyle w:val="TableName"/>
      </w:pPr>
      <w:bookmarkStart w:id="45" w:name="_Toc402192200"/>
      <w:r>
        <w:t xml:space="preserve">Table </w:t>
      </w:r>
      <w:r w:rsidR="00276B44">
        <w:t>7</w:t>
      </w:r>
      <w:r w:rsidR="00DE491F">
        <w:tab/>
      </w:r>
      <w:r>
        <w:t>Use of government systems</w:t>
      </w:r>
      <w:bookmarkEnd w:id="45"/>
      <w:r>
        <w:t xml:space="preserve"> </w:t>
      </w:r>
    </w:p>
    <w:tbl>
      <w:tblPr>
        <w:tblStyle w:val="TableGrid"/>
        <w:tblpPr w:leftFromText="181" w:rightFromText="181" w:vertAnchor="text" w:tblpY="1"/>
        <w:tblOverlap w:val="never"/>
        <w:tblW w:w="5000" w:type="pct"/>
        <w:tblLook w:val="04A0" w:firstRow="1" w:lastRow="0" w:firstColumn="1" w:lastColumn="0" w:noHBand="0" w:noVBand="1"/>
      </w:tblPr>
      <w:tblGrid>
        <w:gridCol w:w="1101"/>
        <w:gridCol w:w="3969"/>
        <w:gridCol w:w="4172"/>
      </w:tblGrid>
      <w:tr w:rsidR="00670BC7" w:rsidRPr="00634059" w:rsidTr="008F281B">
        <w:trPr>
          <w:cnfStyle w:val="100000000000" w:firstRow="1" w:lastRow="0" w:firstColumn="0" w:lastColumn="0" w:oddVBand="0" w:evenVBand="0" w:oddHBand="0" w:evenHBand="0" w:firstRowFirstColumn="0" w:firstRowLastColumn="0" w:lastRowFirstColumn="0" w:lastRowLastColumn="0"/>
          <w:trHeight w:val="826"/>
        </w:trPr>
        <w:tc>
          <w:tcPr>
            <w:tcW w:w="596" w:type="pct"/>
          </w:tcPr>
          <w:p w:rsidR="00670BC7" w:rsidRPr="00634059" w:rsidRDefault="00670BC7" w:rsidP="00897ABE">
            <w:pPr>
              <w:pStyle w:val="TableHeading2"/>
            </w:pPr>
            <w:r w:rsidRPr="00634059">
              <w:t>Countr</w:t>
            </w:r>
            <w:r w:rsidR="00897ABE">
              <w:t>y</w:t>
            </w:r>
          </w:p>
        </w:tc>
        <w:tc>
          <w:tcPr>
            <w:tcW w:w="2147" w:type="pct"/>
          </w:tcPr>
          <w:p w:rsidR="00670BC7" w:rsidRPr="00634059" w:rsidRDefault="00897ABE" w:rsidP="00897ABE">
            <w:pPr>
              <w:pStyle w:val="TableHeading"/>
            </w:pPr>
            <w:r>
              <w:t>S</w:t>
            </w:r>
            <w:r w:rsidR="00670BC7" w:rsidRPr="00634059">
              <w:t>ystems used to finance the plan</w:t>
            </w:r>
            <w:r>
              <w:t>/</w:t>
            </w:r>
            <w:r w:rsidR="00556CA1">
              <w:t xml:space="preserve"> </w:t>
            </w:r>
            <w:r w:rsidR="00B67242">
              <w:t>program</w:t>
            </w:r>
            <w:r w:rsidR="00670BC7" w:rsidRPr="00634059">
              <w:t xml:space="preserve"> </w:t>
            </w:r>
            <w:r>
              <w:t xml:space="preserve">and for </w:t>
            </w:r>
            <w:r w:rsidR="00D91B73">
              <w:t>TA</w:t>
            </w:r>
            <w:r>
              <w:t xml:space="preserve"> procurement</w:t>
            </w:r>
          </w:p>
        </w:tc>
        <w:tc>
          <w:tcPr>
            <w:tcW w:w="2257" w:type="pct"/>
          </w:tcPr>
          <w:p w:rsidR="00670BC7" w:rsidRPr="00634059" w:rsidRDefault="00897ABE" w:rsidP="00897ABE">
            <w:pPr>
              <w:pStyle w:val="TableHeading"/>
            </w:pPr>
            <w:r>
              <w:t>Use of</w:t>
            </w:r>
            <w:r w:rsidR="00670BC7" w:rsidRPr="00634059">
              <w:t xml:space="preserve"> government systems for procurement</w:t>
            </w:r>
          </w:p>
        </w:tc>
      </w:tr>
      <w:tr w:rsidR="00670BC7" w:rsidRPr="00634059" w:rsidTr="008F281B">
        <w:trPr>
          <w:trHeight w:val="1876"/>
        </w:trPr>
        <w:tc>
          <w:tcPr>
            <w:tcW w:w="596" w:type="pct"/>
          </w:tcPr>
          <w:p w:rsidR="00670BC7" w:rsidRPr="00634059" w:rsidRDefault="00670BC7" w:rsidP="004616D0">
            <w:pPr>
              <w:pStyle w:val="TableText"/>
            </w:pPr>
            <w:r w:rsidRPr="00634059">
              <w:t>Bangladesh</w:t>
            </w:r>
          </w:p>
        </w:tc>
        <w:tc>
          <w:tcPr>
            <w:tcW w:w="2147" w:type="pct"/>
          </w:tcPr>
          <w:p w:rsidR="00670BC7" w:rsidRPr="00634059" w:rsidRDefault="00670BC7" w:rsidP="004616D0">
            <w:pPr>
              <w:pStyle w:val="TableText"/>
            </w:pPr>
            <w:r w:rsidRPr="00634059">
              <w:t>A pooled f</w:t>
            </w:r>
            <w:r w:rsidR="00B67242">
              <w:t>und supports an agreed program</w:t>
            </w:r>
            <w:r w:rsidRPr="00634059">
              <w:t xml:space="preserve"> of work implemented by </w:t>
            </w:r>
            <w:r w:rsidR="00897ABE">
              <w:t xml:space="preserve">the </w:t>
            </w:r>
            <w:r w:rsidRPr="00634059">
              <w:t xml:space="preserve">government </w:t>
            </w:r>
            <w:r w:rsidR="00897ABE">
              <w:t xml:space="preserve">according to </w:t>
            </w:r>
            <w:r w:rsidRPr="00634059">
              <w:t xml:space="preserve">a plan and linked </w:t>
            </w:r>
            <w:r w:rsidR="00897ABE">
              <w:t xml:space="preserve">to </w:t>
            </w:r>
            <w:r w:rsidRPr="00634059">
              <w:t xml:space="preserve">bi-annual </w:t>
            </w:r>
            <w:r w:rsidR="00CA24DF">
              <w:t>a</w:t>
            </w:r>
            <w:r w:rsidR="00CA24DF" w:rsidRPr="003D7E2F">
              <w:t>nnual</w:t>
            </w:r>
            <w:r w:rsidR="00CA24DF">
              <w:t xml:space="preserve"> operational p</w:t>
            </w:r>
            <w:r w:rsidR="00CA24DF" w:rsidRPr="003D7E2F">
              <w:t>lan</w:t>
            </w:r>
            <w:r w:rsidR="00897ABE">
              <w:t>s</w:t>
            </w:r>
            <w:r w:rsidR="00782D36">
              <w:t xml:space="preserve"> </w:t>
            </w:r>
            <w:r w:rsidRPr="00634059">
              <w:t xml:space="preserve">and budgets. </w:t>
            </w:r>
            <w:r w:rsidR="00556CA1">
              <w:t xml:space="preserve">The </w:t>
            </w:r>
            <w:r w:rsidRPr="00634059">
              <w:t>Australia</w:t>
            </w:r>
            <w:r w:rsidR="00556CA1">
              <w:t>n aid program</w:t>
            </w:r>
            <w:r w:rsidRPr="00634059">
              <w:t xml:space="preserve"> contributed only for </w:t>
            </w:r>
            <w:r w:rsidR="00D8435B">
              <w:t>Financial Year</w:t>
            </w:r>
            <w:r w:rsidR="00D8435B" w:rsidRPr="00634059">
              <w:t xml:space="preserve"> </w:t>
            </w:r>
            <w:r w:rsidRPr="00634059">
              <w:t>2009/2010. Government financial management reports are used for accounting.</w:t>
            </w:r>
          </w:p>
          <w:p w:rsidR="00670BC7" w:rsidRPr="00634059" w:rsidRDefault="00670BC7" w:rsidP="00782D36">
            <w:pPr>
              <w:pStyle w:val="TableText"/>
            </w:pPr>
            <w:r w:rsidRPr="00634059">
              <w:t>T</w:t>
            </w:r>
            <w:r w:rsidR="00556CA1">
              <w:t xml:space="preserve">echnical </w:t>
            </w:r>
            <w:r w:rsidRPr="00634059">
              <w:t>A</w:t>
            </w:r>
            <w:r w:rsidR="00782D36">
              <w:t>ssistance</w:t>
            </w:r>
            <w:r w:rsidRPr="00634059">
              <w:t xml:space="preserve"> is procured by individual </w:t>
            </w:r>
            <w:r w:rsidR="00556CA1">
              <w:t xml:space="preserve">donors. </w:t>
            </w:r>
          </w:p>
        </w:tc>
        <w:tc>
          <w:tcPr>
            <w:tcW w:w="2257" w:type="pct"/>
          </w:tcPr>
          <w:p w:rsidR="00670BC7" w:rsidRPr="00634059" w:rsidRDefault="00670BC7" w:rsidP="004616D0">
            <w:pPr>
              <w:pStyle w:val="TableText"/>
            </w:pPr>
            <w:r w:rsidRPr="00634059">
              <w:t>The picture is mixed</w:t>
            </w:r>
            <w:r w:rsidR="000E1CFA">
              <w:t xml:space="preserve">. </w:t>
            </w:r>
            <w:r w:rsidRPr="00634059">
              <w:t>There has been a steady increase in procurement using government systems under the supervision of the World Bank</w:t>
            </w:r>
            <w:r w:rsidR="000E1CFA">
              <w:t xml:space="preserve">. </w:t>
            </w:r>
            <w:r w:rsidRPr="00634059">
              <w:t>Certain commodities are procured through U</w:t>
            </w:r>
            <w:r w:rsidR="00556CA1">
              <w:t xml:space="preserve">nited </w:t>
            </w:r>
            <w:r w:rsidRPr="00634059">
              <w:t>N</w:t>
            </w:r>
            <w:r w:rsidR="00556CA1">
              <w:t>ations</w:t>
            </w:r>
            <w:r w:rsidRPr="00634059">
              <w:t xml:space="preserve"> agencies.</w:t>
            </w:r>
          </w:p>
        </w:tc>
      </w:tr>
      <w:tr w:rsidR="00670BC7" w:rsidRPr="00634059" w:rsidTr="008F281B">
        <w:tc>
          <w:tcPr>
            <w:tcW w:w="596" w:type="pct"/>
          </w:tcPr>
          <w:p w:rsidR="00670BC7" w:rsidRPr="00634059" w:rsidRDefault="00670BC7" w:rsidP="004616D0">
            <w:pPr>
              <w:pStyle w:val="TableText"/>
            </w:pPr>
            <w:r w:rsidRPr="00634059">
              <w:t>Cambodia</w:t>
            </w:r>
          </w:p>
        </w:tc>
        <w:tc>
          <w:tcPr>
            <w:tcW w:w="2147" w:type="pct"/>
          </w:tcPr>
          <w:p w:rsidR="00556CA1" w:rsidRDefault="00670BC7" w:rsidP="00556CA1">
            <w:pPr>
              <w:pStyle w:val="TableText"/>
            </w:pPr>
            <w:r w:rsidRPr="00634059">
              <w:t>A pooled fund supports a parallel program of work implemented by a Project Management Unit that is not part of the M</w:t>
            </w:r>
            <w:r w:rsidR="00556CA1">
              <w:t xml:space="preserve">inistry of </w:t>
            </w:r>
            <w:r w:rsidRPr="00634059">
              <w:t>H</w:t>
            </w:r>
            <w:r w:rsidR="00556CA1">
              <w:t>ealth (</w:t>
            </w:r>
            <w:proofErr w:type="spellStart"/>
            <w:r w:rsidR="00556CA1">
              <w:t>MoH</w:t>
            </w:r>
            <w:proofErr w:type="spellEnd"/>
            <w:r w:rsidR="00556CA1">
              <w:t>)</w:t>
            </w:r>
            <w:r w:rsidRPr="00634059">
              <w:t xml:space="preserve"> but located in the </w:t>
            </w:r>
            <w:proofErr w:type="spellStart"/>
            <w:r w:rsidRPr="00634059">
              <w:t>MoH</w:t>
            </w:r>
            <w:proofErr w:type="spellEnd"/>
            <w:r w:rsidRPr="00634059">
              <w:t xml:space="preserve"> building. Use of pooled funds is not reported as part of the financial reports prepared by the </w:t>
            </w:r>
            <w:r w:rsidR="00556CA1">
              <w:t>g</w:t>
            </w:r>
            <w:r w:rsidRPr="00634059">
              <w:t>overnment</w:t>
            </w:r>
            <w:r w:rsidR="000E1CFA">
              <w:t xml:space="preserve">. </w:t>
            </w:r>
          </w:p>
          <w:p w:rsidR="00670BC7" w:rsidRPr="00634059" w:rsidRDefault="00670BC7" w:rsidP="008445C2">
            <w:pPr>
              <w:pStyle w:val="TableText"/>
            </w:pPr>
            <w:r w:rsidRPr="00634059">
              <w:t>TA is procured separately by donors</w:t>
            </w:r>
            <w:r w:rsidR="008445C2">
              <w:t xml:space="preserve">.  Some Australian TA is delivered through the </w:t>
            </w:r>
            <w:r w:rsidR="00556CA1">
              <w:t>World Health Organiz</w:t>
            </w:r>
            <w:r w:rsidRPr="00634059">
              <w:t>ation.</w:t>
            </w:r>
          </w:p>
        </w:tc>
        <w:tc>
          <w:tcPr>
            <w:tcW w:w="2257" w:type="pct"/>
          </w:tcPr>
          <w:p w:rsidR="00670BC7" w:rsidRPr="00634059" w:rsidRDefault="00670BC7" w:rsidP="00556CA1">
            <w:pPr>
              <w:pStyle w:val="TableText"/>
            </w:pPr>
            <w:r w:rsidRPr="00634059">
              <w:t>Government systems are not being used for procurement</w:t>
            </w:r>
            <w:r w:rsidR="000E1CFA">
              <w:t xml:space="preserve">. </w:t>
            </w:r>
            <w:r w:rsidR="00556CA1">
              <w:t xml:space="preserve">The sector program </w:t>
            </w:r>
            <w:r w:rsidRPr="00634059">
              <w:t>procures through the World Bank</w:t>
            </w:r>
            <w:r w:rsidR="000E1CFA">
              <w:t xml:space="preserve">. </w:t>
            </w:r>
            <w:r w:rsidRPr="00634059">
              <w:t xml:space="preserve">Fiduciary risks within </w:t>
            </w:r>
            <w:r w:rsidR="005A4C99" w:rsidRPr="00634059">
              <w:t xml:space="preserve">the </w:t>
            </w:r>
            <w:r w:rsidR="00556CA1">
              <w:t>p</w:t>
            </w:r>
            <w:r w:rsidR="005A4C99">
              <w:t xml:space="preserve">ublic </w:t>
            </w:r>
            <w:r w:rsidR="00556CA1">
              <w:t>f</w:t>
            </w:r>
            <w:r w:rsidR="005A4C99">
              <w:t xml:space="preserve">inance </w:t>
            </w:r>
            <w:r w:rsidR="00556CA1">
              <w:t>m</w:t>
            </w:r>
            <w:r w:rsidR="005A4C99">
              <w:t>anagement</w:t>
            </w:r>
            <w:r w:rsidR="005A4C99" w:rsidRPr="00634059">
              <w:t xml:space="preserve"> </w:t>
            </w:r>
            <w:r w:rsidR="00556CA1">
              <w:t>(PFM)</w:t>
            </w:r>
            <w:r w:rsidRPr="00634059">
              <w:t xml:space="preserve"> system are considered too high by most donors.</w:t>
            </w:r>
          </w:p>
        </w:tc>
      </w:tr>
      <w:tr w:rsidR="00670BC7" w:rsidRPr="00634059" w:rsidTr="008F281B">
        <w:tc>
          <w:tcPr>
            <w:tcW w:w="596" w:type="pct"/>
          </w:tcPr>
          <w:p w:rsidR="00670BC7" w:rsidRPr="00634059" w:rsidRDefault="00670BC7" w:rsidP="004616D0">
            <w:pPr>
              <w:pStyle w:val="TableText"/>
            </w:pPr>
            <w:r w:rsidRPr="00634059">
              <w:lastRenderedPageBreak/>
              <w:t>Nepal</w:t>
            </w:r>
          </w:p>
        </w:tc>
        <w:tc>
          <w:tcPr>
            <w:tcW w:w="2147" w:type="pct"/>
          </w:tcPr>
          <w:p w:rsidR="00556CA1" w:rsidRDefault="00556CA1" w:rsidP="00556CA1">
            <w:pPr>
              <w:pStyle w:val="TableText"/>
            </w:pPr>
            <w:r>
              <w:t xml:space="preserve">The </w:t>
            </w:r>
            <w:r w:rsidRPr="00634059">
              <w:t>Australia</w:t>
            </w:r>
            <w:r>
              <w:t>n aid program</w:t>
            </w:r>
            <w:r w:rsidRPr="00634059">
              <w:t xml:space="preserve"> </w:t>
            </w:r>
            <w:r w:rsidR="008F338F">
              <w:t xml:space="preserve">has </w:t>
            </w:r>
            <w:r w:rsidR="00670BC7" w:rsidRPr="00634059">
              <w:t>support</w:t>
            </w:r>
            <w:r w:rsidR="008F338F">
              <w:t>ed</w:t>
            </w:r>
            <w:r w:rsidR="00670BC7" w:rsidRPr="00634059">
              <w:t xml:space="preserve"> a pooled fund since 2008</w:t>
            </w:r>
            <w:r w:rsidR="000E1CFA">
              <w:t xml:space="preserve">. </w:t>
            </w:r>
            <w:r w:rsidR="00670BC7" w:rsidRPr="00634059">
              <w:t>Government systems are used for financial reporting under the supervision of the World Bank. Australia is a key member of the PFM task group</w:t>
            </w:r>
            <w:r w:rsidR="000E1CFA">
              <w:t xml:space="preserve">. </w:t>
            </w:r>
          </w:p>
          <w:p w:rsidR="00670BC7" w:rsidRPr="00634059" w:rsidRDefault="00670BC7" w:rsidP="00883739">
            <w:pPr>
              <w:pStyle w:val="TableText"/>
            </w:pPr>
            <w:r w:rsidRPr="00634059">
              <w:t xml:space="preserve">TA is procured by </w:t>
            </w:r>
            <w:r w:rsidR="00E64C27">
              <w:t>the United Kingdom</w:t>
            </w:r>
            <w:r w:rsidRPr="00634059">
              <w:t xml:space="preserve"> on behalf of other donors and in consultation with </w:t>
            </w:r>
            <w:r w:rsidR="00556CA1">
              <w:t xml:space="preserve">the </w:t>
            </w:r>
            <w:proofErr w:type="spellStart"/>
            <w:r w:rsidR="00C45040">
              <w:t>MoH</w:t>
            </w:r>
            <w:proofErr w:type="spellEnd"/>
            <w:r w:rsidR="00556CA1">
              <w:t xml:space="preserve">. </w:t>
            </w:r>
          </w:p>
        </w:tc>
        <w:tc>
          <w:tcPr>
            <w:tcW w:w="2257" w:type="pct"/>
          </w:tcPr>
          <w:p w:rsidR="00670BC7" w:rsidRPr="00634059" w:rsidRDefault="00670BC7" w:rsidP="00936852">
            <w:pPr>
              <w:pStyle w:val="TableText"/>
            </w:pPr>
            <w:r w:rsidRPr="00634059">
              <w:t>Due to political instability it is not considered safe to procure all commodities through government systems</w:t>
            </w:r>
            <w:r w:rsidR="000E1CFA">
              <w:t xml:space="preserve">. </w:t>
            </w:r>
            <w:r w:rsidRPr="00634059">
              <w:t>Where procurement is through the government the World Bank oversees implementation</w:t>
            </w:r>
            <w:r w:rsidR="000E1CFA">
              <w:t xml:space="preserve">. </w:t>
            </w:r>
            <w:r w:rsidRPr="00634059">
              <w:t>Other (most) commodities are procured through international agencies appointed by donors</w:t>
            </w:r>
            <w:r w:rsidR="000E1CFA">
              <w:t xml:space="preserve">. </w:t>
            </w:r>
          </w:p>
        </w:tc>
      </w:tr>
      <w:tr w:rsidR="00670BC7" w:rsidRPr="00634059" w:rsidTr="008F281B">
        <w:tc>
          <w:tcPr>
            <w:tcW w:w="596" w:type="pct"/>
          </w:tcPr>
          <w:p w:rsidR="00670BC7" w:rsidRPr="00634059" w:rsidRDefault="00670BC7" w:rsidP="0097056D">
            <w:pPr>
              <w:pStyle w:val="TableText"/>
            </w:pPr>
            <w:r w:rsidRPr="00634059">
              <w:t>P</w:t>
            </w:r>
            <w:r w:rsidR="00DF1DD1">
              <w:t>apua New Guinea</w:t>
            </w:r>
          </w:p>
        </w:tc>
        <w:tc>
          <w:tcPr>
            <w:tcW w:w="2147" w:type="pct"/>
          </w:tcPr>
          <w:p w:rsidR="00670BC7" w:rsidRPr="00634059" w:rsidRDefault="008E7949" w:rsidP="00556CA1">
            <w:pPr>
              <w:pStyle w:val="TableText"/>
            </w:pPr>
            <w:r w:rsidRPr="00634059">
              <w:t xml:space="preserve">Nominally there was a pooled fund supporting the </w:t>
            </w:r>
            <w:proofErr w:type="spellStart"/>
            <w:r w:rsidRPr="00634059">
              <w:t>SWAp</w:t>
            </w:r>
            <w:proofErr w:type="spellEnd"/>
            <w:r w:rsidRPr="00634059">
              <w:t xml:space="preserve"> although most funds were project-specific and earmarked</w:t>
            </w:r>
            <w:r>
              <w:t xml:space="preserve"> (i.e. </w:t>
            </w:r>
            <w:r w:rsidRPr="00634059">
              <w:t xml:space="preserve">not a pooled fund or </w:t>
            </w:r>
            <w:proofErr w:type="spellStart"/>
            <w:r w:rsidRPr="00634059">
              <w:t>SWAp</w:t>
            </w:r>
            <w:proofErr w:type="spellEnd"/>
            <w:r w:rsidRPr="00634059">
              <w:t xml:space="preserve"> as generally described</w:t>
            </w:r>
            <w:r>
              <w:t>)</w:t>
            </w:r>
            <w:r w:rsidRPr="00634059">
              <w:t xml:space="preserve">. This may have changed since 2012 when the </w:t>
            </w:r>
            <w:r>
              <w:t xml:space="preserve">trust account </w:t>
            </w:r>
            <w:r w:rsidRPr="00634059">
              <w:t>was completely redesigned</w:t>
            </w:r>
            <w:r>
              <w:t xml:space="preserve">. </w:t>
            </w:r>
            <w:r w:rsidR="00556CA1">
              <w:br/>
            </w:r>
            <w:r w:rsidR="00670BC7" w:rsidRPr="00634059">
              <w:t>TA was procured by individual donors, at least until 2012.</w:t>
            </w:r>
          </w:p>
        </w:tc>
        <w:tc>
          <w:tcPr>
            <w:tcW w:w="2257" w:type="pct"/>
          </w:tcPr>
          <w:p w:rsidR="008E7949" w:rsidRPr="008E7949" w:rsidRDefault="00670BC7" w:rsidP="008E7949">
            <w:pPr>
              <w:pStyle w:val="TableText"/>
              <w:rPr>
                <w:color w:val="auto"/>
                <w:sz w:val="16"/>
                <w:szCs w:val="16"/>
              </w:rPr>
            </w:pPr>
            <w:r w:rsidRPr="00634059">
              <w:t xml:space="preserve">Procurement </w:t>
            </w:r>
            <w:r w:rsidR="008E7949">
              <w:t>is</w:t>
            </w:r>
            <w:r w:rsidR="008E7949" w:rsidRPr="00634059">
              <w:t xml:space="preserve"> </w:t>
            </w:r>
            <w:r w:rsidRPr="00634059">
              <w:t xml:space="preserve">done through </w:t>
            </w:r>
            <w:r w:rsidR="008E7949">
              <w:t xml:space="preserve">HSIP and large scale procurements are undertaken through a procurement agent. </w:t>
            </w:r>
            <w:r w:rsidR="000E1CFA">
              <w:t xml:space="preserve"> </w:t>
            </w:r>
            <w:r w:rsidRPr="00634059">
              <w:t xml:space="preserve">Indications are that the redesigned </w:t>
            </w:r>
            <w:r w:rsidR="00556CA1">
              <w:t>trust account</w:t>
            </w:r>
            <w:r w:rsidRPr="00634059">
              <w:t xml:space="preserve"> will make increased use of government systems for financing and procurement of goods and services, including TA.</w:t>
            </w:r>
            <w:r w:rsidR="008E7949">
              <w:rPr>
                <w:rStyle w:val="CommentReference"/>
                <w:color w:val="auto"/>
              </w:rPr>
              <w:t xml:space="preserve"> </w:t>
            </w:r>
          </w:p>
        </w:tc>
      </w:tr>
      <w:tr w:rsidR="00670BC7" w:rsidRPr="00634059" w:rsidTr="008F281B">
        <w:tc>
          <w:tcPr>
            <w:tcW w:w="596" w:type="pct"/>
          </w:tcPr>
          <w:p w:rsidR="00670BC7" w:rsidRPr="00634059" w:rsidRDefault="00670BC7" w:rsidP="004616D0">
            <w:pPr>
              <w:pStyle w:val="TableText"/>
            </w:pPr>
            <w:r w:rsidRPr="00634059">
              <w:t>Samoa</w:t>
            </w:r>
          </w:p>
        </w:tc>
        <w:tc>
          <w:tcPr>
            <w:tcW w:w="2147" w:type="pct"/>
          </w:tcPr>
          <w:p w:rsidR="00556CA1" w:rsidRDefault="00670BC7" w:rsidP="00556CA1">
            <w:pPr>
              <w:pStyle w:val="TableText"/>
            </w:pPr>
            <w:r w:rsidRPr="00634059">
              <w:t>A pool</w:t>
            </w:r>
            <w:r w:rsidR="00556CA1">
              <w:t>ed</w:t>
            </w:r>
            <w:r w:rsidRPr="00634059">
              <w:t xml:space="preserve"> fund was established</w:t>
            </w:r>
            <w:r w:rsidR="00556CA1">
              <w:t>,</w:t>
            </w:r>
            <w:r w:rsidRPr="00634059">
              <w:t xml:space="preserve"> represent</w:t>
            </w:r>
            <w:r w:rsidR="00556CA1">
              <w:t>ing</w:t>
            </w:r>
            <w:r w:rsidRPr="00634059">
              <w:t xml:space="preserve"> between 9% and 50% of total health expenditure depending on the year. </w:t>
            </w:r>
            <w:r w:rsidR="00556CA1">
              <w:t>It is n</w:t>
            </w:r>
            <w:r w:rsidRPr="00634059">
              <w:t xml:space="preserve">ot clear from the literature if financial reporting used government systems or was done by the World Bank. </w:t>
            </w:r>
          </w:p>
          <w:p w:rsidR="00670BC7" w:rsidRPr="00634059" w:rsidRDefault="00670BC7" w:rsidP="00556CA1">
            <w:pPr>
              <w:pStyle w:val="TableText"/>
            </w:pPr>
            <w:r w:rsidRPr="00634059">
              <w:t>TA was procured by donors</w:t>
            </w:r>
            <w:r w:rsidR="00556CA1">
              <w:t>.</w:t>
            </w:r>
          </w:p>
        </w:tc>
        <w:tc>
          <w:tcPr>
            <w:tcW w:w="2257" w:type="pct"/>
          </w:tcPr>
          <w:p w:rsidR="00670BC7" w:rsidRPr="00634059" w:rsidRDefault="00670BC7" w:rsidP="00556CA1">
            <w:pPr>
              <w:pStyle w:val="TableText"/>
            </w:pPr>
            <w:r w:rsidRPr="00634059">
              <w:t>Government systems are used for procurement under the supervision of the World Bank. There is considerable evidence that Australia encouraged other donors to use government procurement systems in order to strengthen the</w:t>
            </w:r>
            <w:r w:rsidR="00556CA1">
              <w:t>m</w:t>
            </w:r>
            <w:r w:rsidRPr="00634059">
              <w:t xml:space="preserve">. </w:t>
            </w:r>
          </w:p>
        </w:tc>
      </w:tr>
      <w:tr w:rsidR="00670BC7" w:rsidRPr="00634059" w:rsidTr="008F281B">
        <w:tc>
          <w:tcPr>
            <w:tcW w:w="596" w:type="pct"/>
          </w:tcPr>
          <w:p w:rsidR="00670BC7" w:rsidRPr="00634059" w:rsidRDefault="00670BC7" w:rsidP="004616D0">
            <w:pPr>
              <w:pStyle w:val="TableText"/>
            </w:pPr>
            <w:r w:rsidRPr="00634059">
              <w:t>Solomon Islands</w:t>
            </w:r>
          </w:p>
        </w:tc>
        <w:tc>
          <w:tcPr>
            <w:tcW w:w="2147" w:type="pct"/>
          </w:tcPr>
          <w:p w:rsidR="008F338F" w:rsidRDefault="00670BC7" w:rsidP="004616D0">
            <w:pPr>
              <w:pStyle w:val="TableText"/>
            </w:pPr>
            <w:r w:rsidRPr="00634059">
              <w:t xml:space="preserve">While significant funding is channelled through </w:t>
            </w:r>
            <w:r w:rsidR="007871A0">
              <w:t xml:space="preserve">government </w:t>
            </w:r>
            <w:r w:rsidRPr="00634059">
              <w:t xml:space="preserve">systems, only </w:t>
            </w:r>
            <w:r w:rsidR="00556CA1">
              <w:t>the Australian aid program</w:t>
            </w:r>
            <w:r w:rsidRPr="00634059">
              <w:t xml:space="preserve"> provides un-earmarked budget support. D</w:t>
            </w:r>
            <w:r w:rsidR="00556CA1">
              <w:t>onors (</w:t>
            </w:r>
            <w:r w:rsidRPr="00634059">
              <w:t>including Aus</w:t>
            </w:r>
            <w:r w:rsidR="00556CA1">
              <w:t>tralia)</w:t>
            </w:r>
            <w:r w:rsidRPr="00634059">
              <w:t xml:space="preserve"> also provide earmarked budget support through the ‘</w:t>
            </w:r>
            <w:proofErr w:type="spellStart"/>
            <w:r w:rsidRPr="00634059">
              <w:t>SWAp</w:t>
            </w:r>
            <w:proofErr w:type="spellEnd"/>
            <w:r w:rsidRPr="00634059">
              <w:t xml:space="preserve"> account’ and/or project assistance. Government financial management systems are </w:t>
            </w:r>
            <w:r w:rsidR="001A1A97" w:rsidRPr="00634059">
              <w:t xml:space="preserve">used for financial management reporting of </w:t>
            </w:r>
            <w:r w:rsidR="001A1A97">
              <w:t xml:space="preserve">sector budget support </w:t>
            </w:r>
            <w:r w:rsidR="001A1A97" w:rsidRPr="00634059">
              <w:t>funds</w:t>
            </w:r>
            <w:r w:rsidR="001A1A97">
              <w:t xml:space="preserve"> </w:t>
            </w:r>
            <w:r>
              <w:t xml:space="preserve">(although changed arrangements are currently under </w:t>
            </w:r>
            <w:r w:rsidR="00AC67D5">
              <w:t>consideration)</w:t>
            </w:r>
            <w:r w:rsidRPr="00634059">
              <w:t xml:space="preserve">. </w:t>
            </w:r>
          </w:p>
          <w:p w:rsidR="00670BC7" w:rsidRPr="00634059" w:rsidRDefault="00670BC7" w:rsidP="00556CA1">
            <w:pPr>
              <w:pStyle w:val="TableText"/>
            </w:pPr>
            <w:r w:rsidRPr="00634059">
              <w:t>TA</w:t>
            </w:r>
            <w:r w:rsidR="008F338F">
              <w:t xml:space="preserve"> </w:t>
            </w:r>
            <w:r w:rsidRPr="00634059">
              <w:t xml:space="preserve">procurement is largely carried out by individual </w:t>
            </w:r>
            <w:r w:rsidR="00556CA1">
              <w:t>donors</w:t>
            </w:r>
            <w:r w:rsidRPr="00634059">
              <w:t>.</w:t>
            </w:r>
          </w:p>
        </w:tc>
        <w:tc>
          <w:tcPr>
            <w:tcW w:w="2257" w:type="pct"/>
          </w:tcPr>
          <w:p w:rsidR="00670BC7" w:rsidRPr="00634059" w:rsidRDefault="00670BC7" w:rsidP="00556CA1">
            <w:pPr>
              <w:pStyle w:val="TableText"/>
            </w:pPr>
            <w:r w:rsidRPr="00634059">
              <w:t xml:space="preserve">Some </w:t>
            </w:r>
            <w:r w:rsidR="00556CA1">
              <w:t xml:space="preserve">donors </w:t>
            </w:r>
            <w:r w:rsidRPr="00634059">
              <w:t xml:space="preserve">including </w:t>
            </w:r>
            <w:r w:rsidR="00556CA1">
              <w:t xml:space="preserve">the </w:t>
            </w:r>
            <w:r w:rsidRPr="00634059">
              <w:t>Australia</w:t>
            </w:r>
            <w:r w:rsidR="00556CA1">
              <w:t xml:space="preserve">n aid program </w:t>
            </w:r>
            <w:r w:rsidRPr="00634059">
              <w:t>use national procurement systems for essential medicines and medical equipment. Recent financial and procurement audits demonstrate slow or unsatisfactory progress</w:t>
            </w:r>
            <w:r w:rsidR="008F338F">
              <w:t>.</w:t>
            </w:r>
          </w:p>
        </w:tc>
      </w:tr>
    </w:tbl>
    <w:p w:rsidR="00552E51" w:rsidRDefault="00552E51" w:rsidP="00DE491F"/>
    <w:p w:rsidR="00670BC7" w:rsidRPr="003A10ED" w:rsidRDefault="00072411" w:rsidP="00DE491F">
      <w:r>
        <w:t xml:space="preserve">In the </w:t>
      </w:r>
      <w:r w:rsidR="00BB436C">
        <w:t xml:space="preserve">next </w:t>
      </w:r>
      <w:r w:rsidR="00044490">
        <w:t>sub-</w:t>
      </w:r>
      <w:r>
        <w:t xml:space="preserve">sections </w:t>
      </w:r>
      <w:r w:rsidR="00044490">
        <w:t>(3.8.1-3.8.4)</w:t>
      </w:r>
      <w:r w:rsidR="00CB1723">
        <w:t xml:space="preserve"> </w:t>
      </w:r>
      <w:r>
        <w:t xml:space="preserve">we </w:t>
      </w:r>
      <w:r w:rsidR="00836E0E">
        <w:t>synthesise</w:t>
      </w:r>
      <w:r w:rsidR="00836E0E" w:rsidRPr="00072411">
        <w:t xml:space="preserve"> </w:t>
      </w:r>
      <w:r w:rsidRPr="00072411">
        <w:t xml:space="preserve">the evidence on individual </w:t>
      </w:r>
      <w:r>
        <w:t xml:space="preserve">government </w:t>
      </w:r>
      <w:r w:rsidRPr="00072411">
        <w:t xml:space="preserve">systems </w:t>
      </w:r>
      <w:r>
        <w:t>used</w:t>
      </w:r>
      <w:r w:rsidR="00BB436C">
        <w:t xml:space="preserve">. </w:t>
      </w:r>
    </w:p>
    <w:p w:rsidR="00670BC7" w:rsidRDefault="00B97C5E" w:rsidP="00DE491F">
      <w:pPr>
        <w:pStyle w:val="Heading3"/>
      </w:pPr>
      <w:r>
        <w:t>3.8</w:t>
      </w:r>
      <w:r w:rsidR="00DE491F">
        <w:t>.1</w:t>
      </w:r>
      <w:r w:rsidR="00DE491F">
        <w:tab/>
      </w:r>
      <w:r w:rsidR="00670BC7" w:rsidRPr="00AA55FD">
        <w:t>Pooled funding</w:t>
      </w:r>
      <w:r w:rsidR="00670BC7">
        <w:t xml:space="preserve"> </w:t>
      </w:r>
    </w:p>
    <w:p w:rsidR="00670BC7" w:rsidRDefault="00971828" w:rsidP="00DE491F">
      <w:pPr>
        <w:pStyle w:val="NormalBeforeBullet"/>
      </w:pPr>
      <w:r>
        <w:t xml:space="preserve">The </w:t>
      </w:r>
      <w:r w:rsidR="00670BC7">
        <w:t>Australia</w:t>
      </w:r>
      <w:r>
        <w:t xml:space="preserve">n aid program has </w:t>
      </w:r>
      <w:r w:rsidR="00670BC7">
        <w:t xml:space="preserve">pooled </w:t>
      </w:r>
      <w:r>
        <w:t xml:space="preserve">its </w:t>
      </w:r>
      <w:r w:rsidR="00670BC7">
        <w:t>fund</w:t>
      </w:r>
      <w:r>
        <w:t>s</w:t>
      </w:r>
      <w:r w:rsidR="00670BC7">
        <w:t xml:space="preserve"> with other donors in five of </w:t>
      </w:r>
      <w:r w:rsidR="00BB436C">
        <w:t xml:space="preserve">the </w:t>
      </w:r>
      <w:r w:rsidR="00670BC7">
        <w:t xml:space="preserve">six countries, but </w:t>
      </w:r>
      <w:r>
        <w:t xml:space="preserve">there are </w:t>
      </w:r>
      <w:r w:rsidR="00670BC7">
        <w:t>differences in what the pooled fund support</w:t>
      </w:r>
      <w:r w:rsidR="00BB436C">
        <w:t>s</w:t>
      </w:r>
      <w:r w:rsidR="00670BC7">
        <w:t xml:space="preserve"> and how funds </w:t>
      </w:r>
      <w:r w:rsidR="00FB1683">
        <w:t xml:space="preserve">are </w:t>
      </w:r>
      <w:r w:rsidR="00670BC7">
        <w:t>accounted for:</w:t>
      </w:r>
    </w:p>
    <w:p w:rsidR="009A46A5" w:rsidRDefault="00670BC7" w:rsidP="00DE491F">
      <w:pPr>
        <w:pStyle w:val="Bullet"/>
      </w:pPr>
      <w:r>
        <w:t xml:space="preserve">In Bangladesh, Nepal and Samoa pooled funds directly </w:t>
      </w:r>
      <w:r w:rsidR="008F338F">
        <w:t xml:space="preserve">support </w:t>
      </w:r>
      <w:r>
        <w:t>the national health plan</w:t>
      </w:r>
      <w:r w:rsidR="00BB436C">
        <w:t>.</w:t>
      </w:r>
      <w:r>
        <w:t xml:space="preserve"> </w:t>
      </w:r>
      <w:r w:rsidR="00BB436C">
        <w:t>F</w:t>
      </w:r>
      <w:r>
        <w:t>unds are deposited into a government account</w:t>
      </w:r>
      <w:r w:rsidR="00BB436C">
        <w:t xml:space="preserve"> and </w:t>
      </w:r>
      <w:r>
        <w:t xml:space="preserve">can then be used as </w:t>
      </w:r>
      <w:r w:rsidR="00300FE4">
        <w:t xml:space="preserve">agreed </w:t>
      </w:r>
      <w:r>
        <w:t>in joint financing arrangements</w:t>
      </w:r>
      <w:r w:rsidR="000E1CFA">
        <w:t xml:space="preserve">. </w:t>
      </w:r>
      <w:r>
        <w:t xml:space="preserve">In Bangladesh, </w:t>
      </w:r>
      <w:r w:rsidR="00300FE4">
        <w:t>the Australian aid program</w:t>
      </w:r>
      <w:r>
        <w:t xml:space="preserve"> only contributed to the pooled fund in </w:t>
      </w:r>
      <w:r w:rsidR="00BB436C">
        <w:t>f</w:t>
      </w:r>
      <w:r w:rsidR="00300FE4">
        <w:t xml:space="preserve">inancial </w:t>
      </w:r>
      <w:r w:rsidR="00BB436C">
        <w:t>y</w:t>
      </w:r>
      <w:r w:rsidR="00300FE4">
        <w:t>ear</w:t>
      </w:r>
      <w:r>
        <w:t xml:space="preserve"> 2008-2009 and then opted out </w:t>
      </w:r>
      <w:r w:rsidR="00300FE4">
        <w:t xml:space="preserve">because of </w:t>
      </w:r>
      <w:r>
        <w:t xml:space="preserve">cuts </w:t>
      </w:r>
      <w:r w:rsidR="00300FE4">
        <w:t xml:space="preserve">to </w:t>
      </w:r>
      <w:r>
        <w:t>the</w:t>
      </w:r>
      <w:r w:rsidR="00B55651">
        <w:t xml:space="preserve"> aid </w:t>
      </w:r>
      <w:r>
        <w:t>budget</w:t>
      </w:r>
      <w:r w:rsidR="000E1CFA">
        <w:t xml:space="preserve">. </w:t>
      </w:r>
    </w:p>
    <w:p w:rsidR="00670BC7" w:rsidRDefault="00670BC7" w:rsidP="00DE491F">
      <w:pPr>
        <w:pStyle w:val="Bullet"/>
      </w:pPr>
      <w:r>
        <w:t>In Bangladesh and Nepal donors rely on government systems for financial reporting and accounting of pooled funds</w:t>
      </w:r>
      <w:r w:rsidR="000E1CFA">
        <w:t xml:space="preserve">. </w:t>
      </w:r>
      <w:r>
        <w:t xml:space="preserve">In Samoa, the information available does not specify whose systems are used for </w:t>
      </w:r>
      <w:r w:rsidR="00BB436C">
        <w:t>this purpose (</w:t>
      </w:r>
      <w:r w:rsidR="00F000D1">
        <w:t>the government</w:t>
      </w:r>
      <w:r>
        <w:t xml:space="preserve"> or the World Bank’s</w:t>
      </w:r>
      <w:r w:rsidR="00BB436C">
        <w:t>)</w:t>
      </w:r>
      <w:r w:rsidR="000E1CFA">
        <w:t xml:space="preserve">. </w:t>
      </w:r>
    </w:p>
    <w:p w:rsidR="008E7949" w:rsidRDefault="008E7949" w:rsidP="008E7949">
      <w:pPr>
        <w:pStyle w:val="BulletLast"/>
      </w:pPr>
      <w:r>
        <w:t xml:space="preserve">In Cambodia and Papua New Guinea </w:t>
      </w:r>
      <w:r w:rsidR="00A55E1D">
        <w:t xml:space="preserve">(until 2013 in the case of PNG) </w:t>
      </w:r>
      <w:r>
        <w:t>pooled funds finance a parallel program of work using a separate project management unit</w:t>
      </w:r>
      <w:r w:rsidR="007221EB">
        <w:t xml:space="preserve"> financed by the aid programme. The project management unit consisted of a group of advisers recruited to manage components of the health sector program and reporting to the government and donors supporting the </w:t>
      </w:r>
      <w:proofErr w:type="spellStart"/>
      <w:r w:rsidR="007221EB">
        <w:t>SWAp</w:t>
      </w:r>
      <w:proofErr w:type="spellEnd"/>
      <w:r w:rsidR="007221EB">
        <w:t xml:space="preserve">. </w:t>
      </w:r>
      <w:r>
        <w:t xml:space="preserve"> </w:t>
      </w:r>
      <w:r w:rsidR="007221EB">
        <w:t>In this model, f</w:t>
      </w:r>
      <w:r>
        <w:t xml:space="preserve">unds are earmarked by donors (defining what they can be used for) and </w:t>
      </w:r>
      <w:r>
        <w:lastRenderedPageBreak/>
        <w:t xml:space="preserve">accounted for by the World Bank on behalf of the pooled funders. The attempt by the Australian aid program to pool funding in Papua New Guinea did not work as expected, (as described in sections </w:t>
      </w:r>
      <w:r w:rsidRPr="007670D4">
        <w:t>3.5 and 3.6</w:t>
      </w:r>
      <w:r>
        <w:t xml:space="preserve">). </w:t>
      </w:r>
    </w:p>
    <w:p w:rsidR="007D58EF" w:rsidRDefault="00096385" w:rsidP="00670BC7">
      <w:r>
        <w:t>T</w:t>
      </w:r>
      <w:r w:rsidR="00300FE4">
        <w:t>hese examples</w:t>
      </w:r>
      <w:r>
        <w:t xml:space="preserve"> show that</w:t>
      </w:r>
      <w:r w:rsidR="00670BC7">
        <w:t xml:space="preserve"> pooled funding does not </w:t>
      </w:r>
      <w:r w:rsidR="00300FE4">
        <w:t xml:space="preserve">necessarily </w:t>
      </w:r>
      <w:r w:rsidR="00670BC7">
        <w:t xml:space="preserve">use government systems. It is generally described as a </w:t>
      </w:r>
      <w:r w:rsidR="00670BC7" w:rsidRPr="00A04773">
        <w:rPr>
          <w:i/>
        </w:rPr>
        <w:t>move towards increased use of government systems</w:t>
      </w:r>
      <w:r w:rsidR="00670BC7">
        <w:t xml:space="preserve"> when </w:t>
      </w:r>
      <w:r w:rsidR="00300FE4">
        <w:t xml:space="preserve">such </w:t>
      </w:r>
      <w:r w:rsidR="00670BC7">
        <w:t xml:space="preserve">systems are not perceived as robust enough for full budget support, </w:t>
      </w:r>
      <w:r w:rsidR="00300FE4">
        <w:t xml:space="preserve">in </w:t>
      </w:r>
      <w:r w:rsidR="00670BC7">
        <w:t>a sort of a risk pooling</w:t>
      </w:r>
      <w:r>
        <w:t>/</w:t>
      </w:r>
      <w:r w:rsidR="00670BC7">
        <w:t>risk management arrangement</w:t>
      </w:r>
      <w:r w:rsidR="000E1CFA">
        <w:t xml:space="preserve">. </w:t>
      </w:r>
      <w:r w:rsidR="00670BC7">
        <w:t xml:space="preserve">However, the stated intention of moving towards </w:t>
      </w:r>
      <w:r>
        <w:t xml:space="preserve">greater </w:t>
      </w:r>
      <w:r w:rsidR="00670BC7">
        <w:t>use o</w:t>
      </w:r>
      <w:r w:rsidR="00300FE4">
        <w:t>f government financing systems</w:t>
      </w:r>
      <w:r w:rsidR="00670BC7">
        <w:t xml:space="preserve"> is not supported by evidence or has not yet taken place</w:t>
      </w:r>
      <w:r w:rsidR="000E1CFA">
        <w:t xml:space="preserve">. </w:t>
      </w:r>
      <w:r w:rsidR="00670BC7">
        <w:t>For example, Bangladesh and Nepal have used pooled funds for a decade or longer and there are no indications that donors plan to adopt a different financing instrument.</w:t>
      </w:r>
      <w:r w:rsidR="00670BC7">
        <w:rPr>
          <w:rStyle w:val="FootnoteReference"/>
        </w:rPr>
        <w:footnoteReference w:id="59"/>
      </w:r>
      <w:r w:rsidR="00670BC7">
        <w:t xml:space="preserve">  </w:t>
      </w:r>
    </w:p>
    <w:p w:rsidR="00D83F1E" w:rsidRDefault="00D83F1E" w:rsidP="00D83F1E">
      <w:pPr>
        <w:pStyle w:val="Heading3"/>
      </w:pPr>
      <w:r>
        <w:t>3.8.2</w:t>
      </w:r>
      <w:r>
        <w:tab/>
        <w:t>Sector budget support</w:t>
      </w:r>
    </w:p>
    <w:p w:rsidR="00670BC7" w:rsidRDefault="00300FE4" w:rsidP="00670BC7">
      <w:r>
        <w:t>The Australian aid program</w:t>
      </w:r>
      <w:r w:rsidR="00670BC7">
        <w:t xml:space="preserve"> only used </w:t>
      </w:r>
      <w:r>
        <w:t xml:space="preserve">sector budget support </w:t>
      </w:r>
      <w:r w:rsidR="00670BC7">
        <w:t xml:space="preserve">in Solomon Islands, and was </w:t>
      </w:r>
      <w:r>
        <w:t>alone in</w:t>
      </w:r>
      <w:r w:rsidR="00670BC7">
        <w:t xml:space="preserve"> providing un-earmarked </w:t>
      </w:r>
      <w:r>
        <w:t xml:space="preserve">support </w:t>
      </w:r>
      <w:r w:rsidR="004B6220">
        <w:t>(</w:t>
      </w:r>
      <w:r w:rsidR="00670BC7">
        <w:t>together with some earmarked funds</w:t>
      </w:r>
      <w:r w:rsidR="004B6220">
        <w:t>)</w:t>
      </w:r>
      <w:r w:rsidR="000E1CFA">
        <w:t xml:space="preserve">. </w:t>
      </w:r>
      <w:r w:rsidR="00670BC7">
        <w:t>All remaining donors earmarked their contributions</w:t>
      </w:r>
      <w:r w:rsidR="000E1CFA">
        <w:t xml:space="preserve">. </w:t>
      </w:r>
      <w:r w:rsidR="00670BC7">
        <w:t xml:space="preserve">International evidence suggests that it is </w:t>
      </w:r>
      <w:r w:rsidR="00D83F1E">
        <w:t xml:space="preserve">unusual </w:t>
      </w:r>
      <w:r w:rsidR="00670BC7">
        <w:t xml:space="preserve">for the same donor to use earmarked and un-earmarked </w:t>
      </w:r>
      <w:r>
        <w:t>sector budget support</w:t>
      </w:r>
      <w:r w:rsidR="00670BC7">
        <w:t xml:space="preserve"> simultaneously</w:t>
      </w:r>
      <w:r>
        <w:t>, and e</w:t>
      </w:r>
      <w:r w:rsidR="00670BC7">
        <w:t xml:space="preserve">armarking </w:t>
      </w:r>
      <w:r>
        <w:t xml:space="preserve">in this context is </w:t>
      </w:r>
      <w:r w:rsidR="00670BC7">
        <w:t>also unusual</w:t>
      </w:r>
      <w:r w:rsidR="000E1CFA">
        <w:t>.</w:t>
      </w:r>
      <w:r w:rsidR="00A55E1D">
        <w:t xml:space="preserve"> </w:t>
      </w:r>
      <w:r w:rsidR="000E1CFA">
        <w:t xml:space="preserve"> </w:t>
      </w:r>
      <w:r w:rsidR="00D83F1E">
        <w:t>We could not find any evaluations or reviews discussing the justification for the arrangements in Solomon Islands</w:t>
      </w:r>
      <w:r w:rsidR="00A55E1D">
        <w:t xml:space="preserve">, although the approach by the Australian aid program points to an effort to incrementally </w:t>
      </w:r>
      <w:r w:rsidR="0032221D">
        <w:t xml:space="preserve">aligning </w:t>
      </w:r>
      <w:r w:rsidR="00A55E1D">
        <w:t>their resources</w:t>
      </w:r>
      <w:r w:rsidR="0032221D">
        <w:t xml:space="preserve"> to national plans and channelling funds through the national budget</w:t>
      </w:r>
      <w:r w:rsidR="00A55E1D">
        <w:t xml:space="preserve"> that should be recognised.</w:t>
      </w:r>
    </w:p>
    <w:p w:rsidR="00670BC7" w:rsidRDefault="00B97C5E" w:rsidP="00DE491F">
      <w:pPr>
        <w:pStyle w:val="Heading3"/>
      </w:pPr>
      <w:r>
        <w:t>3.8</w:t>
      </w:r>
      <w:r w:rsidR="00DE491F">
        <w:t>.3</w:t>
      </w:r>
      <w:r w:rsidR="00DE491F">
        <w:tab/>
      </w:r>
      <w:r w:rsidR="00670BC7" w:rsidRPr="00B954FF">
        <w:t>Procurement</w:t>
      </w:r>
      <w:r w:rsidR="00670BC7">
        <w:t xml:space="preserve"> o</w:t>
      </w:r>
      <w:r w:rsidR="00015029">
        <w:t>f goods and commodities</w:t>
      </w:r>
    </w:p>
    <w:p w:rsidR="00670BC7" w:rsidRPr="00533152" w:rsidRDefault="00670BC7" w:rsidP="00DE491F">
      <w:r>
        <w:t>The picture on use of government systems for procurement is mixed. Exclusive use of government procurement systems was only found in Samoa</w:t>
      </w:r>
      <w:r w:rsidR="000E1CFA">
        <w:t xml:space="preserve">. </w:t>
      </w:r>
      <w:r w:rsidRPr="00533152">
        <w:t xml:space="preserve">In Bangladesh </w:t>
      </w:r>
      <w:r w:rsidR="00D83F1E">
        <w:t xml:space="preserve">the Australian aid program </w:t>
      </w:r>
      <w:r w:rsidR="00D83F1E" w:rsidRPr="00533152">
        <w:t>procures some goods through the government system and others through external agencies, under World Bank supervision</w:t>
      </w:r>
      <w:r w:rsidR="00D83F1E">
        <w:t>.</w:t>
      </w:r>
      <w:r w:rsidR="008E7949" w:rsidRPr="008E7949">
        <w:t xml:space="preserve"> </w:t>
      </w:r>
      <w:r w:rsidR="003E6B0B">
        <w:t xml:space="preserve">In the Solomon Islands everything is procured through government </w:t>
      </w:r>
      <w:r w:rsidR="006D7C2B">
        <w:t>systems</w:t>
      </w:r>
      <w:r w:rsidR="002E4BB3">
        <w:t>.</w:t>
      </w:r>
      <w:r w:rsidR="00204740">
        <w:rPr>
          <w:rStyle w:val="FootnoteReference"/>
        </w:rPr>
        <w:footnoteReference w:id="60"/>
      </w:r>
      <w:r w:rsidR="003E6B0B">
        <w:t xml:space="preserve">  </w:t>
      </w:r>
      <w:r w:rsidR="008E7949" w:rsidRPr="00533152">
        <w:t>In Nepal</w:t>
      </w:r>
      <w:r w:rsidR="00204740">
        <w:t xml:space="preserve"> and </w:t>
      </w:r>
      <w:r w:rsidR="008E7949" w:rsidRPr="00533152">
        <w:t xml:space="preserve">Cambodia procurement is through the World Bank or external agencies supervised by the World Bank, </w:t>
      </w:r>
      <w:r w:rsidR="008E7949">
        <w:t xml:space="preserve">which is </w:t>
      </w:r>
      <w:r w:rsidR="008E7949" w:rsidRPr="00533152">
        <w:t>responsible for financial management reporting.</w:t>
      </w:r>
      <w:r w:rsidR="008E7949">
        <w:t xml:space="preserve"> </w:t>
      </w:r>
      <w:r>
        <w:t xml:space="preserve"> </w:t>
      </w:r>
      <w:r w:rsidR="00204740">
        <w:t>In Papua New Guinea</w:t>
      </w:r>
      <w:r w:rsidR="004F08BE" w:rsidRPr="004F08BE">
        <w:t xml:space="preserve">, Australia has a separate procurement agent for large scale procurements, but HSIP procurement is managed using </w:t>
      </w:r>
      <w:r w:rsidR="004F08BE">
        <w:t>government systems.</w:t>
      </w:r>
      <w:r w:rsidR="002E4BB3">
        <w:rPr>
          <w:rStyle w:val="FootnoteReference"/>
        </w:rPr>
        <w:footnoteReference w:id="61"/>
      </w:r>
      <w:r w:rsidR="004F08BE">
        <w:t xml:space="preserve"> </w:t>
      </w:r>
      <w:r w:rsidR="00C12A8C">
        <w:t>I</w:t>
      </w:r>
      <w:r>
        <w:t xml:space="preserve">nformation available from </w:t>
      </w:r>
      <w:r w:rsidR="00B55651">
        <w:t>the Australian aid program</w:t>
      </w:r>
      <w:r>
        <w:t xml:space="preserve"> did not </w:t>
      </w:r>
      <w:r w:rsidR="004F08BE">
        <w:t xml:space="preserve">always </w:t>
      </w:r>
      <w:r>
        <w:t>specify the reasons for using government procurement systems</w:t>
      </w:r>
      <w:r w:rsidR="00C12A8C">
        <w:t xml:space="preserve"> or not</w:t>
      </w:r>
      <w:r w:rsidR="000E1CFA">
        <w:t xml:space="preserve">. </w:t>
      </w:r>
      <w:r w:rsidR="004B6220">
        <w:t>S</w:t>
      </w:r>
      <w:r>
        <w:t>ome World Bank reports (</w:t>
      </w:r>
      <w:r w:rsidR="00C12A8C">
        <w:t>e.g. p</w:t>
      </w:r>
      <w:r>
        <w:t xml:space="preserve">roject </w:t>
      </w:r>
      <w:r w:rsidR="00C12A8C">
        <w:t>a</w:t>
      </w:r>
      <w:r>
        <w:t xml:space="preserve">ppraisal </w:t>
      </w:r>
      <w:r w:rsidR="00C12A8C">
        <w:t>d</w:t>
      </w:r>
      <w:r>
        <w:t>ocuments)</w:t>
      </w:r>
      <w:r w:rsidR="004B6220">
        <w:t xml:space="preserve"> cite</w:t>
      </w:r>
      <w:r>
        <w:t xml:space="preserve"> </w:t>
      </w:r>
      <w:r w:rsidR="004B6220">
        <w:t xml:space="preserve">issues </w:t>
      </w:r>
      <w:r w:rsidR="00C12A8C">
        <w:t xml:space="preserve">including </w:t>
      </w:r>
      <w:r>
        <w:t xml:space="preserve">weaknesses in the </w:t>
      </w:r>
      <w:r w:rsidR="00D02812">
        <w:t>government’s</w:t>
      </w:r>
      <w:r>
        <w:t xml:space="preserve"> procurement, financial accounting or </w:t>
      </w:r>
      <w:r w:rsidR="00C12A8C">
        <w:t xml:space="preserve">public finance management </w:t>
      </w:r>
      <w:r>
        <w:t>systems in general</w:t>
      </w:r>
      <w:r w:rsidR="004B6220">
        <w:t xml:space="preserve"> as reasons for not using government procurement systems</w:t>
      </w:r>
      <w:r w:rsidR="000E1CFA">
        <w:t xml:space="preserve">. </w:t>
      </w:r>
    </w:p>
    <w:p w:rsidR="00DE491F" w:rsidRDefault="00B97C5E" w:rsidP="00DE491F">
      <w:pPr>
        <w:pStyle w:val="Heading3"/>
      </w:pPr>
      <w:r>
        <w:t>3.8.</w:t>
      </w:r>
      <w:r w:rsidR="00DE491F">
        <w:t>4</w:t>
      </w:r>
      <w:r w:rsidR="00DE491F">
        <w:tab/>
      </w:r>
      <w:r w:rsidR="00670BC7" w:rsidRPr="0071557C">
        <w:t xml:space="preserve">Procurement of </w:t>
      </w:r>
      <w:r w:rsidR="00C12A8C">
        <w:t>technical assistance</w:t>
      </w:r>
      <w:r w:rsidR="00670BC7" w:rsidRPr="0071557C">
        <w:t xml:space="preserve"> </w:t>
      </w:r>
    </w:p>
    <w:p w:rsidR="00670BC7" w:rsidRDefault="00670BC7" w:rsidP="00DE491F">
      <w:r>
        <w:t xml:space="preserve">In all countries </w:t>
      </w:r>
      <w:r w:rsidR="00C12A8C">
        <w:t>donors</w:t>
      </w:r>
      <w:r w:rsidR="00836E0E">
        <w:t xml:space="preserve"> including Australia</w:t>
      </w:r>
      <w:r w:rsidR="00C12A8C">
        <w:t xml:space="preserve"> procure technical assistance</w:t>
      </w:r>
      <w:r>
        <w:t xml:space="preserve"> </w:t>
      </w:r>
      <w:r w:rsidR="00C12A8C">
        <w:t xml:space="preserve">directly. </w:t>
      </w:r>
      <w:r>
        <w:t xml:space="preserve">In Nepal, </w:t>
      </w:r>
      <w:r w:rsidR="00C12A8C">
        <w:t xml:space="preserve">the </w:t>
      </w:r>
      <w:r w:rsidR="00E64C27">
        <w:t>United Kingdom</w:t>
      </w:r>
      <w:r w:rsidR="0097056D">
        <w:t xml:space="preserve"> </w:t>
      </w:r>
      <w:r>
        <w:t xml:space="preserve">procures </w:t>
      </w:r>
      <w:r w:rsidR="00C12A8C">
        <w:t xml:space="preserve">technical assistance </w:t>
      </w:r>
      <w:r>
        <w:t xml:space="preserve">on behalf of </w:t>
      </w:r>
      <w:proofErr w:type="spellStart"/>
      <w:r>
        <w:t>SWAp</w:t>
      </w:r>
      <w:proofErr w:type="spellEnd"/>
      <w:r>
        <w:t xml:space="preserve"> donors</w:t>
      </w:r>
      <w:r w:rsidR="00C12A8C">
        <w:t>. I</w:t>
      </w:r>
      <w:r>
        <w:t xml:space="preserve">n Cambodia </w:t>
      </w:r>
      <w:r w:rsidR="008445C2">
        <w:t xml:space="preserve">some of Australia’s TA is procured through </w:t>
      </w:r>
      <w:r w:rsidR="00BF1D7B">
        <w:t>the World H</w:t>
      </w:r>
      <w:r w:rsidR="00C12A8C">
        <w:t>ealth Organization</w:t>
      </w:r>
      <w:r>
        <w:t>.</w:t>
      </w:r>
    </w:p>
    <w:p w:rsidR="00670BC7" w:rsidRDefault="00B97C5E" w:rsidP="007D58EF">
      <w:pPr>
        <w:pStyle w:val="Heading2"/>
      </w:pPr>
      <w:bookmarkStart w:id="46" w:name="_Toc403403696"/>
      <w:r>
        <w:lastRenderedPageBreak/>
        <w:t>3.9</w:t>
      </w:r>
      <w:r w:rsidR="007D58EF">
        <w:tab/>
      </w:r>
      <w:r w:rsidR="00AC67D5">
        <w:t>G</w:t>
      </w:r>
      <w:r w:rsidR="007D58EF">
        <w:t xml:space="preserve">ender </w:t>
      </w:r>
      <w:r w:rsidR="00AC67D5">
        <w:t xml:space="preserve">focus </w:t>
      </w:r>
      <w:r w:rsidR="007D58EF">
        <w:t>and reporting</w:t>
      </w:r>
      <w:bookmarkEnd w:id="46"/>
    </w:p>
    <w:p w:rsidR="005D45AB" w:rsidRDefault="004B6220" w:rsidP="007D58EF">
      <w:r>
        <w:t>I</w:t>
      </w:r>
      <w:r w:rsidR="00E1667A">
        <w:t xml:space="preserve">n the same </w:t>
      </w:r>
      <w:r>
        <w:t xml:space="preserve">six </w:t>
      </w:r>
      <w:r w:rsidR="00E1667A">
        <w:t xml:space="preserve">countries </w:t>
      </w:r>
      <w:r w:rsidR="00BF1D7B">
        <w:t>w</w:t>
      </w:r>
      <w:r w:rsidR="00174911">
        <w:t xml:space="preserve">e </w:t>
      </w:r>
      <w:r>
        <w:t xml:space="preserve">also </w:t>
      </w:r>
      <w:r w:rsidR="00BF1D7B">
        <w:t xml:space="preserve">looked for </w:t>
      </w:r>
      <w:r w:rsidR="00174911">
        <w:t>evidence on</w:t>
      </w:r>
      <w:r w:rsidR="00BF1D7B">
        <w:t>:</w:t>
      </w:r>
      <w:r w:rsidR="00174911">
        <w:t xml:space="preserve"> whether the health </w:t>
      </w:r>
      <w:proofErr w:type="spellStart"/>
      <w:r w:rsidR="00174911">
        <w:t>SWAp</w:t>
      </w:r>
      <w:proofErr w:type="spellEnd"/>
      <w:r w:rsidR="00174911">
        <w:t xml:space="preserve"> or national health plans incl</w:t>
      </w:r>
      <w:r w:rsidR="00BF1D7B">
        <w:t xml:space="preserve">uded a specific focus on gender; </w:t>
      </w:r>
      <w:r w:rsidR="00174911">
        <w:t xml:space="preserve">whether </w:t>
      </w:r>
      <w:r>
        <w:t xml:space="preserve">established review processes reported on this; </w:t>
      </w:r>
      <w:r w:rsidR="00BF1D7B">
        <w:t xml:space="preserve">and </w:t>
      </w:r>
      <w:r w:rsidR="00174911">
        <w:t>whether the Australian aid program reported on gender</w:t>
      </w:r>
      <w:r w:rsidR="000E1CFA">
        <w:t xml:space="preserve">. </w:t>
      </w:r>
    </w:p>
    <w:p w:rsidR="00BF1D7B" w:rsidRDefault="00BF1D7B" w:rsidP="00BF1D7B">
      <w:pPr>
        <w:pStyle w:val="NormalBeforeBullet"/>
      </w:pPr>
      <w:r>
        <w:t>We</w:t>
      </w:r>
      <w:r w:rsidR="00713464">
        <w:t xml:space="preserve"> found</w:t>
      </w:r>
      <w:r>
        <w:t>:</w:t>
      </w:r>
      <w:r w:rsidR="00713464">
        <w:t xml:space="preserve"> </w:t>
      </w:r>
    </w:p>
    <w:p w:rsidR="00BF1D7B" w:rsidRDefault="00BF1D7B" w:rsidP="00BF1D7B">
      <w:pPr>
        <w:pStyle w:val="Bullet"/>
      </w:pPr>
      <w:r>
        <w:t>A</w:t>
      </w:r>
      <w:r w:rsidR="00713464" w:rsidRPr="005D45AB">
        <w:t xml:space="preserve"> clear focus on gender </w:t>
      </w:r>
      <w:r w:rsidR="00713464">
        <w:t xml:space="preserve">(incorporating dimensions </w:t>
      </w:r>
      <w:r>
        <w:t>such as</w:t>
      </w:r>
      <w:r w:rsidR="00713464">
        <w:t xml:space="preserve"> </w:t>
      </w:r>
      <w:r w:rsidR="00713464" w:rsidRPr="005D45AB">
        <w:t xml:space="preserve">equity, voice </w:t>
      </w:r>
      <w:r>
        <w:t xml:space="preserve">and </w:t>
      </w:r>
      <w:r w:rsidR="00713464" w:rsidRPr="005D45AB">
        <w:t>reducing violence against women</w:t>
      </w:r>
      <w:r>
        <w:t>)</w:t>
      </w:r>
      <w:r w:rsidR="00713464" w:rsidRPr="005D45AB">
        <w:t xml:space="preserve"> in the national health plans or </w:t>
      </w:r>
      <w:proofErr w:type="spellStart"/>
      <w:r w:rsidR="00713464" w:rsidRPr="005D45AB">
        <w:t>SWAp</w:t>
      </w:r>
      <w:proofErr w:type="spellEnd"/>
      <w:r w:rsidR="00713464" w:rsidRPr="005D45AB">
        <w:t xml:space="preserve"> arrangements of Bangladesh, Nepal and Cambodia, </w:t>
      </w:r>
      <w:r w:rsidR="00713464">
        <w:t xml:space="preserve">where </w:t>
      </w:r>
      <w:r w:rsidR="00713464" w:rsidRPr="005D45AB">
        <w:t xml:space="preserve">progress was reported regularly </w:t>
      </w:r>
      <w:r>
        <w:t>(</w:t>
      </w:r>
      <w:r w:rsidR="00713464" w:rsidRPr="005D45AB">
        <w:t>annually</w:t>
      </w:r>
      <w:r>
        <w:t>)</w:t>
      </w:r>
      <w:r w:rsidR="00713464" w:rsidRPr="005D45AB">
        <w:t xml:space="preserve"> as part of the M&amp;E arrangements, although some reporting was incomplete</w:t>
      </w:r>
      <w:r w:rsidR="000E1CFA">
        <w:t xml:space="preserve">. </w:t>
      </w:r>
    </w:p>
    <w:p w:rsidR="00BF1D7B" w:rsidRDefault="00BF1D7B" w:rsidP="00BF1D7B">
      <w:pPr>
        <w:pStyle w:val="Bullet"/>
      </w:pPr>
      <w:r>
        <w:t>S</w:t>
      </w:r>
      <w:r w:rsidR="00713464" w:rsidRPr="005D45AB">
        <w:t xml:space="preserve">ome gender focus in the implementation plan for the </w:t>
      </w:r>
      <w:r w:rsidR="00713464">
        <w:t xml:space="preserve">countries of the Pacific, </w:t>
      </w:r>
      <w:r>
        <w:t xml:space="preserve">but </w:t>
      </w:r>
      <w:r w:rsidR="00713464">
        <w:t xml:space="preserve">translated into specific activities or monitoring indicators </w:t>
      </w:r>
      <w:r>
        <w:t xml:space="preserve">only </w:t>
      </w:r>
      <w:r w:rsidR="00713464">
        <w:t xml:space="preserve">in </w:t>
      </w:r>
      <w:r w:rsidR="00FB7162">
        <w:t>Solomon Islands</w:t>
      </w:r>
      <w:r w:rsidR="000E1CFA">
        <w:t xml:space="preserve">. </w:t>
      </w:r>
      <w:r>
        <w:t>We found no r</w:t>
      </w:r>
      <w:r w:rsidR="00713464">
        <w:t xml:space="preserve">eporting on gender in annual reviews </w:t>
      </w:r>
      <w:r>
        <w:t>in these countries</w:t>
      </w:r>
      <w:r w:rsidR="00713464">
        <w:t xml:space="preserve">, reflecting perhaps the </w:t>
      </w:r>
      <w:r>
        <w:t xml:space="preserve">early stage of </w:t>
      </w:r>
      <w:proofErr w:type="spellStart"/>
      <w:r w:rsidR="00713464">
        <w:t>SWAp</w:t>
      </w:r>
      <w:proofErr w:type="spellEnd"/>
      <w:r w:rsidR="00713464">
        <w:t xml:space="preserve"> implementation. </w:t>
      </w:r>
    </w:p>
    <w:p w:rsidR="003D755B" w:rsidRDefault="00E1667A" w:rsidP="00E1667A">
      <w:pPr>
        <w:pStyle w:val="BulletLast"/>
      </w:pPr>
      <w:r>
        <w:t>R</w:t>
      </w:r>
      <w:r w:rsidR="00713464" w:rsidRPr="005D45AB">
        <w:t xml:space="preserve">eporting on progress with gender objectives </w:t>
      </w:r>
      <w:r w:rsidR="00713464" w:rsidRPr="00713464">
        <w:rPr>
          <w:i/>
        </w:rPr>
        <w:t>within the Australian aid program</w:t>
      </w:r>
      <w:r w:rsidR="00713464" w:rsidRPr="005D45AB">
        <w:t xml:space="preserve"> was found to be limited and uneven</w:t>
      </w:r>
      <w:r w:rsidR="000E1CFA">
        <w:t xml:space="preserve">. </w:t>
      </w:r>
    </w:p>
    <w:p w:rsidR="00713464" w:rsidRDefault="003D755B" w:rsidP="003D755B">
      <w:r w:rsidRPr="00074AD9">
        <w:t>A summary of findings is provided in</w:t>
      </w:r>
      <w:r w:rsidR="00CC776F" w:rsidRPr="00074AD9">
        <w:t xml:space="preserve"> Table </w:t>
      </w:r>
      <w:r w:rsidR="00276B44">
        <w:t>8</w:t>
      </w:r>
      <w:r w:rsidRPr="00074AD9">
        <w:t xml:space="preserve">. More detailed information is in </w:t>
      </w:r>
      <w:r w:rsidR="00074AD9" w:rsidRPr="00074AD9">
        <w:t>Appendix 3</w:t>
      </w:r>
      <w:r w:rsidRPr="00074AD9">
        <w:t>,</w:t>
      </w:r>
      <w:r w:rsidR="00C746D1" w:rsidRPr="00074AD9">
        <w:t xml:space="preserve"> </w:t>
      </w:r>
      <w:r w:rsidR="00713464" w:rsidRPr="00074AD9">
        <w:t>Table A13</w:t>
      </w:r>
      <w:r w:rsidRPr="00074AD9">
        <w:t>.</w:t>
      </w:r>
    </w:p>
    <w:p w:rsidR="004B6220" w:rsidRDefault="004B6220" w:rsidP="003D755B"/>
    <w:p w:rsidR="00174911" w:rsidRDefault="00E705EF" w:rsidP="00174911">
      <w:pPr>
        <w:pStyle w:val="TableName"/>
      </w:pPr>
      <w:bookmarkStart w:id="47" w:name="_Toc402192201"/>
      <w:r>
        <w:t xml:space="preserve">Table </w:t>
      </w:r>
      <w:r w:rsidR="00276B44">
        <w:t>8</w:t>
      </w:r>
      <w:r w:rsidR="00174911">
        <w:tab/>
        <w:t>Focus on gender in the six countries</w:t>
      </w:r>
      <w:bookmarkEnd w:id="47"/>
    </w:p>
    <w:tbl>
      <w:tblPr>
        <w:tblStyle w:val="TableGrid"/>
        <w:tblW w:w="5000" w:type="pct"/>
        <w:tblLook w:val="04A0" w:firstRow="1" w:lastRow="0" w:firstColumn="1" w:lastColumn="0" w:noHBand="0" w:noVBand="1"/>
      </w:tblPr>
      <w:tblGrid>
        <w:gridCol w:w="1076"/>
        <w:gridCol w:w="2885"/>
        <w:gridCol w:w="2680"/>
        <w:gridCol w:w="2601"/>
      </w:tblGrid>
      <w:tr w:rsidR="007D58EF" w:rsidRPr="006826FE" w:rsidTr="008E7949">
        <w:trPr>
          <w:cnfStyle w:val="100000000000" w:firstRow="1" w:lastRow="0" w:firstColumn="0" w:lastColumn="0" w:oddVBand="0" w:evenVBand="0" w:oddHBand="0" w:evenHBand="0" w:firstRowFirstColumn="0" w:firstRowLastColumn="0" w:lastRowFirstColumn="0" w:lastRowLastColumn="0"/>
          <w:trHeight w:val="612"/>
        </w:trPr>
        <w:tc>
          <w:tcPr>
            <w:tcW w:w="582" w:type="pct"/>
          </w:tcPr>
          <w:p w:rsidR="007D58EF" w:rsidRPr="006826FE" w:rsidRDefault="007D58EF" w:rsidP="004E4459">
            <w:pPr>
              <w:rPr>
                <w:rFonts w:ascii="Arial Narrow" w:hAnsi="Arial Narrow" w:cs="Arial"/>
                <w:sz w:val="18"/>
                <w:szCs w:val="18"/>
              </w:rPr>
            </w:pPr>
          </w:p>
        </w:tc>
        <w:tc>
          <w:tcPr>
            <w:tcW w:w="1561" w:type="pct"/>
          </w:tcPr>
          <w:p w:rsidR="007D58EF" w:rsidRPr="000F317C" w:rsidRDefault="003D755B" w:rsidP="00D91C06">
            <w:pPr>
              <w:rPr>
                <w:rFonts w:ascii="Arial" w:hAnsi="Arial" w:cs="Arial"/>
                <w:b/>
                <w:color w:val="FFFFFF" w:themeColor="background1"/>
                <w:sz w:val="18"/>
                <w:szCs w:val="18"/>
              </w:rPr>
            </w:pPr>
            <w:r w:rsidRPr="000F317C">
              <w:rPr>
                <w:rFonts w:ascii="Arial" w:hAnsi="Arial" w:cs="Arial"/>
                <w:b/>
                <w:color w:val="FFFFFF" w:themeColor="background1"/>
                <w:sz w:val="18"/>
                <w:szCs w:val="18"/>
              </w:rPr>
              <w:t>G</w:t>
            </w:r>
            <w:r w:rsidR="007D58EF" w:rsidRPr="000F317C">
              <w:rPr>
                <w:rFonts w:ascii="Arial" w:hAnsi="Arial" w:cs="Arial"/>
                <w:b/>
                <w:color w:val="FFFFFF" w:themeColor="background1"/>
                <w:sz w:val="18"/>
                <w:szCs w:val="18"/>
              </w:rPr>
              <w:t xml:space="preserve">ender focus in the </w:t>
            </w:r>
            <w:proofErr w:type="spellStart"/>
            <w:r w:rsidR="007D58EF" w:rsidRPr="000F317C">
              <w:rPr>
                <w:rFonts w:ascii="Arial" w:hAnsi="Arial" w:cs="Arial"/>
                <w:b/>
                <w:color w:val="FFFFFF" w:themeColor="background1"/>
                <w:sz w:val="18"/>
                <w:szCs w:val="18"/>
              </w:rPr>
              <w:t>SWAp</w:t>
            </w:r>
            <w:proofErr w:type="spellEnd"/>
            <w:r w:rsidR="007D58EF" w:rsidRPr="000F317C">
              <w:rPr>
                <w:rStyle w:val="FootnoteReference"/>
                <w:rFonts w:ascii="Arial" w:hAnsi="Arial" w:cs="Arial"/>
                <w:b/>
                <w:color w:val="FFFFFF" w:themeColor="background1"/>
                <w:sz w:val="18"/>
                <w:szCs w:val="18"/>
              </w:rPr>
              <w:footnoteReference w:id="62"/>
            </w:r>
            <w:r w:rsidR="007D58EF" w:rsidRPr="000F317C">
              <w:rPr>
                <w:rFonts w:ascii="Arial" w:hAnsi="Arial" w:cs="Arial"/>
                <w:b/>
                <w:color w:val="FFFFFF" w:themeColor="background1"/>
                <w:sz w:val="18"/>
                <w:szCs w:val="18"/>
              </w:rPr>
              <w:t> </w:t>
            </w:r>
          </w:p>
        </w:tc>
        <w:tc>
          <w:tcPr>
            <w:tcW w:w="1450" w:type="pct"/>
          </w:tcPr>
          <w:p w:rsidR="007D58EF" w:rsidRPr="000F317C" w:rsidRDefault="003D755B" w:rsidP="003D755B">
            <w:pPr>
              <w:rPr>
                <w:rFonts w:ascii="Arial" w:hAnsi="Arial" w:cs="Arial"/>
                <w:b/>
                <w:color w:val="FFFFFF" w:themeColor="background1"/>
                <w:sz w:val="18"/>
                <w:szCs w:val="18"/>
              </w:rPr>
            </w:pPr>
            <w:r w:rsidRPr="000F317C">
              <w:rPr>
                <w:rFonts w:ascii="Arial" w:hAnsi="Arial" w:cs="Arial"/>
                <w:b/>
                <w:color w:val="FFFFFF" w:themeColor="background1"/>
                <w:sz w:val="18"/>
                <w:szCs w:val="18"/>
              </w:rPr>
              <w:t>G</w:t>
            </w:r>
            <w:r w:rsidR="007D58EF" w:rsidRPr="000F317C">
              <w:rPr>
                <w:rFonts w:ascii="Arial" w:hAnsi="Arial" w:cs="Arial"/>
                <w:b/>
                <w:color w:val="FFFFFF" w:themeColor="background1"/>
                <w:sz w:val="18"/>
                <w:szCs w:val="18"/>
              </w:rPr>
              <w:t>ender report</w:t>
            </w:r>
            <w:r w:rsidRPr="000F317C">
              <w:rPr>
                <w:rFonts w:ascii="Arial" w:hAnsi="Arial" w:cs="Arial"/>
                <w:b/>
                <w:color w:val="FFFFFF" w:themeColor="background1"/>
                <w:sz w:val="18"/>
                <w:szCs w:val="18"/>
              </w:rPr>
              <w:t xml:space="preserve">ing in </w:t>
            </w:r>
            <w:proofErr w:type="spellStart"/>
            <w:r w:rsidR="007D58EF" w:rsidRPr="000F317C">
              <w:rPr>
                <w:rFonts w:ascii="Arial" w:hAnsi="Arial" w:cs="Arial"/>
                <w:b/>
                <w:color w:val="FFFFFF" w:themeColor="background1"/>
                <w:sz w:val="18"/>
                <w:szCs w:val="18"/>
              </w:rPr>
              <w:t>SWAp</w:t>
            </w:r>
            <w:proofErr w:type="spellEnd"/>
            <w:r w:rsidRPr="000F317C">
              <w:rPr>
                <w:rFonts w:ascii="Arial" w:hAnsi="Arial" w:cs="Arial"/>
                <w:b/>
                <w:color w:val="FFFFFF" w:themeColor="background1"/>
                <w:sz w:val="18"/>
                <w:szCs w:val="18"/>
              </w:rPr>
              <w:t xml:space="preserve"> processes</w:t>
            </w:r>
            <w:r w:rsidR="007D58EF" w:rsidRPr="000F317C">
              <w:rPr>
                <w:rStyle w:val="FootnoteReference"/>
                <w:rFonts w:ascii="Arial" w:hAnsi="Arial" w:cs="Arial"/>
                <w:b/>
                <w:color w:val="FFFFFF" w:themeColor="background1"/>
                <w:sz w:val="18"/>
                <w:szCs w:val="18"/>
              </w:rPr>
              <w:footnoteReference w:id="63"/>
            </w:r>
            <w:r w:rsidR="007D58EF" w:rsidRPr="000F317C">
              <w:rPr>
                <w:rFonts w:ascii="Arial" w:hAnsi="Arial" w:cs="Arial"/>
                <w:b/>
                <w:color w:val="FFFFFF" w:themeColor="background1"/>
                <w:sz w:val="18"/>
                <w:szCs w:val="18"/>
              </w:rPr>
              <w:t> </w:t>
            </w:r>
          </w:p>
        </w:tc>
        <w:tc>
          <w:tcPr>
            <w:tcW w:w="1407" w:type="pct"/>
          </w:tcPr>
          <w:p w:rsidR="007D58EF" w:rsidRPr="000F317C" w:rsidRDefault="003D755B" w:rsidP="003D755B">
            <w:pPr>
              <w:rPr>
                <w:rFonts w:ascii="Arial" w:hAnsi="Arial" w:cs="Arial"/>
                <w:b/>
                <w:color w:val="FFFFFF" w:themeColor="background1"/>
                <w:sz w:val="18"/>
                <w:szCs w:val="18"/>
              </w:rPr>
            </w:pPr>
            <w:r w:rsidRPr="000F317C">
              <w:rPr>
                <w:rFonts w:ascii="Arial" w:hAnsi="Arial" w:cs="Arial"/>
                <w:b/>
                <w:color w:val="FFFFFF" w:themeColor="background1"/>
                <w:sz w:val="18"/>
                <w:szCs w:val="18"/>
              </w:rPr>
              <w:t>G</w:t>
            </w:r>
            <w:r w:rsidR="007D58EF" w:rsidRPr="000F317C">
              <w:rPr>
                <w:rFonts w:ascii="Arial" w:hAnsi="Arial" w:cs="Arial"/>
                <w:b/>
                <w:color w:val="FFFFFF" w:themeColor="background1"/>
                <w:sz w:val="18"/>
                <w:szCs w:val="18"/>
              </w:rPr>
              <w:t>ender report</w:t>
            </w:r>
            <w:r w:rsidRPr="000F317C">
              <w:rPr>
                <w:rFonts w:ascii="Arial" w:hAnsi="Arial" w:cs="Arial"/>
                <w:b/>
                <w:color w:val="FFFFFF" w:themeColor="background1"/>
                <w:sz w:val="18"/>
                <w:szCs w:val="18"/>
              </w:rPr>
              <w:t xml:space="preserve">ing by </w:t>
            </w:r>
            <w:r w:rsidR="00174911" w:rsidRPr="000F317C">
              <w:rPr>
                <w:rFonts w:ascii="Arial" w:hAnsi="Arial" w:cs="Arial"/>
                <w:b/>
                <w:color w:val="FFFFFF" w:themeColor="background1"/>
                <w:sz w:val="18"/>
                <w:szCs w:val="18"/>
              </w:rPr>
              <w:t>the Au</w:t>
            </w:r>
            <w:r w:rsidRPr="000F317C">
              <w:rPr>
                <w:rFonts w:ascii="Arial" w:hAnsi="Arial" w:cs="Arial"/>
                <w:b/>
                <w:color w:val="FFFFFF" w:themeColor="background1"/>
                <w:sz w:val="18"/>
                <w:szCs w:val="18"/>
              </w:rPr>
              <w:t>s</w:t>
            </w:r>
            <w:r w:rsidR="00174911" w:rsidRPr="000F317C">
              <w:rPr>
                <w:rFonts w:ascii="Arial" w:hAnsi="Arial" w:cs="Arial"/>
                <w:b/>
                <w:color w:val="FFFFFF" w:themeColor="background1"/>
                <w:sz w:val="18"/>
                <w:szCs w:val="18"/>
              </w:rPr>
              <w:t>tralian aid program</w:t>
            </w:r>
            <w:r w:rsidR="007D58EF" w:rsidRPr="000F317C">
              <w:rPr>
                <w:rStyle w:val="FootnoteReference"/>
                <w:rFonts w:ascii="Arial" w:hAnsi="Arial" w:cs="Arial"/>
                <w:b/>
                <w:color w:val="FFFFFF" w:themeColor="background1"/>
                <w:sz w:val="18"/>
                <w:szCs w:val="18"/>
              </w:rPr>
              <w:footnoteReference w:id="64"/>
            </w:r>
          </w:p>
        </w:tc>
      </w:tr>
      <w:tr w:rsidR="007D58EF" w:rsidRPr="006826FE" w:rsidTr="008E7949">
        <w:trPr>
          <w:trHeight w:val="1037"/>
        </w:trPr>
        <w:tc>
          <w:tcPr>
            <w:tcW w:w="582" w:type="pct"/>
          </w:tcPr>
          <w:p w:rsidR="007D58EF" w:rsidRPr="0084428F" w:rsidRDefault="007D58EF" w:rsidP="000F317C">
            <w:pPr>
              <w:spacing w:line="264" w:lineRule="auto"/>
              <w:rPr>
                <w:color w:val="000000" w:themeColor="text1"/>
                <w:sz w:val="17"/>
                <w:szCs w:val="21"/>
              </w:rPr>
            </w:pPr>
            <w:r w:rsidRPr="0084428F">
              <w:rPr>
                <w:color w:val="000000" w:themeColor="text1"/>
                <w:sz w:val="17"/>
                <w:szCs w:val="21"/>
              </w:rPr>
              <w:t>Bangladesh</w:t>
            </w:r>
          </w:p>
        </w:tc>
        <w:tc>
          <w:tcPr>
            <w:tcW w:w="1561" w:type="pct"/>
          </w:tcPr>
          <w:p w:rsidR="007D58EF" w:rsidRPr="0084428F" w:rsidRDefault="003D755B" w:rsidP="000F317C">
            <w:pPr>
              <w:spacing w:line="264" w:lineRule="auto"/>
              <w:rPr>
                <w:color w:val="000000" w:themeColor="text1"/>
                <w:sz w:val="17"/>
                <w:szCs w:val="21"/>
              </w:rPr>
            </w:pPr>
            <w:r w:rsidRPr="0084428F">
              <w:rPr>
                <w:color w:val="000000" w:themeColor="text1"/>
                <w:sz w:val="17"/>
                <w:szCs w:val="21"/>
              </w:rPr>
              <w:t>C</w:t>
            </w:r>
            <w:r w:rsidR="007D58EF" w:rsidRPr="0084428F">
              <w:rPr>
                <w:color w:val="000000" w:themeColor="text1"/>
                <w:sz w:val="17"/>
                <w:szCs w:val="21"/>
              </w:rPr>
              <w:t xml:space="preserve">lear gender focus in </w:t>
            </w:r>
            <w:proofErr w:type="spellStart"/>
            <w:r w:rsidRPr="0084428F">
              <w:rPr>
                <w:color w:val="000000" w:themeColor="text1"/>
                <w:sz w:val="17"/>
                <w:szCs w:val="21"/>
              </w:rPr>
              <w:t>SWAp</w:t>
            </w:r>
            <w:proofErr w:type="spellEnd"/>
            <w:r w:rsidR="007D58EF" w:rsidRPr="0084428F">
              <w:rPr>
                <w:color w:val="000000" w:themeColor="text1"/>
                <w:sz w:val="17"/>
                <w:szCs w:val="21"/>
              </w:rPr>
              <w:t xml:space="preserve"> documents</w:t>
            </w:r>
            <w:r w:rsidRPr="0084428F">
              <w:rPr>
                <w:color w:val="000000" w:themeColor="text1"/>
                <w:sz w:val="17"/>
                <w:szCs w:val="21"/>
              </w:rPr>
              <w:t>,</w:t>
            </w:r>
            <w:r w:rsidR="007D58EF" w:rsidRPr="0084428F">
              <w:rPr>
                <w:color w:val="000000" w:themeColor="text1"/>
                <w:sz w:val="17"/>
                <w:szCs w:val="21"/>
              </w:rPr>
              <w:t xml:space="preserve"> </w:t>
            </w:r>
            <w:r w:rsidR="00031EF5" w:rsidRPr="0084428F">
              <w:rPr>
                <w:color w:val="000000" w:themeColor="text1"/>
                <w:sz w:val="17"/>
                <w:szCs w:val="21"/>
              </w:rPr>
              <w:t xml:space="preserve">and </w:t>
            </w:r>
            <w:r w:rsidR="007D58EF" w:rsidRPr="0084428F">
              <w:rPr>
                <w:color w:val="000000" w:themeColor="text1"/>
                <w:sz w:val="17"/>
                <w:szCs w:val="21"/>
              </w:rPr>
              <w:t>reflected in</w:t>
            </w:r>
            <w:r w:rsidR="00031EF5" w:rsidRPr="0084428F">
              <w:rPr>
                <w:color w:val="000000" w:themeColor="text1"/>
                <w:sz w:val="17"/>
                <w:szCs w:val="21"/>
              </w:rPr>
              <w:t xml:space="preserve"> its </w:t>
            </w:r>
            <w:r w:rsidR="007D58EF" w:rsidRPr="0084428F">
              <w:rPr>
                <w:color w:val="000000" w:themeColor="text1"/>
                <w:sz w:val="17"/>
                <w:szCs w:val="21"/>
              </w:rPr>
              <w:t xml:space="preserve">objectives, strategies and indicators. </w:t>
            </w:r>
            <w:r w:rsidRPr="0084428F">
              <w:rPr>
                <w:color w:val="000000" w:themeColor="text1"/>
                <w:sz w:val="17"/>
                <w:szCs w:val="21"/>
              </w:rPr>
              <w:t xml:space="preserve">Covered </w:t>
            </w:r>
            <w:r w:rsidR="007D58EF" w:rsidRPr="0084428F">
              <w:rPr>
                <w:color w:val="000000" w:themeColor="text1"/>
                <w:sz w:val="17"/>
                <w:szCs w:val="21"/>
              </w:rPr>
              <w:t>under theme: Gender, Equity and Voice.</w:t>
            </w:r>
          </w:p>
        </w:tc>
        <w:tc>
          <w:tcPr>
            <w:tcW w:w="1450" w:type="pct"/>
          </w:tcPr>
          <w:p w:rsidR="007D58EF" w:rsidRPr="0084428F" w:rsidRDefault="007D58EF" w:rsidP="00883739">
            <w:pPr>
              <w:spacing w:line="264" w:lineRule="auto"/>
              <w:rPr>
                <w:color w:val="000000" w:themeColor="text1"/>
                <w:sz w:val="17"/>
                <w:szCs w:val="21"/>
              </w:rPr>
            </w:pPr>
            <w:r w:rsidRPr="0084428F">
              <w:rPr>
                <w:color w:val="000000" w:themeColor="text1"/>
                <w:sz w:val="17"/>
                <w:szCs w:val="21"/>
              </w:rPr>
              <w:t>Progress reported in the 2013 A</w:t>
            </w:r>
            <w:r w:rsidR="003D755B" w:rsidRPr="0084428F">
              <w:rPr>
                <w:color w:val="000000" w:themeColor="text1"/>
                <w:sz w:val="17"/>
                <w:szCs w:val="21"/>
              </w:rPr>
              <w:t xml:space="preserve">nnual </w:t>
            </w:r>
            <w:r w:rsidRPr="0084428F">
              <w:rPr>
                <w:color w:val="000000" w:themeColor="text1"/>
                <w:sz w:val="17"/>
                <w:szCs w:val="21"/>
              </w:rPr>
              <w:t>P</w:t>
            </w:r>
            <w:r w:rsidR="003D755B" w:rsidRPr="0084428F">
              <w:rPr>
                <w:color w:val="000000" w:themeColor="text1"/>
                <w:sz w:val="17"/>
                <w:szCs w:val="21"/>
              </w:rPr>
              <w:t xml:space="preserve">erformance </w:t>
            </w:r>
            <w:r w:rsidRPr="0084428F">
              <w:rPr>
                <w:color w:val="000000" w:themeColor="text1"/>
                <w:sz w:val="17"/>
                <w:szCs w:val="21"/>
              </w:rPr>
              <w:t>R</w:t>
            </w:r>
            <w:r w:rsidR="003D755B" w:rsidRPr="0084428F">
              <w:rPr>
                <w:color w:val="000000" w:themeColor="text1"/>
                <w:sz w:val="17"/>
                <w:szCs w:val="21"/>
              </w:rPr>
              <w:t>eview (APR</w:t>
            </w:r>
            <w:r w:rsidR="00782D36">
              <w:rPr>
                <w:color w:val="000000" w:themeColor="text1"/>
                <w:sz w:val="17"/>
                <w:szCs w:val="21"/>
              </w:rPr>
              <w:t>)</w:t>
            </w:r>
            <w:r w:rsidR="000E1CFA" w:rsidRPr="0084428F">
              <w:rPr>
                <w:color w:val="000000" w:themeColor="text1"/>
                <w:sz w:val="17"/>
                <w:szCs w:val="21"/>
              </w:rPr>
              <w:t xml:space="preserve">. </w:t>
            </w:r>
            <w:r w:rsidRPr="0084428F">
              <w:rPr>
                <w:color w:val="000000" w:themeColor="text1"/>
                <w:sz w:val="17"/>
                <w:szCs w:val="21"/>
              </w:rPr>
              <w:t xml:space="preserve">Progress </w:t>
            </w:r>
            <w:r w:rsidR="003D755B" w:rsidRPr="0084428F">
              <w:rPr>
                <w:color w:val="000000" w:themeColor="text1"/>
                <w:sz w:val="17"/>
                <w:szCs w:val="21"/>
              </w:rPr>
              <w:t>i</w:t>
            </w:r>
            <w:r w:rsidRPr="0084428F">
              <w:rPr>
                <w:color w:val="000000" w:themeColor="text1"/>
                <w:sz w:val="17"/>
                <w:szCs w:val="21"/>
              </w:rPr>
              <w:t xml:space="preserve">s mixed (but this is the first APR of the new </w:t>
            </w:r>
            <w:r w:rsidR="00B67242">
              <w:rPr>
                <w:color w:val="000000" w:themeColor="text1"/>
                <w:sz w:val="17"/>
                <w:szCs w:val="21"/>
              </w:rPr>
              <w:t>program</w:t>
            </w:r>
            <w:r w:rsidRPr="0084428F">
              <w:rPr>
                <w:color w:val="000000" w:themeColor="text1"/>
                <w:sz w:val="17"/>
                <w:szCs w:val="21"/>
              </w:rPr>
              <w:t>).</w:t>
            </w:r>
          </w:p>
        </w:tc>
        <w:tc>
          <w:tcPr>
            <w:tcW w:w="1407" w:type="pct"/>
          </w:tcPr>
          <w:p w:rsidR="007D58EF" w:rsidRPr="0084428F" w:rsidRDefault="003D755B" w:rsidP="000F317C">
            <w:pPr>
              <w:spacing w:line="264" w:lineRule="auto"/>
              <w:rPr>
                <w:color w:val="000000" w:themeColor="text1"/>
                <w:sz w:val="17"/>
                <w:szCs w:val="21"/>
              </w:rPr>
            </w:pPr>
            <w:r w:rsidRPr="0084428F">
              <w:rPr>
                <w:color w:val="000000" w:themeColor="text1"/>
                <w:sz w:val="17"/>
                <w:szCs w:val="21"/>
              </w:rPr>
              <w:t>N</w:t>
            </w:r>
            <w:r w:rsidR="007D58EF" w:rsidRPr="0084428F">
              <w:rPr>
                <w:color w:val="000000" w:themeColor="text1"/>
                <w:sz w:val="17"/>
                <w:szCs w:val="21"/>
              </w:rPr>
              <w:t xml:space="preserve">o mention of gender </w:t>
            </w:r>
            <w:proofErr w:type="gramStart"/>
            <w:r w:rsidR="007D58EF" w:rsidRPr="0084428F">
              <w:rPr>
                <w:color w:val="000000" w:themeColor="text1"/>
                <w:sz w:val="17"/>
                <w:szCs w:val="21"/>
              </w:rPr>
              <w:t xml:space="preserve">in 2012-13 </w:t>
            </w:r>
            <w:r w:rsidRPr="0084428F">
              <w:rPr>
                <w:color w:val="000000" w:themeColor="text1"/>
                <w:sz w:val="17"/>
                <w:szCs w:val="21"/>
              </w:rPr>
              <w:t xml:space="preserve">Annual Progress </w:t>
            </w:r>
            <w:r w:rsidR="007D58EF" w:rsidRPr="0084428F">
              <w:rPr>
                <w:color w:val="000000" w:themeColor="text1"/>
                <w:sz w:val="17"/>
                <w:szCs w:val="21"/>
              </w:rPr>
              <w:t>P</w:t>
            </w:r>
            <w:r w:rsidRPr="0084428F">
              <w:rPr>
                <w:color w:val="000000" w:themeColor="text1"/>
                <w:sz w:val="17"/>
                <w:szCs w:val="21"/>
              </w:rPr>
              <w:t xml:space="preserve">erformance </w:t>
            </w:r>
            <w:r w:rsidR="007D58EF" w:rsidRPr="0084428F">
              <w:rPr>
                <w:color w:val="000000" w:themeColor="text1"/>
                <w:sz w:val="17"/>
                <w:szCs w:val="21"/>
              </w:rPr>
              <w:t>R</w:t>
            </w:r>
            <w:r w:rsidRPr="0084428F">
              <w:rPr>
                <w:color w:val="000000" w:themeColor="text1"/>
                <w:sz w:val="17"/>
                <w:szCs w:val="21"/>
              </w:rPr>
              <w:t>eport (APPR)</w:t>
            </w:r>
            <w:r w:rsidR="007D58EF" w:rsidRPr="0084428F">
              <w:rPr>
                <w:color w:val="000000" w:themeColor="text1"/>
                <w:sz w:val="17"/>
                <w:szCs w:val="21"/>
              </w:rPr>
              <w:t xml:space="preserve">, the only </w:t>
            </w:r>
            <w:r w:rsidR="0094197E" w:rsidRPr="0084428F">
              <w:rPr>
                <w:color w:val="000000" w:themeColor="text1"/>
                <w:sz w:val="17"/>
                <w:szCs w:val="21"/>
              </w:rPr>
              <w:t xml:space="preserve">one covering </w:t>
            </w:r>
            <w:r w:rsidR="007D58EF" w:rsidRPr="0084428F">
              <w:rPr>
                <w:color w:val="000000" w:themeColor="text1"/>
                <w:sz w:val="17"/>
                <w:szCs w:val="21"/>
              </w:rPr>
              <w:t xml:space="preserve">the </w:t>
            </w:r>
            <w:proofErr w:type="spellStart"/>
            <w:r w:rsidRPr="0084428F">
              <w:rPr>
                <w:color w:val="000000" w:themeColor="text1"/>
                <w:sz w:val="17"/>
                <w:szCs w:val="21"/>
              </w:rPr>
              <w:t>SWAp</w:t>
            </w:r>
            <w:proofErr w:type="spellEnd"/>
            <w:r w:rsidRPr="0084428F">
              <w:rPr>
                <w:color w:val="000000" w:themeColor="text1"/>
                <w:sz w:val="17"/>
                <w:szCs w:val="21"/>
              </w:rPr>
              <w:t xml:space="preserve"> under review</w:t>
            </w:r>
            <w:proofErr w:type="gramEnd"/>
            <w:r w:rsidRPr="0084428F">
              <w:rPr>
                <w:color w:val="000000" w:themeColor="text1"/>
                <w:sz w:val="17"/>
                <w:szCs w:val="21"/>
              </w:rPr>
              <w:t>.</w:t>
            </w:r>
          </w:p>
        </w:tc>
      </w:tr>
      <w:tr w:rsidR="007D58EF" w:rsidRPr="006826FE" w:rsidTr="008E7949">
        <w:trPr>
          <w:trHeight w:val="1479"/>
        </w:trPr>
        <w:tc>
          <w:tcPr>
            <w:tcW w:w="582" w:type="pct"/>
          </w:tcPr>
          <w:p w:rsidR="007D58EF" w:rsidRPr="0084428F" w:rsidRDefault="007D58EF" w:rsidP="000F317C">
            <w:pPr>
              <w:spacing w:line="264" w:lineRule="auto"/>
              <w:rPr>
                <w:color w:val="000000" w:themeColor="text1"/>
                <w:sz w:val="17"/>
                <w:szCs w:val="21"/>
              </w:rPr>
            </w:pPr>
            <w:r w:rsidRPr="0084428F">
              <w:rPr>
                <w:color w:val="000000" w:themeColor="text1"/>
                <w:sz w:val="17"/>
                <w:szCs w:val="21"/>
              </w:rPr>
              <w:t>Cambodia</w:t>
            </w:r>
          </w:p>
        </w:tc>
        <w:tc>
          <w:tcPr>
            <w:tcW w:w="1561" w:type="pct"/>
          </w:tcPr>
          <w:p w:rsidR="007D58EF" w:rsidRPr="0084428F" w:rsidRDefault="007D58EF" w:rsidP="000F317C">
            <w:pPr>
              <w:spacing w:line="264" w:lineRule="auto"/>
              <w:rPr>
                <w:color w:val="000000" w:themeColor="text1"/>
                <w:sz w:val="17"/>
                <w:szCs w:val="21"/>
              </w:rPr>
            </w:pPr>
            <w:r w:rsidRPr="0084428F">
              <w:rPr>
                <w:color w:val="000000" w:themeColor="text1"/>
                <w:sz w:val="17"/>
                <w:szCs w:val="21"/>
              </w:rPr>
              <w:t>Gender mainstreaming is a core strategy</w:t>
            </w:r>
            <w:r w:rsidR="003D755B" w:rsidRPr="0084428F">
              <w:rPr>
                <w:color w:val="000000" w:themeColor="text1"/>
                <w:sz w:val="17"/>
                <w:szCs w:val="21"/>
              </w:rPr>
              <w:t>;</w:t>
            </w:r>
            <w:r w:rsidRPr="0084428F">
              <w:rPr>
                <w:color w:val="000000" w:themeColor="text1"/>
                <w:sz w:val="17"/>
                <w:szCs w:val="21"/>
              </w:rPr>
              <w:t xml:space="preserve"> </w:t>
            </w:r>
            <w:r w:rsidR="003D755B" w:rsidRPr="0084428F">
              <w:rPr>
                <w:color w:val="000000" w:themeColor="text1"/>
                <w:sz w:val="17"/>
                <w:szCs w:val="21"/>
              </w:rPr>
              <w:t>o</w:t>
            </w:r>
            <w:r w:rsidRPr="0084428F">
              <w:rPr>
                <w:color w:val="000000" w:themeColor="text1"/>
                <w:sz w:val="17"/>
                <w:szCs w:val="21"/>
              </w:rPr>
              <w:t>bjectives and indicators are clearly defined.</w:t>
            </w:r>
          </w:p>
        </w:tc>
        <w:tc>
          <w:tcPr>
            <w:tcW w:w="1450" w:type="pct"/>
          </w:tcPr>
          <w:p w:rsidR="007D58EF" w:rsidRPr="0084428F" w:rsidRDefault="007D58EF" w:rsidP="00836E0E">
            <w:pPr>
              <w:spacing w:line="264" w:lineRule="auto"/>
              <w:rPr>
                <w:color w:val="000000" w:themeColor="text1"/>
                <w:sz w:val="17"/>
                <w:szCs w:val="21"/>
              </w:rPr>
            </w:pPr>
            <w:r w:rsidRPr="0084428F">
              <w:rPr>
                <w:color w:val="000000" w:themeColor="text1"/>
                <w:sz w:val="17"/>
                <w:szCs w:val="21"/>
              </w:rPr>
              <w:t xml:space="preserve">Progress is included in the </w:t>
            </w:r>
            <w:r w:rsidR="003D755B" w:rsidRPr="0084428F">
              <w:rPr>
                <w:color w:val="000000" w:themeColor="text1"/>
                <w:sz w:val="17"/>
                <w:szCs w:val="21"/>
              </w:rPr>
              <w:t xml:space="preserve">2011 </w:t>
            </w:r>
            <w:r w:rsidR="00836E0E">
              <w:rPr>
                <w:color w:val="000000" w:themeColor="text1"/>
                <w:sz w:val="17"/>
                <w:szCs w:val="21"/>
              </w:rPr>
              <w:t>MTR</w:t>
            </w:r>
            <w:r w:rsidRPr="0084428F">
              <w:rPr>
                <w:color w:val="000000" w:themeColor="text1"/>
                <w:sz w:val="17"/>
                <w:szCs w:val="21"/>
              </w:rPr>
              <w:t>. Progress is mixed</w:t>
            </w:r>
            <w:r w:rsidR="003D755B" w:rsidRPr="0084428F">
              <w:rPr>
                <w:color w:val="000000" w:themeColor="text1"/>
                <w:sz w:val="17"/>
                <w:szCs w:val="21"/>
              </w:rPr>
              <w:t>.</w:t>
            </w:r>
            <w:r w:rsidRPr="0084428F">
              <w:rPr>
                <w:color w:val="000000" w:themeColor="text1"/>
                <w:sz w:val="17"/>
                <w:szCs w:val="21"/>
              </w:rPr>
              <w:t xml:space="preserve"> Aus</w:t>
            </w:r>
            <w:r w:rsidR="003D755B" w:rsidRPr="0084428F">
              <w:rPr>
                <w:color w:val="000000" w:themeColor="text1"/>
                <w:sz w:val="17"/>
                <w:szCs w:val="21"/>
              </w:rPr>
              <w:t xml:space="preserve">tralian aid program has </w:t>
            </w:r>
            <w:r w:rsidRPr="0084428F">
              <w:rPr>
                <w:color w:val="000000" w:themeColor="text1"/>
                <w:sz w:val="17"/>
                <w:szCs w:val="21"/>
              </w:rPr>
              <w:t xml:space="preserve">commissioned </w:t>
            </w:r>
            <w:r w:rsidR="00031EF5" w:rsidRPr="0084428F">
              <w:rPr>
                <w:color w:val="000000" w:themeColor="text1"/>
                <w:sz w:val="17"/>
                <w:szCs w:val="21"/>
              </w:rPr>
              <w:t xml:space="preserve">an </w:t>
            </w:r>
            <w:r w:rsidRPr="0084428F">
              <w:rPr>
                <w:color w:val="000000" w:themeColor="text1"/>
                <w:sz w:val="17"/>
                <w:szCs w:val="21"/>
              </w:rPr>
              <w:t xml:space="preserve">assessment of gender in health </w:t>
            </w:r>
            <w:r w:rsidR="00031EF5" w:rsidRPr="0084428F">
              <w:rPr>
                <w:color w:val="000000" w:themeColor="text1"/>
                <w:sz w:val="17"/>
                <w:szCs w:val="21"/>
              </w:rPr>
              <w:t>(a first for the country).</w:t>
            </w:r>
            <w:r w:rsidR="00CC776F" w:rsidRPr="000F317C">
              <w:rPr>
                <w:color w:val="000000" w:themeColor="text1"/>
                <w:sz w:val="17"/>
                <w:szCs w:val="21"/>
                <w:vertAlign w:val="superscript"/>
              </w:rPr>
              <w:footnoteReference w:id="65"/>
            </w:r>
            <w:r w:rsidR="000E1CFA" w:rsidRPr="000F317C">
              <w:rPr>
                <w:color w:val="000000" w:themeColor="text1"/>
                <w:sz w:val="17"/>
                <w:szCs w:val="21"/>
                <w:vertAlign w:val="superscript"/>
              </w:rPr>
              <w:t xml:space="preserve"> </w:t>
            </w:r>
          </w:p>
        </w:tc>
        <w:tc>
          <w:tcPr>
            <w:tcW w:w="1407" w:type="pct"/>
          </w:tcPr>
          <w:p w:rsidR="007D58EF" w:rsidRPr="0084428F" w:rsidRDefault="000F317C" w:rsidP="000F317C">
            <w:pPr>
              <w:spacing w:line="264" w:lineRule="auto"/>
              <w:rPr>
                <w:color w:val="000000" w:themeColor="text1"/>
                <w:sz w:val="17"/>
                <w:szCs w:val="21"/>
              </w:rPr>
            </w:pPr>
            <w:r>
              <w:rPr>
                <w:color w:val="000000" w:themeColor="text1"/>
                <w:sz w:val="17"/>
                <w:szCs w:val="21"/>
              </w:rPr>
              <w:t xml:space="preserve">No specific references to gender in </w:t>
            </w:r>
            <w:r w:rsidR="007D58EF" w:rsidRPr="0084428F">
              <w:rPr>
                <w:color w:val="000000" w:themeColor="text1"/>
                <w:sz w:val="17"/>
                <w:szCs w:val="21"/>
              </w:rPr>
              <w:t>APPR 2012−13</w:t>
            </w:r>
            <w:r w:rsidR="000E1CFA" w:rsidRPr="0084428F">
              <w:rPr>
                <w:color w:val="000000" w:themeColor="text1"/>
                <w:sz w:val="17"/>
                <w:szCs w:val="21"/>
              </w:rPr>
              <w:t xml:space="preserve">. </w:t>
            </w:r>
            <w:r w:rsidR="003D755B" w:rsidRPr="0084428F">
              <w:rPr>
                <w:color w:val="000000" w:themeColor="text1"/>
                <w:sz w:val="17"/>
                <w:szCs w:val="21"/>
              </w:rPr>
              <w:t>However the</w:t>
            </w:r>
            <w:r w:rsidR="007D58EF" w:rsidRPr="0084428F">
              <w:rPr>
                <w:color w:val="000000" w:themeColor="text1"/>
                <w:sz w:val="17"/>
                <w:szCs w:val="21"/>
              </w:rPr>
              <w:t xml:space="preserve"> commissioned study on gender in </w:t>
            </w:r>
            <w:proofErr w:type="gramStart"/>
            <w:r w:rsidR="007D58EF" w:rsidRPr="0084428F">
              <w:rPr>
                <w:color w:val="000000" w:themeColor="text1"/>
                <w:sz w:val="17"/>
                <w:szCs w:val="21"/>
              </w:rPr>
              <w:t>health,</w:t>
            </w:r>
            <w:proofErr w:type="gramEnd"/>
            <w:r w:rsidR="007D58EF" w:rsidRPr="0084428F">
              <w:rPr>
                <w:color w:val="000000" w:themeColor="text1"/>
                <w:sz w:val="17"/>
                <w:szCs w:val="21"/>
              </w:rPr>
              <w:t xml:space="preserve"> indicat</w:t>
            </w:r>
            <w:r w:rsidR="0094197E" w:rsidRPr="0084428F">
              <w:rPr>
                <w:color w:val="000000" w:themeColor="text1"/>
                <w:sz w:val="17"/>
                <w:szCs w:val="21"/>
              </w:rPr>
              <w:t xml:space="preserve">es </w:t>
            </w:r>
            <w:r w:rsidR="007D58EF" w:rsidRPr="0084428F">
              <w:rPr>
                <w:color w:val="000000" w:themeColor="text1"/>
                <w:sz w:val="17"/>
                <w:szCs w:val="21"/>
              </w:rPr>
              <w:t xml:space="preserve">the program </w:t>
            </w:r>
            <w:r w:rsidR="0094197E" w:rsidRPr="0084428F">
              <w:rPr>
                <w:color w:val="000000" w:themeColor="text1"/>
                <w:sz w:val="17"/>
                <w:szCs w:val="21"/>
              </w:rPr>
              <w:t xml:space="preserve">had a gender focus </w:t>
            </w:r>
            <w:r w:rsidR="007D58EF" w:rsidRPr="0084428F">
              <w:rPr>
                <w:color w:val="000000" w:themeColor="text1"/>
                <w:sz w:val="17"/>
                <w:szCs w:val="21"/>
              </w:rPr>
              <w:t xml:space="preserve">even </w:t>
            </w:r>
            <w:r w:rsidR="0094197E" w:rsidRPr="0084428F">
              <w:rPr>
                <w:color w:val="000000" w:themeColor="text1"/>
                <w:sz w:val="17"/>
                <w:szCs w:val="21"/>
              </w:rPr>
              <w:t xml:space="preserve">if </w:t>
            </w:r>
            <w:r w:rsidR="007D58EF" w:rsidRPr="0084428F">
              <w:rPr>
                <w:color w:val="000000" w:themeColor="text1"/>
                <w:sz w:val="17"/>
                <w:szCs w:val="21"/>
              </w:rPr>
              <w:t>not reported.</w:t>
            </w:r>
          </w:p>
        </w:tc>
      </w:tr>
      <w:tr w:rsidR="007D58EF" w:rsidRPr="006826FE" w:rsidTr="008E7949">
        <w:trPr>
          <w:trHeight w:val="749"/>
        </w:trPr>
        <w:tc>
          <w:tcPr>
            <w:tcW w:w="582" w:type="pct"/>
          </w:tcPr>
          <w:p w:rsidR="007D58EF" w:rsidRPr="0084428F" w:rsidRDefault="007D58EF" w:rsidP="000F317C">
            <w:pPr>
              <w:spacing w:line="264" w:lineRule="auto"/>
              <w:rPr>
                <w:color w:val="000000" w:themeColor="text1"/>
                <w:sz w:val="17"/>
                <w:szCs w:val="21"/>
              </w:rPr>
            </w:pPr>
            <w:r w:rsidRPr="0084428F">
              <w:rPr>
                <w:color w:val="000000" w:themeColor="text1"/>
                <w:sz w:val="17"/>
                <w:szCs w:val="21"/>
              </w:rPr>
              <w:t>Nepal</w:t>
            </w:r>
          </w:p>
        </w:tc>
        <w:tc>
          <w:tcPr>
            <w:tcW w:w="1561" w:type="pct"/>
          </w:tcPr>
          <w:p w:rsidR="007D58EF" w:rsidRPr="0084428F" w:rsidRDefault="007D58EF" w:rsidP="000F317C">
            <w:pPr>
              <w:spacing w:line="264" w:lineRule="auto"/>
              <w:rPr>
                <w:color w:val="000000" w:themeColor="text1"/>
                <w:sz w:val="17"/>
                <w:szCs w:val="21"/>
              </w:rPr>
            </w:pPr>
            <w:r w:rsidRPr="0084428F">
              <w:rPr>
                <w:color w:val="000000" w:themeColor="text1"/>
                <w:sz w:val="17"/>
                <w:szCs w:val="21"/>
              </w:rPr>
              <w:t>Gender Equality and Social Inclusion (GESI) is a core strategic component</w:t>
            </w:r>
            <w:r w:rsidR="0094197E" w:rsidRPr="0084428F">
              <w:rPr>
                <w:color w:val="000000" w:themeColor="text1"/>
                <w:sz w:val="17"/>
                <w:szCs w:val="21"/>
              </w:rPr>
              <w:t>; it</w:t>
            </w:r>
            <w:r w:rsidRPr="0084428F">
              <w:rPr>
                <w:color w:val="000000" w:themeColor="text1"/>
                <w:sz w:val="17"/>
                <w:szCs w:val="21"/>
              </w:rPr>
              <w:t xml:space="preserve"> contains objectives and indicators.</w:t>
            </w:r>
          </w:p>
        </w:tc>
        <w:tc>
          <w:tcPr>
            <w:tcW w:w="1450" w:type="pct"/>
          </w:tcPr>
          <w:p w:rsidR="007D58EF" w:rsidRPr="0084428F" w:rsidRDefault="007D58EF" w:rsidP="000F317C">
            <w:pPr>
              <w:spacing w:line="264" w:lineRule="auto"/>
              <w:rPr>
                <w:color w:val="000000" w:themeColor="text1"/>
                <w:sz w:val="17"/>
                <w:szCs w:val="21"/>
              </w:rPr>
            </w:pPr>
            <w:r w:rsidRPr="0084428F">
              <w:rPr>
                <w:color w:val="000000" w:themeColor="text1"/>
                <w:sz w:val="17"/>
                <w:szCs w:val="21"/>
              </w:rPr>
              <w:t xml:space="preserve">Progress is mixed but clearly reported in </w:t>
            </w:r>
            <w:r w:rsidR="0094197E" w:rsidRPr="0084428F">
              <w:rPr>
                <w:color w:val="000000" w:themeColor="text1"/>
                <w:sz w:val="17"/>
                <w:szCs w:val="21"/>
              </w:rPr>
              <w:t xml:space="preserve">annual and mid-term reports. </w:t>
            </w:r>
          </w:p>
        </w:tc>
        <w:tc>
          <w:tcPr>
            <w:tcW w:w="1407" w:type="pct"/>
          </w:tcPr>
          <w:p w:rsidR="007D58EF" w:rsidRPr="0084428F" w:rsidRDefault="007D58EF" w:rsidP="000F317C">
            <w:pPr>
              <w:spacing w:line="264" w:lineRule="auto"/>
              <w:rPr>
                <w:color w:val="000000" w:themeColor="text1"/>
                <w:sz w:val="17"/>
                <w:szCs w:val="21"/>
              </w:rPr>
            </w:pPr>
            <w:r w:rsidRPr="0084428F">
              <w:rPr>
                <w:color w:val="000000" w:themeColor="text1"/>
                <w:sz w:val="17"/>
                <w:szCs w:val="21"/>
              </w:rPr>
              <w:t>APPR 2012-13 makes specific reference to progress achieved on gender.</w:t>
            </w:r>
          </w:p>
        </w:tc>
      </w:tr>
      <w:tr w:rsidR="008E7949" w:rsidRPr="006826FE" w:rsidTr="008E7949">
        <w:tc>
          <w:tcPr>
            <w:tcW w:w="582" w:type="pct"/>
          </w:tcPr>
          <w:p w:rsidR="008E7949" w:rsidRPr="0084428F" w:rsidRDefault="008E7949" w:rsidP="0097056D">
            <w:pPr>
              <w:spacing w:line="264" w:lineRule="auto"/>
              <w:rPr>
                <w:color w:val="000000" w:themeColor="text1"/>
                <w:sz w:val="17"/>
                <w:szCs w:val="21"/>
              </w:rPr>
            </w:pPr>
            <w:r w:rsidRPr="0084428F">
              <w:rPr>
                <w:color w:val="000000" w:themeColor="text1"/>
                <w:sz w:val="17"/>
                <w:szCs w:val="21"/>
              </w:rPr>
              <w:t>P</w:t>
            </w:r>
            <w:r>
              <w:rPr>
                <w:color w:val="000000" w:themeColor="text1"/>
                <w:sz w:val="17"/>
                <w:szCs w:val="21"/>
              </w:rPr>
              <w:t>apua New Guinea</w:t>
            </w:r>
          </w:p>
        </w:tc>
        <w:tc>
          <w:tcPr>
            <w:tcW w:w="1561" w:type="pct"/>
          </w:tcPr>
          <w:p w:rsidR="008E7949" w:rsidRPr="0084428F" w:rsidRDefault="008E7949" w:rsidP="0054221D">
            <w:pPr>
              <w:spacing w:line="264" w:lineRule="auto"/>
              <w:rPr>
                <w:color w:val="000000" w:themeColor="text1"/>
                <w:sz w:val="17"/>
                <w:szCs w:val="21"/>
              </w:rPr>
            </w:pPr>
            <w:r w:rsidRPr="0084428F">
              <w:rPr>
                <w:color w:val="000000" w:themeColor="text1"/>
                <w:sz w:val="17"/>
                <w:szCs w:val="21"/>
              </w:rPr>
              <w:t xml:space="preserve">Some references in the national health plan and in the re-design of the program. Some specific activities are outlined but no indicators are </w:t>
            </w:r>
            <w:r w:rsidRPr="0084428F">
              <w:rPr>
                <w:color w:val="000000" w:themeColor="text1"/>
                <w:sz w:val="17"/>
                <w:szCs w:val="21"/>
              </w:rPr>
              <w:lastRenderedPageBreak/>
              <w:t xml:space="preserve">defined. </w:t>
            </w:r>
          </w:p>
        </w:tc>
        <w:tc>
          <w:tcPr>
            <w:tcW w:w="1450" w:type="pct"/>
          </w:tcPr>
          <w:p w:rsidR="008E7949" w:rsidRPr="0084428F" w:rsidRDefault="008E7949" w:rsidP="0054221D">
            <w:pPr>
              <w:spacing w:line="264" w:lineRule="auto"/>
              <w:rPr>
                <w:color w:val="000000" w:themeColor="text1"/>
                <w:sz w:val="17"/>
                <w:szCs w:val="21"/>
              </w:rPr>
            </w:pPr>
            <w:r w:rsidRPr="0084428F">
              <w:rPr>
                <w:color w:val="000000" w:themeColor="text1"/>
                <w:sz w:val="17"/>
                <w:szCs w:val="21"/>
              </w:rPr>
              <w:lastRenderedPageBreak/>
              <w:t>No reporting on gender in the documents reviewed.</w:t>
            </w:r>
          </w:p>
        </w:tc>
        <w:tc>
          <w:tcPr>
            <w:tcW w:w="1407" w:type="pct"/>
          </w:tcPr>
          <w:p w:rsidR="008E7949" w:rsidRPr="0084428F" w:rsidRDefault="008E7949" w:rsidP="000F317C">
            <w:pPr>
              <w:spacing w:line="264" w:lineRule="auto"/>
              <w:rPr>
                <w:color w:val="000000" w:themeColor="text1"/>
                <w:sz w:val="17"/>
                <w:szCs w:val="21"/>
              </w:rPr>
            </w:pPr>
            <w:r w:rsidRPr="0084428F">
              <w:rPr>
                <w:color w:val="000000" w:themeColor="text1"/>
                <w:sz w:val="17"/>
                <w:szCs w:val="21"/>
              </w:rPr>
              <w:t xml:space="preserve">The thematic performance report 2013-14 reports on improved health outcomes for women and increasing women in the workforce as gender equality </w:t>
            </w:r>
            <w:r w:rsidRPr="0084428F">
              <w:rPr>
                <w:color w:val="000000" w:themeColor="text1"/>
                <w:sz w:val="17"/>
                <w:szCs w:val="21"/>
              </w:rPr>
              <w:lastRenderedPageBreak/>
              <w:t>achievements.</w:t>
            </w:r>
          </w:p>
        </w:tc>
      </w:tr>
      <w:tr w:rsidR="007D58EF" w:rsidRPr="006826FE" w:rsidTr="008E7949">
        <w:trPr>
          <w:trHeight w:val="1490"/>
        </w:trPr>
        <w:tc>
          <w:tcPr>
            <w:tcW w:w="582" w:type="pct"/>
          </w:tcPr>
          <w:p w:rsidR="007D58EF" w:rsidRPr="0084428F" w:rsidRDefault="007D58EF" w:rsidP="000F317C">
            <w:pPr>
              <w:spacing w:line="264" w:lineRule="auto"/>
              <w:rPr>
                <w:color w:val="000000" w:themeColor="text1"/>
                <w:sz w:val="17"/>
                <w:szCs w:val="21"/>
              </w:rPr>
            </w:pPr>
            <w:r w:rsidRPr="0084428F">
              <w:rPr>
                <w:color w:val="000000" w:themeColor="text1"/>
                <w:sz w:val="17"/>
                <w:szCs w:val="21"/>
              </w:rPr>
              <w:lastRenderedPageBreak/>
              <w:t>Samoa</w:t>
            </w:r>
          </w:p>
        </w:tc>
        <w:tc>
          <w:tcPr>
            <w:tcW w:w="1561" w:type="pct"/>
          </w:tcPr>
          <w:p w:rsidR="007D58EF" w:rsidRPr="0084428F" w:rsidRDefault="00FB7162" w:rsidP="000F317C">
            <w:pPr>
              <w:spacing w:line="264" w:lineRule="auto"/>
              <w:rPr>
                <w:color w:val="000000" w:themeColor="text1"/>
                <w:sz w:val="17"/>
                <w:szCs w:val="21"/>
              </w:rPr>
            </w:pPr>
            <w:r w:rsidRPr="0084428F">
              <w:rPr>
                <w:color w:val="000000" w:themeColor="text1"/>
                <w:sz w:val="17"/>
                <w:szCs w:val="21"/>
              </w:rPr>
              <w:t xml:space="preserve">The </w:t>
            </w:r>
            <w:r w:rsidR="0086304F" w:rsidRPr="0084428F">
              <w:rPr>
                <w:color w:val="000000" w:themeColor="text1"/>
                <w:sz w:val="17"/>
                <w:szCs w:val="21"/>
              </w:rPr>
              <w:t>h</w:t>
            </w:r>
            <w:r w:rsidR="007D58EF" w:rsidRPr="0084428F">
              <w:rPr>
                <w:color w:val="000000" w:themeColor="text1"/>
                <w:sz w:val="17"/>
                <w:szCs w:val="21"/>
              </w:rPr>
              <w:t xml:space="preserve">ealth </w:t>
            </w:r>
            <w:r w:rsidR="0086304F" w:rsidRPr="0084428F">
              <w:rPr>
                <w:color w:val="000000" w:themeColor="text1"/>
                <w:sz w:val="17"/>
                <w:szCs w:val="21"/>
              </w:rPr>
              <w:t>s</w:t>
            </w:r>
            <w:r w:rsidR="007D58EF" w:rsidRPr="0084428F">
              <w:rPr>
                <w:color w:val="000000" w:themeColor="text1"/>
                <w:sz w:val="17"/>
                <w:szCs w:val="21"/>
              </w:rPr>
              <w:t xml:space="preserve">ector </w:t>
            </w:r>
            <w:r w:rsidR="0086304F" w:rsidRPr="0084428F">
              <w:rPr>
                <w:color w:val="000000" w:themeColor="text1"/>
                <w:sz w:val="17"/>
                <w:szCs w:val="21"/>
              </w:rPr>
              <w:t>p</w:t>
            </w:r>
            <w:r w:rsidR="007D58EF" w:rsidRPr="0084428F">
              <w:rPr>
                <w:color w:val="000000" w:themeColor="text1"/>
                <w:sz w:val="17"/>
                <w:szCs w:val="21"/>
              </w:rPr>
              <w:t xml:space="preserve">lan </w:t>
            </w:r>
            <w:r w:rsidR="0086304F" w:rsidRPr="0084428F">
              <w:rPr>
                <w:color w:val="000000" w:themeColor="text1"/>
                <w:sz w:val="17"/>
                <w:szCs w:val="21"/>
              </w:rPr>
              <w:t xml:space="preserve">has </w:t>
            </w:r>
            <w:r w:rsidR="007D58EF" w:rsidRPr="0084428F">
              <w:rPr>
                <w:color w:val="000000" w:themeColor="text1"/>
                <w:sz w:val="17"/>
                <w:szCs w:val="21"/>
              </w:rPr>
              <w:t>references to gender</w:t>
            </w:r>
            <w:r w:rsidR="0094197E" w:rsidRPr="0084428F">
              <w:rPr>
                <w:color w:val="000000" w:themeColor="text1"/>
                <w:sz w:val="17"/>
                <w:szCs w:val="21"/>
              </w:rPr>
              <w:t xml:space="preserve">. </w:t>
            </w:r>
            <w:r w:rsidRPr="0084428F">
              <w:rPr>
                <w:color w:val="000000" w:themeColor="text1"/>
                <w:sz w:val="17"/>
                <w:szCs w:val="21"/>
              </w:rPr>
              <w:t>T</w:t>
            </w:r>
            <w:r w:rsidR="007D58EF" w:rsidRPr="0084428F">
              <w:rPr>
                <w:color w:val="000000" w:themeColor="text1"/>
                <w:sz w:val="17"/>
                <w:szCs w:val="21"/>
              </w:rPr>
              <w:t xml:space="preserve">he program operational manual contains one indicator for which data is disaggregated by gender (primary care utilisation) </w:t>
            </w:r>
          </w:p>
        </w:tc>
        <w:tc>
          <w:tcPr>
            <w:tcW w:w="1450" w:type="pct"/>
          </w:tcPr>
          <w:p w:rsidR="007D58EF" w:rsidRPr="0084428F" w:rsidRDefault="00FB7162" w:rsidP="00710DE3">
            <w:pPr>
              <w:spacing w:line="264" w:lineRule="auto"/>
              <w:rPr>
                <w:color w:val="000000" w:themeColor="text1"/>
                <w:sz w:val="17"/>
                <w:szCs w:val="21"/>
              </w:rPr>
            </w:pPr>
            <w:r w:rsidRPr="0084428F">
              <w:rPr>
                <w:color w:val="000000" w:themeColor="text1"/>
                <w:sz w:val="17"/>
                <w:szCs w:val="21"/>
              </w:rPr>
              <w:t xml:space="preserve">No annual review reports are available. </w:t>
            </w:r>
            <w:r w:rsidR="007D58EF" w:rsidRPr="0084428F">
              <w:rPr>
                <w:color w:val="000000" w:themeColor="text1"/>
                <w:sz w:val="17"/>
                <w:szCs w:val="21"/>
              </w:rPr>
              <w:t xml:space="preserve">An </w:t>
            </w:r>
            <w:r w:rsidR="00CC776F" w:rsidRPr="0084428F">
              <w:rPr>
                <w:color w:val="000000" w:themeColor="text1"/>
                <w:sz w:val="17"/>
                <w:szCs w:val="21"/>
              </w:rPr>
              <w:t>independent evaluation in 2013</w:t>
            </w:r>
            <w:r w:rsidR="00710DE3">
              <w:rPr>
                <w:color w:val="000000" w:themeColor="text1"/>
                <w:sz w:val="17"/>
                <w:szCs w:val="21"/>
              </w:rPr>
              <w:t xml:space="preserve"> </w:t>
            </w:r>
            <w:r w:rsidR="007D58EF" w:rsidRPr="0084428F">
              <w:rPr>
                <w:color w:val="000000" w:themeColor="text1"/>
                <w:sz w:val="17"/>
                <w:szCs w:val="21"/>
              </w:rPr>
              <w:t xml:space="preserve">comments on the few explicit references to gender in the </w:t>
            </w:r>
            <w:proofErr w:type="spellStart"/>
            <w:r w:rsidR="007D58EF" w:rsidRPr="0084428F">
              <w:rPr>
                <w:color w:val="000000" w:themeColor="text1"/>
                <w:sz w:val="17"/>
                <w:szCs w:val="21"/>
              </w:rPr>
              <w:t>SWAp</w:t>
            </w:r>
            <w:proofErr w:type="spellEnd"/>
            <w:r w:rsidR="007D58EF" w:rsidRPr="0084428F">
              <w:rPr>
                <w:color w:val="000000" w:themeColor="text1"/>
                <w:sz w:val="17"/>
                <w:szCs w:val="21"/>
              </w:rPr>
              <w:t xml:space="preserve"> or d</w:t>
            </w:r>
            <w:r w:rsidR="0094197E" w:rsidRPr="0084428F">
              <w:rPr>
                <w:color w:val="000000" w:themeColor="text1"/>
                <w:sz w:val="17"/>
                <w:szCs w:val="21"/>
              </w:rPr>
              <w:t xml:space="preserve">onor </w:t>
            </w:r>
            <w:r w:rsidR="007D58EF" w:rsidRPr="0084428F">
              <w:rPr>
                <w:color w:val="000000" w:themeColor="text1"/>
                <w:sz w:val="17"/>
                <w:szCs w:val="21"/>
              </w:rPr>
              <w:t>documentation.</w:t>
            </w:r>
            <w:r w:rsidR="00710DE3" w:rsidRPr="0084428F">
              <w:rPr>
                <w:color w:val="000000" w:themeColor="text1"/>
                <w:sz w:val="17"/>
                <w:szCs w:val="21"/>
                <w:vertAlign w:val="superscript"/>
              </w:rPr>
              <w:footnoteReference w:id="66"/>
            </w:r>
            <w:r w:rsidR="00710DE3" w:rsidRPr="0084428F">
              <w:rPr>
                <w:color w:val="000000" w:themeColor="text1"/>
                <w:sz w:val="17"/>
                <w:szCs w:val="21"/>
                <w:vertAlign w:val="superscript"/>
              </w:rPr>
              <w:t xml:space="preserve"> </w:t>
            </w:r>
            <w:r w:rsidR="007D58EF" w:rsidRPr="0084428F">
              <w:rPr>
                <w:color w:val="000000" w:themeColor="text1"/>
                <w:sz w:val="17"/>
                <w:szCs w:val="21"/>
              </w:rPr>
              <w:t xml:space="preserve"> </w:t>
            </w:r>
          </w:p>
        </w:tc>
        <w:tc>
          <w:tcPr>
            <w:tcW w:w="1407" w:type="pct"/>
          </w:tcPr>
          <w:p w:rsidR="007D58EF" w:rsidRPr="0084428F" w:rsidRDefault="0094197E" w:rsidP="000F317C">
            <w:pPr>
              <w:spacing w:line="264" w:lineRule="auto"/>
              <w:rPr>
                <w:color w:val="000000" w:themeColor="text1"/>
                <w:sz w:val="17"/>
                <w:szCs w:val="21"/>
              </w:rPr>
            </w:pPr>
            <w:r w:rsidRPr="0084428F">
              <w:rPr>
                <w:color w:val="000000" w:themeColor="text1"/>
                <w:sz w:val="17"/>
                <w:szCs w:val="21"/>
              </w:rPr>
              <w:t xml:space="preserve">No specific reference to gender in </w:t>
            </w:r>
            <w:r w:rsidR="007D58EF" w:rsidRPr="0084428F">
              <w:rPr>
                <w:color w:val="000000" w:themeColor="text1"/>
                <w:sz w:val="17"/>
                <w:szCs w:val="21"/>
              </w:rPr>
              <w:t>APPR 2012−13</w:t>
            </w:r>
            <w:r w:rsidRPr="0084428F">
              <w:rPr>
                <w:color w:val="000000" w:themeColor="text1"/>
                <w:sz w:val="17"/>
                <w:szCs w:val="21"/>
              </w:rPr>
              <w:t>.</w:t>
            </w:r>
            <w:r w:rsidR="000E1CFA" w:rsidRPr="0084428F">
              <w:rPr>
                <w:color w:val="000000" w:themeColor="text1"/>
                <w:sz w:val="17"/>
                <w:szCs w:val="21"/>
              </w:rPr>
              <w:t xml:space="preserve"> </w:t>
            </w:r>
          </w:p>
        </w:tc>
      </w:tr>
      <w:tr w:rsidR="007D58EF" w:rsidRPr="006826FE" w:rsidTr="008E7949">
        <w:trPr>
          <w:trHeight w:val="1885"/>
        </w:trPr>
        <w:tc>
          <w:tcPr>
            <w:tcW w:w="582" w:type="pct"/>
          </w:tcPr>
          <w:p w:rsidR="007D58EF" w:rsidRPr="0084428F" w:rsidRDefault="007D58EF" w:rsidP="000F317C">
            <w:pPr>
              <w:spacing w:line="264" w:lineRule="auto"/>
              <w:rPr>
                <w:color w:val="000000" w:themeColor="text1"/>
                <w:sz w:val="17"/>
                <w:szCs w:val="21"/>
              </w:rPr>
            </w:pPr>
            <w:r w:rsidRPr="0084428F">
              <w:rPr>
                <w:color w:val="000000" w:themeColor="text1"/>
                <w:sz w:val="17"/>
                <w:szCs w:val="21"/>
              </w:rPr>
              <w:t>Solomon Islands</w:t>
            </w:r>
          </w:p>
        </w:tc>
        <w:tc>
          <w:tcPr>
            <w:tcW w:w="1561" w:type="pct"/>
          </w:tcPr>
          <w:p w:rsidR="007D58EF" w:rsidRPr="0084428F" w:rsidRDefault="007D58EF" w:rsidP="00883739">
            <w:pPr>
              <w:spacing w:line="264" w:lineRule="auto"/>
              <w:rPr>
                <w:color w:val="000000" w:themeColor="text1"/>
                <w:sz w:val="17"/>
                <w:szCs w:val="21"/>
              </w:rPr>
            </w:pPr>
            <w:r w:rsidRPr="0084428F">
              <w:rPr>
                <w:color w:val="000000" w:themeColor="text1"/>
                <w:sz w:val="17"/>
                <w:szCs w:val="21"/>
              </w:rPr>
              <w:t>Improving the health status of women is a specific policy</w:t>
            </w:r>
            <w:r w:rsidR="004B342D" w:rsidRPr="0084428F">
              <w:rPr>
                <w:color w:val="000000" w:themeColor="text1"/>
                <w:sz w:val="17"/>
                <w:szCs w:val="21"/>
              </w:rPr>
              <w:t>.</w:t>
            </w:r>
            <w:r w:rsidRPr="0084428F">
              <w:rPr>
                <w:color w:val="000000" w:themeColor="text1"/>
                <w:sz w:val="17"/>
                <w:szCs w:val="21"/>
              </w:rPr>
              <w:t xml:space="preserve"> </w:t>
            </w:r>
            <w:r w:rsidR="004B342D" w:rsidRPr="0084428F">
              <w:rPr>
                <w:color w:val="000000" w:themeColor="text1"/>
                <w:sz w:val="17"/>
                <w:szCs w:val="21"/>
              </w:rPr>
              <w:t>S</w:t>
            </w:r>
            <w:r w:rsidRPr="0084428F">
              <w:rPr>
                <w:color w:val="000000" w:themeColor="text1"/>
                <w:sz w:val="17"/>
                <w:szCs w:val="21"/>
              </w:rPr>
              <w:t xml:space="preserve">trategies, activities and indicators on reproductive health and domestic violence. Gender mainstreaming within Ministry of Health is specified in program implementation plan with associated activities. </w:t>
            </w:r>
          </w:p>
        </w:tc>
        <w:tc>
          <w:tcPr>
            <w:tcW w:w="1450" w:type="pct"/>
          </w:tcPr>
          <w:p w:rsidR="007D58EF" w:rsidRPr="0084428F" w:rsidRDefault="007D58EF" w:rsidP="000F317C">
            <w:pPr>
              <w:spacing w:line="264" w:lineRule="auto"/>
              <w:rPr>
                <w:color w:val="000000" w:themeColor="text1"/>
                <w:sz w:val="17"/>
                <w:szCs w:val="21"/>
              </w:rPr>
            </w:pPr>
            <w:r w:rsidRPr="0084428F">
              <w:rPr>
                <w:color w:val="000000" w:themeColor="text1"/>
                <w:sz w:val="17"/>
                <w:szCs w:val="21"/>
              </w:rPr>
              <w:t xml:space="preserve">No reporting on gender in the documents </w:t>
            </w:r>
            <w:r w:rsidR="00CC776F" w:rsidRPr="0084428F">
              <w:rPr>
                <w:color w:val="000000" w:themeColor="text1"/>
                <w:sz w:val="17"/>
                <w:szCs w:val="21"/>
              </w:rPr>
              <w:t>reviewed</w:t>
            </w:r>
            <w:r w:rsidR="0094197E" w:rsidRPr="0084428F">
              <w:rPr>
                <w:color w:val="000000" w:themeColor="text1"/>
                <w:sz w:val="17"/>
                <w:szCs w:val="21"/>
              </w:rPr>
              <w:t>.</w:t>
            </w:r>
          </w:p>
        </w:tc>
        <w:tc>
          <w:tcPr>
            <w:tcW w:w="1407" w:type="pct"/>
          </w:tcPr>
          <w:p w:rsidR="007D58EF" w:rsidRPr="0084428F" w:rsidRDefault="007D58EF" w:rsidP="000F317C">
            <w:pPr>
              <w:spacing w:line="264" w:lineRule="auto"/>
              <w:rPr>
                <w:color w:val="000000" w:themeColor="text1"/>
                <w:sz w:val="17"/>
                <w:szCs w:val="21"/>
              </w:rPr>
            </w:pPr>
            <w:r w:rsidRPr="0084428F">
              <w:rPr>
                <w:color w:val="000000" w:themeColor="text1"/>
                <w:sz w:val="17"/>
                <w:szCs w:val="21"/>
              </w:rPr>
              <w:t>APPR 2012-13 states that the program promotes gender equality by supporting victims of gender based violence</w:t>
            </w:r>
            <w:r w:rsidR="0094197E" w:rsidRPr="0084428F">
              <w:rPr>
                <w:color w:val="000000" w:themeColor="text1"/>
                <w:sz w:val="17"/>
                <w:szCs w:val="21"/>
              </w:rPr>
              <w:t>.</w:t>
            </w:r>
          </w:p>
        </w:tc>
      </w:tr>
    </w:tbl>
    <w:p w:rsidR="00DE491F" w:rsidRPr="009649C7" w:rsidRDefault="00DE491F" w:rsidP="00B41223">
      <w:pPr>
        <w:pStyle w:val="Subtitle"/>
        <w:ind w:left="0"/>
      </w:pPr>
    </w:p>
    <w:p w:rsidR="00C15DB3" w:rsidRDefault="00C15DB3" w:rsidP="00D939C8">
      <w:pPr>
        <w:rPr>
          <w:noProof/>
        </w:rPr>
        <w:sectPr w:rsidR="00C15DB3" w:rsidSect="00EF57A3">
          <w:headerReference w:type="first" r:id="rId21"/>
          <w:footerReference w:type="first" r:id="rId22"/>
          <w:pgSz w:w="11906" w:h="16838" w:code="9"/>
          <w:pgMar w:top="1440" w:right="1440" w:bottom="1440" w:left="1440" w:header="576" w:footer="576" w:gutter="0"/>
          <w:pgNumType w:start="1"/>
          <w:cols w:space="720"/>
          <w:titlePg/>
          <w:docGrid w:linePitch="286"/>
        </w:sectPr>
      </w:pPr>
    </w:p>
    <w:p w:rsidR="009F7318" w:rsidRDefault="009F7318" w:rsidP="009F7318">
      <w:pPr>
        <w:pStyle w:val="SectionTitle"/>
      </w:pPr>
      <w:bookmarkStart w:id="48" w:name="_Toc403403697"/>
      <w:bookmarkStart w:id="49" w:name="_Toc394224891"/>
      <w:r>
        <w:lastRenderedPageBreak/>
        <w:t>Appendix 1</w:t>
      </w:r>
      <w:r w:rsidRPr="00030AA8">
        <w:t>: Terms of reference</w:t>
      </w:r>
      <w:bookmarkEnd w:id="48"/>
      <w:r w:rsidRPr="00030AA8">
        <w:t xml:space="preserve"> </w:t>
      </w:r>
    </w:p>
    <w:bookmarkEnd w:id="49"/>
    <w:p w:rsidR="009F7318" w:rsidRPr="00D02812" w:rsidRDefault="009F7318" w:rsidP="009F7318">
      <w:pPr>
        <w:pStyle w:val="Heading2a"/>
      </w:pPr>
      <w:r w:rsidRPr="00D02812">
        <w:t>A.1.1</w:t>
      </w:r>
      <w:r w:rsidRPr="00D02812">
        <w:tab/>
      </w:r>
      <w:proofErr w:type="gramStart"/>
      <w:r w:rsidRPr="00D02812">
        <w:t>About</w:t>
      </w:r>
      <w:proofErr w:type="gramEnd"/>
      <w:r w:rsidRPr="00D02812">
        <w:t xml:space="preserve"> ODE</w:t>
      </w:r>
    </w:p>
    <w:p w:rsidR="009F7318" w:rsidRDefault="009F7318" w:rsidP="009F7318">
      <w:r>
        <w:t xml:space="preserve">The Office of Development Effectiveness (ODE), an operationally independent unit within DFAT, evaluates the effectiveness of the Australian aid program producing a high quality and policy relevant program of evaluations and analytical work. </w:t>
      </w:r>
    </w:p>
    <w:p w:rsidR="009F7318" w:rsidRDefault="009F7318" w:rsidP="009F7318">
      <w:r>
        <w:t xml:space="preserve">ODE’s evaluation strategy and work program is overseen by the Independent Evaluation Committee (IEC). ODE’s unique position within DFAT provides it with an in-depth understanding of policies, procedures and processes influencing the effectiveness of aid delivery. ODE evaluation reports include a formal management response from the agency and the evaluation recommendations are monitored by ODE. </w:t>
      </w:r>
    </w:p>
    <w:p w:rsidR="009F7318" w:rsidRDefault="009F7318" w:rsidP="009F7318">
      <w:r>
        <w:t>ODE reviews and evaluations are highly collaborative projects. ODE appoints an evaluation manager to each evaluation and is committed to the joint production and shared ownership of all products.</w:t>
      </w:r>
    </w:p>
    <w:p w:rsidR="009F7318" w:rsidRPr="0079792A" w:rsidRDefault="009F7318" w:rsidP="009F7318">
      <w:pPr>
        <w:pStyle w:val="Heading2a"/>
      </w:pPr>
      <w:r>
        <w:t>A.1.2</w:t>
      </w:r>
      <w:r>
        <w:tab/>
      </w:r>
      <w:r w:rsidRPr="0079792A">
        <w:t>Rationale</w:t>
      </w:r>
    </w:p>
    <w:p w:rsidR="009F7318" w:rsidRDefault="009F7318" w:rsidP="009F7318">
      <w:r>
        <w:t xml:space="preserve">The Australian aid program has in recent years increased the use of </w:t>
      </w:r>
      <w:proofErr w:type="spellStart"/>
      <w:r>
        <w:t>SWAps</w:t>
      </w:r>
      <w:proofErr w:type="spellEnd"/>
      <w:r>
        <w:t xml:space="preserve"> and allocated a small but not insignificant portion of funding through </w:t>
      </w:r>
      <w:r w:rsidR="00877174">
        <w:t>sector budget support (</w:t>
      </w:r>
      <w:r>
        <w:t>SBS</w:t>
      </w:r>
      <w:r w:rsidR="00877174">
        <w:t>)</w:t>
      </w:r>
      <w:r>
        <w:t xml:space="preserve"> and partner government systems. As part of the process of developing its work plan, ODE is commissioning a review of the evidence of the effectiveness of these approaches in the education and health sectors.</w:t>
      </w:r>
    </w:p>
    <w:p w:rsidR="009F7318" w:rsidRPr="0079792A" w:rsidRDefault="009F7318" w:rsidP="009F7318">
      <w:pPr>
        <w:pStyle w:val="Heading2a"/>
      </w:pPr>
      <w:r>
        <w:t>A.1.3</w:t>
      </w:r>
      <w:r>
        <w:tab/>
      </w:r>
      <w:r w:rsidRPr="0079792A">
        <w:t>Scope of services</w:t>
      </w:r>
    </w:p>
    <w:p w:rsidR="009F7318" w:rsidRDefault="009F7318" w:rsidP="009F7318">
      <w:r>
        <w:t xml:space="preserve">A report is required to review the evidence of the effectiveness of donor support for the health sector through the use of </w:t>
      </w:r>
      <w:proofErr w:type="spellStart"/>
      <w:r>
        <w:t>SWAps</w:t>
      </w:r>
      <w:proofErr w:type="spellEnd"/>
      <w:r>
        <w:t xml:space="preserve">, SBS financing instruments and other approaches, including using partner government systems. </w:t>
      </w:r>
    </w:p>
    <w:p w:rsidR="009F7318" w:rsidRDefault="009F7318" w:rsidP="009F7318">
      <w:pPr>
        <w:pStyle w:val="NormalBeforeBullet"/>
      </w:pPr>
      <w:r>
        <w:t>The evidence review will have five components</w:t>
      </w:r>
    </w:p>
    <w:p w:rsidR="009F7318" w:rsidRDefault="009F7318" w:rsidP="009F7318">
      <w:pPr>
        <w:pStyle w:val="NumberList"/>
      </w:pPr>
      <w:r>
        <w:t>1.</w:t>
      </w:r>
      <w:r>
        <w:tab/>
        <w:t xml:space="preserve">Describe how the Australian aid program has used </w:t>
      </w:r>
      <w:proofErr w:type="spellStart"/>
      <w:r>
        <w:t>SWAps</w:t>
      </w:r>
      <w:proofErr w:type="spellEnd"/>
      <w:r>
        <w:t xml:space="preserve">, budget support and partner government systems to improve the health sector and compare this with the work of other donors. </w:t>
      </w:r>
    </w:p>
    <w:p w:rsidR="009F7318" w:rsidRDefault="009F7318" w:rsidP="009F7318">
      <w:pPr>
        <w:pStyle w:val="NumberList"/>
      </w:pPr>
      <w:r>
        <w:t>2.</w:t>
      </w:r>
      <w:r>
        <w:tab/>
        <w:t xml:space="preserve">Analyse the types and quality of evaluation approaches and methods used by both Australia and other donors to assess the effectiveness of this work. </w:t>
      </w:r>
    </w:p>
    <w:p w:rsidR="009F7318" w:rsidRDefault="009F7318" w:rsidP="009F7318">
      <w:pPr>
        <w:pStyle w:val="NumberList"/>
      </w:pPr>
      <w:r>
        <w:t>3.</w:t>
      </w:r>
      <w:r>
        <w:tab/>
        <w:t xml:space="preserve">Describe, analyse and synthesise the evidence of the effectiveness of the use of </w:t>
      </w:r>
      <w:proofErr w:type="spellStart"/>
      <w:r>
        <w:t>SWAps</w:t>
      </w:r>
      <w:proofErr w:type="spellEnd"/>
      <w:r>
        <w:t xml:space="preserve">, budget support and partner government systems in the health sector from Australian aid program evaluations, performance reports and reviews. The analysis should include evaluations completed in the last five years. </w:t>
      </w:r>
    </w:p>
    <w:p w:rsidR="009F7318" w:rsidRDefault="009F7318" w:rsidP="009F7318">
      <w:pPr>
        <w:pStyle w:val="NumberList"/>
      </w:pPr>
      <w:r>
        <w:t>4.</w:t>
      </w:r>
      <w:r>
        <w:tab/>
        <w:t xml:space="preserve">Describe, analyse and synthesise the evidence and gaps on the effectiveness of the use of </w:t>
      </w:r>
      <w:proofErr w:type="spellStart"/>
      <w:r>
        <w:t>SWAps</w:t>
      </w:r>
      <w:proofErr w:type="spellEnd"/>
      <w:r>
        <w:t xml:space="preserve">, budget support and partner government systems in the health sector from evaluations and reviews of work done by other donors. This work should have a very strong focus on evaluations of work in the Asia Pacific region, particularly countries which receive the bulk of Australian assistance. An overarching consideration in choosing should be the extent to which these findings will be useful in the Australian aid context. </w:t>
      </w:r>
    </w:p>
    <w:p w:rsidR="009F7318" w:rsidRDefault="009F7318" w:rsidP="009F7318">
      <w:pPr>
        <w:pStyle w:val="NumberList"/>
      </w:pPr>
      <w:r>
        <w:lastRenderedPageBreak/>
        <w:t>5.</w:t>
      </w:r>
      <w:r>
        <w:tab/>
        <w:t>Identify any other relevant global evidence if useful.</w:t>
      </w:r>
    </w:p>
    <w:p w:rsidR="009F7318" w:rsidRDefault="009F7318" w:rsidP="009F7318">
      <w:r>
        <w:t xml:space="preserve">The review should identify useful conceptual models and definitions, noting any diversity of opinion. The focus of the work and the report should be on components three and four listed above (about 60-70 per cent of inputs). It is anticipated that the evidence review will concentrate on </w:t>
      </w:r>
      <w:proofErr w:type="spellStart"/>
      <w:r>
        <w:t>SWAps</w:t>
      </w:r>
      <w:proofErr w:type="spellEnd"/>
      <w:r>
        <w:t xml:space="preserve"> and budget support (about 40 per cent of inputs each) with the use of partner government systems and comparisons between the three approaches receiving less attention (about 10 per cent of inputs each). </w:t>
      </w:r>
    </w:p>
    <w:p w:rsidR="009F7318" w:rsidRDefault="009F7318" w:rsidP="009F7318">
      <w:r>
        <w:t xml:space="preserve">Any gaps in the evidence should be identified. All components of the work should pay attention to the extent to which gender considerations have been appropriately incorporated into programs and evaluations. The priorities and scope of the work will be refined as the work plan is developed in a consultative process involving the consultant/s and ODE. The review may involve limited stakeholder consultation which will be managed by ODE. </w:t>
      </w:r>
    </w:p>
    <w:p w:rsidR="009F7318" w:rsidRDefault="009F7318" w:rsidP="009F7318">
      <w:r>
        <w:t>A similar evidence review will be undertaken by the Education Resource Facility. If appropriate, ODE may commission a comparative analysis of findings from the reviews for the health and education sectors.</w:t>
      </w:r>
    </w:p>
    <w:p w:rsidR="009F7318" w:rsidRPr="0079792A" w:rsidRDefault="009F7318" w:rsidP="009F7318">
      <w:pPr>
        <w:pStyle w:val="Heading2a"/>
      </w:pPr>
      <w:r>
        <w:t>A.1.4</w:t>
      </w:r>
      <w:r>
        <w:tab/>
      </w:r>
      <w:r w:rsidRPr="0079792A">
        <w:t>Outputs</w:t>
      </w:r>
    </w:p>
    <w:p w:rsidR="009F7318" w:rsidRDefault="009F7318" w:rsidP="009F7318">
      <w:pPr>
        <w:pStyle w:val="Bullet"/>
      </w:pPr>
      <w:r>
        <w:t>A plan describing the evidence available and work to be undertaken in the evidence review. The plan should clearly identify data sources with some preliminary assessment of their quality. Where sufficient data exists, there should be a focus on Australian aid program evaluations. The priorities and scope of the work will be refined as the work plan is developed in a consultative process involving the consultant/s and ODE. The scope of the work should be explained and justified in the plan. The methodology, search strategy and analytical frameworks/criteria to be used in reviewing the evidence should be outlined. The plan should also specify roles and responsibilities of team members, timelines and budget. The plan should be about eight pages in length with Appendixes used to provide additional information about available evidence.</w:t>
      </w:r>
    </w:p>
    <w:p w:rsidR="009F7318" w:rsidRDefault="009F7318" w:rsidP="009F7318">
      <w:pPr>
        <w:pStyle w:val="Bullet"/>
      </w:pPr>
      <w:r>
        <w:t>A draft report that responds to the scope of services. The report must be in the template provided and compliant with ODE style guide and quality standards.</w:t>
      </w:r>
    </w:p>
    <w:p w:rsidR="009F7318" w:rsidRDefault="009F7318" w:rsidP="009F7318">
      <w:pPr>
        <w:pStyle w:val="Bullet"/>
      </w:pPr>
      <w:r>
        <w:t>A well-written report that responds to the scope of services and is of sufficient quality to be published. The report must be in the template provided and compliant with ODE style guide and quality standards. It is expected that the report will be about 20- 40 pages in length with Appendixes as required.</w:t>
      </w:r>
    </w:p>
    <w:p w:rsidR="009F7318" w:rsidRDefault="009F7318" w:rsidP="009F7318">
      <w:pPr>
        <w:pStyle w:val="Bullet"/>
      </w:pPr>
      <w:r>
        <w:t>An annotated bibliography of available evidence. Annotations should specify donor agencies, describe the methodology used in evaluations/reviews and assess its quality, comment on the usefulness of the evaluation and outline the main findings.</w:t>
      </w:r>
    </w:p>
    <w:p w:rsidR="009F7318" w:rsidRPr="0079792A" w:rsidRDefault="009F7318" w:rsidP="009F7318">
      <w:pPr>
        <w:pStyle w:val="Heading2a"/>
      </w:pPr>
      <w:r>
        <w:t>A.1.5</w:t>
      </w:r>
      <w:r>
        <w:tab/>
      </w:r>
      <w:r w:rsidRPr="0079792A">
        <w:t>Reference materials</w:t>
      </w:r>
    </w:p>
    <w:p w:rsidR="009F7318" w:rsidRDefault="009F7318" w:rsidP="009F7318">
      <w:pPr>
        <w:pStyle w:val="NumberList"/>
      </w:pPr>
      <w:r>
        <w:t>1.</w:t>
      </w:r>
      <w:r>
        <w:tab/>
        <w:t>Existing DFAT evaluations and reviews at the operational, thematic and departmental levels (ODE). The review should specifically reference the findings of the ODE 2010 evaluation on Service Delivery for the Poor.</w:t>
      </w:r>
    </w:p>
    <w:p w:rsidR="009F7318" w:rsidRDefault="009F7318" w:rsidP="009F7318">
      <w:pPr>
        <w:pStyle w:val="NumberList"/>
      </w:pPr>
      <w:r>
        <w:t>2.</w:t>
      </w:r>
      <w:r>
        <w:tab/>
        <w:t>Other donor evaluations in countries/regions where Australian aid is delivered should also be referenced.</w:t>
      </w:r>
    </w:p>
    <w:p w:rsidR="009F7318" w:rsidRPr="0079792A" w:rsidRDefault="009F7318" w:rsidP="009F7318">
      <w:pPr>
        <w:pStyle w:val="Heading2a"/>
      </w:pPr>
      <w:r>
        <w:lastRenderedPageBreak/>
        <w:t>A.1.6</w:t>
      </w:r>
      <w:r>
        <w:tab/>
      </w:r>
      <w:r w:rsidRPr="0079792A">
        <w:t>Milestones</w:t>
      </w:r>
    </w:p>
    <w:tbl>
      <w:tblPr>
        <w:tblStyle w:val="TableGrid"/>
        <w:tblW w:w="0" w:type="auto"/>
        <w:tblLook w:val="04A0" w:firstRow="1" w:lastRow="0" w:firstColumn="1" w:lastColumn="0" w:noHBand="0" w:noVBand="1"/>
      </w:tblPr>
      <w:tblGrid>
        <w:gridCol w:w="1869"/>
        <w:gridCol w:w="4723"/>
        <w:gridCol w:w="1334"/>
        <w:gridCol w:w="1316"/>
      </w:tblGrid>
      <w:tr w:rsidR="009F7318" w:rsidRPr="00F51E8E" w:rsidTr="00FF2F3D">
        <w:trPr>
          <w:cnfStyle w:val="100000000000" w:firstRow="1" w:lastRow="0" w:firstColumn="0" w:lastColumn="0" w:oddVBand="0" w:evenVBand="0" w:oddHBand="0" w:evenHBand="0" w:firstRowFirstColumn="0" w:firstRowLastColumn="0" w:lastRowFirstColumn="0" w:lastRowLastColumn="0"/>
        </w:trPr>
        <w:tc>
          <w:tcPr>
            <w:tcW w:w="1869" w:type="dxa"/>
            <w:hideMark/>
          </w:tcPr>
          <w:p w:rsidR="009F7318" w:rsidRPr="00F51E8E" w:rsidRDefault="009F7318" w:rsidP="00FF2F3D">
            <w:pPr>
              <w:pStyle w:val="TableHeading2"/>
            </w:pPr>
            <w:r w:rsidRPr="00F51E8E">
              <w:t xml:space="preserve">Milestone </w:t>
            </w:r>
          </w:p>
        </w:tc>
        <w:tc>
          <w:tcPr>
            <w:tcW w:w="4723" w:type="dxa"/>
            <w:hideMark/>
          </w:tcPr>
          <w:p w:rsidR="009F7318" w:rsidRPr="00F51E8E" w:rsidRDefault="009F7318" w:rsidP="00FF2F3D">
            <w:pPr>
              <w:pStyle w:val="TableHeading"/>
            </w:pPr>
            <w:r w:rsidRPr="00F51E8E">
              <w:t>Description of work</w:t>
            </w:r>
          </w:p>
        </w:tc>
        <w:tc>
          <w:tcPr>
            <w:tcW w:w="1334" w:type="dxa"/>
            <w:hideMark/>
          </w:tcPr>
          <w:p w:rsidR="009F7318" w:rsidRPr="00F51E8E" w:rsidRDefault="009F7318" w:rsidP="00FF2F3D">
            <w:pPr>
              <w:pStyle w:val="TableHeading"/>
            </w:pPr>
            <w:r w:rsidRPr="00F51E8E">
              <w:t>Verifiable indicator</w:t>
            </w:r>
          </w:p>
        </w:tc>
        <w:tc>
          <w:tcPr>
            <w:tcW w:w="1316" w:type="dxa"/>
            <w:hideMark/>
          </w:tcPr>
          <w:p w:rsidR="009F7318" w:rsidRPr="00F51E8E" w:rsidRDefault="009F7318" w:rsidP="00FF2F3D">
            <w:pPr>
              <w:pStyle w:val="TableHeading"/>
            </w:pPr>
            <w:r w:rsidRPr="00F51E8E">
              <w:t>Completion date</w:t>
            </w:r>
            <w:r>
              <w:rPr>
                <w:rStyle w:val="FootnoteReference"/>
              </w:rPr>
              <w:footnoteReference w:id="67"/>
            </w:r>
          </w:p>
        </w:tc>
      </w:tr>
      <w:tr w:rsidR="009F7318" w:rsidRPr="00F51E8E" w:rsidTr="00FF2F3D">
        <w:trPr>
          <w:trHeight w:val="959"/>
        </w:trPr>
        <w:tc>
          <w:tcPr>
            <w:tcW w:w="1869" w:type="dxa"/>
            <w:hideMark/>
          </w:tcPr>
          <w:p w:rsidR="009F7318" w:rsidRPr="00F51E8E" w:rsidRDefault="009F7318" w:rsidP="00FF2F3D">
            <w:pPr>
              <w:pStyle w:val="TableText"/>
            </w:pPr>
            <w:r w:rsidRPr="00F51E8E">
              <w:t>Plan for Evidence Review</w:t>
            </w:r>
          </w:p>
        </w:tc>
        <w:tc>
          <w:tcPr>
            <w:tcW w:w="4723" w:type="dxa"/>
            <w:hideMark/>
          </w:tcPr>
          <w:p w:rsidR="009F7318" w:rsidRPr="00F51E8E" w:rsidRDefault="009F7318" w:rsidP="00FF2F3D">
            <w:pPr>
              <w:pStyle w:val="TableText"/>
            </w:pPr>
            <w:r w:rsidRPr="00F51E8E">
              <w:t xml:space="preserve">Identification of data sources and their quality focusing, where sufficient data exists, on Australian aid program evaluations. </w:t>
            </w:r>
          </w:p>
          <w:p w:rsidR="009F7318" w:rsidRPr="00F51E8E" w:rsidRDefault="009F7318" w:rsidP="00FF2F3D">
            <w:pPr>
              <w:pStyle w:val="TableText"/>
            </w:pPr>
            <w:r w:rsidRPr="00F51E8E">
              <w:t xml:space="preserve">Consultation with ODE to refine scope and priorities. </w:t>
            </w:r>
          </w:p>
          <w:p w:rsidR="009F7318" w:rsidRPr="00F51E8E" w:rsidRDefault="009F7318" w:rsidP="00FF2F3D">
            <w:pPr>
              <w:pStyle w:val="TableText"/>
            </w:pPr>
            <w:r w:rsidRPr="00F51E8E">
              <w:t xml:space="preserve">Preparation of written plan of work. </w:t>
            </w:r>
          </w:p>
        </w:tc>
        <w:tc>
          <w:tcPr>
            <w:tcW w:w="1334" w:type="dxa"/>
            <w:hideMark/>
          </w:tcPr>
          <w:p w:rsidR="009F7318" w:rsidRPr="00F51E8E" w:rsidRDefault="009F7318" w:rsidP="00FF2F3D">
            <w:pPr>
              <w:pStyle w:val="TableText"/>
            </w:pPr>
            <w:r w:rsidRPr="00F51E8E">
              <w:t xml:space="preserve">DFAT acceptance of plan. </w:t>
            </w:r>
          </w:p>
        </w:tc>
        <w:tc>
          <w:tcPr>
            <w:tcW w:w="1316" w:type="dxa"/>
            <w:hideMark/>
          </w:tcPr>
          <w:p w:rsidR="009F7318" w:rsidRPr="00F51E8E" w:rsidRDefault="009F7318" w:rsidP="00FF2F3D">
            <w:pPr>
              <w:pStyle w:val="TableText"/>
            </w:pPr>
            <w:r w:rsidRPr="00F51E8E">
              <w:t>May 2014</w:t>
            </w:r>
          </w:p>
        </w:tc>
      </w:tr>
      <w:tr w:rsidR="009F7318" w:rsidRPr="00F51E8E" w:rsidTr="00FF2F3D">
        <w:trPr>
          <w:trHeight w:val="933"/>
        </w:trPr>
        <w:tc>
          <w:tcPr>
            <w:tcW w:w="1869" w:type="dxa"/>
            <w:hideMark/>
          </w:tcPr>
          <w:p w:rsidR="009F7318" w:rsidRPr="00F51E8E" w:rsidRDefault="009F7318" w:rsidP="00FF2F3D">
            <w:pPr>
              <w:pStyle w:val="TableText"/>
            </w:pPr>
            <w:r w:rsidRPr="00F51E8E">
              <w:t>Draft report and annotated bibliography</w:t>
            </w:r>
          </w:p>
        </w:tc>
        <w:tc>
          <w:tcPr>
            <w:tcW w:w="4723" w:type="dxa"/>
            <w:hideMark/>
          </w:tcPr>
          <w:p w:rsidR="009F7318" w:rsidRPr="00F51E8E" w:rsidRDefault="009F7318" w:rsidP="00FF2F3D">
            <w:pPr>
              <w:pStyle w:val="TableText"/>
            </w:pPr>
            <w:r w:rsidRPr="00F51E8E">
              <w:t>Analysis of evidence.</w:t>
            </w:r>
          </w:p>
          <w:p w:rsidR="009F7318" w:rsidRPr="00F51E8E" w:rsidRDefault="009F7318" w:rsidP="00FF2F3D">
            <w:pPr>
              <w:pStyle w:val="TableText"/>
            </w:pPr>
            <w:r w:rsidRPr="00F51E8E">
              <w:t>Consultation with ODE on analysis and emerging findings</w:t>
            </w:r>
            <w:r>
              <w:t xml:space="preserve">. </w:t>
            </w:r>
          </w:p>
          <w:p w:rsidR="009F7318" w:rsidRPr="00F51E8E" w:rsidRDefault="009F7318" w:rsidP="00FF2F3D">
            <w:pPr>
              <w:pStyle w:val="TableText"/>
            </w:pPr>
            <w:r w:rsidRPr="00F51E8E">
              <w:t>Possible consultation with stakeholders as arranged by ODE.</w:t>
            </w:r>
          </w:p>
          <w:p w:rsidR="009F7318" w:rsidRPr="00F51E8E" w:rsidRDefault="009F7318" w:rsidP="00FF2F3D">
            <w:pPr>
              <w:pStyle w:val="TableText"/>
            </w:pPr>
            <w:r w:rsidRPr="00F51E8E">
              <w:t xml:space="preserve">Preparation of draft report. </w:t>
            </w:r>
          </w:p>
        </w:tc>
        <w:tc>
          <w:tcPr>
            <w:tcW w:w="1334" w:type="dxa"/>
            <w:hideMark/>
          </w:tcPr>
          <w:p w:rsidR="009F7318" w:rsidRPr="00F51E8E" w:rsidRDefault="009F7318" w:rsidP="00FF2F3D">
            <w:pPr>
              <w:pStyle w:val="TableText"/>
            </w:pPr>
            <w:r w:rsidRPr="00F51E8E">
              <w:t>DFAT acceptance of draft report and annotated bibliography.</w:t>
            </w:r>
          </w:p>
        </w:tc>
        <w:tc>
          <w:tcPr>
            <w:tcW w:w="1316" w:type="dxa"/>
            <w:hideMark/>
          </w:tcPr>
          <w:p w:rsidR="009F7318" w:rsidRPr="00F51E8E" w:rsidRDefault="009F7318" w:rsidP="00FF2F3D">
            <w:pPr>
              <w:pStyle w:val="TableText"/>
            </w:pPr>
            <w:r w:rsidRPr="00F51E8E">
              <w:t>June 2014</w:t>
            </w:r>
          </w:p>
        </w:tc>
      </w:tr>
      <w:tr w:rsidR="009F7318" w:rsidRPr="00F51E8E" w:rsidTr="00FF2F3D">
        <w:tc>
          <w:tcPr>
            <w:tcW w:w="1869" w:type="dxa"/>
            <w:hideMark/>
          </w:tcPr>
          <w:p w:rsidR="009F7318" w:rsidRPr="00F51E8E" w:rsidRDefault="009F7318" w:rsidP="00FF2F3D">
            <w:pPr>
              <w:pStyle w:val="TableText"/>
            </w:pPr>
            <w:r w:rsidRPr="00F51E8E">
              <w:t>Final report and annotated bibliography</w:t>
            </w:r>
          </w:p>
        </w:tc>
        <w:tc>
          <w:tcPr>
            <w:tcW w:w="4723" w:type="dxa"/>
            <w:hideMark/>
          </w:tcPr>
          <w:p w:rsidR="009F7318" w:rsidRPr="00F51E8E" w:rsidRDefault="009F7318" w:rsidP="00FF2F3D">
            <w:pPr>
              <w:pStyle w:val="TableText"/>
            </w:pPr>
            <w:r w:rsidRPr="00F51E8E">
              <w:t>Responding to and incorporating feedback on draft report provided by ODE.</w:t>
            </w:r>
          </w:p>
          <w:p w:rsidR="009F7318" w:rsidRPr="00F51E8E" w:rsidRDefault="009F7318" w:rsidP="00FF2F3D">
            <w:pPr>
              <w:pStyle w:val="TableText"/>
            </w:pPr>
            <w:r w:rsidRPr="00F51E8E">
              <w:t>Report writing, analysis and editing</w:t>
            </w:r>
            <w:r>
              <w:t>.</w:t>
            </w:r>
            <w:r w:rsidRPr="00F51E8E">
              <w:t xml:space="preserve"> </w:t>
            </w:r>
          </w:p>
          <w:p w:rsidR="009F7318" w:rsidRPr="00F51E8E" w:rsidRDefault="009F7318" w:rsidP="00FF2F3D">
            <w:pPr>
              <w:pStyle w:val="TableText"/>
            </w:pPr>
            <w:r w:rsidRPr="00F51E8E">
              <w:t xml:space="preserve">Consultation with ODE to receive feedback/input. </w:t>
            </w:r>
          </w:p>
          <w:p w:rsidR="009F7318" w:rsidRPr="00F51E8E" w:rsidRDefault="009F7318" w:rsidP="00FF2F3D">
            <w:pPr>
              <w:pStyle w:val="TableText"/>
            </w:pPr>
            <w:r w:rsidRPr="00F51E8E">
              <w:t xml:space="preserve">Preparation of publication standard report. </w:t>
            </w:r>
          </w:p>
        </w:tc>
        <w:tc>
          <w:tcPr>
            <w:tcW w:w="1334" w:type="dxa"/>
            <w:hideMark/>
          </w:tcPr>
          <w:p w:rsidR="009F7318" w:rsidRPr="00F51E8E" w:rsidRDefault="009F7318" w:rsidP="00FF2F3D">
            <w:pPr>
              <w:pStyle w:val="TableText"/>
            </w:pPr>
            <w:r w:rsidRPr="00F51E8E">
              <w:t xml:space="preserve">DFAT acceptance of final report and annotated bibliography. </w:t>
            </w:r>
          </w:p>
        </w:tc>
        <w:tc>
          <w:tcPr>
            <w:tcW w:w="1316" w:type="dxa"/>
            <w:hideMark/>
          </w:tcPr>
          <w:p w:rsidR="009F7318" w:rsidRPr="00F51E8E" w:rsidRDefault="009F7318" w:rsidP="00FF2F3D">
            <w:pPr>
              <w:pStyle w:val="TableText"/>
            </w:pPr>
            <w:r w:rsidRPr="00F51E8E">
              <w:t>June 2014</w:t>
            </w:r>
          </w:p>
        </w:tc>
      </w:tr>
    </w:tbl>
    <w:p w:rsidR="009F7318" w:rsidRPr="0079792A" w:rsidRDefault="009F7318" w:rsidP="009F7318">
      <w:pPr>
        <w:pStyle w:val="Heading2a"/>
      </w:pPr>
      <w:r>
        <w:t>A.1.7</w:t>
      </w:r>
      <w:r>
        <w:tab/>
      </w:r>
      <w:r w:rsidRPr="0079792A">
        <w:t>Inputs</w:t>
      </w:r>
    </w:p>
    <w:p w:rsidR="009F7318" w:rsidRDefault="009F7318" w:rsidP="009F7318">
      <w:proofErr w:type="gramStart"/>
      <w:r>
        <w:t>Up to 40 days.</w:t>
      </w:r>
      <w:proofErr w:type="gramEnd"/>
      <w:r>
        <w:t xml:space="preserve"> </w:t>
      </w:r>
    </w:p>
    <w:p w:rsidR="009F7318" w:rsidRPr="00D00EA4" w:rsidRDefault="009F7318" w:rsidP="009F7318">
      <w:r w:rsidRPr="00D00EA4">
        <w:t>Evaluation team composition</w:t>
      </w:r>
      <w:r>
        <w:t>:</w:t>
      </w:r>
    </w:p>
    <w:p w:rsidR="009F7318" w:rsidRDefault="009F7318" w:rsidP="009F7318">
      <w:r>
        <w:t xml:space="preserve">Ideally the team would be an individual or small team. </w:t>
      </w:r>
    </w:p>
    <w:p w:rsidR="009F7318" w:rsidRDefault="009F7318" w:rsidP="009F7318">
      <w:pPr>
        <w:pStyle w:val="NormalBeforeBullet"/>
      </w:pPr>
      <w:r>
        <w:t>At a minimum the team would need to include a combination of the following skills:</w:t>
      </w:r>
    </w:p>
    <w:p w:rsidR="009F7318" w:rsidRDefault="009F7318" w:rsidP="009F7318">
      <w:pPr>
        <w:pStyle w:val="Bullet"/>
      </w:pPr>
      <w:r>
        <w:t>Substantial evaluation experience and knowledge of evaluation methodology and practice;</w:t>
      </w:r>
    </w:p>
    <w:p w:rsidR="009F7318" w:rsidRDefault="009F7318" w:rsidP="009F7318">
      <w:pPr>
        <w:pStyle w:val="Bullet"/>
      </w:pPr>
      <w:r>
        <w:t>Proven experience as the primary author of high quality publications in clear English including evaluation reports, reviews and/or research;</w:t>
      </w:r>
    </w:p>
    <w:p w:rsidR="009F7318" w:rsidRDefault="009F7318" w:rsidP="009F7318">
      <w:pPr>
        <w:pStyle w:val="Bullet"/>
      </w:pPr>
      <w:r>
        <w:t>Postgraduate qualifications in evaluation, or equivalent professional experience;</w:t>
      </w:r>
    </w:p>
    <w:p w:rsidR="009F7318" w:rsidRDefault="009F7318" w:rsidP="009F7318">
      <w:pPr>
        <w:pStyle w:val="Bullet"/>
      </w:pPr>
      <w:r>
        <w:t xml:space="preserve">Strong health sector knowledge of </w:t>
      </w:r>
      <w:proofErr w:type="spellStart"/>
      <w:r>
        <w:t>SWAps</w:t>
      </w:r>
      <w:proofErr w:type="spellEnd"/>
      <w:r>
        <w:t>, budget support and financial instruments;</w:t>
      </w:r>
    </w:p>
    <w:p w:rsidR="009F7318" w:rsidRDefault="009F7318" w:rsidP="009F7318">
      <w:pPr>
        <w:pStyle w:val="Bullet"/>
      </w:pPr>
      <w:r>
        <w:t>Experience in international development.</w:t>
      </w:r>
    </w:p>
    <w:p w:rsidR="009F7318" w:rsidRDefault="009F7318" w:rsidP="009F7318">
      <w:pPr>
        <w:pStyle w:val="Bullet"/>
      </w:pPr>
      <w:r>
        <w:t>Strong knowledge of the Asia</w:t>
      </w:r>
      <w:r w:rsidR="00877174">
        <w:t xml:space="preserve"> </w:t>
      </w:r>
      <w:r>
        <w:t>Pacific region.</w:t>
      </w:r>
    </w:p>
    <w:p w:rsidR="009F7318" w:rsidRDefault="009F7318" w:rsidP="009F7318"/>
    <w:p w:rsidR="009F7318" w:rsidRDefault="009F7318" w:rsidP="009F7318"/>
    <w:p w:rsidR="009F7318" w:rsidRDefault="009F7318" w:rsidP="0029335F">
      <w:pPr>
        <w:pStyle w:val="SectionTitle"/>
      </w:pPr>
      <w:bookmarkStart w:id="50" w:name="_Toc394224892"/>
      <w:bookmarkStart w:id="51" w:name="_Toc403403698"/>
      <w:r w:rsidRPr="0029335F">
        <w:lastRenderedPageBreak/>
        <w:t>Appendix 2:</w:t>
      </w:r>
      <w:r>
        <w:t xml:space="preserve"> </w:t>
      </w:r>
      <w:r w:rsidRPr="0029335F">
        <w:t>Approach to documentation</w:t>
      </w:r>
      <w:bookmarkEnd w:id="50"/>
      <w:bookmarkEnd w:id="51"/>
    </w:p>
    <w:p w:rsidR="009F7318" w:rsidRPr="0079792A" w:rsidRDefault="009F7318" w:rsidP="009F7318">
      <w:pPr>
        <w:pStyle w:val="Heading2a"/>
      </w:pPr>
      <w:r>
        <w:t>A.2.1</w:t>
      </w:r>
      <w:r>
        <w:tab/>
      </w:r>
      <w:r w:rsidRPr="0079792A">
        <w:t>Composition and roles of the evidence review team</w:t>
      </w:r>
    </w:p>
    <w:p w:rsidR="009F7318" w:rsidRDefault="009F7318" w:rsidP="009F7318">
      <w:r>
        <w:t xml:space="preserve">The review team comprised: </w:t>
      </w:r>
    </w:p>
    <w:p w:rsidR="009F7318" w:rsidRDefault="009F7318" w:rsidP="009F7318">
      <w:pPr>
        <w:pStyle w:val="Bullet"/>
      </w:pPr>
      <w:r>
        <w:t>Team Leader and lead author (Javier Martinez): the Team Leader’s role was to direct the overall approach to the review and analyse the evidence to address the five components of the review. The Team Leader is responsible for all written outputs developed by the review team.</w:t>
      </w:r>
    </w:p>
    <w:p w:rsidR="009F7318" w:rsidRDefault="009F7318" w:rsidP="009F7318">
      <w:pPr>
        <w:pStyle w:val="Bullet"/>
      </w:pPr>
      <w:r>
        <w:t xml:space="preserve">Aid Effectiveness Expert (Clare Dickinson): worked with the Team Leader primarily to review the international evidence. </w:t>
      </w:r>
    </w:p>
    <w:p w:rsidR="009F7318" w:rsidRDefault="009F7318" w:rsidP="009F7318">
      <w:pPr>
        <w:pStyle w:val="Bullet"/>
      </w:pPr>
      <w:r>
        <w:t xml:space="preserve">Documentation reviewers (Jane </w:t>
      </w:r>
      <w:proofErr w:type="spellStart"/>
      <w:r>
        <w:t>Pepperall</w:t>
      </w:r>
      <w:proofErr w:type="spellEnd"/>
      <w:r>
        <w:t xml:space="preserve">, Claudia Sambo and Jody Tate): Collected and summarised relevant material for each country, aiming to guide the Team Leader in selecting the right documents and drawing his attention to important areas. Claudia Sambo prepared the annotated bibliography, reviewed the references, and edited the report. </w:t>
      </w:r>
    </w:p>
    <w:p w:rsidR="009F7318" w:rsidRPr="0079792A" w:rsidRDefault="009F7318" w:rsidP="009F7318">
      <w:pPr>
        <w:pStyle w:val="Heading2a"/>
      </w:pPr>
      <w:r>
        <w:t>A.2.2</w:t>
      </w:r>
      <w:r>
        <w:tab/>
      </w:r>
      <w:r w:rsidRPr="0079792A">
        <w:t>Approach to document review phase</w:t>
      </w:r>
    </w:p>
    <w:p w:rsidR="009F7318" w:rsidRDefault="009F7318" w:rsidP="009F7318">
      <w:r>
        <w:t xml:space="preserve">The documentation review lasted for about four weeks and involved three researchers. The main search was done via internet using the Pub Med database for published, academic literature and Google for the publicly available published and unpublished (also called grey) literature. In addition the researchers searched the database at the </w:t>
      </w:r>
      <w:r w:rsidR="00C62400">
        <w:t>Health Resource Facility for Australia’s Aid Program</w:t>
      </w:r>
      <w:r w:rsidR="00C62400" w:rsidDel="00C62400">
        <w:t xml:space="preserve"> </w:t>
      </w:r>
      <w:r>
        <w:t xml:space="preserve">in Canberra and the database of the HLSP Institute in London. We also consulted with a limited number of international health consultant colleagues experienced in the topics or in the countries under review to provide additional documents. </w:t>
      </w:r>
    </w:p>
    <w:p w:rsidR="009F7318" w:rsidRDefault="009F7318" w:rsidP="009F7318">
      <w:r>
        <w:t xml:space="preserve">With the help from ODE and through the </w:t>
      </w:r>
      <w:r w:rsidR="00C62400">
        <w:t>Health Resource Facility for Australia’s Aid Program</w:t>
      </w:r>
      <w:r>
        <w:t>, we approached DFAT country offices in the countries under review. Country offices were informed by ODE about the evidence review and we subsequently requested available documents from them. The types of documents requested from the offices included APPRs, health sector reviews, in-country evaluations, policy papers, discussion documents, internal memoranda on the health program or correspondence held that might shed light on the evidence review.</w:t>
      </w:r>
    </w:p>
    <w:p w:rsidR="009F7318" w:rsidRDefault="009F7318" w:rsidP="009F7318">
      <w:pPr>
        <w:pStyle w:val="NormalBeforeBullet"/>
      </w:pPr>
      <w:r>
        <w:t>The next task was to review a considerable amount of documentation in an attempt to identify the most relevant documents and the most salient issues. We used the five components of the evidence review as a proxy for relevance and usefulness. Issues that we looked for included:</w:t>
      </w:r>
    </w:p>
    <w:p w:rsidR="009F7318" w:rsidRDefault="009F7318" w:rsidP="009F7318">
      <w:pPr>
        <w:pStyle w:val="NumberList"/>
      </w:pPr>
      <w:r>
        <w:t>1.</w:t>
      </w:r>
      <w:r>
        <w:tab/>
        <w:t>Do documents describe how the Australian aid program has used the aid and financing instruments under review?</w:t>
      </w:r>
    </w:p>
    <w:p w:rsidR="009F7318" w:rsidRDefault="009F7318" w:rsidP="009F7318">
      <w:pPr>
        <w:pStyle w:val="NumberList"/>
      </w:pPr>
      <w:r>
        <w:t>2.</w:t>
      </w:r>
      <w:r>
        <w:tab/>
        <w:t xml:space="preserve">What specific evaluations, if at all, have been conducted in country? And how rigorous, relevant, useful do those evaluations look like? We used these questions as a proxy for ‘quality of evaluation </w:t>
      </w:r>
      <w:proofErr w:type="gramStart"/>
      <w:r>
        <w:t>approaches’,</w:t>
      </w:r>
      <w:proofErr w:type="gramEnd"/>
      <w:r>
        <w:t xml:space="preserve"> noting that all that we have done at this phase is to prioritise the key evaluations and reviews without discarding any of those. </w:t>
      </w:r>
      <w:proofErr w:type="gramStart"/>
      <w:r>
        <w:t>Judgements about the quality of the evaluations/reviews was</w:t>
      </w:r>
      <w:proofErr w:type="gramEnd"/>
      <w:r>
        <w:t xml:space="preserve"> undertaken in the next phase (the review of evidence). </w:t>
      </w:r>
    </w:p>
    <w:p w:rsidR="009F7318" w:rsidRDefault="009F7318" w:rsidP="009F7318">
      <w:pPr>
        <w:pStyle w:val="NumberList"/>
      </w:pPr>
      <w:r>
        <w:lastRenderedPageBreak/>
        <w:t>3.</w:t>
      </w:r>
      <w:r>
        <w:tab/>
        <w:t xml:space="preserve">Do Australian aid program evaluations, performance reports and reviews, if available, shed light on the effectiveness of the aid and financing instruments under review? At this early phase we assessed, as a marker for effectiveness, whether available documents discussed any or all of the following: the objectives and expected results of the sector program; the prevailing monitoring and evaluation arrangements; the approaches used by donors, governments and other stakeholders to align their priorities and financial resources behind the sector plans and to engage in policy dialogue; any other relevant issues that cannot be classified in the above categories including, for example, contextual factors that affected planning or implementation of the proposed aid and financing instruments. </w:t>
      </w:r>
    </w:p>
    <w:p w:rsidR="009F7318" w:rsidRDefault="009F7318" w:rsidP="009F7318">
      <w:pPr>
        <w:pStyle w:val="NumberList"/>
      </w:pPr>
      <w:r>
        <w:t>4.</w:t>
      </w:r>
      <w:r>
        <w:tab/>
        <w:t xml:space="preserve">We asked the same questions as in the paragraph above in relation to any other evaluations and reviews undertaken by other donors as well as those undertaken by any other parties including the government, civil society and NGOs and international agencies and organisations. </w:t>
      </w:r>
    </w:p>
    <w:p w:rsidR="009F7318" w:rsidRDefault="009F7318" w:rsidP="009F7318">
      <w:pPr>
        <w:pStyle w:val="BulletLast"/>
        <w:numPr>
          <w:ilvl w:val="0"/>
          <w:numId w:val="0"/>
        </w:numPr>
        <w:ind w:left="284" w:hanging="284"/>
      </w:pPr>
      <w:r>
        <w:t>5.</w:t>
      </w:r>
      <w:r>
        <w:tab/>
        <w:t xml:space="preserve">What are the main evaluations and reviews available from the international literature on the aid and financing instruments under review? This part of the review used informal exchanges among the researchers and with colleagues as well as internet searches. </w:t>
      </w:r>
    </w:p>
    <w:p w:rsidR="009F7318" w:rsidRDefault="009F7318" w:rsidP="009F7318">
      <w:r>
        <w:t>Once country information was prioritised, the researchers carried out a more detailed reading of the documents and summarised the main areas/issues that those documents contained. During the evidence review phase the document summaries of the most relevant documents were developed into an annotated bibliography.</w:t>
      </w:r>
    </w:p>
    <w:p w:rsidR="009F7318" w:rsidRDefault="009F7318" w:rsidP="009F7318">
      <w:r>
        <w:t xml:space="preserve">As an exception to the approach outlined above, no attempt was made during the documentation phase to summarise documents pertaining to evaluations, technical reviews, </w:t>
      </w:r>
      <w:proofErr w:type="gramStart"/>
      <w:r>
        <w:t>policy</w:t>
      </w:r>
      <w:proofErr w:type="gramEnd"/>
      <w:r>
        <w:t xml:space="preserve">, technical or approach papers on the aid and financing instruments within the international health literature. We did use some of the main documents in order to inform the template for analysis. The main reason for not summarising the international literature at this stage - including the literature commissioned by or undertaken by the Australian aid program – is that we assumed that most of it could be relevant (since most of it is either peer reviewed or at least reviewed by commissioning agencies). Therefore, we went through the international literature in more depth during the second phase of the evidence review. </w:t>
      </w:r>
    </w:p>
    <w:p w:rsidR="009F7318" w:rsidRDefault="009F7318" w:rsidP="009F7318">
      <w:r>
        <w:br w:type="page"/>
      </w:r>
    </w:p>
    <w:p w:rsidR="009F7318" w:rsidRDefault="009F7318" w:rsidP="009F7318">
      <w:pPr>
        <w:pStyle w:val="SectionTitle"/>
      </w:pPr>
      <w:bookmarkStart w:id="52" w:name="_Toc403403699"/>
      <w:bookmarkStart w:id="53" w:name="_Toc394224895"/>
      <w:r>
        <w:lastRenderedPageBreak/>
        <w:t>Appendix 3: Country evidence tables</w:t>
      </w:r>
      <w:bookmarkEnd w:id="52"/>
      <w:r>
        <w:t xml:space="preserve"> </w:t>
      </w:r>
      <w:bookmarkEnd w:id="53"/>
    </w:p>
    <w:p w:rsidR="009F7318" w:rsidRDefault="009F7318" w:rsidP="009F7318">
      <w:pPr>
        <w:pStyle w:val="Heading2a"/>
        <w:ind w:left="851" w:hanging="851"/>
      </w:pPr>
      <w:r>
        <w:t>A.3.1</w:t>
      </w:r>
      <w:r>
        <w:tab/>
        <w:t xml:space="preserve">Results focus </w:t>
      </w:r>
    </w:p>
    <w:p w:rsidR="009F7318" w:rsidRDefault="009F7318" w:rsidP="009F7318">
      <w:pPr>
        <w:pStyle w:val="TableName"/>
        <w:ind w:left="0" w:firstLine="0"/>
      </w:pPr>
    </w:p>
    <w:p w:rsidR="009F7318" w:rsidRDefault="009F7318" w:rsidP="009F7318">
      <w:pPr>
        <w:pStyle w:val="TableName"/>
        <w:ind w:left="0" w:firstLine="0"/>
      </w:pPr>
      <w:bookmarkStart w:id="54" w:name="_Toc402192202"/>
      <w:r>
        <w:t>Table A1</w:t>
      </w:r>
      <w:r>
        <w:tab/>
        <w:t xml:space="preserve">Were results defined for the </w:t>
      </w:r>
      <w:proofErr w:type="spellStart"/>
      <w:r>
        <w:t>SWAp</w:t>
      </w:r>
      <w:proofErr w:type="spellEnd"/>
      <w:r>
        <w:t xml:space="preserve"> and for the Australian aid program?</w:t>
      </w:r>
      <w:bookmarkEnd w:id="54"/>
    </w:p>
    <w:tbl>
      <w:tblPr>
        <w:tblStyle w:val="TableGrid"/>
        <w:tblpPr w:leftFromText="181" w:rightFromText="181" w:vertAnchor="text" w:tblpY="1"/>
        <w:tblOverlap w:val="never"/>
        <w:tblW w:w="5000" w:type="pct"/>
        <w:tblLook w:val="04A0" w:firstRow="1" w:lastRow="0" w:firstColumn="1" w:lastColumn="0" w:noHBand="0" w:noVBand="1"/>
      </w:tblPr>
      <w:tblGrid>
        <w:gridCol w:w="1102"/>
        <w:gridCol w:w="8140"/>
      </w:tblGrid>
      <w:tr w:rsidR="009F7318" w:rsidRPr="007477B1" w:rsidTr="00FF2F3D">
        <w:trPr>
          <w:cnfStyle w:val="100000000000" w:firstRow="1" w:lastRow="0" w:firstColumn="0" w:lastColumn="0" w:oddVBand="0" w:evenVBand="0" w:oddHBand="0" w:evenHBand="0" w:firstRowFirstColumn="0" w:firstRowLastColumn="0" w:lastRowFirstColumn="0" w:lastRowLastColumn="0"/>
          <w:cantSplit/>
          <w:trHeight w:val="373"/>
          <w:tblHeader/>
        </w:trPr>
        <w:tc>
          <w:tcPr>
            <w:tcW w:w="596" w:type="pct"/>
          </w:tcPr>
          <w:p w:rsidR="009F7318" w:rsidRPr="007477B1" w:rsidRDefault="009F7318" w:rsidP="00FF2F3D">
            <w:pPr>
              <w:pStyle w:val="TableHeading2"/>
            </w:pPr>
            <w:r w:rsidRPr="007477B1">
              <w:t>Countr</w:t>
            </w:r>
            <w:r>
              <w:t>y</w:t>
            </w:r>
          </w:p>
        </w:tc>
        <w:tc>
          <w:tcPr>
            <w:tcW w:w="4404" w:type="pct"/>
          </w:tcPr>
          <w:p w:rsidR="009F7318" w:rsidRPr="007477B1" w:rsidRDefault="009F7318" w:rsidP="00FF2F3D">
            <w:pPr>
              <w:pStyle w:val="TableHeading"/>
            </w:pPr>
            <w:r>
              <w:t xml:space="preserve">Were results defined for the </w:t>
            </w:r>
            <w:proofErr w:type="spellStart"/>
            <w:r>
              <w:t>SWAp</w:t>
            </w:r>
            <w:proofErr w:type="spellEnd"/>
            <w:r>
              <w:t>? Were these defined specifically for the Australian aid program?</w:t>
            </w:r>
          </w:p>
        </w:tc>
      </w:tr>
      <w:tr w:rsidR="009F7318" w:rsidRPr="007477B1" w:rsidTr="00FF2F3D">
        <w:trPr>
          <w:cantSplit/>
        </w:trPr>
        <w:tc>
          <w:tcPr>
            <w:tcW w:w="596" w:type="pct"/>
          </w:tcPr>
          <w:p w:rsidR="009F7318" w:rsidRPr="007477B1" w:rsidRDefault="009F7318" w:rsidP="00FF2F3D">
            <w:pPr>
              <w:pStyle w:val="TableText"/>
            </w:pPr>
            <w:r w:rsidRPr="007477B1">
              <w:t>Bangladesh</w:t>
            </w:r>
          </w:p>
        </w:tc>
        <w:tc>
          <w:tcPr>
            <w:tcW w:w="4404" w:type="pct"/>
          </w:tcPr>
          <w:p w:rsidR="009F7318" w:rsidRPr="007477B1" w:rsidRDefault="009F7318" w:rsidP="00FF2F3D">
            <w:pPr>
              <w:pStyle w:val="TableText"/>
            </w:pPr>
            <w:r>
              <w:t xml:space="preserve">Results were defined for both the </w:t>
            </w:r>
            <w:proofErr w:type="spellStart"/>
            <w:r>
              <w:t>SWAp</w:t>
            </w:r>
            <w:proofErr w:type="spellEnd"/>
            <w:r>
              <w:t xml:space="preserve"> as well as for the sector program being supported (in this case the HPNSDP) in the form of an M&amp;E Results framework of indicators. In addition, the Australian aid program had its own objectives for the health sector support that were reported internally. </w:t>
            </w:r>
          </w:p>
        </w:tc>
      </w:tr>
      <w:tr w:rsidR="009F7318" w:rsidRPr="007477B1" w:rsidTr="00FF2F3D">
        <w:trPr>
          <w:cantSplit/>
        </w:trPr>
        <w:tc>
          <w:tcPr>
            <w:tcW w:w="596" w:type="pct"/>
          </w:tcPr>
          <w:p w:rsidR="009F7318" w:rsidRPr="007477B1" w:rsidRDefault="009F7318" w:rsidP="00FF2F3D">
            <w:pPr>
              <w:pStyle w:val="TableText"/>
            </w:pPr>
            <w:r w:rsidRPr="007477B1">
              <w:t>Cambodia</w:t>
            </w:r>
          </w:p>
        </w:tc>
        <w:tc>
          <w:tcPr>
            <w:tcW w:w="4404" w:type="pct"/>
          </w:tcPr>
          <w:p w:rsidR="009F7318" w:rsidRPr="007477B1" w:rsidRDefault="009F7318" w:rsidP="00BC3521">
            <w:pPr>
              <w:pStyle w:val="TableText"/>
            </w:pPr>
            <w:r>
              <w:t>The o</w:t>
            </w:r>
            <w:r w:rsidRPr="00734D0A">
              <w:t>bjective of HSSP2 is to support the implementation of the Government's HSP2 to improve health outcomes through strengthening institutional capacity</w:t>
            </w:r>
            <w:r>
              <w:t>. Australia defined specific outcomes for its aid referred to as t</w:t>
            </w:r>
            <w:r w:rsidRPr="00860186">
              <w:t xml:space="preserve">he Cambodia Delivering Better Health </w:t>
            </w:r>
            <w:r>
              <w:t xml:space="preserve">program with four outcomes: </w:t>
            </w:r>
            <w:r w:rsidRPr="00860186">
              <w:t xml:space="preserve"> </w:t>
            </w:r>
            <w:r>
              <w:t xml:space="preserve">1) </w:t>
            </w:r>
            <w:r w:rsidRPr="00860186">
              <w:t xml:space="preserve">Strengthening </w:t>
            </w:r>
            <w:proofErr w:type="spellStart"/>
            <w:r w:rsidRPr="00860186">
              <w:t>MoH</w:t>
            </w:r>
            <w:proofErr w:type="spellEnd"/>
            <w:r w:rsidRPr="00860186">
              <w:t xml:space="preserve"> health service delivery</w:t>
            </w:r>
            <w:r>
              <w:t xml:space="preserve">; </w:t>
            </w:r>
            <w:r w:rsidRPr="00860186">
              <w:t>2) Improving health care financing</w:t>
            </w:r>
            <w:r>
              <w:t xml:space="preserve">; </w:t>
            </w:r>
            <w:r w:rsidRPr="00860186">
              <w:t>3) Strengthening human resources</w:t>
            </w:r>
            <w:r>
              <w:t xml:space="preserve">; </w:t>
            </w:r>
            <w:r w:rsidRPr="00860186">
              <w:t>4) Strengthening health system stewardship</w:t>
            </w:r>
            <w:r>
              <w:t>.</w:t>
            </w:r>
            <w:r>
              <w:rPr>
                <w:rStyle w:val="FootnoteReference"/>
              </w:rPr>
              <w:footnoteReference w:id="68"/>
            </w:r>
          </w:p>
        </w:tc>
      </w:tr>
      <w:tr w:rsidR="009F7318" w:rsidRPr="007477B1" w:rsidTr="00FF2F3D">
        <w:trPr>
          <w:cantSplit/>
        </w:trPr>
        <w:tc>
          <w:tcPr>
            <w:tcW w:w="596" w:type="pct"/>
          </w:tcPr>
          <w:p w:rsidR="009F7318" w:rsidRPr="007477B1" w:rsidRDefault="009F7318" w:rsidP="00FF2F3D">
            <w:pPr>
              <w:pStyle w:val="TableText"/>
            </w:pPr>
            <w:r w:rsidRPr="007477B1">
              <w:t>Nepal</w:t>
            </w:r>
          </w:p>
        </w:tc>
        <w:tc>
          <w:tcPr>
            <w:tcW w:w="4404" w:type="pct"/>
          </w:tcPr>
          <w:p w:rsidR="009F7318" w:rsidRPr="007477B1" w:rsidRDefault="009F7318" w:rsidP="00521D10">
            <w:pPr>
              <w:pStyle w:val="TableText"/>
            </w:pPr>
            <w:r>
              <w:t xml:space="preserve">Results are clearly defined for the </w:t>
            </w:r>
            <w:proofErr w:type="spellStart"/>
            <w:r>
              <w:t>SWAp</w:t>
            </w:r>
            <w:proofErr w:type="spellEnd"/>
            <w:r>
              <w:t xml:space="preserve"> and reflected in an M&amp;E framework of indicators. In addition, the Australian aid program has defined specific objectives and indicators for its aid: 1) </w:t>
            </w:r>
            <w:r w:rsidRPr="002B2C7A">
              <w:t xml:space="preserve">Increase access to and utilization of quality essential health care services by women, poor and the marginalised communities. </w:t>
            </w:r>
            <w:r>
              <w:t xml:space="preserve">Indicators are: % of children immunized; </w:t>
            </w:r>
            <w:r w:rsidRPr="002B2C7A">
              <w:t xml:space="preserve">% of deliveries attended by Skilled Birth </w:t>
            </w:r>
            <w:r>
              <w:t>A</w:t>
            </w:r>
            <w:r w:rsidRPr="002B2C7A">
              <w:t>ttendants</w:t>
            </w:r>
            <w:r>
              <w:t xml:space="preserve">; </w:t>
            </w:r>
            <w:r w:rsidRPr="002B2C7A">
              <w:t>% of institutional deliveries</w:t>
            </w:r>
            <w:r>
              <w:t xml:space="preserve">; Number of </w:t>
            </w:r>
            <w:r w:rsidR="00521D10">
              <w:t>skilled birth attendants</w:t>
            </w:r>
            <w:r>
              <w:t xml:space="preserve"> trained; </w:t>
            </w:r>
            <w:r w:rsidR="00D00308">
              <w:t>contraceptive prevalence rate (CPR)</w:t>
            </w:r>
            <w:r>
              <w:t xml:space="preserve">; </w:t>
            </w:r>
            <w:r w:rsidRPr="002B2C7A">
              <w:t>Coverage of Antenatal Care,</w:t>
            </w:r>
            <w:r>
              <w:t xml:space="preserve"> iron folic acid and vitamin A. 2) </w:t>
            </w:r>
            <w:r w:rsidRPr="002B2C7A">
              <w:t>Improving health systems to achieve universal coverage of the</w:t>
            </w:r>
            <w:r>
              <w:t xml:space="preserve"> essential health care services. Indicators: </w:t>
            </w:r>
            <w:r w:rsidRPr="002B2C7A">
              <w:t>% of districts facilities having no stock out of essential drugs fo</w:t>
            </w:r>
            <w:r>
              <w:t xml:space="preserve">r more than one month per year; % of budget executed. 3) </w:t>
            </w:r>
            <w:r w:rsidRPr="002B2C7A">
              <w:t xml:space="preserve">Improved Annual Work plan and Budget consultation, with increased # of actions in Governance and Accountability Action Plan (GAAP) </w:t>
            </w:r>
            <w:r>
              <w:t xml:space="preserve">and </w:t>
            </w:r>
            <w:r w:rsidRPr="002B2C7A">
              <w:t>GESI plan been budgeted and implemented</w:t>
            </w:r>
          </w:p>
        </w:tc>
      </w:tr>
      <w:tr w:rsidR="009F7318" w:rsidRPr="007477B1" w:rsidTr="00FF2F3D">
        <w:trPr>
          <w:cantSplit/>
        </w:trPr>
        <w:tc>
          <w:tcPr>
            <w:tcW w:w="596" w:type="pct"/>
          </w:tcPr>
          <w:p w:rsidR="009F7318" w:rsidRPr="007477B1" w:rsidRDefault="009F7318" w:rsidP="0097056D">
            <w:pPr>
              <w:pStyle w:val="TableText"/>
            </w:pPr>
            <w:r w:rsidRPr="007477B1">
              <w:t>P</w:t>
            </w:r>
            <w:r w:rsidR="00DF1DD1">
              <w:t>apua New Guinea</w:t>
            </w:r>
          </w:p>
        </w:tc>
        <w:tc>
          <w:tcPr>
            <w:tcW w:w="4404" w:type="pct"/>
          </w:tcPr>
          <w:p w:rsidR="009F7318" w:rsidRPr="007477B1" w:rsidRDefault="009F7318" w:rsidP="00521D10">
            <w:pPr>
              <w:pStyle w:val="TableText"/>
            </w:pPr>
            <w:r w:rsidRPr="00BE65D3">
              <w:t xml:space="preserve">Within the very many results defined in the health sector plan that ran up to 2011 </w:t>
            </w:r>
            <w:r>
              <w:t>the Australian aid program</w:t>
            </w:r>
            <w:r w:rsidRPr="00BE65D3">
              <w:t xml:space="preserve"> prioritised the following: </w:t>
            </w:r>
            <w:r>
              <w:t xml:space="preserve">1) </w:t>
            </w:r>
            <w:r w:rsidRPr="00BE65D3">
              <w:t xml:space="preserve">An increased percentage of children receiving triple antigen and measles vaccinations; </w:t>
            </w:r>
            <w:r>
              <w:t>2)</w:t>
            </w:r>
            <w:r w:rsidRPr="00BE65D3">
              <w:t xml:space="preserve"> An increased percentage of deliveries being supervised by skilled staff; </w:t>
            </w:r>
            <w:r>
              <w:t xml:space="preserve">3) </w:t>
            </w:r>
            <w:r w:rsidRPr="00BE65D3">
              <w:t xml:space="preserve">Reduced malaria prevalence in high malaria endemic districts; </w:t>
            </w:r>
            <w:r>
              <w:t xml:space="preserve">4) Reduced </w:t>
            </w:r>
            <w:r w:rsidR="00521D10">
              <w:t>tuberculosis (TB)</w:t>
            </w:r>
            <w:r w:rsidRPr="00BE65D3">
              <w:t xml:space="preserve"> prevalence in high TB endemic districts.</w:t>
            </w:r>
          </w:p>
        </w:tc>
      </w:tr>
      <w:tr w:rsidR="009F7318" w:rsidRPr="007477B1" w:rsidTr="00FF2F3D">
        <w:trPr>
          <w:cantSplit/>
        </w:trPr>
        <w:tc>
          <w:tcPr>
            <w:tcW w:w="596" w:type="pct"/>
          </w:tcPr>
          <w:p w:rsidR="009F7318" w:rsidRPr="007477B1" w:rsidRDefault="009F7318" w:rsidP="00FF2F3D">
            <w:pPr>
              <w:pStyle w:val="TableText"/>
            </w:pPr>
            <w:r w:rsidRPr="007477B1">
              <w:t>Samoa</w:t>
            </w:r>
          </w:p>
        </w:tc>
        <w:tc>
          <w:tcPr>
            <w:tcW w:w="4404" w:type="pct"/>
          </w:tcPr>
          <w:p w:rsidR="009F7318" w:rsidRPr="007477B1" w:rsidRDefault="009F7318" w:rsidP="00FF2F3D">
            <w:pPr>
              <w:pStyle w:val="TableText"/>
            </w:pPr>
            <w:r w:rsidRPr="004E47B4">
              <w:t xml:space="preserve">The </w:t>
            </w:r>
            <w:proofErr w:type="spellStart"/>
            <w:r w:rsidRPr="004E47B4">
              <w:t>SWAp</w:t>
            </w:r>
            <w:proofErr w:type="spellEnd"/>
            <w:r w:rsidRPr="004E47B4">
              <w:t xml:space="preserve"> is </w:t>
            </w:r>
            <w:r>
              <w:t xml:space="preserve">a program of work. The </w:t>
            </w:r>
            <w:r w:rsidR="00BC3521">
              <w:t>joint partnership agreement (</w:t>
            </w:r>
            <w:r>
              <w:t>JPA</w:t>
            </w:r>
            <w:r w:rsidR="00BC3521">
              <w:t>)</w:t>
            </w:r>
            <w:r>
              <w:t xml:space="preserve"> includes two main objectives:</w:t>
            </w:r>
            <w:r w:rsidRPr="004E47B4">
              <w:t xml:space="preserve"> To improve the effectiveness of </w:t>
            </w:r>
            <w:r w:rsidR="00883739">
              <w:t>Government of Samoa (</w:t>
            </w:r>
            <w:proofErr w:type="spellStart"/>
            <w:r w:rsidRPr="004E47B4">
              <w:t>GoS</w:t>
            </w:r>
            <w:proofErr w:type="spellEnd"/>
            <w:r w:rsidR="00883739">
              <w:t>)</w:t>
            </w:r>
            <w:r w:rsidRPr="004E47B4">
              <w:t xml:space="preserve"> in managing and implementing the</w:t>
            </w:r>
            <w:r w:rsidR="00DE1104">
              <w:t xml:space="preserve"> health sector plan</w:t>
            </w:r>
            <w:r w:rsidRPr="004E47B4">
              <w:t xml:space="preserve"> </w:t>
            </w:r>
            <w:r w:rsidR="00DE1104">
              <w:t>(</w:t>
            </w:r>
            <w:r w:rsidRPr="004E47B4">
              <w:t>HSP</w:t>
            </w:r>
            <w:r w:rsidR="00DE1104">
              <w:t>)</w:t>
            </w:r>
            <w:r w:rsidRPr="004E47B4">
              <w:t xml:space="preserve"> using performance fro</w:t>
            </w:r>
            <w:r>
              <w:t xml:space="preserve">m sector performance monitoring; </w:t>
            </w:r>
            <w:r w:rsidRPr="004E47B4">
              <w:t>To improve access to and utilization of effective, efficient and quality health services to improve the health of the Samoan population</w:t>
            </w:r>
            <w:r>
              <w:t xml:space="preserve">. The Australian aid program helped define these objectives jointly with the </w:t>
            </w:r>
            <w:proofErr w:type="spellStart"/>
            <w:r>
              <w:t>GoS</w:t>
            </w:r>
            <w:proofErr w:type="spellEnd"/>
            <w:r>
              <w:t xml:space="preserve"> and other donors. It also defined objectives and indicators (some of which could not be measured annually, as intended) for its health aid to Samoa: </w:t>
            </w:r>
            <w:r w:rsidRPr="00D52D03">
              <w:t>Reduced prevalence of diabetes and cancers in Samoa by 2015</w:t>
            </w:r>
            <w:r>
              <w:t>;</w:t>
            </w:r>
            <w:r w:rsidRPr="00D52D03">
              <w:t xml:space="preserve"> Number of children who are fully immunised in Samoa</w:t>
            </w:r>
            <w:r>
              <w:t>;</w:t>
            </w:r>
            <w:r w:rsidRPr="00D52D03">
              <w:t xml:space="preserve"> Increased percentage of total health expenditure allocated for non-communicable disease prevention</w:t>
            </w:r>
            <w:r>
              <w:t>.</w:t>
            </w:r>
            <w:r>
              <w:rPr>
                <w:rStyle w:val="FootnoteReference"/>
              </w:rPr>
              <w:footnoteReference w:id="69"/>
            </w:r>
            <w:r w:rsidRPr="007477B1">
              <w:t xml:space="preserve"> </w:t>
            </w:r>
          </w:p>
        </w:tc>
      </w:tr>
      <w:tr w:rsidR="009F7318" w:rsidRPr="007477B1" w:rsidTr="00FF2F3D">
        <w:trPr>
          <w:cantSplit/>
        </w:trPr>
        <w:tc>
          <w:tcPr>
            <w:tcW w:w="596" w:type="pct"/>
          </w:tcPr>
          <w:p w:rsidR="009F7318" w:rsidRPr="007477B1" w:rsidRDefault="009F7318" w:rsidP="00FF2F3D">
            <w:pPr>
              <w:pStyle w:val="TableText"/>
            </w:pPr>
            <w:r w:rsidRPr="007477B1">
              <w:lastRenderedPageBreak/>
              <w:t>Solomon Islands</w:t>
            </w:r>
          </w:p>
        </w:tc>
        <w:tc>
          <w:tcPr>
            <w:tcW w:w="4404" w:type="pct"/>
          </w:tcPr>
          <w:p w:rsidR="009F7318" w:rsidRPr="007477B1" w:rsidRDefault="009F7318" w:rsidP="00FF2F3D">
            <w:pPr>
              <w:pStyle w:val="TableText"/>
            </w:pPr>
            <w:r>
              <w:t xml:space="preserve">No explicit, measurable results were defined for the </w:t>
            </w:r>
            <w:proofErr w:type="spellStart"/>
            <w:r>
              <w:t>SWAp</w:t>
            </w:r>
            <w:proofErr w:type="spellEnd"/>
            <w:r>
              <w:t xml:space="preserve"> as such. the Australian aid program defined explicitly what it expected to achieve from its support to the health sector in its aid delivery plan 2012-16 and in the context of its partnership for development which includes six priority outcomes, the first of which refers to health (and education): </w:t>
            </w:r>
            <w:r w:rsidRPr="005D1537">
              <w:t>Priority outcome one: improved service delivery – health</w:t>
            </w:r>
            <w:r>
              <w:t xml:space="preserve"> - </w:t>
            </w:r>
            <w:r w:rsidRPr="005D1537">
              <w:t xml:space="preserve">Objective: To strengthen public health functions that are responsive to community health needs and improve progress </w:t>
            </w:r>
            <w:r>
              <w:t>towards the MDG targets of 2015.</w:t>
            </w:r>
            <w:r>
              <w:rPr>
                <w:rStyle w:val="FootnoteReference"/>
              </w:rPr>
              <w:footnoteReference w:id="70"/>
            </w:r>
            <w:r>
              <w:t xml:space="preserve"> </w:t>
            </w:r>
            <w:r w:rsidRPr="002C1562">
              <w:t xml:space="preserve">The 2013 Independent Performance Review of </w:t>
            </w:r>
            <w:r>
              <w:t>the Australian aid program</w:t>
            </w:r>
            <w:r w:rsidRPr="002C1562">
              <w:t xml:space="preserve"> to the Solomon Islands reports on the following indicators set </w:t>
            </w:r>
            <w:r>
              <w:t>for the Australian aid program</w:t>
            </w:r>
            <w:r w:rsidRPr="002C1562">
              <w:t>: Increased percentage of population with access to a health facility staffed by a health care worker and stocked with appropriate medicines; Reduced malaria incidence and deaths and progress towards emanation in selected provinces; Increased access to water and basic sanitation; Reduced maternal and</w:t>
            </w:r>
            <w:r>
              <w:t xml:space="preserve"> infant mortality.</w:t>
            </w:r>
            <w:r>
              <w:rPr>
                <w:rStyle w:val="FootnoteReference"/>
              </w:rPr>
              <w:footnoteReference w:id="71"/>
            </w:r>
          </w:p>
        </w:tc>
      </w:tr>
    </w:tbl>
    <w:p w:rsidR="009F7318" w:rsidRDefault="009F7318" w:rsidP="009F7318">
      <w:pPr>
        <w:pStyle w:val="TableName"/>
      </w:pPr>
    </w:p>
    <w:p w:rsidR="009F7318" w:rsidRDefault="009F7318" w:rsidP="009F7318">
      <w:pPr>
        <w:pStyle w:val="TableName"/>
      </w:pPr>
      <w:bookmarkStart w:id="55" w:name="_Toc402192203"/>
      <w:r>
        <w:t>Table A2</w:t>
      </w:r>
      <w:r>
        <w:tab/>
        <w:t>Were results defined at the sector or program levels? Were results prioritised?</w:t>
      </w:r>
      <w:bookmarkEnd w:id="55"/>
    </w:p>
    <w:tbl>
      <w:tblPr>
        <w:tblStyle w:val="TableGrid"/>
        <w:tblW w:w="5000" w:type="pct"/>
        <w:tblLook w:val="04A0" w:firstRow="1" w:lastRow="0" w:firstColumn="1" w:lastColumn="0" w:noHBand="0" w:noVBand="1"/>
      </w:tblPr>
      <w:tblGrid>
        <w:gridCol w:w="1102"/>
        <w:gridCol w:w="8140"/>
      </w:tblGrid>
      <w:tr w:rsidR="009F7318" w:rsidRPr="007477B1" w:rsidTr="00FF2F3D">
        <w:trPr>
          <w:cnfStyle w:val="100000000000" w:firstRow="1" w:lastRow="0" w:firstColumn="0" w:lastColumn="0" w:oddVBand="0" w:evenVBand="0" w:oddHBand="0" w:evenHBand="0" w:firstRowFirstColumn="0" w:firstRowLastColumn="0" w:lastRowFirstColumn="0" w:lastRowLastColumn="0"/>
          <w:trHeight w:val="429"/>
        </w:trPr>
        <w:tc>
          <w:tcPr>
            <w:tcW w:w="596" w:type="pct"/>
          </w:tcPr>
          <w:p w:rsidR="009F7318" w:rsidRPr="007477B1" w:rsidRDefault="009F7318" w:rsidP="00FF2F3D">
            <w:pPr>
              <w:pStyle w:val="TableHeading2"/>
            </w:pPr>
            <w:r w:rsidRPr="007477B1">
              <w:t>Countr</w:t>
            </w:r>
            <w:r>
              <w:t>y</w:t>
            </w:r>
          </w:p>
        </w:tc>
        <w:tc>
          <w:tcPr>
            <w:tcW w:w="4404" w:type="pct"/>
          </w:tcPr>
          <w:p w:rsidR="009F7318" w:rsidRPr="007477B1" w:rsidRDefault="009F7318" w:rsidP="00FF2F3D">
            <w:pPr>
              <w:pStyle w:val="TableHeading"/>
            </w:pPr>
            <w:r>
              <w:t>Were expected results defined at program or sector levels? Were the results prioritised?</w:t>
            </w:r>
          </w:p>
        </w:tc>
      </w:tr>
      <w:tr w:rsidR="009F7318" w:rsidRPr="007477B1" w:rsidTr="00FF2F3D">
        <w:tc>
          <w:tcPr>
            <w:tcW w:w="596" w:type="pct"/>
          </w:tcPr>
          <w:p w:rsidR="009F7318" w:rsidRPr="007477B1" w:rsidRDefault="009F7318" w:rsidP="00FF2F3D">
            <w:pPr>
              <w:pStyle w:val="TableText"/>
            </w:pPr>
            <w:r w:rsidRPr="007477B1">
              <w:t>Bangladesh</w:t>
            </w:r>
          </w:p>
        </w:tc>
        <w:tc>
          <w:tcPr>
            <w:tcW w:w="4404" w:type="pct"/>
          </w:tcPr>
          <w:p w:rsidR="009F7318" w:rsidRPr="007477B1" w:rsidRDefault="009F7318" w:rsidP="00FF2F3D">
            <w:pPr>
              <w:pStyle w:val="TableText"/>
            </w:pPr>
            <w:r>
              <w:t>Yes, results are defined at sector level in the Results Framework of indicators of the HPNSDP that are well aligned with the program objectives. Still there are many indicators and not all can be measured with the expected periodicity. Annual reviews differ in their assessment of prioritisation, which is considered fair but insufficient i.e. the framework of indicators is considered slightly overambitious</w:t>
            </w:r>
            <w:proofErr w:type="gramStart"/>
            <w:r w:rsidR="000F08A7">
              <w:t>.</w:t>
            </w:r>
            <w:r>
              <w:rPr>
                <w:rStyle w:val="FootnoteReference"/>
              </w:rPr>
              <w:footnoteReference w:id="72"/>
            </w:r>
            <w:r w:rsidRPr="00111196">
              <w:rPr>
                <w:vertAlign w:val="superscript"/>
              </w:rPr>
              <w:t>,</w:t>
            </w:r>
            <w:proofErr w:type="gramEnd"/>
            <w:r>
              <w:rPr>
                <w:rStyle w:val="FootnoteReference"/>
              </w:rPr>
              <w:footnoteReference w:id="73"/>
            </w:r>
            <w:r>
              <w:t xml:space="preserve">  </w:t>
            </w:r>
          </w:p>
        </w:tc>
      </w:tr>
      <w:tr w:rsidR="009F7318" w:rsidRPr="007477B1" w:rsidTr="00FF2F3D">
        <w:tc>
          <w:tcPr>
            <w:tcW w:w="596" w:type="pct"/>
          </w:tcPr>
          <w:p w:rsidR="009F7318" w:rsidRPr="007477B1" w:rsidRDefault="009F7318" w:rsidP="00FF2F3D">
            <w:pPr>
              <w:pStyle w:val="TableText"/>
            </w:pPr>
            <w:r w:rsidRPr="007477B1">
              <w:t>Cambodia</w:t>
            </w:r>
          </w:p>
        </w:tc>
        <w:tc>
          <w:tcPr>
            <w:tcW w:w="4404" w:type="pct"/>
          </w:tcPr>
          <w:p w:rsidR="009F7318" w:rsidRPr="007477B1" w:rsidRDefault="009F7318" w:rsidP="00883739">
            <w:pPr>
              <w:pStyle w:val="TableText"/>
            </w:pPr>
            <w:r w:rsidRPr="00734D0A">
              <w:t xml:space="preserve">Performance is measured on the basis of indicators described in the HSP2 </w:t>
            </w:r>
            <w:r w:rsidR="00883739">
              <w:t>M&amp;E</w:t>
            </w:r>
            <w:r w:rsidRPr="00734D0A">
              <w:t xml:space="preserve"> Framework and the Results Framework laid out in the </w:t>
            </w:r>
            <w:r>
              <w:t>W</w:t>
            </w:r>
            <w:r w:rsidRPr="00734D0A">
              <w:t>orld Bank</w:t>
            </w:r>
            <w:r>
              <w:t>’s</w:t>
            </w:r>
            <w:r w:rsidRPr="00734D0A">
              <w:t xml:space="preserve"> Program Appraisal Document.</w:t>
            </w:r>
            <w:r>
              <w:t xml:space="preserve"> Prioritisation is considered good.</w:t>
            </w:r>
          </w:p>
        </w:tc>
      </w:tr>
      <w:tr w:rsidR="009F7318" w:rsidRPr="007477B1" w:rsidTr="00FF2F3D">
        <w:tc>
          <w:tcPr>
            <w:tcW w:w="596" w:type="pct"/>
          </w:tcPr>
          <w:p w:rsidR="009F7318" w:rsidRPr="007477B1" w:rsidRDefault="009F7318" w:rsidP="00FF2F3D">
            <w:pPr>
              <w:pStyle w:val="TableText"/>
            </w:pPr>
            <w:r w:rsidRPr="007477B1">
              <w:t>Nepal</w:t>
            </w:r>
          </w:p>
        </w:tc>
        <w:tc>
          <w:tcPr>
            <w:tcW w:w="4404" w:type="pct"/>
          </w:tcPr>
          <w:p w:rsidR="009F7318" w:rsidRPr="007477B1" w:rsidRDefault="009F7318" w:rsidP="00F517AE">
            <w:pPr>
              <w:pStyle w:val="TableText"/>
            </w:pPr>
            <w:r>
              <w:t>An M&amp;E framework of indicators is an integral part of the NHSP II. It is reviewed every year in the context of the Joint Annual Reviews. The MTR team</w:t>
            </w:r>
            <w:r>
              <w:rPr>
                <w:rStyle w:val="FootnoteReference"/>
              </w:rPr>
              <w:footnoteReference w:id="74"/>
            </w:r>
            <w:r>
              <w:t xml:space="preserve"> considered the information feeding into the M&amp;E framework that originates in the </w:t>
            </w:r>
            <w:r w:rsidR="00D961DF">
              <w:t>Health Management Information System (</w:t>
            </w:r>
            <w:r>
              <w:t>HMIS</w:t>
            </w:r>
            <w:r w:rsidR="00D961DF">
              <w:t>)</w:t>
            </w:r>
            <w:r>
              <w:t xml:space="preserve"> and in the Logistics Management System to be quite reliable by international standards. WHO, </w:t>
            </w:r>
            <w:proofErr w:type="spellStart"/>
            <w:r>
              <w:t>G</w:t>
            </w:r>
            <w:r w:rsidR="00F517AE">
              <w:t>avi</w:t>
            </w:r>
            <w:proofErr w:type="spellEnd"/>
            <w:r>
              <w:t xml:space="preserve"> and the Global Fund seem to endorse this view as they too use government systems to report on their </w:t>
            </w:r>
            <w:proofErr w:type="gramStart"/>
            <w:r>
              <w:t>portfolios.</w:t>
            </w:r>
            <w:proofErr w:type="gramEnd"/>
            <w:r>
              <w:rPr>
                <w:rStyle w:val="FootnoteReference"/>
              </w:rPr>
              <w:footnoteReference w:id="75"/>
            </w:r>
            <w:r>
              <w:t xml:space="preserve"> Prioritisation is fair but could be further improved with fewer ‘tracer’ indicators.</w:t>
            </w:r>
          </w:p>
        </w:tc>
      </w:tr>
      <w:tr w:rsidR="009F7318" w:rsidRPr="007477B1" w:rsidTr="00FF2F3D">
        <w:tc>
          <w:tcPr>
            <w:tcW w:w="596" w:type="pct"/>
          </w:tcPr>
          <w:p w:rsidR="009F7318" w:rsidRPr="007477B1" w:rsidRDefault="009F7318" w:rsidP="0097056D">
            <w:pPr>
              <w:pStyle w:val="TableText"/>
            </w:pPr>
            <w:r w:rsidRPr="007477B1">
              <w:t>P</w:t>
            </w:r>
            <w:r w:rsidR="00DF1DD1">
              <w:t>apua New Guinea</w:t>
            </w:r>
          </w:p>
        </w:tc>
        <w:tc>
          <w:tcPr>
            <w:tcW w:w="4404" w:type="pct"/>
          </w:tcPr>
          <w:p w:rsidR="009F7318" w:rsidRPr="007477B1" w:rsidRDefault="008E7949" w:rsidP="002E4BB3">
            <w:pPr>
              <w:pStyle w:val="TableText"/>
            </w:pPr>
            <w:r>
              <w:t>There were many results defined, but too many of them, poorly prioritised and not measured regularly.</w:t>
            </w:r>
            <w:r>
              <w:rPr>
                <w:rStyle w:val="FootnoteReference"/>
              </w:rPr>
              <w:footnoteReference w:id="76"/>
            </w:r>
            <w:r w:rsidR="002E4BB3">
              <w:t xml:space="preserve"> It must be noted that this refers to the M&amp;E Plan for 2001-2010.  The 2011-2010 health </w:t>
            </w:r>
            <w:proofErr w:type="gramStart"/>
            <w:r w:rsidR="002E4BB3">
              <w:t>plan</w:t>
            </w:r>
            <w:proofErr w:type="gramEnd"/>
            <w:r w:rsidR="002E4BB3">
              <w:t xml:space="preserve"> </w:t>
            </w:r>
            <w:r w:rsidR="00D0603F">
              <w:t>priori</w:t>
            </w:r>
            <w:r w:rsidR="000F08A7">
              <w:t xml:space="preserve">tises 29 performance indicators </w:t>
            </w:r>
            <w:r w:rsidR="00D0603F">
              <w:t xml:space="preserve">(personal communication from </w:t>
            </w:r>
            <w:r w:rsidR="00D0603F" w:rsidRPr="00D0603F">
              <w:t xml:space="preserve">Aedan </w:t>
            </w:r>
            <w:proofErr w:type="spellStart"/>
            <w:r w:rsidR="00D0603F" w:rsidRPr="00D0603F">
              <w:t>Whyatt</w:t>
            </w:r>
            <w:proofErr w:type="spellEnd"/>
            <w:r w:rsidR="00D0603F" w:rsidRPr="00D0603F">
              <w:t>,</w:t>
            </w:r>
            <w:r w:rsidR="00D0603F">
              <w:t xml:space="preserve"> DFAT</w:t>
            </w:r>
            <w:r w:rsidR="000F08A7">
              <w:t>)</w:t>
            </w:r>
            <w:r w:rsidR="00D0603F">
              <w:t>.</w:t>
            </w:r>
          </w:p>
        </w:tc>
      </w:tr>
      <w:tr w:rsidR="009F7318" w:rsidRPr="007477B1" w:rsidTr="00FF2F3D">
        <w:tc>
          <w:tcPr>
            <w:tcW w:w="596" w:type="pct"/>
          </w:tcPr>
          <w:p w:rsidR="009F7318" w:rsidRPr="007477B1" w:rsidRDefault="009F7318" w:rsidP="00FF2F3D">
            <w:pPr>
              <w:pStyle w:val="TableText"/>
            </w:pPr>
            <w:r w:rsidRPr="007477B1">
              <w:t>Samoa</w:t>
            </w:r>
          </w:p>
        </w:tc>
        <w:tc>
          <w:tcPr>
            <w:tcW w:w="4404" w:type="pct"/>
          </w:tcPr>
          <w:p w:rsidR="009F7318" w:rsidRPr="00BC6E59" w:rsidRDefault="009F7318" w:rsidP="00FF2F3D">
            <w:pPr>
              <w:pStyle w:val="TableText"/>
            </w:pPr>
            <w:r w:rsidRPr="007511BB">
              <w:t>Yes, a framework of results and indicators were defined and regularly reviewed</w:t>
            </w:r>
            <w:r>
              <w:t xml:space="preserve">. However, </w:t>
            </w:r>
            <w:proofErr w:type="spellStart"/>
            <w:r>
              <w:t>Vaillancourt</w:t>
            </w:r>
            <w:proofErr w:type="spellEnd"/>
            <w:r>
              <w:rPr>
                <w:rStyle w:val="FootnoteReference"/>
              </w:rPr>
              <w:footnoteReference w:id="77"/>
            </w:r>
            <w:r>
              <w:t xml:space="preserve"> </w:t>
            </w:r>
            <w:r w:rsidRPr="007511BB">
              <w:t>notes</w:t>
            </w:r>
            <w:r>
              <w:t xml:space="preserve">; </w:t>
            </w:r>
            <w:r w:rsidRPr="007511BB">
              <w:rPr>
                <w:i/>
              </w:rPr>
              <w:t xml:space="preserve">Samoa has made important strides in developing some building blocks for a sector strategic framework, but the quality and relevance of this documentation fall short of what is essential for facilitating the Swap’s goals of efficient resource </w:t>
            </w:r>
            <w:r w:rsidR="00D961DF">
              <w:rPr>
                <w:i/>
              </w:rPr>
              <w:t>use for better health outcomes.</w:t>
            </w:r>
            <w:r w:rsidRPr="007511BB">
              <w:rPr>
                <w:i/>
              </w:rPr>
              <w:t>.. The Health Sector Plan (2008-2018) is very broad, and the numerous outputs and indicators under each of the six objectives are not clearly defined</w:t>
            </w:r>
            <w:r>
              <w:rPr>
                <w:i/>
              </w:rPr>
              <w:t xml:space="preserve">. </w:t>
            </w:r>
            <w:r w:rsidRPr="007511BB">
              <w:rPr>
                <w:i/>
              </w:rPr>
              <w:t>It does not articulate a coherent results chain, appropriate indicators, established baselines and targets</w:t>
            </w:r>
            <w:r>
              <w:rPr>
                <w:i/>
              </w:rPr>
              <w:t xml:space="preserve">. </w:t>
            </w:r>
            <w:r w:rsidRPr="007511BB">
              <w:rPr>
                <w:i/>
              </w:rPr>
              <w:t>This is clearly a work in progress, only two years into an</w:t>
            </w:r>
            <w:r>
              <w:rPr>
                <w:i/>
              </w:rPr>
              <w:t xml:space="preserve"> ambitious undertaking </w:t>
            </w:r>
            <w:proofErr w:type="gramStart"/>
            <w:r>
              <w:rPr>
                <w:i/>
              </w:rPr>
              <w:t>( p14</w:t>
            </w:r>
            <w:proofErr w:type="gramEnd"/>
            <w:r>
              <w:rPr>
                <w:i/>
              </w:rPr>
              <w:t xml:space="preserve">)  </w:t>
            </w:r>
            <w:r>
              <w:t>For these reasons prioritisation is considered weak.</w:t>
            </w:r>
          </w:p>
        </w:tc>
      </w:tr>
      <w:tr w:rsidR="009F7318" w:rsidRPr="007477B1" w:rsidTr="00FF2F3D">
        <w:tc>
          <w:tcPr>
            <w:tcW w:w="596" w:type="pct"/>
          </w:tcPr>
          <w:p w:rsidR="009F7318" w:rsidRPr="007477B1" w:rsidRDefault="009F7318" w:rsidP="00FF2F3D">
            <w:pPr>
              <w:pStyle w:val="TableText"/>
            </w:pPr>
            <w:r w:rsidRPr="007477B1">
              <w:lastRenderedPageBreak/>
              <w:t>Solomon Islands</w:t>
            </w:r>
          </w:p>
        </w:tc>
        <w:tc>
          <w:tcPr>
            <w:tcW w:w="4404" w:type="pct"/>
          </w:tcPr>
          <w:p w:rsidR="009F7318" w:rsidRPr="007477B1" w:rsidRDefault="009F7318" w:rsidP="00D961DF">
            <w:pPr>
              <w:pStyle w:val="TableText"/>
            </w:pPr>
            <w:r>
              <w:t xml:space="preserve">The National Health Plan had many ambitious indicators at health outcome and service output levels but failed to describe whether or how these would be regularly measured. </w:t>
            </w:r>
            <w:r w:rsidRPr="0022481D">
              <w:t>The absence of a shared set of common indicators to track sector performance and</w:t>
            </w:r>
            <w:r>
              <w:t xml:space="preserve"> </w:t>
            </w:r>
            <w:r w:rsidRPr="0022481D">
              <w:t>the failure to produce national health data over the past two years means that neither</w:t>
            </w:r>
            <w:r>
              <w:t xml:space="preserve"> </w:t>
            </w:r>
            <w:r w:rsidR="00D961DF">
              <w:t>Ministry of Health and Medical Services (</w:t>
            </w:r>
            <w:r w:rsidRPr="0022481D">
              <w:t>MHMS</w:t>
            </w:r>
            <w:r w:rsidR="00D961DF">
              <w:t>)</w:t>
            </w:r>
            <w:r w:rsidRPr="0022481D">
              <w:t xml:space="preserve"> nor its development partners are able to account for results to their respective</w:t>
            </w:r>
            <w:r>
              <w:t xml:space="preserve"> </w:t>
            </w:r>
            <w:r w:rsidRPr="0022481D">
              <w:t xml:space="preserve">government and governing bodies. </w:t>
            </w:r>
            <w:r w:rsidRPr="0022481D">
              <w:rPr>
                <w:i/>
              </w:rPr>
              <w:t>The Ministry is not managing effectively to deliver results, but instead appears often</w:t>
            </w:r>
            <w:r>
              <w:rPr>
                <w:i/>
              </w:rPr>
              <w:t xml:space="preserve"> </w:t>
            </w:r>
            <w:r w:rsidRPr="0022481D">
              <w:rPr>
                <w:i/>
              </w:rPr>
              <w:t>to manage by crisis</w:t>
            </w:r>
            <w:r>
              <w:t>.</w:t>
            </w:r>
            <w:r>
              <w:rPr>
                <w:rStyle w:val="FootnoteReference"/>
              </w:rPr>
              <w:footnoteReference w:id="78"/>
            </w:r>
            <w:r>
              <w:t xml:space="preserve"> Prioritisation is considered weak.</w:t>
            </w:r>
          </w:p>
        </w:tc>
      </w:tr>
    </w:tbl>
    <w:p w:rsidR="009F7318" w:rsidRDefault="009F7318" w:rsidP="009F7318">
      <w:pPr>
        <w:pStyle w:val="TableName"/>
      </w:pPr>
    </w:p>
    <w:p w:rsidR="009F7318" w:rsidRDefault="009F7318" w:rsidP="009F7318">
      <w:pPr>
        <w:pStyle w:val="TableName"/>
      </w:pPr>
      <w:bookmarkStart w:id="56" w:name="_Toc402192204"/>
      <w:r>
        <w:t>Table A3</w:t>
      </w:r>
      <w:r>
        <w:tab/>
        <w:t xml:space="preserve">Did the </w:t>
      </w:r>
      <w:proofErr w:type="spellStart"/>
      <w:r>
        <w:t>SWAp</w:t>
      </w:r>
      <w:proofErr w:type="spellEnd"/>
      <w:r>
        <w:t xml:space="preserve"> </w:t>
      </w:r>
      <w:r w:rsidRPr="00B468AE">
        <w:t>increase</w:t>
      </w:r>
      <w:r>
        <w:t xml:space="preserve"> the focus on results?</w:t>
      </w:r>
      <w:bookmarkEnd w:id="56"/>
    </w:p>
    <w:tbl>
      <w:tblPr>
        <w:tblStyle w:val="TableGrid"/>
        <w:tblW w:w="5000" w:type="pct"/>
        <w:tblLook w:val="04A0" w:firstRow="1" w:lastRow="0" w:firstColumn="1" w:lastColumn="0" w:noHBand="0" w:noVBand="1"/>
      </w:tblPr>
      <w:tblGrid>
        <w:gridCol w:w="1102"/>
        <w:gridCol w:w="8140"/>
      </w:tblGrid>
      <w:tr w:rsidR="009F7318" w:rsidRPr="007477B1" w:rsidTr="00FF2F3D">
        <w:trPr>
          <w:cnfStyle w:val="100000000000" w:firstRow="1" w:lastRow="0" w:firstColumn="0" w:lastColumn="0" w:oddVBand="0" w:evenVBand="0" w:oddHBand="0" w:evenHBand="0" w:firstRowFirstColumn="0" w:firstRowLastColumn="0" w:lastRowFirstColumn="0" w:lastRowLastColumn="0"/>
          <w:trHeight w:val="826"/>
        </w:trPr>
        <w:tc>
          <w:tcPr>
            <w:tcW w:w="596" w:type="pct"/>
          </w:tcPr>
          <w:p w:rsidR="009F7318" w:rsidRPr="007477B1" w:rsidRDefault="009F7318" w:rsidP="00FF2F3D">
            <w:pPr>
              <w:pStyle w:val="TableHeading2"/>
            </w:pPr>
            <w:r w:rsidRPr="007477B1">
              <w:t>Countr</w:t>
            </w:r>
            <w:r>
              <w:t>y</w:t>
            </w:r>
          </w:p>
        </w:tc>
        <w:tc>
          <w:tcPr>
            <w:tcW w:w="4404" w:type="pct"/>
          </w:tcPr>
          <w:p w:rsidR="009F7318" w:rsidRDefault="009F7318" w:rsidP="00FF2F3D">
            <w:pPr>
              <w:pStyle w:val="TableHeading"/>
            </w:pPr>
            <w:r>
              <w:t xml:space="preserve">Did the </w:t>
            </w:r>
            <w:proofErr w:type="spellStart"/>
            <w:r>
              <w:t>SWAp</w:t>
            </w:r>
            <w:proofErr w:type="spellEnd"/>
            <w:r>
              <w:t xml:space="preserve"> or financing instruments increase the focus on results, generally and for the Australian aid program in particular?</w:t>
            </w:r>
          </w:p>
        </w:tc>
      </w:tr>
      <w:tr w:rsidR="009F7318" w:rsidRPr="007477B1" w:rsidTr="00FF2F3D">
        <w:tc>
          <w:tcPr>
            <w:tcW w:w="596" w:type="pct"/>
          </w:tcPr>
          <w:p w:rsidR="009F7318" w:rsidRPr="007477B1" w:rsidRDefault="009F7318" w:rsidP="00FF2F3D">
            <w:pPr>
              <w:pStyle w:val="TableText"/>
            </w:pPr>
            <w:r w:rsidRPr="007477B1">
              <w:t>Bangladesh</w:t>
            </w:r>
          </w:p>
        </w:tc>
        <w:tc>
          <w:tcPr>
            <w:tcW w:w="4404" w:type="pct"/>
          </w:tcPr>
          <w:p w:rsidR="009F7318" w:rsidRPr="007477B1" w:rsidRDefault="009F7318" w:rsidP="00FF2F3D">
            <w:pPr>
              <w:pStyle w:val="TableText"/>
            </w:pPr>
            <w:r>
              <w:t xml:space="preserve">There is considerable evidence that the </w:t>
            </w:r>
            <w:proofErr w:type="spellStart"/>
            <w:r>
              <w:t>SWAp</w:t>
            </w:r>
            <w:proofErr w:type="spellEnd"/>
            <w:r>
              <w:t xml:space="preserve"> has over the years increased the focus on results by the government of Bangladesh, its development partners and for the Australian aid program in particular. On the other hand it has been problematic to track those results due to a number of technical, resource and capacity issues. For example, some indicators are hard or expensive to measure and it is not always clear who in the government is expected to measure these. Expectations from development partners have often pushed towards an unrealistic number of results.</w:t>
            </w:r>
          </w:p>
        </w:tc>
      </w:tr>
      <w:tr w:rsidR="009F7318" w:rsidRPr="007477B1" w:rsidTr="00FF2F3D">
        <w:tc>
          <w:tcPr>
            <w:tcW w:w="596" w:type="pct"/>
          </w:tcPr>
          <w:p w:rsidR="009F7318" w:rsidRPr="007477B1" w:rsidRDefault="009F7318" w:rsidP="00FF2F3D">
            <w:pPr>
              <w:pStyle w:val="TableText"/>
            </w:pPr>
            <w:r w:rsidRPr="007477B1">
              <w:t>Cambodia</w:t>
            </w:r>
          </w:p>
        </w:tc>
        <w:tc>
          <w:tcPr>
            <w:tcW w:w="4404" w:type="pct"/>
          </w:tcPr>
          <w:p w:rsidR="009F7318" w:rsidRPr="007477B1" w:rsidRDefault="009F7318" w:rsidP="00AD6DCF">
            <w:pPr>
              <w:pStyle w:val="TableText"/>
            </w:pPr>
            <w:r>
              <w:t>Cambodia’s Sector-wide Management (</w:t>
            </w:r>
            <w:proofErr w:type="spellStart"/>
            <w:r>
              <w:t>SWiM</w:t>
            </w:r>
            <w:proofErr w:type="spellEnd"/>
            <w:r>
              <w:t xml:space="preserve">) approach has increased focus on results, and progress on this is evident as there are independent reviews and annual program reviews where progress on indicators is routinely reported. </w:t>
            </w:r>
          </w:p>
        </w:tc>
      </w:tr>
      <w:tr w:rsidR="009F7318" w:rsidRPr="007477B1" w:rsidTr="00FF2F3D">
        <w:tc>
          <w:tcPr>
            <w:tcW w:w="596" w:type="pct"/>
          </w:tcPr>
          <w:p w:rsidR="009F7318" w:rsidRPr="007477B1" w:rsidRDefault="009F7318" w:rsidP="00FF2F3D">
            <w:pPr>
              <w:pStyle w:val="TableText"/>
            </w:pPr>
            <w:r w:rsidRPr="007477B1">
              <w:t>Nepal</w:t>
            </w:r>
          </w:p>
        </w:tc>
        <w:tc>
          <w:tcPr>
            <w:tcW w:w="4404" w:type="pct"/>
          </w:tcPr>
          <w:p w:rsidR="009F7318" w:rsidRPr="007477B1" w:rsidRDefault="009F7318" w:rsidP="00FF2F3D">
            <w:pPr>
              <w:pStyle w:val="TableText"/>
            </w:pPr>
            <w:r>
              <w:t xml:space="preserve">Yes, focus on results has improved as a result of the </w:t>
            </w:r>
            <w:proofErr w:type="spellStart"/>
            <w:r>
              <w:t>SWAp</w:t>
            </w:r>
            <w:proofErr w:type="spellEnd"/>
            <w:r>
              <w:t xml:space="preserve"> for both the </w:t>
            </w:r>
            <w:r w:rsidR="00D961DF">
              <w:t>Government of Nepal (</w:t>
            </w:r>
            <w:proofErr w:type="spellStart"/>
            <w:r>
              <w:t>GoN</w:t>
            </w:r>
            <w:proofErr w:type="spellEnd"/>
            <w:r w:rsidR="00D961DF">
              <w:t>)</w:t>
            </w:r>
            <w:r>
              <w:t>, development partners, including for Australia. This is clearly reflected in both internal performance reports from AusAID (2011, 2012) as well as in</w:t>
            </w:r>
            <w:r w:rsidR="00521D10">
              <w:t xml:space="preserve"> joint annual review</w:t>
            </w:r>
            <w:r>
              <w:t xml:space="preserve"> </w:t>
            </w:r>
            <w:r w:rsidR="00521D10">
              <w:t>(</w:t>
            </w:r>
            <w:r>
              <w:t>JAR</w:t>
            </w:r>
            <w:r w:rsidR="00521D10">
              <w:t>)</w:t>
            </w:r>
            <w:r>
              <w:t xml:space="preserve"> and MTR reports of the NHSP II.</w:t>
            </w:r>
          </w:p>
        </w:tc>
      </w:tr>
      <w:tr w:rsidR="009F7318" w:rsidRPr="007477B1" w:rsidTr="00FF2F3D">
        <w:tc>
          <w:tcPr>
            <w:tcW w:w="596" w:type="pct"/>
          </w:tcPr>
          <w:p w:rsidR="009F7318" w:rsidRPr="007477B1" w:rsidRDefault="009F7318" w:rsidP="0097056D">
            <w:pPr>
              <w:pStyle w:val="TableText"/>
            </w:pPr>
            <w:r w:rsidRPr="007477B1">
              <w:t>P</w:t>
            </w:r>
            <w:r w:rsidR="00DF1DD1">
              <w:t>apua New Guinea</w:t>
            </w:r>
          </w:p>
        </w:tc>
        <w:tc>
          <w:tcPr>
            <w:tcW w:w="4404" w:type="pct"/>
          </w:tcPr>
          <w:p w:rsidR="009F7318" w:rsidRPr="007477B1" w:rsidRDefault="009F7318" w:rsidP="00FF2F3D">
            <w:pPr>
              <w:pStyle w:val="TableText"/>
            </w:pPr>
            <w:r>
              <w:t>Focus on results increased to some extent, but with many limitations: poor accountability for results in spite of regular joint reviews.</w:t>
            </w:r>
          </w:p>
        </w:tc>
      </w:tr>
      <w:tr w:rsidR="009F7318" w:rsidRPr="007477B1" w:rsidTr="00FF2F3D">
        <w:tc>
          <w:tcPr>
            <w:tcW w:w="596" w:type="pct"/>
          </w:tcPr>
          <w:p w:rsidR="009F7318" w:rsidRPr="007477B1" w:rsidRDefault="009F7318" w:rsidP="00FF2F3D">
            <w:pPr>
              <w:pStyle w:val="TableText"/>
            </w:pPr>
            <w:r w:rsidRPr="007477B1">
              <w:t>Samoa</w:t>
            </w:r>
          </w:p>
        </w:tc>
        <w:tc>
          <w:tcPr>
            <w:tcW w:w="4404" w:type="pct"/>
          </w:tcPr>
          <w:p w:rsidR="009F7318" w:rsidRPr="00A422B0" w:rsidRDefault="009F7318" w:rsidP="00E52173">
            <w:pPr>
              <w:pStyle w:val="TableText"/>
              <w:rPr>
                <w:i/>
              </w:rPr>
            </w:pPr>
            <w:r w:rsidRPr="007511BB">
              <w:rPr>
                <w:i/>
              </w:rPr>
              <w:t xml:space="preserve">It seems safe to conclude that there was an increased focus on sector level results linked to the </w:t>
            </w:r>
            <w:proofErr w:type="spellStart"/>
            <w:r>
              <w:rPr>
                <w:i/>
              </w:rPr>
              <w:t>SWAp</w:t>
            </w:r>
            <w:proofErr w:type="spellEnd"/>
            <w:r w:rsidRPr="007511BB">
              <w:rPr>
                <w:i/>
              </w:rPr>
              <w:t xml:space="preserve">, its main financial instrument (pool fund) and the operational documents and products that were developed as part of the </w:t>
            </w:r>
            <w:proofErr w:type="spellStart"/>
            <w:r w:rsidRPr="007511BB">
              <w:rPr>
                <w:i/>
              </w:rPr>
              <w:t>SWAp</w:t>
            </w:r>
            <w:proofErr w:type="spellEnd"/>
            <w:r w:rsidRPr="007511BB">
              <w:rPr>
                <w:i/>
              </w:rPr>
              <w:t xml:space="preserve">, including the M&amp;E framework, the </w:t>
            </w:r>
            <w:r w:rsidR="00E52173">
              <w:rPr>
                <w:i/>
              </w:rPr>
              <w:t>medium term expenditure framework</w:t>
            </w:r>
            <w:r w:rsidRPr="007511BB">
              <w:rPr>
                <w:i/>
              </w:rPr>
              <w:t>, the aide memoirs from review missions, etc</w:t>
            </w:r>
            <w:r>
              <w:rPr>
                <w:i/>
              </w:rPr>
              <w:t xml:space="preserve">. </w:t>
            </w:r>
            <w:r w:rsidRPr="007511BB">
              <w:rPr>
                <w:i/>
              </w:rPr>
              <w:t xml:space="preserve">However, the Health Sector Plan supported by the </w:t>
            </w:r>
            <w:proofErr w:type="spellStart"/>
            <w:r w:rsidRPr="007511BB">
              <w:rPr>
                <w:i/>
              </w:rPr>
              <w:t>SWAp</w:t>
            </w:r>
            <w:proofErr w:type="spellEnd"/>
            <w:r w:rsidRPr="007511BB">
              <w:rPr>
                <w:i/>
              </w:rPr>
              <w:t xml:space="preserve"> suffered from limitations in terms of results focus and measurability of those results</w:t>
            </w:r>
            <w:r>
              <w:rPr>
                <w:i/>
              </w:rPr>
              <w:t>.</w:t>
            </w:r>
            <w:r>
              <w:rPr>
                <w:rStyle w:val="FootnoteReference"/>
                <w:i/>
              </w:rPr>
              <w:footnoteReference w:id="79"/>
            </w:r>
          </w:p>
        </w:tc>
      </w:tr>
      <w:tr w:rsidR="009F7318" w:rsidRPr="007477B1" w:rsidTr="00FF2F3D">
        <w:tc>
          <w:tcPr>
            <w:tcW w:w="596" w:type="pct"/>
          </w:tcPr>
          <w:p w:rsidR="009F7318" w:rsidRPr="007477B1" w:rsidRDefault="009F7318" w:rsidP="00FF2F3D">
            <w:pPr>
              <w:pStyle w:val="TableText"/>
            </w:pPr>
            <w:r w:rsidRPr="007477B1">
              <w:t>Solomon Islands</w:t>
            </w:r>
          </w:p>
        </w:tc>
        <w:tc>
          <w:tcPr>
            <w:tcW w:w="4404" w:type="pct"/>
          </w:tcPr>
          <w:p w:rsidR="009F7318" w:rsidRPr="007477B1" w:rsidRDefault="009F7318" w:rsidP="00FF2F3D">
            <w:pPr>
              <w:pStyle w:val="TableText"/>
            </w:pPr>
            <w:r>
              <w:t xml:space="preserve">There was increased focus on results but insufficient work undertaken in the initial stages of the </w:t>
            </w:r>
            <w:proofErr w:type="spellStart"/>
            <w:r>
              <w:t>SWAp</w:t>
            </w:r>
            <w:proofErr w:type="spellEnd"/>
            <w:r>
              <w:t xml:space="preserve"> to prioritise among the very many indicators included in the health sector plan or for </w:t>
            </w:r>
            <w:proofErr w:type="spellStart"/>
            <w:r>
              <w:t>SWAp</w:t>
            </w:r>
            <w:proofErr w:type="spellEnd"/>
            <w:r>
              <w:t xml:space="preserve"> partners to define a set of performance indicators. These gaps reduced greatly the expected focus on results of the health </w:t>
            </w:r>
            <w:proofErr w:type="spellStart"/>
            <w:r>
              <w:t>SWAp</w:t>
            </w:r>
            <w:proofErr w:type="spellEnd"/>
            <w:r>
              <w:t xml:space="preserve"> in the initial years covered in this evidence review.</w:t>
            </w:r>
          </w:p>
        </w:tc>
      </w:tr>
    </w:tbl>
    <w:p w:rsidR="009F7318" w:rsidRDefault="009F7318" w:rsidP="009F7318">
      <w:pPr>
        <w:pStyle w:val="TableName"/>
      </w:pPr>
    </w:p>
    <w:p w:rsidR="00860081" w:rsidRDefault="00860081" w:rsidP="009F7318">
      <w:pPr>
        <w:spacing w:before="0" w:after="0" w:line="240" w:lineRule="auto"/>
      </w:pPr>
    </w:p>
    <w:p w:rsidR="00860081" w:rsidRDefault="00860081">
      <w:pPr>
        <w:spacing w:before="0" w:after="0" w:line="240" w:lineRule="auto"/>
      </w:pPr>
      <w:r>
        <w:br w:type="page"/>
      </w:r>
    </w:p>
    <w:p w:rsidR="009F7318" w:rsidRPr="00860081" w:rsidRDefault="00860081" w:rsidP="00860081">
      <w:pPr>
        <w:pStyle w:val="TableName"/>
      </w:pPr>
      <w:bookmarkStart w:id="57" w:name="_Toc402192205"/>
      <w:r>
        <w:lastRenderedPageBreak/>
        <w:t>Table A4</w:t>
      </w:r>
      <w:r>
        <w:tab/>
      </w:r>
      <w:r w:rsidRPr="009610B4">
        <w:t xml:space="preserve">What results were defined </w:t>
      </w:r>
      <w:r>
        <w:t xml:space="preserve">and reported </w:t>
      </w:r>
      <w:r w:rsidRPr="009610B4">
        <w:t xml:space="preserve">in the </w:t>
      </w:r>
      <w:proofErr w:type="spellStart"/>
      <w:r w:rsidRPr="009610B4">
        <w:t>SWAp</w:t>
      </w:r>
      <w:proofErr w:type="spellEnd"/>
      <w:r w:rsidRPr="009610B4">
        <w:t xml:space="preserve"> at sector or program level?</w:t>
      </w:r>
      <w:bookmarkEnd w:id="57"/>
    </w:p>
    <w:tbl>
      <w:tblPr>
        <w:tblStyle w:val="TableGrid"/>
        <w:tblpPr w:leftFromText="181" w:rightFromText="181" w:vertAnchor="text" w:tblpY="1"/>
        <w:tblOverlap w:val="never"/>
        <w:tblW w:w="5000" w:type="pct"/>
        <w:tblLook w:val="04A0" w:firstRow="1" w:lastRow="0" w:firstColumn="1" w:lastColumn="0" w:noHBand="0" w:noVBand="1"/>
      </w:tblPr>
      <w:tblGrid>
        <w:gridCol w:w="1065"/>
        <w:gridCol w:w="8177"/>
      </w:tblGrid>
      <w:tr w:rsidR="00860081" w:rsidRPr="00A44C6A" w:rsidTr="00860081">
        <w:trPr>
          <w:cnfStyle w:val="100000000000" w:firstRow="1" w:lastRow="0" w:firstColumn="0" w:lastColumn="0" w:oddVBand="0" w:evenVBand="0" w:oddHBand="0" w:evenHBand="0" w:firstRowFirstColumn="0" w:firstRowLastColumn="0" w:lastRowFirstColumn="0" w:lastRowLastColumn="0"/>
          <w:cantSplit/>
          <w:trHeight w:val="309"/>
          <w:tblHeader/>
        </w:trPr>
        <w:tc>
          <w:tcPr>
            <w:tcW w:w="539" w:type="pct"/>
            <w:tcBorders>
              <w:bottom w:val="single" w:sz="4" w:space="0" w:color="007FAD"/>
            </w:tcBorders>
          </w:tcPr>
          <w:p w:rsidR="00860081" w:rsidRPr="00A44C6A" w:rsidRDefault="00860081" w:rsidP="00860081">
            <w:pPr>
              <w:pStyle w:val="TableHeading2"/>
            </w:pPr>
            <w:r w:rsidRPr="00A44C6A">
              <w:t>Countr</w:t>
            </w:r>
            <w:r>
              <w:t>y</w:t>
            </w:r>
          </w:p>
        </w:tc>
        <w:tc>
          <w:tcPr>
            <w:tcW w:w="4461" w:type="pct"/>
          </w:tcPr>
          <w:p w:rsidR="00860081" w:rsidRPr="00A44C6A" w:rsidRDefault="00860081" w:rsidP="00860081">
            <w:pPr>
              <w:pStyle w:val="TableHeading"/>
            </w:pPr>
            <w:r w:rsidRPr="00A44C6A">
              <w:t>What results have been reported?</w:t>
            </w:r>
          </w:p>
        </w:tc>
      </w:tr>
      <w:tr w:rsidR="00860081" w:rsidRPr="00A44C6A" w:rsidTr="00860081">
        <w:trPr>
          <w:cantSplit/>
        </w:trPr>
        <w:tc>
          <w:tcPr>
            <w:tcW w:w="539" w:type="pct"/>
            <w:shd w:val="clear" w:color="auto" w:fill="auto"/>
          </w:tcPr>
          <w:p w:rsidR="00860081" w:rsidRPr="008771C7" w:rsidRDefault="00860081" w:rsidP="00860081">
            <w:pPr>
              <w:pStyle w:val="TableText"/>
              <w:rPr>
                <w:color w:val="auto"/>
              </w:rPr>
            </w:pPr>
            <w:r w:rsidRPr="00B23F8D">
              <w:rPr>
                <w:color w:val="auto"/>
              </w:rPr>
              <w:t>Banglades</w:t>
            </w:r>
            <w:r w:rsidRPr="008771C7">
              <w:rPr>
                <w:color w:val="auto"/>
              </w:rPr>
              <w:t>h</w:t>
            </w:r>
          </w:p>
        </w:tc>
        <w:tc>
          <w:tcPr>
            <w:tcW w:w="4461" w:type="pct"/>
          </w:tcPr>
          <w:p w:rsidR="00860081" w:rsidRDefault="00860081" w:rsidP="00860081">
            <w:pPr>
              <w:pStyle w:val="TableText"/>
            </w:pPr>
            <w:r>
              <w:t>At program level the expected results are provided within four main thematic areas: Maternal, neonatal and child health (MNCH)</w:t>
            </w:r>
            <w:r w:rsidRPr="0060507D">
              <w:t xml:space="preserve">; </w:t>
            </w:r>
            <w:r>
              <w:t>2. Family planning</w:t>
            </w:r>
            <w:r w:rsidRPr="0060507D">
              <w:t>; and,</w:t>
            </w:r>
            <w:r>
              <w:t xml:space="preserve"> </w:t>
            </w:r>
            <w:r w:rsidRPr="0060507D">
              <w:t>Nutrition.</w:t>
            </w:r>
            <w:r>
              <w:t>3</w:t>
            </w:r>
            <w:r w:rsidRPr="0060507D">
              <w:t xml:space="preserve">. </w:t>
            </w:r>
            <w:proofErr w:type="spellStart"/>
            <w:r w:rsidRPr="0060507D">
              <w:t>SWAp</w:t>
            </w:r>
            <w:proofErr w:type="spellEnd"/>
            <w:r w:rsidRPr="0060507D">
              <w:t xml:space="preserve"> Financing and Financial Management</w:t>
            </w:r>
            <w:r>
              <w:t xml:space="preserve">; </w:t>
            </w:r>
            <w:r w:rsidRPr="0060507D">
              <w:t xml:space="preserve">4. </w:t>
            </w:r>
            <w:r w:rsidR="00DE1104">
              <w:t>Human resources for health (HRH)</w:t>
            </w:r>
            <w:r>
              <w:t xml:space="preserve">. Indicators were defined for all these, reported in the APRs. </w:t>
            </w:r>
          </w:p>
          <w:p w:rsidR="00860081" w:rsidRDefault="00860081" w:rsidP="00860081">
            <w:pPr>
              <w:pStyle w:val="TableText"/>
            </w:pPr>
            <w:r>
              <w:t xml:space="preserve">The country </w:t>
            </w:r>
            <w:r w:rsidRPr="00A44C6A">
              <w:t>has been praised in a number of interna</w:t>
            </w:r>
            <w:r>
              <w:t xml:space="preserve">tional publications (including </w:t>
            </w:r>
            <w:r w:rsidRPr="004B2D6F">
              <w:rPr>
                <w:i/>
              </w:rPr>
              <w:t>The Lancet</w:t>
            </w:r>
            <w:r w:rsidRPr="00A44C6A">
              <w:t xml:space="preserve">) for its performance </w:t>
            </w:r>
            <w:r>
              <w:t xml:space="preserve">in </w:t>
            </w:r>
            <w:r w:rsidRPr="00A44C6A">
              <w:t>the health M</w:t>
            </w:r>
            <w:r>
              <w:t xml:space="preserve">illennium </w:t>
            </w:r>
            <w:r w:rsidRPr="00A44C6A">
              <w:t>D</w:t>
            </w:r>
            <w:r>
              <w:t xml:space="preserve">evelopment </w:t>
            </w:r>
            <w:r w:rsidRPr="00A44C6A">
              <w:t>G</w:t>
            </w:r>
            <w:r>
              <w:t>oals (MDGs)</w:t>
            </w:r>
            <w:r w:rsidRPr="00A44C6A">
              <w:t xml:space="preserve"> and for its track record in reaching </w:t>
            </w:r>
            <w:r>
              <w:t>(</w:t>
            </w:r>
            <w:r w:rsidRPr="00A44C6A">
              <w:t>or surpassing</w:t>
            </w:r>
            <w:r>
              <w:t>)</w:t>
            </w:r>
            <w:r w:rsidRPr="00A44C6A">
              <w:t xml:space="preserve"> health outcomes and </w:t>
            </w:r>
            <w:r>
              <w:t>service</w:t>
            </w:r>
            <w:r w:rsidRPr="00A44C6A">
              <w:t xml:space="preserve"> delivery targets</w:t>
            </w:r>
            <w:r>
              <w:t xml:space="preserve"> (i</w:t>
            </w:r>
            <w:r w:rsidRPr="00A44C6A">
              <w:t xml:space="preserve">t is not possible to </w:t>
            </w:r>
            <w:r>
              <w:t xml:space="preserve">include </w:t>
            </w:r>
            <w:r w:rsidRPr="00A44C6A">
              <w:t xml:space="preserve">these </w:t>
            </w:r>
            <w:r>
              <w:t>here). Sector r</w:t>
            </w:r>
            <w:r w:rsidRPr="00A44C6A">
              <w:t xml:space="preserve">esults are available and reported </w:t>
            </w:r>
            <w:r>
              <w:t>on</w:t>
            </w:r>
            <w:r w:rsidRPr="00A44C6A">
              <w:t xml:space="preserve"> annually</w:t>
            </w:r>
            <w:r>
              <w:t>. T</w:t>
            </w:r>
            <w:r w:rsidRPr="00A44C6A">
              <w:t xml:space="preserve">he 2013 </w:t>
            </w:r>
            <w:r w:rsidRPr="003D7E2F">
              <w:t>Annual Program Review</w:t>
            </w:r>
            <w:r w:rsidRPr="00A44C6A">
              <w:t xml:space="preserve"> </w:t>
            </w:r>
            <w:r>
              <w:t xml:space="preserve">(APR) </w:t>
            </w:r>
            <w:r w:rsidRPr="00A44C6A">
              <w:t>summarise</w:t>
            </w:r>
            <w:r>
              <w:t>s them as follows:</w:t>
            </w:r>
          </w:p>
          <w:p w:rsidR="00860081" w:rsidRDefault="00860081" w:rsidP="00860081">
            <w:pPr>
              <w:pStyle w:val="TableBullet"/>
            </w:pPr>
            <w:r w:rsidRPr="003D7E2F">
              <w:t>Maternal, neonatal and child health</w:t>
            </w:r>
            <w:r w:rsidRPr="00A44C6A">
              <w:t>,</w:t>
            </w:r>
            <w:r>
              <w:t xml:space="preserve"> family planning</w:t>
            </w:r>
            <w:r w:rsidRPr="00A44C6A">
              <w:t xml:space="preserve"> and nutrition: the majority of the ten </w:t>
            </w:r>
            <w:r>
              <w:t xml:space="preserve">operational plans for </w:t>
            </w:r>
            <w:r w:rsidRPr="00A44C6A">
              <w:t>th</w:t>
            </w:r>
            <w:r>
              <w:t>ese</w:t>
            </w:r>
            <w:r w:rsidRPr="00A44C6A">
              <w:t xml:space="preserve"> </w:t>
            </w:r>
            <w:r>
              <w:t>areas</w:t>
            </w:r>
            <w:r w:rsidRPr="00A44C6A">
              <w:t xml:space="preserve"> are judged to be on track to achieving their objectives</w:t>
            </w:r>
            <w:r>
              <w:t>.</w:t>
            </w:r>
            <w:r w:rsidRPr="00A44C6A">
              <w:t xml:space="preserve"> </w:t>
            </w:r>
          </w:p>
          <w:p w:rsidR="00860081" w:rsidRDefault="00860081" w:rsidP="00860081">
            <w:pPr>
              <w:pStyle w:val="TableBullet"/>
            </w:pPr>
            <w:proofErr w:type="spellStart"/>
            <w:r w:rsidRPr="00A44C6A">
              <w:t>SWAp</w:t>
            </w:r>
            <w:proofErr w:type="spellEnd"/>
            <w:r w:rsidRPr="00A44C6A">
              <w:t xml:space="preserve"> financing and financial management: significant progress in sector financing, including the provision of robust </w:t>
            </w:r>
            <w:r>
              <w:t>operational plan</w:t>
            </w:r>
            <w:r w:rsidRPr="00A44C6A">
              <w:t xml:space="preserve"> oversight and organisation of inter-</w:t>
            </w:r>
            <w:r>
              <w:t>operational plan</w:t>
            </w:r>
            <w:r w:rsidRPr="00A44C6A">
              <w:t xml:space="preserve"> fund reallocations</w:t>
            </w:r>
            <w:r>
              <w:t>,</w:t>
            </w:r>
            <w:r w:rsidRPr="00A44C6A">
              <w:t xml:space="preserve"> improving efficiency in the use of available resources. </w:t>
            </w:r>
            <w:r>
              <w:t>P</w:t>
            </w:r>
            <w:r w:rsidRPr="00A44C6A">
              <w:t xml:space="preserve">rogress </w:t>
            </w:r>
            <w:r>
              <w:t xml:space="preserve">in </w:t>
            </w:r>
            <w:r w:rsidRPr="00A44C6A">
              <w:t>preparing and approving a health financing strategy</w:t>
            </w:r>
            <w:r>
              <w:t>,</w:t>
            </w:r>
            <w:r w:rsidRPr="00A44C6A">
              <w:t xml:space="preserve"> </w:t>
            </w:r>
            <w:r>
              <w:t xml:space="preserve">and </w:t>
            </w:r>
            <w:r w:rsidRPr="00A44C6A">
              <w:t>increasing equity and improving efficiency in the use of resources. Work on National He</w:t>
            </w:r>
            <w:r>
              <w:t>alth Accounts has begun.</w:t>
            </w:r>
          </w:p>
          <w:p w:rsidR="00860081" w:rsidRDefault="00860081" w:rsidP="00860081">
            <w:pPr>
              <w:pStyle w:val="TableBullet"/>
            </w:pPr>
            <w:r w:rsidRPr="00A44C6A">
              <w:t xml:space="preserve">Planning, </w:t>
            </w:r>
            <w:r>
              <w:t>m</w:t>
            </w:r>
            <w:r w:rsidRPr="00A44C6A">
              <w:t xml:space="preserve">onitoring and </w:t>
            </w:r>
            <w:r>
              <w:t>e</w:t>
            </w:r>
            <w:r w:rsidRPr="00A44C6A">
              <w:t>valuation:</w:t>
            </w:r>
            <w:r>
              <w:t xml:space="preserve"> </w:t>
            </w:r>
            <w:r w:rsidRPr="00A44C6A">
              <w:t>sufficient progress</w:t>
            </w:r>
            <w:r>
              <w:t>.</w:t>
            </w:r>
            <w:r w:rsidRPr="00A44C6A">
              <w:t xml:space="preserve"> </w:t>
            </w:r>
          </w:p>
          <w:p w:rsidR="00860081" w:rsidRPr="00A44C6A" w:rsidRDefault="00860081" w:rsidP="00DE1104">
            <w:pPr>
              <w:pStyle w:val="TableBullet"/>
            </w:pPr>
            <w:r w:rsidRPr="00A44C6A">
              <w:t>HRH: progress in key areas</w:t>
            </w:r>
            <w:r>
              <w:t xml:space="preserve">, e.g. the </w:t>
            </w:r>
            <w:r w:rsidRPr="00A44C6A">
              <w:t xml:space="preserve">production of </w:t>
            </w:r>
            <w:r>
              <w:t>community safe birth attendants</w:t>
            </w:r>
            <w:r w:rsidRPr="00A44C6A">
              <w:t xml:space="preserve"> and training of midwives, recruitment of nurses, provision of in-service training, and improving quality assurance system. </w:t>
            </w:r>
            <w:r>
              <w:t>However</w:t>
            </w:r>
            <w:r w:rsidRPr="00A44C6A">
              <w:t xml:space="preserve"> many HRH challenges remain</w:t>
            </w:r>
            <w:r>
              <w:t>. Five</w:t>
            </w:r>
            <w:r w:rsidRPr="00A44C6A">
              <w:t xml:space="preserve"> </w:t>
            </w:r>
            <w:r>
              <w:t xml:space="preserve">Operational Plans </w:t>
            </w:r>
            <w:r w:rsidRPr="00A44C6A">
              <w:t>heavily involved in HR</w:t>
            </w:r>
            <w:r>
              <w:t>H</w:t>
            </w:r>
            <w:r w:rsidRPr="00A44C6A">
              <w:t xml:space="preserve"> progressing well</w:t>
            </w:r>
            <w:r>
              <w:t>,</w:t>
            </w:r>
            <w:r w:rsidRPr="00A44C6A">
              <w:t xml:space="preserve"> most are on track to achieve mid-2014 targets. </w:t>
            </w:r>
          </w:p>
        </w:tc>
      </w:tr>
      <w:tr w:rsidR="00860081" w:rsidRPr="00A44C6A" w:rsidTr="00860081">
        <w:trPr>
          <w:cantSplit/>
        </w:trPr>
        <w:tc>
          <w:tcPr>
            <w:tcW w:w="539" w:type="pct"/>
            <w:shd w:val="clear" w:color="auto" w:fill="auto"/>
          </w:tcPr>
          <w:p w:rsidR="00860081" w:rsidRPr="008771C7" w:rsidRDefault="00860081" w:rsidP="00860081">
            <w:pPr>
              <w:pStyle w:val="TableText"/>
              <w:rPr>
                <w:color w:val="auto"/>
              </w:rPr>
            </w:pPr>
            <w:r w:rsidRPr="008771C7">
              <w:rPr>
                <w:color w:val="auto"/>
              </w:rPr>
              <w:t>Cambodia</w:t>
            </w:r>
          </w:p>
        </w:tc>
        <w:tc>
          <w:tcPr>
            <w:tcW w:w="4461" w:type="pct"/>
          </w:tcPr>
          <w:p w:rsidR="00860081" w:rsidRDefault="00860081" w:rsidP="00860081">
            <w:pPr>
              <w:pStyle w:val="TableText"/>
            </w:pPr>
            <w:r>
              <w:t>There are three Program Areas and five Strategic Priorities defined for HSP2. The Program Areas are: MNCH and Nutrition; Communicable Diseases; and NCDs. The five strategic priorities are: Health Care Financing; Human Resource Management and Development; Health Service Delivery; Health Information Systems; Governance and Aid Effectiveness. Specific priorities and indicators are clearly stated in HSP2 and reported in the annual reviews, although not independently verified annually – only in the MTR.</w:t>
            </w:r>
          </w:p>
          <w:p w:rsidR="00860081" w:rsidRPr="00A44C6A" w:rsidRDefault="00860081" w:rsidP="00142837">
            <w:pPr>
              <w:pStyle w:val="TableText"/>
            </w:pPr>
            <w:r w:rsidRPr="00A44C6A">
              <w:t>The reported results can be found in the 2011 MTR</w:t>
            </w:r>
            <w:r>
              <w:t xml:space="preserve">. In short: the country </w:t>
            </w:r>
            <w:r w:rsidRPr="00A44C6A">
              <w:t>is well on course to meet most of its health related</w:t>
            </w:r>
            <w:r>
              <w:t xml:space="preserve"> MDGs</w:t>
            </w:r>
            <w:r w:rsidRPr="00A44C6A">
              <w:t xml:space="preserve"> and National Strategic Development Plan indicators</w:t>
            </w:r>
            <w:r>
              <w:t xml:space="preserve"> (with the </w:t>
            </w:r>
            <w:r w:rsidRPr="00A44C6A">
              <w:t xml:space="preserve">exceptions </w:t>
            </w:r>
            <w:r>
              <w:t xml:space="preserve">of </w:t>
            </w:r>
            <w:r w:rsidRPr="00A44C6A">
              <w:t>malaria and nutrition</w:t>
            </w:r>
            <w:r>
              <w:t xml:space="preserve">). </w:t>
            </w:r>
            <w:r w:rsidRPr="00A44C6A">
              <w:t xml:space="preserve">The </w:t>
            </w:r>
            <w:r>
              <w:t>r</w:t>
            </w:r>
            <w:r w:rsidRPr="003D7E2F">
              <w:t>eproductive</w:t>
            </w:r>
            <w:r>
              <w:t>, maternal, neonatal, and child health p</w:t>
            </w:r>
            <w:r w:rsidRPr="00A44C6A">
              <w:t xml:space="preserve">rogram </w:t>
            </w:r>
            <w:r>
              <w:t>a</w:t>
            </w:r>
            <w:r w:rsidRPr="00A44C6A">
              <w:t>rea is on track with substantial progress in the p</w:t>
            </w:r>
            <w:r>
              <w:t>revious five</w:t>
            </w:r>
            <w:r w:rsidRPr="00A44C6A">
              <w:t xml:space="preserve"> years in reducing maternal, under-</w:t>
            </w:r>
            <w:r>
              <w:t>5</w:t>
            </w:r>
            <w:r w:rsidRPr="00A44C6A">
              <w:t xml:space="preserve"> and infant mortality, </w:t>
            </w:r>
            <w:r>
              <w:t xml:space="preserve">but less </w:t>
            </w:r>
            <w:r w:rsidRPr="00A44C6A">
              <w:t xml:space="preserve">noticeable </w:t>
            </w:r>
            <w:r>
              <w:t xml:space="preserve">progress </w:t>
            </w:r>
            <w:r w:rsidRPr="00A44C6A">
              <w:t>in neonatal mortality and malnutrition of women and children</w:t>
            </w:r>
            <w:r>
              <w:t xml:space="preserve">. </w:t>
            </w:r>
            <w:r w:rsidRPr="00A44C6A">
              <w:t>Cambodia is experiencing a fast epidemiological transition characterised by an increase in the prevalence of non-communicable diseases</w:t>
            </w:r>
            <w:r>
              <w:t xml:space="preserve"> (NCDs)</w:t>
            </w:r>
            <w:r w:rsidRPr="00A44C6A">
              <w:t>: progress to define, finance and implement the</w:t>
            </w:r>
            <w:r w:rsidR="00142837">
              <w:t xml:space="preserve"> </w:t>
            </w:r>
            <w:r w:rsidRPr="00A44C6A">
              <w:t xml:space="preserve">NCD </w:t>
            </w:r>
            <w:r>
              <w:t>p</w:t>
            </w:r>
            <w:r w:rsidRPr="00A44C6A">
              <w:t xml:space="preserve">rogram </w:t>
            </w:r>
            <w:r>
              <w:t>a</w:t>
            </w:r>
            <w:r w:rsidRPr="00A44C6A">
              <w:t>rea has been slow and financing largely insufficient.</w:t>
            </w:r>
          </w:p>
        </w:tc>
      </w:tr>
      <w:tr w:rsidR="00860081" w:rsidRPr="00A44C6A" w:rsidTr="00860081">
        <w:trPr>
          <w:cantSplit/>
        </w:trPr>
        <w:tc>
          <w:tcPr>
            <w:tcW w:w="539" w:type="pct"/>
            <w:tcBorders>
              <w:bottom w:val="single" w:sz="4" w:space="0" w:color="007FAD"/>
            </w:tcBorders>
            <w:shd w:val="clear" w:color="auto" w:fill="auto"/>
          </w:tcPr>
          <w:p w:rsidR="00860081" w:rsidRPr="008771C7" w:rsidRDefault="00860081" w:rsidP="00860081">
            <w:pPr>
              <w:pStyle w:val="TableText"/>
              <w:rPr>
                <w:color w:val="auto"/>
              </w:rPr>
            </w:pPr>
            <w:r w:rsidRPr="008771C7">
              <w:rPr>
                <w:color w:val="auto"/>
              </w:rPr>
              <w:t>Nepal</w:t>
            </w:r>
          </w:p>
        </w:tc>
        <w:tc>
          <w:tcPr>
            <w:tcW w:w="4461" w:type="pct"/>
          </w:tcPr>
          <w:p w:rsidR="00860081" w:rsidRDefault="00860081" w:rsidP="00860081">
            <w:pPr>
              <w:pStyle w:val="TableText"/>
            </w:pPr>
            <w:r w:rsidRPr="004E1857">
              <w:t>The objective of the NHSP II is to increase people’s access to and utilization of quality essential health care services</w:t>
            </w:r>
            <w:r w:rsidR="009F1B70">
              <w:t xml:space="preserve"> (EHCS)</w:t>
            </w:r>
            <w:r w:rsidRPr="004E1857">
              <w:t xml:space="preserve">. The </w:t>
            </w:r>
            <w:r>
              <w:t>EHCS</w:t>
            </w:r>
            <w:r w:rsidRPr="004E1857">
              <w:t xml:space="preserve"> is the priority program of the sector and includes maternal and child health programs</w:t>
            </w:r>
            <w:r>
              <w:t>. Indicators are defined and reported about annually, and externally verified at least every two years.</w:t>
            </w:r>
          </w:p>
          <w:p w:rsidR="00860081" w:rsidRPr="00A44C6A" w:rsidRDefault="00860081" w:rsidP="00860081">
            <w:pPr>
              <w:pStyle w:val="TableText"/>
            </w:pPr>
            <w:r w:rsidRPr="00A44C6A">
              <w:t xml:space="preserve">Despite political instability the Nepal health sector is on track to meet its MDG 4 </w:t>
            </w:r>
            <w:r>
              <w:t>and</w:t>
            </w:r>
            <w:r w:rsidRPr="00A44C6A">
              <w:t xml:space="preserve"> 5 targets. Progress in 2011/12 </w:t>
            </w:r>
            <w:r>
              <w:t>was</w:t>
            </w:r>
            <w:r w:rsidRPr="00A44C6A">
              <w:t xml:space="preserve"> mixed with achievements recorded mainl</w:t>
            </w:r>
            <w:r>
              <w:t>y in maternal health and immuniz</w:t>
            </w:r>
            <w:r w:rsidRPr="00A44C6A">
              <w:t xml:space="preserve">ation. Nepal maintained its good performance on most health indicators. The immunization coverage for basic essential vaccines </w:t>
            </w:r>
            <w:r>
              <w:t>among</w:t>
            </w:r>
            <w:r w:rsidRPr="00A44C6A">
              <w:t xml:space="preserve"> children 12-23 months was recorded as 86.6%, above the 85%</w:t>
            </w:r>
            <w:r>
              <w:t xml:space="preserve"> </w:t>
            </w:r>
            <w:r w:rsidRPr="00A44C6A">
              <w:t>target. Vitamin A supplementation coverage for children 6-59 months was maintained above the 90% target</w:t>
            </w:r>
            <w:r>
              <w:t>. P</w:t>
            </w:r>
            <w:r w:rsidRPr="00A44C6A">
              <w:t xml:space="preserve">rogress </w:t>
            </w:r>
            <w:r>
              <w:t>was</w:t>
            </w:r>
            <w:r w:rsidRPr="00A44C6A">
              <w:t xml:space="preserve"> also recorded against maternal health related indicators. </w:t>
            </w:r>
          </w:p>
          <w:p w:rsidR="00860081" w:rsidRPr="00A44C6A" w:rsidRDefault="00860081" w:rsidP="00860081">
            <w:pPr>
              <w:pStyle w:val="TableText"/>
            </w:pPr>
            <w:r>
              <w:t xml:space="preserve">Despite </w:t>
            </w:r>
            <w:r w:rsidRPr="00A44C6A">
              <w:t>overall good progress</w:t>
            </w:r>
            <w:r>
              <w:t>,</w:t>
            </w:r>
            <w:r w:rsidRPr="00A44C6A">
              <w:t xml:space="preserve"> the sector </w:t>
            </w:r>
            <w:r>
              <w:t xml:space="preserve">faces </w:t>
            </w:r>
            <w:r w:rsidRPr="00A44C6A">
              <w:t>four major challenges</w:t>
            </w:r>
            <w:r>
              <w:t>:</w:t>
            </w:r>
            <w:r w:rsidRPr="00A44C6A">
              <w:t xml:space="preserve"> </w:t>
            </w:r>
            <w:proofErr w:type="spellStart"/>
            <w:r>
              <w:t>i</w:t>
            </w:r>
            <w:proofErr w:type="spellEnd"/>
            <w:r>
              <w:t xml:space="preserve">) </w:t>
            </w:r>
            <w:r w:rsidRPr="00A44C6A">
              <w:t xml:space="preserve">significant disparities in service availability and utilisation across gender, caste, ethnicity and geographic locations. </w:t>
            </w:r>
            <w:r>
              <w:t xml:space="preserve">ii) </w:t>
            </w:r>
            <w:proofErr w:type="gramStart"/>
            <w:r w:rsidRPr="00A44C6A">
              <w:t>some</w:t>
            </w:r>
            <w:proofErr w:type="gramEnd"/>
            <w:r w:rsidRPr="00A44C6A">
              <w:t xml:space="preserve"> vital indicators </w:t>
            </w:r>
            <w:r>
              <w:t>(e.g. i</w:t>
            </w:r>
            <w:r w:rsidRPr="003D7E2F">
              <w:t xml:space="preserve">nfant </w:t>
            </w:r>
            <w:r>
              <w:t>m</w:t>
            </w:r>
            <w:r w:rsidRPr="003D7E2F">
              <w:t xml:space="preserve">ortality </w:t>
            </w:r>
            <w:r>
              <w:t>r</w:t>
            </w:r>
            <w:r w:rsidRPr="003D7E2F">
              <w:t>ate</w:t>
            </w:r>
            <w:r w:rsidRPr="00A44C6A">
              <w:t xml:space="preserve"> and</w:t>
            </w:r>
            <w:r>
              <w:t xml:space="preserve"> neonatal mortality rate) have plateaued. T</w:t>
            </w:r>
            <w:r w:rsidRPr="00A44C6A">
              <w:t xml:space="preserve">he </w:t>
            </w:r>
            <w:r>
              <w:t>c</w:t>
            </w:r>
            <w:r w:rsidRPr="00A44C6A">
              <w:t xml:space="preserve">ontraceptive </w:t>
            </w:r>
            <w:r>
              <w:t>p</w:t>
            </w:r>
            <w:r w:rsidRPr="00A44C6A">
              <w:t xml:space="preserve">revalence </w:t>
            </w:r>
            <w:r>
              <w:t>r</w:t>
            </w:r>
            <w:r w:rsidRPr="00A44C6A">
              <w:t>ate</w:t>
            </w:r>
            <w:r>
              <w:t xml:space="preserve"> </w:t>
            </w:r>
            <w:r w:rsidRPr="00A44C6A">
              <w:t xml:space="preserve">has gone down and the </w:t>
            </w:r>
            <w:r>
              <w:t xml:space="preserve">unmet need for family planning </w:t>
            </w:r>
            <w:r w:rsidRPr="00A44C6A">
              <w:t xml:space="preserve">remains high at 27% </w:t>
            </w:r>
            <w:r>
              <w:t>(</w:t>
            </w:r>
            <w:r w:rsidRPr="00A44C6A">
              <w:t>with unmet need among adolescents at 41.5% and youths at 37%</w:t>
            </w:r>
            <w:r>
              <w:t>)</w:t>
            </w:r>
            <w:r w:rsidRPr="00A44C6A">
              <w:t xml:space="preserve">. </w:t>
            </w:r>
            <w:r>
              <w:t xml:space="preserve">iii) </w:t>
            </w:r>
            <w:r w:rsidRPr="00A44C6A">
              <w:t>valid concerns are being rais</w:t>
            </w:r>
            <w:r>
              <w:t>ed over the quality of services</w:t>
            </w:r>
            <w:r w:rsidRPr="00A44C6A">
              <w:t>, even tho</w:t>
            </w:r>
            <w:r>
              <w:t xml:space="preserve">ugh the Service Tracking Survey </w:t>
            </w:r>
            <w:r w:rsidRPr="00A44C6A">
              <w:t>2012 inferred 91% clients were satisfied with services at public health facilities</w:t>
            </w:r>
            <w:r>
              <w:t>. iv)</w:t>
            </w:r>
            <w:r w:rsidRPr="00A44C6A">
              <w:t xml:space="preserve"> </w:t>
            </w:r>
            <w:proofErr w:type="gramStart"/>
            <w:r w:rsidRPr="00A44C6A">
              <w:t>most</w:t>
            </w:r>
            <w:proofErr w:type="gramEnd"/>
            <w:r w:rsidRPr="00A44C6A">
              <w:t xml:space="preserve"> importantly, the sector faces governance challenges</w:t>
            </w:r>
            <w:r>
              <w:t xml:space="preserve">, </w:t>
            </w:r>
            <w:r w:rsidRPr="00A44C6A">
              <w:t xml:space="preserve">contributed </w:t>
            </w:r>
            <w:r>
              <w:t xml:space="preserve">and </w:t>
            </w:r>
            <w:r w:rsidRPr="00A44C6A">
              <w:t xml:space="preserve">compounded </w:t>
            </w:r>
            <w:r>
              <w:t xml:space="preserve">by </w:t>
            </w:r>
            <w:r w:rsidRPr="00A44C6A">
              <w:t>political instability.</w:t>
            </w:r>
            <w:r>
              <w:rPr>
                <w:rStyle w:val="FootnoteReference"/>
              </w:rPr>
              <w:footnoteReference w:id="80"/>
            </w:r>
            <w:r w:rsidRPr="00A44C6A">
              <w:t xml:space="preserve"> </w:t>
            </w:r>
          </w:p>
        </w:tc>
      </w:tr>
      <w:tr w:rsidR="00860081" w:rsidRPr="00A44C6A" w:rsidTr="00860081">
        <w:trPr>
          <w:cantSplit/>
        </w:trPr>
        <w:tc>
          <w:tcPr>
            <w:tcW w:w="539" w:type="pct"/>
            <w:shd w:val="clear" w:color="auto" w:fill="auto"/>
          </w:tcPr>
          <w:p w:rsidR="00860081" w:rsidRPr="00B23F8D" w:rsidRDefault="00860081" w:rsidP="00860081">
            <w:pPr>
              <w:pStyle w:val="TableText"/>
              <w:rPr>
                <w:color w:val="auto"/>
              </w:rPr>
            </w:pPr>
            <w:r w:rsidRPr="00B23F8D">
              <w:rPr>
                <w:color w:val="auto"/>
              </w:rPr>
              <w:lastRenderedPageBreak/>
              <w:t>P</w:t>
            </w:r>
            <w:r>
              <w:rPr>
                <w:color w:val="auto"/>
              </w:rPr>
              <w:t>apua New Guinea</w:t>
            </w:r>
          </w:p>
        </w:tc>
        <w:tc>
          <w:tcPr>
            <w:tcW w:w="4461" w:type="pct"/>
          </w:tcPr>
          <w:p w:rsidR="008E7949" w:rsidRPr="00FA2EB0" w:rsidRDefault="008E7949" w:rsidP="008E7949">
            <w:pPr>
              <w:pStyle w:val="TableText"/>
            </w:pPr>
            <w:r>
              <w:rPr>
                <w:i/>
              </w:rPr>
              <w:t>“</w:t>
            </w:r>
            <w:r w:rsidRPr="004C3393">
              <w:rPr>
                <w:i/>
              </w:rPr>
              <w:t>The development of a PNG health delivery strategy in 2011 will identify intermediate development outcomes to enable a clearer line-of-sight between Australia’s contribution and tangible changes in health sector performance</w:t>
            </w:r>
            <w:r>
              <w:rPr>
                <w:i/>
              </w:rPr>
              <w:t>.</w:t>
            </w:r>
            <w:r>
              <w:rPr>
                <w:rStyle w:val="FootnoteReference"/>
                <w:i/>
              </w:rPr>
              <w:footnoteReference w:id="81"/>
            </w:r>
            <w:r>
              <w:rPr>
                <w:i/>
              </w:rPr>
              <w:t xml:space="preserve"> </w:t>
            </w:r>
            <w:r w:rsidR="00D0603F">
              <w:t xml:space="preserve"> </w:t>
            </w:r>
            <w:r w:rsidR="00D0603F" w:rsidRPr="00D0603F">
              <w:t xml:space="preserve">The 2011-2015 PNG Health Delivery Strategy clearly defines outcome areas and performance measures in the M&amp;E Framework (personal communication from Aedan </w:t>
            </w:r>
            <w:proofErr w:type="spellStart"/>
            <w:r w:rsidR="00D0603F" w:rsidRPr="00D0603F">
              <w:t>Whyatt</w:t>
            </w:r>
            <w:proofErr w:type="spellEnd"/>
            <w:r w:rsidR="00D0603F" w:rsidRPr="00D0603F">
              <w:t>, DFAT</w:t>
            </w:r>
            <w:r w:rsidR="00151883">
              <w:t>)</w:t>
            </w:r>
            <w:r w:rsidR="00D0603F" w:rsidRPr="00D0603F">
              <w:t>.</w:t>
            </w:r>
          </w:p>
          <w:p w:rsidR="00860081" w:rsidRPr="00A44C6A" w:rsidRDefault="008E7949" w:rsidP="008E7949">
            <w:pPr>
              <w:pStyle w:val="TableText"/>
            </w:pPr>
            <w:r w:rsidRPr="00A44C6A">
              <w:t>Poor health outcomes remain static</w:t>
            </w:r>
            <w:r>
              <w:t>, resulting</w:t>
            </w:r>
            <w:r w:rsidRPr="00A44C6A">
              <w:t xml:space="preserve"> </w:t>
            </w:r>
            <w:r>
              <w:t xml:space="preserve">from </w:t>
            </w:r>
            <w:r w:rsidRPr="00A44C6A">
              <w:t>a dysfunctional</w:t>
            </w:r>
            <w:r>
              <w:t>,</w:t>
            </w:r>
            <w:r w:rsidRPr="00A44C6A">
              <w:t xml:space="preserve"> chronically under-resourced health system, and exacerbated by cultural norms and geographical isolation</w:t>
            </w:r>
            <w:r>
              <w:t xml:space="preserve">. </w:t>
            </w:r>
            <w:r w:rsidRPr="00A44C6A">
              <w:t>Despite increases in outreach clinics and medical officer visits in most provinces, maternal and child health targets are off track</w:t>
            </w:r>
            <w:r>
              <w:t xml:space="preserve">. </w:t>
            </w:r>
            <w:r w:rsidRPr="00A44C6A">
              <w:t>Supervised deliveries did not increase from 40</w:t>
            </w:r>
            <w:r>
              <w:t>%</w:t>
            </w:r>
            <w:r w:rsidRPr="00A44C6A">
              <w:t>, and referral rates for emergency obstetric care remain very low at an average of 4</w:t>
            </w:r>
            <w:r>
              <w:t>%. Progress in immuniz</w:t>
            </w:r>
            <w:r w:rsidRPr="00A44C6A">
              <w:t xml:space="preserve">ation is mixed. </w:t>
            </w:r>
            <w:r>
              <w:t>T</w:t>
            </w:r>
            <w:r w:rsidRPr="00A44C6A">
              <w:t xml:space="preserve">he proportion of children under one receiving three doses of </w:t>
            </w:r>
            <w:proofErr w:type="spellStart"/>
            <w:r w:rsidRPr="00A44C6A">
              <w:t>pentavalent</w:t>
            </w:r>
            <w:proofErr w:type="spellEnd"/>
            <w:r w:rsidRPr="00A44C6A">
              <w:t xml:space="preserve"> vaccine increased from 66 to 70</w:t>
            </w:r>
            <w:r>
              <w:t>%</w:t>
            </w:r>
            <w:r w:rsidRPr="00A44C6A">
              <w:t xml:space="preserve">, </w:t>
            </w:r>
            <w:r>
              <w:t xml:space="preserve">but </w:t>
            </w:r>
            <w:r w:rsidRPr="00A44C6A">
              <w:t xml:space="preserve">those receiving </w:t>
            </w:r>
            <w:r>
              <w:t>the</w:t>
            </w:r>
            <w:r w:rsidRPr="00A44C6A">
              <w:t xml:space="preserve"> measles vaccine declined from 67 to 58</w:t>
            </w:r>
            <w:r>
              <w:t>%</w:t>
            </w:r>
            <w:r w:rsidRPr="00A44C6A">
              <w:t xml:space="preserve">. Coverage for </w:t>
            </w:r>
            <w:proofErr w:type="spellStart"/>
            <w:r w:rsidRPr="00A44C6A">
              <w:t>pentavalent</w:t>
            </w:r>
            <w:proofErr w:type="spellEnd"/>
            <w:r w:rsidRPr="00A44C6A">
              <w:t xml:space="preserve"> vaccine is well below 2006 levels (88</w:t>
            </w:r>
            <w:r>
              <w:t>%</w:t>
            </w:r>
            <w:r w:rsidRPr="00A44C6A">
              <w:t>), and coverage for measles vaccine for the past five years remains constant. Performance against malaria and tuberculosis</w:t>
            </w:r>
            <w:r>
              <w:t xml:space="preserve"> </w:t>
            </w:r>
            <w:r w:rsidRPr="00A44C6A">
              <w:t xml:space="preserve">targets </w:t>
            </w:r>
            <w:r>
              <w:t>is</w:t>
            </w:r>
            <w:r w:rsidRPr="00A44C6A">
              <w:t xml:space="preserve"> more positive.</w:t>
            </w:r>
            <w:r>
              <w:rPr>
                <w:rStyle w:val="FootnoteReference"/>
              </w:rPr>
              <w:footnoteReference w:id="82"/>
            </w:r>
            <w:r>
              <w:t xml:space="preserve"> </w:t>
            </w:r>
            <w:r w:rsidR="00142837">
              <w:t xml:space="preserve"> </w:t>
            </w:r>
            <w:r w:rsidR="00FA2EB0">
              <w:t>Please note that this information dates from 2010.</w:t>
            </w:r>
          </w:p>
        </w:tc>
      </w:tr>
      <w:tr w:rsidR="00860081" w:rsidRPr="00A44C6A" w:rsidTr="00860081">
        <w:trPr>
          <w:cantSplit/>
        </w:trPr>
        <w:tc>
          <w:tcPr>
            <w:tcW w:w="539" w:type="pct"/>
            <w:shd w:val="clear" w:color="auto" w:fill="auto"/>
          </w:tcPr>
          <w:p w:rsidR="00860081" w:rsidRPr="00B23F8D" w:rsidRDefault="00860081" w:rsidP="00860081">
            <w:pPr>
              <w:pStyle w:val="TableText"/>
              <w:rPr>
                <w:color w:val="auto"/>
              </w:rPr>
            </w:pPr>
            <w:r w:rsidRPr="00B23F8D">
              <w:rPr>
                <w:color w:val="auto"/>
              </w:rPr>
              <w:t>Samoa</w:t>
            </w:r>
          </w:p>
        </w:tc>
        <w:tc>
          <w:tcPr>
            <w:tcW w:w="4461" w:type="pct"/>
          </w:tcPr>
          <w:p w:rsidR="00860081" w:rsidRPr="00860081" w:rsidRDefault="00860081" w:rsidP="00860081">
            <w:pPr>
              <w:pStyle w:val="TableText"/>
            </w:pPr>
            <w:r w:rsidRPr="004E47B4">
              <w:t xml:space="preserve">The results expected from the HSP were defined in terms of </w:t>
            </w:r>
            <w:r>
              <w:t xml:space="preserve">health </w:t>
            </w:r>
            <w:r w:rsidRPr="004E47B4">
              <w:t xml:space="preserve">outcomes, </w:t>
            </w:r>
            <w:r>
              <w:t xml:space="preserve">health service </w:t>
            </w:r>
            <w:r w:rsidRPr="004E47B4">
              <w:t>outputs and intermediate results, and in the form of indicators in the M&amp;E framework</w:t>
            </w:r>
            <w:r>
              <w:t xml:space="preserve">. </w:t>
            </w:r>
            <w:proofErr w:type="spellStart"/>
            <w:r>
              <w:t>Vaillancourt</w:t>
            </w:r>
            <w:proofErr w:type="spellEnd"/>
            <w:r>
              <w:rPr>
                <w:rStyle w:val="FootnoteReference"/>
              </w:rPr>
              <w:footnoteReference w:id="83"/>
            </w:r>
            <w:r>
              <w:t xml:space="preserve"> argues that t</w:t>
            </w:r>
            <w:r w:rsidRPr="004E47B4">
              <w:t>he feasibility of imp</w:t>
            </w:r>
            <w:r>
              <w:t>lementing the HSP in light of h</w:t>
            </w:r>
            <w:r w:rsidRPr="004E47B4">
              <w:t>uman and financial resources available to the sector was not fully assessed, nor d</w:t>
            </w:r>
            <w:r>
              <w:t xml:space="preserve">id </w:t>
            </w:r>
            <w:r w:rsidRPr="004E47B4">
              <w:t>the Plan provide any indication of priorities and phasing to accommodate any such constraints.</w:t>
            </w:r>
          </w:p>
          <w:p w:rsidR="00860081" w:rsidRPr="00424375" w:rsidRDefault="00860081" w:rsidP="00860081">
            <w:pPr>
              <w:pStyle w:val="TableText"/>
              <w:rPr>
                <w:i/>
              </w:rPr>
            </w:pPr>
            <w:r w:rsidRPr="003527D9">
              <w:t>Davies</w:t>
            </w:r>
            <w:r>
              <w:rPr>
                <w:rStyle w:val="FootnoteReference"/>
              </w:rPr>
              <w:footnoteReference w:id="84"/>
            </w:r>
            <w:r w:rsidRPr="003527D9">
              <w:t xml:space="preserve"> concludes (</w:t>
            </w:r>
            <w:r>
              <w:t>pages 12 and 14</w:t>
            </w:r>
            <w:r w:rsidRPr="003527D9">
              <w:t>) that</w:t>
            </w:r>
            <w:r>
              <w:rPr>
                <w:i/>
              </w:rPr>
              <w:t xml:space="preserve"> </w:t>
            </w:r>
            <w:r w:rsidRPr="003527D9">
              <w:t>‘t</w:t>
            </w:r>
            <w:r w:rsidRPr="00D31D62">
              <w:t xml:space="preserve">he </w:t>
            </w:r>
            <w:proofErr w:type="spellStart"/>
            <w:r w:rsidRPr="00D31D62">
              <w:t>SWAp</w:t>
            </w:r>
            <w:proofErr w:type="spellEnd"/>
            <w:r w:rsidRPr="00D31D62">
              <w:t xml:space="preserve"> appears to have fallen short of expec</w:t>
            </w:r>
            <w:r>
              <w:t>tations in a number of program</w:t>
            </w:r>
            <w:r w:rsidRPr="00D31D62">
              <w:t xml:space="preserve"> outcome areas</w:t>
            </w:r>
            <w:r>
              <w:t xml:space="preserve">. Examples include: </w:t>
            </w:r>
            <w:r w:rsidRPr="00D31D62">
              <w:t>Slow progress with the three capital work projects – pharmaceutical and medical supplies warehouse, orthotics and prosthetic facility, and primary care centre</w:t>
            </w:r>
            <w:r>
              <w:t xml:space="preserve">; </w:t>
            </w:r>
            <w:r w:rsidRPr="00D31D62">
              <w:t>Failure to develop and implement a comprehensive health information system</w:t>
            </w:r>
            <w:r>
              <w:t xml:space="preserve">, </w:t>
            </w:r>
            <w:r w:rsidRPr="00D31D62">
              <w:t xml:space="preserve">which has had ‘knock-on’ adverse impacts on the </w:t>
            </w:r>
            <w:r>
              <w:t xml:space="preserve">quality of </w:t>
            </w:r>
            <w:r w:rsidRPr="00D31D62">
              <w:t>sector activity data for M&amp;E purposes</w:t>
            </w:r>
            <w:r>
              <w:t>; Delays</w:t>
            </w:r>
            <w:r w:rsidRPr="003527D9">
              <w:t xml:space="preserve"> in establishing improved cervical and breast cancer screening </w:t>
            </w:r>
            <w:r w:rsidR="00294CB2">
              <w:t>programs. Davies</w:t>
            </w:r>
            <w:r>
              <w:rPr>
                <w:rStyle w:val="FootnoteReference"/>
              </w:rPr>
              <w:footnoteReference w:id="85"/>
            </w:r>
            <w:r>
              <w:t xml:space="preserve"> </w:t>
            </w:r>
            <w:r w:rsidRPr="00A44C6A">
              <w:t>concludes that it is not possible to look at how many of the results changed over time</w:t>
            </w:r>
            <w:r>
              <w:t xml:space="preserve"> due to poor baselines and inconsistent reporting. H</w:t>
            </w:r>
            <w:r w:rsidRPr="00A44C6A">
              <w:t>e reports that ‘</w:t>
            </w:r>
            <w:r w:rsidRPr="00B47D4D">
              <w:t xml:space="preserve">there are some health outcome data which relate in broad terms both to the objectives of the </w:t>
            </w:r>
            <w:proofErr w:type="spellStart"/>
            <w:r w:rsidRPr="00B47D4D">
              <w:t>SWAp</w:t>
            </w:r>
            <w:proofErr w:type="spellEnd"/>
            <w:r w:rsidRPr="00B47D4D">
              <w:t xml:space="preserve"> and to the period in which it has operated. Those data, though few in number, point to mixed results’ as follows:</w:t>
            </w:r>
          </w:p>
          <w:p w:rsidR="00860081" w:rsidRPr="00B47D4D" w:rsidRDefault="00860081" w:rsidP="00860081">
            <w:pPr>
              <w:pStyle w:val="TableText"/>
              <w:numPr>
                <w:ilvl w:val="1"/>
                <w:numId w:val="16"/>
              </w:numPr>
              <w:ind w:left="268" w:hanging="268"/>
            </w:pPr>
            <w:r>
              <w:t>I</w:t>
            </w:r>
            <w:r w:rsidRPr="00B47D4D">
              <w:t>nfant mortality rate</w:t>
            </w:r>
            <w:r>
              <w:t>:</w:t>
            </w:r>
            <w:r w:rsidRPr="00B47D4D">
              <w:t xml:space="preserve"> f</w:t>
            </w:r>
            <w:r>
              <w:t>a</w:t>
            </w:r>
            <w:r w:rsidRPr="00B47D4D">
              <w:t>ll</w:t>
            </w:r>
            <w:r>
              <w:t>ing</w:t>
            </w:r>
            <w:r w:rsidRPr="00B47D4D">
              <w:t xml:space="preserve"> from 20.4 per 1,000 live births in 2006 to 15.6 in 2011</w:t>
            </w:r>
            <w:r>
              <w:t>.</w:t>
            </w:r>
          </w:p>
          <w:p w:rsidR="00860081" w:rsidRPr="00B47D4D" w:rsidRDefault="00860081" w:rsidP="00860081">
            <w:pPr>
              <w:pStyle w:val="TableText"/>
              <w:numPr>
                <w:ilvl w:val="1"/>
                <w:numId w:val="16"/>
              </w:numPr>
              <w:ind w:left="268" w:hanging="268"/>
            </w:pPr>
            <w:r>
              <w:t>B</w:t>
            </w:r>
            <w:r w:rsidRPr="00B47D4D">
              <w:t>irth rate among women aged 15-19</w:t>
            </w:r>
            <w:r>
              <w:t>:</w:t>
            </w:r>
            <w:r w:rsidRPr="00B47D4D">
              <w:t xml:space="preserve"> increas</w:t>
            </w:r>
            <w:r>
              <w:t>ing</w:t>
            </w:r>
            <w:r w:rsidRPr="00B47D4D">
              <w:t xml:space="preserve"> from 28.6 per 1,000 in 2006 to 38.1 live births in 2011</w:t>
            </w:r>
            <w:r>
              <w:t>.</w:t>
            </w:r>
          </w:p>
          <w:p w:rsidR="00860081" w:rsidRPr="00B47D4D" w:rsidRDefault="00860081" w:rsidP="00860081">
            <w:pPr>
              <w:pStyle w:val="TableText"/>
              <w:numPr>
                <w:ilvl w:val="1"/>
                <w:numId w:val="16"/>
              </w:numPr>
              <w:ind w:left="268" w:hanging="268"/>
              <w:rPr>
                <w:lang w:val="en-GB"/>
              </w:rPr>
            </w:pPr>
            <w:r>
              <w:t>U</w:t>
            </w:r>
            <w:r w:rsidRPr="00B47D4D">
              <w:t>nder</w:t>
            </w:r>
            <w:r>
              <w:t>-5s</w:t>
            </w:r>
            <w:r w:rsidRPr="00B47D4D">
              <w:t xml:space="preserve"> presenting to TTM and MTII Hospitals with diarrhoea and gastroenteritis</w:t>
            </w:r>
            <w:r>
              <w:t>:</w:t>
            </w:r>
            <w:r w:rsidRPr="00B47D4D">
              <w:t xml:space="preserve"> </w:t>
            </w:r>
            <w:r w:rsidRPr="00B47D4D">
              <w:rPr>
                <w:lang w:val="en-GB"/>
              </w:rPr>
              <w:t>r</w:t>
            </w:r>
            <w:r>
              <w:rPr>
                <w:lang w:val="en-GB"/>
              </w:rPr>
              <w:t>i</w:t>
            </w:r>
            <w:r w:rsidRPr="00B47D4D">
              <w:rPr>
                <w:lang w:val="en-GB"/>
              </w:rPr>
              <w:t>s</w:t>
            </w:r>
            <w:r>
              <w:rPr>
                <w:lang w:val="en-GB"/>
              </w:rPr>
              <w:t>ing</w:t>
            </w:r>
            <w:r w:rsidRPr="00B47D4D">
              <w:rPr>
                <w:lang w:val="en-GB"/>
              </w:rPr>
              <w:t xml:space="preserve"> from 1,962 in 2008</w:t>
            </w:r>
            <w:r>
              <w:rPr>
                <w:lang w:val="en-GB"/>
              </w:rPr>
              <w:t>,</w:t>
            </w:r>
            <w:r w:rsidRPr="00B47D4D">
              <w:rPr>
                <w:lang w:val="en-GB"/>
              </w:rPr>
              <w:t xml:space="preserve"> to 2,157 in 2009</w:t>
            </w:r>
            <w:r>
              <w:rPr>
                <w:lang w:val="en-GB"/>
              </w:rPr>
              <w:t>,</w:t>
            </w:r>
            <w:r w:rsidRPr="00B47D4D">
              <w:rPr>
                <w:lang w:val="en-GB"/>
              </w:rPr>
              <w:t xml:space="preserve"> and 2,280 in 2010</w:t>
            </w:r>
            <w:r>
              <w:rPr>
                <w:lang w:val="en-GB"/>
              </w:rPr>
              <w:t>.</w:t>
            </w:r>
            <w:r w:rsidRPr="00B47D4D">
              <w:rPr>
                <w:lang w:val="en-GB"/>
              </w:rPr>
              <w:t xml:space="preserve"> </w:t>
            </w:r>
          </w:p>
          <w:p w:rsidR="00860081" w:rsidRPr="00B47D4D" w:rsidRDefault="00860081" w:rsidP="00860081">
            <w:pPr>
              <w:pStyle w:val="TableText"/>
              <w:numPr>
                <w:ilvl w:val="1"/>
                <w:numId w:val="16"/>
              </w:numPr>
              <w:ind w:left="268" w:hanging="268"/>
            </w:pPr>
            <w:r w:rsidRPr="00B47D4D">
              <w:t xml:space="preserve">Reported coverage of </w:t>
            </w:r>
            <w:r w:rsidR="00D00308" w:rsidRPr="00E01123">
              <w:t>Diphtheria – Pertussis - tetanus</w:t>
            </w:r>
            <w:r w:rsidR="00D00308" w:rsidRPr="00B47D4D">
              <w:t xml:space="preserve"> </w:t>
            </w:r>
            <w:r w:rsidRPr="00B47D4D">
              <w:t>III</w:t>
            </w:r>
            <w:r>
              <w:t>:</w:t>
            </w:r>
            <w:r w:rsidRPr="00B47D4D">
              <w:t xml:space="preserve"> almost doubl</w:t>
            </w:r>
            <w:r>
              <w:t>ing</w:t>
            </w:r>
            <w:r w:rsidRPr="00B47D4D">
              <w:t xml:space="preserve"> between 2008 (46</w:t>
            </w:r>
            <w:r>
              <w:t>%</w:t>
            </w:r>
            <w:r w:rsidRPr="00B47D4D">
              <w:t>) and 2010 (87</w:t>
            </w:r>
            <w:r>
              <w:t>%</w:t>
            </w:r>
            <w:r w:rsidRPr="00B47D4D">
              <w:t>)</w:t>
            </w:r>
          </w:p>
          <w:p w:rsidR="00860081" w:rsidRPr="002B5A07" w:rsidRDefault="00860081" w:rsidP="00860081">
            <w:pPr>
              <w:pStyle w:val="TableText"/>
              <w:numPr>
                <w:ilvl w:val="1"/>
                <w:numId w:val="16"/>
              </w:numPr>
              <w:ind w:left="268" w:hanging="268"/>
            </w:pPr>
            <w:r>
              <w:t>N</w:t>
            </w:r>
            <w:r w:rsidRPr="00B47D4D">
              <w:t xml:space="preserve">o reliable national data on changes in NCD prevalence over the life of the </w:t>
            </w:r>
            <w:proofErr w:type="spellStart"/>
            <w:r w:rsidRPr="00B47D4D">
              <w:t>SWAp</w:t>
            </w:r>
            <w:proofErr w:type="spellEnd"/>
            <w:r w:rsidRPr="00B47D4D">
              <w:t>.</w:t>
            </w:r>
          </w:p>
        </w:tc>
      </w:tr>
      <w:tr w:rsidR="00860081" w:rsidRPr="00A44C6A" w:rsidTr="00860081">
        <w:trPr>
          <w:cantSplit/>
        </w:trPr>
        <w:tc>
          <w:tcPr>
            <w:tcW w:w="539" w:type="pct"/>
            <w:shd w:val="clear" w:color="auto" w:fill="auto"/>
          </w:tcPr>
          <w:p w:rsidR="00860081" w:rsidRPr="00B23F8D" w:rsidRDefault="00860081" w:rsidP="00860081">
            <w:pPr>
              <w:pStyle w:val="TableText"/>
              <w:rPr>
                <w:color w:val="auto"/>
              </w:rPr>
            </w:pPr>
            <w:r w:rsidRPr="00B23F8D">
              <w:rPr>
                <w:color w:val="auto"/>
              </w:rPr>
              <w:lastRenderedPageBreak/>
              <w:t>Solomon Islands</w:t>
            </w:r>
          </w:p>
        </w:tc>
        <w:tc>
          <w:tcPr>
            <w:tcW w:w="4461" w:type="pct"/>
          </w:tcPr>
          <w:p w:rsidR="00860081" w:rsidRDefault="00860081" w:rsidP="00860081">
            <w:pPr>
              <w:pStyle w:val="TableText"/>
            </w:pPr>
            <w:r w:rsidRPr="0022481D">
              <w:t>MHMS has articulated ambitious policies in the NHSP</w:t>
            </w:r>
            <w:r>
              <w:t xml:space="preserve"> including a set of health outcome and service output indicators. However, Tyson</w:t>
            </w:r>
            <w:r>
              <w:rPr>
                <w:rStyle w:val="FootnoteReference"/>
              </w:rPr>
              <w:footnoteReference w:id="86"/>
            </w:r>
            <w:r>
              <w:t xml:space="preserve"> and </w:t>
            </w:r>
            <w:proofErr w:type="spellStart"/>
            <w:r>
              <w:t>Vaillancourt</w:t>
            </w:r>
            <w:proofErr w:type="spellEnd"/>
            <w:r>
              <w:rPr>
                <w:rStyle w:val="FootnoteReference"/>
              </w:rPr>
              <w:footnoteReference w:id="87"/>
            </w:r>
            <w:r>
              <w:t xml:space="preserve"> report the lack of </w:t>
            </w:r>
            <w:r w:rsidRPr="0022481D">
              <w:t>effective systems in place to absorb, distribute and account</w:t>
            </w:r>
            <w:r>
              <w:t xml:space="preserve"> for development assistance or to measure most of the expected results mentioned in the plan.</w:t>
            </w:r>
            <w:r w:rsidRPr="0022481D">
              <w:t xml:space="preserve"> </w:t>
            </w:r>
          </w:p>
          <w:p w:rsidR="00860081" w:rsidRPr="00A44C6A" w:rsidRDefault="00860081" w:rsidP="00860081">
            <w:pPr>
              <w:pStyle w:val="TableText"/>
            </w:pPr>
            <w:r w:rsidRPr="00A44C6A">
              <w:t>Little evidence of increased coverage since 2008 (with exception of malaria, hepatitis B and measles vaccination) although pre-</w:t>
            </w:r>
            <w:proofErr w:type="spellStart"/>
            <w:r>
              <w:t>SWAp</w:t>
            </w:r>
            <w:proofErr w:type="spellEnd"/>
            <w:r w:rsidRPr="00A44C6A">
              <w:t xml:space="preserve"> levels in other areas may have been maintained. Little improvement in longstanding high levels of unmet need for family planning. Response to the mounting </w:t>
            </w:r>
            <w:r>
              <w:t>NCD</w:t>
            </w:r>
            <w:r w:rsidRPr="00A44C6A">
              <w:t xml:space="preserve"> burden is at an early stage. Falling diarrhoea rates in under-</w:t>
            </w:r>
            <w:r>
              <w:t>5s</w:t>
            </w:r>
            <w:r w:rsidRPr="00A44C6A">
              <w:t>.</w:t>
            </w:r>
          </w:p>
          <w:p w:rsidR="00860081" w:rsidRDefault="00860081" w:rsidP="00860081">
            <w:pPr>
              <w:pStyle w:val="TableText"/>
            </w:pPr>
            <w:r w:rsidRPr="00A44C6A">
              <w:t>There have been substantial efforts to strengthen critical elements of the health system</w:t>
            </w:r>
            <w:r>
              <w:t xml:space="preserve"> with </w:t>
            </w:r>
            <w:r w:rsidRPr="00A44C6A">
              <w:t>varying effects in building capacity and improving business processes</w:t>
            </w:r>
            <w:r>
              <w:t>,</w:t>
            </w:r>
            <w:r w:rsidRPr="00A44C6A">
              <w:t xml:space="preserve"> </w:t>
            </w:r>
            <w:r>
              <w:t xml:space="preserve">and </w:t>
            </w:r>
            <w:r w:rsidRPr="00A44C6A">
              <w:t>most progress in planning, finance and least</w:t>
            </w:r>
            <w:r>
              <w:t xml:space="preserve"> in health information systems.</w:t>
            </w:r>
            <w:r>
              <w:rPr>
                <w:rStyle w:val="FootnoteReference"/>
              </w:rPr>
              <w:footnoteReference w:id="88"/>
            </w:r>
          </w:p>
          <w:p w:rsidR="00860081" w:rsidRPr="00A44C6A" w:rsidRDefault="00860081" w:rsidP="00860081">
            <w:pPr>
              <w:pStyle w:val="TableText"/>
            </w:pPr>
            <w:r w:rsidRPr="00A44C6A">
              <w:t>Well-funded targeted programs such as reproductive and child health appear to have maintained the high levels of coverage documented in the 2007</w:t>
            </w:r>
            <w:r>
              <w:t xml:space="preserve"> Demographic Health Survey</w:t>
            </w:r>
            <w:r w:rsidRPr="00A44C6A">
              <w:t>. There have been steady falls in diarrhoea in children</w:t>
            </w:r>
            <w:r>
              <w:t xml:space="preserve">, but </w:t>
            </w:r>
            <w:r w:rsidRPr="00A44C6A">
              <w:t>little effort in improving hygiene and sanitation. There is no evidence of reduc</w:t>
            </w:r>
            <w:r>
              <w:t>tions in</w:t>
            </w:r>
            <w:r w:rsidRPr="00A44C6A">
              <w:t xml:space="preserve"> the high unmet need for family planning or </w:t>
            </w:r>
            <w:r>
              <w:t xml:space="preserve">of </w:t>
            </w:r>
            <w:r w:rsidRPr="00A44C6A">
              <w:t>increas</w:t>
            </w:r>
            <w:r>
              <w:t>es in</w:t>
            </w:r>
            <w:r w:rsidRPr="00A44C6A">
              <w:t xml:space="preserve"> </w:t>
            </w:r>
            <w:r>
              <w:t xml:space="preserve">TB </w:t>
            </w:r>
            <w:r w:rsidRPr="00A44C6A">
              <w:t>case detection. The HIV/</w:t>
            </w:r>
            <w:r w:rsidR="00521D10">
              <w:t>sexually transmitted disease</w:t>
            </w:r>
            <w:r w:rsidRPr="00A44C6A">
              <w:t xml:space="preserve"> program is slowly rolling out services to prevent mother to child</w:t>
            </w:r>
            <w:r>
              <w:t xml:space="preserve"> transmission</w:t>
            </w:r>
            <w:r w:rsidRPr="00A44C6A">
              <w:t xml:space="preserve">. </w:t>
            </w:r>
            <w:r>
              <w:t>T</w:t>
            </w:r>
            <w:r w:rsidRPr="00A44C6A">
              <w:t xml:space="preserve">here is little HIV prevalence data, </w:t>
            </w:r>
            <w:r>
              <w:t xml:space="preserve">but </w:t>
            </w:r>
            <w:r w:rsidRPr="00A44C6A">
              <w:t xml:space="preserve">concern </w:t>
            </w:r>
            <w:r>
              <w:t xml:space="preserve">over </w:t>
            </w:r>
            <w:r w:rsidRPr="00A44C6A">
              <w:t xml:space="preserve">the steady increase in sexually transmitted infection rates. The mounting burden of </w:t>
            </w:r>
            <w:r>
              <w:t>NCDs</w:t>
            </w:r>
            <w:r w:rsidRPr="00A44C6A">
              <w:t xml:space="preserve"> is the major health problem facing the country</w:t>
            </w:r>
            <w:r>
              <w:t>, but t</w:t>
            </w:r>
            <w:r w:rsidRPr="00A44C6A">
              <w:t xml:space="preserve">he program does not attract funding commensurate </w:t>
            </w:r>
            <w:r>
              <w:t xml:space="preserve">the disease </w:t>
            </w:r>
            <w:r w:rsidRPr="00A44C6A">
              <w:t>burden</w:t>
            </w:r>
            <w:r>
              <w:t xml:space="preserve">, </w:t>
            </w:r>
            <w:r w:rsidRPr="00A44C6A">
              <w:t>and the response is at an early stage.</w:t>
            </w:r>
            <w:r>
              <w:rPr>
                <w:rStyle w:val="FootnoteReference"/>
              </w:rPr>
              <w:footnoteReference w:id="89"/>
            </w:r>
          </w:p>
          <w:p w:rsidR="00860081" w:rsidRPr="00A44C6A" w:rsidRDefault="00860081" w:rsidP="00860081">
            <w:pPr>
              <w:pStyle w:val="TableText"/>
            </w:pPr>
            <w:r w:rsidRPr="00A44C6A">
              <w:t xml:space="preserve">According to the 2013 Independent Performance Review of </w:t>
            </w:r>
            <w:r>
              <w:t>the Australian aid program,</w:t>
            </w:r>
            <w:r w:rsidRPr="00A44C6A">
              <w:t xml:space="preserve"> health systems have slowly been strengthened and recurrent budgets</w:t>
            </w:r>
            <w:r>
              <w:t xml:space="preserve"> to provincial services</w:t>
            </w:r>
            <w:r w:rsidRPr="00A44C6A">
              <w:t xml:space="preserve"> increased.</w:t>
            </w:r>
            <w:r>
              <w:t xml:space="preserve"> As a result of the partnership</w:t>
            </w:r>
            <w:r w:rsidRPr="00A44C6A">
              <w:t xml:space="preserve"> </w:t>
            </w:r>
            <w:r>
              <w:t>‘</w:t>
            </w:r>
            <w:r w:rsidRPr="00936852">
              <w:t>promising indications of progress towards sustained health outcomes are emerging</w:t>
            </w:r>
            <w:r>
              <w:t>.’</w:t>
            </w:r>
            <w:r>
              <w:rPr>
                <w:rStyle w:val="FootnoteReference"/>
              </w:rPr>
              <w:footnoteReference w:id="90"/>
            </w:r>
          </w:p>
        </w:tc>
      </w:tr>
    </w:tbl>
    <w:p w:rsidR="00860081" w:rsidRDefault="00860081" w:rsidP="009F7318">
      <w:pPr>
        <w:pStyle w:val="TableName"/>
      </w:pPr>
    </w:p>
    <w:p w:rsidR="00860081" w:rsidRDefault="00860081" w:rsidP="009F7318">
      <w:pPr>
        <w:pStyle w:val="TableName"/>
      </w:pPr>
    </w:p>
    <w:p w:rsidR="009F7318" w:rsidRDefault="009F7318" w:rsidP="009F7318">
      <w:r>
        <w:br w:type="page"/>
      </w:r>
    </w:p>
    <w:p w:rsidR="009F7318" w:rsidRDefault="009F7318" w:rsidP="009F7318">
      <w:pPr>
        <w:pStyle w:val="Heading2a"/>
        <w:ind w:left="851" w:hanging="851"/>
      </w:pPr>
      <w:r>
        <w:lastRenderedPageBreak/>
        <w:t>A.3.2</w:t>
      </w:r>
      <w:r>
        <w:tab/>
        <w:t>Monitoring and evaluation</w:t>
      </w:r>
    </w:p>
    <w:p w:rsidR="009F7318" w:rsidRDefault="009F7318" w:rsidP="009F7318">
      <w:pPr>
        <w:pStyle w:val="TableName"/>
      </w:pPr>
    </w:p>
    <w:p w:rsidR="009F7318" w:rsidRDefault="009F7318" w:rsidP="009F7318">
      <w:pPr>
        <w:pStyle w:val="TableName"/>
      </w:pPr>
      <w:bookmarkStart w:id="58" w:name="_Toc402192206"/>
      <w:r>
        <w:t xml:space="preserve">Table </w:t>
      </w:r>
      <w:r w:rsidRPr="00B468AE">
        <w:t>A</w:t>
      </w:r>
      <w:r>
        <w:t>5</w:t>
      </w:r>
      <w:r>
        <w:tab/>
        <w:t>The components of the M&amp;E plan: was there an M&amp;E framework?</w:t>
      </w:r>
      <w:bookmarkEnd w:id="58"/>
    </w:p>
    <w:tbl>
      <w:tblPr>
        <w:tblStyle w:val="TableGrid"/>
        <w:tblW w:w="5000" w:type="pct"/>
        <w:tblLook w:val="04A0" w:firstRow="1" w:lastRow="0" w:firstColumn="1" w:lastColumn="0" w:noHBand="0" w:noVBand="1"/>
      </w:tblPr>
      <w:tblGrid>
        <w:gridCol w:w="1065"/>
        <w:gridCol w:w="8177"/>
      </w:tblGrid>
      <w:tr w:rsidR="009F7318" w:rsidRPr="007477B1" w:rsidTr="00FF2F3D">
        <w:trPr>
          <w:cnfStyle w:val="100000000000" w:firstRow="1" w:lastRow="0" w:firstColumn="0" w:lastColumn="0" w:oddVBand="0" w:evenVBand="0" w:oddHBand="0" w:evenHBand="0" w:firstRowFirstColumn="0" w:firstRowLastColumn="0" w:lastRowFirstColumn="0" w:lastRowLastColumn="0"/>
          <w:trHeight w:val="416"/>
        </w:trPr>
        <w:tc>
          <w:tcPr>
            <w:tcW w:w="539" w:type="pct"/>
          </w:tcPr>
          <w:p w:rsidR="009F7318" w:rsidRPr="007477B1" w:rsidRDefault="009F7318" w:rsidP="00FF2F3D">
            <w:pPr>
              <w:pStyle w:val="TableHeading2"/>
            </w:pPr>
            <w:r w:rsidRPr="007477B1">
              <w:t>Countr</w:t>
            </w:r>
            <w:r>
              <w:t>y</w:t>
            </w:r>
          </w:p>
        </w:tc>
        <w:tc>
          <w:tcPr>
            <w:tcW w:w="4461" w:type="pct"/>
          </w:tcPr>
          <w:p w:rsidR="009F7318" w:rsidRPr="007477B1" w:rsidRDefault="009F7318" w:rsidP="00FF2F3D">
            <w:pPr>
              <w:pStyle w:val="TableHeading"/>
            </w:pPr>
            <w:r>
              <w:t>What were the main components of the M&amp;E plan or strategy?  Was there a monitoring framework of indicators?</w:t>
            </w:r>
          </w:p>
        </w:tc>
      </w:tr>
      <w:tr w:rsidR="009F7318" w:rsidRPr="007477B1" w:rsidTr="00FF2F3D">
        <w:tc>
          <w:tcPr>
            <w:tcW w:w="539" w:type="pct"/>
          </w:tcPr>
          <w:p w:rsidR="009F7318" w:rsidRPr="007477B1" w:rsidRDefault="009F7318" w:rsidP="00FF2F3D">
            <w:pPr>
              <w:pStyle w:val="TableText"/>
            </w:pPr>
            <w:r w:rsidRPr="007477B1">
              <w:t>Bangladesh</w:t>
            </w:r>
          </w:p>
        </w:tc>
        <w:tc>
          <w:tcPr>
            <w:tcW w:w="4461" w:type="pct"/>
          </w:tcPr>
          <w:p w:rsidR="009F7318" w:rsidRPr="007477B1" w:rsidRDefault="009F7318" w:rsidP="00AD6DCF">
            <w:pPr>
              <w:pStyle w:val="TableText"/>
            </w:pPr>
            <w:r>
              <w:t xml:space="preserve">There is a clear M&amp;E strategy comprising APR, </w:t>
            </w:r>
            <w:r w:rsidR="00AD6DCF">
              <w:t>MTR</w:t>
            </w:r>
            <w:r>
              <w:t>, APR forum. HMIS and surveys are the main information sources. There is an M&amp;E framework linked to the main expected results that is measured annually where indicators allow for this.</w:t>
            </w:r>
          </w:p>
        </w:tc>
      </w:tr>
      <w:tr w:rsidR="009F7318" w:rsidRPr="007477B1" w:rsidTr="00FF2F3D">
        <w:tc>
          <w:tcPr>
            <w:tcW w:w="539" w:type="pct"/>
          </w:tcPr>
          <w:p w:rsidR="009F7318" w:rsidRPr="007477B1" w:rsidRDefault="009F7318" w:rsidP="00FF2F3D">
            <w:pPr>
              <w:pStyle w:val="TableText"/>
            </w:pPr>
            <w:r w:rsidRPr="007477B1">
              <w:t>Cambodia</w:t>
            </w:r>
          </w:p>
        </w:tc>
        <w:tc>
          <w:tcPr>
            <w:tcW w:w="4461" w:type="pct"/>
          </w:tcPr>
          <w:p w:rsidR="009F7318" w:rsidRPr="007477B1" w:rsidRDefault="009F7318" w:rsidP="00FF2F3D">
            <w:pPr>
              <w:pStyle w:val="TableText"/>
            </w:pPr>
            <w:r>
              <w:t xml:space="preserve">HSP2 includes annual program reviews and a mid-term review along the three Program Areas and Five Strategic Priorities. The HMIS is the main information source and is complemented by other surveys (DHS, </w:t>
            </w:r>
            <w:r w:rsidRPr="003D7E2F">
              <w:t>Multiple Indicator Cluster Survey</w:t>
            </w:r>
            <w:r>
              <w:t xml:space="preserve"> (MICS)). M&amp;E indicators are defined and a program of work exists for each of these program areas and strategic priorities</w:t>
            </w:r>
          </w:p>
        </w:tc>
      </w:tr>
      <w:tr w:rsidR="009F7318" w:rsidRPr="007477B1" w:rsidTr="00FF2F3D">
        <w:tc>
          <w:tcPr>
            <w:tcW w:w="539" w:type="pct"/>
          </w:tcPr>
          <w:p w:rsidR="009F7318" w:rsidRPr="007477B1" w:rsidRDefault="009F7318" w:rsidP="00FF2F3D">
            <w:pPr>
              <w:pStyle w:val="TableText"/>
            </w:pPr>
            <w:r w:rsidRPr="007477B1">
              <w:t>Nepal</w:t>
            </w:r>
          </w:p>
        </w:tc>
        <w:tc>
          <w:tcPr>
            <w:tcW w:w="4461" w:type="pct"/>
          </w:tcPr>
          <w:p w:rsidR="009F7318" w:rsidRPr="007477B1" w:rsidRDefault="009F7318" w:rsidP="00521D10">
            <w:pPr>
              <w:pStyle w:val="TableText"/>
            </w:pPr>
            <w:r>
              <w:t>The M&amp;E plan is an integral part of the sector program (NHSP</w:t>
            </w:r>
            <w:r w:rsidR="009267B2">
              <w:t xml:space="preserve"> </w:t>
            </w:r>
            <w:r>
              <w:t>II) and includes a framework of indicators. In addition, Joint Annual Reviews (JAR) and MTR are held regularly.</w:t>
            </w:r>
            <w:r w:rsidR="00AD6DCF">
              <w:rPr>
                <w:i/>
              </w:rPr>
              <w:t xml:space="preserve"> </w:t>
            </w:r>
            <w:r w:rsidRPr="00973295">
              <w:t xml:space="preserve">The HIMS and </w:t>
            </w:r>
            <w:r w:rsidR="008B01EE">
              <w:t>Logistic</w:t>
            </w:r>
            <w:r w:rsidR="00521D10">
              <w:t xml:space="preserve"> Management Infor</w:t>
            </w:r>
            <w:r w:rsidR="00E80BF3">
              <w:t>mation System</w:t>
            </w:r>
            <w:r w:rsidRPr="00973295">
              <w:t xml:space="preserve"> are complemented by other studies </w:t>
            </w:r>
            <w:r>
              <w:t xml:space="preserve">(commissioned as per the recommendations of JAR or through policy dialogue) </w:t>
            </w:r>
            <w:r w:rsidRPr="00973295">
              <w:t>and periodic surveys</w:t>
            </w:r>
            <w:r>
              <w:t xml:space="preserve"> (DHS, MICS, </w:t>
            </w:r>
            <w:proofErr w:type="gramStart"/>
            <w:r w:rsidRPr="003D7E2F">
              <w:t>Health</w:t>
            </w:r>
            <w:proofErr w:type="gramEnd"/>
            <w:r w:rsidRPr="003D7E2F">
              <w:t xml:space="preserve"> Facility Survey</w:t>
            </w:r>
            <w:r>
              <w:t>, among others).</w:t>
            </w:r>
          </w:p>
        </w:tc>
      </w:tr>
      <w:tr w:rsidR="009F7318" w:rsidRPr="007477B1" w:rsidTr="00FF2F3D">
        <w:tc>
          <w:tcPr>
            <w:tcW w:w="539" w:type="pct"/>
          </w:tcPr>
          <w:p w:rsidR="009F7318" w:rsidRPr="007477B1" w:rsidRDefault="00817A75" w:rsidP="0097056D">
            <w:pPr>
              <w:pStyle w:val="TableText"/>
            </w:pPr>
            <w:r>
              <w:t>Papua New Guinea</w:t>
            </w:r>
          </w:p>
        </w:tc>
        <w:tc>
          <w:tcPr>
            <w:tcW w:w="4461" w:type="pct"/>
          </w:tcPr>
          <w:p w:rsidR="009F7318" w:rsidRPr="007477B1" w:rsidRDefault="009F7318" w:rsidP="00FF2F3D">
            <w:pPr>
              <w:pStyle w:val="TableText"/>
            </w:pPr>
            <w:r>
              <w:t xml:space="preserve">Joint review missions </w:t>
            </w:r>
            <w:r w:rsidRPr="00602E6B">
              <w:t>were to take place twice a year</w:t>
            </w:r>
            <w:r>
              <w:t>. The Plan includes a series of indicators (not strictly speaking a results framework) that have been seldom reviewed or reported about.</w:t>
            </w:r>
          </w:p>
        </w:tc>
      </w:tr>
      <w:tr w:rsidR="009F7318" w:rsidRPr="007477B1" w:rsidTr="00FF2F3D">
        <w:tc>
          <w:tcPr>
            <w:tcW w:w="539" w:type="pct"/>
          </w:tcPr>
          <w:p w:rsidR="009F7318" w:rsidRPr="007477B1" w:rsidRDefault="009F7318" w:rsidP="00FF2F3D">
            <w:pPr>
              <w:pStyle w:val="TableText"/>
            </w:pPr>
            <w:r w:rsidRPr="007477B1">
              <w:t>Samoa</w:t>
            </w:r>
          </w:p>
        </w:tc>
        <w:tc>
          <w:tcPr>
            <w:tcW w:w="4461" w:type="pct"/>
          </w:tcPr>
          <w:p w:rsidR="009F7318" w:rsidRPr="0055431A" w:rsidRDefault="009F7318" w:rsidP="00FF2F3D">
            <w:pPr>
              <w:pStyle w:val="TableText"/>
            </w:pPr>
            <w:r w:rsidRPr="0055431A">
              <w:t xml:space="preserve">There were annual reviews and a framework of </w:t>
            </w:r>
            <w:r>
              <w:t xml:space="preserve">M&amp;E indicators defined as part of the </w:t>
            </w:r>
            <w:proofErr w:type="spellStart"/>
            <w:r>
              <w:t>SWAp</w:t>
            </w:r>
            <w:proofErr w:type="spellEnd"/>
            <w:r>
              <w:t>. Annual programs</w:t>
            </w:r>
            <w:r w:rsidRPr="0055431A">
              <w:t xml:space="preserve"> of work (</w:t>
            </w:r>
            <w:proofErr w:type="spellStart"/>
            <w:r w:rsidRPr="0055431A">
              <w:t>PoW</w:t>
            </w:r>
            <w:proofErr w:type="spellEnd"/>
            <w:r w:rsidRPr="0055431A">
              <w:t xml:space="preserve">) </w:t>
            </w:r>
            <w:r>
              <w:t xml:space="preserve">are </w:t>
            </w:r>
            <w:r w:rsidRPr="0055431A">
              <w:t xml:space="preserve">defined although criteria for prioritisation were not defined in many cases this resulting in an unclear sense of whether the </w:t>
            </w:r>
            <w:proofErr w:type="spellStart"/>
            <w:r w:rsidRPr="0055431A">
              <w:t>PoW</w:t>
            </w:r>
            <w:proofErr w:type="spellEnd"/>
            <w:r w:rsidRPr="0055431A">
              <w:t xml:space="preserve"> addressed the most important issues or simply responded to c</w:t>
            </w:r>
            <w:r>
              <w:t>ontextual changes.</w:t>
            </w:r>
            <w:r>
              <w:rPr>
                <w:rStyle w:val="FootnoteReference"/>
              </w:rPr>
              <w:footnoteReference w:id="91"/>
            </w:r>
            <w:r w:rsidRPr="0055431A">
              <w:t xml:space="preserve"> </w:t>
            </w:r>
          </w:p>
        </w:tc>
      </w:tr>
      <w:tr w:rsidR="009F7318" w:rsidRPr="007477B1" w:rsidTr="00FF2F3D">
        <w:tc>
          <w:tcPr>
            <w:tcW w:w="539" w:type="pct"/>
          </w:tcPr>
          <w:p w:rsidR="009F7318" w:rsidRPr="007477B1" w:rsidRDefault="009F7318" w:rsidP="00FF2F3D">
            <w:pPr>
              <w:pStyle w:val="TableText"/>
            </w:pPr>
            <w:r w:rsidRPr="007477B1">
              <w:t>Solomon Islands</w:t>
            </w:r>
          </w:p>
        </w:tc>
        <w:tc>
          <w:tcPr>
            <w:tcW w:w="4461" w:type="pct"/>
          </w:tcPr>
          <w:p w:rsidR="009F7318" w:rsidRPr="007477B1" w:rsidRDefault="009F7318" w:rsidP="008B01EE">
            <w:pPr>
              <w:pStyle w:val="TableText"/>
            </w:pPr>
            <w:r w:rsidRPr="007125A7">
              <w:t>A joint (MHMS/</w:t>
            </w:r>
            <w:r w:rsidR="00D00308">
              <w:t xml:space="preserve">development partner- </w:t>
            </w:r>
            <w:r w:rsidRPr="007125A7">
              <w:t>DP) coordination and review mechanism between partners is</w:t>
            </w:r>
            <w:r>
              <w:t xml:space="preserve"> </w:t>
            </w:r>
            <w:r w:rsidRPr="007125A7">
              <w:t>established, with meetings timed around key dates in the Solomon Islands</w:t>
            </w:r>
            <w:r>
              <w:t xml:space="preserve"> </w:t>
            </w:r>
            <w:r w:rsidRPr="007125A7">
              <w:t>Government</w:t>
            </w:r>
            <w:r w:rsidR="008B01EE">
              <w:t xml:space="preserve"> </w:t>
            </w:r>
            <w:r w:rsidRPr="007125A7">
              <w:t>planning and budgeting cycle</w:t>
            </w:r>
            <w:r>
              <w:t>.</w:t>
            </w:r>
            <w:r>
              <w:rPr>
                <w:rStyle w:val="FootnoteReference"/>
              </w:rPr>
              <w:footnoteReference w:id="92"/>
            </w:r>
            <w:r>
              <w:t xml:space="preserve"> There is not a </w:t>
            </w:r>
            <w:r w:rsidRPr="00417985">
              <w:t>common</w:t>
            </w:r>
            <w:r>
              <w:t>ly</w:t>
            </w:r>
            <w:r w:rsidRPr="00417985">
              <w:t xml:space="preserve"> accepted set of indicators to monitor</w:t>
            </w:r>
            <w:r>
              <w:t xml:space="preserve"> sector </w:t>
            </w:r>
            <w:r w:rsidRPr="00417985">
              <w:t xml:space="preserve">performance </w:t>
            </w:r>
            <w:r>
              <w:t xml:space="preserve">on a yearly basis. </w:t>
            </w:r>
            <w:r w:rsidRPr="00417985">
              <w:t>Multiple indicators are detailed in NHSP and Program</w:t>
            </w:r>
            <w:r>
              <w:t xml:space="preserve"> </w:t>
            </w:r>
            <w:r w:rsidRPr="00417985">
              <w:t xml:space="preserve">documents but with inadequate attention to </w:t>
            </w:r>
            <w:r>
              <w:t xml:space="preserve">whether data can be generated </w:t>
            </w:r>
            <w:r w:rsidRPr="00417985">
              <w:t xml:space="preserve">without </w:t>
            </w:r>
            <w:r>
              <w:t xml:space="preserve">resorting to </w:t>
            </w:r>
            <w:r w:rsidRPr="00417985">
              <w:t>special surveys</w:t>
            </w:r>
            <w:r w:rsidRPr="007125A7">
              <w:t>.</w:t>
            </w:r>
            <w:r>
              <w:t xml:space="preserve"> </w:t>
            </w:r>
            <w:r>
              <w:rPr>
                <w:rStyle w:val="FootnoteReference"/>
              </w:rPr>
              <w:footnoteReference w:id="93"/>
            </w:r>
          </w:p>
        </w:tc>
      </w:tr>
    </w:tbl>
    <w:p w:rsidR="009F7318" w:rsidRDefault="009F7318" w:rsidP="009F7318">
      <w:pPr>
        <w:pStyle w:val="TableName"/>
      </w:pPr>
    </w:p>
    <w:p w:rsidR="009F7318" w:rsidRDefault="009F7318" w:rsidP="009F7318">
      <w:pPr>
        <w:pStyle w:val="TableName"/>
      </w:pPr>
      <w:bookmarkStart w:id="59" w:name="_Toc402192207"/>
      <w:r>
        <w:t>Table A6</w:t>
      </w:r>
      <w:r>
        <w:tab/>
        <w:t>Regularity of M&amp;E processes and their perceived effectiveness</w:t>
      </w:r>
      <w:bookmarkEnd w:id="59"/>
    </w:p>
    <w:tbl>
      <w:tblPr>
        <w:tblStyle w:val="TableGrid"/>
        <w:tblW w:w="5000" w:type="pct"/>
        <w:tblLook w:val="04A0" w:firstRow="1" w:lastRow="0" w:firstColumn="1" w:lastColumn="0" w:noHBand="0" w:noVBand="1"/>
      </w:tblPr>
      <w:tblGrid>
        <w:gridCol w:w="1065"/>
        <w:gridCol w:w="8177"/>
      </w:tblGrid>
      <w:tr w:rsidR="009F7318" w:rsidRPr="007477B1" w:rsidTr="00FF2F3D">
        <w:trPr>
          <w:cnfStyle w:val="100000000000" w:firstRow="1" w:lastRow="0" w:firstColumn="0" w:lastColumn="0" w:oddVBand="0" w:evenVBand="0" w:oddHBand="0" w:evenHBand="0" w:firstRowFirstColumn="0" w:firstRowLastColumn="0" w:lastRowFirstColumn="0" w:lastRowLastColumn="0"/>
          <w:trHeight w:val="523"/>
        </w:trPr>
        <w:tc>
          <w:tcPr>
            <w:tcW w:w="539" w:type="pct"/>
          </w:tcPr>
          <w:p w:rsidR="009F7318" w:rsidRPr="007477B1" w:rsidRDefault="009F7318" w:rsidP="00FF2F3D">
            <w:pPr>
              <w:pStyle w:val="TableHeading2"/>
            </w:pPr>
            <w:r w:rsidRPr="007477B1">
              <w:t>Countr</w:t>
            </w:r>
            <w:r>
              <w:t>y</w:t>
            </w:r>
          </w:p>
        </w:tc>
        <w:tc>
          <w:tcPr>
            <w:tcW w:w="4461" w:type="pct"/>
          </w:tcPr>
          <w:p w:rsidR="009F7318" w:rsidRPr="007477B1" w:rsidRDefault="009F7318" w:rsidP="00FF2F3D">
            <w:pPr>
              <w:pStyle w:val="TableHeading"/>
            </w:pPr>
            <w:r>
              <w:t>Were the M&amp;E processes undertaken periodically, as expected? Were these described in the literature as effective?</w:t>
            </w:r>
          </w:p>
        </w:tc>
      </w:tr>
      <w:tr w:rsidR="009F7318" w:rsidRPr="007477B1" w:rsidTr="00FF2F3D">
        <w:tc>
          <w:tcPr>
            <w:tcW w:w="539" w:type="pct"/>
          </w:tcPr>
          <w:p w:rsidR="009F7318" w:rsidRPr="007477B1" w:rsidRDefault="009F7318" w:rsidP="00FF2F3D">
            <w:pPr>
              <w:pStyle w:val="TableText"/>
            </w:pPr>
            <w:r w:rsidRPr="007477B1">
              <w:t>Bangladesh</w:t>
            </w:r>
          </w:p>
        </w:tc>
        <w:tc>
          <w:tcPr>
            <w:tcW w:w="4461" w:type="pct"/>
          </w:tcPr>
          <w:p w:rsidR="009F7318" w:rsidRPr="007477B1" w:rsidRDefault="009F7318" w:rsidP="00FF2F3D">
            <w:pPr>
              <w:pStyle w:val="TableText"/>
            </w:pPr>
            <w:r>
              <w:t xml:space="preserve">Annual reviews are conducted periodically and on time. They are perceived as being effective by both government and donors. The quality of these reviews has improved year on year. </w:t>
            </w:r>
            <w:r>
              <w:rPr>
                <w:rStyle w:val="FootnoteReference"/>
              </w:rPr>
              <w:footnoteReference w:id="94"/>
            </w:r>
          </w:p>
        </w:tc>
      </w:tr>
      <w:tr w:rsidR="009F7318" w:rsidRPr="007477B1" w:rsidTr="00FF2F3D">
        <w:tc>
          <w:tcPr>
            <w:tcW w:w="539" w:type="pct"/>
          </w:tcPr>
          <w:p w:rsidR="009F7318" w:rsidRPr="007477B1" w:rsidRDefault="009F7318" w:rsidP="00FF2F3D">
            <w:pPr>
              <w:pStyle w:val="TableText"/>
            </w:pPr>
            <w:r w:rsidRPr="007477B1">
              <w:t>Cambodia</w:t>
            </w:r>
          </w:p>
        </w:tc>
        <w:tc>
          <w:tcPr>
            <w:tcW w:w="4461" w:type="pct"/>
          </w:tcPr>
          <w:p w:rsidR="009F7318" w:rsidRPr="007477B1" w:rsidRDefault="009F7318" w:rsidP="00FF2F3D">
            <w:pPr>
              <w:pStyle w:val="TableText"/>
            </w:pPr>
            <w:r>
              <w:t xml:space="preserve">Review processes are undertaken yearly, as planned, and are considered to be robust, although they do not involve independent annual reviews, which has led to certain areas receiving less scrutiny than they might have, including procurement of certain commodities which is far from transparent. </w:t>
            </w:r>
            <w:r>
              <w:rPr>
                <w:rStyle w:val="FootnoteReference"/>
              </w:rPr>
              <w:footnoteReference w:id="95"/>
            </w:r>
            <w:r>
              <w:t xml:space="preserve"> </w:t>
            </w:r>
          </w:p>
        </w:tc>
      </w:tr>
      <w:tr w:rsidR="009F7318" w:rsidRPr="007477B1" w:rsidTr="00FF2F3D">
        <w:tc>
          <w:tcPr>
            <w:tcW w:w="539" w:type="pct"/>
          </w:tcPr>
          <w:p w:rsidR="009F7318" w:rsidRPr="007477B1" w:rsidRDefault="009F7318" w:rsidP="00FF2F3D">
            <w:pPr>
              <w:pStyle w:val="TableText"/>
            </w:pPr>
            <w:r w:rsidRPr="007477B1">
              <w:t>Nepal</w:t>
            </w:r>
          </w:p>
        </w:tc>
        <w:tc>
          <w:tcPr>
            <w:tcW w:w="4461" w:type="pct"/>
          </w:tcPr>
          <w:p w:rsidR="009F7318" w:rsidRPr="007477B1" w:rsidRDefault="009F7318" w:rsidP="00AB3A0A">
            <w:pPr>
              <w:pStyle w:val="TableText"/>
            </w:pPr>
            <w:r>
              <w:t xml:space="preserve">M&amp;E arrangements are described as inclusive, open and robust in the available literature. It is also reported that the information systems used for M&amp;E of indicators are quite reliable:  </w:t>
            </w:r>
            <w:r>
              <w:rPr>
                <w:i/>
              </w:rPr>
              <w:t>The HMIS</w:t>
            </w:r>
            <w:r w:rsidRPr="00973295">
              <w:rPr>
                <w:i/>
              </w:rPr>
              <w:t xml:space="preserve">, and Logistic </w:t>
            </w:r>
            <w:r w:rsidRPr="00973295">
              <w:rPr>
                <w:i/>
              </w:rPr>
              <w:lastRenderedPageBreak/>
              <w:t xml:space="preserve">Management Information System, remain the main sources of information. These are generated and updated regularly at the local level, and are generally considered </w:t>
            </w:r>
            <w:r>
              <w:rPr>
                <w:i/>
              </w:rPr>
              <w:t>robust, reliable and consistent.</w:t>
            </w:r>
            <w:r>
              <w:rPr>
                <w:rStyle w:val="FootnoteReference"/>
                <w:i/>
              </w:rPr>
              <w:footnoteReference w:id="96"/>
            </w:r>
            <w:r>
              <w:rPr>
                <w:i/>
              </w:rPr>
              <w:t xml:space="preserve"> </w:t>
            </w:r>
            <w:r w:rsidRPr="00973295">
              <w:rPr>
                <w:i/>
              </w:rPr>
              <w:t>The Global Fund takes the data generated by HMIS as a basis, and WHO also confirms its reliability</w:t>
            </w:r>
            <w:r>
              <w:rPr>
                <w:i/>
              </w:rPr>
              <w:t>.</w:t>
            </w:r>
            <w:r>
              <w:rPr>
                <w:rStyle w:val="FootnoteReference"/>
                <w:i/>
              </w:rPr>
              <w:footnoteReference w:id="97"/>
            </w:r>
          </w:p>
        </w:tc>
      </w:tr>
      <w:tr w:rsidR="009F7318" w:rsidRPr="007477B1" w:rsidTr="00FF2F3D">
        <w:tc>
          <w:tcPr>
            <w:tcW w:w="539" w:type="pct"/>
          </w:tcPr>
          <w:p w:rsidR="009F7318" w:rsidRPr="007477B1" w:rsidRDefault="009F7318" w:rsidP="00817A75">
            <w:pPr>
              <w:pStyle w:val="TableText"/>
            </w:pPr>
            <w:r w:rsidRPr="007477B1">
              <w:lastRenderedPageBreak/>
              <w:t>P</w:t>
            </w:r>
            <w:r w:rsidR="00817A75">
              <w:t>apua New Guinea</w:t>
            </w:r>
          </w:p>
        </w:tc>
        <w:tc>
          <w:tcPr>
            <w:tcW w:w="4461" w:type="pct"/>
          </w:tcPr>
          <w:p w:rsidR="009F7318" w:rsidRPr="007477B1" w:rsidRDefault="009F7318" w:rsidP="00FF2F3D">
            <w:pPr>
              <w:pStyle w:val="TableText"/>
            </w:pPr>
            <w:r>
              <w:t xml:space="preserve">A </w:t>
            </w:r>
            <w:r w:rsidRPr="00602E6B">
              <w:t>total of six</w:t>
            </w:r>
            <w:r>
              <w:t xml:space="preserve"> review missions </w:t>
            </w:r>
            <w:r w:rsidRPr="00602E6B">
              <w:t>have been undertaken - one in 2006, two in 2007, two in 2008, one in 2009 when it was agreed that visits should be reduced to just one per year</w:t>
            </w:r>
            <w:r>
              <w:t xml:space="preserve">. </w:t>
            </w:r>
            <w:r w:rsidRPr="00602E6B">
              <w:t>The results of the missions were informative but bulky reports of varying quality, an increasingly large number of recommendations and, regrettably, an ever growing backlog of proposals which have not been effectively implemented or even taken on board</w:t>
            </w:r>
            <w:r>
              <w:t>.</w:t>
            </w:r>
            <w:r>
              <w:rPr>
                <w:rStyle w:val="FootnoteReference"/>
              </w:rPr>
              <w:footnoteReference w:id="98"/>
            </w:r>
          </w:p>
        </w:tc>
      </w:tr>
      <w:tr w:rsidR="009F7318" w:rsidRPr="007477B1" w:rsidTr="00FF2F3D">
        <w:tc>
          <w:tcPr>
            <w:tcW w:w="539" w:type="pct"/>
          </w:tcPr>
          <w:p w:rsidR="009F7318" w:rsidRPr="007477B1" w:rsidRDefault="009F7318" w:rsidP="00FF2F3D">
            <w:pPr>
              <w:pStyle w:val="TableText"/>
            </w:pPr>
            <w:r w:rsidRPr="007477B1">
              <w:t>Samoa</w:t>
            </w:r>
          </w:p>
        </w:tc>
        <w:tc>
          <w:tcPr>
            <w:tcW w:w="4461" w:type="pct"/>
          </w:tcPr>
          <w:p w:rsidR="009F7318" w:rsidRPr="00261294" w:rsidRDefault="009F7318" w:rsidP="00E80BF3">
            <w:pPr>
              <w:pStyle w:val="TableText"/>
            </w:pPr>
            <w:r>
              <w:t xml:space="preserve">The main </w:t>
            </w:r>
            <w:proofErr w:type="gramStart"/>
            <w:r>
              <w:t>evaluations</w:t>
            </w:r>
            <w:r w:rsidRPr="00E80BF3">
              <w:rPr>
                <w:rStyle w:val="FootnoteReference"/>
              </w:rPr>
              <w:footnoteReference w:id="99"/>
            </w:r>
            <w:r w:rsidR="00E80BF3" w:rsidRPr="00E80BF3">
              <w:rPr>
                <w:vertAlign w:val="superscript"/>
              </w:rPr>
              <w:t>,</w:t>
            </w:r>
            <w:r>
              <w:rPr>
                <w:rStyle w:val="FootnoteReference"/>
              </w:rPr>
              <w:footnoteReference w:id="100"/>
            </w:r>
            <w:proofErr w:type="gramEnd"/>
            <w:r w:rsidR="00E80BF3">
              <w:rPr>
                <w:vertAlign w:val="superscript"/>
              </w:rPr>
              <w:t xml:space="preserve"> </w:t>
            </w:r>
            <w:r>
              <w:t>and reviews</w:t>
            </w:r>
            <w:r>
              <w:rPr>
                <w:rStyle w:val="FootnoteReference"/>
              </w:rPr>
              <w:footnoteReference w:id="101"/>
            </w:r>
            <w:r>
              <w:t xml:space="preserve"> </w:t>
            </w:r>
            <w:r w:rsidRPr="004E47B4">
              <w:t>converge on the fact that many indicators were not regularly measured due to technical, resource and capacity reasons</w:t>
            </w:r>
            <w:r>
              <w:t>.</w:t>
            </w:r>
            <w:r w:rsidRPr="00EC6FD1">
              <w:t xml:space="preserve"> </w:t>
            </w:r>
            <w:r w:rsidRPr="00EC6FD1">
              <w:rPr>
                <w:i/>
              </w:rPr>
              <w:t xml:space="preserve">‘Weaknesses in the </w:t>
            </w:r>
            <w:proofErr w:type="spellStart"/>
            <w:r w:rsidRPr="00EC6FD1">
              <w:rPr>
                <w:i/>
              </w:rPr>
              <w:t>SWAp</w:t>
            </w:r>
            <w:proofErr w:type="spellEnd"/>
            <w:r w:rsidRPr="00EC6FD1">
              <w:rPr>
                <w:i/>
              </w:rPr>
              <w:t xml:space="preserve"> M&amp;E framework have inhibited assessment of both program outcomes and </w:t>
            </w:r>
            <w:proofErr w:type="spellStart"/>
            <w:r w:rsidRPr="00EC6FD1">
              <w:rPr>
                <w:i/>
              </w:rPr>
              <w:t>SWAp</w:t>
            </w:r>
            <w:proofErr w:type="spellEnd"/>
            <w:r w:rsidRPr="00EC6FD1">
              <w:rPr>
                <w:i/>
              </w:rPr>
              <w:t xml:space="preserve"> processes... Specification of performance measures was inconsistent and availability of basel</w:t>
            </w:r>
            <w:r>
              <w:rPr>
                <w:i/>
              </w:rPr>
              <w:t>ine data was, at best, patchy.</w:t>
            </w:r>
            <w:r>
              <w:rPr>
                <w:rStyle w:val="FootnoteReference"/>
                <w:i/>
              </w:rPr>
              <w:footnoteReference w:id="102"/>
            </w:r>
          </w:p>
        </w:tc>
      </w:tr>
      <w:tr w:rsidR="009F7318" w:rsidRPr="007477B1" w:rsidTr="00FF2F3D">
        <w:tc>
          <w:tcPr>
            <w:tcW w:w="539" w:type="pct"/>
          </w:tcPr>
          <w:p w:rsidR="009F7318" w:rsidRPr="007477B1" w:rsidRDefault="009F7318" w:rsidP="00FF2F3D">
            <w:pPr>
              <w:pStyle w:val="TableText"/>
            </w:pPr>
            <w:r w:rsidRPr="007477B1">
              <w:t>Solomon Islands</w:t>
            </w:r>
          </w:p>
        </w:tc>
        <w:tc>
          <w:tcPr>
            <w:tcW w:w="4461" w:type="pct"/>
          </w:tcPr>
          <w:p w:rsidR="009F7318" w:rsidRDefault="009F7318" w:rsidP="00FF2F3D">
            <w:pPr>
              <w:pStyle w:val="TableText"/>
            </w:pPr>
            <w:r w:rsidRPr="006A6404">
              <w:t>The Solomon Islands Health</w:t>
            </w:r>
            <w:r>
              <w:t xml:space="preserve"> </w:t>
            </w:r>
            <w:proofErr w:type="spellStart"/>
            <w:r w:rsidRPr="006A6404">
              <w:t>SWAp</w:t>
            </w:r>
            <w:proofErr w:type="spellEnd"/>
            <w:r w:rsidRPr="006A6404">
              <w:t xml:space="preserve"> timeline (</w:t>
            </w:r>
            <w:r>
              <w:t>Appendix</w:t>
            </w:r>
            <w:r w:rsidRPr="006A6404">
              <w:t xml:space="preserve"> 1) indicates fairly regular reviews: two in 2009 and three in 2010.</w:t>
            </w:r>
            <w:r>
              <w:t xml:space="preserve"> </w:t>
            </w:r>
            <w:r w:rsidRPr="006A6404">
              <w:t xml:space="preserve">Other than the four </w:t>
            </w:r>
            <w:r w:rsidR="00782D36">
              <w:t xml:space="preserve">development partners </w:t>
            </w:r>
            <w:r w:rsidRPr="006A6404">
              <w:t>who signed the JPA, it is not clear to what extent these meetings</w:t>
            </w:r>
            <w:r>
              <w:t xml:space="preserve"> </w:t>
            </w:r>
            <w:r w:rsidRPr="006A6404">
              <w:t xml:space="preserve">invited/included civil society/NGOs/FBOs and other </w:t>
            </w:r>
            <w:r w:rsidR="00782D36">
              <w:t>development partner</w:t>
            </w:r>
            <w:r w:rsidRPr="006A6404">
              <w:t>s who have not signed the JPA</w:t>
            </w:r>
            <w:r>
              <w:t>.</w:t>
            </w:r>
            <w:r>
              <w:rPr>
                <w:rStyle w:val="FootnoteReference"/>
              </w:rPr>
              <w:footnoteReference w:id="103"/>
            </w:r>
            <w:r>
              <w:t xml:space="preserve"> </w:t>
            </w:r>
          </w:p>
          <w:p w:rsidR="009F7318" w:rsidRPr="007477B1" w:rsidRDefault="009F7318" w:rsidP="00AB3A0A">
            <w:pPr>
              <w:pStyle w:val="TableText"/>
            </w:pPr>
            <w:r w:rsidRPr="00417985">
              <w:t>The national health information system has produced</w:t>
            </w:r>
            <w:r>
              <w:t xml:space="preserve"> </w:t>
            </w:r>
            <w:r w:rsidRPr="00417985">
              <w:t xml:space="preserve">little data over the past </w:t>
            </w:r>
            <w:r w:rsidR="008B01EE">
              <w:t>two</w:t>
            </w:r>
            <w:r w:rsidRPr="00417985">
              <w:t xml:space="preserve"> years. Progress is gauged from a</w:t>
            </w:r>
            <w:r>
              <w:t xml:space="preserve"> </w:t>
            </w:r>
            <w:r w:rsidRPr="00417985">
              <w:t xml:space="preserve">number of parallel issue/disease specific </w:t>
            </w:r>
            <w:r>
              <w:t>i</w:t>
            </w:r>
            <w:r w:rsidRPr="00417985">
              <w:t>nformation systems</w:t>
            </w:r>
            <w:r>
              <w:t xml:space="preserve">. </w:t>
            </w:r>
            <w:r w:rsidRPr="00417985">
              <w:t>Neither MHMS nor its development partners are able to</w:t>
            </w:r>
            <w:r>
              <w:t xml:space="preserve"> </w:t>
            </w:r>
            <w:r w:rsidRPr="00417985">
              <w:t>account adequately for results to their respective governments.</w:t>
            </w:r>
            <w:r>
              <w:t xml:space="preserve"> T</w:t>
            </w:r>
            <w:r w:rsidRPr="00417985">
              <w:t>he lack of a structured management process to monitor</w:t>
            </w:r>
            <w:r>
              <w:t xml:space="preserve"> </w:t>
            </w:r>
            <w:r w:rsidRPr="00417985">
              <w:t>recommendations of the J</w:t>
            </w:r>
            <w:r>
              <w:t>oint Annual Program Reviews</w:t>
            </w:r>
            <w:r w:rsidR="008B01EE">
              <w:t xml:space="preserve"> (JAPR)</w:t>
            </w:r>
            <w:r w:rsidRPr="00417985">
              <w:t xml:space="preserve"> limits its effectiveness</w:t>
            </w:r>
            <w:r>
              <w:t>.</w:t>
            </w:r>
            <w:r>
              <w:rPr>
                <w:rStyle w:val="FootnoteReference"/>
              </w:rPr>
              <w:footnoteReference w:id="104"/>
            </w:r>
          </w:p>
        </w:tc>
      </w:tr>
    </w:tbl>
    <w:p w:rsidR="009F7318" w:rsidRDefault="009F7318" w:rsidP="009F7318">
      <w:pPr>
        <w:pStyle w:val="TableName"/>
      </w:pPr>
    </w:p>
    <w:p w:rsidR="009F7318" w:rsidRDefault="009F7318" w:rsidP="009F7318">
      <w:pPr>
        <w:pStyle w:val="TableName"/>
      </w:pPr>
      <w:bookmarkStart w:id="60" w:name="_Toc402192208"/>
      <w:r>
        <w:t>Table A7</w:t>
      </w:r>
      <w:r>
        <w:tab/>
        <w:t xml:space="preserve">Did the health </w:t>
      </w:r>
      <w:proofErr w:type="spellStart"/>
      <w:r>
        <w:t>SWAp</w:t>
      </w:r>
      <w:proofErr w:type="spellEnd"/>
      <w:r>
        <w:t xml:space="preserve"> improve M&amp;E at sector or program levels?</w:t>
      </w:r>
      <w:bookmarkEnd w:id="60"/>
    </w:p>
    <w:tbl>
      <w:tblPr>
        <w:tblStyle w:val="TableGrid"/>
        <w:tblW w:w="5000" w:type="pct"/>
        <w:tblLook w:val="04A0" w:firstRow="1" w:lastRow="0" w:firstColumn="1" w:lastColumn="0" w:noHBand="0" w:noVBand="1"/>
      </w:tblPr>
      <w:tblGrid>
        <w:gridCol w:w="1065"/>
        <w:gridCol w:w="8177"/>
      </w:tblGrid>
      <w:tr w:rsidR="009F7318" w:rsidRPr="007477B1" w:rsidTr="00FF2F3D">
        <w:trPr>
          <w:cnfStyle w:val="100000000000" w:firstRow="1" w:lastRow="0" w:firstColumn="0" w:lastColumn="0" w:oddVBand="0" w:evenVBand="0" w:oddHBand="0" w:evenHBand="0" w:firstRowFirstColumn="0" w:firstRowLastColumn="0" w:lastRowFirstColumn="0" w:lastRowLastColumn="0"/>
          <w:cantSplit/>
          <w:trHeight w:val="413"/>
        </w:trPr>
        <w:tc>
          <w:tcPr>
            <w:tcW w:w="539" w:type="pct"/>
          </w:tcPr>
          <w:p w:rsidR="009F7318" w:rsidRPr="007477B1" w:rsidRDefault="009F7318" w:rsidP="00FF2F3D">
            <w:pPr>
              <w:pStyle w:val="TableHeading2"/>
            </w:pPr>
            <w:r w:rsidRPr="007477B1">
              <w:t>Countr</w:t>
            </w:r>
            <w:r>
              <w:t>y</w:t>
            </w:r>
          </w:p>
        </w:tc>
        <w:tc>
          <w:tcPr>
            <w:tcW w:w="4461" w:type="pct"/>
          </w:tcPr>
          <w:p w:rsidR="009F7318" w:rsidRPr="007477B1" w:rsidRDefault="009F7318" w:rsidP="00FF2F3D">
            <w:pPr>
              <w:pStyle w:val="TableHeading"/>
            </w:pPr>
            <w:r>
              <w:t xml:space="preserve">Did the </w:t>
            </w:r>
            <w:proofErr w:type="spellStart"/>
            <w:r>
              <w:t>SWAp</w:t>
            </w:r>
            <w:proofErr w:type="spellEnd"/>
            <w:r>
              <w:t xml:space="preserve"> improve M&amp;E of the sector or program?</w:t>
            </w:r>
          </w:p>
        </w:tc>
      </w:tr>
      <w:tr w:rsidR="009F7318" w:rsidRPr="007477B1" w:rsidTr="00FF2F3D">
        <w:trPr>
          <w:cantSplit/>
        </w:trPr>
        <w:tc>
          <w:tcPr>
            <w:tcW w:w="539" w:type="pct"/>
          </w:tcPr>
          <w:p w:rsidR="009F7318" w:rsidRPr="007477B1" w:rsidRDefault="009F7318" w:rsidP="00FF2F3D">
            <w:pPr>
              <w:pStyle w:val="TableText"/>
            </w:pPr>
            <w:r w:rsidRPr="007477B1">
              <w:t>Bangladesh</w:t>
            </w:r>
          </w:p>
        </w:tc>
        <w:tc>
          <w:tcPr>
            <w:tcW w:w="4461" w:type="pct"/>
          </w:tcPr>
          <w:p w:rsidR="009F7318" w:rsidRPr="007477B1" w:rsidRDefault="009F7318" w:rsidP="00FF2F3D">
            <w:pPr>
              <w:pStyle w:val="TableText"/>
            </w:pPr>
            <w:r>
              <w:t>According to most authors of independent reviews</w:t>
            </w:r>
            <w:r>
              <w:rPr>
                <w:rStyle w:val="FootnoteReference"/>
              </w:rPr>
              <w:footnoteReference w:id="105"/>
            </w:r>
            <w:r w:rsidRPr="00C729DE">
              <w:rPr>
                <w:vertAlign w:val="superscript"/>
              </w:rPr>
              <w:t>,</w:t>
            </w:r>
            <w:r>
              <w:rPr>
                <w:rStyle w:val="FootnoteReference"/>
              </w:rPr>
              <w:footnoteReference w:id="106"/>
            </w:r>
            <w:r>
              <w:rPr>
                <w:vertAlign w:val="superscript"/>
              </w:rPr>
              <w:t xml:space="preserve"> </w:t>
            </w:r>
            <w:r>
              <w:t xml:space="preserve">the </w:t>
            </w:r>
            <w:proofErr w:type="spellStart"/>
            <w:r>
              <w:t>SWAp</w:t>
            </w:r>
            <w:proofErr w:type="spellEnd"/>
            <w:r>
              <w:t xml:space="preserve"> has undeniably improved M&amp;E processes and capabilities. Much of the policy dialogue is triggered by these reviews.</w:t>
            </w:r>
          </w:p>
        </w:tc>
      </w:tr>
      <w:tr w:rsidR="009F7318" w:rsidRPr="007477B1" w:rsidTr="00FF2F3D">
        <w:trPr>
          <w:cantSplit/>
        </w:trPr>
        <w:tc>
          <w:tcPr>
            <w:tcW w:w="539" w:type="pct"/>
          </w:tcPr>
          <w:p w:rsidR="009F7318" w:rsidRPr="007477B1" w:rsidRDefault="009F7318" w:rsidP="00FF2F3D">
            <w:pPr>
              <w:pStyle w:val="TableText"/>
            </w:pPr>
            <w:r w:rsidRPr="007477B1">
              <w:t>Cambodia</w:t>
            </w:r>
          </w:p>
        </w:tc>
        <w:tc>
          <w:tcPr>
            <w:tcW w:w="4461" w:type="pct"/>
          </w:tcPr>
          <w:p w:rsidR="009F7318" w:rsidRPr="007477B1" w:rsidRDefault="009F7318" w:rsidP="00FF2F3D">
            <w:pPr>
              <w:pStyle w:val="TableText"/>
            </w:pPr>
            <w:r>
              <w:t>The MTRs of 2006 and 2011</w:t>
            </w:r>
            <w:r>
              <w:rPr>
                <w:rStyle w:val="FootnoteReference"/>
              </w:rPr>
              <w:footnoteReference w:id="107"/>
            </w:r>
            <w:r>
              <w:t xml:space="preserve"> converge on the conclusion that the </w:t>
            </w:r>
            <w:proofErr w:type="spellStart"/>
            <w:r>
              <w:t>SWiM</w:t>
            </w:r>
            <w:proofErr w:type="spellEnd"/>
            <w:r>
              <w:t xml:space="preserve"> has clearly developed a culture of results and the processes developed are undertaken regularly and effectively. However, the MTR 2011</w:t>
            </w:r>
            <w:r>
              <w:rPr>
                <w:rStyle w:val="FootnoteReference"/>
              </w:rPr>
              <w:footnoteReference w:id="108"/>
            </w:r>
            <w:r>
              <w:t xml:space="preserve"> and </w:t>
            </w:r>
            <w:proofErr w:type="spellStart"/>
            <w:r>
              <w:t>Vaillancourt</w:t>
            </w:r>
            <w:proofErr w:type="spellEnd"/>
            <w:r>
              <w:rPr>
                <w:rStyle w:val="FootnoteReference"/>
              </w:rPr>
              <w:footnoteReference w:id="109"/>
            </w:r>
            <w:r>
              <w:t xml:space="preserve"> coincide that the M&amp;E process could have a stronger, clearer strategic focus. </w:t>
            </w:r>
          </w:p>
        </w:tc>
      </w:tr>
      <w:tr w:rsidR="009F7318" w:rsidRPr="007477B1" w:rsidTr="00FF2F3D">
        <w:trPr>
          <w:cantSplit/>
        </w:trPr>
        <w:tc>
          <w:tcPr>
            <w:tcW w:w="539" w:type="pct"/>
          </w:tcPr>
          <w:p w:rsidR="009F7318" w:rsidRPr="007477B1" w:rsidRDefault="009F7318" w:rsidP="00FF2F3D">
            <w:pPr>
              <w:pStyle w:val="TableText"/>
            </w:pPr>
            <w:r w:rsidRPr="007477B1">
              <w:lastRenderedPageBreak/>
              <w:t>Nepal</w:t>
            </w:r>
          </w:p>
        </w:tc>
        <w:tc>
          <w:tcPr>
            <w:tcW w:w="4461" w:type="pct"/>
          </w:tcPr>
          <w:p w:rsidR="009F7318" w:rsidRPr="00EE3752" w:rsidRDefault="009F7318" w:rsidP="00FF2F3D">
            <w:pPr>
              <w:pStyle w:val="TableText"/>
            </w:pPr>
            <w:r>
              <w:t>Clearly yes. AusAID reports internally how important regular M&amp;E has been during periods of crisis and political instability</w:t>
            </w:r>
            <w:r>
              <w:rPr>
                <w:rStyle w:val="FootnoteReference"/>
              </w:rPr>
              <w:footnoteReference w:id="110"/>
            </w:r>
            <w:r w:rsidRPr="00C729DE">
              <w:rPr>
                <w:vertAlign w:val="superscript"/>
              </w:rPr>
              <w:t>,</w:t>
            </w:r>
            <w:r>
              <w:rPr>
                <w:rStyle w:val="FootnoteReference"/>
              </w:rPr>
              <w:footnoteReference w:id="111"/>
            </w:r>
            <w:r>
              <w:t xml:space="preserve"> to enable dialogue and progress reporting. </w:t>
            </w:r>
            <w:proofErr w:type="spellStart"/>
            <w:r>
              <w:t>Vaillancourt’s</w:t>
            </w:r>
            <w:proofErr w:type="spellEnd"/>
            <w:r>
              <w:t xml:space="preserve"> report reaches a similar conclusion: </w:t>
            </w:r>
            <w:r>
              <w:rPr>
                <w:i/>
              </w:rPr>
              <w:t xml:space="preserve">In 2004 the </w:t>
            </w:r>
            <w:proofErr w:type="spellStart"/>
            <w:r>
              <w:rPr>
                <w:i/>
              </w:rPr>
              <w:t>MoHP</w:t>
            </w:r>
            <w:proofErr w:type="spellEnd"/>
            <w:r w:rsidRPr="00EE3752">
              <w:rPr>
                <w:i/>
              </w:rPr>
              <w:t xml:space="preserve"> signed a “Statement of Intent to Guide the Partnership for Health Sector Development in Nepal,” co-signed by 12 external development partners (EDPs). Thus, one year before the Paris Declaration was </w:t>
            </w:r>
            <w:proofErr w:type="gramStart"/>
            <w:r w:rsidRPr="00EE3752">
              <w:rPr>
                <w:i/>
              </w:rPr>
              <w:t>adopted,</w:t>
            </w:r>
            <w:proofErr w:type="gramEnd"/>
            <w:r w:rsidRPr="00EE3752">
              <w:rPr>
                <w:i/>
              </w:rPr>
              <w:t xml:space="preserve"> Nepal and its EDPs had already articulated and launched the implementation of principles and implementation mechanisms for developing and nurturing partnerships for improved health sector aid effectiveness</w:t>
            </w:r>
            <w:r>
              <w:rPr>
                <w:i/>
              </w:rPr>
              <w:t>.</w:t>
            </w:r>
            <w:r>
              <w:rPr>
                <w:rStyle w:val="FootnoteReference"/>
              </w:rPr>
              <w:t xml:space="preserve"> </w:t>
            </w:r>
            <w:r>
              <w:rPr>
                <w:rStyle w:val="FootnoteReference"/>
              </w:rPr>
              <w:footnoteReference w:id="112"/>
            </w:r>
          </w:p>
        </w:tc>
      </w:tr>
      <w:tr w:rsidR="009F7318" w:rsidRPr="007477B1" w:rsidTr="00FF2F3D">
        <w:trPr>
          <w:cantSplit/>
        </w:trPr>
        <w:tc>
          <w:tcPr>
            <w:tcW w:w="539" w:type="pct"/>
          </w:tcPr>
          <w:p w:rsidR="009F7318" w:rsidRPr="007477B1" w:rsidRDefault="009F7318" w:rsidP="0097056D">
            <w:pPr>
              <w:pStyle w:val="TableText"/>
            </w:pPr>
            <w:r w:rsidRPr="007477B1">
              <w:t>P</w:t>
            </w:r>
            <w:r w:rsidR="00817A75">
              <w:t>apua New Guinea</w:t>
            </w:r>
          </w:p>
        </w:tc>
        <w:tc>
          <w:tcPr>
            <w:tcW w:w="4461" w:type="pct"/>
          </w:tcPr>
          <w:p w:rsidR="009F7318" w:rsidRPr="007477B1" w:rsidRDefault="009F7318" w:rsidP="00FF2F3D">
            <w:pPr>
              <w:pStyle w:val="TableText"/>
            </w:pPr>
            <w:r>
              <w:t xml:space="preserve">There was some improvement in M&amp;E, but far from the initial expectations. </w:t>
            </w:r>
            <w:r w:rsidRPr="00602E6B">
              <w:t xml:space="preserve">An exercise to track all </w:t>
            </w:r>
            <w:r>
              <w:t xml:space="preserve">the </w:t>
            </w:r>
            <w:r w:rsidRPr="00602E6B">
              <w:t xml:space="preserve">recommendations </w:t>
            </w:r>
            <w:r>
              <w:t xml:space="preserve">from review missions </w:t>
            </w:r>
            <w:r w:rsidRPr="00602E6B">
              <w:t xml:space="preserve">undertaken in 2009 confirmed that </w:t>
            </w:r>
            <w:r w:rsidR="00521D10">
              <w:t>national department of health (</w:t>
            </w:r>
            <w:r w:rsidRPr="00602E6B">
              <w:t>NDOH</w:t>
            </w:r>
            <w:r w:rsidR="00521D10">
              <w:t>)</w:t>
            </w:r>
            <w:r w:rsidRPr="00602E6B">
              <w:t xml:space="preserve"> and development partners found it difficult to cope with the volume of recommendations, and that action lagged far behind.</w:t>
            </w:r>
          </w:p>
        </w:tc>
      </w:tr>
      <w:tr w:rsidR="009F7318" w:rsidRPr="007477B1" w:rsidTr="00FF2F3D">
        <w:trPr>
          <w:cantSplit/>
        </w:trPr>
        <w:tc>
          <w:tcPr>
            <w:tcW w:w="539" w:type="pct"/>
          </w:tcPr>
          <w:p w:rsidR="009F7318" w:rsidRPr="007477B1" w:rsidRDefault="009F7318" w:rsidP="00FF2F3D">
            <w:pPr>
              <w:pStyle w:val="TableText"/>
            </w:pPr>
            <w:r w:rsidRPr="007477B1">
              <w:t>Samoa</w:t>
            </w:r>
          </w:p>
        </w:tc>
        <w:tc>
          <w:tcPr>
            <w:tcW w:w="4461" w:type="pct"/>
          </w:tcPr>
          <w:p w:rsidR="009F7318" w:rsidRPr="007477B1" w:rsidRDefault="009F7318" w:rsidP="00013434">
            <w:pPr>
              <w:pStyle w:val="TableText"/>
            </w:pPr>
            <w:r>
              <w:t xml:space="preserve">Yes, M&amp;E has improved. However, the indicators from the M&amp;E framework </w:t>
            </w:r>
            <w:r w:rsidRPr="00EC6FD1">
              <w:t>a</w:t>
            </w:r>
            <w:r>
              <w:t>re portrayed in the evaluations</w:t>
            </w:r>
            <w:r>
              <w:rPr>
                <w:rStyle w:val="FootnoteReference"/>
              </w:rPr>
              <w:footnoteReference w:id="113"/>
            </w:r>
            <w:r>
              <w:t xml:space="preserve"> </w:t>
            </w:r>
            <w:r w:rsidRPr="00EC6FD1">
              <w:t>as overambitious (31 outputs and 142 indicators were included in the health sector plan)</w:t>
            </w:r>
            <w:r>
              <w:t xml:space="preserve">. </w:t>
            </w:r>
            <w:r w:rsidRPr="00EC6FD1">
              <w:t xml:space="preserve">The </w:t>
            </w:r>
            <w:proofErr w:type="spellStart"/>
            <w:r w:rsidRPr="00EC6FD1">
              <w:t>SWAp</w:t>
            </w:r>
            <w:proofErr w:type="spellEnd"/>
            <w:r w:rsidRPr="00EC6FD1">
              <w:t xml:space="preserve"> process worked with the </w:t>
            </w:r>
            <w:proofErr w:type="spellStart"/>
            <w:r w:rsidRPr="00EC6FD1">
              <w:t>GoS</w:t>
            </w:r>
            <w:proofErr w:type="spellEnd"/>
            <w:r w:rsidRPr="00EC6FD1">
              <w:t xml:space="preserve"> to reduce the number of indicators to 61 at the time of the </w:t>
            </w:r>
            <w:r w:rsidRPr="003D7E2F">
              <w:t>Project Appraisal Document</w:t>
            </w:r>
            <w:r w:rsidRPr="00EC6FD1">
              <w:t xml:space="preserve"> (2008) and then to 25 included in the annual reviews from 2009 onwards</w:t>
            </w:r>
            <w:r>
              <w:t xml:space="preserve">. </w:t>
            </w:r>
          </w:p>
        </w:tc>
      </w:tr>
      <w:tr w:rsidR="009F7318" w:rsidRPr="007477B1" w:rsidTr="00FF2F3D">
        <w:trPr>
          <w:cantSplit/>
        </w:trPr>
        <w:tc>
          <w:tcPr>
            <w:tcW w:w="539" w:type="pct"/>
          </w:tcPr>
          <w:p w:rsidR="009F7318" w:rsidRPr="007477B1" w:rsidRDefault="009F7318" w:rsidP="00FF2F3D">
            <w:pPr>
              <w:pStyle w:val="TableText"/>
            </w:pPr>
            <w:r w:rsidRPr="007477B1">
              <w:t>Solomon Islands</w:t>
            </w:r>
          </w:p>
        </w:tc>
        <w:tc>
          <w:tcPr>
            <w:tcW w:w="4461" w:type="pct"/>
          </w:tcPr>
          <w:p w:rsidR="009F7318" w:rsidRPr="007477B1" w:rsidRDefault="009F7318" w:rsidP="00FF2F3D">
            <w:pPr>
              <w:pStyle w:val="TableText"/>
            </w:pPr>
            <w:r>
              <w:t xml:space="preserve">M&amp;E has improved as a result of the </w:t>
            </w:r>
            <w:proofErr w:type="spellStart"/>
            <w:r>
              <w:t>SWAp</w:t>
            </w:r>
            <w:proofErr w:type="spellEnd"/>
            <w:r>
              <w:t xml:space="preserve"> although the effectiveness of these reviews was in question due to weak management processes to prioritise among recommendations or to turn these into specific actions.</w:t>
            </w:r>
            <w:r>
              <w:rPr>
                <w:rStyle w:val="FootnoteReference"/>
              </w:rPr>
              <w:footnoteReference w:id="114"/>
            </w:r>
            <w:r>
              <w:t xml:space="preserve"> There is not more recent information to report on the </w:t>
            </w:r>
            <w:proofErr w:type="spellStart"/>
            <w:r>
              <w:t>SWAp</w:t>
            </w:r>
            <w:proofErr w:type="spellEnd"/>
            <w:r>
              <w:t xml:space="preserve"> in the Solomon Islands as health is not included in the pillars for the </w:t>
            </w:r>
            <w:r w:rsidR="00521D10" w:rsidRPr="00521D10">
              <w:rPr>
                <w:i/>
              </w:rPr>
              <w:t xml:space="preserve">Regional Assistance Mission to Solomon Islands </w:t>
            </w:r>
            <w:r>
              <w:t>transition.</w:t>
            </w:r>
            <w:r>
              <w:rPr>
                <w:rStyle w:val="FootnoteReference"/>
              </w:rPr>
              <w:footnoteReference w:id="115"/>
            </w:r>
          </w:p>
        </w:tc>
      </w:tr>
    </w:tbl>
    <w:p w:rsidR="009F7318" w:rsidRDefault="009F7318" w:rsidP="009F7318">
      <w:pPr>
        <w:pStyle w:val="TableName"/>
        <w:ind w:left="0" w:firstLine="0"/>
        <w:rPr>
          <w:rFonts w:asciiTheme="minorHAnsi" w:hAnsiTheme="minorHAnsi" w:cstheme="minorBidi"/>
          <w:bCs w:val="0"/>
          <w:sz w:val="20"/>
          <w:szCs w:val="20"/>
          <w:lang w:val="en-GB" w:eastAsia="en-GB" w:bidi="hi-IN"/>
        </w:rPr>
      </w:pPr>
    </w:p>
    <w:p w:rsidR="009F7318" w:rsidRDefault="009F7318" w:rsidP="009F7318">
      <w:pPr>
        <w:pStyle w:val="Heading2a"/>
        <w:ind w:left="851" w:hanging="851"/>
      </w:pPr>
      <w:r>
        <w:t>A.3.3</w:t>
      </w:r>
      <w:r>
        <w:tab/>
        <w:t>Joint work and policy dialogue</w:t>
      </w:r>
    </w:p>
    <w:p w:rsidR="009F7318" w:rsidRDefault="009F7318" w:rsidP="009F7318">
      <w:pPr>
        <w:pStyle w:val="TableName"/>
        <w:ind w:left="0" w:firstLine="0"/>
        <w:rPr>
          <w:rFonts w:asciiTheme="minorHAnsi" w:hAnsiTheme="minorHAnsi" w:cstheme="minorBidi"/>
          <w:bCs w:val="0"/>
          <w:sz w:val="20"/>
          <w:szCs w:val="20"/>
          <w:lang w:val="en-GB" w:eastAsia="en-GB" w:bidi="hi-IN"/>
        </w:rPr>
      </w:pPr>
    </w:p>
    <w:p w:rsidR="009F7318" w:rsidRDefault="009F7318" w:rsidP="009F7318">
      <w:pPr>
        <w:pStyle w:val="TableName"/>
        <w:ind w:left="0" w:firstLine="0"/>
      </w:pPr>
      <w:bookmarkStart w:id="61" w:name="_Toc402192209"/>
      <w:r>
        <w:t>Table A8</w:t>
      </w:r>
      <w:r>
        <w:tab/>
        <w:t xml:space="preserve">Did </w:t>
      </w:r>
      <w:proofErr w:type="spellStart"/>
      <w:r>
        <w:t>SWAps</w:t>
      </w:r>
      <w:proofErr w:type="spellEnd"/>
      <w:r>
        <w:t xml:space="preserve"> improve joint work and policy dialogue?</w:t>
      </w:r>
      <w:bookmarkEnd w:id="61"/>
    </w:p>
    <w:tbl>
      <w:tblPr>
        <w:tblStyle w:val="TableGrid"/>
        <w:tblW w:w="5000" w:type="pct"/>
        <w:tblLook w:val="04A0" w:firstRow="1" w:lastRow="0" w:firstColumn="1" w:lastColumn="0" w:noHBand="0" w:noVBand="1"/>
      </w:tblPr>
      <w:tblGrid>
        <w:gridCol w:w="1527"/>
        <w:gridCol w:w="3826"/>
        <w:gridCol w:w="3889"/>
      </w:tblGrid>
      <w:tr w:rsidR="009F7318" w:rsidRPr="007477B1" w:rsidTr="00FF2F3D">
        <w:trPr>
          <w:cnfStyle w:val="100000000000" w:firstRow="1" w:lastRow="0" w:firstColumn="0" w:lastColumn="0" w:oddVBand="0" w:evenVBand="0" w:oddHBand="0" w:evenHBand="0" w:firstRowFirstColumn="0" w:firstRowLastColumn="0" w:lastRowFirstColumn="0" w:lastRowLastColumn="0"/>
          <w:trHeight w:val="560"/>
        </w:trPr>
        <w:tc>
          <w:tcPr>
            <w:tcW w:w="826" w:type="pct"/>
          </w:tcPr>
          <w:p w:rsidR="009F7318" w:rsidRPr="007477B1" w:rsidRDefault="009F7318" w:rsidP="00FF2F3D">
            <w:pPr>
              <w:pStyle w:val="TableHeading2"/>
            </w:pPr>
            <w:r w:rsidRPr="007477B1">
              <w:t>Countr</w:t>
            </w:r>
            <w:r>
              <w:t>y</w:t>
            </w:r>
          </w:p>
        </w:tc>
        <w:tc>
          <w:tcPr>
            <w:tcW w:w="2070" w:type="pct"/>
          </w:tcPr>
          <w:p w:rsidR="009F7318" w:rsidRPr="007477B1" w:rsidRDefault="009F7318" w:rsidP="00FF2F3D">
            <w:pPr>
              <w:pStyle w:val="TableHeading"/>
            </w:pPr>
            <w:r>
              <w:t xml:space="preserve">Did </w:t>
            </w:r>
            <w:proofErr w:type="spellStart"/>
            <w:r>
              <w:t>SWAps</w:t>
            </w:r>
            <w:proofErr w:type="spellEnd"/>
            <w:r>
              <w:t xml:space="preserve"> improve joint work?</w:t>
            </w:r>
          </w:p>
        </w:tc>
        <w:tc>
          <w:tcPr>
            <w:tcW w:w="2104" w:type="pct"/>
          </w:tcPr>
          <w:p w:rsidR="009F7318" w:rsidRPr="007477B1" w:rsidRDefault="009F7318" w:rsidP="00FF2F3D">
            <w:pPr>
              <w:pStyle w:val="TableHeading"/>
            </w:pPr>
            <w:r>
              <w:t xml:space="preserve">Did the </w:t>
            </w:r>
            <w:proofErr w:type="spellStart"/>
            <w:r>
              <w:t>SWAp</w:t>
            </w:r>
            <w:proofErr w:type="spellEnd"/>
            <w:r>
              <w:t xml:space="preserve"> increase and strengthen policy dialogue?  </w:t>
            </w:r>
          </w:p>
        </w:tc>
      </w:tr>
      <w:tr w:rsidR="009F7318" w:rsidRPr="007477B1" w:rsidTr="00FF2F3D">
        <w:tc>
          <w:tcPr>
            <w:tcW w:w="826" w:type="pct"/>
          </w:tcPr>
          <w:p w:rsidR="009F7318" w:rsidRPr="007477B1" w:rsidRDefault="009F7318" w:rsidP="00FF2F3D">
            <w:pPr>
              <w:pStyle w:val="TableText"/>
            </w:pPr>
            <w:r w:rsidRPr="007477B1">
              <w:t>Bangladesh</w:t>
            </w:r>
          </w:p>
        </w:tc>
        <w:tc>
          <w:tcPr>
            <w:tcW w:w="2070" w:type="pct"/>
          </w:tcPr>
          <w:p w:rsidR="009F7318" w:rsidRPr="007477B1" w:rsidRDefault="009F7318" w:rsidP="00FF2F3D">
            <w:pPr>
              <w:pStyle w:val="TableText"/>
            </w:pPr>
            <w:r>
              <w:t xml:space="preserve">The Bangladesh </w:t>
            </w:r>
            <w:proofErr w:type="spellStart"/>
            <w:r>
              <w:t>SWAp</w:t>
            </w:r>
            <w:proofErr w:type="spellEnd"/>
            <w:r>
              <w:t xml:space="preserve"> is a large and complex endeavour where joint work is challenging. The APR 2013</w:t>
            </w:r>
            <w:r>
              <w:rPr>
                <w:rStyle w:val="FootnoteReference"/>
              </w:rPr>
              <w:footnoteReference w:id="116"/>
            </w:r>
            <w:r>
              <w:t xml:space="preserve"> reports considerable progress in joint work and policy dialogue, particularly around the time of the APR but also in monthly management meetings involving the </w:t>
            </w:r>
            <w:r w:rsidR="001342F7">
              <w:t>Ministry of Health and Family Welfare (</w:t>
            </w:r>
            <w:r>
              <w:t>MOHFW</w:t>
            </w:r>
            <w:r w:rsidR="001342F7">
              <w:t>)</w:t>
            </w:r>
            <w:r>
              <w:t xml:space="preserve"> and representatives of the health DPs. Health DPs also meet and discuss regularly, at least once in a month.</w:t>
            </w:r>
          </w:p>
        </w:tc>
        <w:tc>
          <w:tcPr>
            <w:tcW w:w="2104" w:type="pct"/>
          </w:tcPr>
          <w:p w:rsidR="009F7318" w:rsidRPr="007477B1" w:rsidRDefault="009F7318" w:rsidP="00FF2F3D">
            <w:pPr>
              <w:pStyle w:val="TableText"/>
            </w:pPr>
            <w:r>
              <w:t>Without a doubt it has strengthen</w:t>
            </w:r>
            <w:r w:rsidR="002E603C">
              <w:t>ed</w:t>
            </w:r>
            <w:r>
              <w:t xml:space="preserve"> policy dialogue, particularly in comparison with the pre-</w:t>
            </w:r>
            <w:proofErr w:type="spellStart"/>
            <w:r>
              <w:t>SWAp</w:t>
            </w:r>
            <w:proofErr w:type="spellEnd"/>
            <w:r>
              <w:t xml:space="preserve"> era. Policy dialogue has also improved year on year, benefitting from the insights of the independent review teams during the APR.</w:t>
            </w:r>
            <w:r>
              <w:rPr>
                <w:rStyle w:val="FootnoteReference"/>
              </w:rPr>
              <w:footnoteReference w:id="117"/>
            </w:r>
          </w:p>
        </w:tc>
      </w:tr>
      <w:tr w:rsidR="009F7318" w:rsidRPr="007477B1" w:rsidTr="00FF2F3D">
        <w:tc>
          <w:tcPr>
            <w:tcW w:w="826" w:type="pct"/>
          </w:tcPr>
          <w:p w:rsidR="009F7318" w:rsidRPr="007477B1" w:rsidRDefault="009F7318" w:rsidP="00FF2F3D">
            <w:pPr>
              <w:pStyle w:val="TableText"/>
            </w:pPr>
            <w:r w:rsidRPr="007477B1">
              <w:t>Cambodia</w:t>
            </w:r>
          </w:p>
        </w:tc>
        <w:tc>
          <w:tcPr>
            <w:tcW w:w="2070" w:type="pct"/>
          </w:tcPr>
          <w:p w:rsidR="009F7318" w:rsidRPr="007477B1" w:rsidRDefault="009F7318" w:rsidP="001342F7">
            <w:pPr>
              <w:pStyle w:val="TableText"/>
            </w:pPr>
            <w:r>
              <w:t xml:space="preserve">Joint work among development partners and between these and government improved as a result of the </w:t>
            </w:r>
            <w:proofErr w:type="spellStart"/>
            <w:r>
              <w:t>SWiM</w:t>
            </w:r>
            <w:proofErr w:type="spellEnd"/>
            <w:r>
              <w:t xml:space="preserve">. Cambodia was coming out of a long civil war that seriously undermined institutional capacity in health as in other sectors. Donors, including Australia, were responsive to </w:t>
            </w:r>
            <w:r>
              <w:lastRenderedPageBreak/>
              <w:t>that context.</w:t>
            </w:r>
          </w:p>
        </w:tc>
        <w:tc>
          <w:tcPr>
            <w:tcW w:w="2104" w:type="pct"/>
          </w:tcPr>
          <w:p w:rsidR="009F7318" w:rsidRPr="007477B1" w:rsidRDefault="009F7318" w:rsidP="00FF2F3D">
            <w:pPr>
              <w:pStyle w:val="TableText"/>
            </w:pPr>
            <w:r>
              <w:lastRenderedPageBreak/>
              <w:t xml:space="preserve">While policy dialogue does take place this is not as open, transparent, regular and focused on key issues as could be. </w:t>
            </w:r>
            <w:r w:rsidRPr="00AE79FC">
              <w:rPr>
                <w:i/>
              </w:rPr>
              <w:t xml:space="preserve">Partnership structures and processes are necessary but insufficient conditions for productive and respectful sector dialogue. Also critical are mutual trust and an </w:t>
            </w:r>
            <w:r w:rsidRPr="00AE79FC">
              <w:rPr>
                <w:i/>
              </w:rPr>
              <w:lastRenderedPageBreak/>
              <w:t>appreciation of the difference between policy decisions (which are th</w:t>
            </w:r>
            <w:r>
              <w:rPr>
                <w:i/>
              </w:rPr>
              <w:t>e sovereig</w:t>
            </w:r>
            <w:r w:rsidRPr="005A4C99">
              <w:rPr>
                <w:i/>
              </w:rPr>
              <w:t>n mandate of Royal Government of Cambodia</w:t>
            </w:r>
            <w:r w:rsidRPr="00AE79FC">
              <w:rPr>
                <w:i/>
              </w:rPr>
              <w:t>) and policy dialogue (which is a vehicle for Health Partners to provide evidence-based advice and input to the policy process). Protocols for clear, candid communication also matter</w:t>
            </w:r>
            <w:r>
              <w:rPr>
                <w:i/>
              </w:rPr>
              <w:t>.</w:t>
            </w:r>
            <w:r>
              <w:rPr>
                <w:rStyle w:val="FootnoteReference"/>
                <w:i/>
              </w:rPr>
              <w:footnoteReference w:id="118"/>
            </w:r>
            <w:r>
              <w:rPr>
                <w:i/>
              </w:rPr>
              <w:t xml:space="preserve"> </w:t>
            </w:r>
          </w:p>
        </w:tc>
      </w:tr>
      <w:tr w:rsidR="009F7318" w:rsidRPr="007477B1" w:rsidTr="00FF2F3D">
        <w:tc>
          <w:tcPr>
            <w:tcW w:w="826" w:type="pct"/>
          </w:tcPr>
          <w:p w:rsidR="009F7318" w:rsidRPr="007477B1" w:rsidRDefault="009F7318" w:rsidP="00FF2F3D">
            <w:pPr>
              <w:pStyle w:val="TableText"/>
            </w:pPr>
            <w:r w:rsidRPr="007477B1">
              <w:lastRenderedPageBreak/>
              <w:t>Nepal</w:t>
            </w:r>
          </w:p>
        </w:tc>
        <w:tc>
          <w:tcPr>
            <w:tcW w:w="2070" w:type="pct"/>
          </w:tcPr>
          <w:p w:rsidR="009F7318" w:rsidRPr="007477B1" w:rsidRDefault="009F7318" w:rsidP="00EF1ED6">
            <w:pPr>
              <w:pStyle w:val="TableText"/>
            </w:pPr>
            <w:r>
              <w:t xml:space="preserve">Joint work is a regular, salient feature of the Nepal health </w:t>
            </w:r>
            <w:proofErr w:type="spellStart"/>
            <w:r>
              <w:t>SWAp</w:t>
            </w:r>
            <w:proofErr w:type="spellEnd"/>
            <w:r>
              <w:t xml:space="preserve">. </w:t>
            </w:r>
            <w:r w:rsidRPr="0047434A">
              <w:t xml:space="preserve">Donor coordination and </w:t>
            </w:r>
            <w:proofErr w:type="spellStart"/>
            <w:r w:rsidRPr="0047434A">
              <w:t>MoHP</w:t>
            </w:r>
            <w:proofErr w:type="spellEnd"/>
            <w:r w:rsidRPr="0047434A">
              <w:t xml:space="preserve">-Donor engagement </w:t>
            </w:r>
            <w:r>
              <w:t>improved, and was helped by the pooled fund arrangements.</w:t>
            </w:r>
            <w:r w:rsidRPr="0047434A">
              <w:t xml:space="preserve"> </w:t>
            </w:r>
            <w:r w:rsidRPr="0047434A">
              <w:rPr>
                <w:i/>
              </w:rPr>
              <w:t xml:space="preserve">The Annual Work Plan and Budget (AWPB) consultation process improved through the Joint Consultative Meeting and for the first time in NHSP II, donors and government prepared a note for records outlining the agreements reached in finalizing the AWPB, which included the submission of a consolidated procurement plan. Government has adopted results oriented budgeting, and resources were allocated for priorities like </w:t>
            </w:r>
            <w:r w:rsidRPr="00D8435B">
              <w:rPr>
                <w:i/>
              </w:rPr>
              <w:t>GESI</w:t>
            </w:r>
            <w:r w:rsidRPr="0047434A">
              <w:t>.</w:t>
            </w:r>
            <w:r>
              <w:rPr>
                <w:rStyle w:val="FootnoteReference"/>
              </w:rPr>
              <w:footnoteReference w:id="119"/>
            </w:r>
          </w:p>
        </w:tc>
        <w:tc>
          <w:tcPr>
            <w:tcW w:w="2104" w:type="pct"/>
          </w:tcPr>
          <w:p w:rsidR="009F7318" w:rsidRPr="00DC3A79" w:rsidRDefault="009F7318" w:rsidP="005F0AC3">
            <w:pPr>
              <w:pStyle w:val="TableText"/>
              <w:rPr>
                <w:i/>
              </w:rPr>
            </w:pPr>
            <w:r>
              <w:t>There is considerable evidence that the extent and quality of policy dialogue have improved over time and have been maintained even in the worst episodes of political instability</w:t>
            </w:r>
            <w:r>
              <w:rPr>
                <w:rStyle w:val="FootnoteReference"/>
              </w:rPr>
              <w:footnoteReference w:id="120"/>
            </w:r>
            <w:r>
              <w:t>, It is also reported by the Australian aid program that</w:t>
            </w:r>
            <w:r w:rsidRPr="0047434A">
              <w:rPr>
                <w:i/>
              </w:rPr>
              <w:t xml:space="preserve">. EDPs and </w:t>
            </w:r>
            <w:proofErr w:type="spellStart"/>
            <w:r w:rsidRPr="0047434A">
              <w:rPr>
                <w:i/>
              </w:rPr>
              <w:t>MoHP</w:t>
            </w:r>
            <w:proofErr w:type="spellEnd"/>
            <w:r w:rsidRPr="0047434A">
              <w:rPr>
                <w:i/>
              </w:rPr>
              <w:t xml:space="preserve"> are working closely together, and having ongoing discussions with the National Planning Commission and</w:t>
            </w:r>
            <w:r>
              <w:rPr>
                <w:i/>
              </w:rPr>
              <w:t xml:space="preserve"> Ministry of Finance</w:t>
            </w:r>
            <w:r w:rsidRPr="0047434A">
              <w:rPr>
                <w:i/>
              </w:rPr>
              <w:t xml:space="preserve"> to find ways to address the budget crisis</w:t>
            </w:r>
            <w:r>
              <w:rPr>
                <w:i/>
              </w:rPr>
              <w:t xml:space="preserve">. </w:t>
            </w:r>
            <w:r w:rsidRPr="0047434A">
              <w:rPr>
                <w:i/>
              </w:rPr>
              <w:t xml:space="preserve">This dialogue led to an increase in the health allocation and is expected to increase further should the </w:t>
            </w:r>
            <w:proofErr w:type="spellStart"/>
            <w:r w:rsidRPr="0047434A">
              <w:rPr>
                <w:i/>
              </w:rPr>
              <w:t>MoHP</w:t>
            </w:r>
            <w:proofErr w:type="spellEnd"/>
            <w:r w:rsidRPr="0047434A">
              <w:rPr>
                <w:i/>
              </w:rPr>
              <w:t xml:space="preserve"> be able to absorb this allocation</w:t>
            </w:r>
            <w:r>
              <w:rPr>
                <w:i/>
              </w:rPr>
              <w:t>.</w:t>
            </w:r>
            <w:r>
              <w:rPr>
                <w:rStyle w:val="FootnoteReference"/>
                <w:i/>
              </w:rPr>
              <w:footnoteReference w:id="121"/>
            </w:r>
          </w:p>
        </w:tc>
      </w:tr>
      <w:tr w:rsidR="009F7318" w:rsidRPr="007477B1" w:rsidTr="00FF2F3D">
        <w:tc>
          <w:tcPr>
            <w:tcW w:w="826" w:type="pct"/>
          </w:tcPr>
          <w:p w:rsidR="009F7318" w:rsidRPr="007477B1" w:rsidRDefault="009F7318" w:rsidP="0097056D">
            <w:pPr>
              <w:pStyle w:val="TableText"/>
            </w:pPr>
            <w:r w:rsidRPr="007477B1">
              <w:t>P</w:t>
            </w:r>
            <w:r w:rsidR="00817A75">
              <w:t>apua New Guinea</w:t>
            </w:r>
          </w:p>
        </w:tc>
        <w:tc>
          <w:tcPr>
            <w:tcW w:w="2070" w:type="pct"/>
          </w:tcPr>
          <w:p w:rsidR="009F7318" w:rsidRPr="000D666E" w:rsidRDefault="009F7318" w:rsidP="00FF2F3D">
            <w:pPr>
              <w:pStyle w:val="TableText"/>
            </w:pPr>
            <w:r w:rsidRPr="00731FD2">
              <w:rPr>
                <w:i/>
              </w:rPr>
              <w:t>Difficult relations and inadequate dialogue with central agencies are long standing concerns to be addressed within this Review. It is clear, however, that these problems are not a function of the existing committee structure. Rather, the evolution of the HSIP over time, its inflexible nature and its governance arrangements, have been at the heart of poor relations</w:t>
            </w:r>
            <w:r w:rsidRPr="00D4690D">
              <w:t>.</w:t>
            </w:r>
            <w:r>
              <w:rPr>
                <w:rStyle w:val="FootnoteReference"/>
              </w:rPr>
              <w:footnoteReference w:id="122"/>
            </w:r>
            <w:r>
              <w:t xml:space="preserve"> Subsequent reviews further report </w:t>
            </w:r>
            <w:r w:rsidRPr="000D666E">
              <w:rPr>
                <w:i/>
              </w:rPr>
              <w:t>weak and poorly functioning mechanisms for sector coordination and policy dialogue with central agencies and development partners, inadequate sector-wide accountability and monitoring</w:t>
            </w:r>
            <w:r>
              <w:rPr>
                <w:i/>
              </w:rPr>
              <w:t>.</w:t>
            </w:r>
            <w:r>
              <w:rPr>
                <w:rStyle w:val="FootnoteReference"/>
                <w:i/>
              </w:rPr>
              <w:footnoteReference w:id="123"/>
            </w:r>
          </w:p>
        </w:tc>
        <w:tc>
          <w:tcPr>
            <w:tcW w:w="2104" w:type="pct"/>
          </w:tcPr>
          <w:p w:rsidR="009F7318" w:rsidRPr="007477B1" w:rsidRDefault="009F7318" w:rsidP="00FF2F3D">
            <w:pPr>
              <w:pStyle w:val="TableText"/>
            </w:pPr>
            <w:r>
              <w:t xml:space="preserve">The problems faced by both government and donors to make the HSIP work as expected and the existence of committees and structures linked to the HSIP contributed to joint work for resolving standing issues in terms of financing and resource allocation to the provinces. In this sense the </w:t>
            </w:r>
            <w:proofErr w:type="spellStart"/>
            <w:r>
              <w:t>SWAp</w:t>
            </w:r>
            <w:proofErr w:type="spellEnd"/>
            <w:r>
              <w:t xml:space="preserve"> contributed to strengthen policy dialogue in ways that might not have been possible otherwise. Government and donors also worked jointly in the design pf the new health sector plan 2011-2020 during 2010.</w:t>
            </w:r>
            <w:r>
              <w:rPr>
                <w:rStyle w:val="FootnoteReference"/>
              </w:rPr>
              <w:footnoteReference w:id="124"/>
            </w:r>
          </w:p>
        </w:tc>
      </w:tr>
      <w:tr w:rsidR="009F7318" w:rsidRPr="007477B1" w:rsidTr="00FF2F3D">
        <w:tc>
          <w:tcPr>
            <w:tcW w:w="826" w:type="pct"/>
          </w:tcPr>
          <w:p w:rsidR="009F7318" w:rsidRPr="007477B1" w:rsidRDefault="009F7318" w:rsidP="00FF2F3D">
            <w:pPr>
              <w:pStyle w:val="TableText"/>
            </w:pPr>
            <w:r w:rsidRPr="007477B1">
              <w:t>Samoa</w:t>
            </w:r>
          </w:p>
        </w:tc>
        <w:tc>
          <w:tcPr>
            <w:tcW w:w="2070" w:type="pct"/>
          </w:tcPr>
          <w:p w:rsidR="009F7318" w:rsidRPr="007477B1" w:rsidRDefault="009F7318" w:rsidP="00FF2F3D">
            <w:pPr>
              <w:pStyle w:val="TableText"/>
            </w:pPr>
            <w:r w:rsidRPr="001A4652">
              <w:rPr>
                <w:i/>
              </w:rPr>
              <w:t>DP coordination and interaction, among the three poolers themselves, is working and improving through a learning-by-doing process</w:t>
            </w:r>
            <w:r>
              <w:rPr>
                <w:i/>
              </w:rPr>
              <w:t xml:space="preserve">. </w:t>
            </w:r>
            <w:r w:rsidRPr="001A4652">
              <w:rPr>
                <w:i/>
              </w:rPr>
              <w:t xml:space="preserve">It is, however, not clear to what extent DPs bring the right skills and capacities to support government in the </w:t>
            </w:r>
            <w:proofErr w:type="spellStart"/>
            <w:r w:rsidRPr="001A4652">
              <w:rPr>
                <w:i/>
              </w:rPr>
              <w:t>SWAp</w:t>
            </w:r>
            <w:proofErr w:type="spellEnd"/>
            <w:r w:rsidRPr="001A4652">
              <w:rPr>
                <w:i/>
              </w:rPr>
              <w:t xml:space="preserve"> process and to carry out a sufficiently rigorous, technical dialogue-individually and collectively</w:t>
            </w:r>
            <w:r>
              <w:rPr>
                <w:i/>
              </w:rPr>
              <w:t xml:space="preserve">. </w:t>
            </w:r>
            <w:r w:rsidRPr="001A4652">
              <w:rPr>
                <w:i/>
              </w:rPr>
              <w:t>This might be further analysed through fieldwork…</w:t>
            </w:r>
            <w:r>
              <w:rPr>
                <w:rStyle w:val="FootnoteReference"/>
                <w:i/>
              </w:rPr>
              <w:footnoteReference w:id="125"/>
            </w:r>
          </w:p>
        </w:tc>
        <w:tc>
          <w:tcPr>
            <w:tcW w:w="2104" w:type="pct"/>
          </w:tcPr>
          <w:p w:rsidR="009F7318" w:rsidRPr="007477B1" w:rsidRDefault="009F7318" w:rsidP="00FF2F3D">
            <w:pPr>
              <w:pStyle w:val="TableText"/>
            </w:pPr>
            <w:r>
              <w:t xml:space="preserve">Yes, policy dialogue improved and was strengthened as part of the </w:t>
            </w:r>
            <w:proofErr w:type="spellStart"/>
            <w:r>
              <w:t>SWAp</w:t>
            </w:r>
            <w:proofErr w:type="spellEnd"/>
            <w:r>
              <w:t xml:space="preserve">. However </w:t>
            </w:r>
            <w:proofErr w:type="spellStart"/>
            <w:proofErr w:type="gramStart"/>
            <w:r>
              <w:t>Vaillancourt</w:t>
            </w:r>
            <w:proofErr w:type="spellEnd"/>
            <w:r w:rsidR="006B11B8">
              <w:t>,</w:t>
            </w:r>
            <w:proofErr w:type="gramEnd"/>
            <w:r>
              <w:rPr>
                <w:rStyle w:val="FootnoteReference"/>
              </w:rPr>
              <w:footnoteReference w:id="126"/>
            </w:r>
            <w:r>
              <w:t xml:space="preserve"> argues that ‘t</w:t>
            </w:r>
            <w:r w:rsidRPr="00D762F9">
              <w:rPr>
                <w:i/>
              </w:rPr>
              <w:t xml:space="preserve">he focus of DPs’ dialogue and scrutiny at the level of input quantities and activity details is thought to be inappropriate by both DPs and </w:t>
            </w:r>
            <w:proofErr w:type="spellStart"/>
            <w:r w:rsidRPr="00D762F9">
              <w:rPr>
                <w:i/>
              </w:rPr>
              <w:t>GoS</w:t>
            </w:r>
            <w:proofErr w:type="spellEnd"/>
            <w:r>
              <w:rPr>
                <w:i/>
              </w:rPr>
              <w:t xml:space="preserve">. </w:t>
            </w:r>
            <w:r w:rsidRPr="00D762F9">
              <w:rPr>
                <w:i/>
              </w:rPr>
              <w:t>There is consensus that level of detail is best left to implementing agencies and government systems, and that DPs would do best to focus on policy/strategic issues</w:t>
            </w:r>
            <w:r w:rsidRPr="00D762F9">
              <w:t xml:space="preserve">. </w:t>
            </w:r>
            <w:r>
              <w:t>(</w:t>
            </w:r>
            <w:r w:rsidRPr="00D762F9">
              <w:t>p19</w:t>
            </w:r>
            <w:r>
              <w:t>)</w:t>
            </w:r>
          </w:p>
        </w:tc>
      </w:tr>
      <w:tr w:rsidR="009F7318" w:rsidRPr="007477B1" w:rsidTr="00FF2F3D">
        <w:tc>
          <w:tcPr>
            <w:tcW w:w="826" w:type="pct"/>
          </w:tcPr>
          <w:p w:rsidR="009F7318" w:rsidRPr="007477B1" w:rsidRDefault="009F7318" w:rsidP="00FF2F3D">
            <w:pPr>
              <w:pStyle w:val="TableText"/>
            </w:pPr>
            <w:r w:rsidRPr="007477B1">
              <w:t>Solomon Islands</w:t>
            </w:r>
          </w:p>
        </w:tc>
        <w:tc>
          <w:tcPr>
            <w:tcW w:w="2070" w:type="pct"/>
          </w:tcPr>
          <w:p w:rsidR="009F7318" w:rsidRPr="00FA5B2C" w:rsidRDefault="009F7318" w:rsidP="00FF2F3D">
            <w:pPr>
              <w:pStyle w:val="TableText"/>
            </w:pPr>
            <w:r w:rsidRPr="00FA5B2C">
              <w:t>There is an established joint governance process around three annual meetings</w:t>
            </w:r>
            <w:r>
              <w:t xml:space="preserve"> </w:t>
            </w:r>
            <w:r w:rsidRPr="00FA5B2C">
              <w:t xml:space="preserve">timed around key stages in the </w:t>
            </w:r>
            <w:r w:rsidR="005F0AC3">
              <w:t>Solomon Islands Government</w:t>
            </w:r>
            <w:r w:rsidR="005F0AC3" w:rsidRPr="00FA5B2C">
              <w:t xml:space="preserve"> </w:t>
            </w:r>
            <w:r w:rsidRPr="00FA5B2C">
              <w:t>budget cycle. The meetings include an external</w:t>
            </w:r>
            <w:r>
              <w:t xml:space="preserve"> </w:t>
            </w:r>
            <w:r w:rsidRPr="00FA5B2C">
              <w:t>review (the JAPR) of prior year performance including finance and procurement</w:t>
            </w:r>
          </w:p>
          <w:p w:rsidR="009F7318" w:rsidRPr="007477B1" w:rsidRDefault="009F7318" w:rsidP="00FF2F3D">
            <w:pPr>
              <w:pStyle w:val="TableText"/>
            </w:pPr>
            <w:r w:rsidRPr="00FA5B2C">
              <w:lastRenderedPageBreak/>
              <w:t xml:space="preserve">Audits. </w:t>
            </w:r>
            <w:r w:rsidRPr="005A5458">
              <w:t>Transaction costs are high for MHMS, in part due to</w:t>
            </w:r>
            <w:r>
              <w:t xml:space="preserve"> </w:t>
            </w:r>
            <w:r w:rsidRPr="005A5458">
              <w:t>need to bring weak systems up to acceptable standard to</w:t>
            </w:r>
            <w:r>
              <w:t xml:space="preserve"> </w:t>
            </w:r>
            <w:r w:rsidRPr="005A5458">
              <w:t>absorb and account for resources</w:t>
            </w:r>
            <w:r>
              <w:t>.</w:t>
            </w:r>
            <w:r>
              <w:rPr>
                <w:rStyle w:val="FootnoteReference"/>
              </w:rPr>
              <w:footnoteReference w:id="127"/>
            </w:r>
          </w:p>
        </w:tc>
        <w:tc>
          <w:tcPr>
            <w:tcW w:w="2104" w:type="pct"/>
          </w:tcPr>
          <w:p w:rsidR="009F7318" w:rsidRPr="007477B1" w:rsidRDefault="009F7318" w:rsidP="00FF2F3D">
            <w:pPr>
              <w:pStyle w:val="TableText"/>
            </w:pPr>
            <w:r>
              <w:lastRenderedPageBreak/>
              <w:t xml:space="preserve">Yes, to some extent, although far from what might be necessary to manage for results. </w:t>
            </w:r>
            <w:r w:rsidRPr="00FA5B2C">
              <w:t xml:space="preserve">The failure to manage and monitor </w:t>
            </w:r>
            <w:r>
              <w:t>i</w:t>
            </w:r>
            <w:r w:rsidRPr="00FA5B2C">
              <w:t>mplementation of past recommendations</w:t>
            </w:r>
            <w:r>
              <w:t xml:space="preserve"> </w:t>
            </w:r>
            <w:r w:rsidRPr="00FA5B2C">
              <w:t>has limited the effectiveness of the JAPR in managing change.</w:t>
            </w:r>
            <w:r>
              <w:rPr>
                <w:rStyle w:val="FootnoteReference"/>
              </w:rPr>
              <w:footnoteReference w:id="128"/>
            </w:r>
          </w:p>
        </w:tc>
      </w:tr>
    </w:tbl>
    <w:p w:rsidR="009F7318" w:rsidRDefault="009F7318" w:rsidP="009F7318">
      <w:pPr>
        <w:pStyle w:val="TableName"/>
      </w:pPr>
    </w:p>
    <w:p w:rsidR="009F7318" w:rsidRDefault="009F7318" w:rsidP="009F7318">
      <w:pPr>
        <w:pStyle w:val="TableName"/>
      </w:pPr>
      <w:bookmarkStart w:id="62" w:name="_Toc402192210"/>
      <w:r>
        <w:t>Table A9</w:t>
      </w:r>
      <w:r>
        <w:tab/>
        <w:t xml:space="preserve">Extent and </w:t>
      </w:r>
      <w:r w:rsidRPr="00B468AE">
        <w:t>quality</w:t>
      </w:r>
      <w:r>
        <w:t xml:space="preserve"> of government leadership, ownership and accountability</w:t>
      </w:r>
      <w:bookmarkEnd w:id="62"/>
    </w:p>
    <w:tbl>
      <w:tblPr>
        <w:tblStyle w:val="TableGrid"/>
        <w:tblW w:w="5000" w:type="pct"/>
        <w:tblLook w:val="04A0" w:firstRow="1" w:lastRow="0" w:firstColumn="1" w:lastColumn="0" w:noHBand="0" w:noVBand="1"/>
      </w:tblPr>
      <w:tblGrid>
        <w:gridCol w:w="1076"/>
        <w:gridCol w:w="2693"/>
        <w:gridCol w:w="2737"/>
        <w:gridCol w:w="2736"/>
      </w:tblGrid>
      <w:tr w:rsidR="009F7318" w:rsidRPr="007477B1" w:rsidTr="00FF2F3D">
        <w:trPr>
          <w:cnfStyle w:val="100000000000" w:firstRow="1" w:lastRow="0" w:firstColumn="0" w:lastColumn="0" w:oddVBand="0" w:evenVBand="0" w:oddHBand="0" w:evenHBand="0" w:firstRowFirstColumn="0" w:firstRowLastColumn="0" w:lastRowFirstColumn="0" w:lastRowLastColumn="0"/>
          <w:trHeight w:val="560"/>
        </w:trPr>
        <w:tc>
          <w:tcPr>
            <w:tcW w:w="582" w:type="pct"/>
          </w:tcPr>
          <w:p w:rsidR="009F7318" w:rsidRPr="007477B1" w:rsidRDefault="009F7318" w:rsidP="00FF2F3D">
            <w:pPr>
              <w:pStyle w:val="TableHeading2"/>
            </w:pPr>
            <w:r w:rsidRPr="007477B1">
              <w:t>Countr</w:t>
            </w:r>
            <w:r>
              <w:t>y</w:t>
            </w:r>
          </w:p>
        </w:tc>
        <w:tc>
          <w:tcPr>
            <w:tcW w:w="1457" w:type="pct"/>
          </w:tcPr>
          <w:p w:rsidR="009F7318" w:rsidRPr="007477B1" w:rsidRDefault="009F7318" w:rsidP="00FF2F3D">
            <w:pPr>
              <w:pStyle w:val="TableHeading"/>
            </w:pPr>
            <w:r>
              <w:t xml:space="preserve">What were the extent and quality of ownership and leadership? </w:t>
            </w:r>
          </w:p>
        </w:tc>
        <w:tc>
          <w:tcPr>
            <w:tcW w:w="1481" w:type="pct"/>
          </w:tcPr>
          <w:p w:rsidR="009F7318" w:rsidRDefault="009F7318" w:rsidP="00FF2F3D">
            <w:pPr>
              <w:pStyle w:val="TableHeading"/>
            </w:pPr>
            <w:r>
              <w:t>Was there mutual accountability for results?</w:t>
            </w:r>
          </w:p>
        </w:tc>
        <w:tc>
          <w:tcPr>
            <w:tcW w:w="1480" w:type="pct"/>
          </w:tcPr>
          <w:p w:rsidR="009F7318" w:rsidRPr="007477B1" w:rsidRDefault="009F7318" w:rsidP="00FF2F3D">
            <w:pPr>
              <w:pStyle w:val="TableHeading"/>
            </w:pPr>
            <w:r>
              <w:t xml:space="preserve">Did the </w:t>
            </w:r>
            <w:proofErr w:type="spellStart"/>
            <w:r>
              <w:t>SWAp</w:t>
            </w:r>
            <w:proofErr w:type="spellEnd"/>
            <w:r>
              <w:t xml:space="preserve"> strengthen government ownership and leadership?  </w:t>
            </w:r>
          </w:p>
        </w:tc>
      </w:tr>
      <w:tr w:rsidR="009F7318" w:rsidRPr="007477B1" w:rsidTr="00FF2F3D">
        <w:tc>
          <w:tcPr>
            <w:tcW w:w="582" w:type="pct"/>
          </w:tcPr>
          <w:p w:rsidR="009F7318" w:rsidRPr="007477B1" w:rsidRDefault="009F7318" w:rsidP="00FF2F3D">
            <w:pPr>
              <w:pStyle w:val="TableText"/>
            </w:pPr>
            <w:r w:rsidRPr="007477B1">
              <w:t>Bangladesh</w:t>
            </w:r>
          </w:p>
        </w:tc>
        <w:tc>
          <w:tcPr>
            <w:tcW w:w="1457" w:type="pct"/>
          </w:tcPr>
          <w:p w:rsidR="009F7318" w:rsidRPr="007477B1" w:rsidRDefault="009F7318" w:rsidP="00FF2F3D">
            <w:pPr>
              <w:pStyle w:val="TableText"/>
            </w:pPr>
            <w:r>
              <w:t>Ownership and leadership by the government has suffered from ups and downs over the years given the size and complexity of the health sector, the large number of development partners and the fragmentation of some government health structures (one S</w:t>
            </w:r>
            <w:r w:rsidR="00DF1DD1">
              <w:t>ecretariat, two directorates –family planning</w:t>
            </w:r>
            <w:r>
              <w:t xml:space="preserve"> and health services- , 30+ line directors, etc.). In spite of these complexities the government has led the sector and owned the health sector program and the objectives of the </w:t>
            </w:r>
            <w:proofErr w:type="spellStart"/>
            <w:r>
              <w:t>SWAp</w:t>
            </w:r>
            <w:proofErr w:type="spellEnd"/>
            <w:r>
              <w:t>.</w:t>
            </w:r>
          </w:p>
        </w:tc>
        <w:tc>
          <w:tcPr>
            <w:tcW w:w="1481" w:type="pct"/>
          </w:tcPr>
          <w:p w:rsidR="009F7318" w:rsidRPr="007477B1" w:rsidRDefault="009F7318" w:rsidP="00FF2F3D">
            <w:pPr>
              <w:pStyle w:val="TableText"/>
            </w:pPr>
            <w:r>
              <w:t>Accountability was weaker in the initial sector program and has been increasing steadily in recent years through increased focus on results and strengthened review mechanisms. The Independent Review Teams who performed the APRs in 2006, 2007 and 2008 highlighted that the focus of accountability for decisions made was often expected from the government and less so from the development partners, some of whom failed to abide by their pledges and continued to work in their own ways</w:t>
            </w:r>
            <w:r>
              <w:rPr>
                <w:rStyle w:val="FootnoteReference"/>
              </w:rPr>
              <w:footnoteReference w:id="129"/>
            </w:r>
            <w:r>
              <w:t xml:space="preserve"> </w:t>
            </w:r>
          </w:p>
        </w:tc>
        <w:tc>
          <w:tcPr>
            <w:tcW w:w="1480" w:type="pct"/>
          </w:tcPr>
          <w:p w:rsidR="009F7318" w:rsidRPr="007477B1" w:rsidRDefault="009F7318" w:rsidP="00FF2F3D">
            <w:pPr>
              <w:pStyle w:val="TableText"/>
            </w:pPr>
            <w:r>
              <w:t xml:space="preserve">The health </w:t>
            </w:r>
            <w:proofErr w:type="spellStart"/>
            <w:r>
              <w:t>SWAp</w:t>
            </w:r>
            <w:proofErr w:type="spellEnd"/>
            <w:r>
              <w:t xml:space="preserve"> has clearly strengthened government ownership and leadership, even if these are categories where improvement is always possible.</w:t>
            </w:r>
          </w:p>
        </w:tc>
      </w:tr>
      <w:tr w:rsidR="009F7318" w:rsidRPr="007477B1" w:rsidTr="00FF2F3D">
        <w:tc>
          <w:tcPr>
            <w:tcW w:w="582" w:type="pct"/>
          </w:tcPr>
          <w:p w:rsidR="009F7318" w:rsidRPr="007477B1" w:rsidRDefault="009F7318" w:rsidP="00FF2F3D">
            <w:pPr>
              <w:pStyle w:val="TableText"/>
            </w:pPr>
            <w:r w:rsidRPr="007477B1">
              <w:t>Cambodia</w:t>
            </w:r>
          </w:p>
        </w:tc>
        <w:tc>
          <w:tcPr>
            <w:tcW w:w="1457" w:type="pct"/>
          </w:tcPr>
          <w:p w:rsidR="009F7318" w:rsidRPr="007477B1" w:rsidRDefault="009F7318" w:rsidP="005F0AC3">
            <w:pPr>
              <w:pStyle w:val="TableText"/>
            </w:pPr>
            <w:r>
              <w:t>Leadership and ownership of the HSP2 and HSSP2 by the</w:t>
            </w:r>
            <w:r w:rsidRPr="003D7E2F">
              <w:t xml:space="preserve"> Government of Cambodia</w:t>
            </w:r>
            <w:r>
              <w:t xml:space="preserve"> are often reported as being very high.</w:t>
            </w:r>
            <w:r>
              <w:rPr>
                <w:rStyle w:val="FootnoteReference"/>
              </w:rPr>
              <w:footnoteReference w:id="130"/>
            </w:r>
          </w:p>
        </w:tc>
        <w:tc>
          <w:tcPr>
            <w:tcW w:w="1481" w:type="pct"/>
          </w:tcPr>
          <w:p w:rsidR="009F7318" w:rsidRPr="007477B1" w:rsidRDefault="009F7318" w:rsidP="00FF2F3D">
            <w:pPr>
              <w:pStyle w:val="TableText"/>
            </w:pPr>
            <w:r>
              <w:t>There is mutual accountability for results (demonstrated, at least, every year) although accountability does not extend to all the areas where additional information would help better align resources to sector priorities, including procurement of drugs and other commodities.</w:t>
            </w:r>
          </w:p>
        </w:tc>
        <w:tc>
          <w:tcPr>
            <w:tcW w:w="1480" w:type="pct"/>
          </w:tcPr>
          <w:p w:rsidR="009F7318" w:rsidRPr="007477B1" w:rsidRDefault="009F7318" w:rsidP="00FF2F3D">
            <w:pPr>
              <w:pStyle w:val="TableText"/>
            </w:pPr>
            <w:r>
              <w:t>Yes: the MTR of 2001</w:t>
            </w:r>
            <w:r>
              <w:rPr>
                <w:rStyle w:val="FootnoteReference"/>
              </w:rPr>
              <w:footnoteReference w:id="131"/>
            </w:r>
            <w:r>
              <w:t xml:space="preserve"> and the health sector review of 2007</w:t>
            </w:r>
            <w:r>
              <w:rPr>
                <w:rStyle w:val="FootnoteReference"/>
              </w:rPr>
              <w:footnoteReference w:id="132"/>
            </w:r>
            <w:r>
              <w:t xml:space="preserve"> reported that the </w:t>
            </w:r>
            <w:proofErr w:type="spellStart"/>
            <w:r>
              <w:t>SWiM</w:t>
            </w:r>
            <w:proofErr w:type="spellEnd"/>
            <w:r>
              <w:t xml:space="preserve"> has greatly contributed to increasing government leadership and ownership of the health sector plan. </w:t>
            </w:r>
          </w:p>
        </w:tc>
      </w:tr>
      <w:tr w:rsidR="009F7318" w:rsidRPr="007477B1" w:rsidTr="00FF2F3D">
        <w:tc>
          <w:tcPr>
            <w:tcW w:w="582" w:type="pct"/>
          </w:tcPr>
          <w:p w:rsidR="009F7318" w:rsidRPr="007477B1" w:rsidRDefault="009F7318" w:rsidP="00FF2F3D">
            <w:pPr>
              <w:pStyle w:val="TableText"/>
            </w:pPr>
            <w:r w:rsidRPr="007477B1">
              <w:t>Nepal</w:t>
            </w:r>
          </w:p>
        </w:tc>
        <w:tc>
          <w:tcPr>
            <w:tcW w:w="1457" w:type="pct"/>
          </w:tcPr>
          <w:p w:rsidR="009F7318" w:rsidRPr="007477B1" w:rsidRDefault="009F7318" w:rsidP="00FF2F3D">
            <w:pPr>
              <w:pStyle w:val="TableText"/>
            </w:pPr>
            <w:r>
              <w:t>Ownership of the health sector plan by the government is described as very high and increasing in recent years.</w:t>
            </w:r>
            <w:r>
              <w:rPr>
                <w:rStyle w:val="FootnoteReference"/>
              </w:rPr>
              <w:footnoteReference w:id="133"/>
            </w:r>
            <w:r w:rsidRPr="00297D91">
              <w:rPr>
                <w:vertAlign w:val="superscript"/>
              </w:rPr>
              <w:t>,</w:t>
            </w:r>
            <w:r>
              <w:rPr>
                <w:rStyle w:val="FootnoteReference"/>
              </w:rPr>
              <w:footnoteReference w:id="134"/>
            </w:r>
            <w:r>
              <w:t xml:space="preserve"> AusAID also states that ‘t</w:t>
            </w:r>
            <w:r w:rsidRPr="0047434A">
              <w:rPr>
                <w:i/>
              </w:rPr>
              <w:t>he capacity of the health system has generally improved</w:t>
            </w:r>
            <w:r>
              <w:rPr>
                <w:i/>
              </w:rPr>
              <w:t>…w</w:t>
            </w:r>
            <w:r w:rsidRPr="0047434A">
              <w:rPr>
                <w:i/>
              </w:rPr>
              <w:t xml:space="preserve">ith constant assistance from Development Partners, the </w:t>
            </w:r>
            <w:proofErr w:type="spellStart"/>
            <w:r w:rsidRPr="0047434A">
              <w:rPr>
                <w:i/>
              </w:rPr>
              <w:t>MoHP</w:t>
            </w:r>
            <w:proofErr w:type="spellEnd"/>
            <w:r w:rsidRPr="0047434A">
              <w:rPr>
                <w:i/>
              </w:rPr>
              <w:t xml:space="preserve"> is generally able to understand / identify risks and manage them. The </w:t>
            </w:r>
            <w:proofErr w:type="spellStart"/>
            <w:r w:rsidRPr="0047434A">
              <w:rPr>
                <w:i/>
              </w:rPr>
              <w:t>MoHP</w:t>
            </w:r>
            <w:proofErr w:type="spellEnd"/>
            <w:r w:rsidRPr="0047434A">
              <w:rPr>
                <w:i/>
              </w:rPr>
              <w:t xml:space="preserve"> is undertaking a comprehensive organisation and management </w:t>
            </w:r>
            <w:r w:rsidRPr="0047434A">
              <w:rPr>
                <w:i/>
              </w:rPr>
              <w:lastRenderedPageBreak/>
              <w:t xml:space="preserve">assessment, </w:t>
            </w:r>
            <w:r>
              <w:rPr>
                <w:i/>
              </w:rPr>
              <w:t>and</w:t>
            </w:r>
            <w:r w:rsidRPr="0047434A">
              <w:rPr>
                <w:i/>
              </w:rPr>
              <w:t xml:space="preserve"> import</w:t>
            </w:r>
            <w:r>
              <w:rPr>
                <w:i/>
              </w:rPr>
              <w:t>ant reforms have been initiated…</w:t>
            </w:r>
            <w:r>
              <w:rPr>
                <w:rStyle w:val="FootnoteReference"/>
                <w:i/>
              </w:rPr>
              <w:footnoteReference w:id="135"/>
            </w:r>
            <w:r>
              <w:rPr>
                <w:i/>
              </w:rPr>
              <w:t xml:space="preserve"> </w:t>
            </w:r>
          </w:p>
        </w:tc>
        <w:tc>
          <w:tcPr>
            <w:tcW w:w="1481" w:type="pct"/>
          </w:tcPr>
          <w:p w:rsidR="009F7318" w:rsidRPr="007477B1" w:rsidRDefault="009F7318" w:rsidP="005F0AC3">
            <w:pPr>
              <w:pStyle w:val="TableText"/>
            </w:pPr>
            <w:r>
              <w:lastRenderedPageBreak/>
              <w:t xml:space="preserve">There is considerable accountability for results facilitated by thorough Joint Annual Reviews as regular engagement between senior staff of the </w:t>
            </w:r>
            <w:proofErr w:type="spellStart"/>
            <w:r>
              <w:t>MoHP</w:t>
            </w:r>
            <w:proofErr w:type="spellEnd"/>
            <w:r>
              <w:t xml:space="preserve"> and representatives from development partners. </w:t>
            </w:r>
          </w:p>
        </w:tc>
        <w:tc>
          <w:tcPr>
            <w:tcW w:w="1480" w:type="pct"/>
          </w:tcPr>
          <w:p w:rsidR="009F7318" w:rsidRPr="007477B1" w:rsidRDefault="009F7318" w:rsidP="00FF2F3D">
            <w:pPr>
              <w:pStyle w:val="TableText"/>
            </w:pPr>
            <w:r>
              <w:t xml:space="preserve">Clearly yes – there is considerable evidence supporting this view and emphasising how important this was at the time of political instability and crisis. </w:t>
            </w:r>
            <w:r w:rsidRPr="000C61CC">
              <w:t>“</w:t>
            </w:r>
            <w:r w:rsidRPr="000C61CC">
              <w:rPr>
                <w:i/>
              </w:rPr>
              <w:t xml:space="preserve">The number of donors working in a unified way through donor pools has so far, proven to be effective in Nepal. Donors operating in the country are noted for their commitment to working in a highly coordinated fashion and in ways that build government systems and </w:t>
            </w:r>
            <w:r w:rsidRPr="000C61CC">
              <w:rPr>
                <w:i/>
              </w:rPr>
              <w:lastRenderedPageBreak/>
              <w:t>capacity”… “It is important that we continue to support this asset through whatever transitions the Nepalese state moves through in the next few years</w:t>
            </w:r>
            <w:r w:rsidRPr="000C61CC">
              <w:t xml:space="preserve">.” </w:t>
            </w:r>
            <w:r>
              <w:rPr>
                <w:rStyle w:val="FootnoteReference"/>
              </w:rPr>
              <w:footnoteReference w:id="136"/>
            </w:r>
          </w:p>
        </w:tc>
      </w:tr>
      <w:tr w:rsidR="008E7949" w:rsidRPr="007477B1" w:rsidTr="00FF2F3D">
        <w:tc>
          <w:tcPr>
            <w:tcW w:w="582" w:type="pct"/>
          </w:tcPr>
          <w:p w:rsidR="008E7949" w:rsidRPr="007477B1" w:rsidRDefault="008E7949" w:rsidP="0097056D">
            <w:pPr>
              <w:pStyle w:val="TableText"/>
            </w:pPr>
            <w:r w:rsidRPr="007477B1">
              <w:lastRenderedPageBreak/>
              <w:t>P</w:t>
            </w:r>
            <w:r>
              <w:t>apua New Guinea</w:t>
            </w:r>
          </w:p>
        </w:tc>
        <w:tc>
          <w:tcPr>
            <w:tcW w:w="1457" w:type="pct"/>
          </w:tcPr>
          <w:p w:rsidR="008E7949" w:rsidRPr="007477B1" w:rsidRDefault="008E7949" w:rsidP="00FF2F3D">
            <w:pPr>
              <w:pStyle w:val="TableText"/>
            </w:pPr>
            <w:r>
              <w:t xml:space="preserve">There was very limited ownership by the government of the HSIP and related </w:t>
            </w:r>
            <w:proofErr w:type="spellStart"/>
            <w:r>
              <w:t>SWAp</w:t>
            </w:r>
            <w:proofErr w:type="spellEnd"/>
            <w:r>
              <w:t>. This resulted in many tensions between government and donors. Ownership is consistently reported as weak in most reviews. For example, th</w:t>
            </w:r>
            <w:r w:rsidRPr="00F9218C">
              <w:t xml:space="preserve">e </w:t>
            </w:r>
            <w:proofErr w:type="spellStart"/>
            <w:r w:rsidRPr="00F9218C">
              <w:t>Duesbury</w:t>
            </w:r>
            <w:proofErr w:type="spellEnd"/>
            <w:r w:rsidRPr="00F9218C">
              <w:t xml:space="preserve"> </w:t>
            </w:r>
            <w:proofErr w:type="spellStart"/>
            <w:r w:rsidRPr="00F9218C">
              <w:t>Nexia</w:t>
            </w:r>
            <w:proofErr w:type="spellEnd"/>
            <w:r w:rsidRPr="00F9218C">
              <w:t xml:space="preserve"> HSIP Trust Account Financial Transaction Audit and Process Review (2011) commissioned by AusAID found insufficient staff capacity and a lack of ownership by NDOH to drive the necessary changes.</w:t>
            </w:r>
          </w:p>
        </w:tc>
        <w:tc>
          <w:tcPr>
            <w:tcW w:w="1481" w:type="pct"/>
          </w:tcPr>
          <w:p w:rsidR="008E7949" w:rsidRPr="007477B1" w:rsidRDefault="008E7949" w:rsidP="00FF2F3D">
            <w:pPr>
              <w:pStyle w:val="TableText"/>
            </w:pPr>
            <w:r>
              <w:t xml:space="preserve">There was not accountability for results. The annual review missions delivered a large number of poorly prioritised recommendations that neither government nor donors were accountable for or implemented and the HSIP was perceived as a rigid planning, M&amp;E and financing arrangement by both government and donors. </w:t>
            </w:r>
          </w:p>
        </w:tc>
        <w:tc>
          <w:tcPr>
            <w:tcW w:w="1480" w:type="pct"/>
          </w:tcPr>
          <w:p w:rsidR="008E7949" w:rsidRPr="007477B1" w:rsidRDefault="008E7949" w:rsidP="00FA2EB0">
            <w:pPr>
              <w:pStyle w:val="TableText"/>
            </w:pPr>
            <w:r>
              <w:t xml:space="preserve">It was not a real </w:t>
            </w:r>
            <w:proofErr w:type="spellStart"/>
            <w:r>
              <w:t>SWAp</w:t>
            </w:r>
            <w:proofErr w:type="spellEnd"/>
            <w:r>
              <w:t xml:space="preserve">. The government did not feel ownership of it, The situation probably changed during 2011 and 2012 when the government drafted a new plan and donors supported it and developed more aligned and harmonised health financing arrangements. </w:t>
            </w:r>
            <w:r w:rsidR="00FA2EB0">
              <w:t>More recent reports (such as the Health Sector Partnership Committee review) point to efforts to improve government ownership and leadership, with mixed results</w:t>
            </w:r>
            <w:r>
              <w:t>.</w:t>
            </w:r>
          </w:p>
        </w:tc>
      </w:tr>
      <w:tr w:rsidR="009F7318" w:rsidRPr="007477B1" w:rsidTr="00FF2F3D">
        <w:tc>
          <w:tcPr>
            <w:tcW w:w="582" w:type="pct"/>
          </w:tcPr>
          <w:p w:rsidR="009F7318" w:rsidRPr="007477B1" w:rsidRDefault="009F7318" w:rsidP="00FF2F3D">
            <w:pPr>
              <w:pStyle w:val="TableText"/>
            </w:pPr>
            <w:r w:rsidRPr="007477B1">
              <w:t>Samoa</w:t>
            </w:r>
          </w:p>
        </w:tc>
        <w:tc>
          <w:tcPr>
            <w:tcW w:w="1457" w:type="pct"/>
          </w:tcPr>
          <w:p w:rsidR="009F7318" w:rsidRPr="000912A4" w:rsidRDefault="009F7318" w:rsidP="00FF2F3D">
            <w:pPr>
              <w:pStyle w:val="TableText"/>
            </w:pPr>
            <w:r w:rsidRPr="001A4652">
              <w:rPr>
                <w:i/>
              </w:rPr>
              <w:t xml:space="preserve">The </w:t>
            </w:r>
            <w:proofErr w:type="spellStart"/>
            <w:r w:rsidRPr="001A4652">
              <w:rPr>
                <w:i/>
              </w:rPr>
              <w:t>MoH</w:t>
            </w:r>
            <w:proofErr w:type="spellEnd"/>
            <w:r w:rsidRPr="001A4652">
              <w:rPr>
                <w:i/>
              </w:rPr>
              <w:t xml:space="preserve"> appears to have approached the task of managing the </w:t>
            </w:r>
            <w:proofErr w:type="spellStart"/>
            <w:r w:rsidRPr="001A4652">
              <w:rPr>
                <w:i/>
              </w:rPr>
              <w:t>SWAp</w:t>
            </w:r>
            <w:proofErr w:type="spellEnd"/>
            <w:r w:rsidRPr="001A4652">
              <w:rPr>
                <w:i/>
              </w:rPr>
              <w:t xml:space="preserve"> with energy and enthusiasm</w:t>
            </w:r>
            <w:r>
              <w:t xml:space="preserve">. </w:t>
            </w:r>
            <w:r w:rsidRPr="000912A4">
              <w:rPr>
                <w:i/>
              </w:rPr>
              <w:t>The ability to consolidate interactions with DPs into a single process as opposed to a series of discrete bilateral engagements has supported more ef</w:t>
            </w:r>
            <w:r>
              <w:rPr>
                <w:i/>
              </w:rPr>
              <w:t xml:space="preserve">ficient and consistent dialogue. </w:t>
            </w:r>
            <w:r w:rsidRPr="000912A4">
              <w:rPr>
                <w:i/>
              </w:rPr>
              <w:t xml:space="preserve">The </w:t>
            </w:r>
            <w:proofErr w:type="spellStart"/>
            <w:r w:rsidRPr="000912A4">
              <w:rPr>
                <w:i/>
              </w:rPr>
              <w:t>SWAp</w:t>
            </w:r>
            <w:proofErr w:type="spellEnd"/>
            <w:r w:rsidRPr="000912A4">
              <w:rPr>
                <w:i/>
              </w:rPr>
              <w:t xml:space="preserve"> modality has supported a move away from opportunistic and potentially competitive bidding among (or within) health sector agencies.</w:t>
            </w:r>
            <w:r>
              <w:rPr>
                <w:rStyle w:val="FootnoteReference"/>
                <w:i/>
              </w:rPr>
              <w:footnoteReference w:id="137"/>
            </w:r>
            <w:r w:rsidRPr="000912A4">
              <w:rPr>
                <w:i/>
              </w:rPr>
              <w:t xml:space="preserve"> </w:t>
            </w:r>
          </w:p>
        </w:tc>
        <w:tc>
          <w:tcPr>
            <w:tcW w:w="1481" w:type="pct"/>
          </w:tcPr>
          <w:p w:rsidR="009F7318" w:rsidRDefault="009F7318" w:rsidP="00FF2F3D">
            <w:pPr>
              <w:pStyle w:val="TableText"/>
            </w:pPr>
            <w:r w:rsidRPr="000912A4">
              <w:t>Accountability for performance was weak - both government and donors are reported to have moved away or not delivered on commitments made over time</w:t>
            </w:r>
            <w:r>
              <w:t>.</w:t>
            </w:r>
            <w:r>
              <w:rPr>
                <w:rStyle w:val="FootnoteReference"/>
              </w:rPr>
              <w:footnoteReference w:id="138"/>
            </w:r>
          </w:p>
          <w:p w:rsidR="009F7318" w:rsidRDefault="009F7318" w:rsidP="00FF2F3D">
            <w:pPr>
              <w:pStyle w:val="TableText"/>
            </w:pPr>
          </w:p>
          <w:p w:rsidR="009F7318" w:rsidRPr="000912A4" w:rsidRDefault="009F7318" w:rsidP="00FF2F3D">
            <w:pPr>
              <w:pStyle w:val="TableText"/>
            </w:pPr>
            <w:r w:rsidRPr="00632D3D">
              <w:rPr>
                <w:i/>
              </w:rPr>
              <w:t>It is always a challenge to achieve a balanced dialogue, on</w:t>
            </w:r>
            <w:r>
              <w:rPr>
                <w:i/>
              </w:rPr>
              <w:t>e</w:t>
            </w:r>
            <w:r w:rsidRPr="00632D3D">
              <w:rPr>
                <w:i/>
              </w:rPr>
              <w:t xml:space="preserve"> that is rigorous and candid on the one hand, and also respectful of government leadership and sovereignty, on the other</w:t>
            </w:r>
            <w:r>
              <w:rPr>
                <w:i/>
              </w:rPr>
              <w:t>…</w:t>
            </w:r>
            <w:r>
              <w:rPr>
                <w:rStyle w:val="FootnoteReference"/>
                <w:i/>
              </w:rPr>
              <w:footnoteReference w:id="139"/>
            </w:r>
            <w:r>
              <w:rPr>
                <w:i/>
              </w:rPr>
              <w:t xml:space="preserve"> </w:t>
            </w:r>
          </w:p>
          <w:p w:rsidR="009F7318" w:rsidRPr="000912A4" w:rsidRDefault="009F7318" w:rsidP="00FF2F3D">
            <w:pPr>
              <w:pStyle w:val="TableText"/>
            </w:pPr>
          </w:p>
        </w:tc>
        <w:tc>
          <w:tcPr>
            <w:tcW w:w="1480" w:type="pct"/>
          </w:tcPr>
          <w:p w:rsidR="009F7318" w:rsidRDefault="009F7318" w:rsidP="00FF2F3D">
            <w:pPr>
              <w:pStyle w:val="TableText"/>
            </w:pPr>
            <w:r w:rsidRPr="00632D3D">
              <w:rPr>
                <w:i/>
              </w:rPr>
              <w:t xml:space="preserve">The </w:t>
            </w:r>
            <w:proofErr w:type="spellStart"/>
            <w:r w:rsidRPr="00632D3D">
              <w:rPr>
                <w:i/>
              </w:rPr>
              <w:t>GoS</w:t>
            </w:r>
            <w:proofErr w:type="spellEnd"/>
            <w:r w:rsidRPr="00632D3D">
              <w:rPr>
                <w:i/>
              </w:rPr>
              <w:t xml:space="preserve"> has assumed very strong leadership and ownership of the </w:t>
            </w:r>
            <w:proofErr w:type="spellStart"/>
            <w:r w:rsidRPr="00632D3D">
              <w:rPr>
                <w:i/>
              </w:rPr>
              <w:t>SWAp</w:t>
            </w:r>
            <w:proofErr w:type="spellEnd"/>
            <w:r w:rsidRPr="00632D3D">
              <w:rPr>
                <w:i/>
              </w:rPr>
              <w:t xml:space="preserve"> and has a strong sense of how they want the </w:t>
            </w:r>
            <w:proofErr w:type="spellStart"/>
            <w:r w:rsidRPr="00632D3D">
              <w:rPr>
                <w:i/>
              </w:rPr>
              <w:t>SWAp</w:t>
            </w:r>
            <w:proofErr w:type="spellEnd"/>
            <w:r w:rsidRPr="00632D3D">
              <w:rPr>
                <w:i/>
              </w:rPr>
              <w:t xml:space="preserve"> to unfold</w:t>
            </w:r>
            <w:r>
              <w:t>.</w:t>
            </w:r>
            <w:r>
              <w:rPr>
                <w:rStyle w:val="FootnoteReference"/>
              </w:rPr>
              <w:footnoteReference w:id="140"/>
            </w:r>
            <w:r>
              <w:t xml:space="preserve"> </w:t>
            </w:r>
          </w:p>
          <w:p w:rsidR="009F7318" w:rsidRDefault="009F7318" w:rsidP="00FF2F3D">
            <w:pPr>
              <w:pStyle w:val="TableText"/>
            </w:pPr>
          </w:p>
          <w:p w:rsidR="009F7318" w:rsidRPr="000912A4" w:rsidRDefault="009F7318" w:rsidP="00FF2F3D">
            <w:pPr>
              <w:pStyle w:val="TableText"/>
            </w:pPr>
            <w:r w:rsidRPr="000912A4">
              <w:t xml:space="preserve">Joint work by partners intensified and improved during and as a result of the </w:t>
            </w:r>
            <w:proofErr w:type="spellStart"/>
            <w:r w:rsidRPr="000912A4">
              <w:t>SWAp</w:t>
            </w:r>
            <w:proofErr w:type="spellEnd"/>
            <w:r w:rsidRPr="000912A4">
              <w:t xml:space="preserve"> if the situation is compared with the pre-</w:t>
            </w:r>
            <w:proofErr w:type="spellStart"/>
            <w:r w:rsidRPr="000912A4">
              <w:t>SWAp</w:t>
            </w:r>
            <w:proofErr w:type="spellEnd"/>
            <w:r w:rsidRPr="000912A4">
              <w:t xml:space="preserve"> project era</w:t>
            </w:r>
            <w:r>
              <w:t>.</w:t>
            </w:r>
            <w:r>
              <w:rPr>
                <w:rStyle w:val="FootnoteReference"/>
              </w:rPr>
              <w:footnoteReference w:id="141"/>
            </w:r>
          </w:p>
        </w:tc>
      </w:tr>
      <w:tr w:rsidR="009F7318" w:rsidRPr="007477B1" w:rsidTr="00FF2F3D">
        <w:trPr>
          <w:trHeight w:val="614"/>
        </w:trPr>
        <w:tc>
          <w:tcPr>
            <w:tcW w:w="582" w:type="pct"/>
          </w:tcPr>
          <w:p w:rsidR="009F7318" w:rsidRPr="007477B1" w:rsidRDefault="009F7318" w:rsidP="00FF2F3D">
            <w:pPr>
              <w:pStyle w:val="TableText"/>
            </w:pPr>
            <w:r w:rsidRPr="007477B1">
              <w:t>Solomon Islands</w:t>
            </w:r>
          </w:p>
        </w:tc>
        <w:tc>
          <w:tcPr>
            <w:tcW w:w="1457" w:type="pct"/>
          </w:tcPr>
          <w:p w:rsidR="009F7318" w:rsidRPr="00126D6B" w:rsidRDefault="009F7318" w:rsidP="00FF2F3D">
            <w:pPr>
              <w:pStyle w:val="TableText"/>
            </w:pPr>
            <w:r w:rsidRPr="00126D6B">
              <w:t>MHMS leadership is reflected in documentation but it is difficult</w:t>
            </w:r>
            <w:r>
              <w:t xml:space="preserve"> </w:t>
            </w:r>
            <w:r w:rsidRPr="00126D6B">
              <w:t>to see how leadership, strategic oversight and accountability</w:t>
            </w:r>
            <w:r>
              <w:t xml:space="preserve"> </w:t>
            </w:r>
            <w:r w:rsidRPr="00126D6B">
              <w:t>for delivery are assured.</w:t>
            </w:r>
          </w:p>
          <w:p w:rsidR="009F7318" w:rsidRPr="007477B1" w:rsidRDefault="009F7318" w:rsidP="00FF2F3D">
            <w:pPr>
              <w:pStyle w:val="TableText"/>
              <w:spacing w:after="0" w:line="180" w:lineRule="atLeast"/>
            </w:pPr>
            <w:r w:rsidRPr="00126D6B">
              <w:t>The Executive Team meets infrequently, does not monitor</w:t>
            </w:r>
            <w:r>
              <w:t xml:space="preserve"> </w:t>
            </w:r>
            <w:r w:rsidRPr="00126D6B">
              <w:t>progress systematically and therefore fails to address key</w:t>
            </w:r>
            <w:r>
              <w:t xml:space="preserve"> </w:t>
            </w:r>
            <w:r w:rsidRPr="00126D6B">
              <w:t>agendas. Senior managers are thinly spread with many</w:t>
            </w:r>
            <w:r>
              <w:t xml:space="preserve"> </w:t>
            </w:r>
            <w:r w:rsidRPr="00126D6B">
              <w:t>competing demands on their time.</w:t>
            </w:r>
            <w:r>
              <w:rPr>
                <w:rStyle w:val="FootnoteReference"/>
              </w:rPr>
              <w:footnoteReference w:id="142"/>
            </w:r>
          </w:p>
        </w:tc>
        <w:tc>
          <w:tcPr>
            <w:tcW w:w="1481" w:type="pct"/>
          </w:tcPr>
          <w:p w:rsidR="009F7318" w:rsidRPr="007477B1" w:rsidRDefault="009F7318" w:rsidP="00FF2F3D">
            <w:pPr>
              <w:pStyle w:val="TableText"/>
            </w:pPr>
            <w:r>
              <w:t xml:space="preserve">Accountability is weak due to poor definition of results at either </w:t>
            </w:r>
            <w:proofErr w:type="spellStart"/>
            <w:r>
              <w:t>SWAp</w:t>
            </w:r>
            <w:proofErr w:type="spellEnd"/>
            <w:r>
              <w:t xml:space="preserve"> or sector levels and due to capacity problems at the level of the executive. </w:t>
            </w:r>
            <w:r w:rsidRPr="00417985">
              <w:t>Limited evidence of effective</w:t>
            </w:r>
            <w:r>
              <w:t xml:space="preserve"> approaches to define and track </w:t>
            </w:r>
            <w:r w:rsidRPr="00417985">
              <w:t>accountability for performance</w:t>
            </w:r>
            <w:r>
              <w:t>.</w:t>
            </w:r>
            <w:r>
              <w:rPr>
                <w:rStyle w:val="FootnoteReference"/>
              </w:rPr>
              <w:footnoteReference w:id="143"/>
            </w:r>
          </w:p>
        </w:tc>
        <w:tc>
          <w:tcPr>
            <w:tcW w:w="1480" w:type="pct"/>
          </w:tcPr>
          <w:p w:rsidR="009F7318" w:rsidRPr="007477B1" w:rsidRDefault="009F7318" w:rsidP="00FF2F3D">
            <w:pPr>
              <w:pStyle w:val="TableText"/>
            </w:pPr>
            <w:r>
              <w:t>Yes to some extent, although it continues to fail on monitoring progress systematically.</w:t>
            </w:r>
          </w:p>
        </w:tc>
      </w:tr>
    </w:tbl>
    <w:p w:rsidR="009F7318" w:rsidRDefault="009F7318" w:rsidP="009F7318">
      <w:pPr>
        <w:pStyle w:val="Heading2a"/>
      </w:pPr>
      <w:r>
        <w:t>A.3.4</w:t>
      </w:r>
      <w:r>
        <w:tab/>
      </w:r>
      <w:r>
        <w:tab/>
        <w:t>Alignment</w:t>
      </w:r>
    </w:p>
    <w:p w:rsidR="009F7318" w:rsidRPr="00B468AE" w:rsidRDefault="009F7318" w:rsidP="009F7318">
      <w:pPr>
        <w:pStyle w:val="TableName"/>
      </w:pPr>
      <w:bookmarkStart w:id="63" w:name="_Toc402192211"/>
      <w:r>
        <w:lastRenderedPageBreak/>
        <w:t>Table A10</w:t>
      </w:r>
      <w:r>
        <w:tab/>
        <w:t>Alignment with government planning and budget systems</w:t>
      </w:r>
      <w:bookmarkEnd w:id="63"/>
      <w:r>
        <w:t xml:space="preserve"> </w:t>
      </w:r>
    </w:p>
    <w:tbl>
      <w:tblPr>
        <w:tblStyle w:val="TableGrid"/>
        <w:tblW w:w="5000" w:type="pct"/>
        <w:tblLook w:val="04A0" w:firstRow="1" w:lastRow="0" w:firstColumn="1" w:lastColumn="0" w:noHBand="0" w:noVBand="1"/>
      </w:tblPr>
      <w:tblGrid>
        <w:gridCol w:w="1102"/>
        <w:gridCol w:w="8140"/>
      </w:tblGrid>
      <w:tr w:rsidR="009F7318" w:rsidRPr="007477B1" w:rsidTr="00FF2F3D">
        <w:trPr>
          <w:cnfStyle w:val="100000000000" w:firstRow="1" w:lastRow="0" w:firstColumn="0" w:lastColumn="0" w:oddVBand="0" w:evenVBand="0" w:oddHBand="0" w:evenHBand="0" w:firstRowFirstColumn="0" w:firstRowLastColumn="0" w:lastRowFirstColumn="0" w:lastRowLastColumn="0"/>
          <w:trHeight w:val="826"/>
        </w:trPr>
        <w:tc>
          <w:tcPr>
            <w:tcW w:w="596" w:type="pct"/>
          </w:tcPr>
          <w:p w:rsidR="009F7318" w:rsidRPr="007477B1" w:rsidRDefault="009F7318" w:rsidP="00FF2F3D">
            <w:pPr>
              <w:pStyle w:val="TableHeading2"/>
            </w:pPr>
            <w:r w:rsidRPr="007477B1">
              <w:t>Countr</w:t>
            </w:r>
            <w:r>
              <w:t>y</w:t>
            </w:r>
          </w:p>
        </w:tc>
        <w:tc>
          <w:tcPr>
            <w:tcW w:w="4404" w:type="pct"/>
          </w:tcPr>
          <w:p w:rsidR="009F7318" w:rsidRPr="007477B1" w:rsidRDefault="009F7318" w:rsidP="00FF2F3D">
            <w:pPr>
              <w:pStyle w:val="TableHeading"/>
            </w:pPr>
            <w:r>
              <w:t>What was the extent of alignment with government planning and budget systems by Australia and the main donors?</w:t>
            </w:r>
          </w:p>
        </w:tc>
      </w:tr>
      <w:tr w:rsidR="009F7318" w:rsidRPr="007477B1" w:rsidTr="00FF2F3D">
        <w:tc>
          <w:tcPr>
            <w:tcW w:w="596" w:type="pct"/>
          </w:tcPr>
          <w:p w:rsidR="009F7318" w:rsidRPr="007477B1" w:rsidRDefault="009F7318" w:rsidP="00FF2F3D">
            <w:pPr>
              <w:pStyle w:val="TableText"/>
            </w:pPr>
            <w:r w:rsidRPr="007477B1">
              <w:t>Bangladesh</w:t>
            </w:r>
          </w:p>
        </w:tc>
        <w:tc>
          <w:tcPr>
            <w:tcW w:w="4404" w:type="pct"/>
          </w:tcPr>
          <w:p w:rsidR="009F7318" w:rsidRPr="007477B1" w:rsidRDefault="009F7318" w:rsidP="00FF2F3D">
            <w:pPr>
              <w:pStyle w:val="TableText"/>
            </w:pPr>
            <w:r>
              <w:t xml:space="preserve">The alignment with the government plans and budget is very high among the health </w:t>
            </w:r>
            <w:proofErr w:type="spellStart"/>
            <w:r>
              <w:t>SWAp</w:t>
            </w:r>
            <w:proofErr w:type="spellEnd"/>
            <w:r>
              <w:t xml:space="preserve"> donors and particularly among the pooled funders. At the same time annual reviews have drawn attention to the risk of parallel activity by certain </w:t>
            </w:r>
            <w:proofErr w:type="gramStart"/>
            <w:r>
              <w:t>donors that is</w:t>
            </w:r>
            <w:proofErr w:type="gramEnd"/>
            <w:r>
              <w:t xml:space="preserve"> not necessary aligned with government policy.</w:t>
            </w:r>
          </w:p>
        </w:tc>
      </w:tr>
      <w:tr w:rsidR="009F7318" w:rsidRPr="007477B1" w:rsidTr="00FF2F3D">
        <w:tc>
          <w:tcPr>
            <w:tcW w:w="596" w:type="pct"/>
          </w:tcPr>
          <w:p w:rsidR="009F7318" w:rsidRPr="007477B1" w:rsidRDefault="009F7318" w:rsidP="00FF2F3D">
            <w:pPr>
              <w:pStyle w:val="TableText"/>
            </w:pPr>
            <w:r w:rsidRPr="007477B1">
              <w:t>Cambodia</w:t>
            </w:r>
          </w:p>
        </w:tc>
        <w:tc>
          <w:tcPr>
            <w:tcW w:w="4404" w:type="pct"/>
          </w:tcPr>
          <w:p w:rsidR="009F7318" w:rsidRPr="007477B1" w:rsidRDefault="009F7318" w:rsidP="00FF2F3D">
            <w:pPr>
              <w:pStyle w:val="TableText"/>
            </w:pPr>
            <w:r>
              <w:t>Alignment of the Australian aid program and that provided by other health donors to the government plan has improved but is considered insufficient in the MTR 2011</w:t>
            </w:r>
            <w:r w:rsidR="006B11B8">
              <w:t>.</w:t>
            </w:r>
            <w:r>
              <w:rPr>
                <w:rStyle w:val="FootnoteReference"/>
              </w:rPr>
              <w:footnoteReference w:id="144"/>
            </w:r>
            <w:r>
              <w:t xml:space="preserve"> </w:t>
            </w:r>
            <w:proofErr w:type="spellStart"/>
            <w:r>
              <w:t>Vaillancourt</w:t>
            </w:r>
            <w:proofErr w:type="spellEnd"/>
            <w:r>
              <w:rPr>
                <w:rStyle w:val="FootnoteReference"/>
              </w:rPr>
              <w:footnoteReference w:id="145"/>
            </w:r>
            <w:r>
              <w:t xml:space="preserve"> reports that i</w:t>
            </w:r>
            <w:r w:rsidRPr="00AE79FC">
              <w:t xml:space="preserve">t is unlikely that sector resources and expenditures will be effectively aligned with national priorities in the absence of (a) the full costs of a medium-term implementation plan; (2) medium-term projections of all sector resources; and (3) a reconciliation of the two. Other factors that impede the efficient allocation and use of sector resources at all levels of </w:t>
            </w:r>
            <w:proofErr w:type="spellStart"/>
            <w:r w:rsidRPr="00AE79FC">
              <w:t>MoH</w:t>
            </w:r>
            <w:proofErr w:type="spellEnd"/>
            <w:r w:rsidRPr="00AE79FC">
              <w:t xml:space="preserve"> include the excessive earmarking of development partner funds and the proliferation of various pilot initiatives with no process for sector-wide evaluation or evidence-based</w:t>
            </w:r>
            <w:r w:rsidR="005F0AC3">
              <w:t xml:space="preserve"> </w:t>
            </w:r>
            <w:r w:rsidRPr="00AE79FC">
              <w:t>decision-making.</w:t>
            </w:r>
          </w:p>
        </w:tc>
      </w:tr>
      <w:tr w:rsidR="009F7318" w:rsidRPr="007477B1" w:rsidTr="00FF2F3D">
        <w:tc>
          <w:tcPr>
            <w:tcW w:w="596" w:type="pct"/>
          </w:tcPr>
          <w:p w:rsidR="009F7318" w:rsidRPr="007477B1" w:rsidRDefault="009F7318" w:rsidP="00FF2F3D">
            <w:pPr>
              <w:pStyle w:val="TableText"/>
            </w:pPr>
            <w:r w:rsidRPr="007477B1">
              <w:t>Nepal</w:t>
            </w:r>
          </w:p>
        </w:tc>
        <w:tc>
          <w:tcPr>
            <w:tcW w:w="4404" w:type="pct"/>
          </w:tcPr>
          <w:p w:rsidR="009F7318" w:rsidRDefault="009F7318" w:rsidP="00FF2F3D">
            <w:pPr>
              <w:pStyle w:val="TableText"/>
            </w:pPr>
            <w:r w:rsidRPr="00B3319D">
              <w:t xml:space="preserve">Alignment of </w:t>
            </w:r>
            <w:r>
              <w:t>the Australian aid program</w:t>
            </w:r>
            <w:r w:rsidRPr="00B3319D">
              <w:t xml:space="preserve"> and that provided by other health donors </w:t>
            </w:r>
            <w:r>
              <w:t xml:space="preserve">who are signatories of the </w:t>
            </w:r>
            <w:r w:rsidR="00521D10">
              <w:t>joint financial agreement (</w:t>
            </w:r>
            <w:r>
              <w:t>JFA</w:t>
            </w:r>
            <w:r w:rsidR="00521D10">
              <w:t>)</w:t>
            </w:r>
            <w:r>
              <w:t xml:space="preserve"> is reported as very high. </w:t>
            </w:r>
            <w:r w:rsidRPr="00B3319D">
              <w:t>The JFA was signed in 2010 b</w:t>
            </w:r>
            <w:r>
              <w:t xml:space="preserve">etween the </w:t>
            </w:r>
            <w:proofErr w:type="spellStart"/>
            <w:r>
              <w:t>GoN</w:t>
            </w:r>
            <w:proofErr w:type="spellEnd"/>
            <w:r w:rsidRPr="00B3319D">
              <w:t xml:space="preserve"> and the pool funding donors, although some non-pooling donors have also signed to the JFA. Non-pooling donors such as </w:t>
            </w:r>
            <w:r w:rsidRPr="00933448">
              <w:rPr>
                <w:bCs/>
                <w:lang w:val="en"/>
              </w:rPr>
              <w:t>United States Agency for International Development</w:t>
            </w:r>
            <w:r w:rsidRPr="00B3319D">
              <w:t xml:space="preserve">, UNFPA, UNICEF and WHO are also signatories to the JFA and work through the </w:t>
            </w:r>
            <w:proofErr w:type="spellStart"/>
            <w:r w:rsidRPr="00B3319D">
              <w:t>SWAp</w:t>
            </w:r>
            <w:proofErr w:type="spellEnd"/>
            <w:r w:rsidRPr="00B3319D">
              <w:t xml:space="preserve"> by channelling funds outside of the pooling arrangement. </w:t>
            </w:r>
          </w:p>
          <w:p w:rsidR="009F7318" w:rsidRPr="00B3319D" w:rsidRDefault="009F7318" w:rsidP="00FF2F3D">
            <w:pPr>
              <w:pStyle w:val="TableText"/>
            </w:pPr>
            <w:r w:rsidRPr="00B3319D">
              <w:t>India and China are also important actors investing in Nepal’s health sector</w:t>
            </w:r>
            <w:r>
              <w:t xml:space="preserve">. </w:t>
            </w:r>
            <w:r w:rsidRPr="00B3319D">
              <w:t xml:space="preserve">Their contributions are especially on infrastructure and targeted projects outside of the Health </w:t>
            </w:r>
            <w:proofErr w:type="spellStart"/>
            <w:r w:rsidRPr="00B3319D">
              <w:t>SWAp</w:t>
            </w:r>
            <w:proofErr w:type="spellEnd"/>
            <w:r w:rsidRPr="00B3319D">
              <w:t xml:space="preserve">. </w:t>
            </w:r>
          </w:p>
          <w:p w:rsidR="009F7318" w:rsidRPr="007477B1" w:rsidRDefault="009F7318" w:rsidP="00FF2F3D">
            <w:pPr>
              <w:pStyle w:val="TableText"/>
            </w:pPr>
            <w:r w:rsidRPr="00B3319D">
              <w:t>In its effort to streamline the program, AusAID Nepal is gradually closing all its parallel health projects outside of the pool, which were set up to complement implementation of the sector program.</w:t>
            </w:r>
          </w:p>
        </w:tc>
      </w:tr>
      <w:tr w:rsidR="008E7949" w:rsidRPr="007477B1" w:rsidTr="00FF2F3D">
        <w:tc>
          <w:tcPr>
            <w:tcW w:w="596" w:type="pct"/>
          </w:tcPr>
          <w:p w:rsidR="008E7949" w:rsidRPr="007477B1" w:rsidRDefault="008E7949" w:rsidP="0097056D">
            <w:pPr>
              <w:pStyle w:val="TableText"/>
            </w:pPr>
            <w:r w:rsidRPr="007477B1">
              <w:t>P</w:t>
            </w:r>
            <w:r>
              <w:t>apua New Guinea</w:t>
            </w:r>
          </w:p>
        </w:tc>
        <w:tc>
          <w:tcPr>
            <w:tcW w:w="4404" w:type="pct"/>
          </w:tcPr>
          <w:p w:rsidR="008E7949" w:rsidRDefault="008E7949" w:rsidP="0054221D">
            <w:pPr>
              <w:pStyle w:val="TableText"/>
            </w:pPr>
            <w:r>
              <w:t>In Papua New Guinea</w:t>
            </w:r>
            <w:r w:rsidRPr="00602E6B">
              <w:t xml:space="preserve"> 80% of all development assistance comes from one single partner, Australia, and contrary to what might be expected, this aid has so far been supplie</w:t>
            </w:r>
            <w:r>
              <w:t>d in a rather fragmented manner</w:t>
            </w:r>
            <w:r w:rsidRPr="00602E6B">
              <w:t>.</w:t>
            </w:r>
            <w:r>
              <w:rPr>
                <w:rStyle w:val="FootnoteReference"/>
              </w:rPr>
              <w:footnoteReference w:id="146"/>
            </w:r>
            <w:r w:rsidRPr="00602E6B">
              <w:t xml:space="preserve"> </w:t>
            </w:r>
          </w:p>
          <w:p w:rsidR="008E7949" w:rsidRPr="007477B1" w:rsidRDefault="008E7949" w:rsidP="00FA2EB0">
            <w:pPr>
              <w:pStyle w:val="TableText"/>
            </w:pPr>
            <w:r w:rsidRPr="00405ED6">
              <w:t>Health sector financing and planning has been facing numerous challenges over the last decade:</w:t>
            </w:r>
            <w:r>
              <w:t xml:space="preserve"> </w:t>
            </w:r>
            <w:r w:rsidRPr="00405ED6">
              <w:t>donor funds managed outside the government systems through parallel structures and not fully coo</w:t>
            </w:r>
            <w:r>
              <w:t xml:space="preserve">rdinated with the national plan; </w:t>
            </w:r>
            <w:r w:rsidRPr="00405ED6">
              <w:t>provincial and local plans not necessa</w:t>
            </w:r>
            <w:r>
              <w:t xml:space="preserve">rily reflecting national policy; </w:t>
            </w:r>
            <w:r w:rsidRPr="00405ED6">
              <w:t>required resources not reaching hea</w:t>
            </w:r>
            <w:r>
              <w:t>lth service delivery facilities.</w:t>
            </w:r>
            <w:r>
              <w:rPr>
                <w:rStyle w:val="FootnoteReference"/>
              </w:rPr>
              <w:footnoteReference w:id="147"/>
            </w:r>
            <w:r w:rsidR="00FA2EB0">
              <w:t xml:space="preserve"> The situation described dates from 2010 – Australia’s current health program</w:t>
            </w:r>
            <w:r w:rsidR="00151883">
              <w:t xml:space="preserve"> seems to be far more targeted </w:t>
            </w:r>
            <w:r w:rsidR="00FA2EB0">
              <w:t>according to DFAT sources.</w:t>
            </w:r>
          </w:p>
        </w:tc>
      </w:tr>
      <w:tr w:rsidR="008E7949" w:rsidRPr="007477B1" w:rsidTr="00FF2F3D">
        <w:trPr>
          <w:trHeight w:val="471"/>
        </w:trPr>
        <w:tc>
          <w:tcPr>
            <w:tcW w:w="596" w:type="pct"/>
          </w:tcPr>
          <w:p w:rsidR="008E7949" w:rsidRPr="007477B1" w:rsidRDefault="008E7949" w:rsidP="00FF2F3D">
            <w:pPr>
              <w:pStyle w:val="TableText"/>
            </w:pPr>
            <w:r w:rsidRPr="007477B1">
              <w:t>Samoa</w:t>
            </w:r>
          </w:p>
        </w:tc>
        <w:tc>
          <w:tcPr>
            <w:tcW w:w="4404" w:type="pct"/>
          </w:tcPr>
          <w:p w:rsidR="008E7949" w:rsidRPr="007477B1" w:rsidRDefault="008E7949" w:rsidP="00FF2F3D">
            <w:pPr>
              <w:pStyle w:val="TableText"/>
            </w:pPr>
            <w:r>
              <w:t>Alignment with sector policy is quite high but external aid has been quite fragmented and has failed to adopt a whole of sector view. There is limited prioritisation within the plan which makes alignment of external resources problematic.</w:t>
            </w:r>
          </w:p>
        </w:tc>
      </w:tr>
      <w:tr w:rsidR="008E7949" w:rsidRPr="007477B1" w:rsidTr="00FF2F3D">
        <w:tc>
          <w:tcPr>
            <w:tcW w:w="596" w:type="pct"/>
          </w:tcPr>
          <w:p w:rsidR="008E7949" w:rsidRPr="007477B1" w:rsidRDefault="008E7949" w:rsidP="00FF2F3D">
            <w:pPr>
              <w:pStyle w:val="TableText"/>
            </w:pPr>
            <w:r w:rsidRPr="007477B1">
              <w:t>Solomon Islands</w:t>
            </w:r>
          </w:p>
        </w:tc>
        <w:tc>
          <w:tcPr>
            <w:tcW w:w="4404" w:type="pct"/>
          </w:tcPr>
          <w:p w:rsidR="008E7949" w:rsidRPr="00126D6B" w:rsidRDefault="008E7949" w:rsidP="00FF2F3D">
            <w:pPr>
              <w:pStyle w:val="TableText"/>
            </w:pPr>
            <w:r w:rsidRPr="00126D6B">
              <w:t>Little evidence of efforts to coordinate to support joint</w:t>
            </w:r>
            <w:r>
              <w:t xml:space="preserve"> </w:t>
            </w:r>
            <w:r w:rsidRPr="00126D6B">
              <w:t>approaches, reduce duplication and simplify procedures.</w:t>
            </w:r>
          </w:p>
          <w:p w:rsidR="008E7949" w:rsidRPr="007477B1" w:rsidRDefault="008E7949" w:rsidP="00FF2F3D">
            <w:pPr>
              <w:pStyle w:val="TableText"/>
            </w:pPr>
            <w:r w:rsidRPr="00126D6B">
              <w:t>Numerous uncoordinated regional health mechanisms are a</w:t>
            </w:r>
            <w:r>
              <w:t xml:space="preserve"> </w:t>
            </w:r>
            <w:r w:rsidRPr="00126D6B">
              <w:t>substantial drain on senior MHMS staff time.</w:t>
            </w:r>
            <w:r>
              <w:t xml:space="preserve"> </w:t>
            </w:r>
            <w:r w:rsidRPr="00624469">
              <w:t>There has been limited progress on harmonization of donor activities.</w:t>
            </w:r>
            <w:r>
              <w:rPr>
                <w:rStyle w:val="FootnoteReference"/>
              </w:rPr>
              <w:footnoteReference w:id="148"/>
            </w:r>
          </w:p>
        </w:tc>
      </w:tr>
    </w:tbl>
    <w:p w:rsidR="009F7318" w:rsidRDefault="009F7318" w:rsidP="009F7318">
      <w:pPr>
        <w:pStyle w:val="TableName"/>
      </w:pPr>
    </w:p>
    <w:p w:rsidR="009F7318" w:rsidRDefault="009F7318" w:rsidP="009F7318">
      <w:pPr>
        <w:pStyle w:val="TableName"/>
      </w:pPr>
    </w:p>
    <w:p w:rsidR="009F7318" w:rsidRDefault="009F7318" w:rsidP="009F7318">
      <w:pPr>
        <w:pStyle w:val="TableName"/>
      </w:pPr>
    </w:p>
    <w:p w:rsidR="009F7318" w:rsidRDefault="009F7318" w:rsidP="009F7318">
      <w:pPr>
        <w:pStyle w:val="TableName"/>
      </w:pPr>
    </w:p>
    <w:p w:rsidR="009F7318" w:rsidRDefault="009F7318" w:rsidP="009F7318">
      <w:pPr>
        <w:pStyle w:val="TableName"/>
        <w:ind w:left="0" w:firstLine="0"/>
      </w:pPr>
    </w:p>
    <w:p w:rsidR="009F7318" w:rsidRDefault="009F7318" w:rsidP="009F7318">
      <w:pPr>
        <w:pStyle w:val="TableName"/>
      </w:pPr>
      <w:bookmarkStart w:id="64" w:name="_Toc402192212"/>
      <w:r>
        <w:t>Table A11</w:t>
      </w:r>
      <w:r>
        <w:tab/>
        <w:t xml:space="preserve">Alignment of external financing with the priorities of the plan and </w:t>
      </w:r>
      <w:r w:rsidR="008D14EF">
        <w:t>MTEF</w:t>
      </w:r>
      <w:bookmarkEnd w:id="64"/>
    </w:p>
    <w:tbl>
      <w:tblPr>
        <w:tblStyle w:val="TableGrid"/>
        <w:tblW w:w="5000" w:type="pct"/>
        <w:tblLook w:val="04A0" w:firstRow="1" w:lastRow="0" w:firstColumn="1" w:lastColumn="0" w:noHBand="0" w:noVBand="1"/>
      </w:tblPr>
      <w:tblGrid>
        <w:gridCol w:w="1065"/>
        <w:gridCol w:w="8177"/>
      </w:tblGrid>
      <w:tr w:rsidR="009F7318" w:rsidRPr="007477B1" w:rsidTr="00A85465">
        <w:trPr>
          <w:cnfStyle w:val="100000000000" w:firstRow="1" w:lastRow="0" w:firstColumn="0" w:lastColumn="0" w:oddVBand="0" w:evenVBand="0" w:oddHBand="0" w:evenHBand="0" w:firstRowFirstColumn="0" w:firstRowLastColumn="0" w:lastRowFirstColumn="0" w:lastRowLastColumn="0"/>
          <w:trHeight w:val="648"/>
        </w:trPr>
        <w:tc>
          <w:tcPr>
            <w:tcW w:w="539" w:type="pct"/>
          </w:tcPr>
          <w:p w:rsidR="009F7318" w:rsidRPr="007477B1" w:rsidRDefault="009F7318" w:rsidP="00FF2F3D">
            <w:pPr>
              <w:pStyle w:val="TableHeading2"/>
            </w:pPr>
            <w:r w:rsidRPr="007477B1">
              <w:lastRenderedPageBreak/>
              <w:t>Countr</w:t>
            </w:r>
            <w:r>
              <w:t>y</w:t>
            </w:r>
          </w:p>
        </w:tc>
        <w:tc>
          <w:tcPr>
            <w:tcW w:w="4461" w:type="pct"/>
          </w:tcPr>
          <w:p w:rsidR="009F7318" w:rsidRPr="007477B1" w:rsidRDefault="009F7318" w:rsidP="008D14EF">
            <w:pPr>
              <w:pStyle w:val="TableHeading"/>
            </w:pPr>
            <w:r>
              <w:t xml:space="preserve">What was the extent of alignment of external financing with the priorities of the plan? Was a </w:t>
            </w:r>
            <w:r w:rsidR="00E52173" w:rsidRPr="00E52173">
              <w:t>medium term expenditure framework</w:t>
            </w:r>
            <w:r w:rsidR="00E52173" w:rsidRPr="00E52173" w:rsidDel="00E52173">
              <w:t xml:space="preserve"> </w:t>
            </w:r>
            <w:r w:rsidR="008D14EF">
              <w:t>(MTEF)</w:t>
            </w:r>
            <w:r w:rsidR="006B11B8">
              <w:t xml:space="preserve"> </w:t>
            </w:r>
            <w:r>
              <w:t>in place and was it used?</w:t>
            </w:r>
          </w:p>
        </w:tc>
      </w:tr>
      <w:tr w:rsidR="009F7318" w:rsidRPr="007477B1" w:rsidTr="00FF2F3D">
        <w:tc>
          <w:tcPr>
            <w:tcW w:w="539" w:type="pct"/>
          </w:tcPr>
          <w:p w:rsidR="009F7318" w:rsidRPr="007477B1" w:rsidRDefault="009F7318" w:rsidP="00FF2F3D">
            <w:pPr>
              <w:pStyle w:val="TableText"/>
            </w:pPr>
            <w:r w:rsidRPr="007477B1">
              <w:t>Bangladesh</w:t>
            </w:r>
          </w:p>
        </w:tc>
        <w:tc>
          <w:tcPr>
            <w:tcW w:w="4461" w:type="pct"/>
          </w:tcPr>
          <w:p w:rsidR="009F7318" w:rsidRPr="007477B1" w:rsidRDefault="009F7318" w:rsidP="00C62400">
            <w:pPr>
              <w:pStyle w:val="TableText"/>
            </w:pPr>
            <w:r>
              <w:t xml:space="preserve">The HPNSDP supports a number of operational plans that are co funded between the government and the pooled funders. In this sense the alignment is complete. There is an MTEF in place but it is not widely used as government investments outside the sector program are not fully known. There are National Health Accounts in place. </w:t>
            </w:r>
          </w:p>
        </w:tc>
      </w:tr>
      <w:tr w:rsidR="009F7318" w:rsidRPr="007477B1" w:rsidTr="00FF2F3D">
        <w:tc>
          <w:tcPr>
            <w:tcW w:w="539" w:type="pct"/>
          </w:tcPr>
          <w:p w:rsidR="009F7318" w:rsidRPr="007477B1" w:rsidRDefault="009F7318" w:rsidP="00FF2F3D">
            <w:pPr>
              <w:pStyle w:val="TableText"/>
            </w:pPr>
            <w:r w:rsidRPr="007477B1">
              <w:t>Cambodia</w:t>
            </w:r>
          </w:p>
        </w:tc>
        <w:tc>
          <w:tcPr>
            <w:tcW w:w="4461" w:type="pct"/>
          </w:tcPr>
          <w:p w:rsidR="009F7318" w:rsidRPr="007477B1" w:rsidRDefault="009F7318" w:rsidP="005C481D">
            <w:pPr>
              <w:pStyle w:val="TableText"/>
            </w:pPr>
            <w:r>
              <w:t>Alignment with the priorities of the plan is high but much more limited in terms of external financing. The MTR 2011</w:t>
            </w:r>
            <w:r>
              <w:rPr>
                <w:rStyle w:val="FootnoteReference"/>
              </w:rPr>
              <w:footnoteReference w:id="149"/>
            </w:r>
            <w:r>
              <w:t xml:space="preserve"> reports, for example, that more</w:t>
            </w:r>
            <w:r w:rsidRPr="0040452F">
              <w:t xml:space="preserve"> Health Partners’ funds have been channelled through government planning mechanisms like the </w:t>
            </w:r>
            <w:r w:rsidR="005C481D">
              <w:t>Annual Operation Plan</w:t>
            </w:r>
            <w:r w:rsidRPr="0040452F">
              <w:t>, and have even been pooled. However, many sources of external funding remain vertical and impose multiple funding and reporting requirements, thereby increasing the administrative burden.</w:t>
            </w:r>
          </w:p>
        </w:tc>
      </w:tr>
      <w:tr w:rsidR="009F7318" w:rsidRPr="007477B1" w:rsidTr="00FF2F3D">
        <w:tc>
          <w:tcPr>
            <w:tcW w:w="539" w:type="pct"/>
          </w:tcPr>
          <w:p w:rsidR="009F7318" w:rsidRPr="007477B1" w:rsidRDefault="009F7318" w:rsidP="00FF2F3D">
            <w:pPr>
              <w:pStyle w:val="TableText"/>
            </w:pPr>
            <w:r w:rsidRPr="007477B1">
              <w:t>Nepal</w:t>
            </w:r>
          </w:p>
        </w:tc>
        <w:tc>
          <w:tcPr>
            <w:tcW w:w="4461" w:type="pct"/>
          </w:tcPr>
          <w:p w:rsidR="009F7318" w:rsidRPr="007477B1" w:rsidRDefault="009F7318" w:rsidP="00FF2F3D">
            <w:pPr>
              <w:pStyle w:val="TableText"/>
            </w:pPr>
            <w:r>
              <w:t>There is an MTEF in place. Since the NHSP</w:t>
            </w:r>
            <w:r w:rsidR="009267B2">
              <w:t xml:space="preserve"> </w:t>
            </w:r>
            <w:r>
              <w:t xml:space="preserve">II includes a series of priorities and indicators for each of its main programmatic areas it can be considered that the funding provided by Australia and other donors through the pool fund is fully aligned with government priorities. </w:t>
            </w:r>
          </w:p>
        </w:tc>
      </w:tr>
      <w:tr w:rsidR="009F7318" w:rsidRPr="007477B1" w:rsidTr="00FF2F3D">
        <w:tc>
          <w:tcPr>
            <w:tcW w:w="539" w:type="pct"/>
          </w:tcPr>
          <w:p w:rsidR="009F7318" w:rsidRPr="007477B1" w:rsidRDefault="009F7318" w:rsidP="0097056D">
            <w:pPr>
              <w:pStyle w:val="TableText"/>
            </w:pPr>
            <w:r w:rsidRPr="007477B1">
              <w:t>P</w:t>
            </w:r>
            <w:r w:rsidR="00817A75">
              <w:t>apua New Guinea</w:t>
            </w:r>
          </w:p>
        </w:tc>
        <w:tc>
          <w:tcPr>
            <w:tcW w:w="4461" w:type="pct"/>
          </w:tcPr>
          <w:p w:rsidR="009F7318" w:rsidRPr="007477B1" w:rsidRDefault="008E7949" w:rsidP="00FF2F3D">
            <w:pPr>
              <w:pStyle w:val="TableText"/>
            </w:pPr>
            <w:r w:rsidRPr="00D4690D">
              <w:t>Despite stated intentions, HSIP did not move on from what has essentially been a parallel system supported by a separate project management unit. Most funds were project-specific and earmarked</w:t>
            </w:r>
            <w:r>
              <w:t xml:space="preserve">. </w:t>
            </w:r>
            <w:r w:rsidRPr="00D4690D">
              <w:t xml:space="preserve">So, not a </w:t>
            </w:r>
            <w:proofErr w:type="spellStart"/>
            <w:r w:rsidRPr="00D4690D">
              <w:t>SWAp</w:t>
            </w:r>
            <w:proofErr w:type="spellEnd"/>
            <w:r w:rsidRPr="00D4690D">
              <w:t xml:space="preserve"> as usually understood</w:t>
            </w:r>
            <w:r>
              <w:t>.</w:t>
            </w:r>
            <w:r>
              <w:rPr>
                <w:rStyle w:val="FootnoteReference"/>
              </w:rPr>
              <w:footnoteReference w:id="150"/>
            </w:r>
            <w:r w:rsidR="00FA2EB0">
              <w:t xml:space="preserve">  Please note that this information dates from 2010 and may not apply to the current context according to DFAT sources.</w:t>
            </w:r>
          </w:p>
        </w:tc>
      </w:tr>
      <w:tr w:rsidR="009F7318" w:rsidRPr="007477B1" w:rsidTr="00FF2F3D">
        <w:trPr>
          <w:trHeight w:val="1426"/>
        </w:trPr>
        <w:tc>
          <w:tcPr>
            <w:tcW w:w="539" w:type="pct"/>
          </w:tcPr>
          <w:p w:rsidR="009F7318" w:rsidRPr="007477B1" w:rsidRDefault="009F7318" w:rsidP="00FF2F3D">
            <w:pPr>
              <w:pStyle w:val="TableText"/>
            </w:pPr>
            <w:r w:rsidRPr="007477B1">
              <w:t>Samoa</w:t>
            </w:r>
          </w:p>
        </w:tc>
        <w:tc>
          <w:tcPr>
            <w:tcW w:w="4461" w:type="pct"/>
          </w:tcPr>
          <w:p w:rsidR="009F7318" w:rsidRPr="00D31D62" w:rsidRDefault="009F7318" w:rsidP="00FF2F3D">
            <w:pPr>
              <w:pStyle w:val="TableText"/>
              <w:rPr>
                <w:i/>
              </w:rPr>
            </w:pPr>
            <w:r w:rsidRPr="00D31D62">
              <w:rPr>
                <w:i/>
              </w:rPr>
              <w:t xml:space="preserve">From the outset DPs have encouraged the development of a </w:t>
            </w:r>
            <w:proofErr w:type="spellStart"/>
            <w:r w:rsidRPr="00D31D62">
              <w:rPr>
                <w:i/>
              </w:rPr>
              <w:t>PoW</w:t>
            </w:r>
            <w:proofErr w:type="spellEnd"/>
            <w:r w:rsidRPr="00D31D62">
              <w:rPr>
                <w:i/>
              </w:rPr>
              <w:t xml:space="preserve"> that includes activities and investments from other sources (including </w:t>
            </w:r>
            <w:proofErr w:type="spellStart"/>
            <w:r w:rsidRPr="00D31D62">
              <w:rPr>
                <w:i/>
              </w:rPr>
              <w:t>GoS</w:t>
            </w:r>
            <w:proofErr w:type="spellEnd"/>
            <w:r w:rsidRPr="00D31D62">
              <w:rPr>
                <w:i/>
              </w:rPr>
              <w:t xml:space="preserve"> revenues) in order to have a comprehensive overview of progr</w:t>
            </w:r>
            <w:r>
              <w:rPr>
                <w:i/>
              </w:rPr>
              <w:t>ess towards the HSP objectives.</w:t>
            </w:r>
            <w:r w:rsidRPr="00D31D62">
              <w:rPr>
                <w:i/>
              </w:rPr>
              <w:t xml:space="preserve">.. However, successive </w:t>
            </w:r>
            <w:proofErr w:type="spellStart"/>
            <w:r w:rsidRPr="00D31D62">
              <w:rPr>
                <w:i/>
              </w:rPr>
              <w:t>PoW</w:t>
            </w:r>
            <w:proofErr w:type="spellEnd"/>
            <w:r w:rsidRPr="00D31D62">
              <w:rPr>
                <w:i/>
              </w:rPr>
              <w:t xml:space="preserve"> </w:t>
            </w:r>
            <w:proofErr w:type="gramStart"/>
            <w:r w:rsidRPr="00D31D62">
              <w:rPr>
                <w:i/>
              </w:rPr>
              <w:t>have</w:t>
            </w:r>
            <w:proofErr w:type="gramEnd"/>
            <w:r w:rsidRPr="00D31D62">
              <w:rPr>
                <w:i/>
              </w:rPr>
              <w:t xml:space="preserve"> failed fully to adopt a whole-of-sector view, and have tended to focus more or less exclusively on </w:t>
            </w:r>
            <w:proofErr w:type="spellStart"/>
            <w:r w:rsidRPr="00D31D62">
              <w:rPr>
                <w:i/>
              </w:rPr>
              <w:t>SWAp</w:t>
            </w:r>
            <w:proofErr w:type="spellEnd"/>
            <w:r w:rsidRPr="00D31D62">
              <w:rPr>
                <w:i/>
              </w:rPr>
              <w:t xml:space="preserve"> funded initiatives.</w:t>
            </w:r>
            <w:r>
              <w:rPr>
                <w:rStyle w:val="FootnoteReference"/>
                <w:i/>
              </w:rPr>
              <w:footnoteReference w:id="151"/>
            </w:r>
          </w:p>
          <w:p w:rsidR="009F7318" w:rsidRPr="00D31D62" w:rsidRDefault="009F7318" w:rsidP="008D14EF">
            <w:pPr>
              <w:pStyle w:val="TableText"/>
            </w:pPr>
            <w:r>
              <w:t>Davies</w:t>
            </w:r>
            <w:r>
              <w:rPr>
                <w:rStyle w:val="FootnoteReference"/>
              </w:rPr>
              <w:footnoteReference w:id="152"/>
            </w:r>
            <w:r>
              <w:t xml:space="preserve"> points to </w:t>
            </w:r>
            <w:r w:rsidRPr="00D31D62">
              <w:t xml:space="preserve">inconsistent reporting among donors and </w:t>
            </w:r>
            <w:proofErr w:type="spellStart"/>
            <w:r w:rsidRPr="00D31D62">
              <w:t>GoS</w:t>
            </w:r>
            <w:proofErr w:type="spellEnd"/>
            <w:r w:rsidRPr="00D31D62">
              <w:t xml:space="preserve"> to assess </w:t>
            </w:r>
            <w:proofErr w:type="spellStart"/>
            <w:r w:rsidRPr="00D31D62">
              <w:t>SWAp</w:t>
            </w:r>
            <w:proofErr w:type="spellEnd"/>
            <w:r w:rsidRPr="00D31D62">
              <w:t xml:space="preserve"> and budget alignment with the </w:t>
            </w:r>
            <w:r w:rsidR="008D14EF">
              <w:t>MTEF</w:t>
            </w:r>
            <w:r>
              <w:t xml:space="preserve">. </w:t>
            </w:r>
            <w:r w:rsidRPr="00D31D62">
              <w:t xml:space="preserve">Expenditure was monitored and reported in the aide </w:t>
            </w:r>
            <w:r>
              <w:t>memoires</w:t>
            </w:r>
            <w:r w:rsidRPr="00D31D62">
              <w:t>.</w:t>
            </w:r>
          </w:p>
        </w:tc>
      </w:tr>
      <w:tr w:rsidR="009F7318" w:rsidRPr="007477B1" w:rsidTr="00FF2F3D">
        <w:tc>
          <w:tcPr>
            <w:tcW w:w="539" w:type="pct"/>
          </w:tcPr>
          <w:p w:rsidR="009F7318" w:rsidRPr="007477B1" w:rsidRDefault="009F7318" w:rsidP="00FF2F3D">
            <w:pPr>
              <w:pStyle w:val="TableText"/>
            </w:pPr>
            <w:r w:rsidRPr="007477B1">
              <w:t>Solomon Islands</w:t>
            </w:r>
          </w:p>
        </w:tc>
        <w:tc>
          <w:tcPr>
            <w:tcW w:w="4461" w:type="pct"/>
          </w:tcPr>
          <w:p w:rsidR="009F7318" w:rsidRPr="007477B1" w:rsidRDefault="009F7318" w:rsidP="00FF2F3D">
            <w:pPr>
              <w:pStyle w:val="TableText"/>
            </w:pPr>
            <w:r w:rsidRPr="00126D6B">
              <w:t>The Plan is linked to annual operational</w:t>
            </w:r>
            <w:r>
              <w:t xml:space="preserve"> </w:t>
            </w:r>
            <w:r w:rsidRPr="00126D6B">
              <w:t>plans for cost centres. All significant funding is aligned with the</w:t>
            </w:r>
            <w:r>
              <w:t xml:space="preserve"> </w:t>
            </w:r>
            <w:r w:rsidRPr="00126D6B">
              <w:t>National Plan but not to national systems.</w:t>
            </w:r>
            <w:r>
              <w:t xml:space="preserve"> </w:t>
            </w:r>
            <w:r w:rsidRPr="00417985">
              <w:t>The Plan is not costed but based on available resources. The MTEF sets a multi-year resource framework based on indicative resources, but indicates a mismatch between the policy priorities of NHSP and available resources to 2015</w:t>
            </w:r>
            <w:r>
              <w:t>.</w:t>
            </w:r>
            <w:r>
              <w:rPr>
                <w:rStyle w:val="FootnoteReference"/>
              </w:rPr>
              <w:footnoteReference w:id="153"/>
            </w:r>
          </w:p>
        </w:tc>
      </w:tr>
    </w:tbl>
    <w:p w:rsidR="009F7318" w:rsidRDefault="009F7318" w:rsidP="009F7318">
      <w:pPr>
        <w:pStyle w:val="TableName"/>
      </w:pPr>
    </w:p>
    <w:p w:rsidR="009F7318" w:rsidRDefault="009F7318" w:rsidP="009F7318">
      <w:pPr>
        <w:spacing w:before="0" w:after="0" w:line="240" w:lineRule="auto"/>
        <w:rPr>
          <w:b/>
          <w:bCs/>
          <w:sz w:val="22"/>
          <w:szCs w:val="21"/>
        </w:rPr>
      </w:pPr>
      <w:r>
        <w:br w:type="page"/>
      </w:r>
    </w:p>
    <w:p w:rsidR="009F7318" w:rsidRDefault="009F7318" w:rsidP="009F7318">
      <w:pPr>
        <w:pStyle w:val="Heading2a"/>
        <w:ind w:left="851" w:hanging="851"/>
      </w:pPr>
      <w:r>
        <w:lastRenderedPageBreak/>
        <w:t>A.3.5</w:t>
      </w:r>
      <w:r>
        <w:tab/>
      </w:r>
      <w:r>
        <w:tab/>
        <w:t>Financing</w:t>
      </w:r>
    </w:p>
    <w:p w:rsidR="009F7318" w:rsidRDefault="009F7318" w:rsidP="009F7318">
      <w:pPr>
        <w:pStyle w:val="TableName"/>
      </w:pPr>
    </w:p>
    <w:p w:rsidR="009F7318" w:rsidRDefault="009F7318" w:rsidP="009F7318">
      <w:pPr>
        <w:pStyle w:val="TableName"/>
      </w:pPr>
      <w:bookmarkStart w:id="65" w:name="_Toc402192213"/>
      <w:r>
        <w:t>Table A12</w:t>
      </w:r>
      <w:r>
        <w:tab/>
      </w:r>
      <w:r>
        <w:tab/>
        <w:t>Did health financing and/or expenditure become more predictable?</w:t>
      </w:r>
      <w:bookmarkEnd w:id="65"/>
    </w:p>
    <w:tbl>
      <w:tblPr>
        <w:tblStyle w:val="TableGrid"/>
        <w:tblW w:w="5000" w:type="pct"/>
        <w:tblLook w:val="04A0" w:firstRow="1" w:lastRow="0" w:firstColumn="1" w:lastColumn="0" w:noHBand="0" w:noVBand="1"/>
      </w:tblPr>
      <w:tblGrid>
        <w:gridCol w:w="1065"/>
        <w:gridCol w:w="8177"/>
      </w:tblGrid>
      <w:tr w:rsidR="009F7318" w:rsidRPr="007477B1" w:rsidTr="00EF1ED6">
        <w:trPr>
          <w:cnfStyle w:val="100000000000" w:firstRow="1" w:lastRow="0" w:firstColumn="0" w:lastColumn="0" w:oddVBand="0" w:evenVBand="0" w:oddHBand="0" w:evenHBand="0" w:firstRowFirstColumn="0" w:firstRowLastColumn="0" w:lastRowFirstColumn="0" w:lastRowLastColumn="0"/>
          <w:trHeight w:val="390"/>
        </w:trPr>
        <w:tc>
          <w:tcPr>
            <w:tcW w:w="539" w:type="pct"/>
          </w:tcPr>
          <w:p w:rsidR="009F7318" w:rsidRPr="007477B1" w:rsidRDefault="009F7318" w:rsidP="00FF2F3D">
            <w:pPr>
              <w:pStyle w:val="TableHeading2"/>
            </w:pPr>
            <w:r w:rsidRPr="007477B1">
              <w:t>Countr</w:t>
            </w:r>
            <w:r>
              <w:t>y</w:t>
            </w:r>
          </w:p>
        </w:tc>
        <w:tc>
          <w:tcPr>
            <w:tcW w:w="4461" w:type="pct"/>
          </w:tcPr>
          <w:p w:rsidR="009F7318" w:rsidRPr="007477B1" w:rsidRDefault="009F7318" w:rsidP="00FF2F3D">
            <w:pPr>
              <w:pStyle w:val="TableHeading"/>
            </w:pPr>
            <w:r>
              <w:t>Did health financing and/or expenditure become more predictable?</w:t>
            </w:r>
          </w:p>
        </w:tc>
      </w:tr>
      <w:tr w:rsidR="009F7318" w:rsidRPr="007477B1" w:rsidTr="00FF2F3D">
        <w:tc>
          <w:tcPr>
            <w:tcW w:w="539" w:type="pct"/>
          </w:tcPr>
          <w:p w:rsidR="009F7318" w:rsidRPr="007477B1" w:rsidRDefault="009F7318" w:rsidP="00FF2F3D">
            <w:pPr>
              <w:pStyle w:val="TableText"/>
            </w:pPr>
            <w:r w:rsidRPr="007477B1">
              <w:t>Bangladesh</w:t>
            </w:r>
          </w:p>
        </w:tc>
        <w:tc>
          <w:tcPr>
            <w:tcW w:w="4461" w:type="pct"/>
          </w:tcPr>
          <w:p w:rsidR="009F7318" w:rsidRPr="007477B1" w:rsidRDefault="009F7318" w:rsidP="00376F19">
            <w:pPr>
              <w:pStyle w:val="TableText"/>
            </w:pPr>
            <w:r w:rsidRPr="00D04E24">
              <w:t>The</w:t>
            </w:r>
            <w:r>
              <w:t xml:space="preserve"> </w:t>
            </w:r>
            <w:proofErr w:type="spellStart"/>
            <w:r w:rsidRPr="00D04E24">
              <w:t>MoHFW</w:t>
            </w:r>
            <w:proofErr w:type="spellEnd"/>
            <w:r w:rsidRPr="00D04E24">
              <w:t xml:space="preserve"> has </w:t>
            </w:r>
            <w:r>
              <w:t>prepared and approved</w:t>
            </w:r>
            <w:r w:rsidRPr="00D04E24">
              <w:t xml:space="preserve"> a health</w:t>
            </w:r>
            <w:r>
              <w:t xml:space="preserve"> </w:t>
            </w:r>
            <w:r w:rsidRPr="00D04E24">
              <w:t>financing strategy that aims to increase financial resource to the sector as well as increasing</w:t>
            </w:r>
            <w:r>
              <w:t xml:space="preserve"> </w:t>
            </w:r>
            <w:r w:rsidRPr="00D04E24">
              <w:t>equity and improving efficiency in the use of resources.</w:t>
            </w:r>
            <w:r>
              <w:t xml:space="preserve"> Health expenditure and its sources have become more predictable. </w:t>
            </w:r>
            <w:r w:rsidR="00DF1DD1">
              <w:t>In Financial Year</w:t>
            </w:r>
            <w:r w:rsidRPr="00D04E24">
              <w:t xml:space="preserve"> 2012/13, pool funds and </w:t>
            </w:r>
            <w:r w:rsidRPr="00032FC2">
              <w:rPr>
                <w:bCs/>
                <w:lang w:val="en"/>
              </w:rPr>
              <w:t>Japan International Cooperation Agency</w:t>
            </w:r>
            <w:r w:rsidRPr="00D04E24">
              <w:t xml:space="preserve"> loan accounted for 82% of </w:t>
            </w:r>
            <w:r>
              <w:t xml:space="preserve">External </w:t>
            </w:r>
            <w:r w:rsidRPr="00D04E24">
              <w:t>Aid spending reported by Line Directors. The</w:t>
            </w:r>
            <w:r>
              <w:t xml:space="preserve"> </w:t>
            </w:r>
            <w:r w:rsidRPr="00D04E24">
              <w:t>remaining 18% of DP funding was provided for HPNSDP through parallel funds.</w:t>
            </w:r>
            <w:r>
              <w:t xml:space="preserve"> </w:t>
            </w:r>
            <w:r w:rsidRPr="00D04E24">
              <w:t>The</w:t>
            </w:r>
            <w:r>
              <w:t xml:space="preserve"> </w:t>
            </w:r>
            <w:r w:rsidRPr="00D04E24">
              <w:t>majority of DP funding is therefore on plan and on budget.</w:t>
            </w:r>
            <w:r>
              <w:rPr>
                <w:rStyle w:val="FootnoteReference"/>
              </w:rPr>
              <w:footnoteReference w:id="154"/>
            </w:r>
          </w:p>
        </w:tc>
      </w:tr>
      <w:tr w:rsidR="009F7318" w:rsidRPr="007477B1" w:rsidTr="00FF2F3D">
        <w:tc>
          <w:tcPr>
            <w:tcW w:w="539" w:type="pct"/>
          </w:tcPr>
          <w:p w:rsidR="009F7318" w:rsidRPr="007477B1" w:rsidRDefault="009F7318" w:rsidP="00FF2F3D">
            <w:pPr>
              <w:pStyle w:val="TableText"/>
            </w:pPr>
            <w:r w:rsidRPr="007477B1">
              <w:t>Cambodia</w:t>
            </w:r>
          </w:p>
        </w:tc>
        <w:tc>
          <w:tcPr>
            <w:tcW w:w="4461" w:type="pct"/>
          </w:tcPr>
          <w:p w:rsidR="009F7318" w:rsidRDefault="009F7318" w:rsidP="00FF2F3D">
            <w:pPr>
              <w:pStyle w:val="TableText"/>
            </w:pPr>
            <w:r>
              <w:t>Health expenditure has become more predictable than it was but predictability could improve considerably through more effective, efficient and transparent processes for budgeting and for expenditure tracking and reporting. For example, g</w:t>
            </w:r>
            <w:r w:rsidRPr="0040452F">
              <w:t>overnment spending on health has increased in recent years, keeping a relatively high (12%) level within total public expenditure. The impact of this increase on results remains unclear as monitoring efficiency of public spending is conditioned by the limited capacity of tracking policy objectives, activities and funds</w:t>
            </w:r>
            <w:r>
              <w:t>.</w:t>
            </w:r>
          </w:p>
          <w:p w:rsidR="009F7318" w:rsidRPr="007477B1" w:rsidRDefault="009F7318" w:rsidP="00FF2F3D">
            <w:pPr>
              <w:pStyle w:val="TableText"/>
            </w:pPr>
            <w:r w:rsidRPr="0040452F">
              <w:t xml:space="preserve">Coverage by demand-side social health protection mechanisms has increased considerably </w:t>
            </w:r>
            <w:r>
              <w:t>which has also enhanced predictability of funding.</w:t>
            </w:r>
            <w:r>
              <w:rPr>
                <w:rStyle w:val="FootnoteReference"/>
              </w:rPr>
              <w:footnoteReference w:id="155"/>
            </w:r>
          </w:p>
        </w:tc>
      </w:tr>
      <w:tr w:rsidR="009F7318" w:rsidRPr="007477B1" w:rsidTr="00FF2F3D">
        <w:tc>
          <w:tcPr>
            <w:tcW w:w="539" w:type="pct"/>
          </w:tcPr>
          <w:p w:rsidR="009F7318" w:rsidRPr="007477B1" w:rsidRDefault="009F7318" w:rsidP="00FF2F3D">
            <w:pPr>
              <w:pStyle w:val="TableText"/>
            </w:pPr>
            <w:r w:rsidRPr="007477B1">
              <w:t>Nepal</w:t>
            </w:r>
          </w:p>
        </w:tc>
        <w:tc>
          <w:tcPr>
            <w:tcW w:w="4461" w:type="pct"/>
          </w:tcPr>
          <w:p w:rsidR="009F7318" w:rsidRDefault="009F7318" w:rsidP="00FF2F3D">
            <w:pPr>
              <w:pStyle w:val="TableText"/>
            </w:pPr>
            <w:r>
              <w:t>Health expenditure has remained quite predictable, which some analysts from the MTR attribute to the existence of an MTR, the availability of National Health Accounts, the availability of the pool fund and improved monitoring or expenditure and financing by the government.</w:t>
            </w:r>
            <w:r>
              <w:rPr>
                <w:rStyle w:val="FootnoteReference"/>
              </w:rPr>
              <w:footnoteReference w:id="156"/>
            </w:r>
          </w:p>
          <w:p w:rsidR="009F7318" w:rsidRPr="00EE3752" w:rsidRDefault="009F7318" w:rsidP="00FF2F3D">
            <w:pPr>
              <w:pStyle w:val="TableText"/>
              <w:rPr>
                <w:highlight w:val="yellow"/>
              </w:rPr>
            </w:pPr>
            <w:r w:rsidRPr="001E7192">
              <w:t xml:space="preserve">The recently released tentative budget ceiling for </w:t>
            </w:r>
            <w:proofErr w:type="spellStart"/>
            <w:r w:rsidRPr="001E7192">
              <w:t>MoHP</w:t>
            </w:r>
            <w:proofErr w:type="spellEnd"/>
            <w:r w:rsidRPr="001E7192">
              <w:t xml:space="preserve"> by the National Planning Commission for </w:t>
            </w:r>
            <w:r w:rsidR="00DF1DD1">
              <w:t xml:space="preserve">the next three fiscal years (Financial Year </w:t>
            </w:r>
            <w:r w:rsidRPr="001E7192">
              <w:t>2013/14 to 2015/16) also indicate an increasing trend in the share and volume of Government allocation and a decreasing share of EDPs funding to the sector</w:t>
            </w:r>
            <w:r>
              <w:t xml:space="preserve">. </w:t>
            </w:r>
            <w:r w:rsidRPr="001E7192">
              <w:t>While such a trend is positive and reflects Government’s commitment and ownership of the program, it will take a decade or two before financial sustainability can be achieved</w:t>
            </w:r>
            <w:r>
              <w:t xml:space="preserve">. </w:t>
            </w:r>
            <w:r w:rsidRPr="001E7192">
              <w:t>With other emerging needs (already discussed), the sector will be in constant pressure to mobilise more resources.</w:t>
            </w:r>
          </w:p>
        </w:tc>
      </w:tr>
      <w:tr w:rsidR="009F7318" w:rsidRPr="007477B1" w:rsidTr="00FF2F3D">
        <w:tc>
          <w:tcPr>
            <w:tcW w:w="539" w:type="pct"/>
          </w:tcPr>
          <w:p w:rsidR="009F7318" w:rsidRPr="007477B1" w:rsidRDefault="009F7318" w:rsidP="0097056D">
            <w:pPr>
              <w:pStyle w:val="TableText"/>
            </w:pPr>
            <w:r w:rsidRPr="007477B1">
              <w:t>P</w:t>
            </w:r>
            <w:r w:rsidR="00817A75">
              <w:t>apua New Guinea</w:t>
            </w:r>
          </w:p>
        </w:tc>
        <w:tc>
          <w:tcPr>
            <w:tcW w:w="4461" w:type="pct"/>
          </w:tcPr>
          <w:p w:rsidR="009F7318" w:rsidRPr="007477B1" w:rsidRDefault="009F7318" w:rsidP="00FF2F3D">
            <w:pPr>
              <w:pStyle w:val="TableText"/>
            </w:pPr>
            <w:r>
              <w:t>Through the HSIP</w:t>
            </w:r>
            <w:r w:rsidRPr="004C3393">
              <w:t xml:space="preserve"> pooled fund, Australia and other donor support accounted for approximately 36% of all provincial recurrent health spending in 2009</w:t>
            </w:r>
            <w:r>
              <w:t>. While the pooled fund somewhat improved predictability of funding it did not do so to the extent required, in part due to the rigid nature of the HSIP trust fund arrangements.</w:t>
            </w:r>
          </w:p>
        </w:tc>
      </w:tr>
      <w:tr w:rsidR="009F7318" w:rsidRPr="007477B1" w:rsidTr="00FF2F3D">
        <w:trPr>
          <w:trHeight w:val="1986"/>
        </w:trPr>
        <w:tc>
          <w:tcPr>
            <w:tcW w:w="539" w:type="pct"/>
          </w:tcPr>
          <w:p w:rsidR="009F7318" w:rsidRPr="007477B1" w:rsidRDefault="009F7318" w:rsidP="00FF2F3D">
            <w:pPr>
              <w:pStyle w:val="TableText"/>
            </w:pPr>
            <w:r w:rsidRPr="007477B1">
              <w:t>Samoa</w:t>
            </w:r>
          </w:p>
        </w:tc>
        <w:tc>
          <w:tcPr>
            <w:tcW w:w="4461" w:type="pct"/>
          </w:tcPr>
          <w:p w:rsidR="009F7318" w:rsidRPr="00FC7F43" w:rsidRDefault="009F7318" w:rsidP="00FF2F3D">
            <w:pPr>
              <w:pStyle w:val="TableText"/>
            </w:pPr>
            <w:r w:rsidRPr="00FC7F43">
              <w:t>The picture on health expenditure is mixed and hard to interpret, as follows:</w:t>
            </w:r>
          </w:p>
          <w:p w:rsidR="009F7318" w:rsidRPr="00FC7F43" w:rsidRDefault="009F7318" w:rsidP="00FF2F3D">
            <w:pPr>
              <w:pStyle w:val="TableText"/>
              <w:ind w:left="410" w:hanging="410"/>
            </w:pPr>
            <w:r w:rsidRPr="00FC7F43">
              <w:t>•</w:t>
            </w:r>
            <w:r w:rsidRPr="00FC7F43">
              <w:tab/>
              <w:t xml:space="preserve">The </w:t>
            </w:r>
            <w:proofErr w:type="spellStart"/>
            <w:r w:rsidRPr="00FC7F43">
              <w:t>GoS</w:t>
            </w:r>
            <w:proofErr w:type="spellEnd"/>
            <w:r w:rsidRPr="00FC7F43">
              <w:t xml:space="preserve"> health spending remained more or less constant during the period at about </w:t>
            </w:r>
            <w:r>
              <w:t xml:space="preserve">Samoan </w:t>
            </w:r>
            <w:proofErr w:type="spellStart"/>
            <w:r>
              <w:t>Tala</w:t>
            </w:r>
            <w:proofErr w:type="spellEnd"/>
            <w:r>
              <w:t xml:space="preserve"> (</w:t>
            </w:r>
            <w:r w:rsidRPr="00FC7F43">
              <w:t>SAT</w:t>
            </w:r>
            <w:r>
              <w:t>)</w:t>
            </w:r>
            <w:r w:rsidRPr="00FC7F43">
              <w:t>$70 million.</w:t>
            </w:r>
          </w:p>
          <w:p w:rsidR="009F7318" w:rsidRPr="00FC7F43" w:rsidRDefault="009F7318" w:rsidP="00FF2F3D">
            <w:pPr>
              <w:pStyle w:val="TableText"/>
              <w:ind w:left="410" w:hanging="410"/>
            </w:pPr>
            <w:r w:rsidRPr="00FC7F43">
              <w:t>•</w:t>
            </w:r>
            <w:r w:rsidRPr="00FC7F43">
              <w:tab/>
              <w:t xml:space="preserve">Contributions from donors (pool funders) increased very markedly </w:t>
            </w:r>
            <w:proofErr w:type="gramStart"/>
            <w:r w:rsidRPr="00FC7F43">
              <w:t>between 2009-2011</w:t>
            </w:r>
            <w:proofErr w:type="gramEnd"/>
            <w:r w:rsidRPr="00FC7F43">
              <w:t xml:space="preserve"> (from SAT$15 million to SAT$78 million) and then decreased in 2012 and 2013 to SAT$ 65 and SAT$35 million, respectively. </w:t>
            </w:r>
          </w:p>
          <w:p w:rsidR="009F7318" w:rsidRPr="00FC7F43" w:rsidRDefault="009F7318" w:rsidP="00FF2F3D">
            <w:pPr>
              <w:pStyle w:val="TableText"/>
              <w:ind w:left="410" w:hanging="410"/>
            </w:pPr>
            <w:r w:rsidRPr="00FC7F43">
              <w:t>•</w:t>
            </w:r>
            <w:r w:rsidRPr="00FC7F43">
              <w:tab/>
              <w:t xml:space="preserve">When both </w:t>
            </w:r>
            <w:proofErr w:type="spellStart"/>
            <w:r w:rsidRPr="00FC7F43">
              <w:t>GoS</w:t>
            </w:r>
            <w:proofErr w:type="spellEnd"/>
            <w:r w:rsidRPr="00FC7F43">
              <w:t xml:space="preserve"> and donor spending are put together the picture shows an uneven pattern of SAT$ 83 million in 2009 increasing up to SAT$ 148 million in 2011 to then decrease again to SAT$103 million by 2013. </w:t>
            </w:r>
          </w:p>
          <w:p w:rsidR="009F7318" w:rsidRPr="00FC7F43" w:rsidRDefault="009F7318" w:rsidP="00FF2F3D">
            <w:pPr>
              <w:pStyle w:val="TableText"/>
              <w:ind w:left="410" w:hanging="410"/>
            </w:pPr>
            <w:r w:rsidRPr="00FC7F43">
              <w:t>•</w:t>
            </w:r>
            <w:r w:rsidRPr="00FC7F43">
              <w:tab/>
              <w:t xml:space="preserve">In terms of total health expenditure (that includes other sources of funding, not just </w:t>
            </w:r>
            <w:proofErr w:type="spellStart"/>
            <w:r w:rsidRPr="00FC7F43">
              <w:t>GoS</w:t>
            </w:r>
            <w:proofErr w:type="spellEnd"/>
            <w:r w:rsidRPr="00FC7F43">
              <w:t xml:space="preserve"> and pool funders) the combined funding by </w:t>
            </w:r>
            <w:proofErr w:type="spellStart"/>
            <w:r w:rsidRPr="00FC7F43">
              <w:t>GoS</w:t>
            </w:r>
            <w:proofErr w:type="spellEnd"/>
            <w:r w:rsidRPr="00FC7F43">
              <w:t xml:space="preserve"> and pool funders represented, approximately, 43% in 2009, 65% in in 2010, 73% in 2011, 68% in 2012 and 52% in 2013</w:t>
            </w:r>
            <w:r>
              <w:t xml:space="preserve">. </w:t>
            </w:r>
          </w:p>
          <w:p w:rsidR="009F7318" w:rsidRPr="007477B1" w:rsidRDefault="009F7318" w:rsidP="00FF2F3D">
            <w:pPr>
              <w:pStyle w:val="TableText"/>
            </w:pPr>
            <w:r w:rsidRPr="00FC7F43">
              <w:t>All these values are approximate and taken from Figure 3 in Davies report</w:t>
            </w:r>
            <w:r>
              <w:t>.</w:t>
            </w:r>
            <w:r>
              <w:rPr>
                <w:rStyle w:val="FootnoteReference"/>
              </w:rPr>
              <w:footnoteReference w:id="157"/>
            </w:r>
          </w:p>
        </w:tc>
      </w:tr>
      <w:tr w:rsidR="009F7318" w:rsidRPr="007477B1" w:rsidTr="00FF2F3D">
        <w:tc>
          <w:tcPr>
            <w:tcW w:w="539" w:type="pct"/>
          </w:tcPr>
          <w:p w:rsidR="009F7318" w:rsidRPr="007477B1" w:rsidRDefault="009F7318" w:rsidP="00FF2F3D">
            <w:pPr>
              <w:pStyle w:val="TableText"/>
            </w:pPr>
            <w:r w:rsidRPr="007477B1">
              <w:t>Solomon Islands</w:t>
            </w:r>
          </w:p>
        </w:tc>
        <w:tc>
          <w:tcPr>
            <w:tcW w:w="4461" w:type="pct"/>
          </w:tcPr>
          <w:p w:rsidR="009F7318" w:rsidRPr="007477B1" w:rsidRDefault="009F7318" w:rsidP="00FF2F3D">
            <w:pPr>
              <w:pStyle w:val="TableText"/>
            </w:pPr>
            <w:r w:rsidRPr="00126D6B">
              <w:t>Weak linkage between the budget and expenditure across</w:t>
            </w:r>
            <w:r>
              <w:t xml:space="preserve"> </w:t>
            </w:r>
            <w:r w:rsidRPr="00126D6B">
              <w:t>government.</w:t>
            </w:r>
            <w:r>
              <w:t xml:space="preserve"> </w:t>
            </w:r>
            <w:r w:rsidRPr="005A5458">
              <w:t>The Ministry considers that the DPs have pushed too hard for quick results; is concerned by continuing high demands on senior staff; on slow progress in</w:t>
            </w:r>
            <w:r>
              <w:t xml:space="preserve"> </w:t>
            </w:r>
            <w:r w:rsidRPr="005A5458">
              <w:t xml:space="preserve">supporting and working through national systems and in making external funding more transparent </w:t>
            </w:r>
            <w:r w:rsidRPr="005A5458">
              <w:lastRenderedPageBreak/>
              <w:t>and predictable. They view some DPs, as having committed to a</w:t>
            </w:r>
            <w:r>
              <w:t xml:space="preserve"> </w:t>
            </w:r>
            <w:r w:rsidRPr="005A5458">
              <w:t>new approach, but carrying on business as usual</w:t>
            </w:r>
            <w:r>
              <w:t>.</w:t>
            </w:r>
            <w:r>
              <w:rPr>
                <w:rStyle w:val="FootnoteReference"/>
              </w:rPr>
              <w:footnoteReference w:id="158"/>
            </w:r>
          </w:p>
        </w:tc>
      </w:tr>
    </w:tbl>
    <w:p w:rsidR="009F7318" w:rsidRDefault="009F7318" w:rsidP="009F7318">
      <w:pPr>
        <w:pStyle w:val="TableName"/>
      </w:pPr>
    </w:p>
    <w:p w:rsidR="009F7318" w:rsidRDefault="009F7318" w:rsidP="009F7318">
      <w:pPr>
        <w:pStyle w:val="TableName"/>
      </w:pPr>
      <w:bookmarkStart w:id="66" w:name="_Toc402192214"/>
      <w:r>
        <w:t>Table A13 Did health financing or expenditure support incrementally the defined sector priorities?</w:t>
      </w:r>
      <w:bookmarkEnd w:id="66"/>
    </w:p>
    <w:tbl>
      <w:tblPr>
        <w:tblStyle w:val="TableGrid"/>
        <w:tblW w:w="5000" w:type="pct"/>
        <w:tblLook w:val="04A0" w:firstRow="1" w:lastRow="0" w:firstColumn="1" w:lastColumn="0" w:noHBand="0" w:noVBand="1"/>
      </w:tblPr>
      <w:tblGrid>
        <w:gridCol w:w="1065"/>
        <w:gridCol w:w="8177"/>
      </w:tblGrid>
      <w:tr w:rsidR="009F7318" w:rsidRPr="007477B1" w:rsidTr="00FF2F3D">
        <w:trPr>
          <w:cnfStyle w:val="100000000000" w:firstRow="1" w:lastRow="0" w:firstColumn="0" w:lastColumn="0" w:oddVBand="0" w:evenVBand="0" w:oddHBand="0" w:evenHBand="0" w:firstRowFirstColumn="0" w:firstRowLastColumn="0" w:lastRowFirstColumn="0" w:lastRowLastColumn="0"/>
          <w:trHeight w:val="826"/>
        </w:trPr>
        <w:tc>
          <w:tcPr>
            <w:tcW w:w="539" w:type="pct"/>
          </w:tcPr>
          <w:p w:rsidR="009F7318" w:rsidRPr="007477B1" w:rsidRDefault="009F7318" w:rsidP="00FF2F3D">
            <w:pPr>
              <w:pStyle w:val="TableHeading2"/>
            </w:pPr>
            <w:r w:rsidRPr="007477B1">
              <w:t>Countr</w:t>
            </w:r>
            <w:r>
              <w:t>y</w:t>
            </w:r>
          </w:p>
        </w:tc>
        <w:tc>
          <w:tcPr>
            <w:tcW w:w="4461" w:type="pct"/>
          </w:tcPr>
          <w:p w:rsidR="009F7318" w:rsidRPr="007477B1" w:rsidRDefault="009F7318" w:rsidP="00FF2F3D">
            <w:pPr>
              <w:pStyle w:val="TableHeading"/>
            </w:pPr>
            <w:r>
              <w:t>Did health expenditure support incrementally the defined sector priorities?</w:t>
            </w:r>
          </w:p>
        </w:tc>
      </w:tr>
      <w:tr w:rsidR="009F7318" w:rsidRPr="007477B1" w:rsidTr="00FF2F3D">
        <w:tc>
          <w:tcPr>
            <w:tcW w:w="539" w:type="pct"/>
          </w:tcPr>
          <w:p w:rsidR="009F7318" w:rsidRPr="007477B1" w:rsidRDefault="009F7318" w:rsidP="00FF2F3D">
            <w:pPr>
              <w:pStyle w:val="TableText"/>
            </w:pPr>
            <w:r w:rsidRPr="007477B1">
              <w:t>Bangladesh</w:t>
            </w:r>
          </w:p>
        </w:tc>
        <w:tc>
          <w:tcPr>
            <w:tcW w:w="4461" w:type="pct"/>
          </w:tcPr>
          <w:p w:rsidR="009F7318" w:rsidRPr="007477B1" w:rsidRDefault="009F7318" w:rsidP="00FF2F3D">
            <w:pPr>
              <w:pStyle w:val="TableText"/>
            </w:pPr>
            <w:r>
              <w:t>Yes, both government and donor health spending have become increasingly aligned with sector priorities. In the case of the pooled funds the entire amount supports the priorities by the government in the PIP and reflected in the bi-annual Operational Plans.</w:t>
            </w:r>
            <w:r w:rsidRPr="007477B1">
              <w:t xml:space="preserve"> </w:t>
            </w:r>
          </w:p>
        </w:tc>
      </w:tr>
      <w:tr w:rsidR="009F7318" w:rsidRPr="007477B1" w:rsidTr="00FF2F3D">
        <w:tc>
          <w:tcPr>
            <w:tcW w:w="539" w:type="pct"/>
          </w:tcPr>
          <w:p w:rsidR="009F7318" w:rsidRPr="007477B1" w:rsidRDefault="009F7318" w:rsidP="00FF2F3D">
            <w:pPr>
              <w:pStyle w:val="TableText"/>
            </w:pPr>
            <w:r w:rsidRPr="007477B1">
              <w:t>Cambodia</w:t>
            </w:r>
          </w:p>
        </w:tc>
        <w:tc>
          <w:tcPr>
            <w:tcW w:w="4461" w:type="pct"/>
          </w:tcPr>
          <w:p w:rsidR="009F7318" w:rsidRPr="007477B1" w:rsidRDefault="009F7318" w:rsidP="00FF2F3D">
            <w:pPr>
              <w:pStyle w:val="TableText"/>
            </w:pPr>
            <w:r>
              <w:t>Some health program areas and priorities have received increasing allocations from the budget, but other areas have been and remain grossly underfunded, such as the NCD program area or malnutrition.</w:t>
            </w:r>
          </w:p>
        </w:tc>
      </w:tr>
      <w:tr w:rsidR="009F7318" w:rsidRPr="007477B1" w:rsidTr="00FF2F3D">
        <w:tc>
          <w:tcPr>
            <w:tcW w:w="539" w:type="pct"/>
          </w:tcPr>
          <w:p w:rsidR="009F7318" w:rsidRPr="007477B1" w:rsidRDefault="009F7318" w:rsidP="00FF2F3D">
            <w:pPr>
              <w:pStyle w:val="TableText"/>
            </w:pPr>
            <w:r w:rsidRPr="007477B1">
              <w:t>Nepal</w:t>
            </w:r>
          </w:p>
        </w:tc>
        <w:tc>
          <w:tcPr>
            <w:tcW w:w="4461" w:type="pct"/>
          </w:tcPr>
          <w:p w:rsidR="009F7318" w:rsidRPr="007477B1" w:rsidRDefault="009F7318" w:rsidP="00FF2F3D">
            <w:pPr>
              <w:pStyle w:val="TableText"/>
            </w:pPr>
            <w:r>
              <w:t>Yes, the pooled fund supports the priorities of the plan and allocations towards those priorities are annually reported.</w:t>
            </w:r>
          </w:p>
        </w:tc>
      </w:tr>
      <w:tr w:rsidR="009F7318" w:rsidRPr="007477B1" w:rsidTr="00FF2F3D">
        <w:tc>
          <w:tcPr>
            <w:tcW w:w="539" w:type="pct"/>
          </w:tcPr>
          <w:p w:rsidR="009F7318" w:rsidRPr="007477B1" w:rsidRDefault="009F7318" w:rsidP="0097056D">
            <w:pPr>
              <w:pStyle w:val="TableText"/>
            </w:pPr>
            <w:r w:rsidRPr="007477B1">
              <w:t>P</w:t>
            </w:r>
            <w:r w:rsidR="00817A75">
              <w:t>apua New Guinea</w:t>
            </w:r>
          </w:p>
        </w:tc>
        <w:tc>
          <w:tcPr>
            <w:tcW w:w="4461" w:type="pct"/>
          </w:tcPr>
          <w:p w:rsidR="009F7318" w:rsidRPr="007477B1" w:rsidRDefault="00B0683F" w:rsidP="00B0683F">
            <w:pPr>
              <w:pStyle w:val="TableText"/>
            </w:pPr>
            <w:r>
              <w:t xml:space="preserve">To a very limited extent, </w:t>
            </w:r>
            <w:r w:rsidR="008E7949">
              <w:t xml:space="preserve">at least until 2012 when the structure of the trust fund account was completely reviewed and changed and donors moved towards real pooled funding in support of the priorities defined in the health sector plan 2011-2020. </w:t>
            </w:r>
            <w:r w:rsidR="009F7318">
              <w:t xml:space="preserve"> In spite of all the reported limitations of the HSIP and </w:t>
            </w:r>
            <w:proofErr w:type="spellStart"/>
            <w:r w:rsidR="009F7318">
              <w:t>SWAp</w:t>
            </w:r>
            <w:proofErr w:type="spellEnd"/>
            <w:r w:rsidR="009F7318">
              <w:t xml:space="preserve"> Richards et al</w:t>
            </w:r>
            <w:r w:rsidR="009F7318">
              <w:rPr>
                <w:rStyle w:val="FootnoteReference"/>
              </w:rPr>
              <w:footnoteReference w:id="159"/>
            </w:r>
            <w:r w:rsidR="009F7318">
              <w:t xml:space="preserve"> report that </w:t>
            </w:r>
            <w:r w:rsidR="009F7318">
              <w:rPr>
                <w:i/>
              </w:rPr>
              <w:t>t</w:t>
            </w:r>
            <w:r w:rsidR="009F7318" w:rsidRPr="00450441">
              <w:rPr>
                <w:i/>
              </w:rPr>
              <w:t xml:space="preserve">he Provincial Expenditure Review (PER) for 2010 has shown that broadly, in the provinces, expenditure on health service delivery is now approaching on average 42% of the actual costs required – up from 25% in 2008 (PER </w:t>
            </w:r>
            <w:r w:rsidR="00013434" w:rsidRPr="00013434">
              <w:rPr>
                <w:i/>
              </w:rPr>
              <w:t xml:space="preserve">National Economic and Fiscal Commission </w:t>
            </w:r>
            <w:r w:rsidR="009F7318" w:rsidRPr="00450441">
              <w:rPr>
                <w:i/>
              </w:rPr>
              <w:t>2012).</w:t>
            </w:r>
          </w:p>
        </w:tc>
      </w:tr>
      <w:tr w:rsidR="009F7318" w:rsidRPr="007477B1" w:rsidTr="00FF2F3D">
        <w:trPr>
          <w:trHeight w:val="858"/>
        </w:trPr>
        <w:tc>
          <w:tcPr>
            <w:tcW w:w="539" w:type="pct"/>
          </w:tcPr>
          <w:p w:rsidR="009F7318" w:rsidRPr="007477B1" w:rsidRDefault="009F7318" w:rsidP="00FF2F3D">
            <w:pPr>
              <w:pStyle w:val="TableText"/>
            </w:pPr>
            <w:r w:rsidRPr="007477B1">
              <w:t>Samoa</w:t>
            </w:r>
          </w:p>
        </w:tc>
        <w:tc>
          <w:tcPr>
            <w:tcW w:w="4461" w:type="pct"/>
          </w:tcPr>
          <w:p w:rsidR="009F7318" w:rsidRPr="007477B1" w:rsidRDefault="009F7318" w:rsidP="00FF2F3D">
            <w:pPr>
              <w:pStyle w:val="TableText"/>
            </w:pPr>
            <w:r>
              <w:t xml:space="preserve">On predictability, </w:t>
            </w:r>
            <w:r w:rsidRPr="00FC7F43">
              <w:t xml:space="preserve">flow and use of external assistance </w:t>
            </w:r>
            <w:proofErr w:type="spellStart"/>
            <w:r w:rsidRPr="00FC7F43">
              <w:t>Vaillancourt</w:t>
            </w:r>
            <w:proofErr w:type="spellEnd"/>
            <w:r>
              <w:rPr>
                <w:rStyle w:val="FootnoteReference"/>
              </w:rPr>
              <w:footnoteReference w:id="160"/>
            </w:r>
            <w:r w:rsidRPr="00FC7F43">
              <w:t xml:space="preserve"> comments that ‘</w:t>
            </w:r>
            <w:r w:rsidRPr="00FC7F43">
              <w:rPr>
                <w:i/>
              </w:rPr>
              <w:t>overall sector financing is not sufficiently predictable although, within the health sector program, financing is predictable but needs to be managed closely’</w:t>
            </w:r>
            <w:r>
              <w:t xml:space="preserve">. </w:t>
            </w:r>
            <w:r w:rsidRPr="00FC7F43">
              <w:t>She further expands that ‘</w:t>
            </w:r>
            <w:r w:rsidRPr="00FC7F43">
              <w:rPr>
                <w:i/>
              </w:rPr>
              <w:t xml:space="preserve">financing from these three donors (Australia, New Zealand and World Bank) is available, and thus is not a constraint, but outside of the </w:t>
            </w:r>
            <w:proofErr w:type="spellStart"/>
            <w:r w:rsidRPr="00FC7F43">
              <w:rPr>
                <w:i/>
              </w:rPr>
              <w:t>SWAp</w:t>
            </w:r>
            <w:proofErr w:type="spellEnd"/>
            <w:r w:rsidRPr="00FC7F43">
              <w:rPr>
                <w:i/>
              </w:rPr>
              <w:t>, the predictability of external funding provided through a ranger of projects and funding assistance is not firm</w:t>
            </w:r>
            <w:r>
              <w:rPr>
                <w:i/>
              </w:rPr>
              <w:t xml:space="preserve">. </w:t>
            </w:r>
            <w:r w:rsidRPr="00FC7F43">
              <w:rPr>
                <w:i/>
              </w:rPr>
              <w:t xml:space="preserve">A whole-of-sector </w:t>
            </w:r>
            <w:proofErr w:type="spellStart"/>
            <w:r w:rsidRPr="00FC7F43">
              <w:rPr>
                <w:i/>
              </w:rPr>
              <w:t>SWAp</w:t>
            </w:r>
            <w:proofErr w:type="spellEnd"/>
            <w:r w:rsidRPr="00FC7F43">
              <w:rPr>
                <w:i/>
              </w:rPr>
              <w:t xml:space="preserve"> (and MTEF) would help</w:t>
            </w:r>
            <w:r w:rsidRPr="00FC7F43">
              <w:t>.’</w:t>
            </w:r>
          </w:p>
        </w:tc>
      </w:tr>
      <w:tr w:rsidR="009F7318" w:rsidRPr="007477B1" w:rsidTr="00FF2F3D">
        <w:tc>
          <w:tcPr>
            <w:tcW w:w="539" w:type="pct"/>
          </w:tcPr>
          <w:p w:rsidR="009F7318" w:rsidRPr="007477B1" w:rsidRDefault="009F7318" w:rsidP="00FF2F3D">
            <w:pPr>
              <w:pStyle w:val="TableText"/>
            </w:pPr>
            <w:r w:rsidRPr="007477B1">
              <w:t>Solomon Islands</w:t>
            </w:r>
          </w:p>
        </w:tc>
        <w:tc>
          <w:tcPr>
            <w:tcW w:w="4461" w:type="pct"/>
          </w:tcPr>
          <w:p w:rsidR="009F7318" w:rsidRPr="007477B1" w:rsidRDefault="009F7318" w:rsidP="00FF2F3D">
            <w:pPr>
              <w:pStyle w:val="TableText"/>
            </w:pPr>
            <w:r w:rsidRPr="002730F1">
              <w:t>The health budget has increased substantially since 2007 and expenditure rates are</w:t>
            </w:r>
            <w:r>
              <w:t xml:space="preserve"> high (95% </w:t>
            </w:r>
            <w:r w:rsidRPr="002730F1">
              <w:t>of government funds and 85</w:t>
            </w:r>
            <w:r>
              <w:t>%</w:t>
            </w:r>
            <w:r w:rsidRPr="002730F1">
              <w:t xml:space="preserve"> of combined funds in 2010).</w:t>
            </w:r>
            <w:r>
              <w:t xml:space="preserve"> </w:t>
            </w:r>
            <w:r w:rsidRPr="002730F1">
              <w:t>However, across government there is a weak link between the budget and</w:t>
            </w:r>
            <w:r>
              <w:t xml:space="preserve"> </w:t>
            </w:r>
            <w:r w:rsidRPr="002730F1">
              <w:t>expenditure</w:t>
            </w:r>
            <w:r>
              <w:t>.</w:t>
            </w:r>
            <w:r>
              <w:rPr>
                <w:rStyle w:val="FootnoteReference"/>
              </w:rPr>
              <w:footnoteReference w:id="161"/>
            </w:r>
          </w:p>
        </w:tc>
      </w:tr>
    </w:tbl>
    <w:p w:rsidR="009F7318" w:rsidRDefault="009F7318" w:rsidP="009F7318">
      <w:pPr>
        <w:pStyle w:val="TableName"/>
      </w:pPr>
    </w:p>
    <w:p w:rsidR="009F7318" w:rsidRPr="00197C5B" w:rsidRDefault="009F7318" w:rsidP="009F7318">
      <w:pPr>
        <w:pStyle w:val="TableName"/>
      </w:pPr>
      <w:bookmarkStart w:id="67" w:name="_Toc402192215"/>
      <w:r w:rsidRPr="00197C5B">
        <w:t xml:space="preserve">Table </w:t>
      </w:r>
      <w:r>
        <w:t>A14</w:t>
      </w:r>
      <w:r>
        <w:tab/>
      </w:r>
      <w:r w:rsidRPr="00197C5B">
        <w:t xml:space="preserve">Summary table: Did alignment increase in the context of the </w:t>
      </w:r>
      <w:proofErr w:type="spellStart"/>
      <w:r w:rsidRPr="00197C5B">
        <w:t>SWAp</w:t>
      </w:r>
      <w:proofErr w:type="spellEnd"/>
      <w:r w:rsidRPr="00197C5B">
        <w:t>?</w:t>
      </w:r>
      <w:bookmarkEnd w:id="67"/>
    </w:p>
    <w:tbl>
      <w:tblPr>
        <w:tblStyle w:val="TableGrid"/>
        <w:tblW w:w="5000" w:type="pct"/>
        <w:tblLook w:val="04A0" w:firstRow="1" w:lastRow="0" w:firstColumn="1" w:lastColumn="0" w:noHBand="0" w:noVBand="1"/>
      </w:tblPr>
      <w:tblGrid>
        <w:gridCol w:w="1242"/>
        <w:gridCol w:w="8000"/>
      </w:tblGrid>
      <w:tr w:rsidR="009F7318" w:rsidRPr="00EC3EBF" w:rsidTr="00FF2F3D">
        <w:trPr>
          <w:cnfStyle w:val="100000000000" w:firstRow="1" w:lastRow="0" w:firstColumn="0" w:lastColumn="0" w:oddVBand="0" w:evenVBand="0" w:oddHBand="0" w:evenHBand="0" w:firstRowFirstColumn="0" w:firstRowLastColumn="0" w:lastRowFirstColumn="0" w:lastRowLastColumn="0"/>
          <w:trHeight w:val="826"/>
        </w:trPr>
        <w:tc>
          <w:tcPr>
            <w:tcW w:w="672" w:type="pct"/>
          </w:tcPr>
          <w:p w:rsidR="009F7318" w:rsidRPr="00EC3EBF" w:rsidRDefault="009F7318" w:rsidP="00FF2F3D">
            <w:pPr>
              <w:pStyle w:val="TableHeading2"/>
            </w:pPr>
            <w:r>
              <w:t>Country</w:t>
            </w:r>
          </w:p>
        </w:tc>
        <w:tc>
          <w:tcPr>
            <w:tcW w:w="4328" w:type="pct"/>
          </w:tcPr>
          <w:p w:rsidR="009F7318" w:rsidRPr="00EC3EBF" w:rsidRDefault="009F7318" w:rsidP="00FF2F3D">
            <w:pPr>
              <w:pStyle w:val="TableHeading"/>
            </w:pPr>
            <w:r w:rsidRPr="00EC3EBF">
              <w:t xml:space="preserve">Did alignment increase in the context of the </w:t>
            </w:r>
            <w:proofErr w:type="spellStart"/>
            <w:r w:rsidRPr="00EC3EBF">
              <w:t>SWAp</w:t>
            </w:r>
            <w:proofErr w:type="spellEnd"/>
            <w:r w:rsidRPr="00EC3EBF">
              <w:t>?</w:t>
            </w:r>
          </w:p>
        </w:tc>
      </w:tr>
      <w:tr w:rsidR="009F7318" w:rsidRPr="00EC3EBF" w:rsidTr="00FF2F3D">
        <w:tc>
          <w:tcPr>
            <w:tcW w:w="672" w:type="pct"/>
          </w:tcPr>
          <w:p w:rsidR="009F7318" w:rsidRPr="00EC3EBF" w:rsidRDefault="009F7318" w:rsidP="00FF2F3D">
            <w:pPr>
              <w:pStyle w:val="TableText"/>
            </w:pPr>
            <w:r w:rsidRPr="00EC3EBF">
              <w:t>Bangladesh</w:t>
            </w:r>
          </w:p>
        </w:tc>
        <w:tc>
          <w:tcPr>
            <w:tcW w:w="4328" w:type="pct"/>
          </w:tcPr>
          <w:p w:rsidR="009F7318" w:rsidRPr="00EC3EBF" w:rsidRDefault="009F7318" w:rsidP="00FF2F3D">
            <w:pPr>
              <w:pStyle w:val="TableText"/>
            </w:pPr>
            <w:r w:rsidRPr="00EC3EBF">
              <w:t>Yes, alignment increased considerably from the time the government had to deal with 120+ donor funded projects</w:t>
            </w:r>
            <w:r>
              <w:t>.</w:t>
            </w:r>
            <w:r>
              <w:rPr>
                <w:rStyle w:val="FootnoteReference"/>
              </w:rPr>
              <w:footnoteReference w:id="162"/>
            </w:r>
          </w:p>
        </w:tc>
      </w:tr>
      <w:tr w:rsidR="009F7318" w:rsidRPr="00EC3EBF" w:rsidTr="00FF2F3D">
        <w:tc>
          <w:tcPr>
            <w:tcW w:w="672" w:type="pct"/>
          </w:tcPr>
          <w:p w:rsidR="009F7318" w:rsidRPr="00EC3EBF" w:rsidRDefault="009F7318" w:rsidP="00FF2F3D">
            <w:pPr>
              <w:pStyle w:val="TableText"/>
            </w:pPr>
            <w:r w:rsidRPr="00EC3EBF">
              <w:t>Cambodia</w:t>
            </w:r>
          </w:p>
        </w:tc>
        <w:tc>
          <w:tcPr>
            <w:tcW w:w="4328" w:type="pct"/>
          </w:tcPr>
          <w:p w:rsidR="009F7318" w:rsidRPr="00EC3EBF" w:rsidRDefault="009F7318" w:rsidP="00FF2F3D">
            <w:pPr>
              <w:pStyle w:val="TableText"/>
            </w:pPr>
            <w:r w:rsidRPr="00EC3EBF">
              <w:t>Yes, alignment has increased but there is a long way to go</w:t>
            </w:r>
            <w:r>
              <w:t xml:space="preserve">. </w:t>
            </w:r>
            <w:r w:rsidRPr="00EC3EBF">
              <w:t>For example, the MTR team</w:t>
            </w:r>
            <w:r>
              <w:rPr>
                <w:rStyle w:val="FootnoteReference"/>
              </w:rPr>
              <w:footnoteReference w:id="163"/>
            </w:r>
            <w:r w:rsidRPr="00EC3EBF">
              <w:t xml:space="preserve"> argue that there was limited visibility of specific actions and decisions taken by the </w:t>
            </w:r>
            <w:proofErr w:type="spellStart"/>
            <w:r w:rsidRPr="00EC3EBF">
              <w:t>MoH</w:t>
            </w:r>
            <w:proofErr w:type="spellEnd"/>
            <w:r w:rsidRPr="00EC3EBF">
              <w:t xml:space="preserve"> and its partners in relation to advancing the harmonization and alignment agenda and the Sector-Wide Management (</w:t>
            </w:r>
            <w:proofErr w:type="spellStart"/>
            <w:r w:rsidRPr="00EC3EBF">
              <w:t>SWiM</w:t>
            </w:r>
            <w:proofErr w:type="spellEnd"/>
            <w:r w:rsidRPr="00EC3EBF">
              <w:t>) approach</w:t>
            </w:r>
            <w:r>
              <w:t xml:space="preserve">. </w:t>
            </w:r>
          </w:p>
          <w:p w:rsidR="009F7318" w:rsidRPr="00EC3EBF" w:rsidRDefault="009F7318" w:rsidP="00FF2F3D">
            <w:pPr>
              <w:pStyle w:val="TableText"/>
            </w:pPr>
            <w:proofErr w:type="spellStart"/>
            <w:r w:rsidRPr="00EC3EBF">
              <w:lastRenderedPageBreak/>
              <w:t>Vaillancourt</w:t>
            </w:r>
            <w:proofErr w:type="spellEnd"/>
            <w:r>
              <w:rPr>
                <w:rStyle w:val="FootnoteReference"/>
              </w:rPr>
              <w:footnoteReference w:id="164"/>
            </w:r>
            <w:r w:rsidRPr="00EC3EBF">
              <w:t xml:space="preserve"> adds that the </w:t>
            </w:r>
            <w:proofErr w:type="spellStart"/>
            <w:r w:rsidRPr="00EC3EBF">
              <w:t>SWiM</w:t>
            </w:r>
            <w:proofErr w:type="spellEnd"/>
            <w:r w:rsidRPr="00EC3EBF">
              <w:t xml:space="preserve"> approach needs to be transformed into specific requirements for the partners and for the </w:t>
            </w:r>
            <w:proofErr w:type="spellStart"/>
            <w:r w:rsidRPr="00EC3EBF">
              <w:t>MoH</w:t>
            </w:r>
            <w:proofErr w:type="spellEnd"/>
            <w:r>
              <w:t>.</w:t>
            </w:r>
            <w:r w:rsidRPr="00EC3EBF">
              <w:t xml:space="preserve">.. a clear agenda defining how </w:t>
            </w:r>
            <w:proofErr w:type="spellStart"/>
            <w:r w:rsidRPr="00EC3EBF">
              <w:t>MoH</w:t>
            </w:r>
            <w:proofErr w:type="spellEnd"/>
            <w:r w:rsidRPr="00EC3EBF">
              <w:t xml:space="preserve"> and its partners are expected to improve their working together, to align their funding, to reduce transaction costs, to become more accountable to each other</w:t>
            </w:r>
            <w:r>
              <w:t xml:space="preserve">. </w:t>
            </w:r>
          </w:p>
        </w:tc>
      </w:tr>
      <w:tr w:rsidR="009F7318" w:rsidRPr="00EC3EBF" w:rsidTr="00FF2F3D">
        <w:tc>
          <w:tcPr>
            <w:tcW w:w="672" w:type="pct"/>
          </w:tcPr>
          <w:p w:rsidR="009F7318" w:rsidRPr="00EC3EBF" w:rsidRDefault="009F7318" w:rsidP="00FF2F3D">
            <w:pPr>
              <w:pStyle w:val="TableText"/>
            </w:pPr>
            <w:r w:rsidRPr="00EC3EBF">
              <w:lastRenderedPageBreak/>
              <w:t>Nepal</w:t>
            </w:r>
          </w:p>
        </w:tc>
        <w:tc>
          <w:tcPr>
            <w:tcW w:w="4328" w:type="pct"/>
          </w:tcPr>
          <w:p w:rsidR="009F7318" w:rsidRPr="00EC3EBF" w:rsidRDefault="009F7318" w:rsidP="00FF2F3D">
            <w:pPr>
              <w:pStyle w:val="TableText"/>
            </w:pPr>
            <w:r w:rsidRPr="00EC3EBF">
              <w:t xml:space="preserve">Yes it did, as recognised in </w:t>
            </w:r>
            <w:r>
              <w:t>the Australian aid program</w:t>
            </w:r>
            <w:r w:rsidRPr="00EC3EBF">
              <w:t xml:space="preserve"> internal reports</w:t>
            </w:r>
            <w:r>
              <w:t xml:space="preserve">. </w:t>
            </w:r>
            <w:r w:rsidRPr="00EC3EBF">
              <w:t>One of them states</w:t>
            </w:r>
            <w:r w:rsidRPr="00EC3EBF">
              <w:rPr>
                <w:i/>
              </w:rPr>
              <w:t xml:space="preserve">: our participation in </w:t>
            </w:r>
            <w:proofErr w:type="spellStart"/>
            <w:r w:rsidRPr="00EC3EBF">
              <w:rPr>
                <w:i/>
              </w:rPr>
              <w:t>SWAps</w:t>
            </w:r>
            <w:proofErr w:type="spellEnd"/>
            <w:r w:rsidRPr="00EC3EBF">
              <w:rPr>
                <w:i/>
              </w:rPr>
              <w:t xml:space="preserve"> is the best option for the major part of our program. </w:t>
            </w:r>
            <w:proofErr w:type="spellStart"/>
            <w:r w:rsidRPr="00EC3EBF">
              <w:rPr>
                <w:i/>
              </w:rPr>
              <w:t>SWAps</w:t>
            </w:r>
            <w:proofErr w:type="spellEnd"/>
            <w:r w:rsidRPr="00EC3EBF">
              <w:rPr>
                <w:i/>
              </w:rPr>
              <w:t xml:space="preserve"> allow us to build the capacity of a fragile state. They are probably the most effective way to tackle corruption, given the incentive both donors and the government receiving development support have to keep donor money in th</w:t>
            </w:r>
            <w:r>
              <w:rPr>
                <w:i/>
              </w:rPr>
              <w:t xml:space="preserve">e pool. Donors </w:t>
            </w:r>
            <w:proofErr w:type="gramStart"/>
            <w:r>
              <w:rPr>
                <w:i/>
              </w:rPr>
              <w:t xml:space="preserve">working together </w:t>
            </w:r>
            <w:r w:rsidRPr="00EC3EBF">
              <w:rPr>
                <w:i/>
              </w:rPr>
              <w:t>have</w:t>
            </w:r>
            <w:proofErr w:type="gramEnd"/>
            <w:r w:rsidRPr="00EC3EBF">
              <w:rPr>
                <w:i/>
              </w:rPr>
              <w:t xml:space="preserve"> leverage to advocate for issues such as inclusion -education is lifting the participation of girls; health programs are targeting women and children. The </w:t>
            </w:r>
            <w:proofErr w:type="spellStart"/>
            <w:r w:rsidRPr="00EC3EBF">
              <w:rPr>
                <w:i/>
              </w:rPr>
              <w:t>GoN</w:t>
            </w:r>
            <w:proofErr w:type="spellEnd"/>
            <w:r w:rsidRPr="00EC3EBF">
              <w:rPr>
                <w:i/>
              </w:rPr>
              <w:t xml:space="preserve"> strongly endorses our participation in </w:t>
            </w:r>
            <w:proofErr w:type="spellStart"/>
            <w:r w:rsidRPr="00EC3EBF">
              <w:rPr>
                <w:i/>
              </w:rPr>
              <w:t>SWAps</w:t>
            </w:r>
            <w:proofErr w:type="spellEnd"/>
            <w:r w:rsidRPr="00EC3EBF">
              <w:rPr>
                <w:i/>
              </w:rPr>
              <w:t xml:space="preserve">. It would like 100% of assistance to be put through government systems in coming years. The long-term timeframes of </w:t>
            </w:r>
            <w:proofErr w:type="spellStart"/>
            <w:r w:rsidRPr="00EC3EBF">
              <w:rPr>
                <w:i/>
              </w:rPr>
              <w:t>SWAps</w:t>
            </w:r>
            <w:proofErr w:type="spellEnd"/>
            <w:r w:rsidRPr="00EC3EBF">
              <w:rPr>
                <w:i/>
              </w:rPr>
              <w:t xml:space="preserve"> also have an advantage, allowing progress from the basic delivery of services to improvements in the quality of these services, as they mature and evolve</w:t>
            </w:r>
            <w:r w:rsidRPr="00EC3EBF">
              <w:t>.”</w:t>
            </w:r>
            <w:r>
              <w:rPr>
                <w:rStyle w:val="FootnoteReference"/>
              </w:rPr>
              <w:footnoteReference w:id="165"/>
            </w:r>
          </w:p>
        </w:tc>
      </w:tr>
      <w:tr w:rsidR="009F7318" w:rsidRPr="00EC3EBF" w:rsidTr="00FF2F3D">
        <w:tc>
          <w:tcPr>
            <w:tcW w:w="672" w:type="pct"/>
          </w:tcPr>
          <w:p w:rsidR="009F7318" w:rsidRPr="00EC3EBF" w:rsidRDefault="009F7318" w:rsidP="0097056D">
            <w:pPr>
              <w:pStyle w:val="TableText"/>
            </w:pPr>
            <w:r w:rsidRPr="00EC3EBF">
              <w:t>P</w:t>
            </w:r>
            <w:r w:rsidR="00817A75">
              <w:t>apua New Guinea</w:t>
            </w:r>
          </w:p>
        </w:tc>
        <w:tc>
          <w:tcPr>
            <w:tcW w:w="4328" w:type="pct"/>
          </w:tcPr>
          <w:p w:rsidR="009F7318" w:rsidRPr="00EC3EBF" w:rsidRDefault="008E7949" w:rsidP="00B0683F">
            <w:pPr>
              <w:pStyle w:val="TableText"/>
            </w:pPr>
            <w:r w:rsidRPr="00EC3EBF">
              <w:t>Proposals (confirmed from 2012) for moving to a genuine sector-wide approach</w:t>
            </w:r>
            <w:r w:rsidR="00B0683F">
              <w:t xml:space="preserve"> </w:t>
            </w:r>
            <w:r w:rsidRPr="00EC3EBF">
              <w:t xml:space="preserve"> represent a significant change in delivering aid which in turn requires that development partners adapt their ways of working accordingly</w:t>
            </w:r>
            <w:r>
              <w:t xml:space="preserve">. </w:t>
            </w:r>
            <w:r w:rsidRPr="00EC3EBF">
              <w:t xml:space="preserve">The </w:t>
            </w:r>
            <w:r w:rsidR="00B0683F">
              <w:t xml:space="preserve">2010 </w:t>
            </w:r>
            <w:r w:rsidRPr="00EC3EBF">
              <w:t xml:space="preserve">review of the PNG-Australia </w:t>
            </w:r>
            <w:r>
              <w:t xml:space="preserve">Development Cooperation Treaty </w:t>
            </w:r>
            <w:r w:rsidRPr="00EC3EBF">
              <w:t>and the 2008 ODE review of health service delivery are contributing to the adoption of new ways of working.</w:t>
            </w:r>
          </w:p>
        </w:tc>
      </w:tr>
      <w:tr w:rsidR="009F7318" w:rsidRPr="00EC3EBF" w:rsidTr="00376F19">
        <w:trPr>
          <w:trHeight w:val="934"/>
        </w:trPr>
        <w:tc>
          <w:tcPr>
            <w:tcW w:w="672" w:type="pct"/>
          </w:tcPr>
          <w:p w:rsidR="009F7318" w:rsidRPr="00EC3EBF" w:rsidRDefault="009F7318" w:rsidP="00FF2F3D">
            <w:pPr>
              <w:pStyle w:val="TableText"/>
            </w:pPr>
            <w:r w:rsidRPr="00EC3EBF">
              <w:t>Samoa</w:t>
            </w:r>
          </w:p>
        </w:tc>
        <w:tc>
          <w:tcPr>
            <w:tcW w:w="4328" w:type="pct"/>
          </w:tcPr>
          <w:p w:rsidR="009F7318" w:rsidRDefault="009F7318" w:rsidP="00FF2F3D">
            <w:pPr>
              <w:pStyle w:val="TableText"/>
            </w:pPr>
            <w:r w:rsidRPr="00EC3EBF">
              <w:t xml:space="preserve">There is considerable evidence that the </w:t>
            </w:r>
            <w:proofErr w:type="spellStart"/>
            <w:r w:rsidRPr="00EC3EBF">
              <w:t>SWAp</w:t>
            </w:r>
            <w:proofErr w:type="spellEnd"/>
            <w:r w:rsidRPr="00EC3EBF">
              <w:t xml:space="preserve"> contributed to more systematic, stronger M&amp;E than was the case in the project aid era that preceded the </w:t>
            </w:r>
            <w:proofErr w:type="spellStart"/>
            <w:r w:rsidRPr="00EC3EBF">
              <w:t>SWAp</w:t>
            </w:r>
            <w:proofErr w:type="spellEnd"/>
            <w:r>
              <w:t>.</w:t>
            </w:r>
            <w:r>
              <w:rPr>
                <w:rStyle w:val="FootnoteReference"/>
              </w:rPr>
              <w:footnoteReference w:id="166"/>
            </w:r>
            <w:r>
              <w:t xml:space="preserve"> </w:t>
            </w:r>
          </w:p>
          <w:p w:rsidR="009F7318" w:rsidRPr="00EC3EBF" w:rsidRDefault="009F7318" w:rsidP="00FF2F3D">
            <w:pPr>
              <w:pStyle w:val="TableText"/>
            </w:pPr>
            <w:proofErr w:type="spellStart"/>
            <w:r>
              <w:t>Vaillancourt</w:t>
            </w:r>
            <w:proofErr w:type="spellEnd"/>
            <w:r>
              <w:rPr>
                <w:rStyle w:val="FootnoteReference"/>
              </w:rPr>
              <w:footnoteReference w:id="167"/>
            </w:r>
            <w:r>
              <w:t xml:space="preserve"> </w:t>
            </w:r>
            <w:r w:rsidRPr="00EC3EBF">
              <w:t xml:space="preserve">concludes that ‘The </w:t>
            </w:r>
            <w:proofErr w:type="spellStart"/>
            <w:r w:rsidRPr="00EC3EBF">
              <w:t>SWAp</w:t>
            </w:r>
            <w:proofErr w:type="spellEnd"/>
            <w:r w:rsidRPr="00EC3EBF">
              <w:t xml:space="preserve"> is facilitating a move toward greater harmonisation and alignment of development assistance, with progress differing o</w:t>
            </w:r>
            <w:r>
              <w:t>n the various indicators’.</w:t>
            </w:r>
          </w:p>
        </w:tc>
      </w:tr>
      <w:tr w:rsidR="009F7318" w:rsidRPr="00EC3EBF" w:rsidTr="00FF2F3D">
        <w:tc>
          <w:tcPr>
            <w:tcW w:w="672" w:type="pct"/>
          </w:tcPr>
          <w:p w:rsidR="009F7318" w:rsidRPr="00EC3EBF" w:rsidRDefault="009F7318" w:rsidP="00FF2F3D">
            <w:pPr>
              <w:pStyle w:val="TableText"/>
            </w:pPr>
            <w:r w:rsidRPr="00EC3EBF">
              <w:t>Solomon Islands</w:t>
            </w:r>
          </w:p>
        </w:tc>
        <w:tc>
          <w:tcPr>
            <w:tcW w:w="4328" w:type="pct"/>
          </w:tcPr>
          <w:p w:rsidR="009F7318" w:rsidRPr="00EC3EBF" w:rsidRDefault="009F7318" w:rsidP="00FF2F3D">
            <w:pPr>
              <w:pStyle w:val="TableText"/>
            </w:pPr>
            <w:r w:rsidRPr="00EC3EBF">
              <w:t>Yes, alignment increased although much more would need to be done to define operationally and measure the extent of the alignment.</w:t>
            </w:r>
          </w:p>
        </w:tc>
      </w:tr>
    </w:tbl>
    <w:p w:rsidR="009F7318" w:rsidRDefault="009F7318" w:rsidP="009F7318"/>
    <w:p w:rsidR="009F7318" w:rsidRDefault="009F7318" w:rsidP="009F7318"/>
    <w:p w:rsidR="009F7318" w:rsidRDefault="009F7318" w:rsidP="009F7318">
      <w:pPr>
        <w:spacing w:before="0" w:after="0" w:line="240" w:lineRule="auto"/>
        <w:rPr>
          <w:b/>
          <w:bCs/>
          <w:sz w:val="22"/>
          <w:szCs w:val="21"/>
        </w:rPr>
      </w:pPr>
      <w:r>
        <w:br w:type="page"/>
      </w:r>
    </w:p>
    <w:p w:rsidR="009F7318" w:rsidRDefault="009F7318" w:rsidP="009F7318">
      <w:pPr>
        <w:pStyle w:val="Heading2a"/>
        <w:ind w:left="851" w:hanging="851"/>
      </w:pPr>
      <w:r>
        <w:lastRenderedPageBreak/>
        <w:t>A.3.6</w:t>
      </w:r>
      <w:r>
        <w:tab/>
        <w:t>Gender</w:t>
      </w:r>
    </w:p>
    <w:p w:rsidR="009F7318" w:rsidRDefault="009F7318" w:rsidP="009F7318">
      <w:pPr>
        <w:pStyle w:val="TableName"/>
      </w:pPr>
    </w:p>
    <w:p w:rsidR="009F7318" w:rsidRPr="00197C5B" w:rsidRDefault="009F7318" w:rsidP="009F7318">
      <w:pPr>
        <w:pStyle w:val="TableName"/>
      </w:pPr>
      <w:bookmarkStart w:id="68" w:name="_Toc402192216"/>
      <w:r w:rsidRPr="00197C5B">
        <w:t xml:space="preserve">Table </w:t>
      </w:r>
      <w:r>
        <w:t>A15</w:t>
      </w:r>
      <w:r>
        <w:tab/>
        <w:t>Focus on gender and reporting on it in annual reviews and in the Australian aid program.</w:t>
      </w:r>
      <w:bookmarkEnd w:id="68"/>
    </w:p>
    <w:tbl>
      <w:tblPr>
        <w:tblStyle w:val="TableGrid"/>
        <w:tblW w:w="5000" w:type="pct"/>
        <w:tblLook w:val="04A0" w:firstRow="1" w:lastRow="0" w:firstColumn="1" w:lastColumn="0" w:noHBand="0" w:noVBand="1"/>
      </w:tblPr>
      <w:tblGrid>
        <w:gridCol w:w="3795"/>
        <w:gridCol w:w="3684"/>
        <w:gridCol w:w="1763"/>
      </w:tblGrid>
      <w:tr w:rsidR="009F7318" w:rsidRPr="00B725A9" w:rsidTr="00FF2F3D">
        <w:trPr>
          <w:cnfStyle w:val="100000000000" w:firstRow="1" w:lastRow="0" w:firstColumn="0" w:lastColumn="0" w:oddVBand="0" w:evenVBand="0" w:oddHBand="0" w:evenHBand="0" w:firstRowFirstColumn="0" w:firstRowLastColumn="0" w:lastRowFirstColumn="0" w:lastRowLastColumn="0"/>
        </w:trPr>
        <w:tc>
          <w:tcPr>
            <w:tcW w:w="2053" w:type="pct"/>
          </w:tcPr>
          <w:p w:rsidR="009F7318" w:rsidRPr="00B725A9" w:rsidRDefault="009F7318" w:rsidP="00FF2F3D">
            <w:pPr>
              <w:rPr>
                <w:rFonts w:ascii="Arial" w:hAnsi="Arial" w:cs="Arial"/>
                <w:b/>
                <w:color w:val="FFFFFF" w:themeColor="background1"/>
                <w:sz w:val="17"/>
                <w:szCs w:val="17"/>
              </w:rPr>
            </w:pPr>
            <w:r w:rsidRPr="00B725A9">
              <w:rPr>
                <w:rFonts w:ascii="Arial" w:hAnsi="Arial" w:cs="Arial"/>
                <w:b/>
                <w:color w:val="FFFFFF" w:themeColor="background1"/>
                <w:sz w:val="17"/>
                <w:szCs w:val="17"/>
              </w:rPr>
              <w:t xml:space="preserve">Was there </w:t>
            </w:r>
            <w:proofErr w:type="gramStart"/>
            <w:r w:rsidRPr="00B725A9">
              <w:rPr>
                <w:rFonts w:ascii="Arial" w:hAnsi="Arial" w:cs="Arial"/>
                <w:b/>
                <w:color w:val="FFFFFF" w:themeColor="background1"/>
                <w:sz w:val="17"/>
                <w:szCs w:val="17"/>
              </w:rPr>
              <w:t>a gender focus</w:t>
            </w:r>
            <w:proofErr w:type="gramEnd"/>
            <w:r w:rsidRPr="00B725A9">
              <w:rPr>
                <w:rFonts w:ascii="Arial" w:hAnsi="Arial" w:cs="Arial"/>
                <w:b/>
                <w:color w:val="FFFFFF" w:themeColor="background1"/>
                <w:sz w:val="17"/>
                <w:szCs w:val="17"/>
              </w:rPr>
              <w:t xml:space="preserve"> in the </w:t>
            </w:r>
            <w:proofErr w:type="spellStart"/>
            <w:r w:rsidRPr="00B725A9">
              <w:rPr>
                <w:rFonts w:ascii="Arial" w:hAnsi="Arial" w:cs="Arial"/>
                <w:b/>
                <w:color w:val="FFFFFF" w:themeColor="background1"/>
                <w:sz w:val="17"/>
                <w:szCs w:val="17"/>
              </w:rPr>
              <w:t>SWAps</w:t>
            </w:r>
            <w:proofErr w:type="spellEnd"/>
            <w:r w:rsidRPr="00B725A9">
              <w:rPr>
                <w:rFonts w:ascii="Arial" w:hAnsi="Arial" w:cs="Arial"/>
                <w:b/>
                <w:color w:val="FFFFFF" w:themeColor="background1"/>
                <w:sz w:val="17"/>
                <w:szCs w:val="17"/>
              </w:rPr>
              <w:t>/instruments and what was it like? </w:t>
            </w:r>
            <w:r w:rsidRPr="00B725A9">
              <w:rPr>
                <w:rStyle w:val="FootnoteReference"/>
                <w:rFonts w:ascii="Arial" w:hAnsi="Arial" w:cs="Arial"/>
                <w:b/>
                <w:color w:val="FFFFFF" w:themeColor="background1"/>
                <w:sz w:val="17"/>
                <w:szCs w:val="17"/>
              </w:rPr>
              <w:footnoteReference w:id="168"/>
            </w:r>
            <w:r w:rsidRPr="00B725A9">
              <w:rPr>
                <w:rFonts w:ascii="Arial" w:hAnsi="Arial" w:cs="Arial"/>
                <w:b/>
                <w:color w:val="FFFFFF" w:themeColor="background1"/>
                <w:sz w:val="17"/>
                <w:szCs w:val="17"/>
              </w:rPr>
              <w:t> </w:t>
            </w:r>
          </w:p>
        </w:tc>
        <w:tc>
          <w:tcPr>
            <w:tcW w:w="1993" w:type="pct"/>
          </w:tcPr>
          <w:p w:rsidR="009F7318" w:rsidRPr="00B725A9" w:rsidRDefault="009F7318" w:rsidP="00FF2F3D">
            <w:pPr>
              <w:rPr>
                <w:rFonts w:ascii="Arial" w:hAnsi="Arial" w:cs="Arial"/>
                <w:b/>
                <w:color w:val="FFFFFF" w:themeColor="background1"/>
                <w:sz w:val="17"/>
                <w:szCs w:val="17"/>
              </w:rPr>
            </w:pPr>
            <w:r w:rsidRPr="00B725A9">
              <w:rPr>
                <w:rFonts w:ascii="Arial" w:hAnsi="Arial" w:cs="Arial"/>
                <w:b/>
                <w:color w:val="FFFFFF" w:themeColor="background1"/>
                <w:sz w:val="17"/>
                <w:szCs w:val="17"/>
              </w:rPr>
              <w:t xml:space="preserve">Was gender being reported as part of the </w:t>
            </w:r>
            <w:proofErr w:type="spellStart"/>
            <w:r w:rsidRPr="00B725A9">
              <w:rPr>
                <w:rFonts w:ascii="Arial" w:hAnsi="Arial" w:cs="Arial"/>
                <w:b/>
                <w:color w:val="FFFFFF" w:themeColor="background1"/>
                <w:sz w:val="17"/>
                <w:szCs w:val="17"/>
              </w:rPr>
              <w:t>SWAp</w:t>
            </w:r>
            <w:proofErr w:type="spellEnd"/>
            <w:r w:rsidRPr="00B725A9">
              <w:rPr>
                <w:rFonts w:ascii="Arial" w:hAnsi="Arial" w:cs="Arial"/>
                <w:b/>
                <w:color w:val="FFFFFF" w:themeColor="background1"/>
                <w:sz w:val="17"/>
                <w:szCs w:val="17"/>
              </w:rPr>
              <w:t>/annual reviews? </w:t>
            </w:r>
            <w:r w:rsidRPr="00B725A9">
              <w:rPr>
                <w:rStyle w:val="FootnoteReference"/>
                <w:rFonts w:ascii="Arial" w:hAnsi="Arial" w:cs="Arial"/>
                <w:b/>
                <w:color w:val="FFFFFF" w:themeColor="background1"/>
                <w:sz w:val="17"/>
                <w:szCs w:val="17"/>
              </w:rPr>
              <w:footnoteReference w:id="169"/>
            </w:r>
            <w:r w:rsidRPr="00B725A9">
              <w:rPr>
                <w:rFonts w:ascii="Arial" w:hAnsi="Arial" w:cs="Arial"/>
                <w:b/>
                <w:color w:val="FFFFFF" w:themeColor="background1"/>
                <w:sz w:val="17"/>
                <w:szCs w:val="17"/>
              </w:rPr>
              <w:t> </w:t>
            </w:r>
          </w:p>
        </w:tc>
        <w:tc>
          <w:tcPr>
            <w:tcW w:w="954" w:type="pct"/>
          </w:tcPr>
          <w:p w:rsidR="009F7318" w:rsidRPr="00B725A9" w:rsidRDefault="009F7318" w:rsidP="00FF2F3D">
            <w:pPr>
              <w:rPr>
                <w:rFonts w:ascii="Arial" w:hAnsi="Arial" w:cs="Arial"/>
                <w:b/>
                <w:color w:val="FFFFFF" w:themeColor="background1"/>
                <w:sz w:val="17"/>
                <w:szCs w:val="17"/>
              </w:rPr>
            </w:pPr>
            <w:r w:rsidRPr="00B725A9">
              <w:rPr>
                <w:rFonts w:ascii="Arial" w:hAnsi="Arial" w:cs="Arial"/>
                <w:b/>
                <w:color w:val="FFFFFF" w:themeColor="background1"/>
                <w:sz w:val="17"/>
                <w:szCs w:val="17"/>
              </w:rPr>
              <w:t xml:space="preserve">Was gender being reported by </w:t>
            </w:r>
            <w:r w:rsidR="00AB3A0A">
              <w:rPr>
                <w:rFonts w:ascii="Arial" w:hAnsi="Arial" w:cs="Arial"/>
                <w:b/>
                <w:color w:val="FFFFFF" w:themeColor="background1"/>
                <w:sz w:val="17"/>
                <w:szCs w:val="17"/>
              </w:rPr>
              <w:t xml:space="preserve">the </w:t>
            </w:r>
            <w:r w:rsidRPr="00B725A9">
              <w:rPr>
                <w:rFonts w:ascii="Arial" w:hAnsi="Arial" w:cs="Arial"/>
                <w:b/>
                <w:color w:val="FFFFFF" w:themeColor="background1"/>
                <w:sz w:val="17"/>
                <w:szCs w:val="17"/>
              </w:rPr>
              <w:t>Australia</w:t>
            </w:r>
            <w:r w:rsidR="00AB3A0A">
              <w:rPr>
                <w:rFonts w:ascii="Arial" w:hAnsi="Arial" w:cs="Arial"/>
                <w:b/>
                <w:color w:val="FFFFFF" w:themeColor="background1"/>
                <w:sz w:val="17"/>
                <w:szCs w:val="17"/>
              </w:rPr>
              <w:t>n program</w:t>
            </w:r>
            <w:r w:rsidRPr="00B725A9">
              <w:rPr>
                <w:rFonts w:ascii="Arial" w:hAnsi="Arial" w:cs="Arial"/>
                <w:b/>
                <w:color w:val="FFFFFF" w:themeColor="background1"/>
                <w:sz w:val="17"/>
                <w:szCs w:val="17"/>
              </w:rPr>
              <w:t>?</w:t>
            </w:r>
            <w:r w:rsidRPr="00B725A9">
              <w:rPr>
                <w:rStyle w:val="FootnoteReference"/>
                <w:rFonts w:ascii="Arial" w:hAnsi="Arial" w:cs="Arial"/>
                <w:b/>
                <w:color w:val="FFFFFF" w:themeColor="background1"/>
                <w:sz w:val="17"/>
                <w:szCs w:val="17"/>
              </w:rPr>
              <w:t xml:space="preserve"> </w:t>
            </w:r>
            <w:r w:rsidRPr="00B725A9">
              <w:rPr>
                <w:rStyle w:val="FootnoteReference"/>
                <w:rFonts w:ascii="Arial" w:hAnsi="Arial" w:cs="Arial"/>
                <w:b/>
                <w:color w:val="FFFFFF" w:themeColor="background1"/>
                <w:sz w:val="17"/>
                <w:szCs w:val="17"/>
              </w:rPr>
              <w:footnoteReference w:id="170"/>
            </w:r>
          </w:p>
        </w:tc>
      </w:tr>
      <w:tr w:rsidR="009F7318" w:rsidRPr="00B725A9" w:rsidTr="00FF2F3D">
        <w:tc>
          <w:tcPr>
            <w:tcW w:w="5000" w:type="pct"/>
            <w:gridSpan w:val="3"/>
          </w:tcPr>
          <w:p w:rsidR="009F7318" w:rsidRPr="00B725A9" w:rsidRDefault="009F7318" w:rsidP="00FF2F3D">
            <w:pPr>
              <w:jc w:val="center"/>
              <w:rPr>
                <w:rFonts w:cs="Arial"/>
                <w:b/>
                <w:sz w:val="17"/>
                <w:szCs w:val="17"/>
              </w:rPr>
            </w:pPr>
            <w:r w:rsidRPr="00B725A9">
              <w:rPr>
                <w:rFonts w:cs="Arial"/>
                <w:b/>
                <w:sz w:val="17"/>
                <w:szCs w:val="17"/>
              </w:rPr>
              <w:t>Bangladesh</w:t>
            </w:r>
          </w:p>
        </w:tc>
      </w:tr>
      <w:tr w:rsidR="009F7318" w:rsidRPr="00B725A9" w:rsidTr="00FF2F3D">
        <w:tc>
          <w:tcPr>
            <w:tcW w:w="2053" w:type="pct"/>
          </w:tcPr>
          <w:p w:rsidR="009F7318" w:rsidRPr="00B725A9" w:rsidRDefault="009F7318" w:rsidP="00FF2F3D">
            <w:pPr>
              <w:rPr>
                <w:rFonts w:cs="Arial"/>
                <w:b/>
                <w:sz w:val="17"/>
                <w:szCs w:val="17"/>
              </w:rPr>
            </w:pPr>
            <w:r w:rsidRPr="00B725A9">
              <w:rPr>
                <w:rFonts w:cs="Arial"/>
                <w:b/>
                <w:sz w:val="17"/>
                <w:szCs w:val="17"/>
              </w:rPr>
              <w:t xml:space="preserve">There are many references to a strengthened gender focus in the Bangladesh Strategic Plan for </w:t>
            </w:r>
            <w:r w:rsidR="0095141A">
              <w:rPr>
                <w:rFonts w:cs="Arial"/>
                <w:b/>
                <w:sz w:val="17"/>
                <w:szCs w:val="17"/>
              </w:rPr>
              <w:t>HPNSDP</w:t>
            </w:r>
            <w:r w:rsidRPr="00B725A9">
              <w:rPr>
                <w:rFonts w:cs="Arial"/>
                <w:b/>
                <w:sz w:val="17"/>
                <w:szCs w:val="17"/>
              </w:rPr>
              <w:t xml:space="preserve"> 2011-16</w:t>
            </w:r>
            <w:r w:rsidR="00376F19">
              <w:rPr>
                <w:rFonts w:cs="Arial"/>
                <w:b/>
                <w:sz w:val="17"/>
                <w:szCs w:val="17"/>
              </w:rPr>
              <w:t>.</w:t>
            </w:r>
            <w:r w:rsidRPr="00B725A9">
              <w:rPr>
                <w:rStyle w:val="FootnoteReference"/>
                <w:rFonts w:cs="Arial"/>
                <w:b/>
                <w:sz w:val="17"/>
                <w:szCs w:val="17"/>
              </w:rPr>
              <w:footnoteReference w:id="171"/>
            </w:r>
            <w:r w:rsidRPr="00B725A9">
              <w:rPr>
                <w:rFonts w:cs="Arial"/>
                <w:b/>
                <w:sz w:val="17"/>
                <w:szCs w:val="17"/>
              </w:rPr>
              <w:t xml:space="preserve"> For example:</w:t>
            </w:r>
          </w:p>
          <w:p w:rsidR="009F7318" w:rsidRPr="00B725A9" w:rsidRDefault="009F7318" w:rsidP="00FF2F3D">
            <w:pPr>
              <w:rPr>
                <w:rFonts w:cs="Arial"/>
                <w:sz w:val="17"/>
                <w:szCs w:val="17"/>
              </w:rPr>
            </w:pPr>
            <w:r w:rsidRPr="00B725A9">
              <w:rPr>
                <w:rFonts w:cs="Arial"/>
                <w:sz w:val="17"/>
                <w:szCs w:val="17"/>
              </w:rPr>
              <w:t>With a view to strengthening the health systems, MOHFW during the next sector program, will give priority to addressing issues in the areas of stewardship and governance, legal and regulatory framework, mainstreaming gender, equity and voice in the core programs.(p. ix)</w:t>
            </w:r>
          </w:p>
          <w:p w:rsidR="009F7318" w:rsidRDefault="009F7318" w:rsidP="00FF2F3D">
            <w:pPr>
              <w:rPr>
                <w:rFonts w:cs="Arial"/>
                <w:i/>
                <w:sz w:val="17"/>
                <w:szCs w:val="17"/>
              </w:rPr>
            </w:pPr>
            <w:r w:rsidRPr="00B725A9">
              <w:rPr>
                <w:rFonts w:cs="Arial"/>
                <w:sz w:val="17"/>
                <w:szCs w:val="17"/>
              </w:rPr>
              <w:t>There are various mentions of gender in the situation analysis/problem statement in the intro (</w:t>
            </w:r>
            <w:r>
              <w:rPr>
                <w:rFonts w:cs="Arial"/>
                <w:sz w:val="17"/>
                <w:szCs w:val="17"/>
              </w:rPr>
              <w:t>especially</w:t>
            </w:r>
            <w:r w:rsidRPr="00B725A9">
              <w:rPr>
                <w:rFonts w:cs="Arial"/>
                <w:sz w:val="17"/>
                <w:szCs w:val="17"/>
              </w:rPr>
              <w:t xml:space="preserve"> p.2-3). </w:t>
            </w:r>
            <w:r w:rsidRPr="00B725A9">
              <w:rPr>
                <w:rFonts w:cs="Arial"/>
                <w:i/>
                <w:sz w:val="17"/>
                <w:szCs w:val="17"/>
              </w:rPr>
              <w:t>For example:</w:t>
            </w:r>
          </w:p>
          <w:p w:rsidR="009F7318" w:rsidRPr="00962D84" w:rsidRDefault="009F7318" w:rsidP="00FF2F3D">
            <w:pPr>
              <w:pStyle w:val="TableBullet"/>
              <w:rPr>
                <w:i/>
              </w:rPr>
            </w:pPr>
            <w:r w:rsidRPr="00962D84">
              <w:rPr>
                <w:i/>
              </w:rPr>
              <w:t>The reproductive and adolescent health</w:t>
            </w:r>
            <w:r w:rsidRPr="00962D84">
              <w:t xml:space="preserve"> related priority interventions will include: Improving knowledge of adolescents on reproductive health and gender equity issues. p.11).</w:t>
            </w:r>
          </w:p>
          <w:p w:rsidR="009F7318" w:rsidRPr="00962D84" w:rsidRDefault="009F7318" w:rsidP="00FF2F3D">
            <w:pPr>
              <w:pStyle w:val="TableBullet"/>
              <w:rPr>
                <w:rFonts w:cs="Arial"/>
                <w:i/>
              </w:rPr>
            </w:pPr>
            <w:r>
              <w:t>Mainstreaming Gender into Nutrition Programming: (p.15).</w:t>
            </w:r>
          </w:p>
          <w:p w:rsidR="009F7318" w:rsidRPr="00962D84" w:rsidRDefault="009F7318" w:rsidP="00FF2F3D">
            <w:pPr>
              <w:pStyle w:val="TableBullet"/>
              <w:rPr>
                <w:rFonts w:cs="Arial"/>
                <w:i/>
              </w:rPr>
            </w:pPr>
            <w:r>
              <w:t xml:space="preserve">Gender and Special Care: (p.29). </w:t>
            </w:r>
          </w:p>
          <w:p w:rsidR="009F7318" w:rsidRDefault="009F7318" w:rsidP="00FF2F3D">
            <w:pPr>
              <w:rPr>
                <w:rFonts w:cs="Arial"/>
                <w:bCs/>
                <w:i/>
                <w:sz w:val="17"/>
                <w:szCs w:val="17"/>
              </w:rPr>
            </w:pPr>
          </w:p>
          <w:p w:rsidR="009F7318" w:rsidRDefault="009F7318" w:rsidP="00FF2F3D">
            <w:pPr>
              <w:rPr>
                <w:rFonts w:cs="Arial"/>
                <w:sz w:val="17"/>
                <w:szCs w:val="17"/>
              </w:rPr>
            </w:pPr>
            <w:r w:rsidRPr="00B725A9">
              <w:rPr>
                <w:rFonts w:cs="Arial"/>
                <w:bCs/>
                <w:i/>
                <w:sz w:val="17"/>
                <w:szCs w:val="17"/>
              </w:rPr>
              <w:t>5.2. Gender, Equity and Voice</w:t>
            </w:r>
            <w:r>
              <w:rPr>
                <w:rFonts w:cs="Arial"/>
                <w:bCs/>
                <w:i/>
                <w:sz w:val="17"/>
                <w:szCs w:val="17"/>
              </w:rPr>
              <w:t xml:space="preserve"> (GEV</w:t>
            </w:r>
            <w:r w:rsidR="00EB4EEA">
              <w:rPr>
                <w:rFonts w:cs="Arial"/>
                <w:bCs/>
                <w:i/>
                <w:sz w:val="17"/>
                <w:szCs w:val="17"/>
              </w:rPr>
              <w:t>)</w:t>
            </w:r>
            <w:r w:rsidRPr="00B725A9">
              <w:rPr>
                <w:rFonts w:cs="Arial"/>
                <w:bCs/>
                <w:i/>
                <w:sz w:val="17"/>
                <w:szCs w:val="17"/>
              </w:rPr>
              <w:t xml:space="preserve">. </w:t>
            </w:r>
            <w:r w:rsidRPr="00B725A9">
              <w:rPr>
                <w:rFonts w:cs="Arial"/>
                <w:sz w:val="17"/>
                <w:szCs w:val="17"/>
              </w:rPr>
              <w:t>The Government of Bangladesh has made it a priority to eliminate discrimination against women and girls and promote gender equity. The existing Gender Equity Strategy of MOHFW will be reviewed and revised… Clients’ Charter of Rights and patient’s duties and respo</w:t>
            </w:r>
            <w:r>
              <w:rPr>
                <w:rFonts w:cs="Arial"/>
                <w:sz w:val="17"/>
                <w:szCs w:val="17"/>
              </w:rPr>
              <w:t>nsibilities would be redesigned</w:t>
            </w:r>
            <w:r w:rsidRPr="00B725A9">
              <w:rPr>
                <w:rFonts w:cs="Arial"/>
                <w:sz w:val="17"/>
                <w:szCs w:val="17"/>
              </w:rPr>
              <w:t xml:space="preserve">… The implementation of the Citizen’s Charter for health service delivery will be ensured in the health facilities. </w:t>
            </w:r>
          </w:p>
          <w:p w:rsidR="009F7318" w:rsidRPr="00962D84" w:rsidRDefault="009F7318" w:rsidP="00FF2F3D">
            <w:pPr>
              <w:pStyle w:val="TableBullet"/>
              <w:rPr>
                <w:i/>
              </w:rPr>
            </w:pPr>
            <w:r>
              <w:t>Ma</w:t>
            </w:r>
            <w:r w:rsidRPr="00B725A9">
              <w:t xml:space="preserve">instreaming GEV issues in all relevant </w:t>
            </w:r>
            <w:r w:rsidRPr="00B725A9">
              <w:lastRenderedPageBreak/>
              <w:t>programs along with capacity development of the service providers and ensuring that they are adequately budgeted for.</w:t>
            </w:r>
          </w:p>
          <w:p w:rsidR="009F7318" w:rsidRPr="00962D84" w:rsidRDefault="009F7318" w:rsidP="00FF2F3D">
            <w:pPr>
              <w:pStyle w:val="TableBullet"/>
              <w:rPr>
                <w:i/>
              </w:rPr>
            </w:pPr>
            <w:r>
              <w:t xml:space="preserve">Improving </w:t>
            </w:r>
            <w:r w:rsidRPr="00B725A9">
              <w:t xml:space="preserve">coordination on GEV issues through assigning and strengthening Gender, NGO </w:t>
            </w:r>
            <w:r>
              <w:t>and Stakeholder Participation</w:t>
            </w:r>
            <w:r w:rsidR="009A7F3B">
              <w:t xml:space="preserve"> </w:t>
            </w:r>
            <w:r w:rsidRPr="00B725A9">
              <w:t>Unit as the focal point.</w:t>
            </w:r>
          </w:p>
          <w:p w:rsidR="009F7318" w:rsidRPr="00962D84" w:rsidRDefault="009F7318" w:rsidP="00FF2F3D">
            <w:pPr>
              <w:pStyle w:val="TableBullet"/>
              <w:rPr>
                <w:i/>
              </w:rPr>
            </w:pPr>
            <w:r>
              <w:t xml:space="preserve">Ensuring </w:t>
            </w:r>
            <w:r w:rsidRPr="00B725A9">
              <w:t xml:space="preserve">that GEV and accountability concerns are addressed in the objectives, activities and indicators of all </w:t>
            </w:r>
            <w:r>
              <w:t xml:space="preserve">operational plans </w:t>
            </w:r>
            <w:r w:rsidRPr="00B725A9">
              <w:t>and in the overall results framework (p.33-34)</w:t>
            </w:r>
            <w:r>
              <w:t>.</w:t>
            </w:r>
          </w:p>
          <w:p w:rsidR="009F7318" w:rsidRPr="00962D84" w:rsidRDefault="009F7318" w:rsidP="00FF2F3D">
            <w:pPr>
              <w:pStyle w:val="TableBullet"/>
            </w:pPr>
            <w:r>
              <w:t>H</w:t>
            </w:r>
            <w:r w:rsidRPr="00B725A9">
              <w:t>IS: Data will be disaggregated by poverty indicators and gender (p.41).</w:t>
            </w:r>
          </w:p>
          <w:p w:rsidR="009F7318" w:rsidRPr="00962D84" w:rsidRDefault="009F7318" w:rsidP="00FF2F3D">
            <w:pPr>
              <w:pStyle w:val="TableBullet"/>
            </w:pPr>
            <w:proofErr w:type="spellStart"/>
            <w:r w:rsidRPr="00962D84">
              <w:rPr>
                <w:bCs/>
              </w:rPr>
              <w:t>SWAp</w:t>
            </w:r>
            <w:proofErr w:type="spellEnd"/>
            <w:r w:rsidRPr="00962D84">
              <w:rPr>
                <w:bCs/>
              </w:rPr>
              <w:t xml:space="preserve"> Arrangements and DP Coordination: there will be v</w:t>
            </w:r>
            <w:r w:rsidRPr="00962D84">
              <w:t>arious joint task groups and technical committees operate under the sector program. GEV will be one of them. (p.52).</w:t>
            </w:r>
          </w:p>
          <w:p w:rsidR="009F7318" w:rsidRPr="00B725A9" w:rsidRDefault="009F7318" w:rsidP="00FF2F3D">
            <w:pPr>
              <w:autoSpaceDE w:val="0"/>
              <w:autoSpaceDN w:val="0"/>
              <w:adjustRightInd w:val="0"/>
              <w:rPr>
                <w:rFonts w:cs="Arial"/>
                <w:bCs/>
                <w:sz w:val="17"/>
                <w:szCs w:val="17"/>
              </w:rPr>
            </w:pPr>
            <w:r w:rsidRPr="00B725A9">
              <w:rPr>
                <w:rFonts w:cs="Arial"/>
                <w:b/>
                <w:bCs/>
                <w:sz w:val="17"/>
                <w:szCs w:val="17"/>
              </w:rPr>
              <w:t xml:space="preserve">The Program Implementation Plan Volume-I also makes many references to how </w:t>
            </w:r>
            <w:r>
              <w:rPr>
                <w:rFonts w:cs="Arial"/>
                <w:b/>
                <w:bCs/>
                <w:sz w:val="17"/>
                <w:szCs w:val="17"/>
              </w:rPr>
              <w:t>GEV</w:t>
            </w:r>
            <w:r w:rsidRPr="00B725A9">
              <w:rPr>
                <w:rFonts w:cs="Arial"/>
                <w:b/>
                <w:bCs/>
                <w:sz w:val="17"/>
                <w:szCs w:val="17"/>
              </w:rPr>
              <w:t xml:space="preserve"> will be incorporated into</w:t>
            </w:r>
            <w:r w:rsidR="00EF1ED6">
              <w:rPr>
                <w:rFonts w:cs="Arial"/>
                <w:b/>
                <w:bCs/>
                <w:sz w:val="17"/>
                <w:szCs w:val="17"/>
              </w:rPr>
              <w:t xml:space="preserve"> operational plans </w:t>
            </w:r>
            <w:r w:rsidRPr="00B725A9">
              <w:rPr>
                <w:rFonts w:cs="Arial"/>
                <w:b/>
                <w:bCs/>
                <w:sz w:val="17"/>
                <w:szCs w:val="17"/>
              </w:rPr>
              <w:t>such as: Reproductive and Adolescent Health</w:t>
            </w:r>
            <w:r w:rsidRPr="00B725A9">
              <w:rPr>
                <w:rFonts w:cs="Arial"/>
                <w:bCs/>
                <w:sz w:val="17"/>
                <w:szCs w:val="17"/>
              </w:rPr>
              <w:t xml:space="preserve"> (p.12); </w:t>
            </w:r>
            <w:r w:rsidRPr="00B725A9">
              <w:rPr>
                <w:rFonts w:cs="Arial"/>
                <w:b/>
                <w:bCs/>
                <w:sz w:val="17"/>
                <w:szCs w:val="17"/>
              </w:rPr>
              <w:t xml:space="preserve">Nutrition and Food Safety (p 14); </w:t>
            </w:r>
            <w:r w:rsidRPr="00B725A9">
              <w:rPr>
                <w:rFonts w:cs="Arial"/>
                <w:bCs/>
                <w:sz w:val="17"/>
                <w:szCs w:val="17"/>
              </w:rPr>
              <w:t>Secondary and Tertiary Health Care (p 20);  Human Resources for Health (HR</w:t>
            </w:r>
            <w:r w:rsidR="009A7F3B">
              <w:rPr>
                <w:rFonts w:cs="Arial"/>
                <w:bCs/>
                <w:sz w:val="17"/>
                <w:szCs w:val="17"/>
              </w:rPr>
              <w:t>H</w:t>
            </w:r>
            <w:r w:rsidRPr="00B725A9">
              <w:rPr>
                <w:rFonts w:cs="Arial"/>
                <w:bCs/>
                <w:sz w:val="17"/>
                <w:szCs w:val="17"/>
              </w:rPr>
              <w:t>), Training and Nursing Services Priority intervention (p 26); etc.</w:t>
            </w:r>
          </w:p>
          <w:p w:rsidR="009F7318" w:rsidRPr="00B725A9" w:rsidRDefault="009F7318" w:rsidP="00FF2F3D">
            <w:pPr>
              <w:autoSpaceDE w:val="0"/>
              <w:autoSpaceDN w:val="0"/>
              <w:adjustRightInd w:val="0"/>
              <w:rPr>
                <w:rFonts w:cs="Arial"/>
                <w:bCs/>
                <w:sz w:val="17"/>
                <w:szCs w:val="17"/>
              </w:rPr>
            </w:pPr>
            <w:r w:rsidRPr="00B725A9">
              <w:rPr>
                <w:rFonts w:cs="Arial"/>
                <w:bCs/>
                <w:sz w:val="17"/>
                <w:szCs w:val="17"/>
              </w:rPr>
              <w:t xml:space="preserve">There are also references to specific studies to be undertaken relating to many topics, including gender. For example: </w:t>
            </w:r>
          </w:p>
          <w:p w:rsidR="009F7318" w:rsidRPr="00B725A9" w:rsidRDefault="009F7318" w:rsidP="00FF2F3D">
            <w:pPr>
              <w:pStyle w:val="TableBullet"/>
            </w:pPr>
            <w:r w:rsidRPr="00B725A9">
              <w:t>Violence against women: measuring the gap between incidence and reporting</w:t>
            </w:r>
          </w:p>
          <w:p w:rsidR="009F7318" w:rsidRPr="00B725A9" w:rsidRDefault="009F7318" w:rsidP="00FF2F3D">
            <w:pPr>
              <w:pStyle w:val="TableBullet"/>
            </w:pPr>
            <w:r w:rsidRPr="00B725A9">
              <w:t xml:space="preserve">Measure of Unmet need of </w:t>
            </w:r>
            <w:r w:rsidR="00642530">
              <w:t>reproductive health</w:t>
            </w:r>
          </w:p>
          <w:p w:rsidR="009F7318" w:rsidRPr="00B725A9" w:rsidRDefault="009F7318" w:rsidP="00FF2F3D">
            <w:pPr>
              <w:pStyle w:val="TableBullet"/>
            </w:pPr>
            <w:r w:rsidRPr="00B725A9">
              <w:t>Situation analysis of female service providers</w:t>
            </w:r>
          </w:p>
          <w:p w:rsidR="009F7318" w:rsidRPr="00B725A9" w:rsidRDefault="009F7318" w:rsidP="00FF2F3D">
            <w:pPr>
              <w:pStyle w:val="TableBullet"/>
            </w:pPr>
            <w:r w:rsidRPr="00B725A9">
              <w:t>Analysis of different committees of stakeholders’ contribution in policy</w:t>
            </w:r>
          </w:p>
          <w:p w:rsidR="009F7318" w:rsidRPr="00B725A9" w:rsidRDefault="009F7318" w:rsidP="00013434">
            <w:pPr>
              <w:pStyle w:val="TableBullet"/>
            </w:pPr>
            <w:r w:rsidRPr="00B725A9">
              <w:t xml:space="preserve">Capacity Building on </w:t>
            </w:r>
            <w:r w:rsidR="00013434" w:rsidRPr="00013434">
              <w:t xml:space="preserve">Equity, Gender and Voice, NGO participation </w:t>
            </w:r>
            <w:r w:rsidR="00013434">
              <w:t>(</w:t>
            </w:r>
            <w:r w:rsidRPr="00B725A9">
              <w:t>EGVNP</w:t>
            </w:r>
            <w:r w:rsidR="00013434">
              <w:t>)</w:t>
            </w:r>
            <w:r w:rsidRPr="00B725A9">
              <w:t xml:space="preserve"> Issues for policy planners, managers, providers and stakeholders:</w:t>
            </w:r>
          </w:p>
          <w:p w:rsidR="009F7318" w:rsidRPr="0030422C" w:rsidRDefault="009F7318" w:rsidP="00FF2F3D">
            <w:pPr>
              <w:pStyle w:val="TableBullet"/>
            </w:pPr>
            <w:r w:rsidRPr="00B725A9">
              <w:t>Local short training, workshops and seminars</w:t>
            </w:r>
            <w:r>
              <w:t>.</w:t>
            </w:r>
          </w:p>
        </w:tc>
        <w:tc>
          <w:tcPr>
            <w:tcW w:w="1993" w:type="pct"/>
          </w:tcPr>
          <w:p w:rsidR="009F7318" w:rsidRPr="00B725A9" w:rsidRDefault="009F7318" w:rsidP="00FF2F3D">
            <w:pPr>
              <w:rPr>
                <w:rFonts w:cs="Arial"/>
                <w:b/>
                <w:sz w:val="17"/>
                <w:szCs w:val="17"/>
              </w:rPr>
            </w:pPr>
            <w:r w:rsidRPr="00B725A9">
              <w:rPr>
                <w:rFonts w:cs="Arial"/>
                <w:b/>
                <w:sz w:val="17"/>
                <w:szCs w:val="17"/>
              </w:rPr>
              <w:lastRenderedPageBreak/>
              <w:t>The ANNUAL</w:t>
            </w:r>
            <w:r w:rsidR="00D00308">
              <w:rPr>
                <w:rFonts w:cs="Arial"/>
                <w:b/>
                <w:sz w:val="17"/>
                <w:szCs w:val="17"/>
              </w:rPr>
              <w:t xml:space="preserve"> PROGRAM IMPLEMENTATION REPORT</w:t>
            </w:r>
            <w:r w:rsidRPr="00B725A9">
              <w:rPr>
                <w:rFonts w:cs="Arial"/>
                <w:b/>
                <w:sz w:val="17"/>
                <w:szCs w:val="17"/>
              </w:rPr>
              <w:t xml:space="preserve"> 2012, MOHFW provides progress on M&amp;E indicators, including gender. These are excerpts:</w:t>
            </w:r>
          </w:p>
          <w:p w:rsidR="009F7318" w:rsidRPr="00B725A9" w:rsidRDefault="009F7318" w:rsidP="00FF2F3D">
            <w:pPr>
              <w:rPr>
                <w:rFonts w:cs="Arial"/>
                <w:sz w:val="17"/>
                <w:szCs w:val="17"/>
              </w:rPr>
            </w:pPr>
            <w:r w:rsidRPr="00B725A9">
              <w:rPr>
                <w:rFonts w:cs="Arial"/>
                <w:i/>
                <w:sz w:val="17"/>
                <w:szCs w:val="17"/>
              </w:rPr>
              <w:t xml:space="preserve">IEC indicators: </w:t>
            </w:r>
            <w:r w:rsidR="00DF1DD1">
              <w:rPr>
                <w:rFonts w:cs="Arial"/>
                <w:sz w:val="17"/>
                <w:szCs w:val="17"/>
              </w:rPr>
              <w:t xml:space="preserve">6. Musical show on Family planning-maternal and child health </w:t>
            </w:r>
            <w:r w:rsidRPr="00B725A9">
              <w:rPr>
                <w:rFonts w:cs="Arial"/>
                <w:sz w:val="17"/>
                <w:szCs w:val="17"/>
              </w:rPr>
              <w:t>&amp; gender issues using local team with local dialect organized NOT ACHIEVED</w:t>
            </w:r>
            <w:r w:rsidR="009A7F3B">
              <w:rPr>
                <w:rFonts w:cs="Arial"/>
                <w:sz w:val="17"/>
                <w:szCs w:val="17"/>
              </w:rPr>
              <w:t>.</w:t>
            </w:r>
            <w:r w:rsidRPr="00B725A9">
              <w:rPr>
                <w:rFonts w:cs="Arial"/>
                <w:sz w:val="17"/>
                <w:szCs w:val="17"/>
              </w:rPr>
              <w:t xml:space="preserve"> (p.35-36)</w:t>
            </w:r>
          </w:p>
          <w:p w:rsidR="009F7318" w:rsidRPr="00B725A9" w:rsidRDefault="009F7318" w:rsidP="00FF2F3D">
            <w:pPr>
              <w:rPr>
                <w:rFonts w:cs="Arial"/>
                <w:sz w:val="17"/>
                <w:szCs w:val="17"/>
              </w:rPr>
            </w:pPr>
            <w:r w:rsidRPr="00B725A9">
              <w:rPr>
                <w:rFonts w:cs="Arial"/>
                <w:bCs/>
                <w:i/>
                <w:sz w:val="17"/>
                <w:szCs w:val="17"/>
              </w:rPr>
              <w:t xml:space="preserve">Health Economics and Financing </w:t>
            </w:r>
            <w:r w:rsidRPr="00B725A9">
              <w:rPr>
                <w:rFonts w:cs="Arial"/>
                <w:i/>
                <w:sz w:val="17"/>
                <w:szCs w:val="17"/>
              </w:rPr>
              <w:t xml:space="preserve"> </w:t>
            </w:r>
            <w:r w:rsidRPr="00B725A9">
              <w:rPr>
                <w:rFonts w:cs="Arial"/>
                <w:sz w:val="17"/>
                <w:szCs w:val="17"/>
              </w:rPr>
              <w:t>Indicators</w:t>
            </w:r>
          </w:p>
          <w:p w:rsidR="009F7318" w:rsidRPr="00B725A9" w:rsidRDefault="009F7318" w:rsidP="00FF2F3D">
            <w:pPr>
              <w:numPr>
                <w:ilvl w:val="0"/>
                <w:numId w:val="22"/>
              </w:numPr>
              <w:spacing w:before="0" w:after="0" w:line="240" w:lineRule="auto"/>
              <w:rPr>
                <w:rFonts w:cs="Arial"/>
                <w:sz w:val="17"/>
                <w:szCs w:val="17"/>
              </w:rPr>
            </w:pPr>
            <w:r w:rsidRPr="00B725A9">
              <w:rPr>
                <w:rFonts w:cs="Arial"/>
                <w:sz w:val="17"/>
                <w:szCs w:val="17"/>
              </w:rPr>
              <w:t>EGVNP)strategies developed: NOT ACHIEVED</w:t>
            </w:r>
          </w:p>
          <w:p w:rsidR="009F7318" w:rsidRPr="00B725A9" w:rsidRDefault="009F7318" w:rsidP="00FF2F3D">
            <w:pPr>
              <w:numPr>
                <w:ilvl w:val="0"/>
                <w:numId w:val="22"/>
              </w:numPr>
              <w:spacing w:before="0" w:after="0" w:line="240" w:lineRule="auto"/>
              <w:rPr>
                <w:rFonts w:cs="Arial"/>
                <w:sz w:val="17"/>
                <w:szCs w:val="17"/>
              </w:rPr>
            </w:pPr>
            <w:r w:rsidRPr="00B725A9">
              <w:rPr>
                <w:rFonts w:cs="Arial"/>
                <w:sz w:val="17"/>
                <w:szCs w:val="17"/>
              </w:rPr>
              <w:t>Number of EGVNP training conducted: 2 (70 people) ACHIEVED</w:t>
            </w:r>
          </w:p>
          <w:p w:rsidR="009F7318" w:rsidRPr="00B725A9" w:rsidRDefault="009F7318" w:rsidP="00FF2F3D">
            <w:pPr>
              <w:numPr>
                <w:ilvl w:val="0"/>
                <w:numId w:val="22"/>
              </w:numPr>
              <w:spacing w:before="0" w:after="0" w:line="240" w:lineRule="auto"/>
              <w:rPr>
                <w:rFonts w:cs="Arial"/>
                <w:sz w:val="17"/>
                <w:szCs w:val="17"/>
              </w:rPr>
            </w:pPr>
            <w:r w:rsidRPr="00B725A9">
              <w:rPr>
                <w:rFonts w:cs="Arial"/>
                <w:sz w:val="17"/>
                <w:szCs w:val="17"/>
              </w:rPr>
              <w:t>EGNVP Policy research conducted: NOT ACHIEVED</w:t>
            </w:r>
          </w:p>
          <w:p w:rsidR="009F7318" w:rsidRPr="00B725A9" w:rsidRDefault="009F7318" w:rsidP="00FF2F3D">
            <w:pPr>
              <w:numPr>
                <w:ilvl w:val="0"/>
                <w:numId w:val="22"/>
              </w:numPr>
              <w:spacing w:before="0" w:after="0" w:line="240" w:lineRule="auto"/>
              <w:rPr>
                <w:rFonts w:cs="Arial"/>
                <w:sz w:val="17"/>
                <w:szCs w:val="17"/>
              </w:rPr>
            </w:pPr>
            <w:r w:rsidRPr="00B725A9">
              <w:rPr>
                <w:rFonts w:cs="Arial"/>
                <w:sz w:val="17"/>
                <w:szCs w:val="17"/>
              </w:rPr>
              <w:t>EGNVP  Workshops conducted: NOT ACHIEVED</w:t>
            </w:r>
          </w:p>
          <w:p w:rsidR="009F7318" w:rsidRPr="00B725A9" w:rsidRDefault="009F7318" w:rsidP="00FF2F3D">
            <w:pPr>
              <w:numPr>
                <w:ilvl w:val="0"/>
                <w:numId w:val="22"/>
              </w:numPr>
              <w:spacing w:before="0" w:after="0" w:line="240" w:lineRule="auto"/>
              <w:rPr>
                <w:rFonts w:cs="Arial"/>
                <w:sz w:val="17"/>
                <w:szCs w:val="17"/>
              </w:rPr>
            </w:pPr>
            <w:r w:rsidRPr="00B725A9">
              <w:rPr>
                <w:rFonts w:cs="Arial"/>
                <w:sz w:val="17"/>
                <w:szCs w:val="17"/>
              </w:rPr>
              <w:t>EGVNP and stakeholders issues piloted: NOT ACHIEVED</w:t>
            </w:r>
          </w:p>
          <w:p w:rsidR="009F7318" w:rsidRPr="00B725A9" w:rsidRDefault="009F7318" w:rsidP="00FF2F3D">
            <w:pPr>
              <w:numPr>
                <w:ilvl w:val="0"/>
                <w:numId w:val="22"/>
              </w:numPr>
              <w:spacing w:before="0" w:after="0" w:line="240" w:lineRule="auto"/>
              <w:rPr>
                <w:rFonts w:cs="Arial"/>
                <w:sz w:val="17"/>
                <w:szCs w:val="17"/>
              </w:rPr>
            </w:pPr>
            <w:r>
              <w:rPr>
                <w:rFonts w:cs="Arial"/>
                <w:sz w:val="17"/>
                <w:szCs w:val="17"/>
              </w:rPr>
              <w:t>Analys</w:t>
            </w:r>
            <w:r w:rsidRPr="00B725A9">
              <w:rPr>
                <w:rFonts w:cs="Arial"/>
                <w:sz w:val="17"/>
                <w:szCs w:val="17"/>
              </w:rPr>
              <w:t>ing health expenditure, service utilization, HR etc</w:t>
            </w:r>
            <w:r>
              <w:rPr>
                <w:rFonts w:cs="Arial"/>
                <w:sz w:val="17"/>
                <w:szCs w:val="17"/>
              </w:rPr>
              <w:t>.</w:t>
            </w:r>
            <w:r w:rsidRPr="00B725A9">
              <w:rPr>
                <w:rFonts w:cs="Arial"/>
                <w:sz w:val="17"/>
                <w:szCs w:val="17"/>
              </w:rPr>
              <w:t xml:space="preserve"> from gender and equity perspectives:  1 PER conduc</w:t>
            </w:r>
            <w:r>
              <w:rPr>
                <w:rFonts w:cs="Arial"/>
                <w:sz w:val="17"/>
                <w:szCs w:val="17"/>
              </w:rPr>
              <w:t>ted, focusing gender (achieved).</w:t>
            </w:r>
          </w:p>
          <w:p w:rsidR="009F7318" w:rsidRPr="00B725A9" w:rsidRDefault="009F7318" w:rsidP="00FF2F3D">
            <w:pPr>
              <w:rPr>
                <w:rFonts w:cs="Arial"/>
                <w:bCs/>
                <w:i/>
                <w:iCs/>
                <w:sz w:val="17"/>
                <w:szCs w:val="17"/>
              </w:rPr>
            </w:pPr>
            <w:r w:rsidRPr="00B725A9">
              <w:rPr>
                <w:rFonts w:cs="Arial"/>
                <w:bCs/>
                <w:sz w:val="17"/>
                <w:szCs w:val="17"/>
              </w:rPr>
              <w:t>Training, Research, and</w:t>
            </w:r>
            <w:r w:rsidRPr="00B725A9">
              <w:rPr>
                <w:rFonts w:cs="Arial"/>
                <w:b/>
                <w:bCs/>
                <w:sz w:val="17"/>
                <w:szCs w:val="17"/>
              </w:rPr>
              <w:t xml:space="preserve"> </w:t>
            </w:r>
            <w:r w:rsidRPr="00B725A9">
              <w:rPr>
                <w:rFonts w:cs="Arial"/>
                <w:bCs/>
                <w:sz w:val="17"/>
                <w:szCs w:val="17"/>
              </w:rPr>
              <w:t xml:space="preserve">Development (TRD) of </w:t>
            </w:r>
            <w:r w:rsidR="00013434">
              <w:rPr>
                <w:rFonts w:cs="Arial"/>
                <w:bCs/>
                <w:sz w:val="17"/>
                <w:szCs w:val="17"/>
              </w:rPr>
              <w:t xml:space="preserve">the </w:t>
            </w:r>
            <w:r w:rsidR="00013434" w:rsidRPr="00013434">
              <w:rPr>
                <w:rFonts w:cs="Arial"/>
                <w:bCs/>
                <w:sz w:val="17"/>
                <w:szCs w:val="17"/>
              </w:rPr>
              <w:t>National Institute of Population Research and Training</w:t>
            </w:r>
            <w:r w:rsidRPr="00B725A9">
              <w:rPr>
                <w:rFonts w:cs="Arial"/>
                <w:bCs/>
                <w:sz w:val="17"/>
                <w:szCs w:val="17"/>
              </w:rPr>
              <w:t xml:space="preserve">. </w:t>
            </w:r>
            <w:r w:rsidRPr="00B725A9">
              <w:rPr>
                <w:rFonts w:cs="Arial"/>
                <w:bCs/>
                <w:i/>
                <w:iCs/>
                <w:sz w:val="17"/>
                <w:szCs w:val="17"/>
              </w:rPr>
              <w:t>Maj</w:t>
            </w:r>
            <w:r w:rsidR="00DF1DD1">
              <w:rPr>
                <w:rFonts w:cs="Arial"/>
                <w:bCs/>
                <w:i/>
                <w:iCs/>
                <w:sz w:val="17"/>
                <w:szCs w:val="17"/>
              </w:rPr>
              <w:t xml:space="preserve">or achievement of TRD during Financial Year </w:t>
            </w:r>
            <w:r w:rsidRPr="00B725A9">
              <w:rPr>
                <w:rFonts w:cs="Arial"/>
                <w:bCs/>
                <w:i/>
                <w:iCs/>
                <w:sz w:val="17"/>
                <w:szCs w:val="17"/>
              </w:rPr>
              <w:t>2011-12:</w:t>
            </w:r>
          </w:p>
          <w:p w:rsidR="009F7318" w:rsidRDefault="009F7318" w:rsidP="00FF2F3D">
            <w:pPr>
              <w:numPr>
                <w:ilvl w:val="0"/>
                <w:numId w:val="23"/>
              </w:numPr>
              <w:autoSpaceDE w:val="0"/>
              <w:autoSpaceDN w:val="0"/>
              <w:adjustRightInd w:val="0"/>
              <w:spacing w:before="0" w:after="0" w:line="240" w:lineRule="auto"/>
              <w:rPr>
                <w:rFonts w:cs="Arial"/>
                <w:sz w:val="17"/>
                <w:szCs w:val="17"/>
              </w:rPr>
            </w:pPr>
            <w:r w:rsidRPr="00B725A9">
              <w:rPr>
                <w:rFonts w:cs="Arial"/>
                <w:sz w:val="17"/>
                <w:szCs w:val="17"/>
              </w:rPr>
              <w:t>One batch of gender and organizational</w:t>
            </w:r>
            <w:r>
              <w:rPr>
                <w:rFonts w:cs="Arial"/>
                <w:sz w:val="17"/>
                <w:szCs w:val="17"/>
              </w:rPr>
              <w:t xml:space="preserve"> development training conducted.</w:t>
            </w:r>
          </w:p>
          <w:p w:rsidR="009F7318" w:rsidRDefault="009F7318" w:rsidP="00FF2F3D">
            <w:pPr>
              <w:autoSpaceDE w:val="0"/>
              <w:autoSpaceDN w:val="0"/>
              <w:adjustRightInd w:val="0"/>
              <w:spacing w:before="0" w:after="0" w:line="240" w:lineRule="auto"/>
              <w:rPr>
                <w:rFonts w:cs="Arial"/>
                <w:sz w:val="17"/>
                <w:szCs w:val="17"/>
              </w:rPr>
            </w:pPr>
          </w:p>
          <w:p w:rsidR="009F7318" w:rsidRDefault="009F7318" w:rsidP="00FF2F3D">
            <w:pPr>
              <w:autoSpaceDE w:val="0"/>
              <w:autoSpaceDN w:val="0"/>
              <w:adjustRightInd w:val="0"/>
              <w:spacing w:before="0" w:after="0" w:line="240" w:lineRule="auto"/>
              <w:rPr>
                <w:rFonts w:cs="Arial"/>
                <w:sz w:val="17"/>
                <w:szCs w:val="17"/>
              </w:rPr>
            </w:pPr>
          </w:p>
          <w:p w:rsidR="009F7318" w:rsidRPr="00B725A9" w:rsidRDefault="009F7318" w:rsidP="00FF2F3D">
            <w:pPr>
              <w:rPr>
                <w:rFonts w:cs="Arial"/>
                <w:b/>
                <w:bCs/>
                <w:sz w:val="17"/>
                <w:szCs w:val="17"/>
              </w:rPr>
            </w:pPr>
            <w:r w:rsidRPr="00B725A9">
              <w:rPr>
                <w:rFonts w:cs="Arial"/>
                <w:b/>
                <w:bCs/>
                <w:sz w:val="17"/>
                <w:szCs w:val="17"/>
              </w:rPr>
              <w:lastRenderedPageBreak/>
              <w:t>4.7 PHYSICAL FACILITIES AND MAINTENANCE</w:t>
            </w:r>
          </w:p>
          <w:p w:rsidR="009F7318" w:rsidRPr="00B725A9" w:rsidRDefault="00013434" w:rsidP="00FF2F3D">
            <w:pPr>
              <w:rPr>
                <w:rFonts w:cs="Arial"/>
                <w:sz w:val="17"/>
                <w:szCs w:val="17"/>
              </w:rPr>
            </w:pPr>
            <w:r>
              <w:rPr>
                <w:rFonts w:cs="Arial"/>
                <w:bCs/>
                <w:sz w:val="17"/>
                <w:szCs w:val="17"/>
              </w:rPr>
              <w:t>Operational plan</w:t>
            </w:r>
            <w:r w:rsidR="009F7318" w:rsidRPr="00B725A9">
              <w:rPr>
                <w:rFonts w:cs="Arial"/>
                <w:bCs/>
                <w:sz w:val="17"/>
                <w:szCs w:val="17"/>
              </w:rPr>
              <w:t xml:space="preserve"> Indicators:</w:t>
            </w:r>
            <w:r w:rsidR="009F7318">
              <w:rPr>
                <w:rFonts w:cs="Arial"/>
                <w:bCs/>
                <w:sz w:val="17"/>
                <w:szCs w:val="17"/>
              </w:rPr>
              <w:t xml:space="preserve"> </w:t>
            </w:r>
            <w:r w:rsidR="009F7318" w:rsidRPr="00B725A9">
              <w:rPr>
                <w:rFonts w:cs="Arial"/>
                <w:sz w:val="17"/>
                <w:szCs w:val="17"/>
              </w:rPr>
              <w:t>Number of hospitals/health facilities constructed/ renovated to make them gender and disability friendly (ramp, separate commode toilet and sitting arrangement): PARTIALLY ACHIEVED (5%)</w:t>
            </w:r>
            <w:r w:rsidR="009F7318">
              <w:rPr>
                <w:rFonts w:cs="Arial"/>
                <w:sz w:val="17"/>
                <w:szCs w:val="17"/>
              </w:rPr>
              <w:t>.</w:t>
            </w:r>
          </w:p>
          <w:p w:rsidR="009F7318" w:rsidRPr="00B725A9" w:rsidRDefault="009F7318" w:rsidP="00FF2F3D">
            <w:pPr>
              <w:autoSpaceDE w:val="0"/>
              <w:autoSpaceDN w:val="0"/>
              <w:adjustRightInd w:val="0"/>
              <w:rPr>
                <w:rFonts w:cs="Arial"/>
                <w:b/>
                <w:sz w:val="17"/>
                <w:szCs w:val="17"/>
              </w:rPr>
            </w:pPr>
            <w:r w:rsidRPr="00B725A9">
              <w:rPr>
                <w:rFonts w:cs="Arial"/>
                <w:b/>
                <w:sz w:val="17"/>
                <w:szCs w:val="17"/>
              </w:rPr>
              <w:t>IMPLEMENTATION COMPLETION AND RESULTS REPORT, WORLD BANK, 2012</w:t>
            </w:r>
          </w:p>
          <w:p w:rsidR="009F7318" w:rsidRPr="00B725A9" w:rsidRDefault="009F7318" w:rsidP="00266202">
            <w:pPr>
              <w:autoSpaceDE w:val="0"/>
              <w:autoSpaceDN w:val="0"/>
              <w:adjustRightInd w:val="0"/>
              <w:rPr>
                <w:rFonts w:cs="Arial"/>
                <w:sz w:val="17"/>
                <w:szCs w:val="17"/>
              </w:rPr>
            </w:pPr>
            <w:r w:rsidRPr="00B725A9">
              <w:rPr>
                <w:rFonts w:cs="Arial"/>
                <w:sz w:val="17"/>
                <w:szCs w:val="17"/>
              </w:rPr>
              <w:t xml:space="preserve">With a strong focus on </w:t>
            </w:r>
            <w:r w:rsidR="00521D10">
              <w:rPr>
                <w:rFonts w:cs="Arial"/>
                <w:sz w:val="17"/>
                <w:szCs w:val="17"/>
              </w:rPr>
              <w:t>maternal and child health (</w:t>
            </w:r>
            <w:r w:rsidRPr="00B725A9">
              <w:rPr>
                <w:rFonts w:cs="Arial"/>
                <w:sz w:val="17"/>
                <w:szCs w:val="17"/>
              </w:rPr>
              <w:t>MCH</w:t>
            </w:r>
            <w:r w:rsidR="00521D10">
              <w:rPr>
                <w:rFonts w:cs="Arial"/>
                <w:sz w:val="17"/>
                <w:szCs w:val="17"/>
              </w:rPr>
              <w:t>)</w:t>
            </w:r>
            <w:r w:rsidRPr="00B725A9">
              <w:rPr>
                <w:rFonts w:cs="Arial"/>
                <w:sz w:val="17"/>
                <w:szCs w:val="17"/>
              </w:rPr>
              <w:t xml:space="preserve"> services, the female population has benefitted (e.g. the </w:t>
            </w:r>
            <w:r w:rsidR="00266202">
              <w:rPr>
                <w:rFonts w:cs="Arial"/>
                <w:sz w:val="17"/>
                <w:szCs w:val="17"/>
              </w:rPr>
              <w:t>maternal mortality rate (</w:t>
            </w:r>
            <w:r w:rsidRPr="00B725A9">
              <w:rPr>
                <w:rFonts w:cs="Arial"/>
                <w:sz w:val="17"/>
                <w:szCs w:val="17"/>
              </w:rPr>
              <w:t>MMR</w:t>
            </w:r>
            <w:r w:rsidR="00266202">
              <w:rPr>
                <w:rFonts w:cs="Arial"/>
                <w:sz w:val="17"/>
                <w:szCs w:val="17"/>
              </w:rPr>
              <w:t>)</w:t>
            </w:r>
            <w:r w:rsidRPr="00B725A9">
              <w:rPr>
                <w:rFonts w:cs="Arial"/>
                <w:sz w:val="17"/>
                <w:szCs w:val="17"/>
              </w:rPr>
              <w:t xml:space="preserve"> was reduced), contributing to better gender balance in health service delivery (p.19)</w:t>
            </w:r>
            <w:r>
              <w:rPr>
                <w:rFonts w:cs="Arial"/>
                <w:sz w:val="17"/>
                <w:szCs w:val="17"/>
              </w:rPr>
              <w:t>.</w:t>
            </w:r>
          </w:p>
        </w:tc>
        <w:tc>
          <w:tcPr>
            <w:tcW w:w="954" w:type="pct"/>
          </w:tcPr>
          <w:p w:rsidR="009F7318" w:rsidRPr="00B725A9" w:rsidRDefault="009F7318" w:rsidP="00FF2F3D">
            <w:pPr>
              <w:rPr>
                <w:rFonts w:cs="Arial"/>
                <w:sz w:val="17"/>
                <w:szCs w:val="17"/>
              </w:rPr>
            </w:pPr>
            <w:r w:rsidRPr="00B725A9">
              <w:rPr>
                <w:rFonts w:cs="Arial"/>
                <w:b/>
                <w:sz w:val="17"/>
                <w:szCs w:val="17"/>
              </w:rPr>
              <w:lastRenderedPageBreak/>
              <w:t>Aid Program Performance Report 2012−13 Bangladesh</w:t>
            </w:r>
            <w:r w:rsidRPr="00B725A9">
              <w:rPr>
                <w:rStyle w:val="FootnoteReference"/>
                <w:rFonts w:cs="Arial"/>
                <w:b/>
                <w:sz w:val="17"/>
                <w:szCs w:val="17"/>
              </w:rPr>
              <w:footnoteReference w:id="172"/>
            </w:r>
          </w:p>
          <w:p w:rsidR="009F7318" w:rsidRPr="00B725A9" w:rsidRDefault="009F7318" w:rsidP="00FF2F3D">
            <w:pPr>
              <w:rPr>
                <w:rFonts w:cs="Arial"/>
                <w:sz w:val="17"/>
                <w:szCs w:val="17"/>
              </w:rPr>
            </w:pPr>
            <w:r w:rsidRPr="00B725A9">
              <w:rPr>
                <w:rFonts w:cs="Arial"/>
                <w:sz w:val="17"/>
                <w:szCs w:val="17"/>
              </w:rPr>
              <w:t>No mention to gender in the APPR report.</w:t>
            </w:r>
          </w:p>
        </w:tc>
      </w:tr>
      <w:tr w:rsidR="009F7318" w:rsidRPr="00B725A9" w:rsidTr="00FF2F3D">
        <w:tc>
          <w:tcPr>
            <w:tcW w:w="5000" w:type="pct"/>
            <w:gridSpan w:val="3"/>
          </w:tcPr>
          <w:p w:rsidR="009F7318" w:rsidRPr="00B725A9" w:rsidRDefault="009F7318" w:rsidP="00FF2F3D">
            <w:pPr>
              <w:jc w:val="center"/>
              <w:rPr>
                <w:rFonts w:cs="Arial"/>
                <w:b/>
                <w:sz w:val="17"/>
                <w:szCs w:val="17"/>
              </w:rPr>
            </w:pPr>
            <w:r w:rsidRPr="00B725A9">
              <w:rPr>
                <w:rFonts w:cs="Arial"/>
                <w:b/>
                <w:sz w:val="17"/>
                <w:szCs w:val="17"/>
              </w:rPr>
              <w:lastRenderedPageBreak/>
              <w:t>Cambodia</w:t>
            </w:r>
          </w:p>
        </w:tc>
      </w:tr>
      <w:tr w:rsidR="009F7318" w:rsidRPr="00B725A9" w:rsidTr="00FF2F3D">
        <w:tc>
          <w:tcPr>
            <w:tcW w:w="2053" w:type="pct"/>
          </w:tcPr>
          <w:p w:rsidR="009F7318" w:rsidRPr="00B725A9" w:rsidRDefault="009F7318" w:rsidP="00FF2F3D">
            <w:pPr>
              <w:rPr>
                <w:rFonts w:cs="Arial"/>
                <w:b/>
                <w:sz w:val="17"/>
                <w:szCs w:val="17"/>
              </w:rPr>
            </w:pPr>
            <w:r w:rsidRPr="00B725A9">
              <w:rPr>
                <w:rFonts w:cs="Arial"/>
                <w:b/>
                <w:sz w:val="17"/>
                <w:szCs w:val="17"/>
              </w:rPr>
              <w:t>Second Health Sector Strategic Plan 2008-2015 (HSP2)</w:t>
            </w:r>
            <w:r w:rsidRPr="00B725A9">
              <w:rPr>
                <w:rStyle w:val="FootnoteReference"/>
                <w:rFonts w:cs="Arial"/>
                <w:b/>
                <w:sz w:val="17"/>
                <w:szCs w:val="17"/>
              </w:rPr>
              <w:footnoteReference w:id="173"/>
            </w:r>
          </w:p>
          <w:p w:rsidR="009F7318" w:rsidRPr="00B725A9" w:rsidRDefault="009F7318" w:rsidP="00FF2F3D">
            <w:pPr>
              <w:rPr>
                <w:rFonts w:cs="Arial"/>
                <w:sz w:val="17"/>
                <w:szCs w:val="17"/>
              </w:rPr>
            </w:pPr>
            <w:r w:rsidRPr="00B725A9">
              <w:rPr>
                <w:rFonts w:cs="Arial"/>
                <w:sz w:val="17"/>
                <w:szCs w:val="17"/>
              </w:rPr>
              <w:t>The HSP2 Goal 1: Reduce maternal, new born and child morbidity and mortality,</w:t>
            </w:r>
            <w:r>
              <w:rPr>
                <w:rFonts w:cs="Arial"/>
                <w:sz w:val="17"/>
                <w:szCs w:val="17"/>
              </w:rPr>
              <w:t xml:space="preserve"> </w:t>
            </w:r>
            <w:r w:rsidRPr="00B725A9">
              <w:rPr>
                <w:rFonts w:cs="Arial"/>
                <w:sz w:val="17"/>
                <w:szCs w:val="17"/>
              </w:rPr>
              <w:t xml:space="preserve">and improve reproductive health has several objectives and indicators that are gender related, for example: </w:t>
            </w:r>
          </w:p>
          <w:p w:rsidR="009F7318" w:rsidRPr="00B725A9" w:rsidRDefault="009F7318" w:rsidP="00FF2F3D">
            <w:pPr>
              <w:rPr>
                <w:rFonts w:cs="Arial"/>
                <w:sz w:val="17"/>
                <w:szCs w:val="17"/>
              </w:rPr>
            </w:pPr>
            <w:r w:rsidRPr="00B725A9">
              <w:rPr>
                <w:rFonts w:cs="Arial"/>
                <w:sz w:val="17"/>
                <w:szCs w:val="17"/>
              </w:rPr>
              <w:t>1 To improve the nutritional status of women and children</w:t>
            </w:r>
            <w:r>
              <w:rPr>
                <w:rFonts w:cs="Arial"/>
                <w:sz w:val="17"/>
                <w:szCs w:val="17"/>
              </w:rPr>
              <w:t>.</w:t>
            </w:r>
          </w:p>
          <w:p w:rsidR="009F7318" w:rsidRPr="00B725A9" w:rsidRDefault="009F7318" w:rsidP="00FF2F3D">
            <w:pPr>
              <w:rPr>
                <w:rFonts w:cs="Arial"/>
                <w:sz w:val="17"/>
                <w:szCs w:val="17"/>
              </w:rPr>
            </w:pPr>
            <w:r w:rsidRPr="00B725A9">
              <w:rPr>
                <w:rFonts w:cs="Arial"/>
                <w:sz w:val="17"/>
                <w:szCs w:val="17"/>
              </w:rPr>
              <w:lastRenderedPageBreak/>
              <w:t>2 To improve access to quality reproductive health information and services</w:t>
            </w:r>
            <w:r>
              <w:rPr>
                <w:rFonts w:cs="Arial"/>
                <w:sz w:val="17"/>
                <w:szCs w:val="17"/>
              </w:rPr>
              <w:t>.</w:t>
            </w:r>
          </w:p>
          <w:p w:rsidR="009F7318" w:rsidRPr="00B725A9" w:rsidRDefault="009F7318" w:rsidP="00FF2F3D">
            <w:pPr>
              <w:rPr>
                <w:rFonts w:cs="Arial"/>
                <w:sz w:val="17"/>
                <w:szCs w:val="17"/>
              </w:rPr>
            </w:pPr>
            <w:r w:rsidRPr="00B725A9">
              <w:rPr>
                <w:rFonts w:cs="Arial"/>
                <w:sz w:val="17"/>
                <w:szCs w:val="17"/>
              </w:rPr>
              <w:t>3 To improve access to essential maternal and newborn health services and better family care practices</w:t>
            </w:r>
            <w:r>
              <w:rPr>
                <w:rFonts w:cs="Arial"/>
                <w:sz w:val="17"/>
                <w:szCs w:val="17"/>
              </w:rPr>
              <w:t>.</w:t>
            </w:r>
          </w:p>
          <w:p w:rsidR="009F7318" w:rsidRPr="00B725A9" w:rsidRDefault="009F7318" w:rsidP="00FF2F3D">
            <w:pPr>
              <w:rPr>
                <w:rFonts w:cs="Arial"/>
                <w:sz w:val="17"/>
                <w:szCs w:val="17"/>
              </w:rPr>
            </w:pPr>
            <w:r w:rsidRPr="00B725A9">
              <w:rPr>
                <w:rFonts w:cs="Arial"/>
                <w:sz w:val="17"/>
                <w:szCs w:val="17"/>
              </w:rPr>
              <w:t>4 To ensure universal access to essential child health services and better family care practices</w:t>
            </w:r>
            <w:r>
              <w:rPr>
                <w:rFonts w:cs="Arial"/>
                <w:sz w:val="17"/>
                <w:szCs w:val="17"/>
              </w:rPr>
              <w:t>.</w:t>
            </w:r>
          </w:p>
          <w:p w:rsidR="009F7318" w:rsidRPr="00B725A9" w:rsidRDefault="009F7318" w:rsidP="00FF2F3D">
            <w:pPr>
              <w:rPr>
                <w:rFonts w:cs="Arial"/>
                <w:sz w:val="17"/>
                <w:szCs w:val="17"/>
              </w:rPr>
            </w:pPr>
            <w:r w:rsidRPr="00B725A9">
              <w:rPr>
                <w:rFonts w:cs="Arial"/>
                <w:sz w:val="17"/>
                <w:szCs w:val="17"/>
              </w:rPr>
              <w:t xml:space="preserve">Targets and indicators include: </w:t>
            </w:r>
            <w:r w:rsidR="00521D10">
              <w:rPr>
                <w:rFonts w:cs="Arial"/>
                <w:sz w:val="17"/>
                <w:szCs w:val="17"/>
              </w:rPr>
              <w:t>total fertility rate</w:t>
            </w:r>
            <w:r w:rsidRPr="00B725A9">
              <w:rPr>
                <w:rFonts w:cs="Arial"/>
                <w:sz w:val="17"/>
                <w:szCs w:val="17"/>
              </w:rPr>
              <w:t xml:space="preserve">, MMR, CPR, women of reproductive age with low </w:t>
            </w:r>
            <w:r w:rsidR="00013434">
              <w:rPr>
                <w:rFonts w:cs="Arial"/>
                <w:sz w:val="17"/>
                <w:szCs w:val="17"/>
              </w:rPr>
              <w:t>body mass index</w:t>
            </w:r>
            <w:r w:rsidRPr="00B725A9">
              <w:rPr>
                <w:rFonts w:cs="Arial"/>
                <w:sz w:val="17"/>
                <w:szCs w:val="17"/>
              </w:rPr>
              <w:t>, anaemia in pregnant women, % of HIV+ pregnan</w:t>
            </w:r>
            <w:r>
              <w:rPr>
                <w:rFonts w:cs="Arial"/>
                <w:sz w:val="17"/>
                <w:szCs w:val="17"/>
              </w:rPr>
              <w:t xml:space="preserve">t women receiving </w:t>
            </w:r>
            <w:r w:rsidR="00521D10">
              <w:rPr>
                <w:rFonts w:cs="Arial"/>
                <w:sz w:val="17"/>
                <w:szCs w:val="17"/>
              </w:rPr>
              <w:t>antiretroviral therapy</w:t>
            </w:r>
            <w:r>
              <w:rPr>
                <w:rFonts w:cs="Arial"/>
                <w:sz w:val="17"/>
                <w:szCs w:val="17"/>
              </w:rPr>
              <w:t xml:space="preserve"> for </w:t>
            </w:r>
            <w:r w:rsidR="00521D10">
              <w:rPr>
                <w:rFonts w:cs="Arial"/>
                <w:sz w:val="17"/>
                <w:szCs w:val="17"/>
              </w:rPr>
              <w:t>prevention of mother to child transmission of HIV/AIDS</w:t>
            </w:r>
            <w:r>
              <w:rPr>
                <w:rFonts w:cs="Arial"/>
                <w:sz w:val="17"/>
                <w:szCs w:val="17"/>
              </w:rPr>
              <w:t>.</w:t>
            </w:r>
          </w:p>
          <w:p w:rsidR="009F7318" w:rsidRPr="00B725A9" w:rsidRDefault="009F7318" w:rsidP="00FF2F3D">
            <w:pPr>
              <w:rPr>
                <w:rFonts w:cs="Arial"/>
                <w:sz w:val="17"/>
                <w:szCs w:val="17"/>
              </w:rPr>
            </w:pPr>
            <w:r w:rsidRPr="00B725A9">
              <w:rPr>
                <w:rFonts w:cs="Arial"/>
                <w:sz w:val="17"/>
                <w:szCs w:val="17"/>
              </w:rPr>
              <w:t>Policy direction: 12. Strengthen public health interventions to deal with cross-cutting challenges</w:t>
            </w:r>
            <w:r>
              <w:rPr>
                <w:rFonts w:cs="Arial"/>
                <w:sz w:val="17"/>
                <w:szCs w:val="17"/>
              </w:rPr>
              <w:t>.</w:t>
            </w:r>
            <w:r w:rsidRPr="00B725A9">
              <w:rPr>
                <w:rFonts w:cs="Arial"/>
                <w:sz w:val="17"/>
                <w:szCs w:val="17"/>
              </w:rPr>
              <w:t xml:space="preserve"> </w:t>
            </w:r>
          </w:p>
          <w:p w:rsidR="009F7318" w:rsidRPr="00B725A9" w:rsidRDefault="009F7318" w:rsidP="00FF2F3D">
            <w:pPr>
              <w:tabs>
                <w:tab w:val="left" w:pos="4050"/>
              </w:tabs>
              <w:autoSpaceDE w:val="0"/>
              <w:autoSpaceDN w:val="0"/>
              <w:adjustRightInd w:val="0"/>
              <w:rPr>
                <w:rFonts w:cs="Arial"/>
                <w:sz w:val="17"/>
                <w:szCs w:val="17"/>
              </w:rPr>
            </w:pPr>
            <w:r w:rsidRPr="00B725A9">
              <w:rPr>
                <w:rFonts w:cs="Arial"/>
                <w:sz w:val="17"/>
                <w:szCs w:val="17"/>
              </w:rPr>
              <w:t>Strategic area health care and financing: Strategic components and interventions: 5.2 Integrate equity and gender perspective in health financing data collection, analysis and health financing policies.(p.43)</w:t>
            </w:r>
          </w:p>
          <w:p w:rsidR="009F7318" w:rsidRPr="00B725A9" w:rsidRDefault="009F7318" w:rsidP="00FF2F3D">
            <w:pPr>
              <w:autoSpaceDE w:val="0"/>
              <w:autoSpaceDN w:val="0"/>
              <w:adjustRightInd w:val="0"/>
              <w:rPr>
                <w:rFonts w:cs="Arial"/>
                <w:sz w:val="17"/>
                <w:szCs w:val="17"/>
              </w:rPr>
            </w:pPr>
            <w:r w:rsidRPr="00B725A9">
              <w:rPr>
                <w:rFonts w:cs="Arial"/>
                <w:sz w:val="17"/>
                <w:szCs w:val="17"/>
              </w:rPr>
              <w:t xml:space="preserve">Approach to health program areas: Key </w:t>
            </w:r>
            <w:r w:rsidR="00521D10">
              <w:rPr>
                <w:rFonts w:cs="Arial"/>
                <w:sz w:val="17"/>
                <w:szCs w:val="17"/>
              </w:rPr>
              <w:t>reproductive, maternal, neonatal and child health</w:t>
            </w:r>
            <w:r w:rsidRPr="00B725A9">
              <w:rPr>
                <w:rFonts w:cs="Arial"/>
                <w:sz w:val="17"/>
                <w:szCs w:val="17"/>
              </w:rPr>
              <w:t xml:space="preserve"> Strategic Components and Interventions:</w:t>
            </w:r>
            <w:r>
              <w:rPr>
                <w:rFonts w:cs="Arial"/>
                <w:sz w:val="17"/>
                <w:szCs w:val="17"/>
              </w:rPr>
              <w:t xml:space="preserve"> </w:t>
            </w:r>
            <w:r w:rsidRPr="00B725A9">
              <w:rPr>
                <w:rFonts w:cs="Arial"/>
                <w:sz w:val="17"/>
                <w:szCs w:val="17"/>
              </w:rPr>
              <w:t>Health Information Systems: Strengthen monitoring of equity and gender relevant data across provinces and ODs (p.59)</w:t>
            </w:r>
          </w:p>
          <w:p w:rsidR="009F7318" w:rsidRPr="00B725A9" w:rsidRDefault="009F7318" w:rsidP="00FF2F3D">
            <w:pPr>
              <w:autoSpaceDE w:val="0"/>
              <w:autoSpaceDN w:val="0"/>
              <w:adjustRightInd w:val="0"/>
              <w:rPr>
                <w:rFonts w:cs="Arial"/>
                <w:sz w:val="17"/>
                <w:szCs w:val="17"/>
              </w:rPr>
            </w:pPr>
            <w:r w:rsidRPr="00B725A9">
              <w:rPr>
                <w:rFonts w:cs="Arial"/>
                <w:sz w:val="17"/>
                <w:szCs w:val="17"/>
              </w:rPr>
              <w:t>Implementation framework: Indicators for M&amp;E. These indicators (on improving health status) are disaggregated to show differences between socio-economic groups, geographical areas as well as gender (p.85)</w:t>
            </w:r>
          </w:p>
          <w:p w:rsidR="009F7318" w:rsidRPr="00B725A9" w:rsidRDefault="009F7318" w:rsidP="00FF2F3D">
            <w:pPr>
              <w:autoSpaceDE w:val="0"/>
              <w:autoSpaceDN w:val="0"/>
              <w:adjustRightInd w:val="0"/>
              <w:rPr>
                <w:rFonts w:cs="Arial"/>
                <w:b/>
                <w:sz w:val="17"/>
                <w:szCs w:val="17"/>
              </w:rPr>
            </w:pPr>
            <w:r w:rsidRPr="00B725A9">
              <w:rPr>
                <w:rFonts w:cs="Arial"/>
                <w:b/>
                <w:sz w:val="17"/>
                <w:szCs w:val="17"/>
              </w:rPr>
              <w:t>PROGRAM APPRAISAL DOCUMENT, World Bank, 2008</w:t>
            </w:r>
            <w:r w:rsidRPr="00B725A9">
              <w:rPr>
                <w:rStyle w:val="FootnoteReference"/>
                <w:rFonts w:cs="Arial"/>
                <w:b/>
                <w:sz w:val="17"/>
                <w:szCs w:val="17"/>
              </w:rPr>
              <w:footnoteReference w:id="174"/>
            </w:r>
          </w:p>
          <w:p w:rsidR="009F7318" w:rsidRDefault="009F7318" w:rsidP="00FF2F3D">
            <w:pPr>
              <w:autoSpaceDE w:val="0"/>
              <w:autoSpaceDN w:val="0"/>
              <w:adjustRightInd w:val="0"/>
              <w:spacing w:after="0" w:line="240" w:lineRule="auto"/>
              <w:rPr>
                <w:rFonts w:cs="Arial"/>
                <w:sz w:val="17"/>
                <w:szCs w:val="17"/>
              </w:rPr>
            </w:pPr>
            <w:r w:rsidRPr="00B725A9">
              <w:rPr>
                <w:rFonts w:cs="Arial"/>
                <w:sz w:val="17"/>
                <w:szCs w:val="17"/>
              </w:rPr>
              <w:t xml:space="preserve">73. Gender issues. The Program supports the Gender Mainstreaming Strategic Plan of the </w:t>
            </w:r>
            <w:proofErr w:type="spellStart"/>
            <w:r w:rsidRPr="00B725A9">
              <w:rPr>
                <w:rFonts w:cs="Arial"/>
                <w:sz w:val="17"/>
                <w:szCs w:val="17"/>
              </w:rPr>
              <w:t>M</w:t>
            </w:r>
            <w:r w:rsidR="0042090F">
              <w:rPr>
                <w:rFonts w:cs="Arial"/>
                <w:sz w:val="17"/>
                <w:szCs w:val="17"/>
              </w:rPr>
              <w:t>o</w:t>
            </w:r>
            <w:r w:rsidRPr="00B725A9">
              <w:rPr>
                <w:rFonts w:cs="Arial"/>
                <w:sz w:val="17"/>
                <w:szCs w:val="17"/>
              </w:rPr>
              <w:t>H</w:t>
            </w:r>
            <w:proofErr w:type="spellEnd"/>
            <w:r w:rsidRPr="00B725A9">
              <w:rPr>
                <w:rFonts w:cs="Arial"/>
                <w:sz w:val="17"/>
                <w:szCs w:val="17"/>
              </w:rPr>
              <w:t xml:space="preserve"> (2006-2010), and is committed to mainstream gender concerns. It will attempt to ensure that the health system takes into account the cultural and biological differences between men and women. It will support many interventions and reforms that will benefit both women and men, including efforts to increase the affordability and access to health services (p.22).</w:t>
            </w:r>
          </w:p>
          <w:p w:rsidR="0042090F" w:rsidRDefault="0042090F" w:rsidP="00FF2F3D">
            <w:pPr>
              <w:autoSpaceDE w:val="0"/>
              <w:autoSpaceDN w:val="0"/>
              <w:adjustRightInd w:val="0"/>
              <w:spacing w:after="0" w:line="240" w:lineRule="auto"/>
              <w:rPr>
                <w:rFonts w:cs="Arial"/>
                <w:sz w:val="17"/>
                <w:szCs w:val="17"/>
              </w:rPr>
            </w:pPr>
          </w:p>
          <w:p w:rsidR="0042090F" w:rsidRDefault="0042090F" w:rsidP="00FF2F3D">
            <w:pPr>
              <w:autoSpaceDE w:val="0"/>
              <w:autoSpaceDN w:val="0"/>
              <w:adjustRightInd w:val="0"/>
              <w:spacing w:after="0" w:line="240" w:lineRule="auto"/>
              <w:rPr>
                <w:rFonts w:cs="Arial"/>
                <w:sz w:val="17"/>
                <w:szCs w:val="17"/>
              </w:rPr>
            </w:pPr>
          </w:p>
          <w:p w:rsidR="0042090F" w:rsidRDefault="0042090F" w:rsidP="00FF2F3D">
            <w:pPr>
              <w:autoSpaceDE w:val="0"/>
              <w:autoSpaceDN w:val="0"/>
              <w:adjustRightInd w:val="0"/>
              <w:spacing w:after="0" w:line="240" w:lineRule="auto"/>
              <w:rPr>
                <w:rFonts w:cs="Arial"/>
                <w:sz w:val="17"/>
                <w:szCs w:val="17"/>
              </w:rPr>
            </w:pPr>
          </w:p>
          <w:p w:rsidR="009F7318" w:rsidRPr="00B725A9" w:rsidRDefault="009F7318" w:rsidP="00FF2F3D">
            <w:pPr>
              <w:autoSpaceDE w:val="0"/>
              <w:autoSpaceDN w:val="0"/>
              <w:adjustRightInd w:val="0"/>
              <w:spacing w:after="0" w:line="240" w:lineRule="auto"/>
              <w:rPr>
                <w:rFonts w:cs="Arial"/>
                <w:sz w:val="17"/>
                <w:szCs w:val="17"/>
              </w:rPr>
            </w:pPr>
          </w:p>
        </w:tc>
        <w:tc>
          <w:tcPr>
            <w:tcW w:w="1993" w:type="pct"/>
          </w:tcPr>
          <w:p w:rsidR="009F7318" w:rsidRPr="00B725A9" w:rsidRDefault="009F7318" w:rsidP="00FF2F3D">
            <w:pPr>
              <w:rPr>
                <w:rFonts w:cs="Arial"/>
                <w:sz w:val="17"/>
                <w:szCs w:val="17"/>
              </w:rPr>
            </w:pPr>
            <w:r w:rsidRPr="00B725A9">
              <w:rPr>
                <w:rFonts w:cs="Arial"/>
                <w:b/>
                <w:sz w:val="17"/>
                <w:szCs w:val="17"/>
              </w:rPr>
              <w:lastRenderedPageBreak/>
              <w:t xml:space="preserve">J Martinez, S Simmonds, L </w:t>
            </w:r>
            <w:proofErr w:type="spellStart"/>
            <w:r w:rsidRPr="00B725A9">
              <w:rPr>
                <w:rFonts w:cs="Arial"/>
                <w:b/>
                <w:sz w:val="17"/>
                <w:szCs w:val="17"/>
              </w:rPr>
              <w:t>Vinyals</w:t>
            </w:r>
            <w:proofErr w:type="spellEnd"/>
            <w:r w:rsidRPr="00B725A9">
              <w:rPr>
                <w:rFonts w:cs="Arial"/>
                <w:b/>
                <w:sz w:val="17"/>
                <w:szCs w:val="17"/>
              </w:rPr>
              <w:t xml:space="preserve">, </w:t>
            </w:r>
            <w:proofErr w:type="spellStart"/>
            <w:r w:rsidRPr="00B725A9">
              <w:rPr>
                <w:rFonts w:cs="Arial"/>
                <w:b/>
                <w:sz w:val="17"/>
                <w:szCs w:val="17"/>
              </w:rPr>
              <w:t>Som</w:t>
            </w:r>
            <w:proofErr w:type="spellEnd"/>
            <w:r w:rsidRPr="00B725A9">
              <w:rPr>
                <w:rFonts w:cs="Arial"/>
                <w:b/>
                <w:sz w:val="17"/>
                <w:szCs w:val="17"/>
              </w:rPr>
              <w:t xml:space="preserve"> Hun, </w:t>
            </w:r>
            <w:proofErr w:type="spellStart"/>
            <w:r w:rsidRPr="00B725A9">
              <w:rPr>
                <w:rFonts w:cs="Arial"/>
                <w:b/>
                <w:sz w:val="17"/>
                <w:szCs w:val="17"/>
              </w:rPr>
              <w:t>Chhun</w:t>
            </w:r>
            <w:proofErr w:type="spellEnd"/>
            <w:r w:rsidRPr="00B725A9">
              <w:rPr>
                <w:rFonts w:cs="Arial"/>
                <w:b/>
                <w:sz w:val="17"/>
                <w:szCs w:val="17"/>
              </w:rPr>
              <w:t xml:space="preserve"> </w:t>
            </w:r>
            <w:proofErr w:type="spellStart"/>
            <w:r w:rsidRPr="00B725A9">
              <w:rPr>
                <w:rFonts w:cs="Arial"/>
                <w:b/>
                <w:sz w:val="17"/>
                <w:szCs w:val="17"/>
              </w:rPr>
              <w:t>Phally</w:t>
            </w:r>
            <w:proofErr w:type="spellEnd"/>
            <w:r w:rsidRPr="00B725A9">
              <w:rPr>
                <w:rFonts w:cs="Arial"/>
                <w:b/>
                <w:sz w:val="17"/>
                <w:szCs w:val="17"/>
              </w:rPr>
              <w:t xml:space="preserve">, </w:t>
            </w:r>
            <w:proofErr w:type="spellStart"/>
            <w:r w:rsidRPr="00B725A9">
              <w:rPr>
                <w:rFonts w:cs="Arial"/>
                <w:b/>
                <w:sz w:val="17"/>
                <w:szCs w:val="17"/>
              </w:rPr>
              <w:t>Por</w:t>
            </w:r>
            <w:proofErr w:type="spellEnd"/>
            <w:r w:rsidRPr="00B725A9">
              <w:rPr>
                <w:rFonts w:cs="Arial"/>
                <w:b/>
                <w:sz w:val="17"/>
                <w:szCs w:val="17"/>
              </w:rPr>
              <w:t xml:space="preserve"> </w:t>
            </w:r>
            <w:proofErr w:type="spellStart"/>
            <w:r w:rsidRPr="00B725A9">
              <w:rPr>
                <w:rFonts w:cs="Arial"/>
                <w:b/>
                <w:sz w:val="17"/>
                <w:szCs w:val="17"/>
              </w:rPr>
              <w:t>Ir</w:t>
            </w:r>
            <w:proofErr w:type="spellEnd"/>
            <w:r w:rsidRPr="00B725A9">
              <w:rPr>
                <w:rFonts w:cs="Arial"/>
                <w:b/>
                <w:sz w:val="17"/>
                <w:szCs w:val="17"/>
              </w:rPr>
              <w:t>, Overall assessment for Mid Term Review of Health Strategic Plan 2008-15, HLSP, London, 2011</w:t>
            </w:r>
          </w:p>
          <w:p w:rsidR="009F7318" w:rsidRPr="00B725A9" w:rsidRDefault="009F7318" w:rsidP="00FF2F3D">
            <w:pPr>
              <w:rPr>
                <w:rFonts w:cs="Arial"/>
                <w:sz w:val="17"/>
                <w:szCs w:val="17"/>
              </w:rPr>
            </w:pPr>
            <w:r w:rsidRPr="00B725A9">
              <w:rPr>
                <w:rFonts w:cs="Arial"/>
                <w:sz w:val="17"/>
                <w:szCs w:val="17"/>
              </w:rPr>
              <w:t>The MTR team were requested during the scoping visit in August 2011 to include the findings of the gender assessment in its overall assessment of progress. The gender study (</w:t>
            </w:r>
            <w:proofErr w:type="spellStart"/>
            <w:r w:rsidRPr="00B725A9">
              <w:rPr>
                <w:rFonts w:cs="Arial"/>
                <w:sz w:val="17"/>
                <w:szCs w:val="17"/>
              </w:rPr>
              <w:t>Frieson</w:t>
            </w:r>
            <w:proofErr w:type="spellEnd"/>
            <w:r w:rsidRPr="00B725A9">
              <w:rPr>
                <w:rFonts w:cs="Arial"/>
                <w:sz w:val="17"/>
                <w:szCs w:val="17"/>
              </w:rPr>
              <w:t xml:space="preserve"> et al, 2011) is reported as the first-ever </w:t>
            </w:r>
            <w:r w:rsidRPr="00B725A9">
              <w:rPr>
                <w:rFonts w:cs="Arial"/>
                <w:sz w:val="17"/>
                <w:szCs w:val="17"/>
              </w:rPr>
              <w:lastRenderedPageBreak/>
              <w:t xml:space="preserve">gender analysis of Cambodia’s health sector. </w:t>
            </w:r>
          </w:p>
          <w:p w:rsidR="009F7318" w:rsidRPr="00B725A9" w:rsidRDefault="009F7318" w:rsidP="00FF2F3D">
            <w:pPr>
              <w:rPr>
                <w:rFonts w:cs="Arial"/>
                <w:b/>
                <w:sz w:val="17"/>
                <w:szCs w:val="17"/>
              </w:rPr>
            </w:pPr>
            <w:r w:rsidRPr="00B725A9">
              <w:rPr>
                <w:rFonts w:cs="Arial"/>
                <w:b/>
                <w:sz w:val="17"/>
                <w:szCs w:val="17"/>
              </w:rPr>
              <w:t xml:space="preserve">A gender analysis of the Cambodian health sector, </w:t>
            </w:r>
            <w:proofErr w:type="spellStart"/>
            <w:r w:rsidRPr="00B725A9">
              <w:rPr>
                <w:rFonts w:cs="Arial"/>
                <w:b/>
                <w:sz w:val="17"/>
                <w:szCs w:val="17"/>
              </w:rPr>
              <w:t>Frieson</w:t>
            </w:r>
            <w:proofErr w:type="spellEnd"/>
            <w:r w:rsidRPr="00B725A9">
              <w:rPr>
                <w:rFonts w:cs="Arial"/>
                <w:b/>
                <w:sz w:val="17"/>
                <w:szCs w:val="17"/>
              </w:rPr>
              <w:t xml:space="preserve"> et al, 2011</w:t>
            </w:r>
          </w:p>
          <w:p w:rsidR="009F7318" w:rsidRPr="00B725A9" w:rsidRDefault="009F7318" w:rsidP="00FF2F3D">
            <w:pPr>
              <w:autoSpaceDE w:val="0"/>
              <w:autoSpaceDN w:val="0"/>
              <w:adjustRightInd w:val="0"/>
              <w:rPr>
                <w:rFonts w:cs="HelveticaNeue-Light"/>
                <w:sz w:val="17"/>
                <w:szCs w:val="17"/>
              </w:rPr>
            </w:pPr>
            <w:r w:rsidRPr="00B725A9">
              <w:rPr>
                <w:rFonts w:cs="HelveticaNeue-Light"/>
                <w:sz w:val="17"/>
                <w:szCs w:val="17"/>
              </w:rPr>
              <w:t>This study is the first-ever gender analysis of Cambodia’ health sector. This gender analysis examines the alignment of gender commitments to policy and implementation in the Cambodian health sector. It identifies key gaps in policy and implementation in order to inform the mid- term review of the Health Sector Strategic Plan 2008-2015 and to provide recommendations for action.</w:t>
            </w:r>
          </w:p>
          <w:p w:rsidR="009F7318" w:rsidRDefault="009F7318" w:rsidP="00FF2F3D">
            <w:pPr>
              <w:autoSpaceDE w:val="0"/>
              <w:autoSpaceDN w:val="0"/>
              <w:adjustRightInd w:val="0"/>
              <w:rPr>
                <w:rFonts w:cs="HelveticaNeue-Light"/>
                <w:sz w:val="17"/>
                <w:szCs w:val="17"/>
              </w:rPr>
            </w:pPr>
            <w:r w:rsidRPr="00B725A9">
              <w:rPr>
                <w:rFonts w:cs="HelveticaNeue-Light"/>
                <w:sz w:val="17"/>
                <w:szCs w:val="17"/>
              </w:rPr>
              <w:t xml:space="preserve">Main points: </w:t>
            </w:r>
          </w:p>
          <w:p w:rsidR="009F7318" w:rsidRPr="00962D84" w:rsidRDefault="009F7318" w:rsidP="00FF2F3D">
            <w:pPr>
              <w:pStyle w:val="TableBullet"/>
              <w:autoSpaceDE w:val="0"/>
              <w:autoSpaceDN w:val="0"/>
              <w:adjustRightInd w:val="0"/>
              <w:rPr>
                <w:rFonts w:cs="HelveticaNeue-Light"/>
              </w:rPr>
            </w:pPr>
            <w:r>
              <w:t>I</w:t>
            </w:r>
            <w:r w:rsidRPr="00962D84">
              <w:rPr>
                <w:rFonts w:cs="HelveticaNeue-Light"/>
              </w:rPr>
              <w:t>n the health sector, gender equity is still relatively under-developed and not as well reflected in policy and practice as it could be with effort and determined leadership.</w:t>
            </w:r>
          </w:p>
          <w:p w:rsidR="009F7318" w:rsidRPr="00962D84" w:rsidRDefault="009F7318" w:rsidP="00FF2F3D">
            <w:pPr>
              <w:pStyle w:val="TableBullet"/>
              <w:autoSpaceDE w:val="0"/>
              <w:autoSpaceDN w:val="0"/>
              <w:adjustRightInd w:val="0"/>
              <w:rPr>
                <w:rFonts w:cs="HelveticaNeue-Light"/>
              </w:rPr>
            </w:pPr>
            <w:r w:rsidRPr="00962D84">
              <w:rPr>
                <w:rFonts w:cs="HelveticaNeue-Light"/>
              </w:rPr>
              <w:t>The government’s development partners in the main are still not well aware of or understand what gender equity means in the field of health and why it has anything to do with finance, or human resource development, or policy review, among other strategic areas.</w:t>
            </w:r>
          </w:p>
          <w:p w:rsidR="009F7318" w:rsidRDefault="009F7318" w:rsidP="00FF2F3D">
            <w:pPr>
              <w:autoSpaceDE w:val="0"/>
              <w:autoSpaceDN w:val="0"/>
              <w:adjustRightInd w:val="0"/>
              <w:rPr>
                <w:rFonts w:cs="Arial"/>
                <w:b/>
                <w:sz w:val="17"/>
                <w:szCs w:val="17"/>
              </w:rPr>
            </w:pPr>
          </w:p>
          <w:p w:rsidR="009F7318" w:rsidRPr="00B725A9" w:rsidRDefault="009F7318" w:rsidP="00FF2F3D">
            <w:pPr>
              <w:autoSpaceDE w:val="0"/>
              <w:autoSpaceDN w:val="0"/>
              <w:adjustRightInd w:val="0"/>
              <w:rPr>
                <w:rFonts w:cs="Arial"/>
                <w:sz w:val="17"/>
                <w:szCs w:val="17"/>
              </w:rPr>
            </w:pPr>
            <w:r w:rsidRPr="00B725A9">
              <w:rPr>
                <w:rFonts w:cs="Arial"/>
                <w:b/>
                <w:sz w:val="17"/>
                <w:szCs w:val="17"/>
              </w:rPr>
              <w:t xml:space="preserve">Implementation Status &amp; Results Cambodia Second </w:t>
            </w:r>
            <w:r>
              <w:rPr>
                <w:rFonts w:cs="Arial"/>
                <w:b/>
                <w:sz w:val="17"/>
                <w:szCs w:val="17"/>
              </w:rPr>
              <w:t xml:space="preserve">Health Sector Support Program, </w:t>
            </w:r>
            <w:r w:rsidRPr="00B725A9">
              <w:rPr>
                <w:rFonts w:cs="Arial"/>
                <w:b/>
                <w:sz w:val="17"/>
                <w:szCs w:val="17"/>
              </w:rPr>
              <w:t xml:space="preserve">Apr 2014. </w:t>
            </w:r>
            <w:r w:rsidRPr="00B725A9">
              <w:rPr>
                <w:rFonts w:cs="Arial"/>
                <w:sz w:val="17"/>
                <w:szCs w:val="17"/>
              </w:rPr>
              <w:t xml:space="preserve">Report against indicator: Selected key HSP2 indicators disaggregated by gender and location. </w:t>
            </w:r>
          </w:p>
        </w:tc>
        <w:tc>
          <w:tcPr>
            <w:tcW w:w="954" w:type="pct"/>
          </w:tcPr>
          <w:p w:rsidR="009F7318" w:rsidRPr="00B725A9" w:rsidRDefault="009F7318" w:rsidP="00FF2F3D">
            <w:pPr>
              <w:rPr>
                <w:rFonts w:cs="Arial"/>
                <w:b/>
                <w:sz w:val="17"/>
                <w:szCs w:val="17"/>
              </w:rPr>
            </w:pPr>
            <w:r w:rsidRPr="00B725A9">
              <w:rPr>
                <w:rFonts w:cs="Arial"/>
                <w:b/>
                <w:sz w:val="17"/>
                <w:szCs w:val="17"/>
              </w:rPr>
              <w:lastRenderedPageBreak/>
              <w:t>Aid Program Performance Report 2012−13 Cambodia</w:t>
            </w:r>
            <w:r w:rsidRPr="00B725A9">
              <w:rPr>
                <w:rStyle w:val="FootnoteReference"/>
                <w:rFonts w:cs="Arial"/>
                <w:b/>
                <w:sz w:val="17"/>
                <w:szCs w:val="17"/>
              </w:rPr>
              <w:footnoteReference w:id="175"/>
            </w:r>
          </w:p>
          <w:p w:rsidR="009F7318" w:rsidRPr="00B725A9" w:rsidRDefault="009F7318" w:rsidP="00FF2F3D">
            <w:pPr>
              <w:rPr>
                <w:rFonts w:cs="Arial"/>
                <w:sz w:val="17"/>
                <w:szCs w:val="17"/>
              </w:rPr>
            </w:pPr>
            <w:r w:rsidRPr="00B725A9">
              <w:rPr>
                <w:rFonts w:cs="Arial"/>
                <w:sz w:val="17"/>
                <w:szCs w:val="17"/>
              </w:rPr>
              <w:t>No reference to Gender</w:t>
            </w:r>
            <w:r>
              <w:rPr>
                <w:rFonts w:cs="Arial"/>
                <w:sz w:val="17"/>
                <w:szCs w:val="17"/>
              </w:rPr>
              <w:t>.</w:t>
            </w:r>
          </w:p>
        </w:tc>
      </w:tr>
      <w:tr w:rsidR="009F7318" w:rsidRPr="00B725A9" w:rsidTr="00FF2F3D">
        <w:tc>
          <w:tcPr>
            <w:tcW w:w="5000" w:type="pct"/>
            <w:gridSpan w:val="3"/>
          </w:tcPr>
          <w:p w:rsidR="009F7318" w:rsidRPr="00B725A9" w:rsidRDefault="009F7318" w:rsidP="00FF2F3D">
            <w:pPr>
              <w:jc w:val="center"/>
              <w:rPr>
                <w:rFonts w:cs="Arial"/>
                <w:b/>
                <w:sz w:val="17"/>
                <w:szCs w:val="17"/>
              </w:rPr>
            </w:pPr>
            <w:r w:rsidRPr="00B725A9">
              <w:rPr>
                <w:rFonts w:cs="Arial"/>
                <w:b/>
                <w:sz w:val="17"/>
                <w:szCs w:val="17"/>
              </w:rPr>
              <w:lastRenderedPageBreak/>
              <w:t>Nepal</w:t>
            </w:r>
          </w:p>
        </w:tc>
      </w:tr>
      <w:tr w:rsidR="009F7318" w:rsidRPr="00B725A9" w:rsidTr="00FF2F3D">
        <w:tc>
          <w:tcPr>
            <w:tcW w:w="2053" w:type="pct"/>
          </w:tcPr>
          <w:p w:rsidR="009F7318" w:rsidRPr="00B725A9" w:rsidRDefault="009F7318" w:rsidP="00FF2F3D">
            <w:pPr>
              <w:rPr>
                <w:rFonts w:cs="Arial"/>
                <w:b/>
                <w:sz w:val="17"/>
                <w:szCs w:val="17"/>
              </w:rPr>
            </w:pPr>
            <w:r w:rsidRPr="00B725A9">
              <w:rPr>
                <w:rFonts w:cs="Arial"/>
                <w:b/>
                <w:sz w:val="17"/>
                <w:szCs w:val="17"/>
              </w:rPr>
              <w:t>NEPAL HEALTH SECTOR PROGRAM</w:t>
            </w:r>
            <w:r>
              <w:rPr>
                <w:rFonts w:cs="Arial"/>
                <w:b/>
                <w:sz w:val="17"/>
                <w:szCs w:val="17"/>
              </w:rPr>
              <w:t xml:space="preserve"> </w:t>
            </w:r>
            <w:r w:rsidRPr="00B725A9">
              <w:rPr>
                <w:rFonts w:cs="Arial"/>
                <w:b/>
                <w:sz w:val="17"/>
                <w:szCs w:val="17"/>
              </w:rPr>
              <w:t>IMPLEMENTATION</w:t>
            </w:r>
          </w:p>
          <w:p w:rsidR="009F7318" w:rsidRPr="00B725A9" w:rsidRDefault="009F7318" w:rsidP="00FF2F3D">
            <w:pPr>
              <w:rPr>
                <w:rFonts w:cs="Arial"/>
                <w:b/>
                <w:sz w:val="17"/>
                <w:szCs w:val="17"/>
              </w:rPr>
            </w:pPr>
            <w:r w:rsidRPr="00B725A9">
              <w:rPr>
                <w:rFonts w:cs="Arial"/>
                <w:b/>
                <w:sz w:val="17"/>
                <w:szCs w:val="17"/>
              </w:rPr>
              <w:t>PLAN II (NHSP -IP 2) 2010 – 2015, Ministry of Health and Population, Government of Nepal</w:t>
            </w:r>
          </w:p>
          <w:p w:rsidR="009F7318" w:rsidRPr="00B725A9" w:rsidRDefault="009F7318" w:rsidP="00FF2F3D">
            <w:pPr>
              <w:rPr>
                <w:rFonts w:cs="Arial"/>
                <w:sz w:val="17"/>
                <w:szCs w:val="17"/>
              </w:rPr>
            </w:pPr>
            <w:r w:rsidRPr="00B725A9">
              <w:rPr>
                <w:rFonts w:cs="Arial"/>
                <w:sz w:val="17"/>
                <w:szCs w:val="17"/>
              </w:rPr>
              <w:t>3.3 Value Statement</w:t>
            </w:r>
          </w:p>
          <w:p w:rsidR="009F7318" w:rsidRPr="00B725A9" w:rsidRDefault="009F7318" w:rsidP="00FF2F3D">
            <w:pPr>
              <w:rPr>
                <w:rFonts w:cs="Arial"/>
                <w:sz w:val="17"/>
                <w:szCs w:val="17"/>
              </w:rPr>
            </w:pPr>
            <w:r w:rsidRPr="00B725A9">
              <w:rPr>
                <w:rFonts w:cs="Arial"/>
                <w:sz w:val="17"/>
                <w:szCs w:val="17"/>
              </w:rPr>
              <w:t>The Ministry believes in: …</w:t>
            </w:r>
            <w:r w:rsidRPr="00B725A9">
              <w:rPr>
                <w:sz w:val="17"/>
                <w:szCs w:val="17"/>
              </w:rPr>
              <w:t xml:space="preserve"> </w:t>
            </w:r>
            <w:r w:rsidRPr="00B725A9">
              <w:rPr>
                <w:rFonts w:cs="Arial"/>
                <w:sz w:val="17"/>
                <w:szCs w:val="17"/>
              </w:rPr>
              <w:t>Gender-sensitive and socially inclusive health services.</w:t>
            </w:r>
          </w:p>
          <w:p w:rsidR="009F7318" w:rsidRPr="00B725A9" w:rsidRDefault="009F7318" w:rsidP="00FF2F3D">
            <w:pPr>
              <w:rPr>
                <w:rFonts w:cs="Arial"/>
                <w:sz w:val="17"/>
                <w:szCs w:val="17"/>
              </w:rPr>
            </w:pPr>
            <w:r w:rsidRPr="00B725A9">
              <w:rPr>
                <w:rFonts w:cs="Arial"/>
                <w:sz w:val="17"/>
                <w:szCs w:val="17"/>
              </w:rPr>
              <w:t>3.4 Strategic Directions: Includes Gender equality and social inclusion…</w:t>
            </w:r>
            <w:r w:rsidRPr="00B725A9">
              <w:rPr>
                <w:sz w:val="17"/>
                <w:szCs w:val="17"/>
              </w:rPr>
              <w:t xml:space="preserve"> </w:t>
            </w:r>
            <w:r w:rsidR="00EB4EEA">
              <w:rPr>
                <w:sz w:val="17"/>
                <w:szCs w:val="17"/>
              </w:rPr>
              <w:t xml:space="preserve">(GESI) </w:t>
            </w:r>
            <w:r w:rsidRPr="00B725A9">
              <w:rPr>
                <w:rFonts w:cs="Arial"/>
                <w:sz w:val="17"/>
                <w:szCs w:val="17"/>
              </w:rPr>
              <w:t>Data related to intermediate indicators, as well as the outcome indicators, will be disaggregated by gender…(p.13-14)</w:t>
            </w:r>
          </w:p>
          <w:p w:rsidR="009F7318" w:rsidRPr="00B725A9" w:rsidRDefault="009F7318" w:rsidP="00FF2F3D">
            <w:pPr>
              <w:rPr>
                <w:rFonts w:cs="Arial"/>
                <w:sz w:val="17"/>
                <w:szCs w:val="17"/>
              </w:rPr>
            </w:pPr>
            <w:r w:rsidRPr="00B725A9">
              <w:rPr>
                <w:rFonts w:cs="Arial"/>
                <w:i/>
                <w:sz w:val="17"/>
                <w:szCs w:val="17"/>
              </w:rPr>
              <w:t xml:space="preserve">Health education and communication. </w:t>
            </w:r>
            <w:r w:rsidRPr="00B725A9">
              <w:rPr>
                <w:rFonts w:cs="Arial"/>
                <w:sz w:val="17"/>
                <w:szCs w:val="17"/>
              </w:rPr>
              <w:t>In NHSP-2, health education and communication will prioriti</w:t>
            </w:r>
            <w:r w:rsidR="00EB4EEA">
              <w:rPr>
                <w:rFonts w:cs="Arial"/>
                <w:sz w:val="17"/>
                <w:szCs w:val="17"/>
              </w:rPr>
              <w:t>s</w:t>
            </w:r>
            <w:r w:rsidRPr="00B725A9">
              <w:rPr>
                <w:rFonts w:cs="Arial"/>
                <w:sz w:val="17"/>
                <w:szCs w:val="17"/>
              </w:rPr>
              <w:t xml:space="preserve">e certain focused programs of EHCS, such as </w:t>
            </w:r>
            <w:r w:rsidR="0042090F">
              <w:rPr>
                <w:rFonts w:cs="Arial"/>
                <w:sz w:val="17"/>
                <w:szCs w:val="17"/>
              </w:rPr>
              <w:t>MCH</w:t>
            </w:r>
            <w:r w:rsidRPr="00B725A9">
              <w:rPr>
                <w:rFonts w:cs="Arial"/>
                <w:sz w:val="17"/>
                <w:szCs w:val="17"/>
              </w:rPr>
              <w:t xml:space="preserve">, adolescent health, communicable and </w:t>
            </w:r>
            <w:r w:rsidR="0042090F">
              <w:rPr>
                <w:rFonts w:cs="Arial"/>
                <w:sz w:val="17"/>
                <w:szCs w:val="17"/>
              </w:rPr>
              <w:t>NCDs</w:t>
            </w:r>
            <w:r w:rsidRPr="00B725A9">
              <w:rPr>
                <w:rFonts w:cs="Arial"/>
                <w:sz w:val="17"/>
                <w:szCs w:val="17"/>
              </w:rPr>
              <w:t xml:space="preserve">, tobacco control, emergency and disaster preparedness including pandemic influenza, </w:t>
            </w:r>
            <w:r w:rsidR="0042090F">
              <w:rPr>
                <w:rFonts w:cs="Arial"/>
                <w:sz w:val="17"/>
                <w:szCs w:val="17"/>
              </w:rPr>
              <w:t>GESI</w:t>
            </w:r>
            <w:r w:rsidRPr="00B725A9">
              <w:rPr>
                <w:rFonts w:cs="Arial"/>
                <w:sz w:val="17"/>
                <w:szCs w:val="17"/>
              </w:rPr>
              <w:t>, and occupational and environmental health (p.37). Actions are specified (p.37)</w:t>
            </w:r>
            <w:r>
              <w:rPr>
                <w:rFonts w:cs="Arial"/>
                <w:sz w:val="17"/>
                <w:szCs w:val="17"/>
              </w:rPr>
              <w:t>.</w:t>
            </w:r>
          </w:p>
          <w:p w:rsidR="009F7318" w:rsidRPr="00B725A9" w:rsidRDefault="009F7318" w:rsidP="00FF2F3D">
            <w:pPr>
              <w:rPr>
                <w:rFonts w:cs="Arial"/>
                <w:sz w:val="17"/>
                <w:szCs w:val="17"/>
              </w:rPr>
            </w:pPr>
            <w:r w:rsidRPr="00B725A9">
              <w:rPr>
                <w:rFonts w:cs="Arial"/>
                <w:i/>
                <w:sz w:val="17"/>
                <w:szCs w:val="17"/>
              </w:rPr>
              <w:t xml:space="preserve">6.8 Strategies and Institutional Arrangement for GESI. </w:t>
            </w:r>
            <w:r w:rsidRPr="00B725A9">
              <w:rPr>
                <w:rFonts w:cs="Arial"/>
                <w:sz w:val="17"/>
                <w:szCs w:val="17"/>
              </w:rPr>
              <w:t xml:space="preserve">GESI need to be mainstreamed during NHSP-2, and the Government has prioritized the integration of </w:t>
            </w:r>
            <w:r>
              <w:rPr>
                <w:rFonts w:cs="Arial"/>
                <w:sz w:val="17"/>
                <w:szCs w:val="17"/>
              </w:rPr>
              <w:t>GESI in its policies, programs</w:t>
            </w:r>
            <w:r w:rsidRPr="00B725A9">
              <w:rPr>
                <w:rFonts w:cs="Arial"/>
                <w:sz w:val="17"/>
                <w:szCs w:val="17"/>
              </w:rPr>
              <w:t xml:space="preserve"> and plans to make health services accessible to and used by all</w:t>
            </w:r>
            <w:r>
              <w:rPr>
                <w:rFonts w:cs="Arial"/>
                <w:sz w:val="17"/>
                <w:szCs w:val="17"/>
              </w:rPr>
              <w:t>…</w:t>
            </w:r>
            <w:r w:rsidRPr="00B725A9">
              <w:rPr>
                <w:rFonts w:cs="Arial"/>
                <w:sz w:val="17"/>
                <w:szCs w:val="17"/>
              </w:rPr>
              <w:t xml:space="preserve"> (See the detailed strategy framework in Annex 3 or see the Health Sector </w:t>
            </w:r>
            <w:r w:rsidR="00B66D32">
              <w:rPr>
                <w:rFonts w:cs="Arial"/>
                <w:sz w:val="17"/>
                <w:szCs w:val="17"/>
              </w:rPr>
              <w:t>GESI</w:t>
            </w:r>
            <w:r w:rsidRPr="00B725A9">
              <w:rPr>
                <w:rFonts w:cs="Arial"/>
                <w:sz w:val="17"/>
                <w:szCs w:val="17"/>
              </w:rPr>
              <w:t xml:space="preserve"> Strategy, </w:t>
            </w:r>
            <w:proofErr w:type="spellStart"/>
            <w:r w:rsidR="00B66D32">
              <w:rPr>
                <w:rFonts w:cs="Arial"/>
                <w:sz w:val="17"/>
                <w:szCs w:val="17"/>
              </w:rPr>
              <w:t>GoN</w:t>
            </w:r>
            <w:proofErr w:type="spellEnd"/>
            <w:r w:rsidRPr="00B725A9">
              <w:rPr>
                <w:rFonts w:cs="Arial"/>
                <w:sz w:val="17"/>
                <w:szCs w:val="17"/>
              </w:rPr>
              <w:t xml:space="preserve">, </w:t>
            </w:r>
            <w:proofErr w:type="spellStart"/>
            <w:r w:rsidR="00B66D32">
              <w:rPr>
                <w:rFonts w:cs="Arial"/>
                <w:sz w:val="17"/>
                <w:szCs w:val="17"/>
              </w:rPr>
              <w:t>MoHP</w:t>
            </w:r>
            <w:proofErr w:type="spellEnd"/>
            <w:r w:rsidRPr="00B725A9">
              <w:rPr>
                <w:rFonts w:cs="Arial"/>
                <w:sz w:val="17"/>
                <w:szCs w:val="17"/>
              </w:rPr>
              <w:t>, 2009, for further information.)</w:t>
            </w:r>
          </w:p>
          <w:p w:rsidR="009F7318" w:rsidRPr="00B725A9" w:rsidRDefault="009F7318" w:rsidP="00FF2F3D">
            <w:pPr>
              <w:rPr>
                <w:rFonts w:cs="Arial"/>
                <w:sz w:val="17"/>
                <w:szCs w:val="17"/>
              </w:rPr>
            </w:pPr>
            <w:r w:rsidRPr="00B725A9">
              <w:rPr>
                <w:rFonts w:cs="Arial"/>
                <w:sz w:val="17"/>
                <w:szCs w:val="17"/>
              </w:rPr>
              <w:t>Improve physical access to health facilities. As coverage</w:t>
            </w:r>
            <w:r>
              <w:rPr>
                <w:rFonts w:cs="Arial"/>
                <w:sz w:val="17"/>
                <w:szCs w:val="17"/>
              </w:rPr>
              <w:t xml:space="preserve"> increases, the major program</w:t>
            </w:r>
            <w:r w:rsidRPr="00B725A9">
              <w:rPr>
                <w:rFonts w:cs="Arial"/>
                <w:sz w:val="17"/>
                <w:szCs w:val="17"/>
              </w:rPr>
              <w:t xml:space="preserve"> and interventions described in Chapter 4 will target their future efforts on reaching communities and groups that are currently making little use of services, or are being missed by promotional and preventive interventions. To increase their coverage, studies and surveys will be carried out to determine the key constraints inhibiting utilisation by the poor and excluded. </w:t>
            </w:r>
          </w:p>
          <w:p w:rsidR="009F7318" w:rsidRPr="00B725A9" w:rsidRDefault="009F7318" w:rsidP="00FF2F3D">
            <w:pPr>
              <w:rPr>
                <w:rFonts w:cs="Arial"/>
                <w:sz w:val="17"/>
                <w:szCs w:val="17"/>
              </w:rPr>
            </w:pPr>
            <w:r w:rsidRPr="00B725A9">
              <w:rPr>
                <w:rFonts w:cs="Arial"/>
                <w:sz w:val="17"/>
                <w:szCs w:val="17"/>
              </w:rPr>
              <w:t>Staff will be oriented on GESI principles and practices, and local accountability mechanisms (see section 6.6) will be strengthened, including mechanisms in which the poor and excluded are represented. Mechanisms also will be developed to engage civil society organizations and the private sector for demand creation and improve service delivery.</w:t>
            </w:r>
          </w:p>
          <w:p w:rsidR="009F7318" w:rsidRPr="00B725A9" w:rsidRDefault="009F7318" w:rsidP="00013434">
            <w:pPr>
              <w:rPr>
                <w:rFonts w:cs="Arial"/>
                <w:sz w:val="17"/>
                <w:szCs w:val="17"/>
              </w:rPr>
            </w:pPr>
            <w:r w:rsidRPr="00B725A9">
              <w:rPr>
                <w:rFonts w:cs="Arial"/>
                <w:sz w:val="17"/>
                <w:szCs w:val="17"/>
              </w:rPr>
              <w:lastRenderedPageBreak/>
              <w:t xml:space="preserve">Ensure that the collection of data and analysis on disparities in utilisation and the reasons for them are collected and used to inform policy and planning. Capture the service provider voice to better understand barriers limiting change for use in policy development. This analysis can be done through the existing review mechanisms, but will need to be proactively encouraged by the Ministry and </w:t>
            </w:r>
            <w:r w:rsidR="00013434">
              <w:rPr>
                <w:rFonts w:cs="Arial"/>
                <w:sz w:val="17"/>
                <w:szCs w:val="17"/>
              </w:rPr>
              <w:t>Department of Health Services</w:t>
            </w:r>
            <w:r w:rsidRPr="00B725A9">
              <w:rPr>
                <w:rFonts w:cs="Arial"/>
                <w:sz w:val="17"/>
                <w:szCs w:val="17"/>
              </w:rPr>
              <w:t xml:space="preserve"> managers.</w:t>
            </w:r>
          </w:p>
        </w:tc>
        <w:tc>
          <w:tcPr>
            <w:tcW w:w="1993" w:type="pct"/>
          </w:tcPr>
          <w:p w:rsidR="009F7318" w:rsidRPr="00B725A9" w:rsidRDefault="009F7318" w:rsidP="00FF2F3D">
            <w:pPr>
              <w:rPr>
                <w:rFonts w:cs="Arial"/>
                <w:b/>
                <w:sz w:val="17"/>
                <w:szCs w:val="17"/>
              </w:rPr>
            </w:pPr>
            <w:r w:rsidRPr="00B725A9">
              <w:rPr>
                <w:rFonts w:cs="Arial"/>
                <w:b/>
                <w:sz w:val="17"/>
                <w:szCs w:val="17"/>
              </w:rPr>
              <w:lastRenderedPageBreak/>
              <w:t xml:space="preserve">D </w:t>
            </w:r>
            <w:proofErr w:type="spellStart"/>
            <w:r w:rsidRPr="00B725A9">
              <w:rPr>
                <w:rFonts w:cs="Arial"/>
                <w:b/>
                <w:sz w:val="17"/>
                <w:szCs w:val="17"/>
              </w:rPr>
              <w:t>Vaillancourt</w:t>
            </w:r>
            <w:proofErr w:type="spellEnd"/>
            <w:r w:rsidRPr="00B725A9">
              <w:rPr>
                <w:rFonts w:cs="Arial"/>
                <w:b/>
                <w:sz w:val="17"/>
                <w:szCs w:val="17"/>
              </w:rPr>
              <w:t xml:space="preserve"> &amp; S </w:t>
            </w:r>
            <w:proofErr w:type="spellStart"/>
            <w:r w:rsidRPr="00B725A9">
              <w:rPr>
                <w:rFonts w:cs="Arial"/>
                <w:b/>
                <w:sz w:val="17"/>
                <w:szCs w:val="17"/>
              </w:rPr>
              <w:t>Pokhrel</w:t>
            </w:r>
            <w:proofErr w:type="spellEnd"/>
            <w:r w:rsidRPr="00B725A9">
              <w:rPr>
                <w:rFonts w:cs="Arial"/>
                <w:b/>
                <w:sz w:val="17"/>
                <w:szCs w:val="17"/>
              </w:rPr>
              <w:t>, Aid effectiveness in Nepal’s health sector: accomplishments to date and measurement challenges, International Health P</w:t>
            </w:r>
            <w:r>
              <w:rPr>
                <w:rFonts w:cs="Arial"/>
                <w:b/>
                <w:sz w:val="17"/>
                <w:szCs w:val="17"/>
              </w:rPr>
              <w:t>artnership (IHP+), Geneva, 2012</w:t>
            </w:r>
          </w:p>
          <w:p w:rsidR="009F7318" w:rsidRPr="00B725A9" w:rsidRDefault="009F7318" w:rsidP="00FF2F3D">
            <w:pPr>
              <w:rPr>
                <w:rFonts w:cs="Arial"/>
                <w:sz w:val="17"/>
                <w:szCs w:val="17"/>
              </w:rPr>
            </w:pPr>
            <w:r w:rsidRPr="00B725A9">
              <w:rPr>
                <w:rFonts w:cs="Arial"/>
                <w:sz w:val="17"/>
                <w:szCs w:val="17"/>
              </w:rPr>
              <w:t xml:space="preserve">No reporting on gender except to comment that compliance with </w:t>
            </w:r>
            <w:r w:rsidR="0045646F">
              <w:rPr>
                <w:rFonts w:cs="Arial"/>
                <w:sz w:val="17"/>
                <w:szCs w:val="17"/>
              </w:rPr>
              <w:t>GESI</w:t>
            </w:r>
            <w:r w:rsidRPr="00B725A9">
              <w:rPr>
                <w:rFonts w:cs="Arial"/>
                <w:sz w:val="17"/>
                <w:szCs w:val="17"/>
              </w:rPr>
              <w:t xml:space="preserve"> is a </w:t>
            </w:r>
            <w:proofErr w:type="spellStart"/>
            <w:r w:rsidRPr="00B725A9">
              <w:rPr>
                <w:rFonts w:cs="Arial"/>
                <w:sz w:val="17"/>
                <w:szCs w:val="17"/>
              </w:rPr>
              <w:t>GoN</w:t>
            </w:r>
            <w:proofErr w:type="spellEnd"/>
            <w:r w:rsidRPr="00B725A9">
              <w:rPr>
                <w:rFonts w:cs="Arial"/>
                <w:sz w:val="17"/>
                <w:szCs w:val="17"/>
              </w:rPr>
              <w:t xml:space="preserve"> commitment under the dr</w:t>
            </w:r>
            <w:r>
              <w:rPr>
                <w:rFonts w:cs="Arial"/>
                <w:sz w:val="17"/>
                <w:szCs w:val="17"/>
              </w:rPr>
              <w:t>aft joint technical arrangement.</w:t>
            </w:r>
          </w:p>
          <w:p w:rsidR="009F7318" w:rsidRPr="00B725A9" w:rsidRDefault="009F7318" w:rsidP="00FF2F3D">
            <w:pPr>
              <w:rPr>
                <w:rFonts w:cs="Arial"/>
                <w:b/>
                <w:sz w:val="17"/>
                <w:szCs w:val="17"/>
              </w:rPr>
            </w:pPr>
            <w:r>
              <w:rPr>
                <w:rFonts w:cs="Arial"/>
                <w:b/>
                <w:sz w:val="17"/>
                <w:szCs w:val="17"/>
              </w:rPr>
              <w:t>Nepal Health Sector Program</w:t>
            </w:r>
            <w:r w:rsidRPr="00B725A9">
              <w:rPr>
                <w:rFonts w:cs="Arial"/>
                <w:b/>
                <w:sz w:val="17"/>
                <w:szCs w:val="17"/>
              </w:rPr>
              <w:t xml:space="preserve"> II (NHSP II) Mid-Term Review, Health and Education Advice and Resource Team, 2013</w:t>
            </w:r>
            <w:r w:rsidRPr="00B725A9">
              <w:rPr>
                <w:rStyle w:val="FootnoteReference"/>
                <w:rFonts w:cs="Arial"/>
                <w:b/>
                <w:sz w:val="17"/>
                <w:szCs w:val="17"/>
              </w:rPr>
              <w:footnoteReference w:id="176"/>
            </w:r>
          </w:p>
          <w:p w:rsidR="009F7318" w:rsidRPr="00B725A9" w:rsidRDefault="009F7318" w:rsidP="00FF2F3D">
            <w:pPr>
              <w:rPr>
                <w:rFonts w:cs="Arial"/>
                <w:sz w:val="17"/>
                <w:szCs w:val="17"/>
              </w:rPr>
            </w:pPr>
            <w:r w:rsidRPr="00B725A9">
              <w:rPr>
                <w:rFonts w:cs="Arial"/>
                <w:sz w:val="17"/>
                <w:szCs w:val="17"/>
              </w:rPr>
              <w:t>Newly presented draft disaggregated data (December 2012) also show important disparities between people from different ethnic groups, by gender, wealth, and by ecological zone.</w:t>
            </w:r>
          </w:p>
          <w:p w:rsidR="009F7318" w:rsidRPr="00B725A9" w:rsidRDefault="009F7318" w:rsidP="00FF2F3D">
            <w:pPr>
              <w:autoSpaceDE w:val="0"/>
              <w:autoSpaceDN w:val="0"/>
              <w:adjustRightInd w:val="0"/>
              <w:rPr>
                <w:rFonts w:cs="Arial"/>
                <w:sz w:val="17"/>
                <w:szCs w:val="17"/>
              </w:rPr>
            </w:pPr>
            <w:r w:rsidRPr="00B725A9">
              <w:rPr>
                <w:rFonts w:cs="Arial"/>
                <w:i/>
                <w:sz w:val="17"/>
                <w:szCs w:val="17"/>
              </w:rPr>
              <w:t xml:space="preserve">Table 4: Summary of progress on agreed priority actions of JAR (2012)  </w:t>
            </w:r>
            <w:r>
              <w:rPr>
                <w:rFonts w:cs="Arial"/>
                <w:sz w:val="17"/>
                <w:szCs w:val="17"/>
              </w:rPr>
              <w:t>GESI</w:t>
            </w:r>
            <w:r w:rsidRPr="00B725A9">
              <w:rPr>
                <w:rFonts w:cs="Arial"/>
                <w:sz w:val="17"/>
                <w:szCs w:val="17"/>
              </w:rPr>
              <w:t xml:space="preserve">: In order to put into operation and mainstream the GESI Strategy, the </w:t>
            </w:r>
            <w:proofErr w:type="spellStart"/>
            <w:r w:rsidRPr="00B725A9">
              <w:rPr>
                <w:rFonts w:cs="Arial"/>
                <w:sz w:val="17"/>
                <w:szCs w:val="17"/>
              </w:rPr>
              <w:t>MoHP</w:t>
            </w:r>
            <w:proofErr w:type="spellEnd"/>
            <w:r w:rsidRPr="00B725A9">
              <w:rPr>
                <w:rFonts w:cs="Arial"/>
                <w:sz w:val="17"/>
                <w:szCs w:val="17"/>
              </w:rPr>
              <w:t xml:space="preserve"> approved the GESI Institutional Modalities (henceforth referred to as the GESI Guidelines) in September 2012 which unequivocally states that the process of health systems strengthening will define exclusion primarily from four dimensions: </w:t>
            </w:r>
            <w:proofErr w:type="spellStart"/>
            <w:r w:rsidRPr="00B725A9">
              <w:rPr>
                <w:rFonts w:cs="Arial"/>
                <w:sz w:val="17"/>
                <w:szCs w:val="17"/>
              </w:rPr>
              <w:t>i</w:t>
            </w:r>
            <w:proofErr w:type="spellEnd"/>
            <w:r w:rsidRPr="00B725A9">
              <w:rPr>
                <w:rFonts w:cs="Arial"/>
                <w:sz w:val="17"/>
                <w:szCs w:val="17"/>
              </w:rPr>
              <w:t>) gender-based, ii) caste and ethnicity, religious minority based, iii) poverty-based, and iv) geographical based. All the main divisions, departments and centres have responsibilities in taking the GESI Strategy forward (p.24)</w:t>
            </w:r>
            <w:r>
              <w:rPr>
                <w:rFonts w:cs="Arial"/>
                <w:sz w:val="17"/>
                <w:szCs w:val="17"/>
              </w:rPr>
              <w:t>.</w:t>
            </w:r>
          </w:p>
          <w:p w:rsidR="009F7318" w:rsidRPr="00B725A9" w:rsidRDefault="009F7318" w:rsidP="00FF2F3D">
            <w:pPr>
              <w:autoSpaceDE w:val="0"/>
              <w:autoSpaceDN w:val="0"/>
              <w:adjustRightInd w:val="0"/>
              <w:rPr>
                <w:rFonts w:cs="Arial"/>
                <w:sz w:val="17"/>
                <w:szCs w:val="17"/>
              </w:rPr>
            </w:pPr>
            <w:r w:rsidRPr="00B725A9">
              <w:rPr>
                <w:rFonts w:cs="Arial"/>
                <w:i/>
                <w:sz w:val="17"/>
                <w:szCs w:val="17"/>
              </w:rPr>
              <w:t xml:space="preserve">2.1 NHSP II Output 1: Reduced Cultural And Economic Barriers To Accessing Health Care Services. </w:t>
            </w:r>
            <w:r w:rsidRPr="00B725A9">
              <w:rPr>
                <w:rFonts w:cs="Arial"/>
                <w:sz w:val="17"/>
                <w:szCs w:val="17"/>
              </w:rPr>
              <w:t xml:space="preserve">Progress against targets set for two of the three output 1 indicators of the NHSP Logical Framework has been slow. Reporting from 2012 indicates that it is not likely that 2013 targets for OP1.1 and OP1.3 will be achieved. Targets are then defined for each </w:t>
            </w:r>
            <w:r w:rsidR="00013434">
              <w:rPr>
                <w:rFonts w:cs="Arial"/>
                <w:sz w:val="17"/>
                <w:szCs w:val="17"/>
              </w:rPr>
              <w:t>operational plan.</w:t>
            </w:r>
          </w:p>
          <w:p w:rsidR="009F7318" w:rsidRDefault="009F7318" w:rsidP="00FF2F3D">
            <w:pPr>
              <w:autoSpaceDE w:val="0"/>
              <w:autoSpaceDN w:val="0"/>
              <w:adjustRightInd w:val="0"/>
              <w:rPr>
                <w:rFonts w:cs="Arial"/>
                <w:sz w:val="17"/>
                <w:szCs w:val="17"/>
              </w:rPr>
            </w:pPr>
            <w:r w:rsidRPr="00B725A9">
              <w:rPr>
                <w:rFonts w:cs="Arial"/>
                <w:sz w:val="17"/>
                <w:szCs w:val="17"/>
              </w:rPr>
              <w:t>Selected important developments, 2011-2012 for GESI institutional mainstreaming and targeted interventions in health:</w:t>
            </w:r>
          </w:p>
          <w:p w:rsidR="009F7318" w:rsidRPr="00962D84" w:rsidRDefault="009F7318" w:rsidP="00FF2F3D">
            <w:pPr>
              <w:pStyle w:val="TableBullet"/>
              <w:autoSpaceDE w:val="0"/>
              <w:autoSpaceDN w:val="0"/>
              <w:adjustRightInd w:val="0"/>
              <w:rPr>
                <w:rFonts w:cs="HelveticaNeue-Light"/>
              </w:rPr>
            </w:pPr>
            <w:r w:rsidRPr="00962D84">
              <w:rPr>
                <w:rFonts w:cs="Arial"/>
              </w:rPr>
              <w:t xml:space="preserve">GESI institutional mainstreaming modality was fully established in </w:t>
            </w:r>
            <w:proofErr w:type="spellStart"/>
            <w:r w:rsidRPr="00962D84">
              <w:rPr>
                <w:rFonts w:cs="Arial"/>
              </w:rPr>
              <w:t>MoHP</w:t>
            </w:r>
            <w:proofErr w:type="spellEnd"/>
            <w:r w:rsidRPr="00962D84">
              <w:rPr>
                <w:rFonts w:cs="Arial"/>
              </w:rPr>
              <w:t>.</w:t>
            </w:r>
          </w:p>
          <w:p w:rsidR="009F7318" w:rsidRPr="00962D84" w:rsidRDefault="009F7318" w:rsidP="00FF2F3D">
            <w:pPr>
              <w:pStyle w:val="TableBullet"/>
              <w:autoSpaceDE w:val="0"/>
              <w:autoSpaceDN w:val="0"/>
              <w:adjustRightInd w:val="0"/>
              <w:rPr>
                <w:rFonts w:cs="HelveticaNeue-Light"/>
              </w:rPr>
            </w:pPr>
            <w:r w:rsidRPr="00962D84">
              <w:rPr>
                <w:rFonts w:cs="Arial"/>
              </w:rPr>
              <w:t xml:space="preserve">The Population Division was approved in 2011 as the overall GESI Secretariat for the </w:t>
            </w:r>
            <w:proofErr w:type="spellStart"/>
            <w:r w:rsidRPr="00962D84">
              <w:rPr>
                <w:rFonts w:cs="Arial"/>
              </w:rPr>
              <w:t>MoHP</w:t>
            </w:r>
            <w:proofErr w:type="spellEnd"/>
            <w:r w:rsidRPr="00962D84">
              <w:rPr>
                <w:rFonts w:cs="Arial"/>
              </w:rPr>
              <w:t xml:space="preserve"> and a GESI Steering Committee was established with the Secretary of MOHP as Chair.</w:t>
            </w:r>
          </w:p>
          <w:p w:rsidR="009F7318" w:rsidRPr="00962D84" w:rsidRDefault="009F7318" w:rsidP="00FF2F3D">
            <w:pPr>
              <w:pStyle w:val="TableBullet"/>
              <w:autoSpaceDE w:val="0"/>
              <w:autoSpaceDN w:val="0"/>
              <w:adjustRightInd w:val="0"/>
              <w:rPr>
                <w:rFonts w:cs="HelveticaNeue-Light"/>
              </w:rPr>
            </w:pPr>
            <w:r w:rsidRPr="00962D84">
              <w:rPr>
                <w:rFonts w:cs="Arial"/>
              </w:rPr>
              <w:t xml:space="preserve">GESI related provisions were added in the approved </w:t>
            </w:r>
            <w:r w:rsidR="000270B3">
              <w:rPr>
                <w:rFonts w:cs="Arial"/>
              </w:rPr>
              <w:t xml:space="preserve">HRH </w:t>
            </w:r>
            <w:r w:rsidRPr="00962D84">
              <w:rPr>
                <w:rFonts w:cs="Arial"/>
              </w:rPr>
              <w:t>Strategy Plan (2011-15).</w:t>
            </w:r>
          </w:p>
          <w:p w:rsidR="009F7318" w:rsidRPr="00962D84" w:rsidRDefault="009F7318" w:rsidP="00FF2F3D">
            <w:pPr>
              <w:pStyle w:val="TableBullet"/>
              <w:autoSpaceDE w:val="0"/>
              <w:autoSpaceDN w:val="0"/>
              <w:adjustRightInd w:val="0"/>
              <w:rPr>
                <w:rFonts w:cs="HelveticaNeue-Light"/>
              </w:rPr>
            </w:pPr>
            <w:r w:rsidRPr="00962D84">
              <w:rPr>
                <w:rFonts w:cs="Arial"/>
              </w:rPr>
              <w:lastRenderedPageBreak/>
              <w:t xml:space="preserve">One Stop Crisis Management Centres were established. </w:t>
            </w:r>
          </w:p>
          <w:p w:rsidR="009F7318" w:rsidRPr="00962D84" w:rsidRDefault="009F7318" w:rsidP="00FF2F3D">
            <w:pPr>
              <w:pStyle w:val="TableBullet"/>
              <w:autoSpaceDE w:val="0"/>
              <w:autoSpaceDN w:val="0"/>
              <w:adjustRightInd w:val="0"/>
              <w:rPr>
                <w:rFonts w:cs="HelveticaNeue-Light"/>
              </w:rPr>
            </w:pPr>
            <w:r w:rsidRPr="00962D84">
              <w:rPr>
                <w:rFonts w:cs="Arial"/>
              </w:rPr>
              <w:t>Social Audits are now an integral part of the health system programming at the facility level.</w:t>
            </w:r>
          </w:p>
          <w:p w:rsidR="009F7318" w:rsidRPr="00962D84" w:rsidRDefault="009F7318" w:rsidP="00FF2F3D">
            <w:pPr>
              <w:pStyle w:val="TableBullet"/>
              <w:autoSpaceDE w:val="0"/>
              <w:autoSpaceDN w:val="0"/>
              <w:adjustRightInd w:val="0"/>
              <w:rPr>
                <w:rFonts w:cs="HelveticaNeue-Light"/>
              </w:rPr>
            </w:pPr>
            <w:r w:rsidRPr="00962D84">
              <w:rPr>
                <w:rFonts w:cs="Arial"/>
              </w:rPr>
              <w:t xml:space="preserve">The AWPB of </w:t>
            </w:r>
            <w:proofErr w:type="spellStart"/>
            <w:r w:rsidRPr="00962D84">
              <w:rPr>
                <w:rFonts w:cs="Arial"/>
              </w:rPr>
              <w:t>MoHP</w:t>
            </w:r>
            <w:proofErr w:type="spellEnd"/>
            <w:r w:rsidRPr="00962D84">
              <w:rPr>
                <w:rFonts w:cs="Arial"/>
              </w:rPr>
              <w:t xml:space="preserve"> now </w:t>
            </w:r>
            <w:proofErr w:type="gramStart"/>
            <w:r w:rsidRPr="00962D84">
              <w:rPr>
                <w:rFonts w:cs="Arial"/>
              </w:rPr>
              <w:t>have</w:t>
            </w:r>
            <w:proofErr w:type="gramEnd"/>
            <w:r w:rsidRPr="00962D84">
              <w:rPr>
                <w:rFonts w:cs="Arial"/>
              </w:rPr>
              <w:t xml:space="preserve"> budget provision for GESI issues and the Business Plan for 2012/13 has incorporated GESI related activities (p.28-29).</w:t>
            </w:r>
          </w:p>
          <w:p w:rsidR="009F7318" w:rsidRPr="00B725A9" w:rsidRDefault="009F7318" w:rsidP="00FF2F3D">
            <w:pPr>
              <w:autoSpaceDE w:val="0"/>
              <w:autoSpaceDN w:val="0"/>
              <w:adjustRightInd w:val="0"/>
              <w:spacing w:before="0" w:after="0" w:line="240" w:lineRule="auto"/>
              <w:ind w:left="316"/>
              <w:rPr>
                <w:rFonts w:cs="Arial"/>
                <w:sz w:val="17"/>
                <w:szCs w:val="17"/>
              </w:rPr>
            </w:pPr>
          </w:p>
          <w:p w:rsidR="009F7318" w:rsidRPr="00B725A9" w:rsidRDefault="009F7318" w:rsidP="00FF2F3D">
            <w:pPr>
              <w:autoSpaceDE w:val="0"/>
              <w:autoSpaceDN w:val="0"/>
              <w:adjustRightInd w:val="0"/>
              <w:rPr>
                <w:rFonts w:cs="Arial"/>
                <w:sz w:val="17"/>
                <w:szCs w:val="17"/>
              </w:rPr>
            </w:pPr>
            <w:r w:rsidRPr="00B725A9">
              <w:rPr>
                <w:rFonts w:cs="Arial"/>
                <w:i/>
                <w:sz w:val="17"/>
                <w:szCs w:val="17"/>
              </w:rPr>
              <w:t>Review of NHSP II, Annex 2 (GAAP) objectives, in relation to GESI. This Annex provides considerable information on objectives and progress against all areas included in the GESI strategy</w:t>
            </w:r>
            <w:r w:rsidR="00A046AE">
              <w:rPr>
                <w:rFonts w:cs="Arial"/>
                <w:i/>
                <w:sz w:val="17"/>
                <w:szCs w:val="17"/>
              </w:rPr>
              <w:t>.</w:t>
            </w:r>
          </w:p>
        </w:tc>
        <w:tc>
          <w:tcPr>
            <w:tcW w:w="954" w:type="pct"/>
          </w:tcPr>
          <w:p w:rsidR="009F7318" w:rsidRPr="00B725A9" w:rsidRDefault="009F7318" w:rsidP="00FF2F3D">
            <w:pPr>
              <w:rPr>
                <w:rFonts w:cs="Arial"/>
                <w:b/>
                <w:sz w:val="17"/>
                <w:szCs w:val="17"/>
              </w:rPr>
            </w:pPr>
            <w:r w:rsidRPr="00B725A9">
              <w:rPr>
                <w:rFonts w:cs="Arial"/>
                <w:b/>
                <w:sz w:val="17"/>
                <w:szCs w:val="17"/>
              </w:rPr>
              <w:lastRenderedPageBreak/>
              <w:t>Aid Program Performance Report 2012−13 Nepal</w:t>
            </w:r>
          </w:p>
          <w:p w:rsidR="009F7318" w:rsidRPr="00B725A9" w:rsidRDefault="009F7318" w:rsidP="00FF2F3D">
            <w:pPr>
              <w:rPr>
                <w:rFonts w:cs="Arial"/>
                <w:sz w:val="17"/>
                <w:szCs w:val="17"/>
              </w:rPr>
            </w:pPr>
            <w:r w:rsidRPr="00B725A9">
              <w:rPr>
                <w:rFonts w:cs="Arial"/>
                <w:sz w:val="17"/>
                <w:szCs w:val="17"/>
              </w:rPr>
              <w:t>Recent gains in gender parity in schools and steady progress in maternal health services demonstrate that national service provision is oriented towards the needs of women and girls. Despite this, needs remain acute with the proportion of births supervised by a skilled birth a</w:t>
            </w:r>
            <w:r>
              <w:rPr>
                <w:rFonts w:cs="Arial"/>
                <w:sz w:val="17"/>
                <w:szCs w:val="17"/>
              </w:rPr>
              <w:t>ttendant in Nepal at 46%</w:t>
            </w:r>
            <w:r w:rsidRPr="00B725A9">
              <w:rPr>
                <w:rFonts w:cs="Arial"/>
                <w:sz w:val="17"/>
                <w:szCs w:val="17"/>
              </w:rPr>
              <w:t>, and only 18</w:t>
            </w:r>
            <w:r>
              <w:rPr>
                <w:rFonts w:cs="Arial"/>
                <w:sz w:val="17"/>
                <w:szCs w:val="17"/>
              </w:rPr>
              <w:t>%</w:t>
            </w:r>
            <w:r w:rsidRPr="00B725A9">
              <w:rPr>
                <w:rFonts w:cs="Arial"/>
                <w:sz w:val="17"/>
                <w:szCs w:val="17"/>
              </w:rPr>
              <w:t xml:space="preserve"> among Nepal’s Muslim population.</w:t>
            </w:r>
          </w:p>
          <w:p w:rsidR="009F7318" w:rsidRPr="00B725A9" w:rsidRDefault="009F7318" w:rsidP="000270B3">
            <w:pPr>
              <w:rPr>
                <w:rFonts w:cs="Arial"/>
                <w:sz w:val="17"/>
                <w:szCs w:val="17"/>
              </w:rPr>
            </w:pPr>
            <w:r w:rsidRPr="00B725A9">
              <w:rPr>
                <w:rFonts w:cs="Arial"/>
                <w:sz w:val="17"/>
                <w:szCs w:val="17"/>
              </w:rPr>
              <w:t xml:space="preserve">Examples of improved practices in </w:t>
            </w:r>
            <w:r w:rsidR="000270B3">
              <w:rPr>
                <w:rFonts w:cs="Arial"/>
                <w:sz w:val="17"/>
                <w:szCs w:val="17"/>
              </w:rPr>
              <w:t xml:space="preserve">GESI </w:t>
            </w:r>
            <w:r w:rsidRPr="00B725A9">
              <w:rPr>
                <w:rFonts w:cs="Arial"/>
                <w:sz w:val="17"/>
                <w:szCs w:val="17"/>
              </w:rPr>
              <w:t xml:space="preserve">in 2012 include updating health training curricula, establishing a Technical Working Group on gender and inclusion in the </w:t>
            </w:r>
            <w:proofErr w:type="spellStart"/>
            <w:r w:rsidR="000270B3">
              <w:rPr>
                <w:rFonts w:cs="Arial"/>
                <w:sz w:val="17"/>
                <w:szCs w:val="17"/>
              </w:rPr>
              <w:t>Mo</w:t>
            </w:r>
            <w:r>
              <w:rPr>
                <w:rFonts w:cs="Arial"/>
                <w:sz w:val="17"/>
                <w:szCs w:val="17"/>
              </w:rPr>
              <w:t>HP</w:t>
            </w:r>
            <w:proofErr w:type="spellEnd"/>
            <w:r w:rsidRPr="00B725A9">
              <w:rPr>
                <w:rFonts w:cs="Arial"/>
                <w:sz w:val="17"/>
                <w:szCs w:val="17"/>
              </w:rPr>
              <w:t xml:space="preserve">, and agreeing on reservations in the 2013 teacher recruitment round for marginalised groups. Australia has been an active member of the thematic group on </w:t>
            </w:r>
            <w:r w:rsidR="000270B3">
              <w:rPr>
                <w:rFonts w:cs="Arial"/>
                <w:sz w:val="17"/>
                <w:szCs w:val="17"/>
              </w:rPr>
              <w:t xml:space="preserve">GESI </w:t>
            </w:r>
            <w:r w:rsidRPr="00B725A9">
              <w:rPr>
                <w:rFonts w:cs="Arial"/>
                <w:sz w:val="17"/>
                <w:szCs w:val="17"/>
              </w:rPr>
              <w:t>in health.</w:t>
            </w:r>
          </w:p>
        </w:tc>
      </w:tr>
      <w:tr w:rsidR="009F7318" w:rsidRPr="00B725A9" w:rsidTr="00FF2F3D">
        <w:tc>
          <w:tcPr>
            <w:tcW w:w="5000" w:type="pct"/>
            <w:gridSpan w:val="3"/>
          </w:tcPr>
          <w:p w:rsidR="009F7318" w:rsidRPr="00B725A9" w:rsidRDefault="0097056D" w:rsidP="00FF2F3D">
            <w:pPr>
              <w:jc w:val="center"/>
              <w:rPr>
                <w:rFonts w:cs="Arial"/>
                <w:b/>
                <w:sz w:val="17"/>
                <w:szCs w:val="17"/>
              </w:rPr>
            </w:pPr>
            <w:r>
              <w:rPr>
                <w:rFonts w:cs="Arial"/>
                <w:b/>
                <w:sz w:val="17"/>
                <w:szCs w:val="17"/>
              </w:rPr>
              <w:lastRenderedPageBreak/>
              <w:t>P</w:t>
            </w:r>
            <w:r w:rsidR="00817A75">
              <w:rPr>
                <w:rFonts w:cs="Arial"/>
                <w:b/>
                <w:sz w:val="17"/>
                <w:szCs w:val="17"/>
              </w:rPr>
              <w:t>apua New Guinea</w:t>
            </w:r>
          </w:p>
        </w:tc>
      </w:tr>
      <w:tr w:rsidR="009F7318" w:rsidRPr="00B725A9" w:rsidTr="00FF2F3D">
        <w:tc>
          <w:tcPr>
            <w:tcW w:w="2053" w:type="pct"/>
          </w:tcPr>
          <w:p w:rsidR="009F7318" w:rsidRPr="00B725A9" w:rsidRDefault="009F7318" w:rsidP="00FF2F3D">
            <w:pPr>
              <w:rPr>
                <w:rFonts w:cs="Arial"/>
                <w:b/>
                <w:sz w:val="17"/>
                <w:szCs w:val="17"/>
              </w:rPr>
            </w:pPr>
            <w:r w:rsidRPr="00B725A9">
              <w:rPr>
                <w:rFonts w:cs="Arial"/>
                <w:b/>
                <w:sz w:val="17"/>
                <w:szCs w:val="17"/>
              </w:rPr>
              <w:t>RE-DESIGN OF THE HEALTH SERVICES IMPROVEMENT PROGRAM (HSIP)</w:t>
            </w:r>
          </w:p>
          <w:p w:rsidR="009F7318" w:rsidRPr="00B725A9" w:rsidRDefault="009F7318" w:rsidP="00FF2F3D">
            <w:pPr>
              <w:rPr>
                <w:rFonts w:cs="Arial"/>
                <w:sz w:val="17"/>
                <w:szCs w:val="17"/>
              </w:rPr>
            </w:pPr>
            <w:r w:rsidRPr="00B725A9">
              <w:rPr>
                <w:rFonts w:cs="Arial"/>
                <w:b/>
                <w:sz w:val="17"/>
                <w:szCs w:val="17"/>
              </w:rPr>
              <w:t xml:space="preserve">TRUST ACCOUNT, 2012, Sue Richards (Team Leader), </w:t>
            </w:r>
            <w:proofErr w:type="spellStart"/>
            <w:r w:rsidRPr="00B725A9">
              <w:rPr>
                <w:rFonts w:cs="Arial"/>
                <w:b/>
                <w:sz w:val="17"/>
                <w:szCs w:val="17"/>
              </w:rPr>
              <w:t>Gima</w:t>
            </w:r>
            <w:proofErr w:type="spellEnd"/>
            <w:r w:rsidRPr="00B725A9">
              <w:rPr>
                <w:rFonts w:cs="Arial"/>
                <w:b/>
                <w:sz w:val="17"/>
                <w:szCs w:val="17"/>
              </w:rPr>
              <w:t xml:space="preserve"> </w:t>
            </w:r>
            <w:proofErr w:type="spellStart"/>
            <w:r w:rsidRPr="00B725A9">
              <w:rPr>
                <w:rFonts w:cs="Arial"/>
                <w:b/>
                <w:sz w:val="17"/>
                <w:szCs w:val="17"/>
              </w:rPr>
              <w:t>Rupa</w:t>
            </w:r>
            <w:proofErr w:type="spellEnd"/>
            <w:r w:rsidRPr="00B725A9">
              <w:rPr>
                <w:rFonts w:cs="Arial"/>
                <w:b/>
                <w:sz w:val="17"/>
                <w:szCs w:val="17"/>
              </w:rPr>
              <w:t xml:space="preserve">, Lea Shaw and Ingrid Glastonbury. </w:t>
            </w:r>
            <w:r w:rsidRPr="00B725A9">
              <w:rPr>
                <w:rFonts w:cs="Arial"/>
                <w:sz w:val="17"/>
                <w:szCs w:val="17"/>
              </w:rPr>
              <w:t xml:space="preserve">The re-design team acknowledges that activities must be designed to reach women and men equitably according to their specific needs. </w:t>
            </w:r>
          </w:p>
          <w:p w:rsidR="009F7318" w:rsidRDefault="009F7318" w:rsidP="00FF2F3D">
            <w:pPr>
              <w:rPr>
                <w:rFonts w:cs="Arial"/>
                <w:sz w:val="17"/>
                <w:szCs w:val="17"/>
              </w:rPr>
            </w:pPr>
            <w:r w:rsidRPr="00B725A9">
              <w:rPr>
                <w:rFonts w:cs="Arial"/>
                <w:sz w:val="17"/>
                <w:szCs w:val="17"/>
              </w:rPr>
              <w:t>The priority strategy selected is to reach the facility level with funds and capacity development to encourage more people to access health facilities, particularly in poorer districts, thus improving the health outcomes of rural people:</w:t>
            </w:r>
          </w:p>
          <w:p w:rsidR="009F7318" w:rsidRPr="006213F9" w:rsidRDefault="009F7318" w:rsidP="00FF2F3D">
            <w:pPr>
              <w:pStyle w:val="TableBullet"/>
              <w:autoSpaceDE w:val="0"/>
              <w:autoSpaceDN w:val="0"/>
              <w:adjustRightInd w:val="0"/>
              <w:rPr>
                <w:rFonts w:cs="HelveticaNeue-Light"/>
              </w:rPr>
            </w:pPr>
            <w:r w:rsidRPr="006213F9">
              <w:rPr>
                <w:rFonts w:cs="Arial"/>
              </w:rPr>
              <w:t xml:space="preserve">Targeted in-service training will benefit staff of health facilities (officer in charge, nurses, community health workers and midwives) where female </w:t>
            </w:r>
            <w:proofErr w:type="gramStart"/>
            <w:r w:rsidRPr="006213F9">
              <w:rPr>
                <w:rFonts w:cs="Arial"/>
              </w:rPr>
              <w:t>staff often predominate</w:t>
            </w:r>
            <w:proofErr w:type="gramEnd"/>
            <w:r w:rsidRPr="006213F9">
              <w:rPr>
                <w:rFonts w:cs="Arial"/>
              </w:rPr>
              <w:t xml:space="preserve">. Training in health management provided by </w:t>
            </w:r>
            <w:r w:rsidR="00013434">
              <w:rPr>
                <w:rFonts w:cs="Arial"/>
              </w:rPr>
              <w:t>Divine Word University</w:t>
            </w:r>
            <w:r w:rsidRPr="006213F9">
              <w:rPr>
                <w:rFonts w:cs="Arial"/>
              </w:rPr>
              <w:t xml:space="preserve"> has been evaluated as equitably delivering for both women and men.</w:t>
            </w:r>
          </w:p>
          <w:p w:rsidR="009F7318" w:rsidRPr="006213F9" w:rsidRDefault="009F7318" w:rsidP="00FF2F3D">
            <w:pPr>
              <w:pStyle w:val="TableBullet"/>
              <w:autoSpaceDE w:val="0"/>
              <w:autoSpaceDN w:val="0"/>
              <w:adjustRightInd w:val="0"/>
              <w:rPr>
                <w:rFonts w:cs="HelveticaNeue-Light"/>
              </w:rPr>
            </w:pPr>
            <w:r w:rsidRPr="006213F9">
              <w:rPr>
                <w:rFonts w:cs="Arial"/>
              </w:rPr>
              <w:t xml:space="preserve">Targeted enabling funding for rehabilitation of existing infrastructure will ensure a more accessible facility for all people, particularly women who are traditionally frequent users of health facilities for themselves and their children. </w:t>
            </w:r>
          </w:p>
          <w:p w:rsidR="009F7318" w:rsidRPr="006213F9" w:rsidRDefault="009F7318" w:rsidP="00FF2F3D">
            <w:pPr>
              <w:pStyle w:val="TableBullet"/>
              <w:autoSpaceDE w:val="0"/>
              <w:autoSpaceDN w:val="0"/>
              <w:adjustRightInd w:val="0"/>
              <w:rPr>
                <w:rFonts w:cs="HelveticaNeue-Light"/>
              </w:rPr>
            </w:pPr>
            <w:r w:rsidRPr="006213F9">
              <w:rPr>
                <w:rFonts w:cs="Arial"/>
              </w:rPr>
              <w:t xml:space="preserve">Emergency transfers of obstetric patients can save the lives of pregnant women and impact maternal mortality rates in the long term. </w:t>
            </w:r>
          </w:p>
          <w:p w:rsidR="009F7318" w:rsidRPr="006213F9" w:rsidRDefault="009F7318" w:rsidP="00FF2F3D">
            <w:pPr>
              <w:pStyle w:val="TableBullet"/>
              <w:autoSpaceDE w:val="0"/>
              <w:autoSpaceDN w:val="0"/>
              <w:adjustRightInd w:val="0"/>
              <w:rPr>
                <w:rFonts w:cs="HelveticaNeue-Light"/>
              </w:rPr>
            </w:pPr>
            <w:r w:rsidRPr="006213F9">
              <w:rPr>
                <w:rFonts w:cs="Arial"/>
              </w:rPr>
              <w:t>Targeting the poorest districts will deliver benefits for rural women often disadvantaged by remoteness and isolation from services.</w:t>
            </w:r>
          </w:p>
          <w:p w:rsidR="009F7318" w:rsidRPr="006213F9" w:rsidRDefault="009F7318" w:rsidP="00FF2F3D">
            <w:pPr>
              <w:pStyle w:val="TableBullet"/>
              <w:autoSpaceDE w:val="0"/>
              <w:autoSpaceDN w:val="0"/>
              <w:adjustRightInd w:val="0"/>
              <w:rPr>
                <w:rFonts w:cs="HelveticaNeue-Light"/>
              </w:rPr>
            </w:pPr>
            <w:r w:rsidRPr="006213F9">
              <w:rPr>
                <w:rFonts w:cs="Arial"/>
              </w:rPr>
              <w:t>At the completion of the program, some improvement in the Human Development Index and the Gender Development District Index is expected.</w:t>
            </w:r>
          </w:p>
          <w:p w:rsidR="009F7318" w:rsidRPr="006213F9" w:rsidRDefault="009F7318" w:rsidP="00FF2F3D">
            <w:pPr>
              <w:pStyle w:val="TableBullet"/>
              <w:autoSpaceDE w:val="0"/>
              <w:autoSpaceDN w:val="0"/>
              <w:adjustRightInd w:val="0"/>
              <w:rPr>
                <w:rFonts w:cs="HelveticaNeue-Light"/>
              </w:rPr>
            </w:pPr>
            <w:r w:rsidRPr="006213F9">
              <w:rPr>
                <w:rFonts w:cs="Arial"/>
              </w:rPr>
              <w:t xml:space="preserve">It will be difficult to further specify gender related outcomes as there is no gender analysis provided in the </w:t>
            </w:r>
            <w:r w:rsidR="00642530">
              <w:rPr>
                <w:rFonts w:cs="Arial"/>
              </w:rPr>
              <w:t xml:space="preserve">sector performance </w:t>
            </w:r>
            <w:r w:rsidR="00642530">
              <w:rPr>
                <w:rFonts w:cs="Arial"/>
              </w:rPr>
              <w:lastRenderedPageBreak/>
              <w:t>annual review</w:t>
            </w:r>
            <w:r w:rsidRPr="006213F9">
              <w:rPr>
                <w:rFonts w:cs="Arial"/>
              </w:rPr>
              <w:t>.</w:t>
            </w:r>
          </w:p>
          <w:p w:rsidR="009F7318" w:rsidRPr="00B725A9" w:rsidRDefault="009F7318" w:rsidP="00FF2F3D">
            <w:pPr>
              <w:rPr>
                <w:rFonts w:cs="Arial"/>
                <w:sz w:val="17"/>
                <w:szCs w:val="17"/>
              </w:rPr>
            </w:pPr>
          </w:p>
          <w:p w:rsidR="009F7318" w:rsidRPr="00B725A9" w:rsidRDefault="009F7318" w:rsidP="00FF2F3D">
            <w:pPr>
              <w:rPr>
                <w:rFonts w:cs="Arial"/>
                <w:b/>
                <w:sz w:val="17"/>
                <w:szCs w:val="17"/>
              </w:rPr>
            </w:pPr>
            <w:r w:rsidRPr="00B725A9">
              <w:rPr>
                <w:rFonts w:cs="Arial"/>
                <w:b/>
                <w:sz w:val="17"/>
                <w:szCs w:val="17"/>
              </w:rPr>
              <w:t xml:space="preserve">National Health Plan 2011–2020, </w:t>
            </w:r>
            <w:proofErr w:type="spellStart"/>
            <w:r w:rsidRPr="00B725A9">
              <w:rPr>
                <w:rFonts w:cs="Arial"/>
                <w:b/>
                <w:sz w:val="17"/>
                <w:szCs w:val="17"/>
              </w:rPr>
              <w:t>Vol</w:t>
            </w:r>
            <w:proofErr w:type="spellEnd"/>
            <w:r w:rsidRPr="00B725A9">
              <w:rPr>
                <w:rFonts w:cs="Arial"/>
                <w:b/>
                <w:sz w:val="17"/>
                <w:szCs w:val="17"/>
              </w:rPr>
              <w:t xml:space="preserve"> 1, policies and str</w:t>
            </w:r>
            <w:r w:rsidR="00817A75">
              <w:rPr>
                <w:rFonts w:cs="Arial"/>
                <w:b/>
                <w:sz w:val="17"/>
                <w:szCs w:val="17"/>
              </w:rPr>
              <w:t>ategies, 2010, Government of Papua New Guinea</w:t>
            </w:r>
          </w:p>
          <w:p w:rsidR="009F7318" w:rsidRDefault="009F7318" w:rsidP="00FF2F3D">
            <w:pPr>
              <w:rPr>
                <w:rFonts w:cs="Arial"/>
                <w:sz w:val="17"/>
                <w:szCs w:val="17"/>
              </w:rPr>
            </w:pPr>
            <w:r w:rsidRPr="00B725A9">
              <w:rPr>
                <w:rFonts w:cs="Arial"/>
                <w:sz w:val="17"/>
                <w:szCs w:val="17"/>
              </w:rPr>
              <w:t>Essential Values of the Health System includes:</w:t>
            </w:r>
          </w:p>
          <w:p w:rsidR="009F7318" w:rsidRPr="006213F9" w:rsidRDefault="009F7318" w:rsidP="00FF2F3D">
            <w:pPr>
              <w:pStyle w:val="TableBullet"/>
              <w:autoSpaceDE w:val="0"/>
              <w:autoSpaceDN w:val="0"/>
              <w:adjustRightInd w:val="0"/>
              <w:rPr>
                <w:rFonts w:cs="HelveticaNeue-Light"/>
              </w:rPr>
            </w:pPr>
            <w:r w:rsidRPr="006213F9">
              <w:rPr>
                <w:rFonts w:cs="Arial"/>
              </w:rPr>
              <w:t>Equity: Striving for an equitable health care that is independent from political decision making, and being fair in all our dealings, irrespective of age, gender, ethnicity, religion, and political affiliation</w:t>
            </w:r>
            <w:r>
              <w:rPr>
                <w:rFonts w:cs="Arial"/>
              </w:rPr>
              <w:t>.</w:t>
            </w:r>
          </w:p>
          <w:p w:rsidR="009F7318" w:rsidRDefault="009F7318" w:rsidP="00FF2F3D">
            <w:pPr>
              <w:rPr>
                <w:rFonts w:cs="Arial"/>
                <w:sz w:val="17"/>
                <w:szCs w:val="17"/>
              </w:rPr>
            </w:pPr>
          </w:p>
          <w:p w:rsidR="009F7318" w:rsidRPr="00B725A9" w:rsidRDefault="009F7318" w:rsidP="00FF2F3D">
            <w:pPr>
              <w:rPr>
                <w:rFonts w:cs="Arial"/>
                <w:sz w:val="17"/>
                <w:szCs w:val="17"/>
              </w:rPr>
            </w:pPr>
            <w:r w:rsidRPr="00B725A9">
              <w:rPr>
                <w:rFonts w:cs="Arial"/>
                <w:sz w:val="17"/>
                <w:szCs w:val="17"/>
              </w:rPr>
              <w:t>Key Result Area 5: Improve Maternal Health</w:t>
            </w:r>
          </w:p>
        </w:tc>
        <w:tc>
          <w:tcPr>
            <w:tcW w:w="1993" w:type="pct"/>
          </w:tcPr>
          <w:p w:rsidR="009F7318" w:rsidRPr="00B725A9" w:rsidRDefault="009F7318" w:rsidP="00FF2F3D">
            <w:pPr>
              <w:rPr>
                <w:rFonts w:cs="Arial"/>
                <w:b/>
                <w:sz w:val="17"/>
                <w:szCs w:val="17"/>
              </w:rPr>
            </w:pPr>
            <w:r w:rsidRPr="00B725A9">
              <w:rPr>
                <w:rFonts w:cs="Arial"/>
                <w:b/>
                <w:sz w:val="17"/>
                <w:szCs w:val="17"/>
              </w:rPr>
              <w:lastRenderedPageBreak/>
              <w:t xml:space="preserve">THE PNG HEALTH SWAP REVIEW, 2010, Review Team: </w:t>
            </w:r>
            <w:proofErr w:type="spellStart"/>
            <w:r w:rsidRPr="00B725A9">
              <w:rPr>
                <w:rFonts w:cs="Arial"/>
                <w:b/>
                <w:sz w:val="17"/>
                <w:szCs w:val="17"/>
              </w:rPr>
              <w:t>Katja</w:t>
            </w:r>
            <w:proofErr w:type="spellEnd"/>
            <w:r w:rsidRPr="00B725A9">
              <w:rPr>
                <w:rFonts w:cs="Arial"/>
                <w:b/>
                <w:sz w:val="17"/>
                <w:szCs w:val="17"/>
              </w:rPr>
              <w:t xml:space="preserve"> </w:t>
            </w:r>
            <w:proofErr w:type="spellStart"/>
            <w:r w:rsidRPr="00B725A9">
              <w:rPr>
                <w:rFonts w:cs="Arial"/>
                <w:b/>
                <w:sz w:val="17"/>
                <w:szCs w:val="17"/>
              </w:rPr>
              <w:t>Janovsky</w:t>
            </w:r>
            <w:proofErr w:type="spellEnd"/>
            <w:r w:rsidRPr="00B725A9">
              <w:rPr>
                <w:rFonts w:cs="Arial"/>
                <w:b/>
                <w:sz w:val="17"/>
                <w:szCs w:val="17"/>
              </w:rPr>
              <w:t xml:space="preserve"> (Team Leader), Mick Foster, Eric </w:t>
            </w:r>
            <w:proofErr w:type="spellStart"/>
            <w:r w:rsidRPr="00B725A9">
              <w:rPr>
                <w:rFonts w:cs="Arial"/>
                <w:b/>
                <w:sz w:val="17"/>
                <w:szCs w:val="17"/>
              </w:rPr>
              <w:t>Kwa</w:t>
            </w:r>
            <w:proofErr w:type="spellEnd"/>
            <w:r w:rsidRPr="00B725A9">
              <w:rPr>
                <w:rFonts w:cs="Arial"/>
                <w:b/>
                <w:sz w:val="17"/>
                <w:szCs w:val="17"/>
              </w:rPr>
              <w:t xml:space="preserve">, John </w:t>
            </w:r>
            <w:proofErr w:type="spellStart"/>
            <w:r w:rsidRPr="00B725A9">
              <w:rPr>
                <w:rFonts w:cs="Arial"/>
                <w:b/>
                <w:sz w:val="17"/>
                <w:szCs w:val="17"/>
              </w:rPr>
              <w:t>Piel</w:t>
            </w:r>
            <w:proofErr w:type="spellEnd"/>
            <w:r w:rsidRPr="00B725A9">
              <w:rPr>
                <w:rFonts w:cs="Arial"/>
                <w:b/>
                <w:sz w:val="17"/>
                <w:szCs w:val="17"/>
              </w:rPr>
              <w:t xml:space="preserve">, Kate </w:t>
            </w:r>
            <w:proofErr w:type="spellStart"/>
            <w:r w:rsidRPr="00B725A9">
              <w:rPr>
                <w:rFonts w:cs="Arial"/>
                <w:b/>
                <w:sz w:val="17"/>
                <w:szCs w:val="17"/>
              </w:rPr>
              <w:t>Lollback</w:t>
            </w:r>
            <w:proofErr w:type="spellEnd"/>
          </w:p>
          <w:p w:rsidR="009F7318" w:rsidRPr="00B725A9" w:rsidRDefault="009F7318" w:rsidP="00FF2F3D">
            <w:pPr>
              <w:rPr>
                <w:rFonts w:cs="Arial"/>
                <w:sz w:val="17"/>
                <w:szCs w:val="17"/>
              </w:rPr>
            </w:pPr>
            <w:r w:rsidRPr="00B725A9">
              <w:rPr>
                <w:rFonts w:cs="Arial"/>
                <w:sz w:val="17"/>
                <w:szCs w:val="17"/>
              </w:rPr>
              <w:t>No mention of gender</w:t>
            </w:r>
            <w:r w:rsidR="000270B3">
              <w:rPr>
                <w:rFonts w:cs="Arial"/>
                <w:sz w:val="17"/>
                <w:szCs w:val="17"/>
              </w:rPr>
              <w:t>.</w:t>
            </w:r>
          </w:p>
          <w:p w:rsidR="009F7318" w:rsidRPr="00B725A9" w:rsidRDefault="009F7318" w:rsidP="00FF2F3D">
            <w:pPr>
              <w:rPr>
                <w:rFonts w:cs="Arial"/>
                <w:b/>
                <w:sz w:val="17"/>
                <w:szCs w:val="17"/>
              </w:rPr>
            </w:pPr>
            <w:r w:rsidRPr="00B725A9">
              <w:rPr>
                <w:rFonts w:cs="Arial"/>
                <w:b/>
                <w:sz w:val="17"/>
                <w:szCs w:val="17"/>
              </w:rPr>
              <w:t xml:space="preserve">Review of Health Sector Improvement Program Trust Account, Mick Foster &amp; John </w:t>
            </w:r>
            <w:proofErr w:type="spellStart"/>
            <w:r w:rsidRPr="00B725A9">
              <w:rPr>
                <w:rFonts w:cs="Arial"/>
                <w:b/>
                <w:sz w:val="17"/>
                <w:szCs w:val="17"/>
              </w:rPr>
              <w:t>Piel</w:t>
            </w:r>
            <w:proofErr w:type="spellEnd"/>
            <w:r w:rsidRPr="00B725A9">
              <w:rPr>
                <w:rFonts w:cs="Arial"/>
                <w:b/>
                <w:sz w:val="17"/>
                <w:szCs w:val="17"/>
              </w:rPr>
              <w:t>, June 2010</w:t>
            </w:r>
          </w:p>
          <w:p w:rsidR="009F7318" w:rsidRPr="00B725A9" w:rsidRDefault="009F7318" w:rsidP="00FF2F3D">
            <w:pPr>
              <w:rPr>
                <w:rFonts w:cs="Arial"/>
                <w:sz w:val="17"/>
                <w:szCs w:val="17"/>
              </w:rPr>
            </w:pPr>
            <w:r w:rsidRPr="00B725A9">
              <w:rPr>
                <w:rFonts w:cs="Arial"/>
                <w:sz w:val="17"/>
                <w:szCs w:val="17"/>
              </w:rPr>
              <w:t>No mention of gender</w:t>
            </w:r>
            <w:r w:rsidR="000270B3">
              <w:rPr>
                <w:rFonts w:cs="Arial"/>
                <w:sz w:val="17"/>
                <w:szCs w:val="17"/>
              </w:rPr>
              <w:t>.</w:t>
            </w:r>
          </w:p>
          <w:p w:rsidR="009F7318" w:rsidRPr="00B725A9" w:rsidRDefault="009F7318" w:rsidP="00FF2F3D">
            <w:pPr>
              <w:rPr>
                <w:rFonts w:cs="Arial"/>
                <w:b/>
                <w:sz w:val="17"/>
                <w:szCs w:val="17"/>
              </w:rPr>
            </w:pPr>
            <w:r w:rsidRPr="00B725A9">
              <w:rPr>
                <w:rFonts w:cs="Arial"/>
                <w:b/>
                <w:sz w:val="17"/>
                <w:szCs w:val="17"/>
              </w:rPr>
              <w:t xml:space="preserve">Independent Annual Sector Review, Accelerating Health Improvement in Poor Performing Districts, 2012, Dr Richard Van West-Charles, John A </w:t>
            </w:r>
            <w:proofErr w:type="spellStart"/>
            <w:r w:rsidRPr="00B725A9">
              <w:rPr>
                <w:rFonts w:cs="Arial"/>
                <w:b/>
                <w:sz w:val="17"/>
                <w:szCs w:val="17"/>
              </w:rPr>
              <w:t>Piel</w:t>
            </w:r>
            <w:proofErr w:type="spellEnd"/>
            <w:r w:rsidRPr="00B725A9">
              <w:rPr>
                <w:rFonts w:cs="Arial"/>
                <w:b/>
                <w:sz w:val="17"/>
                <w:szCs w:val="17"/>
              </w:rPr>
              <w:t xml:space="preserve">, </w:t>
            </w:r>
          </w:p>
          <w:p w:rsidR="009F7318" w:rsidRPr="00B725A9" w:rsidRDefault="009F7318" w:rsidP="00FF2F3D">
            <w:pPr>
              <w:rPr>
                <w:rFonts w:cs="Arial"/>
                <w:b/>
                <w:sz w:val="17"/>
                <w:szCs w:val="17"/>
              </w:rPr>
            </w:pPr>
            <w:r w:rsidRPr="00B725A9">
              <w:rPr>
                <w:rFonts w:cs="Arial"/>
                <w:b/>
                <w:sz w:val="17"/>
                <w:szCs w:val="17"/>
              </w:rPr>
              <w:t xml:space="preserve">Dr </w:t>
            </w:r>
            <w:proofErr w:type="spellStart"/>
            <w:r w:rsidRPr="00B725A9">
              <w:rPr>
                <w:rFonts w:cs="Arial"/>
                <w:b/>
                <w:sz w:val="17"/>
                <w:szCs w:val="17"/>
              </w:rPr>
              <w:t>Urarang</w:t>
            </w:r>
            <w:proofErr w:type="spellEnd"/>
            <w:r w:rsidRPr="00B725A9">
              <w:rPr>
                <w:rFonts w:cs="Arial"/>
                <w:b/>
                <w:sz w:val="17"/>
                <w:szCs w:val="17"/>
              </w:rPr>
              <w:t xml:space="preserve"> </w:t>
            </w:r>
            <w:proofErr w:type="spellStart"/>
            <w:r w:rsidRPr="00B725A9">
              <w:rPr>
                <w:rFonts w:cs="Arial"/>
                <w:b/>
                <w:sz w:val="17"/>
                <w:szCs w:val="17"/>
              </w:rPr>
              <w:t>Kitur</w:t>
            </w:r>
            <w:proofErr w:type="spellEnd"/>
            <w:r w:rsidRPr="00B725A9">
              <w:rPr>
                <w:rFonts w:cs="Arial"/>
                <w:b/>
                <w:sz w:val="17"/>
                <w:szCs w:val="17"/>
              </w:rPr>
              <w:t xml:space="preserve">, and Dr </w:t>
            </w:r>
            <w:proofErr w:type="spellStart"/>
            <w:r w:rsidRPr="00B725A9">
              <w:rPr>
                <w:rFonts w:cs="Arial"/>
                <w:b/>
                <w:sz w:val="17"/>
                <w:szCs w:val="17"/>
              </w:rPr>
              <w:t>Kandi</w:t>
            </w:r>
            <w:proofErr w:type="spellEnd"/>
            <w:r w:rsidRPr="00B725A9">
              <w:rPr>
                <w:rFonts w:cs="Arial"/>
                <w:b/>
                <w:sz w:val="17"/>
                <w:szCs w:val="17"/>
              </w:rPr>
              <w:t xml:space="preserve"> </w:t>
            </w:r>
            <w:proofErr w:type="spellStart"/>
            <w:r w:rsidRPr="00B725A9">
              <w:rPr>
                <w:rFonts w:cs="Arial"/>
                <w:b/>
                <w:sz w:val="17"/>
                <w:szCs w:val="17"/>
              </w:rPr>
              <w:t>Lombange</w:t>
            </w:r>
            <w:proofErr w:type="spellEnd"/>
            <w:r w:rsidRPr="00B725A9">
              <w:rPr>
                <w:rFonts w:cs="Arial"/>
                <w:b/>
                <w:sz w:val="17"/>
                <w:szCs w:val="17"/>
              </w:rPr>
              <w:t xml:space="preserve">, Theo </w:t>
            </w:r>
            <w:proofErr w:type="spellStart"/>
            <w:r w:rsidRPr="00B725A9">
              <w:rPr>
                <w:rFonts w:cs="Arial"/>
                <w:b/>
                <w:sz w:val="17"/>
                <w:szCs w:val="17"/>
              </w:rPr>
              <w:t>Vermeulen</w:t>
            </w:r>
            <w:proofErr w:type="spellEnd"/>
          </w:p>
          <w:p w:rsidR="009F7318" w:rsidRPr="00B725A9" w:rsidRDefault="009F7318" w:rsidP="00FF2F3D">
            <w:pPr>
              <w:rPr>
                <w:rFonts w:cs="Arial"/>
                <w:sz w:val="17"/>
                <w:szCs w:val="17"/>
              </w:rPr>
            </w:pPr>
            <w:r w:rsidRPr="00B725A9">
              <w:rPr>
                <w:rFonts w:cs="Arial"/>
                <w:sz w:val="17"/>
                <w:szCs w:val="17"/>
              </w:rPr>
              <w:t>No reporting on gender</w:t>
            </w:r>
            <w:r w:rsidR="000270B3">
              <w:rPr>
                <w:rFonts w:cs="Arial"/>
                <w:sz w:val="17"/>
                <w:szCs w:val="17"/>
              </w:rPr>
              <w:t>.</w:t>
            </w:r>
          </w:p>
          <w:p w:rsidR="009F7318" w:rsidRPr="00B725A9" w:rsidRDefault="009F7318" w:rsidP="00FF2F3D">
            <w:pPr>
              <w:rPr>
                <w:rFonts w:cs="Arial"/>
                <w:sz w:val="17"/>
                <w:szCs w:val="17"/>
              </w:rPr>
            </w:pPr>
          </w:p>
          <w:p w:rsidR="009F7318" w:rsidRPr="00B725A9" w:rsidRDefault="009F7318" w:rsidP="00FF2F3D">
            <w:pPr>
              <w:rPr>
                <w:rFonts w:cs="Arial"/>
                <w:sz w:val="17"/>
                <w:szCs w:val="17"/>
              </w:rPr>
            </w:pPr>
          </w:p>
        </w:tc>
        <w:tc>
          <w:tcPr>
            <w:tcW w:w="954" w:type="pct"/>
          </w:tcPr>
          <w:p w:rsidR="009F7318" w:rsidRPr="00B725A9" w:rsidRDefault="009F7318" w:rsidP="00FF2F3D">
            <w:pPr>
              <w:rPr>
                <w:rFonts w:cs="Arial"/>
                <w:b/>
                <w:sz w:val="17"/>
                <w:szCs w:val="17"/>
              </w:rPr>
            </w:pPr>
            <w:r w:rsidRPr="00B725A9">
              <w:rPr>
                <w:rFonts w:cs="Arial"/>
                <w:b/>
                <w:sz w:val="17"/>
                <w:szCs w:val="17"/>
              </w:rPr>
              <w:t>PNG Health and HIV Sector Performance Report 2013-14</w:t>
            </w:r>
          </w:p>
          <w:p w:rsidR="009F7318" w:rsidRDefault="009F7318" w:rsidP="00FF2F3D">
            <w:pPr>
              <w:rPr>
                <w:rFonts w:cs="Arial"/>
                <w:sz w:val="17"/>
                <w:szCs w:val="17"/>
              </w:rPr>
            </w:pPr>
            <w:r w:rsidRPr="00B725A9">
              <w:rPr>
                <w:rFonts w:cs="Arial"/>
                <w:sz w:val="17"/>
                <w:szCs w:val="17"/>
              </w:rPr>
              <w:t>Gender Equality Achievements:</w:t>
            </w:r>
          </w:p>
          <w:p w:rsidR="009F7318" w:rsidRPr="006213F9" w:rsidRDefault="009F7318" w:rsidP="00FF2F3D">
            <w:pPr>
              <w:pStyle w:val="TableBullet"/>
              <w:autoSpaceDE w:val="0"/>
              <w:autoSpaceDN w:val="0"/>
              <w:adjustRightInd w:val="0"/>
              <w:rPr>
                <w:rFonts w:cs="HelveticaNeue-Light"/>
              </w:rPr>
            </w:pPr>
            <w:r w:rsidRPr="006213F9">
              <w:rPr>
                <w:rFonts w:cs="Arial"/>
              </w:rPr>
              <w:t xml:space="preserve">In 2013, </w:t>
            </w:r>
            <w:proofErr w:type="spellStart"/>
            <w:r w:rsidRPr="006213F9">
              <w:rPr>
                <w:rFonts w:cs="Arial"/>
              </w:rPr>
              <w:t>Susu</w:t>
            </w:r>
            <w:proofErr w:type="spellEnd"/>
            <w:r w:rsidRPr="006213F9">
              <w:rPr>
                <w:rFonts w:cs="Arial"/>
              </w:rPr>
              <w:t xml:space="preserve"> Mamas conducted 77 rural outreach clinics and eight settlement clinics. 1,656 women accessed rural outreach services and 16,985 women attended </w:t>
            </w:r>
            <w:proofErr w:type="spellStart"/>
            <w:r w:rsidRPr="006213F9">
              <w:rPr>
                <w:rFonts w:cs="Arial"/>
              </w:rPr>
              <w:t>Susu</w:t>
            </w:r>
            <w:proofErr w:type="spellEnd"/>
            <w:r w:rsidRPr="006213F9">
              <w:rPr>
                <w:rFonts w:cs="Arial"/>
              </w:rPr>
              <w:t xml:space="preserve"> Mamas urban integrated family a</w:t>
            </w:r>
            <w:r>
              <w:rPr>
                <w:rFonts w:cs="Arial"/>
              </w:rPr>
              <w:t>nd youth health service (an 18%</w:t>
            </w:r>
            <w:r w:rsidRPr="006213F9">
              <w:rPr>
                <w:rFonts w:cs="Arial"/>
              </w:rPr>
              <w:t xml:space="preserve"> increase on women accessing services in 2012).</w:t>
            </w:r>
          </w:p>
          <w:p w:rsidR="009F7318" w:rsidRPr="006213F9" w:rsidRDefault="009F7318" w:rsidP="00FF2F3D">
            <w:pPr>
              <w:pStyle w:val="TableBullet"/>
              <w:autoSpaceDE w:val="0"/>
              <w:autoSpaceDN w:val="0"/>
              <w:adjustRightInd w:val="0"/>
              <w:rPr>
                <w:rFonts w:cs="HelveticaNeue-Light"/>
              </w:rPr>
            </w:pPr>
            <w:r w:rsidRPr="006213F9">
              <w:rPr>
                <w:rFonts w:cs="Arial"/>
              </w:rPr>
              <w:t xml:space="preserve">Australian funded operational research into accessing maternal health services in rural areas and </w:t>
            </w:r>
            <w:r w:rsidR="00DE1104" w:rsidRPr="00E01123">
              <w:t xml:space="preserve">Human papillomavirus </w:t>
            </w:r>
            <w:r w:rsidRPr="006213F9">
              <w:rPr>
                <w:rFonts w:cs="Arial"/>
              </w:rPr>
              <w:t xml:space="preserve">and cervical cancer screening will directly impact national policy and future roll out of vaccines, testing and </w:t>
            </w:r>
            <w:r w:rsidRPr="006213F9">
              <w:rPr>
                <w:rFonts w:cs="Arial"/>
              </w:rPr>
              <w:lastRenderedPageBreak/>
              <w:t>screening.</w:t>
            </w:r>
          </w:p>
          <w:p w:rsidR="009F7318" w:rsidRPr="006213F9" w:rsidRDefault="009F7318" w:rsidP="00FF2F3D">
            <w:pPr>
              <w:pStyle w:val="TableBullet"/>
              <w:autoSpaceDE w:val="0"/>
              <w:autoSpaceDN w:val="0"/>
              <w:adjustRightInd w:val="0"/>
              <w:rPr>
                <w:rFonts w:cs="HelveticaNeue-Light"/>
              </w:rPr>
            </w:pPr>
            <w:r w:rsidRPr="006213F9">
              <w:rPr>
                <w:rFonts w:cs="Arial"/>
              </w:rPr>
              <w:t>Australia has improved gender equality through targeting an increased proportion of women (71% in 2014) to participate in health workforce training through the in-country Australia Awa</w:t>
            </w:r>
            <w:r>
              <w:rPr>
                <w:rFonts w:cs="Arial"/>
              </w:rPr>
              <w:t>rds program.</w:t>
            </w:r>
          </w:p>
          <w:p w:rsidR="009F7318" w:rsidRPr="006213F9" w:rsidRDefault="009F7318" w:rsidP="00FF2F3D">
            <w:pPr>
              <w:pStyle w:val="TableBullet"/>
              <w:autoSpaceDE w:val="0"/>
              <w:autoSpaceDN w:val="0"/>
              <w:adjustRightInd w:val="0"/>
              <w:rPr>
                <w:rFonts w:cs="HelveticaNeue-Light"/>
              </w:rPr>
            </w:pPr>
            <w:r w:rsidRPr="006213F9">
              <w:rPr>
                <w:rFonts w:cs="Arial"/>
              </w:rPr>
              <w:t>In 2013-14 Australia completed the refurbishment of four midwifery schools, funded eight CMFs to improve midwifery education, supported new midwifery curriculum and addressed outstanding registrations for nurses and midwives.</w:t>
            </w:r>
          </w:p>
          <w:p w:rsidR="009F7318" w:rsidRPr="006213F9" w:rsidRDefault="009F7318" w:rsidP="00FF2F3D">
            <w:pPr>
              <w:pStyle w:val="TableBullet"/>
              <w:autoSpaceDE w:val="0"/>
              <w:autoSpaceDN w:val="0"/>
              <w:adjustRightInd w:val="0"/>
              <w:rPr>
                <w:rFonts w:cs="HelveticaNeue-Light"/>
              </w:rPr>
            </w:pPr>
            <w:r w:rsidRPr="006213F9">
              <w:rPr>
                <w:rFonts w:cs="Arial"/>
              </w:rPr>
              <w:t xml:space="preserve">In 2013, the </w:t>
            </w:r>
            <w:r w:rsidR="00642530">
              <w:rPr>
                <w:rFonts w:cs="Arial"/>
              </w:rPr>
              <w:t>reproductive health training unit</w:t>
            </w:r>
            <w:r w:rsidRPr="006213F9">
              <w:rPr>
                <w:rFonts w:cs="Arial"/>
              </w:rPr>
              <w:t xml:space="preserve"> trained 342 health workers.</w:t>
            </w:r>
          </w:p>
          <w:p w:rsidR="009F7318" w:rsidRPr="006213F9" w:rsidRDefault="009F7318" w:rsidP="00FF2F3D">
            <w:pPr>
              <w:pStyle w:val="TableBullet"/>
              <w:autoSpaceDE w:val="0"/>
              <w:autoSpaceDN w:val="0"/>
              <w:adjustRightInd w:val="0"/>
              <w:rPr>
                <w:rFonts w:cs="HelveticaNeue-Light"/>
              </w:rPr>
            </w:pPr>
            <w:r w:rsidRPr="006213F9">
              <w:rPr>
                <w:rFonts w:cs="Arial"/>
              </w:rPr>
              <w:t>The 2013 independent evaluation of medical supplies found that an increase in medicines availability is plausibly contributing to better case management and incre</w:t>
            </w:r>
            <w:r w:rsidR="00817A75">
              <w:rPr>
                <w:rFonts w:cs="Arial"/>
              </w:rPr>
              <w:t>ased survival for women in Papua New Guinea</w:t>
            </w:r>
            <w:r>
              <w:rPr>
                <w:rFonts w:cs="Arial"/>
              </w:rPr>
              <w:t>.</w:t>
            </w:r>
          </w:p>
          <w:p w:rsidR="009F7318" w:rsidRPr="006213F9" w:rsidRDefault="009F7318" w:rsidP="00FF2F3D">
            <w:pPr>
              <w:pStyle w:val="TableBullet"/>
              <w:autoSpaceDE w:val="0"/>
              <w:autoSpaceDN w:val="0"/>
              <w:adjustRightInd w:val="0"/>
              <w:rPr>
                <w:rFonts w:cs="HelveticaNeue-Light"/>
              </w:rPr>
            </w:pPr>
            <w:r w:rsidRPr="006213F9">
              <w:rPr>
                <w:rFonts w:cs="Arial"/>
              </w:rPr>
              <w:t xml:space="preserve">Gender considerations in the design of new facilities funded by DFAT are visible and can be seen in the separation of male and female consultation </w:t>
            </w:r>
            <w:r w:rsidRPr="006213F9">
              <w:rPr>
                <w:rFonts w:cs="Arial"/>
              </w:rPr>
              <w:lastRenderedPageBreak/>
              <w:t>facilities at health facilities. Better lighting and water will provide an appropriate environment for safe delivery.</w:t>
            </w:r>
          </w:p>
        </w:tc>
      </w:tr>
      <w:tr w:rsidR="009F7318" w:rsidRPr="00B725A9" w:rsidTr="00FF2F3D">
        <w:tc>
          <w:tcPr>
            <w:tcW w:w="5000" w:type="pct"/>
            <w:gridSpan w:val="3"/>
          </w:tcPr>
          <w:p w:rsidR="009F7318" w:rsidRPr="00B725A9" w:rsidRDefault="009F7318" w:rsidP="00FF2F3D">
            <w:pPr>
              <w:jc w:val="center"/>
              <w:rPr>
                <w:rFonts w:cs="Arial"/>
                <w:b/>
                <w:sz w:val="17"/>
                <w:szCs w:val="17"/>
              </w:rPr>
            </w:pPr>
            <w:r w:rsidRPr="00B725A9">
              <w:rPr>
                <w:rFonts w:cs="Arial"/>
                <w:b/>
                <w:sz w:val="17"/>
                <w:szCs w:val="17"/>
              </w:rPr>
              <w:lastRenderedPageBreak/>
              <w:t>Samoa</w:t>
            </w:r>
          </w:p>
        </w:tc>
      </w:tr>
      <w:tr w:rsidR="009F7318" w:rsidRPr="00B725A9" w:rsidTr="00FF2F3D">
        <w:tc>
          <w:tcPr>
            <w:tcW w:w="2053" w:type="pct"/>
          </w:tcPr>
          <w:p w:rsidR="009F7318" w:rsidRPr="00B725A9" w:rsidRDefault="009F7318" w:rsidP="00FF2F3D">
            <w:pPr>
              <w:rPr>
                <w:rFonts w:cs="Arial"/>
                <w:b/>
                <w:sz w:val="17"/>
                <w:szCs w:val="17"/>
              </w:rPr>
            </w:pPr>
            <w:r w:rsidRPr="00B725A9">
              <w:rPr>
                <w:rFonts w:cs="Arial"/>
                <w:b/>
                <w:sz w:val="17"/>
                <w:szCs w:val="17"/>
              </w:rPr>
              <w:t>Health Sector Plan 2008 - 2018 (the Plan), Ministry of Health, Samoa</w:t>
            </w:r>
          </w:p>
          <w:p w:rsidR="009F7318" w:rsidRPr="00B725A9" w:rsidRDefault="009F7318" w:rsidP="00FF2F3D">
            <w:pPr>
              <w:rPr>
                <w:rFonts w:cs="Arial"/>
                <w:sz w:val="17"/>
                <w:szCs w:val="17"/>
              </w:rPr>
            </w:pPr>
            <w:r w:rsidRPr="00B725A9">
              <w:rPr>
                <w:rFonts w:cs="Arial"/>
                <w:sz w:val="17"/>
                <w:szCs w:val="17"/>
              </w:rPr>
              <w:t>No mention of gender</w:t>
            </w:r>
            <w:r>
              <w:rPr>
                <w:rFonts w:cs="Arial"/>
                <w:sz w:val="17"/>
                <w:szCs w:val="17"/>
              </w:rPr>
              <w:t>.</w:t>
            </w:r>
          </w:p>
          <w:p w:rsidR="009F7318" w:rsidRPr="00B725A9" w:rsidRDefault="009F7318" w:rsidP="00FF2F3D">
            <w:pPr>
              <w:rPr>
                <w:rFonts w:cs="Arial"/>
                <w:sz w:val="17"/>
                <w:szCs w:val="17"/>
              </w:rPr>
            </w:pPr>
          </w:p>
          <w:p w:rsidR="009F7318" w:rsidRPr="00B725A9" w:rsidRDefault="009F7318" w:rsidP="00FF2F3D">
            <w:pPr>
              <w:rPr>
                <w:rFonts w:cs="Arial"/>
                <w:b/>
                <w:sz w:val="17"/>
                <w:szCs w:val="17"/>
              </w:rPr>
            </w:pPr>
            <w:r w:rsidRPr="00B725A9">
              <w:rPr>
                <w:rFonts w:cs="Arial"/>
                <w:b/>
                <w:sz w:val="17"/>
                <w:szCs w:val="17"/>
              </w:rPr>
              <w:t>PROGRAM OPERATIONAL MANUAL For Health Sector-Wide Approach (</w:t>
            </w:r>
            <w:proofErr w:type="spellStart"/>
            <w:r w:rsidRPr="00B725A9">
              <w:rPr>
                <w:rFonts w:cs="Arial"/>
                <w:b/>
                <w:sz w:val="17"/>
                <w:szCs w:val="17"/>
              </w:rPr>
              <w:t>SWAp</w:t>
            </w:r>
            <w:proofErr w:type="spellEnd"/>
            <w:r w:rsidRPr="00B725A9">
              <w:rPr>
                <w:rFonts w:cs="Arial"/>
                <w:b/>
                <w:sz w:val="17"/>
                <w:szCs w:val="17"/>
              </w:rPr>
              <w:t>) Program, 2008</w:t>
            </w:r>
          </w:p>
          <w:p w:rsidR="009F7318" w:rsidRPr="00B725A9" w:rsidRDefault="009F7318" w:rsidP="00FF2F3D">
            <w:pPr>
              <w:rPr>
                <w:rFonts w:cs="Arial"/>
                <w:sz w:val="17"/>
                <w:szCs w:val="17"/>
              </w:rPr>
            </w:pPr>
            <w:r w:rsidRPr="00B725A9">
              <w:rPr>
                <w:rFonts w:cs="Arial"/>
                <w:sz w:val="17"/>
                <w:szCs w:val="17"/>
              </w:rPr>
              <w:t>Intermediate Results: Quality Health Services: Improving the quality of health services through strengthened human resources, standards, supplies, equipment and infrastructure</w:t>
            </w:r>
            <w:r>
              <w:rPr>
                <w:rFonts w:cs="Arial"/>
                <w:sz w:val="17"/>
                <w:szCs w:val="17"/>
              </w:rPr>
              <w:t>.</w:t>
            </w:r>
          </w:p>
          <w:p w:rsidR="009F7318" w:rsidRPr="00B725A9" w:rsidRDefault="009F7318" w:rsidP="00FF2F3D">
            <w:pPr>
              <w:rPr>
                <w:rFonts w:cs="Arial"/>
                <w:sz w:val="17"/>
                <w:szCs w:val="17"/>
              </w:rPr>
            </w:pPr>
            <w:r w:rsidRPr="00B725A9">
              <w:rPr>
                <w:rFonts w:cs="Arial"/>
                <w:sz w:val="17"/>
                <w:szCs w:val="17"/>
              </w:rPr>
              <w:t xml:space="preserve">Results Indicators: Primary care utilization by gender, age, </w:t>
            </w:r>
            <w:proofErr w:type="gramStart"/>
            <w:r w:rsidRPr="00B725A9">
              <w:rPr>
                <w:rFonts w:cs="Arial"/>
                <w:sz w:val="17"/>
                <w:szCs w:val="17"/>
              </w:rPr>
              <w:t>domicile</w:t>
            </w:r>
            <w:proofErr w:type="gramEnd"/>
            <w:r>
              <w:rPr>
                <w:rFonts w:cs="Arial"/>
                <w:sz w:val="17"/>
                <w:szCs w:val="17"/>
              </w:rPr>
              <w:t>.</w:t>
            </w:r>
          </w:p>
        </w:tc>
        <w:tc>
          <w:tcPr>
            <w:tcW w:w="1993" w:type="pct"/>
          </w:tcPr>
          <w:p w:rsidR="009F7318" w:rsidRPr="00B725A9" w:rsidRDefault="009F7318" w:rsidP="00FF2F3D">
            <w:pPr>
              <w:rPr>
                <w:rFonts w:cs="Arial"/>
                <w:b/>
                <w:sz w:val="17"/>
                <w:szCs w:val="17"/>
              </w:rPr>
            </w:pPr>
            <w:r w:rsidRPr="00B725A9">
              <w:rPr>
                <w:rFonts w:cs="Arial"/>
                <w:b/>
                <w:sz w:val="17"/>
                <w:szCs w:val="17"/>
              </w:rPr>
              <w:t>Health Sector Plan 2008-2018</w:t>
            </w:r>
          </w:p>
          <w:p w:rsidR="009F7318" w:rsidRPr="00B725A9" w:rsidRDefault="009F7318" w:rsidP="00FF2F3D">
            <w:pPr>
              <w:rPr>
                <w:rFonts w:cs="Arial"/>
                <w:b/>
                <w:sz w:val="17"/>
                <w:szCs w:val="17"/>
              </w:rPr>
            </w:pPr>
            <w:r w:rsidRPr="00B725A9">
              <w:rPr>
                <w:rFonts w:cs="Arial"/>
                <w:b/>
                <w:sz w:val="17"/>
                <w:szCs w:val="17"/>
              </w:rPr>
              <w:t>Mid-term Review Report, 2013</w:t>
            </w:r>
          </w:p>
          <w:p w:rsidR="009F7318" w:rsidRPr="00B725A9" w:rsidRDefault="009F7318" w:rsidP="00FF2F3D">
            <w:pPr>
              <w:rPr>
                <w:rFonts w:cs="Arial"/>
                <w:sz w:val="17"/>
                <w:szCs w:val="17"/>
              </w:rPr>
            </w:pPr>
            <w:r w:rsidRPr="00B725A9">
              <w:rPr>
                <w:rFonts w:cs="Arial"/>
                <w:sz w:val="17"/>
                <w:szCs w:val="17"/>
              </w:rPr>
              <w:t>No mention of gender</w:t>
            </w:r>
            <w:r>
              <w:rPr>
                <w:rFonts w:cs="Arial"/>
                <w:sz w:val="17"/>
                <w:szCs w:val="17"/>
              </w:rPr>
              <w:t>.</w:t>
            </w:r>
          </w:p>
          <w:p w:rsidR="009F7318" w:rsidRPr="00B725A9" w:rsidRDefault="009F7318" w:rsidP="00FF2F3D">
            <w:pPr>
              <w:rPr>
                <w:rFonts w:cs="Arial"/>
                <w:b/>
                <w:sz w:val="17"/>
                <w:szCs w:val="17"/>
              </w:rPr>
            </w:pPr>
            <w:r w:rsidRPr="00B725A9">
              <w:rPr>
                <w:rFonts w:cs="Arial"/>
                <w:b/>
                <w:sz w:val="17"/>
                <w:szCs w:val="17"/>
              </w:rPr>
              <w:t>Evaluation of Samoa Hea</w:t>
            </w:r>
            <w:r>
              <w:rPr>
                <w:rFonts w:cs="Arial"/>
                <w:b/>
                <w:sz w:val="17"/>
                <w:szCs w:val="17"/>
              </w:rPr>
              <w:t>lth Sector Management Program</w:t>
            </w:r>
            <w:r w:rsidRPr="00B725A9">
              <w:rPr>
                <w:rFonts w:cs="Arial"/>
                <w:b/>
                <w:sz w:val="17"/>
                <w:szCs w:val="17"/>
              </w:rPr>
              <w:t xml:space="preserve"> (Health </w:t>
            </w:r>
            <w:proofErr w:type="spellStart"/>
            <w:r w:rsidRPr="00B725A9">
              <w:rPr>
                <w:rFonts w:cs="Arial"/>
                <w:b/>
                <w:sz w:val="17"/>
                <w:szCs w:val="17"/>
              </w:rPr>
              <w:t>SWAp</w:t>
            </w:r>
            <w:proofErr w:type="spellEnd"/>
            <w:r w:rsidRPr="00B725A9">
              <w:rPr>
                <w:rFonts w:cs="Arial"/>
                <w:b/>
                <w:sz w:val="17"/>
                <w:szCs w:val="17"/>
              </w:rPr>
              <w:t>), Phillip Davies, 2013</w:t>
            </w:r>
          </w:p>
          <w:p w:rsidR="009F7318" w:rsidRPr="00B725A9" w:rsidRDefault="009F7318" w:rsidP="00FF2F3D">
            <w:pPr>
              <w:rPr>
                <w:rFonts w:cs="Arial"/>
                <w:sz w:val="17"/>
                <w:szCs w:val="17"/>
              </w:rPr>
            </w:pPr>
            <w:r w:rsidRPr="00B725A9">
              <w:rPr>
                <w:rFonts w:cs="Arial"/>
                <w:sz w:val="17"/>
                <w:szCs w:val="17"/>
              </w:rPr>
              <w:t xml:space="preserve">Few explicit references to gender equity or disability inclusiveness in </w:t>
            </w:r>
            <w:proofErr w:type="spellStart"/>
            <w:r w:rsidRPr="00B725A9">
              <w:rPr>
                <w:rFonts w:cs="Arial"/>
                <w:sz w:val="17"/>
                <w:szCs w:val="17"/>
              </w:rPr>
              <w:t>SWAp</w:t>
            </w:r>
            <w:proofErr w:type="spellEnd"/>
            <w:r w:rsidRPr="00B725A9">
              <w:rPr>
                <w:rFonts w:cs="Arial"/>
                <w:sz w:val="17"/>
                <w:szCs w:val="17"/>
              </w:rPr>
              <w:t xml:space="preserve">-related documentation (HSP, </w:t>
            </w:r>
            <w:proofErr w:type="spellStart"/>
            <w:r w:rsidRPr="00B725A9">
              <w:rPr>
                <w:rFonts w:cs="Arial"/>
                <w:sz w:val="17"/>
                <w:szCs w:val="17"/>
              </w:rPr>
              <w:t>PoW</w:t>
            </w:r>
            <w:proofErr w:type="spellEnd"/>
            <w:r w:rsidRPr="00B725A9">
              <w:rPr>
                <w:rFonts w:cs="Arial"/>
                <w:sz w:val="17"/>
                <w:szCs w:val="17"/>
              </w:rPr>
              <w:t>, M&amp;E etc</w:t>
            </w:r>
            <w:r>
              <w:rPr>
                <w:rFonts w:cs="Arial"/>
                <w:sz w:val="17"/>
                <w:szCs w:val="17"/>
              </w:rPr>
              <w:t>.</w:t>
            </w:r>
            <w:r w:rsidRPr="00B725A9">
              <w:rPr>
                <w:rFonts w:cs="Arial"/>
                <w:sz w:val="17"/>
                <w:szCs w:val="17"/>
              </w:rPr>
              <w:t>) or in aides memoirs prepared by DPs</w:t>
            </w:r>
            <w:r>
              <w:rPr>
                <w:rFonts w:cs="Arial"/>
                <w:sz w:val="17"/>
                <w:szCs w:val="17"/>
              </w:rPr>
              <w:t>.</w:t>
            </w:r>
          </w:p>
          <w:p w:rsidR="009F7318" w:rsidRDefault="009F7318" w:rsidP="00FF2F3D">
            <w:pPr>
              <w:rPr>
                <w:rFonts w:cs="Arial"/>
                <w:sz w:val="17"/>
                <w:szCs w:val="17"/>
              </w:rPr>
            </w:pPr>
            <w:proofErr w:type="spellStart"/>
            <w:r w:rsidRPr="00B725A9">
              <w:rPr>
                <w:rFonts w:cs="Arial"/>
                <w:sz w:val="17"/>
                <w:szCs w:val="17"/>
              </w:rPr>
              <w:t>PoW</w:t>
            </w:r>
            <w:proofErr w:type="spellEnd"/>
            <w:r w:rsidRPr="00B725A9">
              <w:rPr>
                <w:rFonts w:cs="Arial"/>
                <w:sz w:val="17"/>
                <w:szCs w:val="17"/>
              </w:rPr>
              <w:t xml:space="preserve"> includes a strategy to ‘Improve maternal and child health’ but progress appears to be slow – IFR for D</w:t>
            </w:r>
            <w:r>
              <w:rPr>
                <w:rFonts w:cs="Arial"/>
                <w:sz w:val="17"/>
                <w:szCs w:val="17"/>
              </w:rPr>
              <w:t xml:space="preserve">ecember 2012 indicates only 0.3% </w:t>
            </w:r>
            <w:r w:rsidRPr="00B725A9">
              <w:rPr>
                <w:rFonts w:cs="Arial"/>
                <w:sz w:val="17"/>
                <w:szCs w:val="17"/>
              </w:rPr>
              <w:t>of budget for plan</w:t>
            </w:r>
            <w:r>
              <w:rPr>
                <w:rFonts w:cs="Arial"/>
                <w:sz w:val="17"/>
                <w:szCs w:val="17"/>
              </w:rPr>
              <w:t>ned cervical screening program</w:t>
            </w:r>
            <w:r w:rsidRPr="00B725A9">
              <w:rPr>
                <w:rFonts w:cs="Arial"/>
                <w:sz w:val="17"/>
                <w:szCs w:val="17"/>
              </w:rPr>
              <w:t xml:space="preserve"> had been disbursed</w:t>
            </w:r>
            <w:r>
              <w:rPr>
                <w:rFonts w:cs="Arial"/>
                <w:sz w:val="17"/>
                <w:szCs w:val="17"/>
              </w:rPr>
              <w:t>.</w:t>
            </w:r>
          </w:p>
          <w:p w:rsidR="009F7318" w:rsidRDefault="009F7318" w:rsidP="00FF2F3D">
            <w:pPr>
              <w:rPr>
                <w:rFonts w:cs="Arial"/>
                <w:sz w:val="17"/>
                <w:szCs w:val="17"/>
              </w:rPr>
            </w:pPr>
          </w:p>
          <w:p w:rsidR="009F7318" w:rsidRDefault="009F7318" w:rsidP="00FF2F3D">
            <w:pPr>
              <w:rPr>
                <w:rFonts w:cs="Arial"/>
                <w:sz w:val="17"/>
                <w:szCs w:val="17"/>
              </w:rPr>
            </w:pPr>
          </w:p>
          <w:p w:rsidR="004F07E1" w:rsidRDefault="004F07E1" w:rsidP="00FF2F3D">
            <w:pPr>
              <w:rPr>
                <w:rFonts w:cs="Arial"/>
                <w:sz w:val="17"/>
                <w:szCs w:val="17"/>
              </w:rPr>
            </w:pPr>
          </w:p>
          <w:p w:rsidR="004F07E1" w:rsidRDefault="004F07E1" w:rsidP="00FF2F3D">
            <w:pPr>
              <w:rPr>
                <w:rFonts w:cs="Arial"/>
                <w:sz w:val="17"/>
                <w:szCs w:val="17"/>
              </w:rPr>
            </w:pPr>
          </w:p>
          <w:p w:rsidR="004F07E1" w:rsidRDefault="004F07E1" w:rsidP="00FF2F3D">
            <w:pPr>
              <w:rPr>
                <w:rFonts w:cs="Arial"/>
                <w:sz w:val="17"/>
                <w:szCs w:val="17"/>
              </w:rPr>
            </w:pPr>
          </w:p>
          <w:p w:rsidR="004F07E1" w:rsidRDefault="004F07E1" w:rsidP="00FF2F3D">
            <w:pPr>
              <w:rPr>
                <w:rFonts w:cs="Arial"/>
                <w:sz w:val="17"/>
                <w:szCs w:val="17"/>
              </w:rPr>
            </w:pPr>
          </w:p>
          <w:p w:rsidR="004F07E1" w:rsidRDefault="004F07E1" w:rsidP="00FF2F3D">
            <w:pPr>
              <w:rPr>
                <w:rFonts w:cs="Arial"/>
                <w:sz w:val="17"/>
                <w:szCs w:val="17"/>
              </w:rPr>
            </w:pPr>
          </w:p>
          <w:p w:rsidR="004F07E1" w:rsidRDefault="004F07E1" w:rsidP="00FF2F3D">
            <w:pPr>
              <w:rPr>
                <w:rFonts w:cs="Arial"/>
                <w:sz w:val="17"/>
                <w:szCs w:val="17"/>
              </w:rPr>
            </w:pPr>
          </w:p>
          <w:p w:rsidR="004F07E1" w:rsidRDefault="004F07E1" w:rsidP="00FF2F3D">
            <w:pPr>
              <w:rPr>
                <w:rFonts w:cs="Arial"/>
                <w:sz w:val="17"/>
                <w:szCs w:val="17"/>
              </w:rPr>
            </w:pPr>
          </w:p>
          <w:p w:rsidR="004F07E1" w:rsidRDefault="004F07E1" w:rsidP="00FF2F3D">
            <w:pPr>
              <w:rPr>
                <w:rFonts w:cs="Arial"/>
                <w:sz w:val="17"/>
                <w:szCs w:val="17"/>
              </w:rPr>
            </w:pPr>
          </w:p>
          <w:p w:rsidR="004F07E1" w:rsidRDefault="004F07E1" w:rsidP="00FF2F3D">
            <w:pPr>
              <w:rPr>
                <w:rFonts w:cs="Arial"/>
                <w:sz w:val="17"/>
                <w:szCs w:val="17"/>
              </w:rPr>
            </w:pPr>
          </w:p>
          <w:p w:rsidR="004F07E1" w:rsidRDefault="004F07E1" w:rsidP="00FF2F3D">
            <w:pPr>
              <w:rPr>
                <w:rFonts w:cs="Arial"/>
                <w:sz w:val="17"/>
                <w:szCs w:val="17"/>
              </w:rPr>
            </w:pPr>
          </w:p>
          <w:p w:rsidR="004F07E1" w:rsidRDefault="004F07E1" w:rsidP="00FF2F3D">
            <w:pPr>
              <w:rPr>
                <w:rFonts w:cs="Arial"/>
                <w:sz w:val="17"/>
                <w:szCs w:val="17"/>
              </w:rPr>
            </w:pPr>
          </w:p>
          <w:p w:rsidR="009F7318" w:rsidRDefault="009F7318" w:rsidP="00FF2F3D">
            <w:pPr>
              <w:rPr>
                <w:rFonts w:cs="Arial"/>
                <w:sz w:val="17"/>
                <w:szCs w:val="17"/>
              </w:rPr>
            </w:pPr>
          </w:p>
          <w:p w:rsidR="00A046AE" w:rsidRDefault="00A046AE" w:rsidP="00FF2F3D">
            <w:pPr>
              <w:rPr>
                <w:rFonts w:cs="Arial"/>
                <w:sz w:val="17"/>
                <w:szCs w:val="17"/>
              </w:rPr>
            </w:pPr>
          </w:p>
          <w:p w:rsidR="00A046AE" w:rsidRDefault="00A046AE" w:rsidP="00FF2F3D">
            <w:pPr>
              <w:rPr>
                <w:rFonts w:cs="Arial"/>
                <w:sz w:val="17"/>
                <w:szCs w:val="17"/>
              </w:rPr>
            </w:pPr>
          </w:p>
          <w:p w:rsidR="00A046AE" w:rsidRPr="00B725A9" w:rsidRDefault="00A046AE" w:rsidP="00FF2F3D">
            <w:pPr>
              <w:rPr>
                <w:rFonts w:cs="Arial"/>
                <w:sz w:val="17"/>
                <w:szCs w:val="17"/>
              </w:rPr>
            </w:pPr>
          </w:p>
        </w:tc>
        <w:tc>
          <w:tcPr>
            <w:tcW w:w="954" w:type="pct"/>
          </w:tcPr>
          <w:p w:rsidR="009F7318" w:rsidRPr="00B725A9" w:rsidRDefault="009F7318" w:rsidP="00FF2F3D">
            <w:pPr>
              <w:rPr>
                <w:rFonts w:cs="Arial"/>
                <w:sz w:val="17"/>
                <w:szCs w:val="17"/>
              </w:rPr>
            </w:pPr>
          </w:p>
        </w:tc>
      </w:tr>
      <w:tr w:rsidR="009F7318" w:rsidRPr="00B725A9" w:rsidTr="00FF2F3D">
        <w:trPr>
          <w:trHeight w:val="372"/>
        </w:trPr>
        <w:tc>
          <w:tcPr>
            <w:tcW w:w="5000" w:type="pct"/>
            <w:gridSpan w:val="3"/>
          </w:tcPr>
          <w:p w:rsidR="009F7318" w:rsidRPr="00D31035" w:rsidRDefault="009F7318" w:rsidP="00FF2F3D">
            <w:pPr>
              <w:jc w:val="center"/>
              <w:rPr>
                <w:rFonts w:cs="Arial"/>
                <w:b/>
                <w:sz w:val="17"/>
                <w:szCs w:val="17"/>
              </w:rPr>
            </w:pPr>
            <w:r w:rsidRPr="00B725A9">
              <w:rPr>
                <w:rFonts w:cs="Arial"/>
                <w:b/>
                <w:sz w:val="17"/>
                <w:szCs w:val="17"/>
              </w:rPr>
              <w:lastRenderedPageBreak/>
              <w:t>Solomon Islands</w:t>
            </w:r>
          </w:p>
        </w:tc>
      </w:tr>
      <w:tr w:rsidR="009F7318" w:rsidRPr="00B725A9" w:rsidTr="00FF2F3D">
        <w:trPr>
          <w:trHeight w:val="5859"/>
        </w:trPr>
        <w:tc>
          <w:tcPr>
            <w:tcW w:w="2053" w:type="pct"/>
          </w:tcPr>
          <w:p w:rsidR="009F7318" w:rsidRPr="00B725A9" w:rsidRDefault="009F7318" w:rsidP="00FF2F3D">
            <w:pPr>
              <w:rPr>
                <w:rFonts w:cs="Arial"/>
                <w:b/>
                <w:sz w:val="17"/>
                <w:szCs w:val="17"/>
              </w:rPr>
            </w:pPr>
            <w:r w:rsidRPr="00B725A9">
              <w:rPr>
                <w:rFonts w:cs="Arial"/>
                <w:b/>
                <w:sz w:val="17"/>
                <w:szCs w:val="17"/>
              </w:rPr>
              <w:t>National Health Strategic Plan The Ministry of Health &amp; Medical Services SOLOMON ISLANDS GOVERNMENT 2011-2015</w:t>
            </w:r>
          </w:p>
          <w:p w:rsidR="009F7318" w:rsidRPr="00B725A9" w:rsidRDefault="009F7318" w:rsidP="00FF2F3D">
            <w:pPr>
              <w:rPr>
                <w:rFonts w:cs="Arial"/>
                <w:i/>
                <w:sz w:val="17"/>
                <w:szCs w:val="17"/>
              </w:rPr>
            </w:pPr>
            <w:r w:rsidRPr="00B725A9">
              <w:rPr>
                <w:rFonts w:cs="Arial"/>
                <w:i/>
                <w:sz w:val="17"/>
                <w:szCs w:val="17"/>
              </w:rPr>
              <w:t>Substantive National Health Policies</w:t>
            </w:r>
          </w:p>
          <w:p w:rsidR="009F7318" w:rsidRPr="00B725A9" w:rsidRDefault="009F7318" w:rsidP="00FF2F3D">
            <w:pPr>
              <w:rPr>
                <w:rFonts w:cs="Arial"/>
                <w:sz w:val="17"/>
                <w:szCs w:val="17"/>
              </w:rPr>
            </w:pPr>
            <w:r w:rsidRPr="00B725A9">
              <w:rPr>
                <w:rFonts w:cs="Arial"/>
                <w:sz w:val="17"/>
                <w:szCs w:val="17"/>
              </w:rPr>
              <w:t>The health sector and health-related sectors will improve the health status of the age and gender population groups especially women and children considered to be the highest priorities. Rank order: 7</w:t>
            </w:r>
            <w:r>
              <w:rPr>
                <w:rFonts w:cs="Arial"/>
                <w:sz w:val="17"/>
                <w:szCs w:val="17"/>
              </w:rPr>
              <w:t>.</w:t>
            </w:r>
          </w:p>
          <w:p w:rsidR="009F7318" w:rsidRPr="00B725A9" w:rsidRDefault="009F7318" w:rsidP="00FF2F3D">
            <w:pPr>
              <w:rPr>
                <w:rFonts w:cs="Arial"/>
                <w:sz w:val="17"/>
                <w:szCs w:val="17"/>
              </w:rPr>
            </w:pPr>
            <w:r w:rsidRPr="00B725A9">
              <w:rPr>
                <w:rFonts w:cs="Arial"/>
                <w:sz w:val="17"/>
                <w:szCs w:val="17"/>
              </w:rPr>
              <w:t>Strategy: Do Better reproductive health</w:t>
            </w:r>
            <w:r>
              <w:rPr>
                <w:rFonts w:cs="Arial"/>
                <w:sz w:val="17"/>
                <w:szCs w:val="17"/>
              </w:rPr>
              <w:t>.</w:t>
            </w:r>
          </w:p>
          <w:p w:rsidR="009F7318" w:rsidRPr="00B725A9" w:rsidRDefault="009F7318" w:rsidP="00FF2F3D">
            <w:pPr>
              <w:rPr>
                <w:rFonts w:cs="Arial"/>
                <w:sz w:val="17"/>
                <w:szCs w:val="17"/>
              </w:rPr>
            </w:pPr>
            <w:r w:rsidRPr="00B725A9">
              <w:rPr>
                <w:rFonts w:cs="Arial"/>
                <w:sz w:val="17"/>
                <w:szCs w:val="17"/>
              </w:rPr>
              <w:t>Objective: Provide expanded family planning &amp; other services, particularly for adolescents</w:t>
            </w:r>
            <w:r>
              <w:rPr>
                <w:rFonts w:cs="Arial"/>
                <w:sz w:val="17"/>
                <w:szCs w:val="17"/>
              </w:rPr>
              <w:t>.</w:t>
            </w:r>
          </w:p>
          <w:p w:rsidR="009F7318" w:rsidRPr="00B725A9" w:rsidRDefault="009F7318" w:rsidP="00FF2F3D">
            <w:pPr>
              <w:rPr>
                <w:rFonts w:cs="Arial"/>
                <w:sz w:val="17"/>
                <w:szCs w:val="17"/>
              </w:rPr>
            </w:pPr>
            <w:r w:rsidRPr="00B725A9">
              <w:rPr>
                <w:rFonts w:cs="Arial"/>
                <w:sz w:val="17"/>
                <w:szCs w:val="17"/>
              </w:rPr>
              <w:t>Indicator: 20% i</w:t>
            </w:r>
            <w:r>
              <w:rPr>
                <w:rFonts w:cs="Arial"/>
                <w:sz w:val="17"/>
                <w:szCs w:val="17"/>
              </w:rPr>
              <w:t>ncrease in CPR by 2015 to 41.5;</w:t>
            </w:r>
            <w:r w:rsidR="00FB29BE">
              <w:rPr>
                <w:rFonts w:cs="Arial"/>
                <w:sz w:val="17"/>
                <w:szCs w:val="17"/>
              </w:rPr>
              <w:t xml:space="preserve"> </w:t>
            </w:r>
            <w:r w:rsidRPr="00B725A9">
              <w:rPr>
                <w:rFonts w:cs="Arial"/>
                <w:sz w:val="17"/>
                <w:szCs w:val="17"/>
              </w:rPr>
              <w:t>m</w:t>
            </w:r>
            <w:r>
              <w:rPr>
                <w:rFonts w:cs="Arial"/>
                <w:sz w:val="17"/>
                <w:szCs w:val="17"/>
              </w:rPr>
              <w:t>aternal mortality reduced by 75</w:t>
            </w:r>
            <w:r w:rsidRPr="00B725A9">
              <w:rPr>
                <w:rFonts w:cs="Arial"/>
                <w:sz w:val="17"/>
                <w:szCs w:val="17"/>
              </w:rPr>
              <w:t>% from 1990 (550) to 2015 (last know at 100/100,000 in 2009) (MDG 5.1 is already achieved) Increase % of births attended by skilled health personnel from 86% in 2009 to 92% by 2015 (MDG 5.2)</w:t>
            </w:r>
            <w:r>
              <w:rPr>
                <w:rFonts w:cs="Arial"/>
                <w:sz w:val="17"/>
                <w:szCs w:val="17"/>
              </w:rPr>
              <w:t>.</w:t>
            </w:r>
          </w:p>
          <w:p w:rsidR="009F7318" w:rsidRPr="00B725A9" w:rsidRDefault="009F7318" w:rsidP="00FF2F3D">
            <w:pPr>
              <w:rPr>
                <w:rFonts w:cs="Arial"/>
                <w:sz w:val="17"/>
                <w:szCs w:val="17"/>
              </w:rPr>
            </w:pPr>
            <w:r w:rsidRPr="00B725A9">
              <w:rPr>
                <w:rFonts w:cs="Arial"/>
                <w:sz w:val="17"/>
                <w:szCs w:val="17"/>
              </w:rPr>
              <w:t>Strategy: Do More &amp; Better domestic violence prevention &amp; enforcement and child protection</w:t>
            </w:r>
            <w:r>
              <w:rPr>
                <w:rFonts w:cs="Arial"/>
                <w:sz w:val="17"/>
                <w:szCs w:val="17"/>
              </w:rPr>
              <w:t>.</w:t>
            </w:r>
          </w:p>
          <w:p w:rsidR="009F7318" w:rsidRDefault="009F7318" w:rsidP="00FF2F3D">
            <w:pPr>
              <w:pStyle w:val="Default"/>
              <w:rPr>
                <w:rFonts w:ascii="Franklin Gothic Book" w:hAnsi="Franklin Gothic Book" w:cs="Arial"/>
                <w:color w:val="auto"/>
                <w:sz w:val="17"/>
                <w:szCs w:val="17"/>
              </w:rPr>
            </w:pPr>
            <w:r w:rsidRPr="00B725A9">
              <w:rPr>
                <w:rFonts w:ascii="Franklin Gothic Book" w:hAnsi="Franklin Gothic Book" w:cs="Arial"/>
                <w:color w:val="auto"/>
                <w:sz w:val="17"/>
                <w:szCs w:val="17"/>
              </w:rPr>
              <w:t>Objective: Reduce domestic violen</w:t>
            </w:r>
            <w:r>
              <w:rPr>
                <w:rFonts w:ascii="Franklin Gothic Book" w:hAnsi="Franklin Gothic Book" w:cs="Arial"/>
                <w:color w:val="auto"/>
                <w:sz w:val="17"/>
                <w:szCs w:val="17"/>
              </w:rPr>
              <w:t>ce and improve child protection.</w:t>
            </w:r>
          </w:p>
          <w:p w:rsidR="009F7318" w:rsidRPr="00B725A9" w:rsidRDefault="009F7318" w:rsidP="00FF2F3D">
            <w:pPr>
              <w:pStyle w:val="Default"/>
              <w:rPr>
                <w:rFonts w:ascii="Franklin Gothic Book" w:hAnsi="Franklin Gothic Book" w:cs="Arial"/>
                <w:color w:val="auto"/>
                <w:sz w:val="17"/>
                <w:szCs w:val="17"/>
              </w:rPr>
            </w:pPr>
          </w:p>
          <w:p w:rsidR="009F7318" w:rsidRPr="00B725A9" w:rsidRDefault="009F7318" w:rsidP="00FF2F3D">
            <w:pPr>
              <w:rPr>
                <w:rFonts w:cs="Arial"/>
                <w:sz w:val="17"/>
                <w:szCs w:val="17"/>
              </w:rPr>
            </w:pPr>
            <w:r w:rsidRPr="00B725A9">
              <w:rPr>
                <w:rFonts w:cs="Arial"/>
                <w:sz w:val="17"/>
                <w:szCs w:val="17"/>
              </w:rPr>
              <w:t>Monitoring indicators: B</w:t>
            </w:r>
            <w:r>
              <w:rPr>
                <w:rFonts w:cs="Arial"/>
                <w:sz w:val="17"/>
                <w:szCs w:val="17"/>
              </w:rPr>
              <w:t>y gender for HIV, mental health.</w:t>
            </w:r>
          </w:p>
          <w:p w:rsidR="009F7318" w:rsidRPr="00B725A9" w:rsidRDefault="009F7318" w:rsidP="00FF2F3D">
            <w:pPr>
              <w:rPr>
                <w:rFonts w:cs="Arial"/>
                <w:b/>
                <w:sz w:val="17"/>
                <w:szCs w:val="17"/>
              </w:rPr>
            </w:pPr>
            <w:r w:rsidRPr="00B725A9">
              <w:rPr>
                <w:rFonts w:cs="Arial"/>
                <w:b/>
                <w:sz w:val="17"/>
                <w:szCs w:val="17"/>
              </w:rPr>
              <w:t>Solomon Islands Ministry of Health and Medical Services Health Sector Support Program</w:t>
            </w:r>
          </w:p>
          <w:p w:rsidR="009F7318" w:rsidRPr="00B725A9" w:rsidRDefault="009F7318" w:rsidP="00FF2F3D">
            <w:pPr>
              <w:rPr>
                <w:rFonts w:cs="Arial"/>
                <w:b/>
                <w:sz w:val="17"/>
                <w:szCs w:val="17"/>
              </w:rPr>
            </w:pPr>
            <w:r w:rsidRPr="00B725A9">
              <w:rPr>
                <w:rFonts w:cs="Arial"/>
                <w:b/>
                <w:sz w:val="17"/>
                <w:szCs w:val="17"/>
              </w:rPr>
              <w:t>HSSP 2007 – 2012, PROGRAM IMPLEMENTATION PLAN, 2007</w:t>
            </w:r>
          </w:p>
          <w:p w:rsidR="009F7318" w:rsidRPr="00B725A9" w:rsidRDefault="009F7318" w:rsidP="00FF2F3D">
            <w:pPr>
              <w:rPr>
                <w:rFonts w:cs="Arial"/>
                <w:sz w:val="17"/>
                <w:szCs w:val="17"/>
              </w:rPr>
            </w:pPr>
            <w:r w:rsidRPr="00B725A9">
              <w:rPr>
                <w:rFonts w:cs="Arial"/>
                <w:i/>
                <w:sz w:val="17"/>
                <w:szCs w:val="17"/>
              </w:rPr>
              <w:t>(iv) Supporting socio-behavioural research on behaviour change</w:t>
            </w:r>
            <w:r w:rsidRPr="00B725A9">
              <w:rPr>
                <w:rFonts w:cs="Arial"/>
                <w:sz w:val="17"/>
                <w:szCs w:val="17"/>
              </w:rPr>
              <w:t>…The promotion of awareness of gender issues and their mainstreaming will also be addressed.</w:t>
            </w:r>
          </w:p>
          <w:p w:rsidR="009F7318" w:rsidRPr="00B725A9" w:rsidRDefault="009F7318" w:rsidP="00FF2F3D">
            <w:pPr>
              <w:rPr>
                <w:rFonts w:cs="Arial"/>
                <w:i/>
                <w:sz w:val="17"/>
                <w:szCs w:val="17"/>
              </w:rPr>
            </w:pPr>
            <w:r w:rsidRPr="00B725A9">
              <w:rPr>
                <w:rFonts w:cs="Arial"/>
                <w:i/>
                <w:sz w:val="17"/>
                <w:szCs w:val="17"/>
              </w:rPr>
              <w:t>1.15 Gender Issues</w:t>
            </w:r>
          </w:p>
          <w:p w:rsidR="009F7318" w:rsidRPr="00B725A9" w:rsidRDefault="009F7318" w:rsidP="00FF2F3D">
            <w:pPr>
              <w:rPr>
                <w:rFonts w:cs="Arial"/>
                <w:sz w:val="17"/>
                <w:szCs w:val="17"/>
              </w:rPr>
            </w:pPr>
            <w:proofErr w:type="spellStart"/>
            <w:r>
              <w:rPr>
                <w:rFonts w:cs="Arial"/>
                <w:sz w:val="17"/>
                <w:szCs w:val="17"/>
              </w:rPr>
              <w:t>Mo</w:t>
            </w:r>
            <w:r w:rsidRPr="00B725A9">
              <w:rPr>
                <w:rFonts w:cs="Arial"/>
                <w:sz w:val="17"/>
                <w:szCs w:val="17"/>
              </w:rPr>
              <w:t>H’s</w:t>
            </w:r>
            <w:proofErr w:type="spellEnd"/>
            <w:r w:rsidRPr="00B725A9">
              <w:rPr>
                <w:rFonts w:cs="Arial"/>
                <w:sz w:val="17"/>
                <w:szCs w:val="17"/>
              </w:rPr>
              <w:t xml:space="preserve"> commitment to gender mainstreaming is articulated in the NHSP. Within the eight key strategic areas are a set of organisational and social values, some of which refer to gender equality. Goal 1 of this plan, ‘[t]o promote a people </w:t>
            </w:r>
            <w:proofErr w:type="spellStart"/>
            <w:r w:rsidRPr="00B725A9">
              <w:rPr>
                <w:rFonts w:cs="Arial"/>
                <w:sz w:val="17"/>
                <w:szCs w:val="17"/>
              </w:rPr>
              <w:t>centered</w:t>
            </w:r>
            <w:proofErr w:type="spellEnd"/>
            <w:r w:rsidRPr="00B725A9">
              <w:rPr>
                <w:rFonts w:cs="Arial"/>
                <w:sz w:val="17"/>
                <w:szCs w:val="17"/>
              </w:rPr>
              <w:t xml:space="preserve"> approach to health’, states ‘[</w:t>
            </w:r>
            <w:proofErr w:type="spellStart"/>
            <w:r w:rsidRPr="00B725A9">
              <w:rPr>
                <w:rFonts w:cs="Arial"/>
                <w:sz w:val="17"/>
                <w:szCs w:val="17"/>
              </w:rPr>
              <w:t>i</w:t>
            </w:r>
            <w:proofErr w:type="spellEnd"/>
            <w:r w:rsidRPr="00B725A9">
              <w:rPr>
                <w:rFonts w:cs="Arial"/>
                <w:sz w:val="17"/>
                <w:szCs w:val="17"/>
              </w:rPr>
              <w:t>]</w:t>
            </w:r>
            <w:proofErr w:type="spellStart"/>
            <w:r w:rsidRPr="00B725A9">
              <w:rPr>
                <w:rFonts w:cs="Arial"/>
                <w:sz w:val="17"/>
                <w:szCs w:val="17"/>
              </w:rPr>
              <w:t>ncrease</w:t>
            </w:r>
            <w:proofErr w:type="spellEnd"/>
            <w:r w:rsidRPr="00B725A9">
              <w:rPr>
                <w:rFonts w:cs="Arial"/>
                <w:sz w:val="17"/>
                <w:szCs w:val="17"/>
              </w:rPr>
              <w:t xml:space="preserve"> implementation of a people focus and gender mainstreaming within health care services </w:t>
            </w:r>
            <w:r>
              <w:rPr>
                <w:rFonts w:cs="Arial"/>
                <w:sz w:val="17"/>
                <w:szCs w:val="17"/>
              </w:rPr>
              <w:t>at all levels’ as an objective.</w:t>
            </w:r>
          </w:p>
          <w:p w:rsidR="009F7318" w:rsidRPr="00B725A9" w:rsidRDefault="009F7318" w:rsidP="00FF2F3D">
            <w:pPr>
              <w:rPr>
                <w:rFonts w:cs="Arial"/>
                <w:sz w:val="17"/>
                <w:szCs w:val="17"/>
              </w:rPr>
            </w:pPr>
            <w:r w:rsidRPr="00B725A9">
              <w:rPr>
                <w:rFonts w:cs="Arial"/>
                <w:sz w:val="17"/>
                <w:szCs w:val="17"/>
              </w:rPr>
              <w:lastRenderedPageBreak/>
              <w:t xml:space="preserve">Although gender mainstreaming is established within the </w:t>
            </w:r>
            <w:proofErr w:type="spellStart"/>
            <w:r w:rsidRPr="00B725A9">
              <w:rPr>
                <w:rFonts w:cs="Arial"/>
                <w:sz w:val="17"/>
                <w:szCs w:val="17"/>
              </w:rPr>
              <w:t>M</w:t>
            </w:r>
            <w:r>
              <w:rPr>
                <w:rFonts w:cs="Arial"/>
                <w:sz w:val="17"/>
                <w:szCs w:val="17"/>
              </w:rPr>
              <w:t>o</w:t>
            </w:r>
            <w:r w:rsidRPr="00B725A9">
              <w:rPr>
                <w:rFonts w:cs="Arial"/>
                <w:sz w:val="17"/>
                <w:szCs w:val="17"/>
              </w:rPr>
              <w:t>H</w:t>
            </w:r>
            <w:proofErr w:type="spellEnd"/>
            <w:r w:rsidRPr="00B725A9">
              <w:rPr>
                <w:rFonts w:cs="Arial"/>
                <w:sz w:val="17"/>
                <w:szCs w:val="17"/>
              </w:rPr>
              <w:t xml:space="preserve"> institutional discourse, its translation into planning, management and the delivery of services has yet to take form.</w:t>
            </w:r>
          </w:p>
          <w:p w:rsidR="009F7318" w:rsidRPr="00B725A9" w:rsidRDefault="009F7318" w:rsidP="00FF2F3D">
            <w:pPr>
              <w:rPr>
                <w:rFonts w:cs="Arial"/>
                <w:i/>
                <w:sz w:val="17"/>
                <w:szCs w:val="17"/>
              </w:rPr>
            </w:pPr>
            <w:r w:rsidRPr="00B725A9">
              <w:rPr>
                <w:rFonts w:cs="Arial"/>
                <w:i/>
                <w:sz w:val="17"/>
                <w:szCs w:val="17"/>
              </w:rPr>
              <w:t>1.15.1 Gender and organisational change</w:t>
            </w:r>
          </w:p>
          <w:p w:rsidR="009F7318" w:rsidRPr="00B725A9" w:rsidRDefault="009F7318" w:rsidP="008C5435">
            <w:pPr>
              <w:spacing w:after="0" w:line="276" w:lineRule="auto"/>
              <w:rPr>
                <w:rFonts w:cs="Arial"/>
                <w:sz w:val="17"/>
                <w:szCs w:val="17"/>
              </w:rPr>
            </w:pPr>
            <w:r w:rsidRPr="00B725A9">
              <w:rPr>
                <w:rFonts w:cs="Arial"/>
                <w:sz w:val="17"/>
                <w:szCs w:val="17"/>
              </w:rPr>
              <w:t>Analysis of available data shows that in 2005, women represented around 49% of the t</w:t>
            </w:r>
            <w:r>
              <w:rPr>
                <w:rFonts w:cs="Arial"/>
                <w:sz w:val="17"/>
                <w:szCs w:val="17"/>
              </w:rPr>
              <w:t>otal workforce engaged by the Mo</w:t>
            </w:r>
            <w:r w:rsidRPr="00B725A9">
              <w:rPr>
                <w:rFonts w:cs="Arial"/>
                <w:sz w:val="17"/>
                <w:szCs w:val="17"/>
              </w:rPr>
              <w:t xml:space="preserve">H74. However, with regard to </w:t>
            </w:r>
            <w:proofErr w:type="spellStart"/>
            <w:r w:rsidRPr="00B725A9">
              <w:rPr>
                <w:rFonts w:cs="Arial"/>
                <w:sz w:val="17"/>
                <w:szCs w:val="17"/>
              </w:rPr>
              <w:t>M</w:t>
            </w:r>
            <w:r>
              <w:rPr>
                <w:rFonts w:cs="Arial"/>
                <w:sz w:val="17"/>
                <w:szCs w:val="17"/>
              </w:rPr>
              <w:t>o</w:t>
            </w:r>
            <w:r w:rsidRPr="00B725A9">
              <w:rPr>
                <w:rFonts w:cs="Arial"/>
                <w:sz w:val="17"/>
                <w:szCs w:val="17"/>
              </w:rPr>
              <w:t>H</w:t>
            </w:r>
            <w:proofErr w:type="spellEnd"/>
            <w:r w:rsidRPr="00B725A9">
              <w:rPr>
                <w:rFonts w:cs="Arial"/>
                <w:sz w:val="17"/>
                <w:szCs w:val="17"/>
              </w:rPr>
              <w:t xml:space="preserve"> management levels, women’s representation is a mere 10% at the executive level.</w:t>
            </w:r>
          </w:p>
          <w:p w:rsidR="009F7318" w:rsidRPr="00B725A9" w:rsidRDefault="009F7318" w:rsidP="00FF2F3D">
            <w:pPr>
              <w:rPr>
                <w:rFonts w:cs="Arial"/>
                <w:sz w:val="17"/>
                <w:szCs w:val="17"/>
              </w:rPr>
            </w:pPr>
            <w:r w:rsidRPr="00B725A9">
              <w:rPr>
                <w:rFonts w:cs="Arial"/>
                <w:sz w:val="17"/>
                <w:szCs w:val="17"/>
              </w:rPr>
              <w:t>Th</w:t>
            </w:r>
            <w:r>
              <w:rPr>
                <w:rFonts w:cs="Arial"/>
                <w:sz w:val="17"/>
                <w:szCs w:val="17"/>
              </w:rPr>
              <w:t xml:space="preserve">ere is recognition within the </w:t>
            </w:r>
            <w:proofErr w:type="spellStart"/>
            <w:r>
              <w:rPr>
                <w:rFonts w:cs="Arial"/>
                <w:sz w:val="17"/>
                <w:szCs w:val="17"/>
              </w:rPr>
              <w:t>Mo</w:t>
            </w:r>
            <w:r w:rsidRPr="00B725A9">
              <w:rPr>
                <w:rFonts w:cs="Arial"/>
                <w:sz w:val="17"/>
                <w:szCs w:val="17"/>
              </w:rPr>
              <w:t>H</w:t>
            </w:r>
            <w:proofErr w:type="spellEnd"/>
            <w:r w:rsidRPr="00B725A9">
              <w:rPr>
                <w:rFonts w:cs="Arial"/>
                <w:sz w:val="17"/>
                <w:szCs w:val="17"/>
              </w:rPr>
              <w:t xml:space="preserve"> that the inclusion of a more gender sensitive approach to delivery should be addressed with the main institutions that provide nursing and medical qualification in the Solomon Islands.</w:t>
            </w:r>
          </w:p>
          <w:p w:rsidR="009F7318" w:rsidRPr="00B725A9" w:rsidRDefault="009F7318" w:rsidP="00FF2F3D">
            <w:pPr>
              <w:rPr>
                <w:rFonts w:cs="Arial"/>
                <w:i/>
                <w:sz w:val="17"/>
                <w:szCs w:val="17"/>
              </w:rPr>
            </w:pPr>
            <w:r w:rsidRPr="00B725A9">
              <w:rPr>
                <w:rFonts w:cs="Arial"/>
                <w:i/>
                <w:sz w:val="17"/>
                <w:szCs w:val="17"/>
              </w:rPr>
              <w:t>1.15.2 Data collection on health</w:t>
            </w:r>
          </w:p>
          <w:p w:rsidR="009F7318" w:rsidRPr="00B725A9" w:rsidRDefault="009F7318" w:rsidP="00FF2F3D">
            <w:pPr>
              <w:rPr>
                <w:rFonts w:cs="Arial"/>
                <w:sz w:val="17"/>
                <w:szCs w:val="17"/>
              </w:rPr>
            </w:pPr>
            <w:r w:rsidRPr="00B725A9">
              <w:rPr>
                <w:rFonts w:cs="Arial"/>
                <w:sz w:val="17"/>
                <w:szCs w:val="17"/>
              </w:rPr>
              <w:t>To date, the absence of sex-disaggregated data within the HIS does not allow any further investigation into who uses the health services and the gendered characteristics of ill health within the population.</w:t>
            </w:r>
          </w:p>
          <w:p w:rsidR="009F7318" w:rsidRPr="00B725A9" w:rsidRDefault="009F7318" w:rsidP="00FF2F3D">
            <w:pPr>
              <w:rPr>
                <w:rFonts w:cs="Arial"/>
                <w:i/>
                <w:sz w:val="17"/>
                <w:szCs w:val="17"/>
              </w:rPr>
            </w:pPr>
            <w:r w:rsidRPr="00B725A9">
              <w:rPr>
                <w:rFonts w:cs="Arial"/>
                <w:i/>
                <w:sz w:val="17"/>
                <w:szCs w:val="17"/>
              </w:rPr>
              <w:t xml:space="preserve">1.15.3 Gender mainstreaming in </w:t>
            </w:r>
            <w:proofErr w:type="spellStart"/>
            <w:r w:rsidRPr="00B725A9">
              <w:rPr>
                <w:rFonts w:cs="Arial"/>
                <w:i/>
                <w:sz w:val="17"/>
                <w:szCs w:val="17"/>
              </w:rPr>
              <w:t>M</w:t>
            </w:r>
            <w:r w:rsidR="00FB29BE">
              <w:rPr>
                <w:rFonts w:cs="Arial"/>
                <w:i/>
                <w:sz w:val="17"/>
                <w:szCs w:val="17"/>
              </w:rPr>
              <w:t>o</w:t>
            </w:r>
            <w:r w:rsidRPr="00B725A9">
              <w:rPr>
                <w:rFonts w:cs="Arial"/>
                <w:i/>
                <w:sz w:val="17"/>
                <w:szCs w:val="17"/>
              </w:rPr>
              <w:t>H</w:t>
            </w:r>
            <w:proofErr w:type="spellEnd"/>
          </w:p>
          <w:p w:rsidR="009F7318" w:rsidRDefault="009F7318" w:rsidP="00FF2F3D">
            <w:pPr>
              <w:rPr>
                <w:rFonts w:cs="Arial"/>
                <w:sz w:val="17"/>
                <w:szCs w:val="17"/>
              </w:rPr>
            </w:pPr>
            <w:r>
              <w:rPr>
                <w:rFonts w:cs="Arial"/>
                <w:sz w:val="17"/>
                <w:szCs w:val="17"/>
              </w:rPr>
              <w:t xml:space="preserve">The HSSP will support the </w:t>
            </w:r>
            <w:proofErr w:type="spellStart"/>
            <w:r>
              <w:rPr>
                <w:rFonts w:cs="Arial"/>
                <w:sz w:val="17"/>
                <w:szCs w:val="17"/>
              </w:rPr>
              <w:t>Mo</w:t>
            </w:r>
            <w:r w:rsidRPr="00B725A9">
              <w:rPr>
                <w:rFonts w:cs="Arial"/>
                <w:sz w:val="17"/>
                <w:szCs w:val="17"/>
              </w:rPr>
              <w:t>H</w:t>
            </w:r>
            <w:proofErr w:type="spellEnd"/>
            <w:r w:rsidRPr="00B725A9">
              <w:rPr>
                <w:rFonts w:cs="Arial"/>
                <w:sz w:val="17"/>
                <w:szCs w:val="17"/>
              </w:rPr>
              <w:t xml:space="preserve"> in its implementation of gender mainstreaming in the health sector through key initiatives within the program activities. These initiatives will incorporate the following recommendations: </w:t>
            </w:r>
          </w:p>
          <w:p w:rsidR="009F7318" w:rsidRPr="00F9796E" w:rsidRDefault="009F7318" w:rsidP="00FF2F3D">
            <w:pPr>
              <w:pStyle w:val="TableBullet"/>
            </w:pPr>
            <w:r w:rsidRPr="00F9796E">
              <w:rPr>
                <w:rFonts w:cs="Arial"/>
              </w:rPr>
              <w:t>Taking an integrated approach to gender in all fac</w:t>
            </w:r>
            <w:r>
              <w:rPr>
                <w:rFonts w:cs="Arial"/>
              </w:rPr>
              <w:t>ets of health service delivery.</w:t>
            </w:r>
          </w:p>
          <w:p w:rsidR="009F7318" w:rsidRPr="00F9796E" w:rsidRDefault="009F7318" w:rsidP="00FF2F3D">
            <w:pPr>
              <w:pStyle w:val="TableBullet"/>
            </w:pPr>
            <w:r w:rsidRPr="00F9796E">
              <w:rPr>
                <w:rFonts w:cs="Arial"/>
              </w:rPr>
              <w:t xml:space="preserve">Establishing inter-departmental partnerships between the </w:t>
            </w:r>
            <w:proofErr w:type="spellStart"/>
            <w:r w:rsidRPr="00F9796E">
              <w:rPr>
                <w:rFonts w:cs="Arial"/>
              </w:rPr>
              <w:t>M</w:t>
            </w:r>
            <w:r w:rsidR="00FB29BE">
              <w:rPr>
                <w:rFonts w:cs="Arial"/>
              </w:rPr>
              <w:t>o</w:t>
            </w:r>
            <w:r w:rsidRPr="00F9796E">
              <w:rPr>
                <w:rFonts w:cs="Arial"/>
              </w:rPr>
              <w:t>H</w:t>
            </w:r>
            <w:proofErr w:type="spellEnd"/>
            <w:r w:rsidRPr="00F9796E">
              <w:rPr>
                <w:rFonts w:cs="Arial"/>
              </w:rPr>
              <w:t xml:space="preserve"> and other r</w:t>
            </w:r>
            <w:r>
              <w:rPr>
                <w:rFonts w:cs="Arial"/>
              </w:rPr>
              <w:t>elevant government departments.</w:t>
            </w:r>
          </w:p>
          <w:p w:rsidR="009F7318" w:rsidRPr="00F9796E" w:rsidRDefault="009F7318" w:rsidP="00FF2F3D">
            <w:pPr>
              <w:pStyle w:val="TableBullet"/>
            </w:pPr>
            <w:r w:rsidRPr="00F9796E">
              <w:rPr>
                <w:rFonts w:cs="Arial"/>
              </w:rPr>
              <w:t xml:space="preserve">Establishing partnerships between </w:t>
            </w:r>
            <w:proofErr w:type="spellStart"/>
            <w:r w:rsidRPr="00F9796E">
              <w:rPr>
                <w:rFonts w:cs="Arial"/>
              </w:rPr>
              <w:t>M</w:t>
            </w:r>
            <w:r w:rsidR="00FB29BE">
              <w:rPr>
                <w:rFonts w:cs="Arial"/>
              </w:rPr>
              <w:t>o</w:t>
            </w:r>
            <w:r w:rsidRPr="00F9796E">
              <w:rPr>
                <w:rFonts w:cs="Arial"/>
              </w:rPr>
              <w:t>H</w:t>
            </w:r>
            <w:proofErr w:type="spellEnd"/>
            <w:r w:rsidRPr="00F9796E">
              <w:rPr>
                <w:rFonts w:cs="Arial"/>
              </w:rPr>
              <w:t xml:space="preserve"> and civil societ</w:t>
            </w:r>
            <w:r>
              <w:rPr>
                <w:rFonts w:cs="Arial"/>
              </w:rPr>
              <w:t>y organisations.</w:t>
            </w:r>
          </w:p>
          <w:p w:rsidR="009F7318" w:rsidRPr="00F9796E" w:rsidRDefault="009F7318" w:rsidP="00FF2F3D">
            <w:pPr>
              <w:pStyle w:val="TableBullet"/>
            </w:pPr>
            <w:r w:rsidRPr="00F9796E">
              <w:rPr>
                <w:rFonts w:cs="Arial"/>
              </w:rPr>
              <w:t>Establishing a gen</w:t>
            </w:r>
            <w:r>
              <w:rPr>
                <w:rFonts w:cs="Arial"/>
              </w:rPr>
              <w:t xml:space="preserve">der focal point within the </w:t>
            </w:r>
            <w:proofErr w:type="spellStart"/>
            <w:r>
              <w:rPr>
                <w:rFonts w:cs="Arial"/>
              </w:rPr>
              <w:t>M</w:t>
            </w:r>
            <w:r w:rsidR="00FB29BE">
              <w:rPr>
                <w:rFonts w:cs="Arial"/>
              </w:rPr>
              <w:t>o</w:t>
            </w:r>
            <w:r>
              <w:rPr>
                <w:rFonts w:cs="Arial"/>
              </w:rPr>
              <w:t>H</w:t>
            </w:r>
            <w:proofErr w:type="spellEnd"/>
            <w:r>
              <w:rPr>
                <w:rFonts w:cs="Arial"/>
              </w:rPr>
              <w:t>.</w:t>
            </w:r>
          </w:p>
          <w:p w:rsidR="009F7318" w:rsidRPr="00F9796E" w:rsidRDefault="009F7318" w:rsidP="00FF2F3D">
            <w:pPr>
              <w:pStyle w:val="TableBullet"/>
            </w:pPr>
            <w:r w:rsidRPr="00F9796E">
              <w:rPr>
                <w:rFonts w:cs="Arial"/>
              </w:rPr>
              <w:t>Collecting improved sex-disaggregated data</w:t>
            </w:r>
            <w:r>
              <w:rPr>
                <w:rFonts w:cs="Arial"/>
              </w:rPr>
              <w:t>.</w:t>
            </w:r>
          </w:p>
        </w:tc>
        <w:tc>
          <w:tcPr>
            <w:tcW w:w="1993" w:type="pct"/>
          </w:tcPr>
          <w:p w:rsidR="009F7318" w:rsidRPr="00B725A9" w:rsidRDefault="009F7318" w:rsidP="00FF2F3D">
            <w:pPr>
              <w:rPr>
                <w:rFonts w:cs="Arial"/>
                <w:b/>
                <w:sz w:val="17"/>
                <w:szCs w:val="17"/>
              </w:rPr>
            </w:pPr>
            <w:r w:rsidRPr="00B725A9">
              <w:rPr>
                <w:rFonts w:cs="Arial"/>
                <w:b/>
                <w:sz w:val="17"/>
                <w:szCs w:val="17"/>
              </w:rPr>
              <w:lastRenderedPageBreak/>
              <w:t>Solomon Islands Health Sector Wide Approach Progress Review 2008-2011, Dr Stewart Tyson, 5 October 2011</w:t>
            </w:r>
          </w:p>
          <w:p w:rsidR="009F7318" w:rsidRPr="00B725A9" w:rsidRDefault="009F7318" w:rsidP="00FF2F3D">
            <w:pPr>
              <w:rPr>
                <w:rFonts w:cs="Arial"/>
                <w:sz w:val="17"/>
                <w:szCs w:val="17"/>
              </w:rPr>
            </w:pPr>
            <w:r w:rsidRPr="00B725A9">
              <w:rPr>
                <w:rFonts w:cs="Arial"/>
                <w:sz w:val="17"/>
                <w:szCs w:val="17"/>
              </w:rPr>
              <w:t>No mention of gender</w:t>
            </w:r>
            <w:r>
              <w:rPr>
                <w:rFonts w:cs="Arial"/>
                <w:sz w:val="17"/>
                <w:szCs w:val="17"/>
              </w:rPr>
              <w:t>.</w:t>
            </w:r>
          </w:p>
          <w:p w:rsidR="009F7318" w:rsidRPr="00B725A9" w:rsidRDefault="009F7318" w:rsidP="00FF2F3D">
            <w:pPr>
              <w:rPr>
                <w:rFonts w:cs="Arial"/>
                <w:sz w:val="17"/>
                <w:szCs w:val="17"/>
              </w:rPr>
            </w:pPr>
          </w:p>
          <w:p w:rsidR="009F7318" w:rsidRPr="00B725A9" w:rsidRDefault="009F7318" w:rsidP="00FF2F3D">
            <w:pPr>
              <w:rPr>
                <w:rFonts w:cs="Arial"/>
                <w:b/>
                <w:sz w:val="17"/>
                <w:szCs w:val="17"/>
              </w:rPr>
            </w:pPr>
            <w:r w:rsidRPr="00B725A9">
              <w:rPr>
                <w:rFonts w:cs="Arial"/>
                <w:b/>
                <w:sz w:val="17"/>
                <w:szCs w:val="17"/>
              </w:rPr>
              <w:t>Solomon Islands: Support for the 2011 Annual Health Conference and Joint Annual Performance Review, Interim Report, Dr Stewart Tyson, 31 August 2011</w:t>
            </w:r>
          </w:p>
          <w:p w:rsidR="009F7318" w:rsidRPr="00B725A9" w:rsidRDefault="009F7318" w:rsidP="00FF2F3D">
            <w:pPr>
              <w:rPr>
                <w:rFonts w:cs="Arial"/>
                <w:sz w:val="17"/>
                <w:szCs w:val="17"/>
              </w:rPr>
            </w:pPr>
            <w:r w:rsidRPr="00B725A9">
              <w:rPr>
                <w:rFonts w:cs="Arial"/>
                <w:sz w:val="17"/>
                <w:szCs w:val="17"/>
              </w:rPr>
              <w:t>No mention of gender</w:t>
            </w:r>
            <w:r>
              <w:rPr>
                <w:rFonts w:cs="Arial"/>
                <w:sz w:val="17"/>
                <w:szCs w:val="17"/>
              </w:rPr>
              <w:t>.</w:t>
            </w:r>
          </w:p>
          <w:p w:rsidR="009F7318" w:rsidRPr="00B725A9" w:rsidRDefault="009F7318" w:rsidP="00FF2F3D">
            <w:pPr>
              <w:rPr>
                <w:rFonts w:cs="Arial"/>
                <w:sz w:val="17"/>
                <w:szCs w:val="17"/>
              </w:rPr>
            </w:pPr>
          </w:p>
          <w:p w:rsidR="009F7318" w:rsidRPr="00B725A9" w:rsidRDefault="009F7318" w:rsidP="00FF2F3D">
            <w:pPr>
              <w:rPr>
                <w:rFonts w:cs="Arial"/>
                <w:b/>
                <w:sz w:val="17"/>
                <w:szCs w:val="17"/>
              </w:rPr>
            </w:pPr>
            <w:r w:rsidRPr="00B725A9">
              <w:rPr>
                <w:rFonts w:cs="Arial"/>
                <w:b/>
                <w:sz w:val="17"/>
                <w:szCs w:val="17"/>
              </w:rPr>
              <w:t>Solomon Islands Health Sector Support Program Health Sector Support Program (HSSP) Ind</w:t>
            </w:r>
            <w:r w:rsidR="00521D10">
              <w:rPr>
                <w:rFonts w:cs="Arial"/>
                <w:b/>
                <w:sz w:val="17"/>
                <w:szCs w:val="17"/>
              </w:rPr>
              <w:t xml:space="preserve">ependent Performance Assessment </w:t>
            </w:r>
            <w:r w:rsidRPr="00B725A9">
              <w:rPr>
                <w:rFonts w:cs="Arial"/>
                <w:b/>
                <w:sz w:val="17"/>
                <w:szCs w:val="17"/>
              </w:rPr>
              <w:t>for 2013,</w:t>
            </w:r>
          </w:p>
          <w:p w:rsidR="009F7318" w:rsidRPr="00B725A9" w:rsidRDefault="009F7318" w:rsidP="00FF2F3D">
            <w:pPr>
              <w:rPr>
                <w:rFonts w:cs="Arial"/>
                <w:b/>
                <w:sz w:val="17"/>
                <w:szCs w:val="17"/>
              </w:rPr>
            </w:pPr>
            <w:r w:rsidRPr="00B725A9">
              <w:rPr>
                <w:rFonts w:cs="Arial"/>
                <w:b/>
                <w:sz w:val="17"/>
                <w:szCs w:val="17"/>
              </w:rPr>
              <w:t xml:space="preserve">Marion Kelly (HRF) and Keith </w:t>
            </w:r>
            <w:proofErr w:type="spellStart"/>
            <w:r w:rsidRPr="00B725A9">
              <w:rPr>
                <w:rFonts w:cs="Arial"/>
                <w:b/>
                <w:sz w:val="17"/>
                <w:szCs w:val="17"/>
              </w:rPr>
              <w:t>Tuckwell</w:t>
            </w:r>
            <w:proofErr w:type="spellEnd"/>
            <w:r w:rsidRPr="00B725A9">
              <w:rPr>
                <w:rFonts w:cs="Arial"/>
                <w:b/>
                <w:sz w:val="17"/>
                <w:szCs w:val="17"/>
              </w:rPr>
              <w:t xml:space="preserve"> (John </w:t>
            </w:r>
            <w:proofErr w:type="spellStart"/>
            <w:r w:rsidRPr="00B725A9">
              <w:rPr>
                <w:rFonts w:cs="Arial"/>
                <w:b/>
                <w:sz w:val="17"/>
                <w:szCs w:val="17"/>
              </w:rPr>
              <w:t>Fargher</w:t>
            </w:r>
            <w:proofErr w:type="spellEnd"/>
            <w:r w:rsidRPr="00B725A9">
              <w:rPr>
                <w:rFonts w:cs="Arial"/>
                <w:b/>
                <w:sz w:val="17"/>
                <w:szCs w:val="17"/>
              </w:rPr>
              <w:t xml:space="preserve"> &amp; Associates Pty Ltd.)</w:t>
            </w:r>
          </w:p>
          <w:p w:rsidR="009F7318" w:rsidRPr="00B725A9" w:rsidRDefault="009F7318" w:rsidP="00FF2F3D">
            <w:pPr>
              <w:rPr>
                <w:rFonts w:cs="Arial"/>
                <w:b/>
                <w:sz w:val="17"/>
                <w:szCs w:val="17"/>
              </w:rPr>
            </w:pPr>
            <w:r w:rsidRPr="00B725A9">
              <w:rPr>
                <w:rFonts w:cs="Arial"/>
                <w:b/>
                <w:sz w:val="17"/>
                <w:szCs w:val="17"/>
              </w:rPr>
              <w:t>8 May 2014</w:t>
            </w:r>
          </w:p>
          <w:p w:rsidR="009F7318" w:rsidRPr="00B725A9" w:rsidRDefault="009F7318" w:rsidP="00FF2F3D">
            <w:pPr>
              <w:rPr>
                <w:rFonts w:cs="Arial"/>
                <w:sz w:val="17"/>
                <w:szCs w:val="17"/>
              </w:rPr>
            </w:pPr>
            <w:r w:rsidRPr="00B725A9">
              <w:rPr>
                <w:rFonts w:cs="Arial"/>
                <w:sz w:val="17"/>
                <w:szCs w:val="17"/>
              </w:rPr>
              <w:t>No mention of gender</w:t>
            </w:r>
            <w:r>
              <w:rPr>
                <w:rFonts w:cs="Arial"/>
                <w:sz w:val="17"/>
                <w:szCs w:val="17"/>
              </w:rPr>
              <w:t>.</w:t>
            </w:r>
          </w:p>
          <w:p w:rsidR="009F7318" w:rsidRPr="00B725A9" w:rsidRDefault="009F7318" w:rsidP="00FF2F3D">
            <w:pPr>
              <w:rPr>
                <w:rFonts w:cs="Arial"/>
                <w:sz w:val="17"/>
                <w:szCs w:val="17"/>
              </w:rPr>
            </w:pPr>
          </w:p>
        </w:tc>
        <w:tc>
          <w:tcPr>
            <w:tcW w:w="954" w:type="pct"/>
          </w:tcPr>
          <w:p w:rsidR="009F7318" w:rsidRPr="00B725A9" w:rsidRDefault="009F7318" w:rsidP="00FF2F3D">
            <w:pPr>
              <w:rPr>
                <w:rFonts w:cs="Arial"/>
                <w:sz w:val="17"/>
                <w:szCs w:val="17"/>
              </w:rPr>
            </w:pPr>
            <w:r w:rsidRPr="00B725A9">
              <w:rPr>
                <w:rFonts w:cs="Arial"/>
                <w:b/>
                <w:sz w:val="17"/>
                <w:szCs w:val="17"/>
              </w:rPr>
              <w:t>Aid Program Performance Report 2012−13</w:t>
            </w:r>
            <w:r w:rsidRPr="00B725A9">
              <w:rPr>
                <w:rFonts w:cs="Arial"/>
                <w:sz w:val="17"/>
                <w:szCs w:val="17"/>
              </w:rPr>
              <w:t xml:space="preserve"> </w:t>
            </w:r>
            <w:r w:rsidRPr="00B725A9">
              <w:rPr>
                <w:rFonts w:cs="Arial"/>
                <w:b/>
                <w:sz w:val="17"/>
                <w:szCs w:val="17"/>
              </w:rPr>
              <w:t>Solomon Islands</w:t>
            </w:r>
            <w:r w:rsidRPr="00B725A9">
              <w:rPr>
                <w:rStyle w:val="FootnoteReference"/>
                <w:rFonts w:cs="Arial"/>
                <w:b/>
                <w:sz w:val="17"/>
                <w:szCs w:val="17"/>
              </w:rPr>
              <w:footnoteReference w:id="177"/>
            </w:r>
          </w:p>
          <w:p w:rsidR="009F7318" w:rsidRPr="00B725A9" w:rsidRDefault="009F7318" w:rsidP="00521D10">
            <w:pPr>
              <w:rPr>
                <w:rFonts w:cs="Arial"/>
                <w:sz w:val="17"/>
                <w:szCs w:val="17"/>
              </w:rPr>
            </w:pPr>
            <w:r w:rsidRPr="00B725A9">
              <w:rPr>
                <w:rFonts w:cs="Arial"/>
                <w:sz w:val="17"/>
                <w:szCs w:val="17"/>
              </w:rPr>
              <w:t xml:space="preserve">The health program promotes gender equality through a focus on MDG 3, promote gender equality and empower </w:t>
            </w:r>
            <w:proofErr w:type="gramStart"/>
            <w:r w:rsidRPr="00B725A9">
              <w:rPr>
                <w:rFonts w:cs="Arial"/>
                <w:sz w:val="17"/>
                <w:szCs w:val="17"/>
              </w:rPr>
              <w:t>women,</w:t>
            </w:r>
            <w:proofErr w:type="gramEnd"/>
            <w:r w:rsidRPr="00B725A9">
              <w:rPr>
                <w:rFonts w:cs="Arial"/>
                <w:sz w:val="17"/>
                <w:szCs w:val="17"/>
              </w:rPr>
              <w:t xml:space="preserve"> and MDG 4, reduce child mortality. It does this by supporting victims of gender-based violence; rura</w:t>
            </w:r>
            <w:r w:rsidR="00521D10">
              <w:rPr>
                <w:rFonts w:cs="Arial"/>
                <w:sz w:val="17"/>
                <w:szCs w:val="17"/>
              </w:rPr>
              <w:t>l water sanitation and hygiene</w:t>
            </w:r>
            <w:r w:rsidRPr="00B725A9">
              <w:rPr>
                <w:rFonts w:cs="Arial"/>
                <w:sz w:val="17"/>
                <w:szCs w:val="17"/>
              </w:rPr>
              <w:t>, and malaria control and elimination. Staff issues—including vacancies—in the maternal health division held back greater progress in maternal health in 2012.</w:t>
            </w:r>
          </w:p>
        </w:tc>
      </w:tr>
    </w:tbl>
    <w:p w:rsidR="009F7318" w:rsidRDefault="009F7318" w:rsidP="009F7318"/>
    <w:p w:rsidR="009F7318" w:rsidRPr="007E5AC1" w:rsidRDefault="009F7318" w:rsidP="009F7318">
      <w:pPr>
        <w:pStyle w:val="SectionTitle"/>
      </w:pPr>
      <w:bookmarkStart w:id="69" w:name="_Toc394224894"/>
      <w:bookmarkStart w:id="70" w:name="_Toc403403700"/>
      <w:r>
        <w:lastRenderedPageBreak/>
        <w:t>Appendix 4:</w:t>
      </w:r>
      <w:r w:rsidRPr="007E5AC1">
        <w:t xml:space="preserve"> List of references</w:t>
      </w:r>
      <w:bookmarkEnd w:id="69"/>
      <w:bookmarkEnd w:id="70"/>
      <w:r w:rsidRPr="007E5AC1">
        <w:t xml:space="preserve"> </w:t>
      </w:r>
    </w:p>
    <w:p w:rsidR="009F7318" w:rsidRPr="007E5AC1" w:rsidRDefault="009F7318" w:rsidP="009F7318">
      <w:pPr>
        <w:pStyle w:val="Heading3"/>
        <w:rPr>
          <w:rFonts w:eastAsia="Calibri"/>
        </w:rPr>
      </w:pPr>
      <w:r w:rsidRPr="007E5AC1">
        <w:rPr>
          <w:rFonts w:eastAsia="Calibri"/>
        </w:rPr>
        <w:t xml:space="preserve">General </w:t>
      </w:r>
    </w:p>
    <w:p w:rsidR="009F7318" w:rsidRDefault="009F7318" w:rsidP="009F7318">
      <w:pPr>
        <w:rPr>
          <w:rFonts w:eastAsia="Calibri"/>
        </w:rPr>
      </w:pPr>
      <w:r>
        <w:rPr>
          <w:rFonts w:eastAsia="Calibri"/>
        </w:rPr>
        <w:t xml:space="preserve">Australian Government, </w:t>
      </w:r>
      <w:r w:rsidRPr="00CC776F">
        <w:rPr>
          <w:rFonts w:eastAsia="Calibri"/>
          <w:i/>
        </w:rPr>
        <w:t>Australian Aid: Promoting Growth and Stability: A White Paper on the Australian government’s overseas aid program</w:t>
      </w:r>
      <w:r>
        <w:rPr>
          <w:rFonts w:eastAsia="Calibri"/>
        </w:rPr>
        <w:t>, AusAID Canberra 2006.</w:t>
      </w:r>
    </w:p>
    <w:p w:rsidR="009F7318" w:rsidRPr="00FF33B5" w:rsidRDefault="009F7318" w:rsidP="009F7318">
      <w:pPr>
        <w:rPr>
          <w:rFonts w:eastAsia="Calibri"/>
        </w:rPr>
      </w:pPr>
      <w:r>
        <w:rPr>
          <w:rFonts w:eastAsia="Calibri"/>
        </w:rPr>
        <w:t xml:space="preserve">Australian Government, </w:t>
      </w:r>
      <w:r w:rsidRPr="00CC776F">
        <w:rPr>
          <w:rFonts w:eastAsia="Calibri"/>
          <w:i/>
        </w:rPr>
        <w:t>Saving lives: Improving the health of the world’s poor</w:t>
      </w:r>
      <w:r>
        <w:rPr>
          <w:rFonts w:eastAsia="Calibri"/>
        </w:rPr>
        <w:t xml:space="preserve">, </w:t>
      </w:r>
      <w:r w:rsidRPr="00FF33B5">
        <w:rPr>
          <w:rFonts w:eastAsia="Calibri"/>
        </w:rPr>
        <w:t>November 2011</w:t>
      </w:r>
      <w:r>
        <w:rPr>
          <w:rFonts w:eastAsia="Calibri"/>
        </w:rPr>
        <w:t>, AusAID Canberra 2011.</w:t>
      </w:r>
    </w:p>
    <w:p w:rsidR="009F7318" w:rsidRDefault="009F7318" w:rsidP="009F7318">
      <w:pPr>
        <w:rPr>
          <w:rFonts w:eastAsia="Calibri"/>
        </w:rPr>
      </w:pPr>
      <w:r>
        <w:rPr>
          <w:rFonts w:eastAsia="Calibri"/>
        </w:rPr>
        <w:t xml:space="preserve">Australian Government, </w:t>
      </w:r>
      <w:r w:rsidRPr="00CC776F">
        <w:rPr>
          <w:rFonts w:eastAsia="Calibri"/>
          <w:i/>
        </w:rPr>
        <w:t>2011–12 Annual Review of Aid Effectiveness</w:t>
      </w:r>
      <w:r>
        <w:rPr>
          <w:rFonts w:eastAsia="Calibri"/>
        </w:rPr>
        <w:t>, AusAID</w:t>
      </w:r>
      <w:r w:rsidRPr="00626655">
        <w:rPr>
          <w:rFonts w:eastAsia="Calibri"/>
        </w:rPr>
        <w:t xml:space="preserve"> </w:t>
      </w:r>
      <w:r>
        <w:rPr>
          <w:rFonts w:eastAsia="Calibri"/>
        </w:rPr>
        <w:t>Canberra 2012(a)</w:t>
      </w:r>
      <w:r w:rsidR="005253B8">
        <w:rPr>
          <w:rFonts w:eastAsia="Calibri"/>
        </w:rPr>
        <w:t>.</w:t>
      </w:r>
    </w:p>
    <w:p w:rsidR="009F7318" w:rsidRDefault="009F7318" w:rsidP="009F7318">
      <w:pPr>
        <w:rPr>
          <w:rFonts w:eastAsia="Calibri"/>
        </w:rPr>
      </w:pPr>
      <w:r>
        <w:rPr>
          <w:rFonts w:eastAsia="Calibri"/>
        </w:rPr>
        <w:t xml:space="preserve">Australian Government, </w:t>
      </w:r>
      <w:r w:rsidRPr="00CC776F">
        <w:rPr>
          <w:rFonts w:eastAsia="Calibri"/>
          <w:i/>
        </w:rPr>
        <w:t>Helping the World’s Poor through Effective Aid: Australia’s Comprehensive Aid Policy Framework to 2015–16.</w:t>
      </w:r>
      <w:r>
        <w:rPr>
          <w:rFonts w:eastAsia="Calibri"/>
        </w:rPr>
        <w:t>AusAID Canberra 2012(b)</w:t>
      </w:r>
      <w:r w:rsidR="005253B8">
        <w:rPr>
          <w:rFonts w:eastAsia="Calibri"/>
        </w:rPr>
        <w:t>.</w:t>
      </w:r>
    </w:p>
    <w:p w:rsidR="009F7318" w:rsidRDefault="009F7318" w:rsidP="009F7318">
      <w:pPr>
        <w:rPr>
          <w:rFonts w:eastAsia="Calibri"/>
        </w:rPr>
      </w:pPr>
      <w:r>
        <w:rPr>
          <w:rFonts w:eastAsia="Calibri"/>
        </w:rPr>
        <w:t>Australian Government,</w:t>
      </w:r>
      <w:r w:rsidRPr="00FF33B5">
        <w:rPr>
          <w:rFonts w:eastAsia="Calibri"/>
        </w:rPr>
        <w:t xml:space="preserve"> </w:t>
      </w:r>
      <w:r w:rsidRPr="00CC776F">
        <w:rPr>
          <w:rFonts w:eastAsia="Calibri"/>
          <w:i/>
        </w:rPr>
        <w:t>An Effective Aid Program for Australia: Making a real difference—</w:t>
      </w:r>
      <w:proofErr w:type="gramStart"/>
      <w:r w:rsidRPr="00CC776F">
        <w:rPr>
          <w:rFonts w:eastAsia="Calibri"/>
          <w:i/>
        </w:rPr>
        <w:t>Delivering</w:t>
      </w:r>
      <w:proofErr w:type="gramEnd"/>
      <w:r w:rsidRPr="00CC776F">
        <w:rPr>
          <w:rFonts w:eastAsia="Calibri"/>
          <w:i/>
        </w:rPr>
        <w:t xml:space="preserve"> real results,</w:t>
      </w:r>
      <w:r>
        <w:rPr>
          <w:rFonts w:eastAsia="Calibri"/>
        </w:rPr>
        <w:t xml:space="preserve"> </w:t>
      </w:r>
      <w:r w:rsidRPr="00FF33B5">
        <w:rPr>
          <w:rFonts w:eastAsia="Calibri"/>
        </w:rPr>
        <w:t>Updated June 2012</w:t>
      </w:r>
      <w:r>
        <w:rPr>
          <w:rFonts w:eastAsia="Calibri"/>
        </w:rPr>
        <w:t>, AusAID Canberra 2012(c)</w:t>
      </w:r>
      <w:r w:rsidR="005253B8">
        <w:rPr>
          <w:rFonts w:eastAsia="Calibri"/>
        </w:rPr>
        <w:t>.</w:t>
      </w:r>
    </w:p>
    <w:p w:rsidR="009F7318" w:rsidRDefault="009F7318" w:rsidP="009F7318">
      <w:pPr>
        <w:rPr>
          <w:rFonts w:eastAsia="Calibri"/>
        </w:rPr>
      </w:pPr>
      <w:proofErr w:type="gramStart"/>
      <w:r>
        <w:rPr>
          <w:rFonts w:eastAsia="Calibri"/>
        </w:rPr>
        <w:t xml:space="preserve">Australian Government, </w:t>
      </w:r>
      <w:r w:rsidRPr="00CC776F">
        <w:rPr>
          <w:rFonts w:eastAsia="Calibri"/>
          <w:i/>
        </w:rPr>
        <w:t>Australian Aid; promoting prosperity, reducing poverty, enhancing stability,</w:t>
      </w:r>
      <w:r>
        <w:rPr>
          <w:rFonts w:eastAsia="Calibri"/>
        </w:rPr>
        <w:t xml:space="preserve"> DFAT Canberra 2014(a).</w:t>
      </w:r>
      <w:proofErr w:type="gramEnd"/>
    </w:p>
    <w:p w:rsidR="009F7318" w:rsidRDefault="009F7318" w:rsidP="009F7318">
      <w:pPr>
        <w:rPr>
          <w:rFonts w:eastAsia="Calibri"/>
        </w:rPr>
      </w:pPr>
      <w:r>
        <w:rPr>
          <w:rFonts w:eastAsia="Calibri"/>
        </w:rPr>
        <w:t xml:space="preserve">Australian Government, </w:t>
      </w:r>
      <w:r w:rsidRPr="00CC776F">
        <w:rPr>
          <w:rFonts w:eastAsia="Calibri"/>
          <w:i/>
        </w:rPr>
        <w:t>Making Performance Count: enhancing the accountability and effectiveness of Australian aid</w:t>
      </w:r>
      <w:r>
        <w:rPr>
          <w:rFonts w:eastAsia="Calibri"/>
        </w:rPr>
        <w:t>, DFAT Canberra 2014(b).</w:t>
      </w:r>
    </w:p>
    <w:p w:rsidR="009F7318" w:rsidRPr="00655137" w:rsidRDefault="009F7318" w:rsidP="009F7318">
      <w:pPr>
        <w:rPr>
          <w:rFonts w:eastAsia="Calibri"/>
        </w:rPr>
      </w:pPr>
      <w:r w:rsidRPr="00655137">
        <w:rPr>
          <w:rFonts w:eastAsia="Calibri"/>
        </w:rPr>
        <w:t xml:space="preserve">A Brown, M Foster, A Norton &amp; F </w:t>
      </w:r>
      <w:proofErr w:type="spellStart"/>
      <w:r w:rsidRPr="00655137">
        <w:rPr>
          <w:rFonts w:eastAsia="Calibri"/>
        </w:rPr>
        <w:t>Naschold</w:t>
      </w:r>
      <w:proofErr w:type="spellEnd"/>
      <w:r w:rsidRPr="00655137">
        <w:rPr>
          <w:rFonts w:eastAsia="Calibri"/>
        </w:rPr>
        <w:t xml:space="preserve">, </w:t>
      </w:r>
      <w:r w:rsidRPr="00655137">
        <w:rPr>
          <w:rFonts w:eastAsia="Calibri"/>
          <w:i/>
        </w:rPr>
        <w:t>The status of sector wide approaches</w:t>
      </w:r>
      <w:r w:rsidRPr="00655137">
        <w:rPr>
          <w:rFonts w:eastAsia="Calibri"/>
        </w:rPr>
        <w:t>, Overseas Development Institute, London, 2001.</w:t>
      </w:r>
    </w:p>
    <w:p w:rsidR="009F7318" w:rsidRPr="00655137" w:rsidRDefault="009F7318" w:rsidP="009F7318">
      <w:pPr>
        <w:rPr>
          <w:rFonts w:eastAsia="Calibri"/>
        </w:rPr>
      </w:pPr>
      <w:r w:rsidRPr="00655137">
        <w:rPr>
          <w:rFonts w:eastAsia="Calibri"/>
        </w:rPr>
        <w:t xml:space="preserve">A </w:t>
      </w:r>
      <w:proofErr w:type="spellStart"/>
      <w:r w:rsidRPr="00655137">
        <w:rPr>
          <w:rFonts w:eastAsia="Calibri"/>
        </w:rPr>
        <w:t>Cassels</w:t>
      </w:r>
      <w:proofErr w:type="spellEnd"/>
      <w:r w:rsidRPr="00655137">
        <w:rPr>
          <w:rFonts w:eastAsia="Calibri"/>
        </w:rPr>
        <w:t xml:space="preserve">, </w:t>
      </w:r>
      <w:r w:rsidRPr="00CC776F">
        <w:rPr>
          <w:rFonts w:eastAsia="Calibri"/>
          <w:i/>
        </w:rPr>
        <w:t>Aid instruments and health systems development: an analysis of current practice</w:t>
      </w:r>
      <w:r w:rsidRPr="00655137">
        <w:rPr>
          <w:rFonts w:eastAsia="Calibri"/>
        </w:rPr>
        <w:t xml:space="preserve">, World Health Organization, Geneva, 1995. </w:t>
      </w:r>
    </w:p>
    <w:p w:rsidR="009F7318" w:rsidRPr="00655137" w:rsidRDefault="009F7318" w:rsidP="009F7318">
      <w:pPr>
        <w:rPr>
          <w:rFonts w:eastAsia="Calibri"/>
        </w:rPr>
      </w:pPr>
      <w:r w:rsidRPr="00655137">
        <w:rPr>
          <w:rFonts w:eastAsia="Calibri"/>
        </w:rPr>
        <w:t xml:space="preserve">Department for International Development, </w:t>
      </w:r>
      <w:r w:rsidRPr="00655137">
        <w:rPr>
          <w:rFonts w:eastAsia="Calibri"/>
          <w:i/>
        </w:rPr>
        <w:t>How to note: assessing the strength of evidence</w:t>
      </w:r>
      <w:r w:rsidRPr="00655137">
        <w:rPr>
          <w:rFonts w:eastAsia="Calibri"/>
        </w:rPr>
        <w:t>, DFID, London, 2014.</w:t>
      </w:r>
    </w:p>
    <w:p w:rsidR="009F7318" w:rsidRPr="00655137" w:rsidRDefault="009F7318" w:rsidP="009F7318">
      <w:pPr>
        <w:rPr>
          <w:rFonts w:eastAsia="Calibri"/>
        </w:rPr>
      </w:pPr>
      <w:r w:rsidRPr="00655137">
        <w:rPr>
          <w:rFonts w:eastAsia="Calibri"/>
        </w:rPr>
        <w:t xml:space="preserve">C Dickinson, </w:t>
      </w:r>
      <w:r w:rsidRPr="00CC776F">
        <w:rPr>
          <w:rFonts w:eastAsia="Calibri"/>
          <w:i/>
        </w:rPr>
        <w:t>Is aid effectiveness giving us better health results?</w:t>
      </w:r>
      <w:r w:rsidRPr="00655137">
        <w:rPr>
          <w:rFonts w:eastAsia="Calibri"/>
        </w:rPr>
        <w:t xml:space="preserve"> HLSP Institute, London, 2011.</w:t>
      </w:r>
    </w:p>
    <w:p w:rsidR="009F7318" w:rsidRPr="00655137" w:rsidRDefault="009F7318" w:rsidP="009F7318">
      <w:pPr>
        <w:rPr>
          <w:rFonts w:eastAsia="Calibri"/>
        </w:rPr>
      </w:pPr>
      <w:r w:rsidRPr="00655137">
        <w:rPr>
          <w:rFonts w:eastAsia="Calibri"/>
        </w:rPr>
        <w:t xml:space="preserve">R Dodd, C Dickinson et al., </w:t>
      </w:r>
      <w:r w:rsidRPr="00CC776F">
        <w:rPr>
          <w:rFonts w:eastAsia="Calibri"/>
          <w:i/>
        </w:rPr>
        <w:t>Aid effectiveness: a relevant agenda for the Asia Pacific region?</w:t>
      </w:r>
      <w:r w:rsidRPr="00655137">
        <w:rPr>
          <w:rFonts w:eastAsia="Calibri"/>
        </w:rPr>
        <w:t xml:space="preserve"> HLSP Institute, London, 2013.</w:t>
      </w:r>
    </w:p>
    <w:p w:rsidR="009F7318" w:rsidRPr="00655137" w:rsidRDefault="009F7318" w:rsidP="009F7318">
      <w:pPr>
        <w:rPr>
          <w:rFonts w:eastAsia="Calibri"/>
        </w:rPr>
      </w:pPr>
      <w:r w:rsidRPr="00655137">
        <w:rPr>
          <w:rFonts w:eastAsia="Calibri"/>
        </w:rPr>
        <w:t xml:space="preserve">M Foster, A Brown &amp; T Conway, </w:t>
      </w:r>
      <w:r w:rsidRPr="00655137">
        <w:rPr>
          <w:rFonts w:eastAsia="Calibri"/>
          <w:i/>
        </w:rPr>
        <w:t>Sector-wide approaches for health development: a review of experience</w:t>
      </w:r>
      <w:r w:rsidRPr="00655137">
        <w:rPr>
          <w:rFonts w:eastAsia="Calibri"/>
        </w:rPr>
        <w:t>. World Health Organization, Geneva, 2001.</w:t>
      </w:r>
    </w:p>
    <w:p w:rsidR="009F7318" w:rsidRPr="00655137" w:rsidRDefault="009F7318" w:rsidP="009F7318">
      <w:pPr>
        <w:rPr>
          <w:rFonts w:eastAsia="Calibri"/>
        </w:rPr>
      </w:pPr>
      <w:r w:rsidRPr="00655137">
        <w:rPr>
          <w:rFonts w:eastAsia="Calibri"/>
        </w:rPr>
        <w:t xml:space="preserve">J Martinez, </w:t>
      </w:r>
      <w:r w:rsidRPr="00CC776F">
        <w:rPr>
          <w:rFonts w:eastAsia="Calibri"/>
          <w:i/>
        </w:rPr>
        <w:t xml:space="preserve">Sector wide approaches at critical times: the case of Bangladesh. </w:t>
      </w:r>
      <w:r w:rsidRPr="00655137">
        <w:rPr>
          <w:rFonts w:eastAsia="Calibri"/>
        </w:rPr>
        <w:t>HLSP Institute, London, 2008.</w:t>
      </w:r>
    </w:p>
    <w:p w:rsidR="009F7318" w:rsidRPr="00655137" w:rsidRDefault="009F7318" w:rsidP="009F7318">
      <w:pPr>
        <w:rPr>
          <w:rFonts w:eastAsia="Calibri"/>
        </w:rPr>
      </w:pPr>
      <w:r w:rsidRPr="00655137">
        <w:rPr>
          <w:rFonts w:eastAsia="Calibri"/>
        </w:rPr>
        <w:t xml:space="preserve">J Martinez, R Dodd &amp; V </w:t>
      </w:r>
      <w:proofErr w:type="spellStart"/>
      <w:r w:rsidRPr="00655137">
        <w:rPr>
          <w:rFonts w:eastAsia="Calibri"/>
        </w:rPr>
        <w:t>Walford</w:t>
      </w:r>
      <w:proofErr w:type="spellEnd"/>
      <w:r w:rsidRPr="00655137">
        <w:rPr>
          <w:rFonts w:eastAsia="Calibri"/>
        </w:rPr>
        <w:t xml:space="preserve">, </w:t>
      </w:r>
      <w:r w:rsidRPr="00CC776F">
        <w:rPr>
          <w:rFonts w:eastAsia="Calibri"/>
          <w:i/>
        </w:rPr>
        <w:t xml:space="preserve">Do health sector reviews deliver better results? </w:t>
      </w:r>
      <w:proofErr w:type="gramStart"/>
      <w:r w:rsidRPr="00CC776F">
        <w:rPr>
          <w:rFonts w:eastAsia="Calibri"/>
          <w:i/>
        </w:rPr>
        <w:t>Lessons from two Asian countries,</w:t>
      </w:r>
      <w:r w:rsidRPr="00655137">
        <w:rPr>
          <w:rFonts w:eastAsia="Calibri"/>
        </w:rPr>
        <w:t xml:space="preserve"> HLSP Institute, London, 2013.</w:t>
      </w:r>
      <w:proofErr w:type="gramEnd"/>
    </w:p>
    <w:p w:rsidR="009F7318" w:rsidRPr="00655137" w:rsidRDefault="009F7318" w:rsidP="009F7318">
      <w:pPr>
        <w:rPr>
          <w:rFonts w:eastAsia="Calibri"/>
        </w:rPr>
      </w:pPr>
      <w:r w:rsidRPr="00655137">
        <w:rPr>
          <w:rFonts w:eastAsia="Calibri"/>
        </w:rPr>
        <w:t xml:space="preserve">A </w:t>
      </w:r>
      <w:proofErr w:type="spellStart"/>
      <w:r w:rsidRPr="00655137">
        <w:rPr>
          <w:rFonts w:eastAsia="Calibri"/>
        </w:rPr>
        <w:t>McNee</w:t>
      </w:r>
      <w:proofErr w:type="spellEnd"/>
      <w:r w:rsidRPr="00655137">
        <w:rPr>
          <w:rFonts w:eastAsia="Calibri"/>
        </w:rPr>
        <w:t xml:space="preserve">, </w:t>
      </w:r>
      <w:r w:rsidRPr="00CC776F">
        <w:rPr>
          <w:rFonts w:eastAsia="Calibri"/>
          <w:i/>
        </w:rPr>
        <w:t>Rethinking health sector wide approaches through the lens of aid effectiveness.</w:t>
      </w:r>
      <w:r w:rsidRPr="00655137">
        <w:rPr>
          <w:rFonts w:eastAsia="Calibri"/>
        </w:rPr>
        <w:t xml:space="preserve"> </w:t>
      </w:r>
      <w:proofErr w:type="gramStart"/>
      <w:r w:rsidRPr="00655137">
        <w:rPr>
          <w:rFonts w:eastAsia="Calibri"/>
        </w:rPr>
        <w:t>Australian National University, Canberra, 2012.</w:t>
      </w:r>
      <w:proofErr w:type="gramEnd"/>
    </w:p>
    <w:p w:rsidR="009F7318" w:rsidRPr="00655137" w:rsidRDefault="009F7318" w:rsidP="009F7318">
      <w:pPr>
        <w:rPr>
          <w:rFonts w:eastAsia="Calibri"/>
        </w:rPr>
      </w:pPr>
      <w:r w:rsidRPr="00655137">
        <w:rPr>
          <w:rFonts w:eastAsia="Calibri"/>
        </w:rPr>
        <w:t xml:space="preserve">J </w:t>
      </w:r>
      <w:proofErr w:type="spellStart"/>
      <w:r w:rsidRPr="00655137">
        <w:rPr>
          <w:rFonts w:eastAsia="Calibri"/>
        </w:rPr>
        <w:t>Negin</w:t>
      </w:r>
      <w:proofErr w:type="spellEnd"/>
      <w:r w:rsidRPr="00655137">
        <w:rPr>
          <w:rFonts w:eastAsia="Calibri"/>
        </w:rPr>
        <w:t xml:space="preserve">, </w:t>
      </w:r>
      <w:r w:rsidRPr="00655137">
        <w:rPr>
          <w:rFonts w:eastAsia="Calibri"/>
          <w:i/>
        </w:rPr>
        <w:t>Sector-wide approaches for health: lessons from Samoa and the Solomon Islands,</w:t>
      </w:r>
      <w:r w:rsidRPr="00655137">
        <w:rPr>
          <w:rFonts w:eastAsia="Calibri"/>
        </w:rPr>
        <w:t xml:space="preserve"> </w:t>
      </w:r>
      <w:proofErr w:type="spellStart"/>
      <w:r w:rsidRPr="00655137">
        <w:rPr>
          <w:rFonts w:eastAsia="Calibri"/>
        </w:rPr>
        <w:t>Nossal</w:t>
      </w:r>
      <w:proofErr w:type="spellEnd"/>
      <w:r w:rsidRPr="00655137">
        <w:rPr>
          <w:rFonts w:eastAsia="Calibri"/>
        </w:rPr>
        <w:t xml:space="preserve"> Institute, Health Policy and Health Finance Knowledge Hub, Melbourne, 2010.</w:t>
      </w:r>
    </w:p>
    <w:p w:rsidR="009F7318" w:rsidRPr="00655137" w:rsidRDefault="009F7318" w:rsidP="009F7318">
      <w:pPr>
        <w:rPr>
          <w:rFonts w:eastAsia="Calibri"/>
        </w:rPr>
      </w:pPr>
      <w:r w:rsidRPr="00655137">
        <w:rPr>
          <w:rFonts w:eastAsia="Calibri"/>
        </w:rPr>
        <w:t xml:space="preserve">Office of Development Effectiveness, </w:t>
      </w:r>
      <w:r w:rsidRPr="00CC776F">
        <w:rPr>
          <w:rFonts w:eastAsia="Calibri"/>
          <w:i/>
        </w:rPr>
        <w:t>Lessons from Australian aid: 2013 report on independent evaluation and quality assurance.</w:t>
      </w:r>
      <w:r w:rsidRPr="00655137">
        <w:rPr>
          <w:rFonts w:eastAsia="Calibri"/>
        </w:rPr>
        <w:t xml:space="preserve"> </w:t>
      </w:r>
      <w:proofErr w:type="gramStart"/>
      <w:r w:rsidRPr="00655137">
        <w:rPr>
          <w:rFonts w:eastAsia="Calibri"/>
        </w:rPr>
        <w:t>ODE, Canberra, 2014.</w:t>
      </w:r>
      <w:proofErr w:type="gramEnd"/>
    </w:p>
    <w:p w:rsidR="009F7318" w:rsidRDefault="009F7318" w:rsidP="009F7318">
      <w:pPr>
        <w:rPr>
          <w:rFonts w:eastAsia="Calibri"/>
        </w:rPr>
      </w:pPr>
      <w:r w:rsidRPr="00655137">
        <w:rPr>
          <w:rFonts w:eastAsia="Calibri"/>
        </w:rPr>
        <w:lastRenderedPageBreak/>
        <w:t xml:space="preserve">Organisation for Economic Co-operation and Development, </w:t>
      </w:r>
      <w:r w:rsidRPr="00CC776F">
        <w:rPr>
          <w:rFonts w:eastAsia="Calibri"/>
          <w:i/>
        </w:rPr>
        <w:t xml:space="preserve">Progress and challenges in aid effectiveness: what can we learn from the health sector? </w:t>
      </w:r>
      <w:r w:rsidRPr="00655137">
        <w:rPr>
          <w:rFonts w:eastAsia="Calibri"/>
        </w:rPr>
        <w:t>OECD, Paris, 2011.</w:t>
      </w:r>
    </w:p>
    <w:p w:rsidR="00F25C94" w:rsidRPr="00655137" w:rsidRDefault="00F25C94" w:rsidP="009F7318">
      <w:pPr>
        <w:rPr>
          <w:rFonts w:eastAsia="Calibri"/>
        </w:rPr>
      </w:pPr>
      <w:r w:rsidRPr="00F25C94">
        <w:rPr>
          <w:rFonts w:eastAsia="Calibri"/>
          <w:i/>
          <w:lang w:val="en-US"/>
        </w:rPr>
        <w:t xml:space="preserve">Paris declaration on aid effectiveness: ownership, </w:t>
      </w:r>
      <w:proofErr w:type="spellStart"/>
      <w:r w:rsidRPr="00F25C94">
        <w:rPr>
          <w:rFonts w:eastAsia="Calibri"/>
          <w:i/>
          <w:lang w:val="en-US"/>
        </w:rPr>
        <w:t>harmonisation</w:t>
      </w:r>
      <w:proofErr w:type="spellEnd"/>
      <w:r w:rsidRPr="00F25C94">
        <w:rPr>
          <w:rFonts w:eastAsia="Calibri"/>
          <w:i/>
          <w:lang w:val="en-US"/>
        </w:rPr>
        <w:t>, alignment, results and mutual accountability</w:t>
      </w:r>
      <w:r w:rsidRPr="00F25C94">
        <w:rPr>
          <w:rFonts w:eastAsia="Calibri"/>
          <w:lang w:val="en-US"/>
        </w:rPr>
        <w:t>. 2nd High Level Forum on Aid Effectiveness, Paris, 2005</w:t>
      </w:r>
    </w:p>
    <w:p w:rsidR="009F7318" w:rsidRPr="00655137" w:rsidRDefault="009F7318" w:rsidP="009F7318">
      <w:pPr>
        <w:rPr>
          <w:rFonts w:eastAsia="Calibri"/>
        </w:rPr>
      </w:pPr>
      <w:r w:rsidRPr="00655137">
        <w:rPr>
          <w:rFonts w:eastAsia="Calibri"/>
        </w:rPr>
        <w:t xml:space="preserve">M Pearson, </w:t>
      </w:r>
      <w:r w:rsidRPr="00CC776F">
        <w:rPr>
          <w:rFonts w:eastAsia="Calibri"/>
          <w:i/>
        </w:rPr>
        <w:t>A review of aid instruments and approaches used in the health sector in South Asia</w:t>
      </w:r>
      <w:r w:rsidRPr="00655137">
        <w:rPr>
          <w:rFonts w:eastAsia="Calibri"/>
        </w:rPr>
        <w:t xml:space="preserve">, DFID Health Resource Centre, London, 2007. </w:t>
      </w:r>
    </w:p>
    <w:p w:rsidR="009F7318" w:rsidRPr="00655137" w:rsidRDefault="009F7318" w:rsidP="009F7318">
      <w:pPr>
        <w:rPr>
          <w:rFonts w:eastAsia="Calibri"/>
        </w:rPr>
      </w:pPr>
      <w:r w:rsidRPr="00655137">
        <w:rPr>
          <w:rFonts w:eastAsia="Calibri"/>
        </w:rPr>
        <w:t xml:space="preserve">M Pearson, </w:t>
      </w:r>
      <w:r w:rsidRPr="00655137">
        <w:rPr>
          <w:rFonts w:eastAsia="Calibri"/>
          <w:i/>
        </w:rPr>
        <w:t>Impact evaluation of the sector wide approach (</w:t>
      </w:r>
      <w:proofErr w:type="spellStart"/>
      <w:r w:rsidRPr="00655137">
        <w:rPr>
          <w:rFonts w:eastAsia="Calibri"/>
          <w:i/>
        </w:rPr>
        <w:t>SWAp</w:t>
      </w:r>
      <w:proofErr w:type="spellEnd"/>
      <w:r w:rsidRPr="00655137">
        <w:rPr>
          <w:rFonts w:eastAsia="Calibri"/>
          <w:i/>
        </w:rPr>
        <w:t>), Malawi</w:t>
      </w:r>
      <w:r w:rsidRPr="00655137">
        <w:rPr>
          <w:rFonts w:eastAsia="Calibri"/>
        </w:rPr>
        <w:t xml:space="preserve">. </w:t>
      </w:r>
      <w:proofErr w:type="gramStart"/>
      <w:r w:rsidRPr="00655137">
        <w:rPr>
          <w:rFonts w:eastAsia="Calibri"/>
        </w:rPr>
        <w:t>DFID Human Development Resource Centre, London, 2010 (a).</w:t>
      </w:r>
      <w:proofErr w:type="gramEnd"/>
    </w:p>
    <w:p w:rsidR="009F7318" w:rsidRPr="00655137" w:rsidRDefault="009F7318" w:rsidP="009F7318">
      <w:pPr>
        <w:rPr>
          <w:rFonts w:eastAsia="Calibri"/>
        </w:rPr>
      </w:pPr>
      <w:r w:rsidRPr="00655137">
        <w:rPr>
          <w:rFonts w:eastAsia="Calibri"/>
        </w:rPr>
        <w:t xml:space="preserve">M Pearson, </w:t>
      </w:r>
      <w:r w:rsidRPr="00CC776F">
        <w:rPr>
          <w:rFonts w:eastAsia="Calibri"/>
          <w:i/>
        </w:rPr>
        <w:t>Improving the results focus in health sector wide programming</w:t>
      </w:r>
      <w:r w:rsidRPr="00655137">
        <w:rPr>
          <w:rFonts w:eastAsia="Calibri"/>
        </w:rPr>
        <w:t>, HLSP, London, 2010 (b).</w:t>
      </w:r>
    </w:p>
    <w:p w:rsidR="009F7318" w:rsidRDefault="009F7318" w:rsidP="009F7318">
      <w:pPr>
        <w:rPr>
          <w:rFonts w:eastAsia="Calibri"/>
        </w:rPr>
      </w:pPr>
      <w:r w:rsidRPr="00655137">
        <w:rPr>
          <w:rFonts w:eastAsia="Calibri"/>
        </w:rPr>
        <w:t xml:space="preserve">D Peters, L </w:t>
      </w:r>
      <w:proofErr w:type="spellStart"/>
      <w:r w:rsidRPr="00655137">
        <w:rPr>
          <w:rFonts w:eastAsia="Calibri"/>
        </w:rPr>
        <w:t>Paina</w:t>
      </w:r>
      <w:proofErr w:type="spellEnd"/>
      <w:r w:rsidRPr="00655137">
        <w:rPr>
          <w:rFonts w:eastAsia="Calibri"/>
        </w:rPr>
        <w:t xml:space="preserve"> L &amp; F </w:t>
      </w:r>
      <w:proofErr w:type="spellStart"/>
      <w:r w:rsidRPr="00655137">
        <w:rPr>
          <w:rFonts w:eastAsia="Calibri"/>
        </w:rPr>
        <w:t>Schleimann</w:t>
      </w:r>
      <w:proofErr w:type="spellEnd"/>
      <w:r w:rsidRPr="00655137">
        <w:rPr>
          <w:rFonts w:eastAsia="Calibri"/>
        </w:rPr>
        <w:t>, Sector wide approaches (</w:t>
      </w:r>
      <w:proofErr w:type="spellStart"/>
      <w:r w:rsidRPr="00655137">
        <w:rPr>
          <w:rFonts w:eastAsia="Calibri"/>
        </w:rPr>
        <w:t>SWAps</w:t>
      </w:r>
      <w:proofErr w:type="spellEnd"/>
      <w:r w:rsidRPr="00655137">
        <w:rPr>
          <w:rFonts w:eastAsia="Calibri"/>
        </w:rPr>
        <w:t>) in health: what have we learned?</w:t>
      </w:r>
      <w:r w:rsidRPr="00655137">
        <w:rPr>
          <w:rFonts w:eastAsia="Calibri"/>
          <w:i/>
        </w:rPr>
        <w:t xml:space="preserve"> Health Policy and Planning</w:t>
      </w:r>
      <w:r w:rsidRPr="00655137">
        <w:rPr>
          <w:rFonts w:eastAsia="Calibri"/>
        </w:rPr>
        <w:t xml:space="preserve"> 28(8):884-90, 2013</w:t>
      </w:r>
      <w:r w:rsidR="005253B8">
        <w:rPr>
          <w:rFonts w:eastAsia="Calibri"/>
        </w:rPr>
        <w:t>.</w:t>
      </w:r>
      <w:r w:rsidRPr="00655137">
        <w:rPr>
          <w:rFonts w:eastAsia="Calibri"/>
        </w:rPr>
        <w:t xml:space="preserve">  </w:t>
      </w:r>
    </w:p>
    <w:p w:rsidR="009F7318" w:rsidRPr="00655137" w:rsidRDefault="009F7318" w:rsidP="009F7318">
      <w:pPr>
        <w:rPr>
          <w:rFonts w:eastAsia="Calibri"/>
        </w:rPr>
      </w:pPr>
      <w:r w:rsidRPr="00655137">
        <w:rPr>
          <w:rFonts w:eastAsia="Calibri"/>
        </w:rPr>
        <w:t xml:space="preserve">L Spencer, J Ritchie, J Lewis &amp; L Dillon L, </w:t>
      </w:r>
      <w:r w:rsidRPr="00CC776F">
        <w:rPr>
          <w:rFonts w:eastAsia="Calibri"/>
          <w:i/>
        </w:rPr>
        <w:t>Quality in qualitative evaluation: a framework for assessing research evidence</w:t>
      </w:r>
      <w:r w:rsidRPr="00655137">
        <w:rPr>
          <w:rFonts w:eastAsia="Calibri"/>
        </w:rPr>
        <w:t>. Cabinet Office, London, 2003.</w:t>
      </w:r>
    </w:p>
    <w:p w:rsidR="009F7318" w:rsidRPr="00655137" w:rsidRDefault="009F7318" w:rsidP="009F7318">
      <w:pPr>
        <w:rPr>
          <w:rFonts w:eastAsia="Calibri"/>
        </w:rPr>
      </w:pPr>
      <w:r w:rsidRPr="00655137">
        <w:rPr>
          <w:rFonts w:eastAsia="Calibri"/>
        </w:rPr>
        <w:t xml:space="preserve">E Taylor, R Hayman, F Crawford, P Jeffery &amp; J Smith, The impact of official development aid on maternal and reproductive health outcomes: a systematic review, </w:t>
      </w:r>
      <w:r w:rsidRPr="00655137">
        <w:rPr>
          <w:rFonts w:eastAsia="Calibri"/>
          <w:i/>
        </w:rPr>
        <w:t>PLOS One</w:t>
      </w:r>
      <w:r w:rsidRPr="00655137">
        <w:rPr>
          <w:rFonts w:eastAsia="Calibri"/>
        </w:rPr>
        <w:t xml:space="preserve"> 8 (2) (2013)</w:t>
      </w:r>
      <w:r w:rsidR="005253B8">
        <w:rPr>
          <w:rFonts w:eastAsia="Calibri"/>
        </w:rPr>
        <w:t>.</w:t>
      </w:r>
    </w:p>
    <w:p w:rsidR="009F7318" w:rsidRPr="00655137" w:rsidRDefault="009F7318" w:rsidP="009F7318">
      <w:pPr>
        <w:rPr>
          <w:rFonts w:eastAsia="Calibri"/>
        </w:rPr>
      </w:pPr>
      <w:r w:rsidRPr="00655137">
        <w:rPr>
          <w:rFonts w:eastAsia="Calibri"/>
        </w:rPr>
        <w:t xml:space="preserve">D </w:t>
      </w:r>
      <w:proofErr w:type="spellStart"/>
      <w:r w:rsidRPr="00655137">
        <w:rPr>
          <w:rFonts w:eastAsia="Calibri"/>
        </w:rPr>
        <w:t>Vaillancourt</w:t>
      </w:r>
      <w:proofErr w:type="spellEnd"/>
      <w:r w:rsidRPr="00655137">
        <w:rPr>
          <w:rFonts w:eastAsia="Calibri"/>
        </w:rPr>
        <w:t xml:space="preserve">, Do health sector wide approaches achieve results? </w:t>
      </w:r>
      <w:proofErr w:type="gramStart"/>
      <w:r w:rsidRPr="00CC776F">
        <w:rPr>
          <w:rFonts w:eastAsia="Calibri"/>
          <w:i/>
        </w:rPr>
        <w:t>Emerging evidence and lessons from six countries,</w:t>
      </w:r>
      <w:r w:rsidRPr="00655137">
        <w:rPr>
          <w:rFonts w:eastAsia="Calibri"/>
        </w:rPr>
        <w:t xml:space="preserve"> Independent Evaluation Group, World Bank, Washington DC, 2009.</w:t>
      </w:r>
      <w:proofErr w:type="gramEnd"/>
    </w:p>
    <w:p w:rsidR="009F7318" w:rsidRPr="00655137" w:rsidRDefault="009F7318" w:rsidP="009F7318">
      <w:pPr>
        <w:rPr>
          <w:rFonts w:eastAsia="Calibri"/>
        </w:rPr>
      </w:pPr>
      <w:r w:rsidRPr="00655137">
        <w:rPr>
          <w:rFonts w:eastAsia="Calibri"/>
        </w:rPr>
        <w:t xml:space="preserve">D </w:t>
      </w:r>
      <w:proofErr w:type="spellStart"/>
      <w:r w:rsidRPr="00655137">
        <w:rPr>
          <w:rFonts w:eastAsia="Calibri"/>
        </w:rPr>
        <w:t>Vaillancourt</w:t>
      </w:r>
      <w:proofErr w:type="spellEnd"/>
      <w:r w:rsidRPr="00655137">
        <w:rPr>
          <w:rFonts w:eastAsia="Calibri"/>
        </w:rPr>
        <w:t xml:space="preserve">, </w:t>
      </w:r>
      <w:proofErr w:type="gramStart"/>
      <w:r w:rsidRPr="00CC776F">
        <w:rPr>
          <w:rFonts w:eastAsia="Calibri"/>
          <w:i/>
        </w:rPr>
        <w:t>In</w:t>
      </w:r>
      <w:proofErr w:type="gramEnd"/>
      <w:r w:rsidRPr="00CC776F">
        <w:rPr>
          <w:rFonts w:eastAsia="Calibri"/>
          <w:i/>
        </w:rPr>
        <w:t xml:space="preserve"> sweet harmony? A review of health and education </w:t>
      </w:r>
      <w:proofErr w:type="spellStart"/>
      <w:r w:rsidRPr="00CC776F">
        <w:rPr>
          <w:rFonts w:eastAsia="Calibri"/>
          <w:i/>
        </w:rPr>
        <w:t>sectorwide</w:t>
      </w:r>
      <w:proofErr w:type="spellEnd"/>
      <w:r w:rsidRPr="00CC776F">
        <w:rPr>
          <w:rFonts w:eastAsia="Calibri"/>
          <w:i/>
        </w:rPr>
        <w:t xml:space="preserve"> approaches in the South Pacific</w:t>
      </w:r>
      <w:r w:rsidRPr="00655137">
        <w:rPr>
          <w:rFonts w:eastAsia="Calibri"/>
        </w:rPr>
        <w:t xml:space="preserve">, World Bank, Washington DC, 2012. </w:t>
      </w:r>
    </w:p>
    <w:p w:rsidR="009F7318" w:rsidRPr="00655137" w:rsidRDefault="009F7318" w:rsidP="009F7318">
      <w:pPr>
        <w:rPr>
          <w:rFonts w:eastAsia="Calibri"/>
        </w:rPr>
      </w:pPr>
      <w:r w:rsidRPr="00655137">
        <w:rPr>
          <w:rFonts w:eastAsia="Calibri"/>
        </w:rPr>
        <w:t xml:space="preserve">V </w:t>
      </w:r>
      <w:proofErr w:type="spellStart"/>
      <w:r w:rsidRPr="00655137">
        <w:rPr>
          <w:rFonts w:eastAsia="Calibri"/>
        </w:rPr>
        <w:t>Walford</w:t>
      </w:r>
      <w:proofErr w:type="spellEnd"/>
      <w:r w:rsidRPr="00655137">
        <w:rPr>
          <w:rFonts w:eastAsia="Calibri"/>
        </w:rPr>
        <w:t xml:space="preserve">, </w:t>
      </w:r>
      <w:r w:rsidRPr="00CC776F">
        <w:rPr>
          <w:rFonts w:eastAsia="Calibri"/>
          <w:i/>
        </w:rPr>
        <w:t>A review of health sector wide approaches in Africa</w:t>
      </w:r>
      <w:r w:rsidRPr="00655137">
        <w:rPr>
          <w:rFonts w:eastAsia="Calibri"/>
        </w:rPr>
        <w:t>. HLSP Institute, London, 2007.</w:t>
      </w:r>
    </w:p>
    <w:p w:rsidR="009F7318" w:rsidRPr="00655137" w:rsidRDefault="009F7318" w:rsidP="009F7318">
      <w:pPr>
        <w:rPr>
          <w:rFonts w:eastAsia="Calibri"/>
          <w:i/>
        </w:rPr>
      </w:pPr>
      <w:r w:rsidRPr="00655137">
        <w:rPr>
          <w:rFonts w:eastAsia="Calibri"/>
        </w:rPr>
        <w:t xml:space="preserve">T Williamson &amp; C Dom, </w:t>
      </w:r>
      <w:r w:rsidRPr="00655137">
        <w:rPr>
          <w:rFonts w:eastAsia="Calibri"/>
          <w:i/>
        </w:rPr>
        <w:t xml:space="preserve">Sector budget support in practice: synthesis report, </w:t>
      </w:r>
      <w:r w:rsidRPr="00655137">
        <w:rPr>
          <w:rFonts w:eastAsia="Calibri"/>
        </w:rPr>
        <w:t>Overseas Development Institute, London, 2010.</w:t>
      </w:r>
    </w:p>
    <w:p w:rsidR="009F7318" w:rsidRPr="007E5AC1" w:rsidRDefault="009F7318" w:rsidP="009F7318">
      <w:pPr>
        <w:pStyle w:val="Heading3"/>
        <w:rPr>
          <w:rFonts w:eastAsia="Calibri"/>
        </w:rPr>
      </w:pPr>
      <w:r w:rsidRPr="007E5AC1">
        <w:rPr>
          <w:rFonts w:eastAsia="Calibri"/>
        </w:rPr>
        <w:t xml:space="preserve">Additional reading on the effectiveness of health sector aid </w:t>
      </w:r>
    </w:p>
    <w:p w:rsidR="009F7318" w:rsidRPr="00655137" w:rsidRDefault="009F7318" w:rsidP="009F7318">
      <w:pPr>
        <w:rPr>
          <w:rFonts w:eastAsia="Calibri"/>
        </w:rPr>
      </w:pPr>
      <w:r w:rsidRPr="00655137">
        <w:rPr>
          <w:rFonts w:eastAsia="Calibri"/>
        </w:rPr>
        <w:t xml:space="preserve">Z Agha, </w:t>
      </w:r>
      <w:r w:rsidRPr="00CC776F">
        <w:rPr>
          <w:rFonts w:eastAsia="Calibri"/>
          <w:i/>
        </w:rPr>
        <w:t>Common funds for sector support: Building blocks or stumbling blocks?</w:t>
      </w:r>
      <w:r w:rsidRPr="00655137">
        <w:rPr>
          <w:rFonts w:eastAsia="Calibri"/>
        </w:rPr>
        <w:t xml:space="preserve"> Overseas Development Institute, London, 2008.</w:t>
      </w:r>
    </w:p>
    <w:p w:rsidR="009F7318" w:rsidRPr="00655137" w:rsidRDefault="00EC055B" w:rsidP="009F7318">
      <w:pPr>
        <w:rPr>
          <w:rFonts w:eastAsia="Calibri"/>
        </w:rPr>
      </w:pPr>
      <w:proofErr w:type="gramStart"/>
      <w:r>
        <w:rPr>
          <w:rFonts w:eastAsia="Calibri"/>
        </w:rPr>
        <w:t xml:space="preserve">N </w:t>
      </w:r>
      <w:proofErr w:type="spellStart"/>
      <w:r>
        <w:rPr>
          <w:rFonts w:eastAsia="Calibri"/>
        </w:rPr>
        <w:t>Ataya</w:t>
      </w:r>
      <w:proofErr w:type="spellEnd"/>
      <w:r>
        <w:rPr>
          <w:rFonts w:eastAsia="Calibri"/>
        </w:rPr>
        <w:t xml:space="preserve"> et al</w:t>
      </w:r>
      <w:r w:rsidR="009F7318" w:rsidRPr="00655137">
        <w:rPr>
          <w:rFonts w:eastAsia="Calibri"/>
        </w:rPr>
        <w:t>, Improving the assessment and attribution of effects of development assistance for health</w:t>
      </w:r>
      <w:r w:rsidR="009F7318" w:rsidRPr="00655137">
        <w:rPr>
          <w:rFonts w:eastAsia="Calibri"/>
          <w:i/>
        </w:rPr>
        <w:t>, Lancet</w:t>
      </w:r>
      <w:r w:rsidR="009F7318" w:rsidRPr="00655137">
        <w:rPr>
          <w:rFonts w:eastAsia="Calibri"/>
        </w:rPr>
        <w:t xml:space="preserve"> 2014 Jun 25 [</w:t>
      </w:r>
      <w:proofErr w:type="spellStart"/>
      <w:r w:rsidR="009F7318" w:rsidRPr="00655137">
        <w:rPr>
          <w:rFonts w:eastAsia="Calibri"/>
        </w:rPr>
        <w:t>Epub</w:t>
      </w:r>
      <w:proofErr w:type="spellEnd"/>
      <w:r w:rsidR="009F7318" w:rsidRPr="00655137">
        <w:rPr>
          <w:rFonts w:eastAsia="Calibri"/>
        </w:rPr>
        <w:t xml:space="preserve"> ahead of print].</w:t>
      </w:r>
      <w:proofErr w:type="gramEnd"/>
    </w:p>
    <w:p w:rsidR="009F7318" w:rsidRPr="00655137" w:rsidRDefault="009F7318" w:rsidP="009F7318">
      <w:pPr>
        <w:rPr>
          <w:rFonts w:eastAsia="Calibri"/>
        </w:rPr>
      </w:pPr>
      <w:r w:rsidRPr="00655137">
        <w:rPr>
          <w:rFonts w:eastAsia="Calibri"/>
        </w:rPr>
        <w:t xml:space="preserve">S </w:t>
      </w:r>
      <w:proofErr w:type="spellStart"/>
      <w:r w:rsidRPr="00655137">
        <w:rPr>
          <w:rFonts w:eastAsia="Calibri"/>
        </w:rPr>
        <w:t>Barakat</w:t>
      </w:r>
      <w:proofErr w:type="spellEnd"/>
      <w:r w:rsidRPr="00655137">
        <w:rPr>
          <w:rFonts w:eastAsia="Calibri"/>
        </w:rPr>
        <w:t xml:space="preserve">, K </w:t>
      </w:r>
      <w:proofErr w:type="spellStart"/>
      <w:r w:rsidRPr="00655137">
        <w:rPr>
          <w:rFonts w:eastAsia="Calibri"/>
        </w:rPr>
        <w:t>Rzeszut</w:t>
      </w:r>
      <w:proofErr w:type="spellEnd"/>
      <w:r w:rsidRPr="00655137">
        <w:rPr>
          <w:rFonts w:eastAsia="Calibri"/>
        </w:rPr>
        <w:t xml:space="preserve"> &amp; N Martin, </w:t>
      </w:r>
      <w:r w:rsidRPr="00655137">
        <w:rPr>
          <w:rFonts w:eastAsia="Calibri"/>
          <w:i/>
        </w:rPr>
        <w:t>What is the track record of multi-donor trust funds in improving aid effectiveness?</w:t>
      </w:r>
      <w:r w:rsidRPr="00655137">
        <w:rPr>
          <w:rFonts w:eastAsia="Calibri"/>
        </w:rPr>
        <w:t xml:space="preserve"> </w:t>
      </w:r>
      <w:proofErr w:type="gramStart"/>
      <w:r w:rsidRPr="00655137">
        <w:rPr>
          <w:rFonts w:eastAsia="Calibri"/>
        </w:rPr>
        <w:t>EPPI-Centre, Social Science Research Unit, Institute of Education, London, 2012.</w:t>
      </w:r>
      <w:proofErr w:type="gramEnd"/>
    </w:p>
    <w:p w:rsidR="009F7318" w:rsidRPr="00655137" w:rsidRDefault="009F7318" w:rsidP="009F7318">
      <w:pPr>
        <w:rPr>
          <w:rFonts w:eastAsia="Calibri"/>
        </w:rPr>
      </w:pPr>
      <w:r w:rsidRPr="00655137">
        <w:rPr>
          <w:rFonts w:eastAsia="Calibri"/>
        </w:rPr>
        <w:t xml:space="preserve">J Hughes, A Glassman &amp; W </w:t>
      </w:r>
      <w:proofErr w:type="spellStart"/>
      <w:r w:rsidRPr="00655137">
        <w:rPr>
          <w:rFonts w:eastAsia="Calibri"/>
        </w:rPr>
        <w:t>Gwenigale</w:t>
      </w:r>
      <w:proofErr w:type="spellEnd"/>
      <w:r w:rsidRPr="00655137">
        <w:rPr>
          <w:rFonts w:eastAsia="Calibri"/>
        </w:rPr>
        <w:t xml:space="preserve">, </w:t>
      </w:r>
      <w:r w:rsidRPr="00655137">
        <w:rPr>
          <w:rFonts w:eastAsia="Calibri"/>
          <w:i/>
        </w:rPr>
        <w:t>Innovative financing in early recovery: the Liberia health sector pool fund,</w:t>
      </w:r>
      <w:r w:rsidRPr="00655137">
        <w:rPr>
          <w:rFonts w:eastAsia="Calibri"/>
        </w:rPr>
        <w:t xml:space="preserve"> </w:t>
      </w:r>
      <w:proofErr w:type="spellStart"/>
      <w:r w:rsidRPr="00655137">
        <w:rPr>
          <w:rFonts w:eastAsia="Calibri"/>
        </w:rPr>
        <w:t>Center</w:t>
      </w:r>
      <w:proofErr w:type="spellEnd"/>
      <w:r w:rsidRPr="00655137">
        <w:rPr>
          <w:rFonts w:eastAsia="Calibri"/>
        </w:rPr>
        <w:t xml:space="preserve"> for Global Development, Washington, DC, 2012.</w:t>
      </w:r>
    </w:p>
    <w:p w:rsidR="009F7318" w:rsidRPr="00655137" w:rsidRDefault="009F7318" w:rsidP="009F7318">
      <w:pPr>
        <w:rPr>
          <w:rFonts w:eastAsia="Calibri"/>
        </w:rPr>
      </w:pPr>
      <w:r w:rsidRPr="00655137">
        <w:rPr>
          <w:rFonts w:eastAsia="Calibri"/>
        </w:rPr>
        <w:t xml:space="preserve">B Killen, </w:t>
      </w:r>
      <w:r w:rsidRPr="00655137">
        <w:rPr>
          <w:rFonts w:eastAsia="Calibri"/>
          <w:i/>
        </w:rPr>
        <w:t>How much does aid effectiveness improve development outcomes</w:t>
      </w:r>
      <w:r w:rsidRPr="00655137">
        <w:rPr>
          <w:rFonts w:eastAsia="Calibri"/>
        </w:rPr>
        <w:t xml:space="preserve">? </w:t>
      </w:r>
      <w:proofErr w:type="gramStart"/>
      <w:r w:rsidRPr="00655137">
        <w:rPr>
          <w:rFonts w:eastAsia="Calibri"/>
        </w:rPr>
        <w:t>4</w:t>
      </w:r>
      <w:r w:rsidRPr="00655137">
        <w:rPr>
          <w:rFonts w:eastAsia="Calibri"/>
          <w:vertAlign w:val="superscript"/>
        </w:rPr>
        <w:t>th</w:t>
      </w:r>
      <w:r w:rsidRPr="00655137">
        <w:rPr>
          <w:rFonts w:eastAsia="Calibri"/>
        </w:rPr>
        <w:t xml:space="preserve"> High Level Forum on Aid Effectiveness, Busan, Korea, 2011.</w:t>
      </w:r>
      <w:proofErr w:type="gramEnd"/>
    </w:p>
    <w:p w:rsidR="009F7318" w:rsidRPr="00655137" w:rsidRDefault="009F7318" w:rsidP="009F7318">
      <w:pPr>
        <w:rPr>
          <w:rFonts w:eastAsia="Calibri"/>
        </w:rPr>
      </w:pPr>
      <w:r w:rsidRPr="00655137">
        <w:rPr>
          <w:rFonts w:eastAsia="Calibri"/>
        </w:rPr>
        <w:t xml:space="preserve">D Lewis, C Dickinson &amp; V </w:t>
      </w:r>
      <w:proofErr w:type="spellStart"/>
      <w:r w:rsidRPr="00655137">
        <w:rPr>
          <w:rFonts w:eastAsia="Calibri"/>
        </w:rPr>
        <w:t>Walford</w:t>
      </w:r>
      <w:proofErr w:type="spellEnd"/>
      <w:r w:rsidRPr="00655137">
        <w:rPr>
          <w:rFonts w:eastAsia="Calibri"/>
        </w:rPr>
        <w:t xml:space="preserve">, </w:t>
      </w:r>
      <w:r w:rsidRPr="00CC776F">
        <w:rPr>
          <w:rFonts w:eastAsia="Calibri"/>
          <w:i/>
        </w:rPr>
        <w:t>Is harmonisation and alignment improving the effectiveness of health sector aid?</w:t>
      </w:r>
      <w:r w:rsidRPr="00655137">
        <w:rPr>
          <w:rFonts w:eastAsia="Calibri"/>
        </w:rPr>
        <w:t xml:space="preserve"> HLSP, London, 2010.</w:t>
      </w:r>
    </w:p>
    <w:p w:rsidR="009F7318" w:rsidRPr="00655137" w:rsidRDefault="009F7318" w:rsidP="009F7318">
      <w:pPr>
        <w:rPr>
          <w:rFonts w:eastAsia="Calibri"/>
        </w:rPr>
      </w:pPr>
      <w:proofErr w:type="gramStart"/>
      <w:r w:rsidRPr="00655137">
        <w:rPr>
          <w:rFonts w:eastAsia="Calibri"/>
        </w:rPr>
        <w:t xml:space="preserve">Ministry of Foreign Affairs of Denmark, </w:t>
      </w:r>
      <w:r w:rsidRPr="00655137">
        <w:rPr>
          <w:rFonts w:eastAsia="Calibri"/>
          <w:i/>
        </w:rPr>
        <w:t>Joint external evaluation of the health sector in Tanzania, 1999-2006</w:t>
      </w:r>
      <w:r w:rsidRPr="00655137">
        <w:rPr>
          <w:rFonts w:eastAsia="Calibri"/>
        </w:rPr>
        <w:t>.</w:t>
      </w:r>
      <w:proofErr w:type="gramEnd"/>
      <w:r w:rsidRPr="00655137">
        <w:rPr>
          <w:rFonts w:eastAsia="Calibri"/>
        </w:rPr>
        <w:t xml:space="preserve"> </w:t>
      </w:r>
      <w:proofErr w:type="gramStart"/>
      <w:r w:rsidRPr="00655137">
        <w:rPr>
          <w:rFonts w:eastAsia="Calibri"/>
        </w:rPr>
        <w:t>Ministry of Foreign Affairs of Denmark, Copenhagen, 2007.</w:t>
      </w:r>
      <w:proofErr w:type="gramEnd"/>
    </w:p>
    <w:p w:rsidR="009F7318" w:rsidRPr="00655137" w:rsidRDefault="009F7318" w:rsidP="009F7318">
      <w:pPr>
        <w:rPr>
          <w:rFonts w:eastAsia="Calibri"/>
        </w:rPr>
      </w:pPr>
      <w:r w:rsidRPr="00655137">
        <w:rPr>
          <w:rFonts w:eastAsia="Calibri"/>
        </w:rPr>
        <w:lastRenderedPageBreak/>
        <w:t xml:space="preserve">J </w:t>
      </w:r>
      <w:proofErr w:type="spellStart"/>
      <w:r w:rsidRPr="00655137">
        <w:rPr>
          <w:rFonts w:eastAsia="Calibri"/>
        </w:rPr>
        <w:t>Negin</w:t>
      </w:r>
      <w:proofErr w:type="spellEnd"/>
      <w:r w:rsidRPr="00CC776F">
        <w:rPr>
          <w:rFonts w:eastAsia="Calibri"/>
          <w:i/>
        </w:rPr>
        <w:t xml:space="preserve">, Sector-wide approaches for health: an introduction to </w:t>
      </w:r>
      <w:proofErr w:type="spellStart"/>
      <w:r w:rsidRPr="00CC776F">
        <w:rPr>
          <w:rFonts w:eastAsia="Calibri"/>
          <w:i/>
        </w:rPr>
        <w:t>SWAps</w:t>
      </w:r>
      <w:proofErr w:type="spellEnd"/>
      <w:r w:rsidRPr="00CC776F">
        <w:rPr>
          <w:rFonts w:eastAsia="Calibri"/>
          <w:i/>
        </w:rPr>
        <w:t xml:space="preserve"> and their implementation in the Pacific region</w:t>
      </w:r>
      <w:r w:rsidRPr="00655137">
        <w:rPr>
          <w:rFonts w:eastAsia="Calibri"/>
        </w:rPr>
        <w:t xml:space="preserve">, </w:t>
      </w:r>
      <w:proofErr w:type="spellStart"/>
      <w:r w:rsidRPr="00655137">
        <w:rPr>
          <w:rFonts w:eastAsia="Calibri"/>
        </w:rPr>
        <w:t>Nossal</w:t>
      </w:r>
      <w:proofErr w:type="spellEnd"/>
      <w:r w:rsidRPr="00655137">
        <w:rPr>
          <w:rFonts w:eastAsia="Calibri"/>
        </w:rPr>
        <w:t xml:space="preserve"> Institute, Health Policy and Health Finance Knowledge Hub, Melbourne, 2010.</w:t>
      </w:r>
    </w:p>
    <w:p w:rsidR="009F7318" w:rsidRPr="00655137" w:rsidRDefault="009F7318" w:rsidP="009F7318">
      <w:pPr>
        <w:rPr>
          <w:rFonts w:eastAsia="Calibri"/>
        </w:rPr>
      </w:pPr>
      <w:r w:rsidRPr="00655137">
        <w:rPr>
          <w:rFonts w:eastAsia="Calibri"/>
        </w:rPr>
        <w:t xml:space="preserve">J </w:t>
      </w:r>
      <w:proofErr w:type="spellStart"/>
      <w:r w:rsidRPr="00655137">
        <w:rPr>
          <w:rFonts w:eastAsia="Calibri"/>
        </w:rPr>
        <w:t>Negin</w:t>
      </w:r>
      <w:proofErr w:type="spellEnd"/>
      <w:r w:rsidRPr="00655137">
        <w:rPr>
          <w:rFonts w:eastAsia="Calibri"/>
        </w:rPr>
        <w:t xml:space="preserve"> &amp; K </w:t>
      </w:r>
      <w:proofErr w:type="spellStart"/>
      <w:r w:rsidRPr="00655137">
        <w:rPr>
          <w:rFonts w:eastAsia="Calibri"/>
        </w:rPr>
        <w:t>Hort</w:t>
      </w:r>
      <w:proofErr w:type="spellEnd"/>
      <w:r w:rsidRPr="00655137">
        <w:rPr>
          <w:rFonts w:eastAsia="Calibri"/>
        </w:rPr>
        <w:t xml:space="preserve">, </w:t>
      </w:r>
      <w:r w:rsidRPr="00CC776F">
        <w:rPr>
          <w:rFonts w:eastAsia="Calibri"/>
          <w:i/>
        </w:rPr>
        <w:t>Governance and management arrangements for health sector wide approaches (</w:t>
      </w:r>
      <w:proofErr w:type="spellStart"/>
      <w:r w:rsidRPr="00CC776F">
        <w:rPr>
          <w:rFonts w:eastAsia="Calibri"/>
          <w:i/>
        </w:rPr>
        <w:t>SWAps</w:t>
      </w:r>
      <w:proofErr w:type="spellEnd"/>
      <w:r w:rsidRPr="00CC776F">
        <w:rPr>
          <w:rFonts w:eastAsia="Calibri"/>
          <w:i/>
        </w:rPr>
        <w:t>): examples from Africa, Asia and the Pacific</w:t>
      </w:r>
      <w:r w:rsidRPr="00655137">
        <w:rPr>
          <w:rFonts w:eastAsia="Calibri"/>
        </w:rPr>
        <w:t xml:space="preserve">, </w:t>
      </w:r>
      <w:proofErr w:type="spellStart"/>
      <w:r w:rsidRPr="00655137">
        <w:rPr>
          <w:rFonts w:eastAsia="Calibri"/>
        </w:rPr>
        <w:t>Nossal</w:t>
      </w:r>
      <w:proofErr w:type="spellEnd"/>
      <w:r w:rsidRPr="00655137">
        <w:rPr>
          <w:rFonts w:eastAsia="Calibri"/>
        </w:rPr>
        <w:t xml:space="preserve"> Institute, Health Policy and Health Finance Knowledge Hub, Melbourne, 2010.</w:t>
      </w:r>
    </w:p>
    <w:p w:rsidR="009F7318" w:rsidRDefault="009F7318" w:rsidP="009F7318">
      <w:pPr>
        <w:rPr>
          <w:rFonts w:eastAsia="Calibri"/>
        </w:rPr>
      </w:pPr>
      <w:r w:rsidRPr="00655137">
        <w:rPr>
          <w:rFonts w:eastAsia="Calibri"/>
        </w:rPr>
        <w:t xml:space="preserve">Organisation for Economic Co-operation and Development, </w:t>
      </w:r>
      <w:r w:rsidRPr="00CC776F">
        <w:rPr>
          <w:rFonts w:eastAsia="Calibri"/>
          <w:i/>
        </w:rPr>
        <w:t>Aid for better health: what are we learning about what works and what we still have to do?</w:t>
      </w:r>
      <w:r w:rsidRPr="00655137">
        <w:rPr>
          <w:rFonts w:eastAsia="Calibri"/>
        </w:rPr>
        <w:t xml:space="preserve"> OECD, Paris, 2009.</w:t>
      </w:r>
    </w:p>
    <w:p w:rsidR="007564C2" w:rsidRPr="007564C2" w:rsidRDefault="007564C2" w:rsidP="007564C2">
      <w:pPr>
        <w:rPr>
          <w:rFonts w:eastAsia="Calibri"/>
          <w:i/>
        </w:rPr>
      </w:pPr>
      <w:proofErr w:type="gramStart"/>
      <w:r w:rsidRPr="00655137">
        <w:rPr>
          <w:rFonts w:eastAsia="Calibri"/>
        </w:rPr>
        <w:t xml:space="preserve">Organisation for Economic Co-operation and Development, </w:t>
      </w:r>
      <w:r w:rsidRPr="007564C2">
        <w:rPr>
          <w:rFonts w:eastAsia="Calibri"/>
          <w:i/>
        </w:rPr>
        <w:t>OECD Development Co-operation</w:t>
      </w:r>
      <w:r>
        <w:rPr>
          <w:rFonts w:eastAsia="Calibri"/>
          <w:i/>
        </w:rPr>
        <w:t xml:space="preserve"> </w:t>
      </w:r>
      <w:r w:rsidRPr="007564C2">
        <w:rPr>
          <w:rFonts w:eastAsia="Calibri"/>
          <w:i/>
        </w:rPr>
        <w:t>Peer Review</w:t>
      </w:r>
      <w:r>
        <w:rPr>
          <w:rFonts w:eastAsia="Calibri"/>
          <w:i/>
        </w:rPr>
        <w:t xml:space="preserve">, </w:t>
      </w:r>
      <w:r w:rsidRPr="007564C2">
        <w:rPr>
          <w:rFonts w:eastAsia="Calibri"/>
          <w:i/>
        </w:rPr>
        <w:t>A</w:t>
      </w:r>
      <w:r>
        <w:rPr>
          <w:rFonts w:eastAsia="Calibri"/>
          <w:i/>
        </w:rPr>
        <w:t xml:space="preserve">ustralia </w:t>
      </w:r>
      <w:r w:rsidRPr="007564C2">
        <w:rPr>
          <w:rFonts w:eastAsia="Calibri"/>
          <w:i/>
        </w:rPr>
        <w:t>2013</w:t>
      </w:r>
      <w:r>
        <w:rPr>
          <w:rFonts w:eastAsia="Calibri"/>
          <w:i/>
        </w:rPr>
        <w:t>.</w:t>
      </w:r>
      <w:proofErr w:type="gramEnd"/>
      <w:r>
        <w:rPr>
          <w:rFonts w:eastAsia="Calibri"/>
          <w:i/>
        </w:rPr>
        <w:t xml:space="preserve">  </w:t>
      </w:r>
      <w:r w:rsidRPr="007564C2">
        <w:rPr>
          <w:rFonts w:eastAsia="Calibri"/>
        </w:rPr>
        <w:t>OECD, Paris, 2013</w:t>
      </w:r>
      <w:r>
        <w:rPr>
          <w:rFonts w:eastAsia="Calibri"/>
          <w:i/>
        </w:rPr>
        <w:t>.</w:t>
      </w:r>
    </w:p>
    <w:p w:rsidR="009F7318" w:rsidRDefault="009F7318" w:rsidP="009F7318">
      <w:pPr>
        <w:rPr>
          <w:rFonts w:eastAsia="Calibri"/>
        </w:rPr>
      </w:pPr>
      <w:r w:rsidRPr="00655137">
        <w:rPr>
          <w:rFonts w:eastAsia="Calibri"/>
        </w:rPr>
        <w:t xml:space="preserve">E </w:t>
      </w:r>
      <w:proofErr w:type="spellStart"/>
      <w:r w:rsidRPr="00655137">
        <w:rPr>
          <w:rFonts w:eastAsia="Calibri"/>
        </w:rPr>
        <w:t>Stierman</w:t>
      </w:r>
      <w:proofErr w:type="spellEnd"/>
      <w:r w:rsidRPr="00655137">
        <w:rPr>
          <w:rFonts w:eastAsia="Calibri"/>
        </w:rPr>
        <w:t xml:space="preserve">, F </w:t>
      </w:r>
      <w:proofErr w:type="spellStart"/>
      <w:r w:rsidRPr="00655137">
        <w:rPr>
          <w:rFonts w:eastAsia="Calibri"/>
        </w:rPr>
        <w:t>Ssengooba</w:t>
      </w:r>
      <w:proofErr w:type="spellEnd"/>
      <w:r w:rsidRPr="00655137">
        <w:rPr>
          <w:rFonts w:eastAsia="Calibri"/>
        </w:rPr>
        <w:t xml:space="preserve"> &amp; S Bennett, Aid alignment: a longer term lens on trends in development assistance for health in Uganda,</w:t>
      </w:r>
      <w:r w:rsidRPr="00655137">
        <w:rPr>
          <w:rFonts w:eastAsia="Calibri"/>
          <w:i/>
        </w:rPr>
        <w:t xml:space="preserve"> Globalisation and health</w:t>
      </w:r>
      <w:r w:rsidRPr="00655137">
        <w:rPr>
          <w:rFonts w:eastAsia="Calibri"/>
        </w:rPr>
        <w:t xml:space="preserve"> 9:7, 2013.</w:t>
      </w:r>
    </w:p>
    <w:p w:rsidR="008445C2" w:rsidRPr="009D5095" w:rsidRDefault="008445C2" w:rsidP="009D5095">
      <w:pPr>
        <w:rPr>
          <w:rFonts w:eastAsia="Calibri"/>
        </w:rPr>
      </w:pPr>
      <w:proofErr w:type="gramStart"/>
      <w:r>
        <w:rPr>
          <w:rFonts w:eastAsia="Calibri"/>
        </w:rPr>
        <w:t>World Health Organisation.</w:t>
      </w:r>
      <w:proofErr w:type="gramEnd"/>
      <w:r>
        <w:rPr>
          <w:rFonts w:eastAsia="Calibri"/>
        </w:rPr>
        <w:t xml:space="preserve"> </w:t>
      </w:r>
      <w:r w:rsidR="009D5095">
        <w:rPr>
          <w:rFonts w:eastAsia="Calibri"/>
        </w:rPr>
        <w:t xml:space="preserve"> </w:t>
      </w:r>
      <w:r w:rsidR="009D5095" w:rsidRPr="009D5095">
        <w:rPr>
          <w:rFonts w:eastAsia="Calibri"/>
          <w:i/>
        </w:rPr>
        <w:t>MHMS 2013 C</w:t>
      </w:r>
      <w:r w:rsidR="009D5095">
        <w:rPr>
          <w:rFonts w:eastAsia="Calibri"/>
          <w:i/>
        </w:rPr>
        <w:t xml:space="preserve">ore Indicator Report </w:t>
      </w:r>
      <w:r w:rsidR="009D5095" w:rsidRPr="009D5095">
        <w:rPr>
          <w:rFonts w:eastAsia="Calibri"/>
          <w:i/>
        </w:rPr>
        <w:t>(V1)</w:t>
      </w:r>
      <w:r w:rsidR="009D5095">
        <w:rPr>
          <w:rFonts w:eastAsia="Calibri"/>
          <w:i/>
        </w:rPr>
        <w:t xml:space="preserve">. </w:t>
      </w:r>
      <w:proofErr w:type="gramStart"/>
      <w:r w:rsidR="009D5095">
        <w:rPr>
          <w:rFonts w:eastAsia="Calibri"/>
        </w:rPr>
        <w:t>WHO, Pacific Region, 2013.</w:t>
      </w:r>
      <w:proofErr w:type="gramEnd"/>
    </w:p>
    <w:p w:rsidR="009F7318" w:rsidRPr="008B7071" w:rsidRDefault="009F7318" w:rsidP="009F7318">
      <w:pPr>
        <w:pStyle w:val="Heading3"/>
        <w:rPr>
          <w:rFonts w:eastAsia="Calibri"/>
        </w:rPr>
      </w:pPr>
      <w:r w:rsidRPr="008B7071">
        <w:rPr>
          <w:rFonts w:eastAsia="Calibri"/>
        </w:rPr>
        <w:t xml:space="preserve">Selected country references </w:t>
      </w:r>
    </w:p>
    <w:p w:rsidR="009F7318" w:rsidRPr="007E5AC1" w:rsidRDefault="009F7318" w:rsidP="009F7318">
      <w:pPr>
        <w:rPr>
          <w:rFonts w:eastAsia="Calibri"/>
          <w:b/>
        </w:rPr>
      </w:pPr>
      <w:r w:rsidRPr="007E5AC1">
        <w:rPr>
          <w:rFonts w:eastAsia="Calibri"/>
          <w:b/>
        </w:rPr>
        <w:t>Bangladesh</w:t>
      </w:r>
    </w:p>
    <w:p w:rsidR="009F7318" w:rsidRPr="00655137" w:rsidRDefault="009F7318" w:rsidP="009F7318">
      <w:pPr>
        <w:rPr>
          <w:rFonts w:eastAsia="Calibri"/>
        </w:rPr>
      </w:pPr>
      <w:proofErr w:type="gramStart"/>
      <w:r w:rsidRPr="00655137">
        <w:rPr>
          <w:rFonts w:eastAsia="Calibri"/>
        </w:rPr>
        <w:t xml:space="preserve">Australian Agency for International Development, </w:t>
      </w:r>
      <w:r w:rsidRPr="00655137">
        <w:rPr>
          <w:rFonts w:eastAsia="Calibri"/>
          <w:i/>
        </w:rPr>
        <w:t>Bangladesh Aid Program Strategy 2012–16,</w:t>
      </w:r>
      <w:r w:rsidRPr="00655137">
        <w:rPr>
          <w:rFonts w:eastAsia="Calibri"/>
        </w:rPr>
        <w:t xml:space="preserve"> AusAID, Canberra, 2012.</w:t>
      </w:r>
      <w:proofErr w:type="gramEnd"/>
    </w:p>
    <w:p w:rsidR="009F7318" w:rsidRPr="00655137" w:rsidRDefault="009F7318" w:rsidP="009F7318">
      <w:pPr>
        <w:rPr>
          <w:rFonts w:eastAsia="Calibri"/>
        </w:rPr>
      </w:pPr>
      <w:proofErr w:type="gramStart"/>
      <w:r w:rsidRPr="00655137">
        <w:rPr>
          <w:rFonts w:eastAsia="Calibri"/>
        </w:rPr>
        <w:t xml:space="preserve">Australian Agency for International Development, </w:t>
      </w:r>
      <w:r w:rsidRPr="00655137">
        <w:rPr>
          <w:rFonts w:eastAsia="Calibri"/>
          <w:i/>
        </w:rPr>
        <w:t>Bangladesh Annual Program Performance Report</w:t>
      </w:r>
      <w:r w:rsidRPr="00655137">
        <w:rPr>
          <w:rFonts w:eastAsia="Calibri"/>
        </w:rPr>
        <w:t xml:space="preserve"> 2011, AusAID, Canberra, 2012.</w:t>
      </w:r>
      <w:proofErr w:type="gramEnd"/>
    </w:p>
    <w:p w:rsidR="009F7318" w:rsidRPr="00655137" w:rsidRDefault="009F7318" w:rsidP="009F7318">
      <w:pPr>
        <w:rPr>
          <w:rFonts w:eastAsia="Calibri"/>
        </w:rPr>
      </w:pPr>
      <w:r w:rsidRPr="00655137">
        <w:rPr>
          <w:rFonts w:eastAsia="Calibri"/>
        </w:rPr>
        <w:t xml:space="preserve">Australian Agency for International Development, </w:t>
      </w:r>
      <w:r w:rsidRPr="00CC776F">
        <w:rPr>
          <w:rFonts w:eastAsia="Calibri"/>
          <w:i/>
        </w:rPr>
        <w:t>Quality at Entry: Bangladesh Health, Population</w:t>
      </w:r>
      <w:r w:rsidRPr="00655137">
        <w:rPr>
          <w:rFonts w:eastAsia="Calibri"/>
        </w:rPr>
        <w:t>, Nutrition Sector Development Program, AusAID, Canberra, 2011.</w:t>
      </w:r>
    </w:p>
    <w:p w:rsidR="009F7318" w:rsidRPr="00655137" w:rsidRDefault="009F7318" w:rsidP="009F7318">
      <w:pPr>
        <w:rPr>
          <w:rFonts w:eastAsia="Calibri"/>
        </w:rPr>
      </w:pPr>
      <w:r w:rsidRPr="00655137">
        <w:rPr>
          <w:rFonts w:eastAsia="Calibri"/>
        </w:rPr>
        <w:t xml:space="preserve">Department of Foreign Affairs and Trade, </w:t>
      </w:r>
      <w:r w:rsidRPr="00655137">
        <w:rPr>
          <w:rFonts w:eastAsia="Calibri"/>
          <w:i/>
        </w:rPr>
        <w:t>Bangladesh Aid Program Performance Report 2012–13</w:t>
      </w:r>
      <w:r w:rsidRPr="00655137">
        <w:rPr>
          <w:rFonts w:eastAsia="Calibri"/>
        </w:rPr>
        <w:t>. DFAT, Canberra, 2014</w:t>
      </w:r>
      <w:r w:rsidR="005253B8">
        <w:rPr>
          <w:rFonts w:eastAsia="Calibri"/>
        </w:rPr>
        <w:t>.</w:t>
      </w:r>
    </w:p>
    <w:p w:rsidR="009F7318" w:rsidRPr="00655137" w:rsidRDefault="009F7318" w:rsidP="009F7318">
      <w:pPr>
        <w:rPr>
          <w:rFonts w:eastAsia="Calibri"/>
        </w:rPr>
      </w:pPr>
      <w:r w:rsidRPr="00655137">
        <w:rPr>
          <w:rFonts w:eastAsia="Calibri"/>
        </w:rPr>
        <w:t xml:space="preserve">Department for International Development, </w:t>
      </w:r>
      <w:r w:rsidRPr="00655137">
        <w:rPr>
          <w:rFonts w:eastAsia="Calibri"/>
          <w:i/>
        </w:rPr>
        <w:t>Business case: Health Sector Development Programme (HSDP)</w:t>
      </w:r>
      <w:r w:rsidRPr="00655137">
        <w:rPr>
          <w:rFonts w:eastAsia="Calibri"/>
        </w:rPr>
        <w:t>, DFID, London, 2011.</w:t>
      </w:r>
    </w:p>
    <w:p w:rsidR="009F7318" w:rsidRPr="00655137" w:rsidRDefault="009F7318" w:rsidP="009F7318">
      <w:pPr>
        <w:rPr>
          <w:rFonts w:eastAsia="Calibri"/>
        </w:rPr>
      </w:pPr>
      <w:r w:rsidRPr="00655137">
        <w:rPr>
          <w:rFonts w:eastAsia="Calibri"/>
        </w:rPr>
        <w:t xml:space="preserve">Department for International Development, </w:t>
      </w:r>
      <w:r w:rsidRPr="00CC776F">
        <w:rPr>
          <w:rFonts w:eastAsia="Calibri"/>
          <w:i/>
        </w:rPr>
        <w:t>Project completion review 2011: Health Sector Development Programme (HSDP),</w:t>
      </w:r>
      <w:r w:rsidRPr="00655137">
        <w:rPr>
          <w:rFonts w:eastAsia="Calibri"/>
        </w:rPr>
        <w:t xml:space="preserve"> DFID, London 2011.</w:t>
      </w:r>
    </w:p>
    <w:p w:rsidR="009F7318" w:rsidRPr="00655137" w:rsidRDefault="009F7318" w:rsidP="009F7318">
      <w:pPr>
        <w:rPr>
          <w:rFonts w:eastAsia="Calibri"/>
        </w:rPr>
      </w:pPr>
      <w:r w:rsidRPr="00655137">
        <w:rPr>
          <w:rFonts w:eastAsia="Calibri"/>
        </w:rPr>
        <w:t xml:space="preserve">Independent Evaluation Group, </w:t>
      </w:r>
      <w:r w:rsidRPr="00CC776F">
        <w:rPr>
          <w:rFonts w:eastAsia="Calibri"/>
          <w:i/>
        </w:rPr>
        <w:t>Implementation completion report (ICR) review: Bangladesh Health Nutrition and Population Sector Program</w:t>
      </w:r>
      <w:r w:rsidRPr="00655137">
        <w:rPr>
          <w:rFonts w:eastAsia="Calibri"/>
        </w:rPr>
        <w:t xml:space="preserve">. </w:t>
      </w:r>
      <w:proofErr w:type="gramStart"/>
      <w:r w:rsidRPr="00655137">
        <w:rPr>
          <w:rFonts w:eastAsia="Calibri"/>
        </w:rPr>
        <w:t>IEG, World Bank, Washington DC, undated.</w:t>
      </w:r>
      <w:proofErr w:type="gramEnd"/>
      <w:r w:rsidRPr="00655137">
        <w:rPr>
          <w:rFonts w:eastAsia="Calibri"/>
        </w:rPr>
        <w:t xml:space="preserve"> [</w:t>
      </w:r>
      <w:proofErr w:type="gramStart"/>
      <w:r w:rsidRPr="00655137">
        <w:rPr>
          <w:rFonts w:eastAsia="Calibri"/>
        </w:rPr>
        <w:t>posted</w:t>
      </w:r>
      <w:proofErr w:type="gramEnd"/>
      <w:r w:rsidRPr="00655137">
        <w:rPr>
          <w:rFonts w:eastAsia="Calibri"/>
        </w:rPr>
        <w:t xml:space="preserve"> on website 2013].</w:t>
      </w:r>
    </w:p>
    <w:p w:rsidR="009F7318" w:rsidRPr="00655137" w:rsidRDefault="009F7318" w:rsidP="009F7318">
      <w:pPr>
        <w:rPr>
          <w:rFonts w:eastAsia="Calibri"/>
        </w:rPr>
      </w:pPr>
      <w:r w:rsidRPr="00655137">
        <w:rPr>
          <w:rFonts w:eastAsia="Calibri"/>
        </w:rPr>
        <w:t xml:space="preserve">Independent Review Team, </w:t>
      </w:r>
      <w:r w:rsidRPr="00CC776F">
        <w:rPr>
          <w:rFonts w:eastAsia="Calibri"/>
          <w:i/>
        </w:rPr>
        <w:t>Annual Programme Review 2007: consolidated report</w:t>
      </w:r>
      <w:r w:rsidRPr="00655137">
        <w:rPr>
          <w:rFonts w:eastAsia="Calibri"/>
        </w:rPr>
        <w:t xml:space="preserve">, </w:t>
      </w:r>
      <w:proofErr w:type="spellStart"/>
      <w:r w:rsidRPr="00655137">
        <w:rPr>
          <w:rFonts w:eastAsia="Calibri"/>
        </w:rPr>
        <w:t>MoHFW</w:t>
      </w:r>
      <w:proofErr w:type="spellEnd"/>
      <w:r w:rsidRPr="00655137">
        <w:rPr>
          <w:rFonts w:eastAsia="Calibri"/>
        </w:rPr>
        <w:t>, Dhaka, 2007.</w:t>
      </w:r>
    </w:p>
    <w:p w:rsidR="009F7318" w:rsidRPr="00655137" w:rsidRDefault="009F7318" w:rsidP="009F7318">
      <w:pPr>
        <w:rPr>
          <w:rFonts w:eastAsia="Calibri"/>
        </w:rPr>
      </w:pPr>
      <w:r w:rsidRPr="00655137">
        <w:rPr>
          <w:rFonts w:eastAsia="Calibri"/>
        </w:rPr>
        <w:t xml:space="preserve">Independent Review Team, </w:t>
      </w:r>
      <w:r w:rsidRPr="00CC776F">
        <w:rPr>
          <w:rFonts w:eastAsia="Calibri"/>
          <w:i/>
        </w:rPr>
        <w:t>Mid-term Review of the Health, Nutrition and Population Sector Programme (2003-2010): consolidated report</w:t>
      </w:r>
      <w:r w:rsidRPr="00655137">
        <w:rPr>
          <w:rFonts w:eastAsia="Calibri"/>
        </w:rPr>
        <w:t xml:space="preserve">, </w:t>
      </w:r>
      <w:proofErr w:type="spellStart"/>
      <w:r w:rsidRPr="00655137">
        <w:rPr>
          <w:rFonts w:eastAsia="Calibri"/>
        </w:rPr>
        <w:t>MoHFW</w:t>
      </w:r>
      <w:proofErr w:type="spellEnd"/>
      <w:r w:rsidRPr="00655137">
        <w:rPr>
          <w:rFonts w:eastAsia="Calibri"/>
        </w:rPr>
        <w:t xml:space="preserve">, Dhaka, 2008. </w:t>
      </w:r>
    </w:p>
    <w:p w:rsidR="009F7318" w:rsidRPr="00655137" w:rsidRDefault="009F7318" w:rsidP="009F7318">
      <w:pPr>
        <w:rPr>
          <w:rFonts w:eastAsia="Calibri"/>
        </w:rPr>
      </w:pPr>
      <w:r w:rsidRPr="00655137">
        <w:rPr>
          <w:rFonts w:eastAsia="Calibri"/>
        </w:rPr>
        <w:t xml:space="preserve">Independent Review Team, </w:t>
      </w:r>
      <w:r w:rsidRPr="00CC776F">
        <w:rPr>
          <w:rFonts w:eastAsia="Calibri"/>
          <w:i/>
        </w:rPr>
        <w:t>Annual Programme Review 2012: consolidated report</w:t>
      </w:r>
      <w:r w:rsidRPr="00655137">
        <w:rPr>
          <w:rFonts w:eastAsia="Calibri"/>
        </w:rPr>
        <w:t xml:space="preserve">, </w:t>
      </w:r>
      <w:proofErr w:type="spellStart"/>
      <w:r w:rsidRPr="00655137">
        <w:rPr>
          <w:rFonts w:eastAsia="Calibri"/>
        </w:rPr>
        <w:t>MoHFW</w:t>
      </w:r>
      <w:proofErr w:type="spellEnd"/>
      <w:r w:rsidRPr="00655137">
        <w:rPr>
          <w:rFonts w:eastAsia="Calibri"/>
        </w:rPr>
        <w:t>, Dhaka, 2012.</w:t>
      </w:r>
    </w:p>
    <w:p w:rsidR="009F7318" w:rsidRPr="00655137" w:rsidRDefault="009F7318" w:rsidP="009F7318">
      <w:pPr>
        <w:rPr>
          <w:rFonts w:eastAsia="Calibri"/>
        </w:rPr>
      </w:pPr>
      <w:r w:rsidRPr="00655137">
        <w:rPr>
          <w:rFonts w:eastAsia="Calibri"/>
        </w:rPr>
        <w:t xml:space="preserve">Independent Review Team, </w:t>
      </w:r>
      <w:r w:rsidRPr="00CC776F">
        <w:rPr>
          <w:rFonts w:eastAsia="Calibri"/>
          <w:i/>
        </w:rPr>
        <w:t xml:space="preserve">Annual programme review (APR 2013): Health, Population and Nutrition Sector Development Program (HPNSDP), 2011-16. </w:t>
      </w:r>
      <w:proofErr w:type="gramStart"/>
      <w:r w:rsidRPr="00CC776F">
        <w:rPr>
          <w:rFonts w:eastAsia="Calibri"/>
          <w:i/>
        </w:rPr>
        <w:t>Consolidated report</w:t>
      </w:r>
      <w:r w:rsidRPr="00655137">
        <w:rPr>
          <w:rFonts w:eastAsia="Calibri"/>
        </w:rPr>
        <w:t>.</w:t>
      </w:r>
      <w:proofErr w:type="gramEnd"/>
      <w:r w:rsidRPr="00655137">
        <w:rPr>
          <w:rFonts w:eastAsia="Calibri"/>
        </w:rPr>
        <w:t xml:space="preserve"> </w:t>
      </w:r>
      <w:proofErr w:type="spellStart"/>
      <w:r w:rsidRPr="00655137">
        <w:rPr>
          <w:rFonts w:eastAsia="Calibri"/>
        </w:rPr>
        <w:t>MoHFW</w:t>
      </w:r>
      <w:proofErr w:type="spellEnd"/>
      <w:r w:rsidRPr="00655137">
        <w:rPr>
          <w:rFonts w:eastAsia="Calibri"/>
        </w:rPr>
        <w:t>, Dhaka, 2013.</w:t>
      </w:r>
    </w:p>
    <w:p w:rsidR="009F7318" w:rsidRPr="00655137" w:rsidRDefault="009F7318" w:rsidP="009F7318">
      <w:pPr>
        <w:rPr>
          <w:rFonts w:eastAsia="Calibri"/>
        </w:rPr>
      </w:pPr>
      <w:r w:rsidRPr="00655137">
        <w:rPr>
          <w:rFonts w:eastAsia="Calibri"/>
        </w:rPr>
        <w:lastRenderedPageBreak/>
        <w:t xml:space="preserve">Ministry of Health and Family Welfare, </w:t>
      </w:r>
      <w:r w:rsidRPr="00CC776F">
        <w:rPr>
          <w:rFonts w:eastAsia="Calibri"/>
          <w:i/>
        </w:rPr>
        <w:t>Strategic plan for Health Population and Nutrition Sector Development Program (HPNSDP) 2011-2016</w:t>
      </w:r>
      <w:r w:rsidRPr="00655137">
        <w:rPr>
          <w:rFonts w:eastAsia="Calibri"/>
        </w:rPr>
        <w:t xml:space="preserve">, </w:t>
      </w:r>
      <w:proofErr w:type="spellStart"/>
      <w:r w:rsidRPr="00655137">
        <w:rPr>
          <w:rFonts w:eastAsia="Calibri"/>
        </w:rPr>
        <w:t>MoHFW</w:t>
      </w:r>
      <w:proofErr w:type="spellEnd"/>
      <w:r w:rsidRPr="00655137">
        <w:rPr>
          <w:rFonts w:eastAsia="Calibri"/>
        </w:rPr>
        <w:t>, Dhaka, 2011a.</w:t>
      </w:r>
    </w:p>
    <w:p w:rsidR="009F7318" w:rsidRPr="00655137" w:rsidRDefault="009F7318" w:rsidP="009F7318">
      <w:pPr>
        <w:rPr>
          <w:rFonts w:eastAsia="Calibri"/>
        </w:rPr>
      </w:pPr>
      <w:r w:rsidRPr="00655137">
        <w:rPr>
          <w:rFonts w:eastAsia="Calibri"/>
        </w:rPr>
        <w:t xml:space="preserve">Ministry of Health and Family Welfare, </w:t>
      </w:r>
      <w:r w:rsidRPr="00655137">
        <w:rPr>
          <w:rFonts w:eastAsia="Calibri"/>
          <w:i/>
        </w:rPr>
        <w:t>Program Implementation Plan (PIP) of the HPNSDP</w:t>
      </w:r>
      <w:r w:rsidRPr="00655137">
        <w:rPr>
          <w:rFonts w:eastAsia="Calibri"/>
        </w:rPr>
        <w:t xml:space="preserve">, </w:t>
      </w:r>
      <w:proofErr w:type="spellStart"/>
      <w:r w:rsidRPr="00655137">
        <w:rPr>
          <w:rFonts w:eastAsia="Calibri"/>
        </w:rPr>
        <w:t>MoHFW</w:t>
      </w:r>
      <w:proofErr w:type="spellEnd"/>
      <w:r w:rsidRPr="00655137">
        <w:rPr>
          <w:rFonts w:eastAsia="Calibri"/>
        </w:rPr>
        <w:t xml:space="preserve">, Dhaka, 2011b. </w:t>
      </w:r>
    </w:p>
    <w:p w:rsidR="009F7318" w:rsidRPr="00655137" w:rsidRDefault="009F7318" w:rsidP="009F7318">
      <w:pPr>
        <w:rPr>
          <w:rFonts w:eastAsia="Calibri"/>
        </w:rPr>
      </w:pPr>
      <w:proofErr w:type="spellStart"/>
      <w:r w:rsidRPr="00655137">
        <w:rPr>
          <w:rFonts w:eastAsia="Calibri"/>
        </w:rPr>
        <w:t>Scanteam</w:t>
      </w:r>
      <w:proofErr w:type="spellEnd"/>
      <w:r w:rsidRPr="00655137">
        <w:rPr>
          <w:rFonts w:eastAsia="Calibri"/>
        </w:rPr>
        <w:t xml:space="preserve">, </w:t>
      </w:r>
      <w:r w:rsidRPr="00CC776F">
        <w:rPr>
          <w:rFonts w:eastAsia="Calibri"/>
          <w:i/>
        </w:rPr>
        <w:t>Options for aid modalities for the health sector pool funding mechanism</w:t>
      </w:r>
      <w:r w:rsidRPr="00655137">
        <w:rPr>
          <w:rFonts w:eastAsia="Calibri"/>
        </w:rPr>
        <w:t xml:space="preserve">, </w:t>
      </w:r>
      <w:proofErr w:type="spellStart"/>
      <w:r w:rsidRPr="00655137">
        <w:rPr>
          <w:rFonts w:eastAsia="Calibri"/>
        </w:rPr>
        <w:t>Scanteam</w:t>
      </w:r>
      <w:proofErr w:type="spellEnd"/>
      <w:r w:rsidRPr="00655137">
        <w:rPr>
          <w:rFonts w:eastAsia="Calibri"/>
        </w:rPr>
        <w:t>, Oslo, 2011.</w:t>
      </w:r>
    </w:p>
    <w:p w:rsidR="009F7318" w:rsidRPr="00655137" w:rsidRDefault="009F7318" w:rsidP="009F7318">
      <w:pPr>
        <w:rPr>
          <w:rFonts w:eastAsia="Calibri"/>
        </w:rPr>
      </w:pPr>
      <w:r w:rsidRPr="00655137">
        <w:rPr>
          <w:rFonts w:eastAsia="Calibri"/>
        </w:rPr>
        <w:t>World Bank</w:t>
      </w:r>
      <w:r w:rsidRPr="00CC776F">
        <w:rPr>
          <w:rFonts w:eastAsia="Calibri"/>
          <w:i/>
        </w:rPr>
        <w:t>, Program appraisal document: Bangladesh Health, Nutrition, and Population Sector Development Program</w:t>
      </w:r>
      <w:r w:rsidRPr="00655137">
        <w:rPr>
          <w:rFonts w:eastAsia="Calibri"/>
        </w:rPr>
        <w:t>, World Bank, Washington DC, 2011.</w:t>
      </w:r>
    </w:p>
    <w:p w:rsidR="009F7318" w:rsidRPr="007E5AC1" w:rsidRDefault="009F7318" w:rsidP="009F7318">
      <w:pPr>
        <w:rPr>
          <w:rFonts w:eastAsia="Calibri"/>
          <w:b/>
        </w:rPr>
      </w:pPr>
      <w:r w:rsidRPr="007E5AC1">
        <w:rPr>
          <w:rFonts w:eastAsia="Calibri"/>
          <w:b/>
        </w:rPr>
        <w:t>Cambodia</w:t>
      </w:r>
    </w:p>
    <w:p w:rsidR="009F7318" w:rsidRPr="00655137" w:rsidRDefault="009F7318" w:rsidP="009F7318">
      <w:pPr>
        <w:rPr>
          <w:rFonts w:eastAsia="Calibri"/>
        </w:rPr>
      </w:pPr>
      <w:proofErr w:type="gramStart"/>
      <w:r w:rsidRPr="00655137">
        <w:rPr>
          <w:rFonts w:eastAsia="Calibri"/>
        </w:rPr>
        <w:t xml:space="preserve">Australian Agency for International Development, </w:t>
      </w:r>
      <w:r w:rsidRPr="00655137">
        <w:rPr>
          <w:rFonts w:eastAsia="Calibri"/>
          <w:i/>
        </w:rPr>
        <w:t>Cambodia Annual Program Performance Report 2011</w:t>
      </w:r>
      <w:r w:rsidRPr="00655137">
        <w:rPr>
          <w:rFonts w:eastAsia="Calibri"/>
        </w:rPr>
        <w:t>, AusAID, Canberra, 2012.</w:t>
      </w:r>
      <w:proofErr w:type="gramEnd"/>
    </w:p>
    <w:p w:rsidR="009F7318" w:rsidRPr="00655137" w:rsidRDefault="009F7318" w:rsidP="009F7318">
      <w:pPr>
        <w:rPr>
          <w:rFonts w:eastAsia="Calibri"/>
        </w:rPr>
      </w:pPr>
      <w:r w:rsidRPr="00655137">
        <w:rPr>
          <w:rFonts w:eastAsia="Calibri"/>
        </w:rPr>
        <w:t xml:space="preserve">Department for International Development, </w:t>
      </w:r>
      <w:r w:rsidRPr="00655137">
        <w:rPr>
          <w:rFonts w:eastAsia="Calibri"/>
          <w:i/>
        </w:rPr>
        <w:t>Annual review: HSSP Phase 2</w:t>
      </w:r>
      <w:r w:rsidRPr="00655137">
        <w:rPr>
          <w:rFonts w:eastAsia="Calibri"/>
        </w:rPr>
        <w:t>, DFID, London, 2013.</w:t>
      </w:r>
    </w:p>
    <w:p w:rsidR="009F7318" w:rsidRPr="00655137" w:rsidRDefault="009F7318" w:rsidP="009F7318">
      <w:pPr>
        <w:rPr>
          <w:rFonts w:eastAsia="Calibri"/>
        </w:rPr>
      </w:pPr>
      <w:r w:rsidRPr="00655137">
        <w:rPr>
          <w:rFonts w:eastAsia="Calibri"/>
        </w:rPr>
        <w:t xml:space="preserve">Department for International Development, </w:t>
      </w:r>
      <w:r w:rsidRPr="00655137">
        <w:rPr>
          <w:rFonts w:eastAsia="Calibri"/>
          <w:i/>
        </w:rPr>
        <w:t>Annual review: HSSP Phase 2,</w:t>
      </w:r>
      <w:r w:rsidRPr="00655137">
        <w:rPr>
          <w:rFonts w:eastAsia="Calibri"/>
        </w:rPr>
        <w:t xml:space="preserve"> DFID, London, 2011.</w:t>
      </w:r>
    </w:p>
    <w:p w:rsidR="009F7318" w:rsidRPr="00655137" w:rsidRDefault="009F7318" w:rsidP="009F7318">
      <w:pPr>
        <w:rPr>
          <w:rFonts w:eastAsia="Calibri"/>
        </w:rPr>
      </w:pPr>
      <w:r w:rsidRPr="00655137">
        <w:rPr>
          <w:rFonts w:eastAsia="Calibri"/>
        </w:rPr>
        <w:t xml:space="preserve">Department of Foreign Affairs and Trade, </w:t>
      </w:r>
      <w:r w:rsidRPr="00655137">
        <w:rPr>
          <w:rFonts w:eastAsia="Calibri"/>
          <w:i/>
        </w:rPr>
        <w:t>Aid Program Performance Report 2012−13: Cambodia</w:t>
      </w:r>
      <w:r w:rsidRPr="00655137">
        <w:rPr>
          <w:rFonts w:eastAsia="Calibri"/>
        </w:rPr>
        <w:t>, DFAT, Canberra, 2014.</w:t>
      </w:r>
    </w:p>
    <w:p w:rsidR="009F7318" w:rsidRDefault="009F7318" w:rsidP="009F7318">
      <w:pPr>
        <w:rPr>
          <w:rFonts w:eastAsia="Calibri"/>
        </w:rPr>
      </w:pPr>
      <w:r w:rsidRPr="00655137">
        <w:rPr>
          <w:rFonts w:eastAsia="Calibri"/>
        </w:rPr>
        <w:t>Department of Foreign Affairs and Trade</w:t>
      </w:r>
      <w:r w:rsidRPr="00CC776F">
        <w:rPr>
          <w:rFonts w:eastAsia="Calibri"/>
          <w:i/>
        </w:rPr>
        <w:t>, Quality at implementation report: Cambodia Delivering Better Health project,</w:t>
      </w:r>
      <w:r w:rsidRPr="00655137">
        <w:rPr>
          <w:rFonts w:eastAsia="Calibri"/>
        </w:rPr>
        <w:t xml:space="preserve"> DFAT, Canberra, 2014.</w:t>
      </w:r>
    </w:p>
    <w:p w:rsidR="00C23BC7" w:rsidRPr="00655137" w:rsidRDefault="00C23BC7" w:rsidP="009F7318">
      <w:pPr>
        <w:rPr>
          <w:rFonts w:eastAsia="Calibri"/>
        </w:rPr>
      </w:pPr>
      <w:r w:rsidRPr="00E60C43">
        <w:rPr>
          <w:rFonts w:eastAsia="Calibri"/>
          <w:lang w:val="en-GB"/>
        </w:rPr>
        <w:t xml:space="preserve">K </w:t>
      </w:r>
      <w:proofErr w:type="spellStart"/>
      <w:r w:rsidRPr="00C23BC7">
        <w:rPr>
          <w:rFonts w:eastAsia="Calibri"/>
        </w:rPr>
        <w:t>Frieson</w:t>
      </w:r>
      <w:proofErr w:type="spellEnd"/>
      <w:r w:rsidRPr="00C23BC7">
        <w:rPr>
          <w:rFonts w:eastAsia="Calibri"/>
        </w:rPr>
        <w:t xml:space="preserve"> et al, </w:t>
      </w:r>
      <w:r w:rsidRPr="00C23BC7">
        <w:rPr>
          <w:rFonts w:eastAsia="Calibri"/>
          <w:i/>
        </w:rPr>
        <w:t>A gender analysis of the Cambodian health sector</w:t>
      </w:r>
      <w:r w:rsidRPr="00C23BC7">
        <w:rPr>
          <w:rFonts w:eastAsia="Calibri"/>
        </w:rPr>
        <w:t>, 2011.</w:t>
      </w:r>
    </w:p>
    <w:p w:rsidR="009F7318" w:rsidRPr="00655137" w:rsidRDefault="009F7318" w:rsidP="009F7318">
      <w:pPr>
        <w:rPr>
          <w:rFonts w:eastAsia="Calibri"/>
        </w:rPr>
      </w:pPr>
      <w:r w:rsidRPr="00655137">
        <w:rPr>
          <w:rFonts w:eastAsia="Calibri"/>
        </w:rPr>
        <w:t xml:space="preserve">J Martinez, </w:t>
      </w:r>
      <w:r w:rsidRPr="00CC776F">
        <w:rPr>
          <w:rFonts w:eastAsia="Calibri"/>
          <w:i/>
        </w:rPr>
        <w:t>Options for Australia’s health sector support to Cambodia: orientation mission.</w:t>
      </w:r>
      <w:r w:rsidRPr="00655137">
        <w:rPr>
          <w:rFonts w:eastAsia="Calibri"/>
        </w:rPr>
        <w:t xml:space="preserve"> March 2013. Javier Martinez. AusAID HRF, Canberra, 2013.</w:t>
      </w:r>
    </w:p>
    <w:p w:rsidR="009F7318" w:rsidRPr="00655137" w:rsidRDefault="009F7318" w:rsidP="009F7318">
      <w:pPr>
        <w:rPr>
          <w:rFonts w:eastAsia="Calibri"/>
        </w:rPr>
      </w:pPr>
      <w:r w:rsidRPr="00655137">
        <w:rPr>
          <w:rFonts w:eastAsia="Calibri"/>
        </w:rPr>
        <w:t xml:space="preserve">J Martinez, S Simmonds, L </w:t>
      </w:r>
      <w:proofErr w:type="spellStart"/>
      <w:r w:rsidRPr="00655137">
        <w:rPr>
          <w:rFonts w:eastAsia="Calibri"/>
        </w:rPr>
        <w:t>Vinyals</w:t>
      </w:r>
      <w:proofErr w:type="spellEnd"/>
      <w:r w:rsidRPr="00655137">
        <w:rPr>
          <w:rFonts w:eastAsia="Calibri"/>
        </w:rPr>
        <w:t xml:space="preserve">, </w:t>
      </w:r>
      <w:proofErr w:type="spellStart"/>
      <w:r w:rsidRPr="00655137">
        <w:rPr>
          <w:rFonts w:eastAsia="Calibri"/>
        </w:rPr>
        <w:t>Som</w:t>
      </w:r>
      <w:proofErr w:type="spellEnd"/>
      <w:r w:rsidRPr="00655137">
        <w:rPr>
          <w:rFonts w:eastAsia="Calibri"/>
        </w:rPr>
        <w:t xml:space="preserve"> Hun, </w:t>
      </w:r>
      <w:proofErr w:type="spellStart"/>
      <w:r w:rsidRPr="00655137">
        <w:rPr>
          <w:rFonts w:eastAsia="Calibri"/>
        </w:rPr>
        <w:t>Chhun</w:t>
      </w:r>
      <w:proofErr w:type="spellEnd"/>
      <w:r w:rsidRPr="00655137">
        <w:rPr>
          <w:rFonts w:eastAsia="Calibri"/>
        </w:rPr>
        <w:t xml:space="preserve"> </w:t>
      </w:r>
      <w:proofErr w:type="spellStart"/>
      <w:r w:rsidRPr="00655137">
        <w:rPr>
          <w:rFonts w:eastAsia="Calibri"/>
        </w:rPr>
        <w:t>Phally</w:t>
      </w:r>
      <w:proofErr w:type="spellEnd"/>
      <w:r w:rsidRPr="00655137">
        <w:rPr>
          <w:rFonts w:eastAsia="Calibri"/>
        </w:rPr>
        <w:t xml:space="preserve">, </w:t>
      </w:r>
      <w:proofErr w:type="spellStart"/>
      <w:r w:rsidRPr="00655137">
        <w:rPr>
          <w:rFonts w:eastAsia="Calibri"/>
        </w:rPr>
        <w:t>Por</w:t>
      </w:r>
      <w:proofErr w:type="spellEnd"/>
      <w:r w:rsidRPr="00655137">
        <w:rPr>
          <w:rFonts w:eastAsia="Calibri"/>
        </w:rPr>
        <w:t xml:space="preserve"> </w:t>
      </w:r>
      <w:proofErr w:type="spellStart"/>
      <w:r w:rsidRPr="00655137">
        <w:rPr>
          <w:rFonts w:eastAsia="Calibri"/>
        </w:rPr>
        <w:t>Ir</w:t>
      </w:r>
      <w:proofErr w:type="spellEnd"/>
      <w:r w:rsidRPr="00655137">
        <w:rPr>
          <w:rFonts w:eastAsia="Calibri"/>
        </w:rPr>
        <w:t xml:space="preserve">, </w:t>
      </w:r>
      <w:r w:rsidRPr="00655137">
        <w:rPr>
          <w:rFonts w:eastAsia="Calibri"/>
          <w:i/>
        </w:rPr>
        <w:t>Overall assessment for Mid Term Review of Health Strategic Plan 2008-15,</w:t>
      </w:r>
      <w:r w:rsidRPr="00655137">
        <w:rPr>
          <w:rFonts w:eastAsia="Calibri"/>
        </w:rPr>
        <w:t xml:space="preserve"> HLSP, London, 2011. </w:t>
      </w:r>
    </w:p>
    <w:p w:rsidR="009F7318" w:rsidRPr="00655137" w:rsidRDefault="009F7318" w:rsidP="009F7318">
      <w:pPr>
        <w:rPr>
          <w:rFonts w:eastAsia="Calibri"/>
        </w:rPr>
      </w:pPr>
      <w:r w:rsidRPr="00655137">
        <w:rPr>
          <w:rFonts w:eastAsia="Calibri"/>
        </w:rPr>
        <w:t xml:space="preserve">Ministry of Health, </w:t>
      </w:r>
      <w:r w:rsidRPr="00655137">
        <w:rPr>
          <w:rFonts w:eastAsia="Calibri"/>
          <w:i/>
        </w:rPr>
        <w:t>Health Strategic Plan 2008-2015</w:t>
      </w:r>
      <w:r w:rsidRPr="00655137">
        <w:rPr>
          <w:rFonts w:eastAsia="Calibri"/>
        </w:rPr>
        <w:t xml:space="preserve">, Cambodia </w:t>
      </w:r>
      <w:proofErr w:type="spellStart"/>
      <w:r w:rsidRPr="00655137">
        <w:rPr>
          <w:rFonts w:eastAsia="Calibri"/>
        </w:rPr>
        <w:t>MoH</w:t>
      </w:r>
      <w:proofErr w:type="spellEnd"/>
      <w:r w:rsidRPr="00655137">
        <w:rPr>
          <w:rFonts w:eastAsia="Calibri"/>
        </w:rPr>
        <w:t xml:space="preserve">, Phnom Penh, 2008. </w:t>
      </w:r>
    </w:p>
    <w:p w:rsidR="009F7318" w:rsidRPr="00655137" w:rsidRDefault="009F7318" w:rsidP="009F7318">
      <w:pPr>
        <w:rPr>
          <w:rFonts w:eastAsia="Calibri"/>
        </w:rPr>
      </w:pPr>
      <w:r w:rsidRPr="00655137">
        <w:rPr>
          <w:rFonts w:eastAsia="Calibri"/>
        </w:rPr>
        <w:t xml:space="preserve">M Pearson, </w:t>
      </w:r>
      <w:r w:rsidRPr="00CC776F">
        <w:rPr>
          <w:rFonts w:eastAsia="Calibri"/>
          <w:i/>
        </w:rPr>
        <w:t>Options for AusAID to provide future support to the Royal Government of Cambodia in the health sector: scoping mission</w:t>
      </w:r>
      <w:r w:rsidRPr="00655137">
        <w:rPr>
          <w:rFonts w:eastAsia="Calibri"/>
        </w:rPr>
        <w:t>, AusAID HRF, Canberra, 2012.</w:t>
      </w:r>
    </w:p>
    <w:p w:rsidR="009F7318" w:rsidRPr="00655137" w:rsidRDefault="009F7318" w:rsidP="009F7318">
      <w:pPr>
        <w:rPr>
          <w:rFonts w:eastAsia="Calibri"/>
        </w:rPr>
      </w:pPr>
      <w:r w:rsidRPr="00655137">
        <w:rPr>
          <w:rFonts w:eastAsia="Calibri"/>
        </w:rPr>
        <w:t xml:space="preserve">C </w:t>
      </w:r>
      <w:proofErr w:type="spellStart"/>
      <w:r w:rsidRPr="00655137">
        <w:rPr>
          <w:rFonts w:eastAsia="Calibri"/>
        </w:rPr>
        <w:t>Örtendahl</w:t>
      </w:r>
      <w:proofErr w:type="spellEnd"/>
      <w:r w:rsidRPr="00655137">
        <w:rPr>
          <w:rFonts w:eastAsia="Calibri"/>
        </w:rPr>
        <w:t xml:space="preserve">, M Donoghue, M Pearson, J Lau, </w:t>
      </w:r>
      <w:r w:rsidRPr="00655137">
        <w:rPr>
          <w:rFonts w:eastAsia="Calibri"/>
          <w:i/>
        </w:rPr>
        <w:t xml:space="preserve">Health Sector Review 2003-2007, </w:t>
      </w:r>
      <w:r w:rsidRPr="00655137">
        <w:rPr>
          <w:rFonts w:eastAsia="Calibri"/>
        </w:rPr>
        <w:t>HLSP London August 2007.</w:t>
      </w:r>
    </w:p>
    <w:p w:rsidR="009F7318" w:rsidRPr="00655137" w:rsidRDefault="009F7318" w:rsidP="009F7318">
      <w:pPr>
        <w:rPr>
          <w:rFonts w:eastAsia="Calibri"/>
        </w:rPr>
      </w:pPr>
      <w:r w:rsidRPr="00655137">
        <w:rPr>
          <w:rFonts w:eastAsia="Calibri"/>
        </w:rPr>
        <w:t xml:space="preserve">D </w:t>
      </w:r>
      <w:proofErr w:type="spellStart"/>
      <w:r w:rsidRPr="00655137">
        <w:rPr>
          <w:rFonts w:eastAsia="Calibri"/>
        </w:rPr>
        <w:t>Vaillancourt</w:t>
      </w:r>
      <w:proofErr w:type="spellEnd"/>
      <w:r w:rsidRPr="00655137">
        <w:rPr>
          <w:rFonts w:eastAsia="Calibri"/>
        </w:rPr>
        <w:t xml:space="preserve">, A Land &amp; D </w:t>
      </w:r>
      <w:proofErr w:type="spellStart"/>
      <w:r w:rsidRPr="00655137">
        <w:rPr>
          <w:rFonts w:eastAsia="Calibri"/>
        </w:rPr>
        <w:t>Shuey</w:t>
      </w:r>
      <w:proofErr w:type="spellEnd"/>
      <w:r w:rsidRPr="00655137">
        <w:rPr>
          <w:rFonts w:eastAsia="Calibri"/>
        </w:rPr>
        <w:t xml:space="preserve">, </w:t>
      </w:r>
      <w:r w:rsidRPr="00CC776F">
        <w:rPr>
          <w:rFonts w:eastAsia="Calibri"/>
          <w:i/>
        </w:rPr>
        <w:t>Aid effectiveness in Cambodia’s health sector: an assessment of the sector-wide management (</w:t>
      </w:r>
      <w:proofErr w:type="spellStart"/>
      <w:r w:rsidRPr="00CC776F">
        <w:rPr>
          <w:rFonts w:eastAsia="Calibri"/>
          <w:i/>
        </w:rPr>
        <w:t>SWiM</w:t>
      </w:r>
      <w:proofErr w:type="spellEnd"/>
      <w:r w:rsidRPr="00CC776F">
        <w:rPr>
          <w:rFonts w:eastAsia="Calibri"/>
          <w:i/>
        </w:rPr>
        <w:t>) approach and its effect on sector performance and outcomes,</w:t>
      </w:r>
      <w:r w:rsidRPr="00655137">
        <w:rPr>
          <w:rFonts w:eastAsia="Calibri"/>
        </w:rPr>
        <w:t xml:space="preserve"> 2011 (Draft). </w:t>
      </w:r>
    </w:p>
    <w:p w:rsidR="009F7318" w:rsidRPr="00655137" w:rsidRDefault="009F7318" w:rsidP="009F7318">
      <w:pPr>
        <w:rPr>
          <w:rFonts w:eastAsia="Calibri"/>
        </w:rPr>
      </w:pPr>
      <w:proofErr w:type="gramStart"/>
      <w:r w:rsidRPr="00655137">
        <w:rPr>
          <w:rFonts w:eastAsia="Calibri"/>
        </w:rPr>
        <w:t xml:space="preserve">D Wilkinson, </w:t>
      </w:r>
      <w:r w:rsidRPr="00CC776F">
        <w:rPr>
          <w:rFonts w:eastAsia="Calibri"/>
          <w:i/>
        </w:rPr>
        <w:t>Review of the functioning of the Technical Working Group Health (TWGH),</w:t>
      </w:r>
      <w:r w:rsidRPr="00655137">
        <w:rPr>
          <w:rFonts w:eastAsia="Calibri"/>
        </w:rPr>
        <w:t xml:space="preserve"> 2012.</w:t>
      </w:r>
      <w:proofErr w:type="gramEnd"/>
    </w:p>
    <w:p w:rsidR="009F7318" w:rsidRPr="00655137" w:rsidRDefault="009F7318" w:rsidP="009F7318">
      <w:pPr>
        <w:rPr>
          <w:rFonts w:eastAsia="Calibri"/>
        </w:rPr>
      </w:pPr>
      <w:r w:rsidRPr="00655137">
        <w:rPr>
          <w:rFonts w:eastAsia="Calibri"/>
        </w:rPr>
        <w:t xml:space="preserve">World Bank, </w:t>
      </w:r>
      <w:r w:rsidRPr="00CC776F">
        <w:rPr>
          <w:rFonts w:eastAsia="Calibri"/>
          <w:i/>
        </w:rPr>
        <w:t>Implementation completion and results report: health sector support project</w:t>
      </w:r>
      <w:r w:rsidRPr="00655137">
        <w:rPr>
          <w:rFonts w:eastAsia="Calibri"/>
        </w:rPr>
        <w:t>, World Bank, Washington, DC, 2012.</w:t>
      </w:r>
    </w:p>
    <w:p w:rsidR="009F7318" w:rsidRPr="00655137" w:rsidRDefault="009F7318" w:rsidP="009F7318">
      <w:pPr>
        <w:rPr>
          <w:rFonts w:eastAsia="Calibri"/>
        </w:rPr>
      </w:pPr>
      <w:r w:rsidRPr="00655137">
        <w:rPr>
          <w:rFonts w:eastAsia="Calibri"/>
        </w:rPr>
        <w:t xml:space="preserve">World Bank, </w:t>
      </w:r>
      <w:r w:rsidRPr="00CC776F">
        <w:rPr>
          <w:rFonts w:eastAsia="Calibri"/>
          <w:i/>
        </w:rPr>
        <w:t>Program appraisal document for a Second Health Sector Support Program</w:t>
      </w:r>
      <w:r w:rsidRPr="00655137">
        <w:rPr>
          <w:rFonts w:eastAsia="Calibri"/>
        </w:rPr>
        <w:t xml:space="preserve">, World Bank, Washington, DC, 2008. </w:t>
      </w:r>
    </w:p>
    <w:p w:rsidR="009F7318" w:rsidRPr="00655137" w:rsidRDefault="009F7318" w:rsidP="009F7318">
      <w:pPr>
        <w:rPr>
          <w:rFonts w:eastAsia="Calibri"/>
        </w:rPr>
      </w:pPr>
      <w:r w:rsidRPr="00655137">
        <w:rPr>
          <w:rFonts w:eastAsia="Calibri"/>
        </w:rPr>
        <w:t xml:space="preserve">World Bank, </w:t>
      </w:r>
      <w:r w:rsidRPr="00CC776F">
        <w:rPr>
          <w:rFonts w:eastAsia="Calibri"/>
          <w:i/>
        </w:rPr>
        <w:t>More health for the money: Cambodia health public expenditure review 2010</w:t>
      </w:r>
      <w:r w:rsidRPr="00655137">
        <w:rPr>
          <w:rFonts w:eastAsia="Calibri"/>
        </w:rPr>
        <w:t xml:space="preserve">. </w:t>
      </w:r>
      <w:proofErr w:type="gramStart"/>
      <w:r w:rsidRPr="00655137">
        <w:rPr>
          <w:rFonts w:eastAsia="Calibri"/>
        </w:rPr>
        <w:t>Government of Cambodia and World Bank, 2011</w:t>
      </w:r>
      <w:r w:rsidR="005253B8">
        <w:rPr>
          <w:rFonts w:eastAsia="Calibri"/>
        </w:rPr>
        <w:t>.</w:t>
      </w:r>
      <w:proofErr w:type="gramEnd"/>
    </w:p>
    <w:p w:rsidR="009F7318" w:rsidRPr="007E5AC1" w:rsidRDefault="009F7318" w:rsidP="009F7318">
      <w:pPr>
        <w:rPr>
          <w:rFonts w:eastAsia="Calibri"/>
          <w:b/>
        </w:rPr>
      </w:pPr>
      <w:r w:rsidRPr="007E5AC1">
        <w:rPr>
          <w:rFonts w:eastAsia="Calibri"/>
          <w:b/>
        </w:rPr>
        <w:lastRenderedPageBreak/>
        <w:t xml:space="preserve">Nepal </w:t>
      </w:r>
    </w:p>
    <w:p w:rsidR="009F7318" w:rsidRPr="00655137" w:rsidRDefault="009F7318" w:rsidP="009F7318">
      <w:pPr>
        <w:rPr>
          <w:rFonts w:eastAsia="Calibri"/>
        </w:rPr>
      </w:pPr>
      <w:proofErr w:type="gramStart"/>
      <w:r w:rsidRPr="00655137">
        <w:rPr>
          <w:rFonts w:eastAsia="Calibri"/>
        </w:rPr>
        <w:t xml:space="preserve">Australian Agency for International Development, </w:t>
      </w:r>
      <w:r w:rsidRPr="00655137">
        <w:rPr>
          <w:rFonts w:eastAsia="Calibri"/>
          <w:i/>
        </w:rPr>
        <w:t>Nepal development cooperation report 2010</w:t>
      </w:r>
      <w:r w:rsidRPr="00655137">
        <w:rPr>
          <w:rFonts w:eastAsia="Calibri"/>
        </w:rPr>
        <w:t>, AusAID, Canberra, 2011.</w:t>
      </w:r>
      <w:proofErr w:type="gramEnd"/>
    </w:p>
    <w:p w:rsidR="009F7318" w:rsidRPr="00655137" w:rsidRDefault="009F7318" w:rsidP="009F7318">
      <w:pPr>
        <w:rPr>
          <w:rFonts w:eastAsia="Calibri"/>
        </w:rPr>
      </w:pPr>
      <w:proofErr w:type="gramStart"/>
      <w:r w:rsidRPr="00655137">
        <w:rPr>
          <w:rFonts w:eastAsia="Calibri"/>
        </w:rPr>
        <w:t xml:space="preserve">Australian Agency for International Development, </w:t>
      </w:r>
      <w:r w:rsidRPr="00CC776F">
        <w:rPr>
          <w:rFonts w:eastAsia="Calibri"/>
          <w:i/>
        </w:rPr>
        <w:t xml:space="preserve">Quality at implementation report for INJ722 Nepal Health Sector Program </w:t>
      </w:r>
      <w:proofErr w:type="spellStart"/>
      <w:r w:rsidRPr="00CC776F">
        <w:rPr>
          <w:rFonts w:eastAsia="Calibri"/>
          <w:i/>
        </w:rPr>
        <w:t>SWAp</w:t>
      </w:r>
      <w:proofErr w:type="spellEnd"/>
      <w:r w:rsidRPr="00CC776F">
        <w:rPr>
          <w:rFonts w:eastAsia="Calibri"/>
          <w:i/>
        </w:rPr>
        <w:t xml:space="preserve"> (IHP) _Phase II</w:t>
      </w:r>
      <w:r w:rsidRPr="00655137">
        <w:rPr>
          <w:rFonts w:eastAsia="Calibri"/>
        </w:rPr>
        <w:t>, AusAID, Canberra, 2012.</w:t>
      </w:r>
      <w:proofErr w:type="gramEnd"/>
    </w:p>
    <w:p w:rsidR="009F7318" w:rsidRPr="00655137" w:rsidRDefault="009F7318" w:rsidP="009F7318">
      <w:pPr>
        <w:rPr>
          <w:rFonts w:eastAsia="Calibri"/>
        </w:rPr>
      </w:pPr>
      <w:proofErr w:type="gramStart"/>
      <w:r w:rsidRPr="00655137">
        <w:rPr>
          <w:rFonts w:eastAsia="Calibri"/>
        </w:rPr>
        <w:t xml:space="preserve">Department for International Development, </w:t>
      </w:r>
      <w:r w:rsidRPr="00CC776F">
        <w:rPr>
          <w:rFonts w:eastAsia="Calibri"/>
          <w:i/>
        </w:rPr>
        <w:t>Annual review of DFID support to the National Health Sector Programme II,</w:t>
      </w:r>
      <w:r w:rsidRPr="00655137">
        <w:rPr>
          <w:rFonts w:eastAsia="Calibri"/>
        </w:rPr>
        <w:t xml:space="preserve"> Nepal, DFID, London, 2014.</w:t>
      </w:r>
      <w:proofErr w:type="gramEnd"/>
    </w:p>
    <w:p w:rsidR="009F7318" w:rsidRPr="00655137" w:rsidRDefault="009F7318" w:rsidP="009F7318">
      <w:pPr>
        <w:rPr>
          <w:rFonts w:eastAsia="Calibri"/>
        </w:rPr>
      </w:pPr>
      <w:r w:rsidRPr="00655137">
        <w:rPr>
          <w:rFonts w:eastAsia="Calibri"/>
        </w:rPr>
        <w:t xml:space="preserve">Health &amp; Education Advice and Resource Team, </w:t>
      </w:r>
      <w:r w:rsidRPr="00655137">
        <w:rPr>
          <w:rFonts w:eastAsia="Calibri"/>
          <w:i/>
        </w:rPr>
        <w:t>Nepal Health Sector Programme II (NHSP II): mid-term review</w:t>
      </w:r>
      <w:r w:rsidRPr="00655137">
        <w:rPr>
          <w:rFonts w:eastAsia="Calibri"/>
        </w:rPr>
        <w:t>, HEART, 2013.</w:t>
      </w:r>
    </w:p>
    <w:p w:rsidR="009F7318" w:rsidRPr="00655137" w:rsidRDefault="009F7318" w:rsidP="009F7318">
      <w:pPr>
        <w:rPr>
          <w:rFonts w:eastAsia="Calibri"/>
        </w:rPr>
      </w:pPr>
      <w:r w:rsidRPr="00655137">
        <w:rPr>
          <w:rFonts w:eastAsia="Calibri"/>
        </w:rPr>
        <w:t xml:space="preserve">D </w:t>
      </w:r>
      <w:proofErr w:type="spellStart"/>
      <w:r w:rsidRPr="00655137">
        <w:rPr>
          <w:rFonts w:eastAsia="Calibri"/>
        </w:rPr>
        <w:t>Vaillancourt</w:t>
      </w:r>
      <w:proofErr w:type="spellEnd"/>
      <w:r w:rsidRPr="00655137">
        <w:rPr>
          <w:rFonts w:eastAsia="Calibri"/>
        </w:rPr>
        <w:t xml:space="preserve"> &amp; S </w:t>
      </w:r>
      <w:proofErr w:type="spellStart"/>
      <w:r w:rsidRPr="00655137">
        <w:rPr>
          <w:rFonts w:eastAsia="Calibri"/>
        </w:rPr>
        <w:t>Pokhrel</w:t>
      </w:r>
      <w:proofErr w:type="spellEnd"/>
      <w:r w:rsidRPr="00655137">
        <w:rPr>
          <w:rFonts w:eastAsia="Calibri"/>
        </w:rPr>
        <w:t xml:space="preserve">, </w:t>
      </w:r>
      <w:r w:rsidRPr="00CC776F">
        <w:rPr>
          <w:rFonts w:eastAsia="Calibri"/>
          <w:i/>
        </w:rPr>
        <w:t>Aid effectiveness in Nepal’s health sector: accomplishments to date and measurement challenges, International Health Partnership (IHP+)</w:t>
      </w:r>
      <w:r w:rsidRPr="00655137">
        <w:rPr>
          <w:rFonts w:eastAsia="Calibri"/>
        </w:rPr>
        <w:t>, Geneva, 2012.</w:t>
      </w:r>
    </w:p>
    <w:p w:rsidR="009F7318" w:rsidRPr="00655137" w:rsidRDefault="009F7318" w:rsidP="009F7318">
      <w:pPr>
        <w:rPr>
          <w:rFonts w:eastAsia="Calibri"/>
        </w:rPr>
      </w:pPr>
      <w:proofErr w:type="gramStart"/>
      <w:r w:rsidRPr="00655137">
        <w:rPr>
          <w:rFonts w:eastAsia="Calibri"/>
        </w:rPr>
        <w:t xml:space="preserve">World Bank, </w:t>
      </w:r>
      <w:r w:rsidRPr="00CC776F">
        <w:rPr>
          <w:rFonts w:eastAsia="Calibri"/>
          <w:i/>
        </w:rPr>
        <w:t>Project appraisal document on a proposed credit to Nepal for a second HNP and HIV/AIDS project</w:t>
      </w:r>
      <w:r w:rsidRPr="00655137">
        <w:rPr>
          <w:rFonts w:eastAsia="Calibri"/>
        </w:rPr>
        <w:t>, World Bank, Washington, DC, 2010.</w:t>
      </w:r>
      <w:proofErr w:type="gramEnd"/>
    </w:p>
    <w:p w:rsidR="009F7318" w:rsidRPr="007E5AC1" w:rsidRDefault="009F7318" w:rsidP="009F7318">
      <w:pPr>
        <w:rPr>
          <w:rFonts w:eastAsia="Calibri"/>
          <w:b/>
        </w:rPr>
      </w:pPr>
      <w:r w:rsidRPr="007E5AC1">
        <w:rPr>
          <w:rFonts w:eastAsia="Calibri"/>
          <w:b/>
        </w:rPr>
        <w:t>P</w:t>
      </w:r>
      <w:r w:rsidR="00817A75">
        <w:rPr>
          <w:rFonts w:eastAsia="Calibri"/>
          <w:b/>
        </w:rPr>
        <w:t>apua New Guinea</w:t>
      </w:r>
    </w:p>
    <w:p w:rsidR="009F7318" w:rsidRPr="00655137" w:rsidRDefault="009F7318" w:rsidP="009F7318">
      <w:pPr>
        <w:rPr>
          <w:rFonts w:eastAsia="Calibri"/>
        </w:rPr>
      </w:pPr>
      <w:proofErr w:type="gramStart"/>
      <w:r w:rsidRPr="00655137">
        <w:rPr>
          <w:rFonts w:eastAsia="Calibri"/>
        </w:rPr>
        <w:t xml:space="preserve">Australian Agency for International Development, </w:t>
      </w:r>
      <w:r w:rsidRPr="00655137">
        <w:rPr>
          <w:rFonts w:eastAsia="Calibri"/>
          <w:i/>
        </w:rPr>
        <w:t>Health sector annual performance report 2010</w:t>
      </w:r>
      <w:r w:rsidRPr="00655137">
        <w:rPr>
          <w:rFonts w:eastAsia="Calibri"/>
        </w:rPr>
        <w:t>, AusAID, Canberra, 2011.</w:t>
      </w:r>
      <w:proofErr w:type="gramEnd"/>
    </w:p>
    <w:p w:rsidR="009F7318" w:rsidRPr="00655137" w:rsidRDefault="009F7318" w:rsidP="009F7318">
      <w:pPr>
        <w:rPr>
          <w:rFonts w:eastAsia="Calibri"/>
        </w:rPr>
      </w:pPr>
      <w:proofErr w:type="gramStart"/>
      <w:r w:rsidRPr="00655137">
        <w:rPr>
          <w:rFonts w:eastAsia="Calibri"/>
        </w:rPr>
        <w:t xml:space="preserve">Australian Agency for International Development, </w:t>
      </w:r>
      <w:r w:rsidRPr="00655137">
        <w:rPr>
          <w:rFonts w:eastAsia="Calibri"/>
          <w:i/>
        </w:rPr>
        <w:t>PNG Health HIV sector performance review 2012-2013</w:t>
      </w:r>
      <w:r w:rsidRPr="00655137">
        <w:rPr>
          <w:rFonts w:eastAsia="Calibri"/>
        </w:rPr>
        <w:t>, AusAID, Canberra, 2013.</w:t>
      </w:r>
      <w:proofErr w:type="gramEnd"/>
    </w:p>
    <w:p w:rsidR="00B0683F" w:rsidRDefault="00B0683F" w:rsidP="00B0683F">
      <w:pPr>
        <w:rPr>
          <w:rFonts w:eastAsia="Calibri"/>
        </w:rPr>
      </w:pPr>
      <w:proofErr w:type="gramStart"/>
      <w:r>
        <w:rPr>
          <w:rFonts w:eastAsia="Calibri"/>
        </w:rPr>
        <w:t>National Department of Health.</w:t>
      </w:r>
      <w:proofErr w:type="gramEnd"/>
      <w:r>
        <w:rPr>
          <w:rFonts w:eastAsia="Calibri"/>
        </w:rPr>
        <w:t xml:space="preserve"> </w:t>
      </w:r>
      <w:r w:rsidR="007564C2">
        <w:rPr>
          <w:rFonts w:eastAsia="Calibri"/>
        </w:rPr>
        <w:t xml:space="preserve"> </w:t>
      </w:r>
      <w:r w:rsidRPr="007564C2">
        <w:rPr>
          <w:rFonts w:eastAsia="Calibri"/>
          <w:i/>
        </w:rPr>
        <w:t xml:space="preserve">Gender </w:t>
      </w:r>
      <w:proofErr w:type="gramStart"/>
      <w:r w:rsidRPr="007564C2">
        <w:rPr>
          <w:rFonts w:eastAsia="Calibri"/>
          <w:i/>
        </w:rPr>
        <w:t>Policy  -</w:t>
      </w:r>
      <w:proofErr w:type="gramEnd"/>
      <w:r w:rsidRPr="007564C2">
        <w:rPr>
          <w:rFonts w:eastAsia="Calibri"/>
          <w:i/>
        </w:rPr>
        <w:t xml:space="preserve">  August 2013 version for National Health Board</w:t>
      </w:r>
      <w:r w:rsidRPr="00B0683F">
        <w:rPr>
          <w:rFonts w:eastAsia="Calibri"/>
        </w:rPr>
        <w:t>.</w:t>
      </w:r>
      <w:r>
        <w:rPr>
          <w:rFonts w:eastAsia="Calibri"/>
        </w:rPr>
        <w:t xml:space="preserve"> August 2013.</w:t>
      </w:r>
    </w:p>
    <w:p w:rsidR="007564C2" w:rsidRDefault="007564C2" w:rsidP="007564C2">
      <w:pPr>
        <w:rPr>
          <w:rFonts w:eastAsia="Calibri"/>
        </w:rPr>
      </w:pPr>
      <w:proofErr w:type="gramStart"/>
      <w:r>
        <w:rPr>
          <w:rFonts w:eastAsia="Calibri"/>
        </w:rPr>
        <w:t>National Department of Health.</w:t>
      </w:r>
      <w:proofErr w:type="gramEnd"/>
      <w:r>
        <w:rPr>
          <w:rFonts w:eastAsia="Calibri"/>
        </w:rPr>
        <w:t xml:space="preserve">  </w:t>
      </w:r>
      <w:proofErr w:type="gramStart"/>
      <w:r w:rsidRPr="007564C2">
        <w:rPr>
          <w:rFonts w:eastAsia="Calibri"/>
          <w:i/>
        </w:rPr>
        <w:t>Independent Capacity Diagnostic Assessment</w:t>
      </w:r>
      <w:r>
        <w:rPr>
          <w:rFonts w:eastAsia="Calibri"/>
        </w:rPr>
        <w:t>.</w:t>
      </w:r>
      <w:proofErr w:type="gramEnd"/>
      <w:r>
        <w:rPr>
          <w:rFonts w:eastAsia="Calibri"/>
        </w:rPr>
        <w:t xml:space="preserve"> </w:t>
      </w:r>
      <w:proofErr w:type="gramStart"/>
      <w:r w:rsidRPr="007564C2">
        <w:rPr>
          <w:rFonts w:eastAsia="Calibri"/>
        </w:rPr>
        <w:t>Final Report</w:t>
      </w:r>
      <w:r>
        <w:rPr>
          <w:rFonts w:eastAsia="Calibri"/>
        </w:rPr>
        <w:t>.</w:t>
      </w:r>
      <w:proofErr w:type="gramEnd"/>
      <w:r>
        <w:rPr>
          <w:rFonts w:eastAsia="Calibri"/>
        </w:rPr>
        <w:t xml:space="preserve"> </w:t>
      </w:r>
      <w:r w:rsidRPr="007564C2">
        <w:rPr>
          <w:rFonts w:eastAsia="Calibri"/>
        </w:rPr>
        <w:t>December</w:t>
      </w:r>
      <w:r>
        <w:rPr>
          <w:rFonts w:eastAsia="Calibri"/>
        </w:rPr>
        <w:t xml:space="preserve"> 2013</w:t>
      </w:r>
    </w:p>
    <w:p w:rsidR="009F7318" w:rsidRPr="00655137" w:rsidRDefault="009F7318" w:rsidP="009F7318">
      <w:pPr>
        <w:rPr>
          <w:rFonts w:eastAsia="Calibri"/>
        </w:rPr>
      </w:pPr>
      <w:r w:rsidRPr="00655137">
        <w:rPr>
          <w:rFonts w:eastAsia="Calibri"/>
        </w:rPr>
        <w:t xml:space="preserve">M Foster &amp; J </w:t>
      </w:r>
      <w:proofErr w:type="spellStart"/>
      <w:r w:rsidRPr="00655137">
        <w:rPr>
          <w:rFonts w:eastAsia="Calibri"/>
        </w:rPr>
        <w:t>Piel</w:t>
      </w:r>
      <w:proofErr w:type="spellEnd"/>
      <w:r w:rsidRPr="00655137">
        <w:rPr>
          <w:rFonts w:eastAsia="Calibri"/>
        </w:rPr>
        <w:t xml:space="preserve">, </w:t>
      </w:r>
      <w:r w:rsidRPr="006956F8">
        <w:rPr>
          <w:rFonts w:eastAsia="Calibri"/>
          <w:i/>
        </w:rPr>
        <w:t>Review of Health Sector Improvement Program Trust Account</w:t>
      </w:r>
      <w:r w:rsidRPr="00655137">
        <w:rPr>
          <w:rFonts w:eastAsia="Calibri"/>
        </w:rPr>
        <w:t>, 2010.</w:t>
      </w:r>
    </w:p>
    <w:p w:rsidR="009F7318" w:rsidRPr="00655137" w:rsidRDefault="009F7318" w:rsidP="009F7318">
      <w:pPr>
        <w:rPr>
          <w:rFonts w:eastAsia="Calibri"/>
        </w:rPr>
      </w:pPr>
      <w:r w:rsidRPr="00655137">
        <w:rPr>
          <w:rFonts w:eastAsia="Calibri"/>
        </w:rPr>
        <w:t xml:space="preserve">K </w:t>
      </w:r>
      <w:proofErr w:type="spellStart"/>
      <w:r w:rsidRPr="00655137">
        <w:rPr>
          <w:rFonts w:eastAsia="Calibri"/>
        </w:rPr>
        <w:t>Janovsky</w:t>
      </w:r>
      <w:proofErr w:type="spellEnd"/>
      <w:r w:rsidRPr="00655137">
        <w:rPr>
          <w:rFonts w:eastAsia="Calibri"/>
        </w:rPr>
        <w:t xml:space="preserve">, </w:t>
      </w:r>
      <w:r w:rsidRPr="006956F8">
        <w:rPr>
          <w:rFonts w:eastAsia="Calibri"/>
          <w:i/>
        </w:rPr>
        <w:t xml:space="preserve">The PNG </w:t>
      </w:r>
      <w:proofErr w:type="spellStart"/>
      <w:r w:rsidRPr="006956F8">
        <w:rPr>
          <w:rFonts w:eastAsia="Calibri"/>
          <w:i/>
        </w:rPr>
        <w:t>SWAp</w:t>
      </w:r>
      <w:proofErr w:type="spellEnd"/>
      <w:r w:rsidRPr="006956F8">
        <w:rPr>
          <w:rFonts w:eastAsia="Calibri"/>
          <w:i/>
        </w:rPr>
        <w:t xml:space="preserve"> review: streamlining and strengthening mechanisms for sector coordination and policy dialogue</w:t>
      </w:r>
      <w:r w:rsidRPr="00655137">
        <w:rPr>
          <w:rFonts w:eastAsia="Calibri"/>
        </w:rPr>
        <w:t>, 2010 (a).</w:t>
      </w:r>
    </w:p>
    <w:p w:rsidR="009F7318" w:rsidRDefault="009F7318" w:rsidP="009F7318">
      <w:pPr>
        <w:rPr>
          <w:rFonts w:eastAsia="Calibri"/>
        </w:rPr>
      </w:pPr>
      <w:proofErr w:type="gramStart"/>
      <w:r w:rsidRPr="00655137">
        <w:rPr>
          <w:rFonts w:eastAsia="Calibri"/>
        </w:rPr>
        <w:t xml:space="preserve">K </w:t>
      </w:r>
      <w:proofErr w:type="spellStart"/>
      <w:r w:rsidRPr="00655137">
        <w:rPr>
          <w:rFonts w:eastAsia="Calibri"/>
        </w:rPr>
        <w:t>Janovsky</w:t>
      </w:r>
      <w:proofErr w:type="spellEnd"/>
      <w:r w:rsidRPr="00655137">
        <w:rPr>
          <w:rFonts w:eastAsia="Calibri"/>
        </w:rPr>
        <w:t xml:space="preserve"> et al, </w:t>
      </w:r>
      <w:r w:rsidRPr="00655137">
        <w:rPr>
          <w:rFonts w:eastAsia="Calibri"/>
          <w:i/>
        </w:rPr>
        <w:t xml:space="preserve">The PNG Health </w:t>
      </w:r>
      <w:proofErr w:type="spellStart"/>
      <w:r w:rsidRPr="00655137">
        <w:rPr>
          <w:rFonts w:eastAsia="Calibri"/>
          <w:i/>
        </w:rPr>
        <w:t>SWAp</w:t>
      </w:r>
      <w:proofErr w:type="spellEnd"/>
      <w:r w:rsidRPr="00655137">
        <w:rPr>
          <w:rFonts w:eastAsia="Calibri"/>
          <w:i/>
        </w:rPr>
        <w:t xml:space="preserve"> review</w:t>
      </w:r>
      <w:r w:rsidRPr="00655137">
        <w:rPr>
          <w:rFonts w:eastAsia="Calibri"/>
        </w:rPr>
        <w:t xml:space="preserve">, </w:t>
      </w:r>
      <w:r w:rsidRPr="008B7071">
        <w:rPr>
          <w:rFonts w:eastAsia="Calibri"/>
        </w:rPr>
        <w:t>2010 (b)</w:t>
      </w:r>
      <w:r>
        <w:rPr>
          <w:rFonts w:eastAsia="Calibri"/>
        </w:rPr>
        <w:t>.</w:t>
      </w:r>
      <w:proofErr w:type="gramEnd"/>
      <w:r>
        <w:rPr>
          <w:rFonts w:eastAsia="Calibri"/>
        </w:rPr>
        <w:t xml:space="preserve"> </w:t>
      </w:r>
    </w:p>
    <w:p w:rsidR="00B0683F" w:rsidRPr="00655137" w:rsidRDefault="00B0683F" w:rsidP="00B0683F">
      <w:pPr>
        <w:rPr>
          <w:rFonts w:eastAsia="Calibri"/>
        </w:rPr>
      </w:pPr>
      <w:r>
        <w:rPr>
          <w:rFonts w:eastAsia="Calibri"/>
        </w:rPr>
        <w:t xml:space="preserve">No Author. </w:t>
      </w:r>
      <w:r w:rsidRPr="007564C2">
        <w:rPr>
          <w:rFonts w:eastAsia="Calibri"/>
          <w:i/>
        </w:rPr>
        <w:t>Health Sector Partnership Committee Review</w:t>
      </w:r>
      <w:r>
        <w:rPr>
          <w:rFonts w:eastAsia="Calibri"/>
        </w:rPr>
        <w:t>, July 2014</w:t>
      </w:r>
    </w:p>
    <w:p w:rsidR="009F7318" w:rsidRPr="00655137" w:rsidRDefault="009F7318" w:rsidP="009F7318">
      <w:pPr>
        <w:rPr>
          <w:rFonts w:eastAsia="Calibri"/>
        </w:rPr>
      </w:pPr>
      <w:r w:rsidRPr="00655137">
        <w:rPr>
          <w:rFonts w:eastAsia="Calibri"/>
        </w:rPr>
        <w:t xml:space="preserve">S Richards, G </w:t>
      </w:r>
      <w:proofErr w:type="spellStart"/>
      <w:r w:rsidRPr="00655137">
        <w:rPr>
          <w:rFonts w:eastAsia="Calibri"/>
        </w:rPr>
        <w:t>Rupa</w:t>
      </w:r>
      <w:proofErr w:type="spellEnd"/>
      <w:r w:rsidRPr="00655137">
        <w:rPr>
          <w:rFonts w:eastAsia="Calibri"/>
        </w:rPr>
        <w:t xml:space="preserve">, L Shaw &amp; I Glastonbury, </w:t>
      </w:r>
      <w:r w:rsidRPr="006956F8">
        <w:rPr>
          <w:rFonts w:eastAsia="Calibri"/>
          <w:i/>
        </w:rPr>
        <w:t>Re-design of the health services improvement program (HSIP) Trust Account</w:t>
      </w:r>
      <w:r w:rsidRPr="00655137">
        <w:rPr>
          <w:rFonts w:eastAsia="Calibri"/>
        </w:rPr>
        <w:t>, 2012.</w:t>
      </w:r>
    </w:p>
    <w:p w:rsidR="009F7318" w:rsidRPr="00655137" w:rsidRDefault="009F7318" w:rsidP="009F7318">
      <w:pPr>
        <w:rPr>
          <w:rFonts w:eastAsia="Calibri"/>
        </w:rPr>
      </w:pPr>
      <w:r w:rsidRPr="00655137">
        <w:rPr>
          <w:rFonts w:eastAsia="Calibri"/>
        </w:rPr>
        <w:t xml:space="preserve">R Van West-Charles et al, </w:t>
      </w:r>
      <w:r w:rsidRPr="006956F8">
        <w:rPr>
          <w:rFonts w:eastAsia="Calibri"/>
          <w:i/>
        </w:rPr>
        <w:t>Independent annual sector review 2012 report: accelerating health improvement in poor performing districts</w:t>
      </w:r>
      <w:r w:rsidRPr="00655137">
        <w:rPr>
          <w:rFonts w:eastAsia="Calibri"/>
        </w:rPr>
        <w:t>, 2012.</w:t>
      </w:r>
    </w:p>
    <w:p w:rsidR="009F7318" w:rsidRPr="007E5AC1" w:rsidRDefault="009F7318" w:rsidP="009F7318">
      <w:pPr>
        <w:rPr>
          <w:rFonts w:eastAsia="Calibri"/>
          <w:b/>
        </w:rPr>
      </w:pPr>
      <w:r w:rsidRPr="007E5AC1">
        <w:rPr>
          <w:rFonts w:eastAsia="Calibri"/>
          <w:b/>
        </w:rPr>
        <w:t>Samoa</w:t>
      </w:r>
    </w:p>
    <w:p w:rsidR="009F7318" w:rsidRPr="00655137" w:rsidRDefault="009F7318" w:rsidP="009F7318">
      <w:pPr>
        <w:rPr>
          <w:rFonts w:eastAsia="Calibri"/>
        </w:rPr>
      </w:pPr>
      <w:r w:rsidRPr="00655137">
        <w:rPr>
          <w:rFonts w:eastAsia="Calibri"/>
        </w:rPr>
        <w:t xml:space="preserve">Aide memoire, </w:t>
      </w:r>
      <w:r w:rsidRPr="006956F8">
        <w:rPr>
          <w:rFonts w:eastAsia="Calibri"/>
          <w:i/>
        </w:rPr>
        <w:t xml:space="preserve">Samoa Health </w:t>
      </w:r>
      <w:proofErr w:type="spellStart"/>
      <w:r w:rsidRPr="006956F8">
        <w:rPr>
          <w:rFonts w:eastAsia="Calibri"/>
          <w:i/>
        </w:rPr>
        <w:t>SWAp</w:t>
      </w:r>
      <w:proofErr w:type="spellEnd"/>
      <w:r w:rsidRPr="006956F8">
        <w:rPr>
          <w:rFonts w:eastAsia="Calibri"/>
          <w:i/>
        </w:rPr>
        <w:t xml:space="preserve"> Program, health redevelopment and program implementation review mission</w:t>
      </w:r>
      <w:r w:rsidRPr="00655137">
        <w:rPr>
          <w:rFonts w:eastAsia="Calibri"/>
        </w:rPr>
        <w:t>, December 8-16, 2011</w:t>
      </w:r>
      <w:r w:rsidR="005253B8">
        <w:rPr>
          <w:rFonts w:eastAsia="Calibri"/>
        </w:rPr>
        <w:t>.</w:t>
      </w:r>
    </w:p>
    <w:p w:rsidR="009F7318" w:rsidRPr="00655137" w:rsidRDefault="009F7318" w:rsidP="009F7318">
      <w:pPr>
        <w:rPr>
          <w:rFonts w:eastAsia="Calibri"/>
        </w:rPr>
      </w:pPr>
      <w:proofErr w:type="gramStart"/>
      <w:r w:rsidRPr="00655137">
        <w:rPr>
          <w:rFonts w:eastAsia="Calibri"/>
        </w:rPr>
        <w:t>Aide memoire</w:t>
      </w:r>
      <w:r w:rsidRPr="006956F8">
        <w:rPr>
          <w:rFonts w:eastAsia="Calibri"/>
          <w:i/>
        </w:rPr>
        <w:t xml:space="preserve">, Samoa Health </w:t>
      </w:r>
      <w:proofErr w:type="spellStart"/>
      <w:r w:rsidRPr="006956F8">
        <w:rPr>
          <w:rFonts w:eastAsia="Calibri"/>
          <w:i/>
        </w:rPr>
        <w:t>SWAp</w:t>
      </w:r>
      <w:proofErr w:type="spellEnd"/>
      <w:r w:rsidRPr="006956F8">
        <w:rPr>
          <w:rFonts w:eastAsia="Calibri"/>
          <w:i/>
        </w:rPr>
        <w:t xml:space="preserve"> Program, implementation support mission</w:t>
      </w:r>
      <w:r w:rsidRPr="00655137">
        <w:rPr>
          <w:rFonts w:eastAsia="Calibri"/>
        </w:rPr>
        <w:t>, March 19-23, 2012 (a).</w:t>
      </w:r>
      <w:proofErr w:type="gramEnd"/>
      <w:r w:rsidRPr="00655137">
        <w:rPr>
          <w:rFonts w:eastAsia="Calibri"/>
        </w:rPr>
        <w:t xml:space="preserve"> </w:t>
      </w:r>
    </w:p>
    <w:p w:rsidR="009F7318" w:rsidRPr="00655137" w:rsidRDefault="009F7318" w:rsidP="009F7318">
      <w:pPr>
        <w:rPr>
          <w:rFonts w:eastAsia="Calibri"/>
        </w:rPr>
      </w:pPr>
      <w:r w:rsidRPr="00655137">
        <w:rPr>
          <w:rFonts w:eastAsia="Calibri"/>
        </w:rPr>
        <w:t xml:space="preserve">Aide memoire, </w:t>
      </w:r>
      <w:r w:rsidRPr="006956F8">
        <w:rPr>
          <w:rFonts w:eastAsia="Calibri"/>
          <w:i/>
        </w:rPr>
        <w:t xml:space="preserve">Samoa Health </w:t>
      </w:r>
      <w:proofErr w:type="spellStart"/>
      <w:r w:rsidRPr="006956F8">
        <w:rPr>
          <w:rFonts w:eastAsia="Calibri"/>
          <w:i/>
        </w:rPr>
        <w:t>SWAp</w:t>
      </w:r>
      <w:proofErr w:type="spellEnd"/>
      <w:r w:rsidRPr="006956F8">
        <w:rPr>
          <w:rFonts w:eastAsia="Calibri"/>
          <w:i/>
        </w:rPr>
        <w:t xml:space="preserve"> Program, joint review mission</w:t>
      </w:r>
      <w:r w:rsidRPr="00655137">
        <w:rPr>
          <w:rFonts w:eastAsia="Calibri"/>
        </w:rPr>
        <w:t xml:space="preserve">, 21 October-1 November, 2012 (b). </w:t>
      </w:r>
    </w:p>
    <w:p w:rsidR="009F7318" w:rsidRPr="00655137" w:rsidRDefault="009F7318" w:rsidP="009F7318">
      <w:pPr>
        <w:rPr>
          <w:rFonts w:eastAsia="Calibri"/>
        </w:rPr>
      </w:pPr>
      <w:proofErr w:type="gramStart"/>
      <w:r w:rsidRPr="00655137">
        <w:rPr>
          <w:rFonts w:eastAsia="Calibri"/>
        </w:rPr>
        <w:lastRenderedPageBreak/>
        <w:t>Aide memoire</w:t>
      </w:r>
      <w:r w:rsidRPr="006956F8">
        <w:rPr>
          <w:rFonts w:eastAsia="Calibri"/>
          <w:i/>
        </w:rPr>
        <w:t xml:space="preserve">, Samoa Health </w:t>
      </w:r>
      <w:proofErr w:type="spellStart"/>
      <w:r w:rsidRPr="006956F8">
        <w:rPr>
          <w:rFonts w:eastAsia="Calibri"/>
          <w:i/>
        </w:rPr>
        <w:t>SWAp</w:t>
      </w:r>
      <w:proofErr w:type="spellEnd"/>
      <w:r w:rsidRPr="006956F8">
        <w:rPr>
          <w:rFonts w:eastAsia="Calibri"/>
          <w:i/>
        </w:rPr>
        <w:t xml:space="preserve"> Program, joint review mission</w:t>
      </w:r>
      <w:r w:rsidRPr="00655137">
        <w:rPr>
          <w:rFonts w:eastAsia="Calibri"/>
        </w:rPr>
        <w:t>, April 15-26, 2013.</w:t>
      </w:r>
      <w:proofErr w:type="gramEnd"/>
    </w:p>
    <w:p w:rsidR="009F7318" w:rsidRPr="00655137" w:rsidRDefault="009F7318" w:rsidP="009F7318">
      <w:pPr>
        <w:rPr>
          <w:rFonts w:eastAsia="Calibri"/>
        </w:rPr>
      </w:pPr>
      <w:r w:rsidRPr="00655137">
        <w:rPr>
          <w:rFonts w:eastAsia="Calibri"/>
        </w:rPr>
        <w:t xml:space="preserve">P Davies, </w:t>
      </w:r>
      <w:r w:rsidRPr="006956F8">
        <w:rPr>
          <w:rFonts w:eastAsia="Calibri"/>
          <w:i/>
        </w:rPr>
        <w:t xml:space="preserve">Evaluation of Samoa Health Sector Management Program (Health </w:t>
      </w:r>
      <w:proofErr w:type="spellStart"/>
      <w:r w:rsidRPr="006956F8">
        <w:rPr>
          <w:rFonts w:eastAsia="Calibri"/>
          <w:i/>
        </w:rPr>
        <w:t>SWAp</w:t>
      </w:r>
      <w:proofErr w:type="spellEnd"/>
      <w:r w:rsidRPr="006956F8">
        <w:rPr>
          <w:rFonts w:eastAsia="Calibri"/>
          <w:i/>
        </w:rPr>
        <w:t>)</w:t>
      </w:r>
      <w:r w:rsidRPr="00655137">
        <w:rPr>
          <w:rFonts w:eastAsia="Calibri"/>
        </w:rPr>
        <w:t>, AusAID Health Resource Facility, Canberra, 2013.</w:t>
      </w:r>
    </w:p>
    <w:p w:rsidR="009F7318" w:rsidRPr="00655137" w:rsidRDefault="009F7318" w:rsidP="009F7318">
      <w:pPr>
        <w:rPr>
          <w:rFonts w:eastAsia="Calibri"/>
        </w:rPr>
      </w:pPr>
      <w:r w:rsidRPr="00655137">
        <w:rPr>
          <w:rFonts w:eastAsia="Calibri"/>
        </w:rPr>
        <w:t xml:space="preserve">J </w:t>
      </w:r>
      <w:proofErr w:type="spellStart"/>
      <w:r w:rsidRPr="00655137">
        <w:rPr>
          <w:rFonts w:eastAsia="Calibri"/>
        </w:rPr>
        <w:t>Negin</w:t>
      </w:r>
      <w:proofErr w:type="spellEnd"/>
      <w:r w:rsidRPr="00655137">
        <w:rPr>
          <w:rFonts w:eastAsia="Calibri"/>
        </w:rPr>
        <w:t xml:space="preserve">, </w:t>
      </w:r>
      <w:r w:rsidRPr="006956F8">
        <w:rPr>
          <w:rFonts w:eastAsia="Calibri"/>
          <w:i/>
        </w:rPr>
        <w:t>Sector wide approaches for health: a comparative study of experiences in Samoa and the Solomon Islands</w:t>
      </w:r>
      <w:r w:rsidRPr="00655137">
        <w:rPr>
          <w:rFonts w:eastAsia="Calibri"/>
        </w:rPr>
        <w:t xml:space="preserve">, </w:t>
      </w:r>
      <w:proofErr w:type="spellStart"/>
      <w:r w:rsidRPr="00655137">
        <w:rPr>
          <w:rFonts w:eastAsia="Calibri"/>
        </w:rPr>
        <w:t>Nossal</w:t>
      </w:r>
      <w:proofErr w:type="spellEnd"/>
      <w:r w:rsidRPr="00655137">
        <w:rPr>
          <w:rFonts w:eastAsia="Calibri"/>
        </w:rPr>
        <w:t xml:space="preserve"> Institute, Health Policy and Health Financing Knowledge Hub, Melbourne, 2010.</w:t>
      </w:r>
    </w:p>
    <w:p w:rsidR="009F7318" w:rsidRPr="00655137" w:rsidRDefault="009F7318" w:rsidP="009F7318">
      <w:pPr>
        <w:rPr>
          <w:rFonts w:eastAsia="Calibri"/>
        </w:rPr>
      </w:pPr>
      <w:r w:rsidRPr="00655137">
        <w:rPr>
          <w:rFonts w:eastAsia="Calibri"/>
        </w:rPr>
        <w:t xml:space="preserve">D </w:t>
      </w:r>
      <w:proofErr w:type="spellStart"/>
      <w:r w:rsidRPr="00655137">
        <w:rPr>
          <w:rFonts w:eastAsia="Calibri"/>
        </w:rPr>
        <w:t>Vaillancourt</w:t>
      </w:r>
      <w:proofErr w:type="spellEnd"/>
      <w:r w:rsidRPr="00655137">
        <w:rPr>
          <w:rFonts w:eastAsia="Calibri"/>
        </w:rPr>
        <w:t xml:space="preserve">, </w:t>
      </w:r>
      <w:proofErr w:type="gramStart"/>
      <w:r w:rsidRPr="006956F8">
        <w:rPr>
          <w:rFonts w:eastAsia="Calibri"/>
          <w:i/>
        </w:rPr>
        <w:t>In</w:t>
      </w:r>
      <w:proofErr w:type="gramEnd"/>
      <w:r w:rsidRPr="006956F8">
        <w:rPr>
          <w:rFonts w:eastAsia="Calibri"/>
          <w:i/>
        </w:rPr>
        <w:t xml:space="preserve"> sweet harmony? A review of health and education </w:t>
      </w:r>
      <w:proofErr w:type="spellStart"/>
      <w:r w:rsidRPr="006956F8">
        <w:rPr>
          <w:rFonts w:eastAsia="Calibri"/>
          <w:i/>
        </w:rPr>
        <w:t>sectorwide</w:t>
      </w:r>
      <w:proofErr w:type="spellEnd"/>
      <w:r w:rsidRPr="006956F8">
        <w:rPr>
          <w:rFonts w:eastAsia="Calibri"/>
          <w:i/>
        </w:rPr>
        <w:t xml:space="preserve"> approaches in the South Pacific, Appendix 2: Samoa Health </w:t>
      </w:r>
      <w:proofErr w:type="spellStart"/>
      <w:r w:rsidRPr="006956F8">
        <w:rPr>
          <w:rFonts w:eastAsia="Calibri"/>
          <w:i/>
        </w:rPr>
        <w:t>SWAp</w:t>
      </w:r>
      <w:proofErr w:type="spellEnd"/>
      <w:r w:rsidRPr="006956F8">
        <w:rPr>
          <w:rFonts w:eastAsia="Calibri"/>
          <w:i/>
        </w:rPr>
        <w:t>,</w:t>
      </w:r>
      <w:r w:rsidRPr="00655137">
        <w:rPr>
          <w:rFonts w:eastAsia="Calibri"/>
        </w:rPr>
        <w:t xml:space="preserve"> World Bank, Washington DC, 2012 (b).</w:t>
      </w:r>
    </w:p>
    <w:p w:rsidR="009F7318" w:rsidRPr="007E5AC1" w:rsidRDefault="009F7318" w:rsidP="009F7318">
      <w:pPr>
        <w:rPr>
          <w:rFonts w:eastAsia="Calibri"/>
          <w:b/>
        </w:rPr>
      </w:pPr>
      <w:r w:rsidRPr="007E5AC1">
        <w:rPr>
          <w:rFonts w:eastAsia="Calibri"/>
          <w:b/>
        </w:rPr>
        <w:t>Solomon Islands</w:t>
      </w:r>
    </w:p>
    <w:p w:rsidR="009F7318" w:rsidRPr="00655137" w:rsidRDefault="009F7318" w:rsidP="009F7318">
      <w:pPr>
        <w:rPr>
          <w:rFonts w:eastAsia="Calibri"/>
        </w:rPr>
      </w:pPr>
      <w:proofErr w:type="gramStart"/>
      <w:r w:rsidRPr="00655137">
        <w:rPr>
          <w:rFonts w:eastAsia="Calibri"/>
        </w:rPr>
        <w:t>Australian Government, Department of Foreign Affairs and Trade.</w:t>
      </w:r>
      <w:proofErr w:type="gramEnd"/>
      <w:r w:rsidRPr="00655137">
        <w:rPr>
          <w:rFonts w:eastAsia="Calibri"/>
        </w:rPr>
        <w:t xml:space="preserve"> </w:t>
      </w:r>
      <w:r w:rsidRPr="006956F8">
        <w:rPr>
          <w:rFonts w:eastAsia="Calibri"/>
          <w:i/>
        </w:rPr>
        <w:t xml:space="preserve">Aid Program Performance Report 2012-2013. </w:t>
      </w:r>
      <w:proofErr w:type="gramStart"/>
      <w:r w:rsidRPr="006956F8">
        <w:rPr>
          <w:rFonts w:eastAsia="Calibri"/>
          <w:i/>
        </w:rPr>
        <w:t>Regional Assistance Mission Solomon Islands</w:t>
      </w:r>
      <w:r w:rsidRPr="00655137">
        <w:rPr>
          <w:rFonts w:eastAsia="Calibri"/>
        </w:rPr>
        <w:t>.</w:t>
      </w:r>
      <w:proofErr w:type="gramEnd"/>
      <w:r w:rsidRPr="00655137">
        <w:rPr>
          <w:rFonts w:eastAsia="Calibri"/>
        </w:rPr>
        <w:t xml:space="preserve"> </w:t>
      </w:r>
      <w:proofErr w:type="gramStart"/>
      <w:r w:rsidRPr="00655137">
        <w:rPr>
          <w:rFonts w:eastAsia="Calibri"/>
        </w:rPr>
        <w:t>Canberra, 2013.</w:t>
      </w:r>
      <w:proofErr w:type="gramEnd"/>
      <w:r w:rsidRPr="00655137">
        <w:rPr>
          <w:rFonts w:eastAsia="Calibri"/>
        </w:rPr>
        <w:t xml:space="preserve"> </w:t>
      </w:r>
    </w:p>
    <w:p w:rsidR="009F7318" w:rsidRPr="00655137" w:rsidRDefault="009F7318" w:rsidP="009F7318">
      <w:pPr>
        <w:rPr>
          <w:rFonts w:eastAsia="Calibri"/>
        </w:rPr>
      </w:pPr>
      <w:r w:rsidRPr="00655137">
        <w:rPr>
          <w:rFonts w:eastAsia="Calibri"/>
          <w:i/>
        </w:rPr>
        <w:t>Assessment of the health sector public financial management systems, Solomon Islands, draft report</w:t>
      </w:r>
      <w:r w:rsidRPr="00655137">
        <w:rPr>
          <w:rFonts w:eastAsia="Calibri"/>
        </w:rPr>
        <w:t>, AusAID, Canberra, 2012</w:t>
      </w:r>
      <w:r w:rsidR="005253B8">
        <w:rPr>
          <w:rFonts w:eastAsia="Calibri"/>
        </w:rPr>
        <w:t>.</w:t>
      </w:r>
    </w:p>
    <w:p w:rsidR="009F7318" w:rsidRPr="00655137" w:rsidRDefault="009F7318" w:rsidP="009F7318">
      <w:pPr>
        <w:rPr>
          <w:rFonts w:eastAsia="Calibri"/>
        </w:rPr>
      </w:pPr>
      <w:r w:rsidRPr="00655137">
        <w:rPr>
          <w:rFonts w:eastAsia="Calibri"/>
        </w:rPr>
        <w:t xml:space="preserve">Australian Agency for International Development, </w:t>
      </w:r>
      <w:r w:rsidRPr="006956F8">
        <w:rPr>
          <w:rFonts w:eastAsia="Calibri"/>
          <w:i/>
        </w:rPr>
        <w:t xml:space="preserve">AusAID support to the Solomon Islands health sector (2012-2016): program delivery plan, </w:t>
      </w:r>
      <w:r w:rsidRPr="00655137">
        <w:rPr>
          <w:rFonts w:eastAsia="Calibri"/>
        </w:rPr>
        <w:t xml:space="preserve">AusAID, Canberra, 2012 (draft). </w:t>
      </w:r>
    </w:p>
    <w:p w:rsidR="009D5095" w:rsidRDefault="009D5095" w:rsidP="009D5095">
      <w:pPr>
        <w:rPr>
          <w:rFonts w:eastAsia="Calibri"/>
        </w:rPr>
      </w:pPr>
      <w:proofErr w:type="gramStart"/>
      <w:r>
        <w:rPr>
          <w:rFonts w:eastAsia="Calibri"/>
        </w:rPr>
        <w:t>Health Metrics Network.</w:t>
      </w:r>
      <w:proofErr w:type="gramEnd"/>
      <w:r>
        <w:rPr>
          <w:rFonts w:eastAsia="Calibri"/>
        </w:rPr>
        <w:t xml:space="preserve"> </w:t>
      </w:r>
      <w:r w:rsidRPr="009D5095">
        <w:rPr>
          <w:rFonts w:eastAsia="Calibri"/>
          <w:i/>
        </w:rPr>
        <w:t>Core Indicator Report 2012</w:t>
      </w:r>
      <w:r>
        <w:rPr>
          <w:rFonts w:eastAsia="Calibri"/>
        </w:rPr>
        <w:t xml:space="preserve"> - </w:t>
      </w:r>
      <w:r w:rsidRPr="009D5095">
        <w:rPr>
          <w:rFonts w:eastAsia="Calibri"/>
        </w:rPr>
        <w:t>Solomon Islands</w:t>
      </w:r>
      <w:r>
        <w:rPr>
          <w:rFonts w:eastAsia="Calibri"/>
        </w:rPr>
        <w:t>. August 2013</w:t>
      </w:r>
    </w:p>
    <w:p w:rsidR="009F7318" w:rsidRPr="00655137" w:rsidRDefault="009F7318" w:rsidP="009F7318">
      <w:pPr>
        <w:rPr>
          <w:rFonts w:eastAsia="Calibri"/>
        </w:rPr>
      </w:pPr>
      <w:r w:rsidRPr="00655137">
        <w:rPr>
          <w:rFonts w:eastAsia="Calibri"/>
        </w:rPr>
        <w:t xml:space="preserve">Independent Performance Assessment Panel, </w:t>
      </w:r>
      <w:r w:rsidRPr="00655137">
        <w:rPr>
          <w:rFonts w:eastAsia="Calibri"/>
          <w:i/>
        </w:rPr>
        <w:t>Solomon Islands - Australia Partnership for Development: assessment for 2012</w:t>
      </w:r>
      <w:r w:rsidRPr="00655137">
        <w:rPr>
          <w:rFonts w:eastAsia="Calibri"/>
        </w:rPr>
        <w:t>, AusAID, Canberra, 2013</w:t>
      </w:r>
      <w:r>
        <w:rPr>
          <w:rFonts w:eastAsia="Calibri"/>
        </w:rPr>
        <w:t xml:space="preserve">. </w:t>
      </w:r>
    </w:p>
    <w:p w:rsidR="009F7318" w:rsidRDefault="009F7318" w:rsidP="009F7318">
      <w:pPr>
        <w:rPr>
          <w:rFonts w:eastAsia="Calibri"/>
        </w:rPr>
      </w:pPr>
      <w:r w:rsidRPr="00655137">
        <w:rPr>
          <w:rFonts w:eastAsia="Calibri"/>
        </w:rPr>
        <w:t xml:space="preserve">M Foster, </w:t>
      </w:r>
      <w:r w:rsidRPr="006956F8">
        <w:rPr>
          <w:rFonts w:eastAsia="Calibri"/>
          <w:i/>
        </w:rPr>
        <w:t xml:space="preserve">Program management review for </w:t>
      </w:r>
      <w:proofErr w:type="spellStart"/>
      <w:r w:rsidRPr="006956F8">
        <w:rPr>
          <w:rFonts w:eastAsia="Calibri"/>
          <w:i/>
        </w:rPr>
        <w:t>GoA</w:t>
      </w:r>
      <w:proofErr w:type="spellEnd"/>
      <w:r w:rsidRPr="006956F8">
        <w:rPr>
          <w:rFonts w:eastAsia="Calibri"/>
          <w:i/>
        </w:rPr>
        <w:t xml:space="preserve"> support to the Solomon Islands health sector: options paper,</w:t>
      </w:r>
      <w:r w:rsidRPr="00655137">
        <w:rPr>
          <w:rFonts w:eastAsia="Calibri"/>
        </w:rPr>
        <w:t xml:space="preserve"> 2013.</w:t>
      </w:r>
    </w:p>
    <w:p w:rsidR="00F25C94" w:rsidRPr="00655137" w:rsidRDefault="00F25C94" w:rsidP="009F7318">
      <w:pPr>
        <w:rPr>
          <w:rFonts w:eastAsia="Calibri"/>
        </w:rPr>
      </w:pPr>
      <w:r w:rsidRPr="00F25C94">
        <w:rPr>
          <w:rFonts w:eastAsia="Calibri"/>
          <w:lang w:val="en-US"/>
        </w:rPr>
        <w:t xml:space="preserve">M Kelly &amp; K </w:t>
      </w:r>
      <w:proofErr w:type="spellStart"/>
      <w:r w:rsidRPr="00F25C94">
        <w:rPr>
          <w:rFonts w:eastAsia="Calibri"/>
          <w:lang w:val="en-US"/>
        </w:rPr>
        <w:t>Tuckwell</w:t>
      </w:r>
      <w:proofErr w:type="spellEnd"/>
      <w:r w:rsidRPr="00F25C94">
        <w:rPr>
          <w:rFonts w:eastAsia="Calibri"/>
          <w:lang w:val="en-US"/>
        </w:rPr>
        <w:t xml:space="preserve">, </w:t>
      </w:r>
      <w:r w:rsidRPr="00F25C94">
        <w:rPr>
          <w:rFonts w:eastAsia="Calibri"/>
          <w:i/>
          <w:lang w:val="en-US"/>
        </w:rPr>
        <w:t>Solomon Islands Health Sector Support Program (HSSP): Inde</w:t>
      </w:r>
      <w:r w:rsidR="00521D10">
        <w:rPr>
          <w:rFonts w:eastAsia="Calibri"/>
          <w:i/>
          <w:lang w:val="en-US"/>
        </w:rPr>
        <w:t xml:space="preserve">pendent Performance Assessment </w:t>
      </w:r>
      <w:r w:rsidRPr="00F25C94">
        <w:rPr>
          <w:rFonts w:eastAsia="Calibri"/>
          <w:i/>
          <w:lang w:val="en-US"/>
        </w:rPr>
        <w:t>for 2013</w:t>
      </w:r>
      <w:r w:rsidRPr="00F25C94">
        <w:rPr>
          <w:rFonts w:eastAsia="Calibri"/>
          <w:lang w:val="en-US"/>
        </w:rPr>
        <w:t>, Health Resource Facility, Canberra, May 2014</w:t>
      </w:r>
      <w:r>
        <w:rPr>
          <w:rFonts w:eastAsia="Calibri"/>
          <w:lang w:val="en-US"/>
        </w:rPr>
        <w:t>.</w:t>
      </w:r>
    </w:p>
    <w:p w:rsidR="009F7318" w:rsidRPr="00655137" w:rsidRDefault="009F7318" w:rsidP="009F7318">
      <w:pPr>
        <w:rPr>
          <w:rFonts w:eastAsia="Calibri"/>
        </w:rPr>
      </w:pPr>
      <w:r w:rsidRPr="00655137">
        <w:rPr>
          <w:rFonts w:eastAsia="Calibri"/>
        </w:rPr>
        <w:t xml:space="preserve">J </w:t>
      </w:r>
      <w:proofErr w:type="spellStart"/>
      <w:r w:rsidRPr="00655137">
        <w:rPr>
          <w:rFonts w:eastAsia="Calibri"/>
        </w:rPr>
        <w:t>Negin</w:t>
      </w:r>
      <w:proofErr w:type="spellEnd"/>
      <w:r w:rsidRPr="00655137">
        <w:rPr>
          <w:rFonts w:eastAsia="Calibri"/>
        </w:rPr>
        <w:t xml:space="preserve"> &amp; </w:t>
      </w:r>
      <w:proofErr w:type="gramStart"/>
      <w:r w:rsidRPr="00655137">
        <w:rPr>
          <w:rFonts w:eastAsia="Calibri"/>
        </w:rPr>
        <w:t>A</w:t>
      </w:r>
      <w:proofErr w:type="gramEnd"/>
      <w:r w:rsidRPr="00655137">
        <w:rPr>
          <w:rFonts w:eastAsia="Calibri"/>
        </w:rPr>
        <w:t xml:space="preserve"> </w:t>
      </w:r>
      <w:proofErr w:type="spellStart"/>
      <w:r w:rsidRPr="00655137">
        <w:rPr>
          <w:rFonts w:eastAsia="Calibri"/>
        </w:rPr>
        <w:t>Martiniuk</w:t>
      </w:r>
      <w:proofErr w:type="spellEnd"/>
      <w:r w:rsidRPr="00655137">
        <w:rPr>
          <w:rFonts w:eastAsia="Calibri"/>
        </w:rPr>
        <w:t xml:space="preserve">, Sector wide approaches for health in small island states: lessons learned from the Solomon Islands, </w:t>
      </w:r>
      <w:r w:rsidRPr="00655137">
        <w:rPr>
          <w:rFonts w:eastAsia="Calibri"/>
          <w:i/>
        </w:rPr>
        <w:t>Global Public Health</w:t>
      </w:r>
      <w:r w:rsidRPr="00655137">
        <w:rPr>
          <w:rFonts w:eastAsia="Calibri"/>
        </w:rPr>
        <w:t>, 7(2):137-48, 2011.</w:t>
      </w:r>
    </w:p>
    <w:p w:rsidR="009F7318" w:rsidRPr="00655137" w:rsidRDefault="009F7318" w:rsidP="009F7318">
      <w:pPr>
        <w:rPr>
          <w:rFonts w:eastAsia="Calibri"/>
        </w:rPr>
      </w:pPr>
      <w:r w:rsidRPr="00655137">
        <w:rPr>
          <w:rFonts w:eastAsia="Calibri"/>
        </w:rPr>
        <w:t xml:space="preserve">S Tyson, </w:t>
      </w:r>
      <w:r w:rsidRPr="006956F8">
        <w:rPr>
          <w:rFonts w:eastAsia="Calibri"/>
          <w:i/>
        </w:rPr>
        <w:t>Solomon Islands Health Sector Wide Approach: progress review 2008-2011</w:t>
      </w:r>
      <w:r w:rsidRPr="00655137">
        <w:rPr>
          <w:rFonts w:eastAsia="Calibri"/>
        </w:rPr>
        <w:t>, AusAID Health Resource Facility, Canberra, 2011.</w:t>
      </w:r>
    </w:p>
    <w:p w:rsidR="009F7318" w:rsidRPr="00655137" w:rsidRDefault="009F7318" w:rsidP="009F7318">
      <w:pPr>
        <w:rPr>
          <w:rFonts w:eastAsia="Calibri"/>
        </w:rPr>
      </w:pPr>
      <w:r w:rsidRPr="00655137">
        <w:rPr>
          <w:rFonts w:eastAsia="Calibri"/>
        </w:rPr>
        <w:t xml:space="preserve">S Tyson &amp; R Dodd, </w:t>
      </w:r>
      <w:r w:rsidRPr="006956F8">
        <w:rPr>
          <w:rFonts w:eastAsia="Calibri"/>
          <w:i/>
        </w:rPr>
        <w:t xml:space="preserve">Solomon Islands health sector: strengthening </w:t>
      </w:r>
      <w:proofErr w:type="spellStart"/>
      <w:r w:rsidRPr="006956F8">
        <w:rPr>
          <w:rFonts w:eastAsia="Calibri"/>
          <w:i/>
        </w:rPr>
        <w:t>SWAp</w:t>
      </w:r>
      <w:proofErr w:type="spellEnd"/>
      <w:r w:rsidRPr="006956F8">
        <w:rPr>
          <w:rFonts w:eastAsia="Calibri"/>
          <w:i/>
        </w:rPr>
        <w:t xml:space="preserve"> governance and co-ordination of technical cooperation</w:t>
      </w:r>
      <w:r w:rsidRPr="00655137">
        <w:rPr>
          <w:rFonts w:eastAsia="Calibri"/>
        </w:rPr>
        <w:t xml:space="preserve">, 2012 (draft). </w:t>
      </w:r>
    </w:p>
    <w:p w:rsidR="009F7318" w:rsidRPr="00655137" w:rsidRDefault="009F7318" w:rsidP="009F7318">
      <w:pPr>
        <w:rPr>
          <w:rFonts w:eastAsia="Calibri"/>
        </w:rPr>
      </w:pPr>
      <w:r w:rsidRPr="00655137">
        <w:rPr>
          <w:rFonts w:eastAsia="Calibri"/>
        </w:rPr>
        <w:t xml:space="preserve">D </w:t>
      </w:r>
      <w:proofErr w:type="spellStart"/>
      <w:r w:rsidRPr="00655137">
        <w:rPr>
          <w:rFonts w:eastAsia="Calibri"/>
        </w:rPr>
        <w:t>Vaillancourt</w:t>
      </w:r>
      <w:proofErr w:type="spellEnd"/>
      <w:r w:rsidRPr="00655137">
        <w:rPr>
          <w:rFonts w:eastAsia="Calibri"/>
        </w:rPr>
        <w:t xml:space="preserve">, </w:t>
      </w:r>
      <w:proofErr w:type="gramStart"/>
      <w:r w:rsidRPr="006956F8">
        <w:rPr>
          <w:rFonts w:eastAsia="Calibri"/>
          <w:i/>
        </w:rPr>
        <w:t>In</w:t>
      </w:r>
      <w:proofErr w:type="gramEnd"/>
      <w:r w:rsidRPr="006956F8">
        <w:rPr>
          <w:rFonts w:eastAsia="Calibri"/>
          <w:i/>
        </w:rPr>
        <w:t xml:space="preserve"> sweet harmony? A review of health and education </w:t>
      </w:r>
      <w:proofErr w:type="spellStart"/>
      <w:r w:rsidRPr="006956F8">
        <w:rPr>
          <w:rFonts w:eastAsia="Calibri"/>
          <w:i/>
        </w:rPr>
        <w:t>sectorwide</w:t>
      </w:r>
      <w:proofErr w:type="spellEnd"/>
      <w:r w:rsidRPr="006956F8">
        <w:rPr>
          <w:rFonts w:eastAsia="Calibri"/>
          <w:i/>
        </w:rPr>
        <w:t xml:space="preserve"> approaches in the South Pacific, Appendix 3: Solomon Islands Health </w:t>
      </w:r>
      <w:proofErr w:type="spellStart"/>
      <w:r w:rsidRPr="006956F8">
        <w:rPr>
          <w:rFonts w:eastAsia="Calibri"/>
          <w:i/>
        </w:rPr>
        <w:t>SWAp</w:t>
      </w:r>
      <w:proofErr w:type="spellEnd"/>
      <w:r w:rsidRPr="00655137">
        <w:rPr>
          <w:rFonts w:eastAsia="Calibri"/>
        </w:rPr>
        <w:t xml:space="preserve">, World Bank, Washington DC, 2012 (b). </w:t>
      </w:r>
    </w:p>
    <w:p w:rsidR="009F7318" w:rsidRDefault="009F7318" w:rsidP="009F7318"/>
    <w:p w:rsidR="009F7318" w:rsidRDefault="009F7318" w:rsidP="009F7318">
      <w:r>
        <w:br w:type="page"/>
      </w:r>
    </w:p>
    <w:p w:rsidR="009F7318" w:rsidRDefault="009F7318" w:rsidP="009F7318">
      <w:pPr>
        <w:pStyle w:val="SectionTitle"/>
        <w:rPr>
          <w:noProof/>
        </w:rPr>
      </w:pPr>
      <w:bookmarkStart w:id="71" w:name="_Toc381953327"/>
      <w:bookmarkStart w:id="72" w:name="_Toc403403701"/>
      <w:bookmarkStart w:id="73" w:name="_Toc361402805"/>
      <w:r>
        <w:rPr>
          <w:noProof/>
        </w:rPr>
        <w:lastRenderedPageBreak/>
        <w:t>Appendix 5: Annotated bibliography</w:t>
      </w:r>
      <w:bookmarkEnd w:id="71"/>
      <w:bookmarkEnd w:id="72"/>
    </w:p>
    <w:p w:rsidR="009F7318" w:rsidRPr="00333638" w:rsidRDefault="009F7318" w:rsidP="009F7318">
      <w:pPr>
        <w:rPr>
          <w:noProof/>
        </w:rPr>
      </w:pPr>
      <w:bookmarkStart w:id="74" w:name="_Toc381953328"/>
      <w:r>
        <w:rPr>
          <w:noProof/>
        </w:rPr>
        <w:t xml:space="preserve">This bibliography includes only documents that were selected by the researchers for full consideration by the reviewer. A much larger number of documents was examined for each country; as these documents were not considered relevant or useful for the purpose of this study they are not included in this list. The annotation does not attempt to provide a full summary, but rather an indication of usefulness, or key points made in the document. </w:t>
      </w:r>
    </w:p>
    <w:p w:rsidR="009F7318" w:rsidRDefault="009F7318" w:rsidP="009F7318">
      <w:pPr>
        <w:pStyle w:val="Heading2"/>
      </w:pPr>
      <w:bookmarkStart w:id="75" w:name="_Toc403403702"/>
      <w:r>
        <w:t>1</w:t>
      </w:r>
      <w:r>
        <w:tab/>
        <w:t>Australia’s policy documents</w:t>
      </w:r>
      <w:bookmarkEnd w:id="75"/>
    </w:p>
    <w:p w:rsidR="009F7318" w:rsidRPr="00CA45F9" w:rsidRDefault="009F7318" w:rsidP="009F7318">
      <w:pPr>
        <w:pStyle w:val="References"/>
        <w:ind w:left="0" w:firstLine="0"/>
        <w:rPr>
          <w:b/>
        </w:rPr>
      </w:pPr>
      <w:r w:rsidRPr="00CA45F9">
        <w:rPr>
          <w:b/>
        </w:rPr>
        <w:t xml:space="preserve">Australian Agency for International Development, </w:t>
      </w:r>
      <w:r w:rsidRPr="00FC59C2">
        <w:rPr>
          <w:b/>
          <w:i/>
        </w:rPr>
        <w:t>Helping the world’s poor through effective aid: Australia’s Comprehensive Aid Policy Framework to 2015–16</w:t>
      </w:r>
      <w:r w:rsidRPr="00CA45F9">
        <w:rPr>
          <w:b/>
        </w:rPr>
        <w:t>, AusAID 2012.</w:t>
      </w:r>
    </w:p>
    <w:p w:rsidR="009F7318" w:rsidRDefault="009F7318" w:rsidP="009F7318">
      <w:pPr>
        <w:rPr>
          <w:noProof/>
        </w:rPr>
      </w:pPr>
      <w:r>
        <w:t>The C</w:t>
      </w:r>
      <w:r w:rsidRPr="007703F2">
        <w:t xml:space="preserve">omprehensive </w:t>
      </w:r>
      <w:r>
        <w:t>A</w:t>
      </w:r>
      <w:r w:rsidRPr="007703F2">
        <w:t xml:space="preserve">id </w:t>
      </w:r>
      <w:r>
        <w:t>P</w:t>
      </w:r>
      <w:r w:rsidRPr="007703F2">
        <w:t xml:space="preserve">olicy </w:t>
      </w:r>
      <w:r>
        <w:t>F</w:t>
      </w:r>
      <w:r w:rsidRPr="007703F2">
        <w:t xml:space="preserve">ramework </w:t>
      </w:r>
      <w:r>
        <w:t>(</w:t>
      </w:r>
      <w:r w:rsidRPr="00DA1205">
        <w:rPr>
          <w:noProof/>
        </w:rPr>
        <w:t>CAPF</w:t>
      </w:r>
      <w:r>
        <w:rPr>
          <w:noProof/>
        </w:rPr>
        <w:t>)</w:t>
      </w:r>
      <w:r w:rsidRPr="00DA1205">
        <w:rPr>
          <w:noProof/>
        </w:rPr>
        <w:t xml:space="preserve"> </w:t>
      </w:r>
      <w:r>
        <w:rPr>
          <w:noProof/>
        </w:rPr>
        <w:t>was developed to put into effect the aid policy (</w:t>
      </w:r>
      <w:r w:rsidRPr="00FC59C2">
        <w:rPr>
          <w:i/>
          <w:noProof/>
        </w:rPr>
        <w:t>An effective aid program for Australia</w:t>
      </w:r>
      <w:r>
        <w:rPr>
          <w:noProof/>
        </w:rPr>
        <w:t xml:space="preserve">, 2012). Bringing together </w:t>
      </w:r>
      <w:r w:rsidRPr="007D5E47">
        <w:rPr>
          <w:noProof/>
        </w:rPr>
        <w:t>the aid spending of all federal agencies</w:t>
      </w:r>
      <w:r>
        <w:rPr>
          <w:noProof/>
        </w:rPr>
        <w:t xml:space="preserve"> (i.e. </w:t>
      </w:r>
      <w:r w:rsidRPr="007D5E47">
        <w:rPr>
          <w:noProof/>
        </w:rPr>
        <w:t xml:space="preserve">not only </w:t>
      </w:r>
      <w:r>
        <w:rPr>
          <w:noProof/>
        </w:rPr>
        <w:t xml:space="preserve">AusAID), the CAPF contains </w:t>
      </w:r>
      <w:r w:rsidRPr="007D5E47">
        <w:rPr>
          <w:noProof/>
        </w:rPr>
        <w:t xml:space="preserve">a four-year budget strategy </w:t>
      </w:r>
      <w:r>
        <w:rPr>
          <w:noProof/>
        </w:rPr>
        <w:t xml:space="preserve">with </w:t>
      </w:r>
      <w:r w:rsidRPr="00CA45F9">
        <w:rPr>
          <w:noProof/>
        </w:rPr>
        <w:t>indicative regional and global aid allocations</w:t>
      </w:r>
      <w:r>
        <w:rPr>
          <w:noProof/>
        </w:rPr>
        <w:t xml:space="preserve">, </w:t>
      </w:r>
      <w:r w:rsidRPr="00CA45F9">
        <w:rPr>
          <w:noProof/>
        </w:rPr>
        <w:t xml:space="preserve">aligned to </w:t>
      </w:r>
      <w:r>
        <w:rPr>
          <w:noProof/>
        </w:rPr>
        <w:t xml:space="preserve">three tiers </w:t>
      </w:r>
      <w:r w:rsidRPr="00CA45F9">
        <w:rPr>
          <w:noProof/>
        </w:rPr>
        <w:t>of key results to be achieved by 2015–16</w:t>
      </w:r>
      <w:r>
        <w:rPr>
          <w:noProof/>
        </w:rPr>
        <w:t xml:space="preserve"> (namely, the MDGs, the aid program’s five strategic goals, goals related to the efficiency and effectiveness of delivery) and the way they will be reported. </w:t>
      </w:r>
    </w:p>
    <w:p w:rsidR="009F7318" w:rsidRDefault="009F7318" w:rsidP="009F7318">
      <w:pPr>
        <w:pStyle w:val="References"/>
        <w:ind w:left="0" w:firstLine="0"/>
        <w:rPr>
          <w:b/>
        </w:rPr>
      </w:pPr>
      <w:r w:rsidRPr="008D7DB3">
        <w:rPr>
          <w:b/>
        </w:rPr>
        <w:t>Australian Agency for International Development</w:t>
      </w:r>
      <w:r w:rsidRPr="00F26867">
        <w:rPr>
          <w:b/>
        </w:rPr>
        <w:t xml:space="preserve">, </w:t>
      </w:r>
      <w:r w:rsidRPr="00FC59C2">
        <w:rPr>
          <w:b/>
          <w:i/>
        </w:rPr>
        <w:t>An effective aid program for Australia: making a real difference—delivering real results</w:t>
      </w:r>
      <w:r w:rsidRPr="00F26867">
        <w:rPr>
          <w:b/>
        </w:rPr>
        <w:t>,</w:t>
      </w:r>
      <w:r w:rsidRPr="00FC59C2">
        <w:rPr>
          <w:b/>
        </w:rPr>
        <w:t xml:space="preserve"> </w:t>
      </w:r>
      <w:r w:rsidRPr="008D7DB3">
        <w:rPr>
          <w:b/>
        </w:rPr>
        <w:t xml:space="preserve">AusAID, Canberra, </w:t>
      </w:r>
      <w:r>
        <w:rPr>
          <w:b/>
        </w:rPr>
        <w:t>2012.</w:t>
      </w:r>
    </w:p>
    <w:p w:rsidR="009F7318" w:rsidRPr="00F26867" w:rsidRDefault="009F7318" w:rsidP="009F7318">
      <w:pPr>
        <w:rPr>
          <w:noProof/>
        </w:rPr>
      </w:pPr>
      <w:r w:rsidRPr="00F26867">
        <w:rPr>
          <w:noProof/>
        </w:rPr>
        <w:t xml:space="preserve">This document outlines the </w:t>
      </w:r>
      <w:r>
        <w:rPr>
          <w:noProof/>
        </w:rPr>
        <w:t xml:space="preserve">Australian </w:t>
      </w:r>
      <w:r w:rsidRPr="00F26867">
        <w:rPr>
          <w:noProof/>
        </w:rPr>
        <w:t xml:space="preserve">Government's response to the Independent Review of Aid </w:t>
      </w:r>
      <w:r>
        <w:rPr>
          <w:noProof/>
        </w:rPr>
        <w:t>E</w:t>
      </w:r>
      <w:r w:rsidRPr="00F26867">
        <w:rPr>
          <w:noProof/>
        </w:rPr>
        <w:t>ffectiveness and sets out the Government's overall aid strategy through to 2016-17.</w:t>
      </w:r>
      <w:r>
        <w:rPr>
          <w:noProof/>
        </w:rPr>
        <w:t xml:space="preserve"> It covers: </w:t>
      </w:r>
      <w:r w:rsidRPr="00E6002B">
        <w:rPr>
          <w:noProof/>
        </w:rPr>
        <w:t>purpose of the aid program</w:t>
      </w:r>
      <w:r>
        <w:rPr>
          <w:noProof/>
        </w:rPr>
        <w:t xml:space="preserve">, how effectiveness is to be enhanced, the geographic and thematic focus, and the </w:t>
      </w:r>
      <w:r w:rsidRPr="00E6002B">
        <w:rPr>
          <w:noProof/>
        </w:rPr>
        <w:t xml:space="preserve">systems, methods and partners </w:t>
      </w:r>
      <w:r>
        <w:rPr>
          <w:noProof/>
        </w:rPr>
        <w:t xml:space="preserve">to deliver aid </w:t>
      </w:r>
      <w:r w:rsidRPr="00E6002B">
        <w:rPr>
          <w:noProof/>
        </w:rPr>
        <w:t>that achiev</w:t>
      </w:r>
      <w:r>
        <w:rPr>
          <w:noProof/>
        </w:rPr>
        <w:t xml:space="preserve">es </w:t>
      </w:r>
      <w:r w:rsidRPr="00E6002B">
        <w:rPr>
          <w:noProof/>
        </w:rPr>
        <w:t>results and</w:t>
      </w:r>
      <w:r>
        <w:rPr>
          <w:noProof/>
        </w:rPr>
        <w:t xml:space="preserve"> </w:t>
      </w:r>
      <w:r w:rsidRPr="00E6002B">
        <w:rPr>
          <w:noProof/>
        </w:rPr>
        <w:t>value for money</w:t>
      </w:r>
      <w:r>
        <w:rPr>
          <w:noProof/>
        </w:rPr>
        <w:t>.</w:t>
      </w:r>
    </w:p>
    <w:p w:rsidR="009F7318" w:rsidRPr="007703F2" w:rsidRDefault="009F7318" w:rsidP="009F7318">
      <w:pPr>
        <w:pStyle w:val="References"/>
        <w:ind w:left="0" w:firstLine="0"/>
        <w:rPr>
          <w:b/>
        </w:rPr>
      </w:pPr>
      <w:proofErr w:type="gramStart"/>
      <w:r w:rsidRPr="008D7DB3">
        <w:rPr>
          <w:b/>
        </w:rPr>
        <w:t>Australian Agency for International Development</w:t>
      </w:r>
      <w:r>
        <w:rPr>
          <w:b/>
        </w:rPr>
        <w:t>,</w:t>
      </w:r>
      <w:r w:rsidRPr="00FC59C2">
        <w:rPr>
          <w:b/>
        </w:rPr>
        <w:t xml:space="preserve"> </w:t>
      </w:r>
      <w:r w:rsidRPr="00E6002B">
        <w:rPr>
          <w:b/>
          <w:i/>
        </w:rPr>
        <w:t>2011–12 Annual review of aid effectiveness</w:t>
      </w:r>
      <w:r w:rsidRPr="007703F2">
        <w:rPr>
          <w:b/>
        </w:rPr>
        <w:t xml:space="preserve">, </w:t>
      </w:r>
      <w:r>
        <w:rPr>
          <w:b/>
        </w:rPr>
        <w:t>AusAID,</w:t>
      </w:r>
      <w:r w:rsidRPr="007703F2">
        <w:rPr>
          <w:b/>
        </w:rPr>
        <w:t xml:space="preserve"> 2012</w:t>
      </w:r>
      <w:r>
        <w:rPr>
          <w:b/>
        </w:rPr>
        <w:t>.</w:t>
      </w:r>
      <w:proofErr w:type="gramEnd"/>
    </w:p>
    <w:p w:rsidR="009F7318" w:rsidRDefault="009F7318" w:rsidP="009F7318">
      <w:r>
        <w:t>This document e</w:t>
      </w:r>
      <w:r w:rsidRPr="00DA1205">
        <w:t xml:space="preserve">xamines the performance of </w:t>
      </w:r>
      <w:r>
        <w:t xml:space="preserve">the Australian </w:t>
      </w:r>
      <w:r w:rsidRPr="00DA1205">
        <w:t>aid</w:t>
      </w:r>
      <w:r>
        <w:t xml:space="preserve"> </w:t>
      </w:r>
      <w:r w:rsidRPr="00DA1205">
        <w:t xml:space="preserve">program against the commitments made in </w:t>
      </w:r>
      <w:r>
        <w:t>the 2012 c</w:t>
      </w:r>
      <w:r w:rsidRPr="007703F2">
        <w:t xml:space="preserve">omprehensive </w:t>
      </w:r>
      <w:r>
        <w:t>a</w:t>
      </w:r>
      <w:r w:rsidRPr="007703F2">
        <w:t xml:space="preserve">id </w:t>
      </w:r>
      <w:r>
        <w:t>p</w:t>
      </w:r>
      <w:r w:rsidRPr="007703F2">
        <w:t xml:space="preserve">olicy </w:t>
      </w:r>
      <w:r>
        <w:t>f</w:t>
      </w:r>
      <w:r w:rsidRPr="007703F2">
        <w:t>ramework</w:t>
      </w:r>
      <w:r>
        <w:t xml:space="preserve"> (CAPF, see below), including operational effectiveness and </w:t>
      </w:r>
      <w:r w:rsidRPr="00A4249A">
        <w:rPr>
          <w:noProof/>
        </w:rPr>
        <w:t>the four-year rolling budget strategy</w:t>
      </w:r>
      <w:r>
        <w:t xml:space="preserve">. It finds that the program </w:t>
      </w:r>
      <w:r w:rsidRPr="00DA1205">
        <w:t xml:space="preserve">broadly on track </w:t>
      </w:r>
      <w:r>
        <w:t xml:space="preserve">with </w:t>
      </w:r>
      <w:r w:rsidRPr="00DA1205">
        <w:t xml:space="preserve">good progress </w:t>
      </w:r>
      <w:r>
        <w:t xml:space="preserve">made. </w:t>
      </w:r>
    </w:p>
    <w:p w:rsidR="009F7318" w:rsidRDefault="009F7318" w:rsidP="009F7318">
      <w:pPr>
        <w:pStyle w:val="References"/>
        <w:ind w:left="0" w:firstLine="0"/>
        <w:rPr>
          <w:b/>
        </w:rPr>
      </w:pPr>
      <w:r w:rsidRPr="00A9543E">
        <w:rPr>
          <w:b/>
        </w:rPr>
        <w:t>Independent Review Panel,</w:t>
      </w:r>
      <w:r>
        <w:rPr>
          <w:b/>
          <w:i/>
        </w:rPr>
        <w:t xml:space="preserve"> </w:t>
      </w:r>
      <w:r w:rsidRPr="00A9543E">
        <w:rPr>
          <w:b/>
          <w:i/>
        </w:rPr>
        <w:t>Independent review of aid effectiveness</w:t>
      </w:r>
      <w:r w:rsidRPr="007703F2">
        <w:rPr>
          <w:b/>
        </w:rPr>
        <w:t>, Commonwealth of Australia, 2011</w:t>
      </w:r>
      <w:r>
        <w:rPr>
          <w:b/>
        </w:rPr>
        <w:t>.</w:t>
      </w:r>
    </w:p>
    <w:p w:rsidR="009F7318" w:rsidRPr="00E6002B" w:rsidRDefault="009F7318" w:rsidP="009F7318">
      <w:r>
        <w:t>The purpose of th</w:t>
      </w:r>
      <w:r w:rsidRPr="00A9543E">
        <w:t xml:space="preserve">is </w:t>
      </w:r>
      <w:r>
        <w:t xml:space="preserve">review was </w:t>
      </w:r>
      <w:r w:rsidRPr="00A9543E">
        <w:t xml:space="preserve">to thoroughly examine the aid program, determine </w:t>
      </w:r>
      <w:r>
        <w:t xml:space="preserve">the </w:t>
      </w:r>
      <w:r w:rsidRPr="00A9543E">
        <w:t>effective</w:t>
      </w:r>
      <w:r>
        <w:t>ness</w:t>
      </w:r>
      <w:r w:rsidRPr="00A9543E">
        <w:t xml:space="preserve"> and efficien</w:t>
      </w:r>
      <w:r>
        <w:t xml:space="preserve">cy of </w:t>
      </w:r>
      <w:r w:rsidRPr="00A9543E">
        <w:t>the program’s current systems, policies and procedures</w:t>
      </w:r>
      <w:r>
        <w:t xml:space="preserve">, </w:t>
      </w:r>
      <w:r w:rsidRPr="00A9543E">
        <w:t>and give advice</w:t>
      </w:r>
      <w:r>
        <w:t xml:space="preserve"> (crystallised in 39 recommendations)</w:t>
      </w:r>
      <w:r w:rsidRPr="00A9543E">
        <w:t xml:space="preserve"> on how to make the program more strategic</w:t>
      </w:r>
      <w:r>
        <w:t xml:space="preserve">, presenting a </w:t>
      </w:r>
      <w:r w:rsidRPr="00A9543E">
        <w:t>vision that covers the geographical allocation of Australian aid,</w:t>
      </w:r>
      <w:r>
        <w:t xml:space="preserve"> </w:t>
      </w:r>
      <w:r w:rsidRPr="00A9543E">
        <w:t>sectors and flagships, and the use of the various channels available</w:t>
      </w:r>
      <w:r>
        <w:t>.</w:t>
      </w:r>
    </w:p>
    <w:p w:rsidR="009F7318" w:rsidRDefault="009F7318" w:rsidP="009F7318">
      <w:pPr>
        <w:pStyle w:val="References"/>
        <w:ind w:left="0" w:firstLine="0"/>
        <w:rPr>
          <w:b/>
        </w:rPr>
      </w:pPr>
      <w:r w:rsidRPr="008D7DB3">
        <w:rPr>
          <w:b/>
        </w:rPr>
        <w:t xml:space="preserve">Australian Agency for International Development, </w:t>
      </w:r>
      <w:r w:rsidRPr="00A9543E">
        <w:rPr>
          <w:b/>
          <w:i/>
        </w:rPr>
        <w:t>Saving lives: improving the health of the world’s poor</w:t>
      </w:r>
      <w:r w:rsidRPr="008D7DB3">
        <w:rPr>
          <w:b/>
        </w:rPr>
        <w:t>, AusAID, Canberra, 2011.</w:t>
      </w:r>
    </w:p>
    <w:p w:rsidR="009F7318" w:rsidRDefault="009F7318" w:rsidP="009F7318">
      <w:pPr>
        <w:rPr>
          <w:noProof/>
        </w:rPr>
      </w:pPr>
      <w:r w:rsidRPr="00F26867">
        <w:rPr>
          <w:noProof/>
        </w:rPr>
        <w:t xml:space="preserve">This thematic strategy outlines Australia’s strategic approach to development assistance for health. It states that assistance should be context-specific and evidence based; it should target the main causes of poor health among poor and vulnerable; promote leadership and accountability in partner </w:t>
      </w:r>
      <w:r w:rsidRPr="00F26867">
        <w:rPr>
          <w:noProof/>
        </w:rPr>
        <w:lastRenderedPageBreak/>
        <w:t>countries and support efforts by government and civil society to address health priorities. Where appropriate and practical to do so, forms of assistance may include providing health budget support, supporting pooled funding arrangements and working with other donors on joint programs.</w:t>
      </w:r>
      <w:r>
        <w:rPr>
          <w:noProof/>
        </w:rPr>
        <w:t xml:space="preserve"> T</w:t>
      </w:r>
      <w:r w:rsidRPr="00F26867">
        <w:rPr>
          <w:noProof/>
        </w:rPr>
        <w:t>he strategy affirms the intention to work with partner governments</w:t>
      </w:r>
      <w:r>
        <w:rPr>
          <w:noProof/>
        </w:rPr>
        <w:t xml:space="preserve"> </w:t>
      </w:r>
      <w:r w:rsidRPr="00F26867">
        <w:rPr>
          <w:noProof/>
        </w:rPr>
        <w:t>to align Australia’s investment with national priorities and systems.</w:t>
      </w:r>
    </w:p>
    <w:p w:rsidR="009F7318" w:rsidRDefault="009F7318" w:rsidP="009F7318">
      <w:pPr>
        <w:pStyle w:val="References"/>
        <w:ind w:left="0" w:firstLine="0"/>
        <w:rPr>
          <w:b/>
        </w:rPr>
      </w:pPr>
      <w:r w:rsidRPr="008D7DB3">
        <w:rPr>
          <w:b/>
        </w:rPr>
        <w:t>Australian Agency for International Development</w:t>
      </w:r>
      <w:r>
        <w:rPr>
          <w:b/>
        </w:rPr>
        <w:t>,</w:t>
      </w:r>
      <w:r w:rsidRPr="00FC59C2">
        <w:rPr>
          <w:b/>
        </w:rPr>
        <w:t xml:space="preserve"> </w:t>
      </w:r>
      <w:r w:rsidRPr="00766D2D">
        <w:rPr>
          <w:b/>
          <w:i/>
        </w:rPr>
        <w:t>Australian aid: promoting growth and stability: a white paper on the Australian Government</w:t>
      </w:r>
      <w:r>
        <w:rPr>
          <w:b/>
          <w:i/>
        </w:rPr>
        <w:t>’</w:t>
      </w:r>
      <w:r w:rsidRPr="00766D2D">
        <w:rPr>
          <w:b/>
          <w:i/>
        </w:rPr>
        <w:t>s overseas aid program</w:t>
      </w:r>
      <w:r w:rsidRPr="00FC59C2">
        <w:rPr>
          <w:b/>
        </w:rPr>
        <w:t xml:space="preserve">, AusAID 2006 </w:t>
      </w:r>
    </w:p>
    <w:p w:rsidR="009F7318" w:rsidRPr="00766D2D" w:rsidRDefault="009F7318" w:rsidP="009F7318">
      <w:pPr>
        <w:rPr>
          <w:noProof/>
        </w:rPr>
      </w:pPr>
      <w:r>
        <w:rPr>
          <w:noProof/>
        </w:rPr>
        <w:t xml:space="preserve">This white paper provides a 10-year </w:t>
      </w:r>
      <w:r w:rsidRPr="00766D2D">
        <w:rPr>
          <w:noProof/>
        </w:rPr>
        <w:t xml:space="preserve">strategic framework </w:t>
      </w:r>
      <w:r>
        <w:rPr>
          <w:noProof/>
        </w:rPr>
        <w:t xml:space="preserve">for </w:t>
      </w:r>
      <w:r w:rsidRPr="00766D2D">
        <w:rPr>
          <w:noProof/>
        </w:rPr>
        <w:t>Australia’s aid program</w:t>
      </w:r>
      <w:r>
        <w:rPr>
          <w:noProof/>
        </w:rPr>
        <w:t xml:space="preserve"> and a </w:t>
      </w:r>
      <w:r w:rsidRPr="00766D2D">
        <w:rPr>
          <w:noProof/>
        </w:rPr>
        <w:t xml:space="preserve">comprehensive account of </w:t>
      </w:r>
      <w:r>
        <w:rPr>
          <w:noProof/>
        </w:rPr>
        <w:t>the approach to doubling the</w:t>
      </w:r>
      <w:r w:rsidRPr="00766D2D">
        <w:rPr>
          <w:noProof/>
        </w:rPr>
        <w:t xml:space="preserve"> aid budget</w:t>
      </w:r>
      <w:r>
        <w:rPr>
          <w:noProof/>
        </w:rPr>
        <w:t xml:space="preserve"> (representing the first multi-year increase). It states the commitment </w:t>
      </w:r>
      <w:r w:rsidRPr="00766D2D">
        <w:rPr>
          <w:noProof/>
        </w:rPr>
        <w:t xml:space="preserve">towards the principles of the Paris Declaration on Aid Effectiveness, and </w:t>
      </w:r>
      <w:r>
        <w:rPr>
          <w:noProof/>
        </w:rPr>
        <w:t xml:space="preserve">to </w:t>
      </w:r>
      <w:r w:rsidRPr="00766D2D">
        <w:rPr>
          <w:noProof/>
        </w:rPr>
        <w:t>look</w:t>
      </w:r>
      <w:r>
        <w:rPr>
          <w:noProof/>
        </w:rPr>
        <w:t xml:space="preserve">ing </w:t>
      </w:r>
      <w:r w:rsidRPr="00766D2D">
        <w:rPr>
          <w:noProof/>
        </w:rPr>
        <w:t xml:space="preserve">for opportunities to use partner country processes and systems in aid program delivery. </w:t>
      </w:r>
    </w:p>
    <w:p w:rsidR="009F7318" w:rsidRDefault="009F7318" w:rsidP="009F7318">
      <w:pPr>
        <w:pStyle w:val="Heading2"/>
      </w:pPr>
      <w:bookmarkStart w:id="76" w:name="_Toc403403703"/>
      <w:bookmarkEnd w:id="74"/>
      <w:r>
        <w:t>2</w:t>
      </w:r>
      <w:r>
        <w:tab/>
        <w:t>Country documents</w:t>
      </w:r>
      <w:bookmarkEnd w:id="76"/>
    </w:p>
    <w:p w:rsidR="009F7318" w:rsidRPr="000E78B1" w:rsidRDefault="009F7318" w:rsidP="009F7318">
      <w:pPr>
        <w:pStyle w:val="Heading3a"/>
      </w:pPr>
      <w:r>
        <w:t xml:space="preserve">Bangladesh </w:t>
      </w:r>
    </w:p>
    <w:p w:rsidR="009F7318" w:rsidRDefault="009F7318" w:rsidP="009F7318">
      <w:pPr>
        <w:pStyle w:val="References"/>
        <w:ind w:left="0" w:firstLine="0"/>
        <w:rPr>
          <w:b/>
        </w:rPr>
      </w:pPr>
      <w:r w:rsidRPr="008D7DB3">
        <w:rPr>
          <w:b/>
        </w:rPr>
        <w:t xml:space="preserve">Australian Agency for International Development, </w:t>
      </w:r>
      <w:r w:rsidRPr="008D7DB3">
        <w:rPr>
          <w:b/>
          <w:i/>
        </w:rPr>
        <w:t>Quality at Entry: Bangladesh Health, Population, Nutrition Sector Development Program</w:t>
      </w:r>
      <w:r w:rsidRPr="008D7DB3">
        <w:rPr>
          <w:b/>
        </w:rPr>
        <w:t>, AusAID, Canberra, 2011.</w:t>
      </w:r>
    </w:p>
    <w:p w:rsidR="009F7318" w:rsidRPr="008D7DB3" w:rsidRDefault="009F7318" w:rsidP="009F7318">
      <w:pPr>
        <w:rPr>
          <w:noProof/>
        </w:rPr>
      </w:pPr>
      <w:r w:rsidRPr="005C1E25">
        <w:rPr>
          <w:noProof/>
        </w:rPr>
        <w:t xml:space="preserve">This is the document that gives </w:t>
      </w:r>
      <w:r>
        <w:rPr>
          <w:noProof/>
        </w:rPr>
        <w:t xml:space="preserve">the </w:t>
      </w:r>
      <w:r w:rsidRPr="005C1E25">
        <w:rPr>
          <w:noProof/>
        </w:rPr>
        <w:t xml:space="preserve">go-ahead to </w:t>
      </w:r>
      <w:r>
        <w:rPr>
          <w:noProof/>
        </w:rPr>
        <w:t xml:space="preserve">program </w:t>
      </w:r>
      <w:r w:rsidRPr="005C1E25">
        <w:rPr>
          <w:noProof/>
        </w:rPr>
        <w:t xml:space="preserve">implementation. </w:t>
      </w:r>
      <w:r>
        <w:rPr>
          <w:noProof/>
        </w:rPr>
        <w:t>It provides a r</w:t>
      </w:r>
      <w:r w:rsidRPr="005C1E25">
        <w:rPr>
          <w:noProof/>
        </w:rPr>
        <w:t>ealistic assessment of current status and what can be expected, but as it follows a standard template</w:t>
      </w:r>
      <w:r>
        <w:rPr>
          <w:noProof/>
        </w:rPr>
        <w:t xml:space="preserve"> it is very </w:t>
      </w:r>
      <w:r w:rsidRPr="005C1E25">
        <w:rPr>
          <w:noProof/>
        </w:rPr>
        <w:t>brief.</w:t>
      </w:r>
    </w:p>
    <w:p w:rsidR="009F7318" w:rsidRPr="008D7DB3" w:rsidRDefault="009F7318" w:rsidP="009F7318">
      <w:pPr>
        <w:pStyle w:val="References"/>
        <w:ind w:left="0" w:firstLine="0"/>
        <w:rPr>
          <w:b/>
        </w:rPr>
      </w:pPr>
      <w:r w:rsidRPr="008D7DB3">
        <w:rPr>
          <w:b/>
        </w:rPr>
        <w:t xml:space="preserve">Department for International Development, </w:t>
      </w:r>
      <w:r w:rsidRPr="008D7DB3">
        <w:rPr>
          <w:b/>
          <w:i/>
        </w:rPr>
        <w:t>Business case: Health Sector Development Programme (HSDP)</w:t>
      </w:r>
      <w:r w:rsidRPr="008D7DB3">
        <w:rPr>
          <w:b/>
        </w:rPr>
        <w:t>, DFID, London, 2011.</w:t>
      </w:r>
    </w:p>
    <w:p w:rsidR="009F7318" w:rsidRPr="00000FBC" w:rsidRDefault="009F7318" w:rsidP="009F7318">
      <w:pPr>
        <w:rPr>
          <w:noProof/>
        </w:rPr>
      </w:pPr>
      <w:r>
        <w:rPr>
          <w:noProof/>
        </w:rPr>
        <w:t>The business case provides the r</w:t>
      </w:r>
      <w:r w:rsidRPr="005C1E25">
        <w:rPr>
          <w:noProof/>
        </w:rPr>
        <w:t>ationale for DFID’s engagement</w:t>
      </w:r>
      <w:r>
        <w:rPr>
          <w:noProof/>
        </w:rPr>
        <w:t xml:space="preserve"> in the program; it is useful for this review mainly in that it captures substantial background information</w:t>
      </w:r>
      <w:r w:rsidRPr="005C1E25">
        <w:rPr>
          <w:noProof/>
        </w:rPr>
        <w:t>.</w:t>
      </w:r>
    </w:p>
    <w:p w:rsidR="009F7318" w:rsidRPr="002569B1" w:rsidRDefault="009F7318" w:rsidP="009F7318">
      <w:pPr>
        <w:pStyle w:val="References"/>
        <w:ind w:left="0" w:firstLine="0"/>
        <w:rPr>
          <w:b/>
        </w:rPr>
      </w:pPr>
      <w:r w:rsidRPr="008D7DB3">
        <w:rPr>
          <w:b/>
        </w:rPr>
        <w:t xml:space="preserve">Independent Review Team, </w:t>
      </w:r>
      <w:r w:rsidRPr="002569B1">
        <w:rPr>
          <w:b/>
          <w:i/>
        </w:rPr>
        <w:t>Annual programme review (APR 2013): Health, Population and Nutrition Sector Development Program (HPNSDP), 2011-16</w:t>
      </w:r>
      <w:r>
        <w:rPr>
          <w:b/>
          <w:i/>
        </w:rPr>
        <w:t>:</w:t>
      </w:r>
      <w:r w:rsidRPr="002569B1">
        <w:rPr>
          <w:b/>
        </w:rPr>
        <w:t xml:space="preserve"> </w:t>
      </w:r>
      <w:r>
        <w:rPr>
          <w:b/>
        </w:rPr>
        <w:t>c</w:t>
      </w:r>
      <w:r w:rsidRPr="002569B1">
        <w:rPr>
          <w:b/>
        </w:rPr>
        <w:t>onsolidated report</w:t>
      </w:r>
      <w:r>
        <w:rPr>
          <w:b/>
        </w:rPr>
        <w:t xml:space="preserve">, </w:t>
      </w:r>
      <w:proofErr w:type="spellStart"/>
      <w:r w:rsidRPr="002569B1">
        <w:rPr>
          <w:b/>
        </w:rPr>
        <w:t>MoHFW</w:t>
      </w:r>
      <w:proofErr w:type="spellEnd"/>
      <w:r w:rsidRPr="002569B1">
        <w:rPr>
          <w:b/>
        </w:rPr>
        <w:t>, Dhaka, 2013.</w:t>
      </w:r>
    </w:p>
    <w:p w:rsidR="009F7318" w:rsidRDefault="009F7318" w:rsidP="009F7318">
      <w:pPr>
        <w:rPr>
          <w:noProof/>
        </w:rPr>
      </w:pPr>
      <w:r w:rsidRPr="005C1E25">
        <w:rPr>
          <w:noProof/>
        </w:rPr>
        <w:t xml:space="preserve">The APR for </w:t>
      </w:r>
      <w:r>
        <w:rPr>
          <w:noProof/>
        </w:rPr>
        <w:t>the second year of the program</w:t>
      </w:r>
      <w:r w:rsidRPr="005C1E25">
        <w:rPr>
          <w:noProof/>
        </w:rPr>
        <w:t xml:space="preserve"> examine</w:t>
      </w:r>
      <w:r>
        <w:rPr>
          <w:noProof/>
        </w:rPr>
        <w:t>d</w:t>
      </w:r>
      <w:r w:rsidRPr="005C1E25">
        <w:rPr>
          <w:noProof/>
        </w:rPr>
        <w:t xml:space="preserve"> four thematic areas:</w:t>
      </w:r>
      <w:r>
        <w:rPr>
          <w:noProof/>
        </w:rPr>
        <w:t xml:space="preserve"> </w:t>
      </w:r>
      <w:r w:rsidRPr="005C1E25">
        <w:rPr>
          <w:noProof/>
        </w:rPr>
        <w:t>1. MNCH</w:t>
      </w:r>
      <w:r>
        <w:rPr>
          <w:noProof/>
        </w:rPr>
        <w:t>,</w:t>
      </w:r>
      <w:r w:rsidRPr="005C1E25">
        <w:rPr>
          <w:noProof/>
        </w:rPr>
        <w:t xml:space="preserve"> </w:t>
      </w:r>
      <w:r>
        <w:rPr>
          <w:noProof/>
        </w:rPr>
        <w:t>f</w:t>
      </w:r>
      <w:r w:rsidRPr="005C1E25">
        <w:rPr>
          <w:noProof/>
        </w:rPr>
        <w:t>amil</w:t>
      </w:r>
      <w:r>
        <w:rPr>
          <w:noProof/>
        </w:rPr>
        <w:t xml:space="preserve">y planning and nutrition; </w:t>
      </w:r>
      <w:r w:rsidRPr="005C1E25">
        <w:rPr>
          <w:noProof/>
        </w:rPr>
        <w:t xml:space="preserve">2. SWAp </w:t>
      </w:r>
      <w:r>
        <w:rPr>
          <w:noProof/>
        </w:rPr>
        <w:t>f</w:t>
      </w:r>
      <w:r w:rsidRPr="005C1E25">
        <w:rPr>
          <w:noProof/>
        </w:rPr>
        <w:t xml:space="preserve">inancing and </w:t>
      </w:r>
      <w:r>
        <w:rPr>
          <w:noProof/>
        </w:rPr>
        <w:t>f</w:t>
      </w:r>
      <w:r w:rsidRPr="005C1E25">
        <w:rPr>
          <w:noProof/>
        </w:rPr>
        <w:t xml:space="preserve">inancial </w:t>
      </w:r>
      <w:r>
        <w:rPr>
          <w:noProof/>
        </w:rPr>
        <w:t>m</w:t>
      </w:r>
      <w:r w:rsidRPr="005C1E25">
        <w:rPr>
          <w:noProof/>
        </w:rPr>
        <w:t>anagement</w:t>
      </w:r>
      <w:r>
        <w:rPr>
          <w:noProof/>
        </w:rPr>
        <w:t xml:space="preserve">; </w:t>
      </w:r>
      <w:r w:rsidRPr="005C1E25">
        <w:rPr>
          <w:noProof/>
        </w:rPr>
        <w:t xml:space="preserve">3. Planning, </w:t>
      </w:r>
      <w:r>
        <w:rPr>
          <w:noProof/>
        </w:rPr>
        <w:t xml:space="preserve">M&amp;E; </w:t>
      </w:r>
      <w:r w:rsidRPr="005C1E25">
        <w:rPr>
          <w:noProof/>
        </w:rPr>
        <w:t xml:space="preserve">4. </w:t>
      </w:r>
      <w:r w:rsidR="00E461B2">
        <w:rPr>
          <w:noProof/>
        </w:rPr>
        <w:t>HRH</w:t>
      </w:r>
      <w:r>
        <w:rPr>
          <w:noProof/>
        </w:rPr>
        <w:t xml:space="preserve">. </w:t>
      </w:r>
    </w:p>
    <w:p w:rsidR="00E461B2" w:rsidRDefault="009F7318" w:rsidP="002E603C">
      <w:r w:rsidRPr="005C1E25">
        <w:rPr>
          <w:noProof/>
        </w:rPr>
        <w:t>Th</w:t>
      </w:r>
      <w:r>
        <w:rPr>
          <w:noProof/>
        </w:rPr>
        <w:t>is</w:t>
      </w:r>
      <w:r w:rsidRPr="005C1E25">
        <w:rPr>
          <w:noProof/>
        </w:rPr>
        <w:t xml:space="preserve"> consolidated report summarises progress and challenges in these </w:t>
      </w:r>
      <w:r>
        <w:rPr>
          <w:noProof/>
        </w:rPr>
        <w:t xml:space="preserve">four </w:t>
      </w:r>
      <w:r w:rsidRPr="005C1E25">
        <w:rPr>
          <w:noProof/>
        </w:rPr>
        <w:t xml:space="preserve">areas against </w:t>
      </w:r>
      <w:r>
        <w:rPr>
          <w:noProof/>
        </w:rPr>
        <w:t xml:space="preserve">the </w:t>
      </w:r>
      <w:r w:rsidRPr="005C1E25">
        <w:rPr>
          <w:noProof/>
        </w:rPr>
        <w:t xml:space="preserve">results framework and provides recommendations. It </w:t>
      </w:r>
      <w:r>
        <w:rPr>
          <w:noProof/>
        </w:rPr>
        <w:t>is not an analytical report and does not include any d</w:t>
      </w:r>
      <w:r w:rsidRPr="005C1E25">
        <w:rPr>
          <w:noProof/>
        </w:rPr>
        <w:t xml:space="preserve">ata </w:t>
      </w:r>
      <w:r>
        <w:rPr>
          <w:noProof/>
        </w:rPr>
        <w:t>(which can be found in the individual thematic reports).</w:t>
      </w:r>
    </w:p>
    <w:p w:rsidR="009F7318" w:rsidRPr="008D7DB3" w:rsidRDefault="009F7318" w:rsidP="009F7318">
      <w:pPr>
        <w:pStyle w:val="References"/>
        <w:ind w:left="0" w:firstLine="0"/>
        <w:rPr>
          <w:b/>
        </w:rPr>
      </w:pPr>
      <w:r w:rsidRPr="008D7DB3">
        <w:rPr>
          <w:b/>
        </w:rPr>
        <w:t xml:space="preserve">Independent Review Team, </w:t>
      </w:r>
      <w:r w:rsidRPr="008D7DB3">
        <w:rPr>
          <w:b/>
          <w:i/>
        </w:rPr>
        <w:t>Annual Programme Review 2012: consolidated report</w:t>
      </w:r>
      <w:r w:rsidRPr="008D7DB3">
        <w:rPr>
          <w:b/>
        </w:rPr>
        <w:t xml:space="preserve">, </w:t>
      </w:r>
      <w:proofErr w:type="spellStart"/>
      <w:r w:rsidRPr="008D7DB3">
        <w:rPr>
          <w:b/>
        </w:rPr>
        <w:t>MoHFW</w:t>
      </w:r>
      <w:proofErr w:type="spellEnd"/>
      <w:r w:rsidRPr="008D7DB3">
        <w:rPr>
          <w:b/>
        </w:rPr>
        <w:t xml:space="preserve">, Dhaka, 2012. </w:t>
      </w:r>
    </w:p>
    <w:p w:rsidR="009F7318" w:rsidRPr="00DE002D" w:rsidRDefault="009F7318" w:rsidP="009F7318">
      <w:pPr>
        <w:rPr>
          <w:noProof/>
        </w:rPr>
      </w:pPr>
      <w:r>
        <w:rPr>
          <w:noProof/>
        </w:rPr>
        <w:t>This is the f</w:t>
      </w:r>
      <w:r w:rsidRPr="005C1E25">
        <w:rPr>
          <w:noProof/>
        </w:rPr>
        <w:t xml:space="preserve">irst APR for the </w:t>
      </w:r>
      <w:r>
        <w:rPr>
          <w:noProof/>
        </w:rPr>
        <w:t>third sector-wide program.</w:t>
      </w:r>
      <w:r w:rsidRPr="005C1E25">
        <w:rPr>
          <w:noProof/>
        </w:rPr>
        <w:t xml:space="preserve"> The focus of th</w:t>
      </w:r>
      <w:r>
        <w:rPr>
          <w:noProof/>
        </w:rPr>
        <w:t>is</w:t>
      </w:r>
      <w:r w:rsidRPr="005C1E25">
        <w:rPr>
          <w:noProof/>
        </w:rPr>
        <w:t xml:space="preserve"> APR was “less an assessment to determine whether the program had achieved its overall objectives for year one, although it did do this too, than it was a due d</w:t>
      </w:r>
      <w:r>
        <w:rPr>
          <w:noProof/>
        </w:rPr>
        <w:t>iligence review of the program</w:t>
      </w:r>
      <w:r w:rsidRPr="005C1E25">
        <w:rPr>
          <w:noProof/>
        </w:rPr>
        <w:t>’s institutional, financial, technical and management infrastructure.”</w:t>
      </w:r>
      <w:r>
        <w:rPr>
          <w:noProof/>
        </w:rPr>
        <w:t xml:space="preserve"> As such, this APR does not provide a full assessment of the sector, although it contains more detail than the APR for the following year (see above). </w:t>
      </w:r>
      <w:r w:rsidRPr="005C1E25">
        <w:rPr>
          <w:noProof/>
        </w:rPr>
        <w:t>The report concludes that: progress is roughly where it should be taking into consideration the late</w:t>
      </w:r>
      <w:r>
        <w:rPr>
          <w:noProof/>
        </w:rPr>
        <w:t xml:space="preserve"> start</w:t>
      </w:r>
      <w:r w:rsidRPr="005C1E25">
        <w:rPr>
          <w:noProof/>
        </w:rPr>
        <w:t xml:space="preserve">; the magnitude of the SWAp, the many stakeholders involved, and the normal implementation </w:t>
      </w:r>
      <w:r>
        <w:rPr>
          <w:noProof/>
        </w:rPr>
        <w:t>‘</w:t>
      </w:r>
      <w:r w:rsidRPr="005C1E25">
        <w:rPr>
          <w:noProof/>
        </w:rPr>
        <w:t>hiccups</w:t>
      </w:r>
      <w:r>
        <w:rPr>
          <w:noProof/>
        </w:rPr>
        <w:t>’</w:t>
      </w:r>
      <w:r w:rsidRPr="005C1E25">
        <w:rPr>
          <w:noProof/>
        </w:rPr>
        <w:t>.</w:t>
      </w:r>
    </w:p>
    <w:p w:rsidR="009F7318" w:rsidRPr="004674FC" w:rsidRDefault="009F7318" w:rsidP="009F7318">
      <w:pPr>
        <w:pStyle w:val="References"/>
        <w:ind w:left="0" w:firstLine="0"/>
        <w:rPr>
          <w:b/>
        </w:rPr>
      </w:pPr>
      <w:r w:rsidRPr="009938A9">
        <w:rPr>
          <w:b/>
        </w:rPr>
        <w:lastRenderedPageBreak/>
        <w:t xml:space="preserve">World Bank, </w:t>
      </w:r>
      <w:r w:rsidRPr="009938A9">
        <w:rPr>
          <w:b/>
          <w:i/>
        </w:rPr>
        <w:t>Program appraisal document: Bangladesh Health, Nut</w:t>
      </w:r>
      <w:r>
        <w:rPr>
          <w:b/>
          <w:i/>
        </w:rPr>
        <w:t>rition, and Population Sector De</w:t>
      </w:r>
      <w:r w:rsidRPr="009938A9">
        <w:rPr>
          <w:b/>
          <w:i/>
        </w:rPr>
        <w:t>velopment Program</w:t>
      </w:r>
      <w:r w:rsidRPr="009938A9">
        <w:rPr>
          <w:b/>
        </w:rPr>
        <w:t>, World Bank, Washington DC, 2011.</w:t>
      </w:r>
    </w:p>
    <w:p w:rsidR="009F7318" w:rsidRDefault="009F7318" w:rsidP="009F7318">
      <w:pPr>
        <w:rPr>
          <w:noProof/>
        </w:rPr>
      </w:pPr>
      <w:r>
        <w:rPr>
          <w:noProof/>
        </w:rPr>
        <w:t xml:space="preserve">This document provides key background information on the program, and includes the results framework. </w:t>
      </w:r>
    </w:p>
    <w:p w:rsidR="009F7318" w:rsidRPr="000E78B1" w:rsidRDefault="009F7318" w:rsidP="009F7318">
      <w:pPr>
        <w:pStyle w:val="Heading3a"/>
      </w:pPr>
      <w:r>
        <w:t xml:space="preserve">Cambodia </w:t>
      </w:r>
    </w:p>
    <w:p w:rsidR="009F7318" w:rsidRPr="008D7DB3" w:rsidRDefault="009F7318" w:rsidP="009F7318">
      <w:pPr>
        <w:pStyle w:val="References"/>
        <w:ind w:left="0" w:firstLine="0"/>
        <w:rPr>
          <w:b/>
        </w:rPr>
      </w:pPr>
      <w:r w:rsidRPr="008D7DB3">
        <w:rPr>
          <w:b/>
        </w:rPr>
        <w:t xml:space="preserve">Department of Foreign Affairs and Trade, </w:t>
      </w:r>
      <w:r w:rsidRPr="008D7DB3">
        <w:rPr>
          <w:b/>
          <w:i/>
        </w:rPr>
        <w:t>Aid Program Performance Report 2012−13: Cambodia</w:t>
      </w:r>
      <w:r w:rsidRPr="008D7DB3">
        <w:rPr>
          <w:b/>
        </w:rPr>
        <w:t>, DFAT, Canberra, 2014.</w:t>
      </w:r>
    </w:p>
    <w:p w:rsidR="009F7318" w:rsidRPr="00DE002D" w:rsidRDefault="009F7318" w:rsidP="009F7318">
      <w:pPr>
        <w:rPr>
          <w:noProof/>
        </w:rPr>
      </w:pPr>
      <w:r w:rsidRPr="009938A9">
        <w:rPr>
          <w:noProof/>
        </w:rPr>
        <w:t>This is an assessment of overall support to Cambodia, offering limited de</w:t>
      </w:r>
      <w:r>
        <w:rPr>
          <w:noProof/>
        </w:rPr>
        <w:t>tail on health sector programs</w:t>
      </w:r>
      <w:r w:rsidRPr="009938A9">
        <w:rPr>
          <w:noProof/>
        </w:rPr>
        <w:t>. In re</w:t>
      </w:r>
      <w:r>
        <w:rPr>
          <w:noProof/>
        </w:rPr>
        <w:t xml:space="preserve">lation </w:t>
      </w:r>
      <w:r w:rsidRPr="009938A9">
        <w:rPr>
          <w:noProof/>
        </w:rPr>
        <w:t>to health, the report notes that lack of progress on certain indicators “implies that resources are not being allocated within the public health system to where they are most needed – nor are they being used as efficiently as they could be. Further reforms to improve the transparency of MoH expenditure will be required […]”. It also notes significant improvement in terms of donor harmonization, but “very little movement on significant policy issues, notably MoH procurement budget transparency”.</w:t>
      </w:r>
    </w:p>
    <w:p w:rsidR="009F7318" w:rsidRPr="008D7DB3" w:rsidRDefault="009F7318" w:rsidP="009F7318">
      <w:pPr>
        <w:pStyle w:val="References"/>
        <w:ind w:left="0" w:firstLine="0"/>
        <w:rPr>
          <w:b/>
        </w:rPr>
      </w:pPr>
      <w:r w:rsidRPr="008D7DB3">
        <w:rPr>
          <w:b/>
        </w:rPr>
        <w:t xml:space="preserve">Department of Foreign Affairs and Trade, </w:t>
      </w:r>
      <w:r w:rsidRPr="008D7DB3">
        <w:rPr>
          <w:b/>
          <w:i/>
        </w:rPr>
        <w:t>Quality at implementation report: Cambodia Delivering Better Health project</w:t>
      </w:r>
      <w:r w:rsidRPr="008D7DB3">
        <w:rPr>
          <w:b/>
        </w:rPr>
        <w:t>, DFAT, Canberra, 2014.</w:t>
      </w:r>
    </w:p>
    <w:p w:rsidR="009F7318" w:rsidRPr="005117CB" w:rsidRDefault="009F7318" w:rsidP="009F7318">
      <w:pPr>
        <w:rPr>
          <w:noProof/>
        </w:rPr>
      </w:pPr>
      <w:r w:rsidRPr="009938A9">
        <w:rPr>
          <w:noProof/>
        </w:rPr>
        <w:t>This report expla</w:t>
      </w:r>
      <w:r>
        <w:rPr>
          <w:noProof/>
        </w:rPr>
        <w:t>ins what worked in the program</w:t>
      </w:r>
      <w:r w:rsidRPr="009938A9">
        <w:rPr>
          <w:noProof/>
        </w:rPr>
        <w:t>, and what did not and why. Due to the nature of the document it is very succinct and forward looking, rather than an analysis of previou</w:t>
      </w:r>
      <w:r>
        <w:rPr>
          <w:noProof/>
        </w:rPr>
        <w:t>s years. It notes that program</w:t>
      </w:r>
      <w:r w:rsidRPr="009938A9">
        <w:rPr>
          <w:noProof/>
        </w:rPr>
        <w:t xml:space="preserve"> had very good outcomes in some service delivery components, that the Trust Fund </w:t>
      </w:r>
      <w:r>
        <w:rPr>
          <w:noProof/>
        </w:rPr>
        <w:t xml:space="preserve">has been an </w:t>
      </w:r>
      <w:r w:rsidRPr="009938A9">
        <w:rPr>
          <w:noProof/>
        </w:rPr>
        <w:t>efficient mechanism</w:t>
      </w:r>
      <w:r>
        <w:rPr>
          <w:noProof/>
        </w:rPr>
        <w:t xml:space="preserve"> overall</w:t>
      </w:r>
      <w:r w:rsidRPr="009938A9">
        <w:rPr>
          <w:noProof/>
        </w:rPr>
        <w:t xml:space="preserve">, and that full alignment of </w:t>
      </w:r>
      <w:r>
        <w:rPr>
          <w:noProof/>
        </w:rPr>
        <w:t xml:space="preserve">sector </w:t>
      </w:r>
      <w:r w:rsidRPr="009938A9">
        <w:rPr>
          <w:noProof/>
        </w:rPr>
        <w:t xml:space="preserve">monitoring mechanisms </w:t>
      </w:r>
      <w:r>
        <w:rPr>
          <w:noProof/>
        </w:rPr>
        <w:t>has been achieved</w:t>
      </w:r>
      <w:r w:rsidRPr="009938A9">
        <w:rPr>
          <w:noProof/>
        </w:rPr>
        <w:t>.</w:t>
      </w:r>
    </w:p>
    <w:p w:rsidR="009F7318" w:rsidRPr="008D7DB3" w:rsidRDefault="009F7318" w:rsidP="009F7318">
      <w:pPr>
        <w:pStyle w:val="References"/>
        <w:ind w:left="0" w:firstLine="0"/>
        <w:rPr>
          <w:b/>
          <w:lang w:val="en-US"/>
        </w:rPr>
      </w:pPr>
      <w:r w:rsidRPr="008D7DB3">
        <w:rPr>
          <w:b/>
          <w:lang w:val="en-US"/>
        </w:rPr>
        <w:t xml:space="preserve">J Martinez et al, </w:t>
      </w:r>
      <w:r w:rsidRPr="008D7DB3">
        <w:rPr>
          <w:b/>
          <w:i/>
          <w:lang w:val="en-US"/>
        </w:rPr>
        <w:t>Overall assessment for Mid Term Review of Health Strategic Plan 2008-15,</w:t>
      </w:r>
      <w:r w:rsidRPr="008D7DB3">
        <w:rPr>
          <w:b/>
          <w:lang w:val="en-US"/>
        </w:rPr>
        <w:t xml:space="preserve"> HLSP, London, 2011.</w:t>
      </w:r>
    </w:p>
    <w:p w:rsidR="009F7318" w:rsidRPr="009938A9" w:rsidRDefault="009F7318" w:rsidP="009F7318">
      <w:pPr>
        <w:rPr>
          <w:noProof/>
        </w:rPr>
      </w:pPr>
      <w:r w:rsidRPr="009938A9">
        <w:rPr>
          <w:noProof/>
        </w:rPr>
        <w:t xml:space="preserve">In this document chapter 4.5 on health systems governance and aid effectiveness are particularly relevant. In line with the SWiM assessment of 2011(see below), it expresses concerns that in spite of substantial progress (e.g. in relation to aligning health financing and strengthening budgeting) there is still a long way to go. It states that in order to make sector investments by both the MoH and health partners more effective, efficient, predictable and aligned, and for health partners to harmonize their work, there is a need to focus on a number of key areas including: project design; review missions; monitoring and reporting arrangements; planning and management of </w:t>
      </w:r>
      <w:r w:rsidR="00DB7BE5">
        <w:rPr>
          <w:noProof/>
        </w:rPr>
        <w:t>TA</w:t>
      </w:r>
      <w:r w:rsidRPr="009938A9">
        <w:rPr>
          <w:noProof/>
        </w:rPr>
        <w:t xml:space="preserve">. </w:t>
      </w:r>
    </w:p>
    <w:p w:rsidR="009F7318" w:rsidRPr="008D7DB3" w:rsidRDefault="009F7318" w:rsidP="009F7318">
      <w:pPr>
        <w:pStyle w:val="References"/>
        <w:ind w:left="0" w:firstLine="0"/>
        <w:rPr>
          <w:b/>
          <w:lang w:val="en-US"/>
        </w:rPr>
      </w:pPr>
      <w:r w:rsidRPr="008D7DB3">
        <w:rPr>
          <w:b/>
          <w:lang w:val="en-US"/>
        </w:rPr>
        <w:t xml:space="preserve">D </w:t>
      </w:r>
      <w:proofErr w:type="spellStart"/>
      <w:r w:rsidRPr="008D7DB3">
        <w:rPr>
          <w:b/>
          <w:lang w:val="en-US"/>
        </w:rPr>
        <w:t>Vaillancourt</w:t>
      </w:r>
      <w:proofErr w:type="spellEnd"/>
      <w:r w:rsidRPr="008D7DB3">
        <w:rPr>
          <w:b/>
          <w:lang w:val="en-US"/>
        </w:rPr>
        <w:t xml:space="preserve">, A Land &amp; D </w:t>
      </w:r>
      <w:proofErr w:type="spellStart"/>
      <w:r w:rsidRPr="008D7DB3">
        <w:rPr>
          <w:b/>
          <w:lang w:val="en-US"/>
        </w:rPr>
        <w:t>Shuey</w:t>
      </w:r>
      <w:proofErr w:type="spellEnd"/>
      <w:r w:rsidRPr="008D7DB3">
        <w:rPr>
          <w:b/>
          <w:lang w:val="en-US"/>
        </w:rPr>
        <w:t xml:space="preserve">, </w:t>
      </w:r>
      <w:r w:rsidRPr="008D7DB3">
        <w:rPr>
          <w:b/>
          <w:i/>
          <w:lang w:val="en-US"/>
        </w:rPr>
        <w:t>Aid effectiveness in Cambodia’s health sector: an assessment of the sector-wide management (</w:t>
      </w:r>
      <w:proofErr w:type="spellStart"/>
      <w:r w:rsidRPr="008D7DB3">
        <w:rPr>
          <w:b/>
          <w:i/>
          <w:lang w:val="en-US"/>
        </w:rPr>
        <w:t>SWiM</w:t>
      </w:r>
      <w:proofErr w:type="spellEnd"/>
      <w:r w:rsidRPr="008D7DB3">
        <w:rPr>
          <w:b/>
          <w:i/>
          <w:lang w:val="en-US"/>
        </w:rPr>
        <w:t>) approach and its effect on sector performance and outcomes</w:t>
      </w:r>
      <w:r w:rsidRPr="008D7DB3">
        <w:rPr>
          <w:b/>
          <w:lang w:val="en-US"/>
        </w:rPr>
        <w:t>, 2011 (Draft).</w:t>
      </w:r>
    </w:p>
    <w:p w:rsidR="009F7318" w:rsidRPr="009938A9" w:rsidRDefault="009F7318" w:rsidP="009F7318">
      <w:pPr>
        <w:rPr>
          <w:noProof/>
        </w:rPr>
      </w:pPr>
      <w:r w:rsidRPr="009938A9">
        <w:rPr>
          <w:noProof/>
        </w:rPr>
        <w:t xml:space="preserve">The study was conducted to inform and support the MoH’s efforts to assess and strengthen the effectiveness of development assistance to the health sector, and covers the period since the previous SWiM review in 2007. It argues that the anticipated benefits of the SWiM </w:t>
      </w:r>
      <w:r>
        <w:rPr>
          <w:noProof/>
        </w:rPr>
        <w:t xml:space="preserve">have </w:t>
      </w:r>
      <w:r w:rsidRPr="009938A9">
        <w:rPr>
          <w:noProof/>
        </w:rPr>
        <w:t xml:space="preserve">only been partially achieved, with very little progress in SWiM implementation and in improving aid effectiveness since 2007. Likely reasons for this are cited as weaknesses of both MoH and Health Partners on a number of fronts, including: level of commitment, ownership, mutual trust, respectful candor of their dialogue, mutual accountability, clear rules of the game, and action planning and follow-through.  </w:t>
      </w:r>
    </w:p>
    <w:p w:rsidR="009F7318" w:rsidRPr="008D7DB3" w:rsidRDefault="009F7318" w:rsidP="009F7318">
      <w:pPr>
        <w:pStyle w:val="References"/>
        <w:ind w:left="0" w:firstLine="0"/>
        <w:rPr>
          <w:b/>
        </w:rPr>
      </w:pPr>
      <w:r w:rsidRPr="008D7DB3">
        <w:rPr>
          <w:b/>
        </w:rPr>
        <w:t xml:space="preserve">World Bank, </w:t>
      </w:r>
      <w:r w:rsidRPr="008D7DB3">
        <w:rPr>
          <w:b/>
          <w:i/>
        </w:rPr>
        <w:t>Implementation completion and results report: health sector support project,</w:t>
      </w:r>
      <w:r w:rsidRPr="008D7DB3">
        <w:rPr>
          <w:b/>
        </w:rPr>
        <w:t xml:space="preserve"> World Bank, Washington, DC, 2012.</w:t>
      </w:r>
    </w:p>
    <w:p w:rsidR="009F7318" w:rsidRPr="00DE002D" w:rsidRDefault="009F7318" w:rsidP="009F7318">
      <w:pPr>
        <w:rPr>
          <w:noProof/>
        </w:rPr>
      </w:pPr>
      <w:r w:rsidRPr="009938A9">
        <w:rPr>
          <w:noProof/>
        </w:rPr>
        <w:lastRenderedPageBreak/>
        <w:t xml:space="preserve">This document covers the first </w:t>
      </w:r>
      <w:r>
        <w:rPr>
          <w:noProof/>
        </w:rPr>
        <w:t xml:space="preserve">HSSP </w:t>
      </w:r>
      <w:r w:rsidRPr="009938A9">
        <w:rPr>
          <w:noProof/>
        </w:rPr>
        <w:t>(which is outside the scope of this review), but because funding was extended from 2007 to 2011 there is some overlap. It gives a full picture of the context at the time, a detailed program description and overall assessment against results framework, and also why this type of support was chosen including by main co-financiers (unfortunately not Australia; see Annex 7).</w:t>
      </w:r>
    </w:p>
    <w:p w:rsidR="009F7318" w:rsidRPr="000E78B1" w:rsidRDefault="009F7318" w:rsidP="009F7318">
      <w:pPr>
        <w:pStyle w:val="Heading3a"/>
      </w:pPr>
      <w:r>
        <w:t xml:space="preserve">Nepal </w:t>
      </w:r>
    </w:p>
    <w:p w:rsidR="009F7318" w:rsidRPr="007C6F39" w:rsidRDefault="009F7318" w:rsidP="009F7318">
      <w:pPr>
        <w:pStyle w:val="References"/>
        <w:ind w:left="0" w:firstLine="0"/>
        <w:rPr>
          <w:b/>
        </w:rPr>
      </w:pPr>
      <w:proofErr w:type="gramStart"/>
      <w:r w:rsidRPr="007C6F39">
        <w:rPr>
          <w:b/>
        </w:rPr>
        <w:t xml:space="preserve">Australian Agency for International Development, </w:t>
      </w:r>
      <w:r w:rsidRPr="007C6F39">
        <w:rPr>
          <w:b/>
          <w:i/>
        </w:rPr>
        <w:t>Nepal development cooperation report 2010</w:t>
      </w:r>
      <w:r w:rsidRPr="007C6F39">
        <w:rPr>
          <w:b/>
        </w:rPr>
        <w:t>, AusAID, Canberra, 2011.</w:t>
      </w:r>
      <w:proofErr w:type="gramEnd"/>
    </w:p>
    <w:p w:rsidR="009F7318" w:rsidRPr="0039724D" w:rsidRDefault="009F7318" w:rsidP="009F7318">
      <w:pPr>
        <w:rPr>
          <w:noProof/>
        </w:rPr>
      </w:pPr>
      <w:r w:rsidRPr="009938A9">
        <w:rPr>
          <w:noProof/>
        </w:rPr>
        <w:t>This document examines the performance of the overall Nepal’s aid program. It explains the rationale for Australian involvement in health through a sector wide approach and that the number of donors working in a unified way through donor pools has so far, proven to be effective in the country, with commitment to working in a highly coordinated fashion and in ways that build government systems and capacity”. The report states that “it is important that we continue to support this asset through whatever transitions the Nepalese state moves through in the next few years.”</w:t>
      </w:r>
    </w:p>
    <w:p w:rsidR="009F7318" w:rsidRPr="007C6F39" w:rsidRDefault="009F7318" w:rsidP="009F7318">
      <w:pPr>
        <w:pStyle w:val="References"/>
        <w:ind w:left="0" w:firstLine="0"/>
        <w:rPr>
          <w:b/>
        </w:rPr>
      </w:pPr>
      <w:proofErr w:type="gramStart"/>
      <w:r w:rsidRPr="007C6F39">
        <w:rPr>
          <w:b/>
        </w:rPr>
        <w:t xml:space="preserve">Australian Agency for International Development, Quality at implementation report for INJ722 Nepal Health Sector Program </w:t>
      </w:r>
      <w:proofErr w:type="spellStart"/>
      <w:r w:rsidRPr="007C6F39">
        <w:rPr>
          <w:b/>
        </w:rPr>
        <w:t>SWAp</w:t>
      </w:r>
      <w:proofErr w:type="spellEnd"/>
      <w:r w:rsidRPr="007C6F39">
        <w:rPr>
          <w:b/>
        </w:rPr>
        <w:t xml:space="preserve"> (IHP</w:t>
      </w:r>
      <w:r>
        <w:rPr>
          <w:b/>
        </w:rPr>
        <w:t xml:space="preserve">) </w:t>
      </w:r>
      <w:r w:rsidRPr="007C6F39">
        <w:rPr>
          <w:b/>
        </w:rPr>
        <w:t>Phase II, AusAID, Canberra, 2012.</w:t>
      </w:r>
      <w:proofErr w:type="gramEnd"/>
    </w:p>
    <w:p w:rsidR="009F7318" w:rsidRPr="009938A9" w:rsidRDefault="009F7318" w:rsidP="009F7318">
      <w:pPr>
        <w:rPr>
          <w:noProof/>
        </w:rPr>
      </w:pPr>
      <w:r w:rsidRPr="009938A9">
        <w:rPr>
          <w:noProof/>
        </w:rPr>
        <w:t xml:space="preserve">This document provides a very useful short description and assessment of the SWAp and sector performance from AusAID’s perspective, and the rationale for Australia’s involvement in the program. </w:t>
      </w:r>
    </w:p>
    <w:p w:rsidR="009F7318" w:rsidRPr="009938A9" w:rsidRDefault="009F7318" w:rsidP="009F7318">
      <w:pPr>
        <w:pStyle w:val="References"/>
        <w:ind w:left="0" w:firstLine="0"/>
        <w:rPr>
          <w:b/>
        </w:rPr>
      </w:pPr>
      <w:proofErr w:type="gramStart"/>
      <w:r w:rsidRPr="009938A9">
        <w:rPr>
          <w:b/>
        </w:rPr>
        <w:t xml:space="preserve">Department for International Development, </w:t>
      </w:r>
      <w:r w:rsidRPr="009938A9">
        <w:rPr>
          <w:b/>
          <w:i/>
        </w:rPr>
        <w:t>Annual review of DFID support to the National Health Sector Programme II, Nepal</w:t>
      </w:r>
      <w:r w:rsidRPr="009938A9">
        <w:rPr>
          <w:b/>
        </w:rPr>
        <w:t>, DFID, London, 2014.</w:t>
      </w:r>
      <w:proofErr w:type="gramEnd"/>
    </w:p>
    <w:p w:rsidR="009F7318" w:rsidRPr="0039724D" w:rsidRDefault="009F7318" w:rsidP="009F7318">
      <w:pPr>
        <w:rPr>
          <w:noProof/>
        </w:rPr>
      </w:pPr>
      <w:r>
        <w:rPr>
          <w:noProof/>
        </w:rPr>
        <w:t xml:space="preserve">The document (together with annual reviews from previous years) is useful to understand DFID’s perspective on program progress. </w:t>
      </w:r>
    </w:p>
    <w:p w:rsidR="009F7318" w:rsidRPr="007C6F39" w:rsidRDefault="009F7318" w:rsidP="009F7318">
      <w:pPr>
        <w:pStyle w:val="References"/>
        <w:ind w:left="0" w:firstLine="0"/>
        <w:rPr>
          <w:b/>
        </w:rPr>
      </w:pPr>
      <w:r w:rsidRPr="007C6F39">
        <w:rPr>
          <w:b/>
        </w:rPr>
        <w:t xml:space="preserve">Health &amp; Education Advice and Resource Team, </w:t>
      </w:r>
      <w:r w:rsidRPr="007C6F39">
        <w:rPr>
          <w:b/>
          <w:i/>
        </w:rPr>
        <w:t>Nepal Health Sector Programme II (NHSP II): mid-term review</w:t>
      </w:r>
      <w:r w:rsidRPr="007C6F39">
        <w:rPr>
          <w:b/>
        </w:rPr>
        <w:t>, HEART, 2013.</w:t>
      </w:r>
    </w:p>
    <w:p w:rsidR="009F7318" w:rsidRPr="009938A9" w:rsidRDefault="009F7318" w:rsidP="009F7318">
      <w:pPr>
        <w:rPr>
          <w:noProof/>
        </w:rPr>
      </w:pPr>
      <w:r>
        <w:rPr>
          <w:noProof/>
        </w:rPr>
        <w:t xml:space="preserve">The </w:t>
      </w:r>
      <w:r w:rsidR="00DB7BE5">
        <w:rPr>
          <w:noProof/>
        </w:rPr>
        <w:t>MTR</w:t>
      </w:r>
      <w:r>
        <w:rPr>
          <w:noProof/>
        </w:rPr>
        <w:t xml:space="preserve"> is a key </w:t>
      </w:r>
      <w:r w:rsidRPr="009938A9">
        <w:rPr>
          <w:noProof/>
        </w:rPr>
        <w:t xml:space="preserve">document on NHSPII performance. </w:t>
      </w:r>
      <w:r>
        <w:rPr>
          <w:noProof/>
        </w:rPr>
        <w:t>It</w:t>
      </w:r>
      <w:r w:rsidRPr="009938A9">
        <w:rPr>
          <w:noProof/>
        </w:rPr>
        <w:t xml:space="preserve"> </w:t>
      </w:r>
      <w:r>
        <w:rPr>
          <w:noProof/>
        </w:rPr>
        <w:t xml:space="preserve">finds </w:t>
      </w:r>
      <w:r w:rsidRPr="009938A9">
        <w:rPr>
          <w:noProof/>
        </w:rPr>
        <w:t>that good progress has been made across most areas (healthcare access, health sector management, service delivery, health knowledge and awareness, M&amp;E and information systems, physical assets and logistics management)</w:t>
      </w:r>
      <w:r>
        <w:rPr>
          <w:noProof/>
        </w:rPr>
        <w:t xml:space="preserve">, but </w:t>
      </w:r>
      <w:r w:rsidRPr="009938A9">
        <w:rPr>
          <w:noProof/>
        </w:rPr>
        <w:t xml:space="preserve">more limited progress against </w:t>
      </w:r>
      <w:r>
        <w:rPr>
          <w:noProof/>
        </w:rPr>
        <w:t xml:space="preserve">the </w:t>
      </w:r>
      <w:r w:rsidRPr="009938A9">
        <w:rPr>
          <w:noProof/>
        </w:rPr>
        <w:t xml:space="preserve">three key areas </w:t>
      </w:r>
      <w:r>
        <w:rPr>
          <w:noProof/>
        </w:rPr>
        <w:t xml:space="preserve">of </w:t>
      </w:r>
      <w:r w:rsidRPr="009938A9">
        <w:rPr>
          <w:noProof/>
        </w:rPr>
        <w:t>human resources, health governance and financial management, and sustainable health financing</w:t>
      </w:r>
      <w:r>
        <w:rPr>
          <w:noProof/>
        </w:rPr>
        <w:t>.</w:t>
      </w:r>
    </w:p>
    <w:p w:rsidR="009F7318" w:rsidRPr="007C6F39" w:rsidRDefault="009F7318" w:rsidP="009F7318">
      <w:pPr>
        <w:pStyle w:val="References"/>
        <w:ind w:left="0" w:firstLine="0"/>
        <w:rPr>
          <w:b/>
        </w:rPr>
      </w:pPr>
      <w:r w:rsidRPr="007C6F39">
        <w:rPr>
          <w:b/>
        </w:rPr>
        <w:t xml:space="preserve">D </w:t>
      </w:r>
      <w:proofErr w:type="spellStart"/>
      <w:r w:rsidRPr="007C6F39">
        <w:rPr>
          <w:b/>
        </w:rPr>
        <w:t>Vaillancourt</w:t>
      </w:r>
      <w:proofErr w:type="spellEnd"/>
      <w:r w:rsidRPr="007C6F39">
        <w:rPr>
          <w:b/>
        </w:rPr>
        <w:t xml:space="preserve"> &amp; S </w:t>
      </w:r>
      <w:proofErr w:type="spellStart"/>
      <w:r w:rsidRPr="007C6F39">
        <w:rPr>
          <w:b/>
        </w:rPr>
        <w:t>Pokhrel</w:t>
      </w:r>
      <w:proofErr w:type="spellEnd"/>
      <w:r w:rsidRPr="007C6F39">
        <w:rPr>
          <w:b/>
        </w:rPr>
        <w:t xml:space="preserve">, </w:t>
      </w:r>
      <w:r w:rsidRPr="007C6F39">
        <w:rPr>
          <w:b/>
          <w:i/>
        </w:rPr>
        <w:t>Aid effectiveness in Nepal’s health sector: accomplishments to date and measurement challenges</w:t>
      </w:r>
      <w:r w:rsidRPr="007C6F39">
        <w:rPr>
          <w:b/>
        </w:rPr>
        <w:t>, International Health Partnership (IHP+), Geneva, 2012.</w:t>
      </w:r>
    </w:p>
    <w:p w:rsidR="009F7318" w:rsidRPr="0039724D" w:rsidRDefault="009F7318" w:rsidP="009F7318">
      <w:pPr>
        <w:rPr>
          <w:noProof/>
        </w:rPr>
      </w:pPr>
      <w:r w:rsidRPr="0039724D">
        <w:rPr>
          <w:noProof/>
        </w:rPr>
        <w:t xml:space="preserve">This is a key document (together with the Mid Term Review, although possibly it is slightly dated as the research was conducted in 2011. The report addresses three questions: 1) To what extent have aid effectiveness principles been put into place? 2) Has this contributed to better results, notably: (i) more efficient aid; (ii) strengthened health systems; (iii) improvements in health services? and 3) What was critical </w:t>
      </w:r>
      <w:r>
        <w:rPr>
          <w:noProof/>
        </w:rPr>
        <w:t xml:space="preserve">for </w:t>
      </w:r>
      <w:r w:rsidRPr="0039724D">
        <w:rPr>
          <w:noProof/>
        </w:rPr>
        <w:t>achieving these results?</w:t>
      </w:r>
    </w:p>
    <w:p w:rsidR="009F7318" w:rsidRPr="007C6F39" w:rsidRDefault="009F7318" w:rsidP="009F7318">
      <w:pPr>
        <w:pStyle w:val="References"/>
        <w:ind w:left="0" w:firstLine="0"/>
        <w:rPr>
          <w:b/>
        </w:rPr>
      </w:pPr>
      <w:proofErr w:type="gramStart"/>
      <w:r w:rsidRPr="007C6F39">
        <w:rPr>
          <w:b/>
        </w:rPr>
        <w:t>World Bank</w:t>
      </w:r>
      <w:r w:rsidRPr="007C6F39">
        <w:rPr>
          <w:b/>
          <w:i/>
        </w:rPr>
        <w:t>, Project appraisal document on a proposed credit to Nepal for a second HNP and HIV/AIDS project</w:t>
      </w:r>
      <w:r w:rsidRPr="007C6F39">
        <w:rPr>
          <w:b/>
        </w:rPr>
        <w:t>, World Bank, Washington, DC, 2010.</w:t>
      </w:r>
      <w:proofErr w:type="gramEnd"/>
    </w:p>
    <w:p w:rsidR="009F7318" w:rsidRPr="008D7DB3" w:rsidRDefault="009F7318" w:rsidP="009F7318">
      <w:pPr>
        <w:rPr>
          <w:noProof/>
        </w:rPr>
      </w:pPr>
      <w:r>
        <w:rPr>
          <w:noProof/>
        </w:rPr>
        <w:t>This is a useful background document explaining</w:t>
      </w:r>
      <w:r w:rsidRPr="0039724D">
        <w:rPr>
          <w:noProof/>
        </w:rPr>
        <w:t xml:space="preserve"> </w:t>
      </w:r>
      <w:r>
        <w:rPr>
          <w:noProof/>
        </w:rPr>
        <w:t xml:space="preserve">the </w:t>
      </w:r>
      <w:r w:rsidRPr="0039724D">
        <w:rPr>
          <w:noProof/>
        </w:rPr>
        <w:t>rationale for W</w:t>
      </w:r>
      <w:r>
        <w:rPr>
          <w:noProof/>
        </w:rPr>
        <w:t xml:space="preserve">orld </w:t>
      </w:r>
      <w:r w:rsidRPr="0039724D">
        <w:rPr>
          <w:noProof/>
        </w:rPr>
        <w:t>B</w:t>
      </w:r>
      <w:r>
        <w:rPr>
          <w:noProof/>
        </w:rPr>
        <w:t>ank</w:t>
      </w:r>
      <w:r w:rsidRPr="0039724D">
        <w:rPr>
          <w:noProof/>
        </w:rPr>
        <w:t xml:space="preserve"> involvement</w:t>
      </w:r>
      <w:r>
        <w:rPr>
          <w:noProof/>
        </w:rPr>
        <w:t>,</w:t>
      </w:r>
      <w:r w:rsidRPr="0039724D">
        <w:rPr>
          <w:noProof/>
        </w:rPr>
        <w:t xml:space="preserve"> </w:t>
      </w:r>
      <w:r>
        <w:rPr>
          <w:noProof/>
        </w:rPr>
        <w:t>including a useful program</w:t>
      </w:r>
      <w:r w:rsidRPr="0039724D">
        <w:rPr>
          <w:noProof/>
        </w:rPr>
        <w:t xml:space="preserve"> description</w:t>
      </w:r>
      <w:r>
        <w:rPr>
          <w:noProof/>
        </w:rPr>
        <w:t xml:space="preserve"> and the results framework. </w:t>
      </w:r>
    </w:p>
    <w:p w:rsidR="009F7318" w:rsidRPr="000E78B1" w:rsidRDefault="009F7318" w:rsidP="009F7318">
      <w:pPr>
        <w:pStyle w:val="Heading3a"/>
      </w:pPr>
      <w:r>
        <w:lastRenderedPageBreak/>
        <w:t>P</w:t>
      </w:r>
      <w:r w:rsidR="00817A75">
        <w:t>apua New Guinea</w:t>
      </w:r>
    </w:p>
    <w:p w:rsidR="009F7318" w:rsidRPr="00A504F2" w:rsidRDefault="009F7318" w:rsidP="009F7318">
      <w:pPr>
        <w:pStyle w:val="References"/>
        <w:rPr>
          <w:b/>
        </w:rPr>
      </w:pPr>
      <w:r w:rsidRPr="00A504F2">
        <w:rPr>
          <w:b/>
        </w:rPr>
        <w:t xml:space="preserve">K </w:t>
      </w:r>
      <w:proofErr w:type="spellStart"/>
      <w:r w:rsidRPr="00A504F2">
        <w:rPr>
          <w:b/>
        </w:rPr>
        <w:t>Janovsky</w:t>
      </w:r>
      <w:proofErr w:type="spellEnd"/>
      <w:r w:rsidRPr="00A504F2">
        <w:rPr>
          <w:b/>
        </w:rPr>
        <w:t xml:space="preserve">, M Foster, E </w:t>
      </w:r>
      <w:proofErr w:type="spellStart"/>
      <w:r w:rsidRPr="00A504F2">
        <w:rPr>
          <w:b/>
        </w:rPr>
        <w:t>Kwa</w:t>
      </w:r>
      <w:proofErr w:type="spellEnd"/>
      <w:r w:rsidRPr="00A504F2">
        <w:rPr>
          <w:b/>
        </w:rPr>
        <w:t xml:space="preserve">, J </w:t>
      </w:r>
      <w:proofErr w:type="spellStart"/>
      <w:r w:rsidRPr="00A504F2">
        <w:rPr>
          <w:b/>
        </w:rPr>
        <w:t>Piel</w:t>
      </w:r>
      <w:proofErr w:type="spellEnd"/>
      <w:r w:rsidRPr="00A504F2">
        <w:rPr>
          <w:b/>
        </w:rPr>
        <w:t xml:space="preserve"> &amp; K </w:t>
      </w:r>
      <w:proofErr w:type="spellStart"/>
      <w:r w:rsidRPr="00A504F2">
        <w:rPr>
          <w:b/>
        </w:rPr>
        <w:t>Lollback</w:t>
      </w:r>
      <w:proofErr w:type="spellEnd"/>
      <w:r w:rsidRPr="00A504F2">
        <w:rPr>
          <w:b/>
        </w:rPr>
        <w:t xml:space="preserve">, </w:t>
      </w:r>
      <w:r w:rsidRPr="00A504F2">
        <w:rPr>
          <w:b/>
          <w:i/>
        </w:rPr>
        <w:t xml:space="preserve">The PNG Health </w:t>
      </w:r>
      <w:proofErr w:type="spellStart"/>
      <w:r w:rsidRPr="00A504F2">
        <w:rPr>
          <w:b/>
          <w:i/>
        </w:rPr>
        <w:t>SWAp</w:t>
      </w:r>
      <w:proofErr w:type="spellEnd"/>
      <w:r w:rsidRPr="00A504F2">
        <w:rPr>
          <w:b/>
          <w:i/>
        </w:rPr>
        <w:t xml:space="preserve"> review</w:t>
      </w:r>
      <w:r w:rsidRPr="00A504F2">
        <w:rPr>
          <w:b/>
        </w:rPr>
        <w:t xml:space="preserve">, 2010. </w:t>
      </w:r>
    </w:p>
    <w:p w:rsidR="009F7318" w:rsidRDefault="009F7318" w:rsidP="009F7318">
      <w:pPr>
        <w:rPr>
          <w:noProof/>
        </w:rPr>
      </w:pPr>
      <w:r>
        <w:rPr>
          <w:noProof/>
        </w:rPr>
        <w:t xml:space="preserve">This report presents and </w:t>
      </w:r>
      <w:r w:rsidRPr="005C7EA8">
        <w:rPr>
          <w:noProof/>
        </w:rPr>
        <w:t xml:space="preserve">overview of the objectives, findings and recommendations of the </w:t>
      </w:r>
      <w:r>
        <w:rPr>
          <w:noProof/>
        </w:rPr>
        <w:t xml:space="preserve">SWAp </w:t>
      </w:r>
      <w:r w:rsidRPr="005C7EA8">
        <w:rPr>
          <w:noProof/>
        </w:rPr>
        <w:t>review</w:t>
      </w:r>
      <w:r>
        <w:rPr>
          <w:noProof/>
        </w:rPr>
        <w:t xml:space="preserve">. Key messages include: the need </w:t>
      </w:r>
      <w:r w:rsidRPr="005C7EA8">
        <w:rPr>
          <w:noProof/>
        </w:rPr>
        <w:t>to disburse more donor resources for health through government systems as sector budget support</w:t>
      </w:r>
      <w:r>
        <w:rPr>
          <w:noProof/>
        </w:rPr>
        <w:t xml:space="preserve">; the need improved </w:t>
      </w:r>
      <w:r w:rsidRPr="005C7EA8">
        <w:rPr>
          <w:noProof/>
        </w:rPr>
        <w:t>mechanisms for sector coordination and policy dialogue</w:t>
      </w:r>
      <w:r>
        <w:rPr>
          <w:noProof/>
        </w:rPr>
        <w:t>; the importance of strenghtening institutions and creating incentives (i.e. the</w:t>
      </w:r>
      <w:r w:rsidRPr="005C7EA8">
        <w:rPr>
          <w:noProof/>
        </w:rPr>
        <w:t xml:space="preserve"> enabling environment</w:t>
      </w:r>
      <w:r>
        <w:rPr>
          <w:noProof/>
        </w:rPr>
        <w:t>).</w:t>
      </w:r>
    </w:p>
    <w:p w:rsidR="009F7318" w:rsidRPr="00A504F2" w:rsidRDefault="009F7318" w:rsidP="009F7318">
      <w:pPr>
        <w:pStyle w:val="References"/>
        <w:ind w:left="0" w:firstLine="0"/>
        <w:rPr>
          <w:b/>
        </w:rPr>
      </w:pPr>
      <w:r w:rsidRPr="00A504F2">
        <w:rPr>
          <w:b/>
        </w:rPr>
        <w:t xml:space="preserve">K </w:t>
      </w:r>
      <w:proofErr w:type="spellStart"/>
      <w:r w:rsidRPr="00A504F2">
        <w:rPr>
          <w:b/>
        </w:rPr>
        <w:t>Janovsky</w:t>
      </w:r>
      <w:proofErr w:type="spellEnd"/>
      <w:r w:rsidRPr="00A504F2">
        <w:rPr>
          <w:b/>
        </w:rPr>
        <w:t xml:space="preserve">, </w:t>
      </w:r>
      <w:r w:rsidRPr="00A504F2">
        <w:rPr>
          <w:b/>
          <w:i/>
        </w:rPr>
        <w:t xml:space="preserve">The PNG </w:t>
      </w:r>
      <w:proofErr w:type="spellStart"/>
      <w:r w:rsidRPr="00A504F2">
        <w:rPr>
          <w:b/>
          <w:i/>
        </w:rPr>
        <w:t>SWAp</w:t>
      </w:r>
      <w:proofErr w:type="spellEnd"/>
      <w:r w:rsidRPr="00A504F2">
        <w:rPr>
          <w:b/>
          <w:i/>
        </w:rPr>
        <w:t xml:space="preserve"> review: streamlining and strengthening mechanisms for sector coordination and policy dialogue</w:t>
      </w:r>
      <w:r w:rsidRPr="00A504F2">
        <w:rPr>
          <w:b/>
        </w:rPr>
        <w:t xml:space="preserve">, 2010 </w:t>
      </w:r>
    </w:p>
    <w:p w:rsidR="009F7318" w:rsidRDefault="009F7318" w:rsidP="009F7318">
      <w:pPr>
        <w:rPr>
          <w:noProof/>
        </w:rPr>
      </w:pPr>
      <w:r>
        <w:rPr>
          <w:noProof/>
        </w:rPr>
        <w:t xml:space="preserve">This is </w:t>
      </w:r>
      <w:r w:rsidRPr="00A504F2">
        <w:rPr>
          <w:noProof/>
        </w:rPr>
        <w:t>one of three reports which t</w:t>
      </w:r>
      <w:r w:rsidR="00817A75">
        <w:rPr>
          <w:noProof/>
        </w:rPr>
        <w:t>ogether form the core of the Papua New Guinea</w:t>
      </w:r>
      <w:r w:rsidRPr="00A504F2">
        <w:rPr>
          <w:noProof/>
        </w:rPr>
        <w:t xml:space="preserve"> SWAp Review</w:t>
      </w:r>
      <w:r>
        <w:rPr>
          <w:noProof/>
        </w:rPr>
        <w:t>. T</w:t>
      </w:r>
      <w:r w:rsidRPr="00A504F2">
        <w:rPr>
          <w:noProof/>
        </w:rPr>
        <w:t xml:space="preserve">he focus of this </w:t>
      </w:r>
      <w:r>
        <w:rPr>
          <w:noProof/>
        </w:rPr>
        <w:t xml:space="preserve">specific </w:t>
      </w:r>
      <w:r w:rsidRPr="00A504F2">
        <w:rPr>
          <w:noProof/>
        </w:rPr>
        <w:t>report is on structures and processes that support harmonization and alignment in accordance with the Paris, Accra and Kavieng Declarations</w:t>
      </w:r>
      <w:r>
        <w:rPr>
          <w:noProof/>
        </w:rPr>
        <w:t xml:space="preserve">. It </w:t>
      </w:r>
      <w:r w:rsidRPr="00A504F2">
        <w:rPr>
          <w:noProof/>
        </w:rPr>
        <w:t>review</w:t>
      </w:r>
      <w:r>
        <w:rPr>
          <w:noProof/>
        </w:rPr>
        <w:t>s</w:t>
      </w:r>
      <w:r w:rsidRPr="00A504F2">
        <w:rPr>
          <w:noProof/>
        </w:rPr>
        <w:t xml:space="preserve"> the roles, responsibilities and comparative advantage of the various (SWAp) governance structures and partnership forums; </w:t>
      </w:r>
      <w:r>
        <w:rPr>
          <w:noProof/>
        </w:rPr>
        <w:t xml:space="preserve">and makes </w:t>
      </w:r>
      <w:r w:rsidRPr="00A504F2">
        <w:rPr>
          <w:noProof/>
        </w:rPr>
        <w:t>recommend</w:t>
      </w:r>
      <w:r>
        <w:rPr>
          <w:noProof/>
        </w:rPr>
        <w:t>ations</w:t>
      </w:r>
      <w:r w:rsidRPr="00A504F2">
        <w:rPr>
          <w:noProof/>
        </w:rPr>
        <w:t xml:space="preserve"> </w:t>
      </w:r>
      <w:r>
        <w:rPr>
          <w:noProof/>
        </w:rPr>
        <w:t xml:space="preserve">for change. </w:t>
      </w:r>
    </w:p>
    <w:p w:rsidR="009F7318" w:rsidRPr="00A504F2" w:rsidRDefault="009F7318" w:rsidP="009F7318">
      <w:pPr>
        <w:pStyle w:val="References"/>
        <w:ind w:left="0" w:firstLine="0"/>
        <w:rPr>
          <w:b/>
        </w:rPr>
      </w:pPr>
      <w:r w:rsidRPr="00A504F2">
        <w:rPr>
          <w:b/>
        </w:rPr>
        <w:t xml:space="preserve">S Richards, G </w:t>
      </w:r>
      <w:proofErr w:type="spellStart"/>
      <w:r w:rsidRPr="00A504F2">
        <w:rPr>
          <w:b/>
        </w:rPr>
        <w:t>Rupa</w:t>
      </w:r>
      <w:proofErr w:type="spellEnd"/>
      <w:r w:rsidRPr="00A504F2">
        <w:rPr>
          <w:b/>
        </w:rPr>
        <w:t xml:space="preserve">, L Shaw &amp; I Glastonbury, </w:t>
      </w:r>
      <w:r w:rsidRPr="00A504F2">
        <w:rPr>
          <w:b/>
          <w:i/>
        </w:rPr>
        <w:t>Re-design of the health services improvement program (HSIP) Trust Account</w:t>
      </w:r>
      <w:r w:rsidRPr="00A504F2">
        <w:rPr>
          <w:b/>
        </w:rPr>
        <w:t>, 2012.</w:t>
      </w:r>
    </w:p>
    <w:p w:rsidR="009F7318" w:rsidRPr="008C3D33" w:rsidRDefault="009F7318" w:rsidP="009F7318">
      <w:pPr>
        <w:rPr>
          <w:noProof/>
        </w:rPr>
      </w:pPr>
      <w:r w:rsidRPr="008C3D33">
        <w:rPr>
          <w:noProof/>
        </w:rPr>
        <w:t>The Trust Account hold</w:t>
      </w:r>
      <w:r w:rsidRPr="005C7EA8">
        <w:rPr>
          <w:noProof/>
        </w:rPr>
        <w:t>s</w:t>
      </w:r>
      <w:r w:rsidRPr="008C3D33">
        <w:rPr>
          <w:noProof/>
        </w:rPr>
        <w:t xml:space="preserve"> </w:t>
      </w:r>
      <w:r w:rsidRPr="005C7EA8">
        <w:rPr>
          <w:noProof/>
        </w:rPr>
        <w:t>development partners and government funds</w:t>
      </w:r>
      <w:r>
        <w:rPr>
          <w:noProof/>
        </w:rPr>
        <w:t xml:space="preserve"> and </w:t>
      </w:r>
      <w:r w:rsidRPr="00F8222B">
        <w:rPr>
          <w:noProof/>
        </w:rPr>
        <w:t>plays a vital role in funding rural health services</w:t>
      </w:r>
      <w:r w:rsidRPr="005C7EA8">
        <w:rPr>
          <w:noProof/>
        </w:rPr>
        <w:t xml:space="preserve">, </w:t>
      </w:r>
      <w:r>
        <w:rPr>
          <w:noProof/>
        </w:rPr>
        <w:t>but o</w:t>
      </w:r>
      <w:r w:rsidRPr="00F8222B">
        <w:rPr>
          <w:noProof/>
        </w:rPr>
        <w:t xml:space="preserve">ver the past decade concerns have been expressed about </w:t>
      </w:r>
      <w:r>
        <w:rPr>
          <w:noProof/>
        </w:rPr>
        <w:t>its</w:t>
      </w:r>
      <w:r w:rsidRPr="00F8222B">
        <w:rPr>
          <w:noProof/>
        </w:rPr>
        <w:t xml:space="preserve"> performance</w:t>
      </w:r>
      <w:r>
        <w:rPr>
          <w:noProof/>
        </w:rPr>
        <w:t xml:space="preserve">. This report is the outcome of the re-design mission. </w:t>
      </w:r>
    </w:p>
    <w:p w:rsidR="009F7318" w:rsidRPr="000E78B1" w:rsidRDefault="009F7318" w:rsidP="009F7318">
      <w:pPr>
        <w:pStyle w:val="Heading3a"/>
      </w:pPr>
      <w:r>
        <w:t xml:space="preserve">Samoa </w:t>
      </w:r>
    </w:p>
    <w:p w:rsidR="009F7318" w:rsidRPr="001B0A5D" w:rsidRDefault="009F7318" w:rsidP="009F7318">
      <w:pPr>
        <w:pStyle w:val="References"/>
        <w:ind w:left="0" w:firstLine="0"/>
        <w:rPr>
          <w:b/>
        </w:rPr>
      </w:pPr>
      <w:r w:rsidRPr="001B0A5D">
        <w:rPr>
          <w:b/>
        </w:rPr>
        <w:t xml:space="preserve">P Davies, </w:t>
      </w:r>
      <w:r w:rsidRPr="001B0A5D">
        <w:rPr>
          <w:b/>
          <w:i/>
        </w:rPr>
        <w:t xml:space="preserve">Evaluation of Samoa Health Sector Management Program (Health </w:t>
      </w:r>
      <w:proofErr w:type="spellStart"/>
      <w:r w:rsidRPr="001B0A5D">
        <w:rPr>
          <w:b/>
          <w:i/>
        </w:rPr>
        <w:t>SWAp</w:t>
      </w:r>
      <w:proofErr w:type="spellEnd"/>
      <w:r w:rsidRPr="001B0A5D">
        <w:rPr>
          <w:b/>
          <w:i/>
        </w:rPr>
        <w:t>)</w:t>
      </w:r>
      <w:r w:rsidRPr="001B0A5D">
        <w:rPr>
          <w:b/>
        </w:rPr>
        <w:t>, AusAID Health Resource Facility, Canberra, 2013.</w:t>
      </w:r>
    </w:p>
    <w:p w:rsidR="009F7318" w:rsidRDefault="009F7318" w:rsidP="009F7318">
      <w:pPr>
        <w:rPr>
          <w:noProof/>
        </w:rPr>
      </w:pPr>
      <w:r>
        <w:rPr>
          <w:noProof/>
        </w:rPr>
        <w:t xml:space="preserve">This report </w:t>
      </w:r>
      <w:r w:rsidRPr="001B0A5D">
        <w:rPr>
          <w:noProof/>
        </w:rPr>
        <w:t>capture</w:t>
      </w:r>
      <w:r>
        <w:rPr>
          <w:noProof/>
        </w:rPr>
        <w:t>s</w:t>
      </w:r>
      <w:r w:rsidRPr="001B0A5D">
        <w:rPr>
          <w:noProof/>
        </w:rPr>
        <w:t xml:space="preserve"> progress with the SWAp to early 2013</w:t>
      </w:r>
      <w:r>
        <w:rPr>
          <w:noProof/>
        </w:rPr>
        <w:t>,</w:t>
      </w:r>
      <w:r w:rsidRPr="001B0A5D">
        <w:rPr>
          <w:noProof/>
        </w:rPr>
        <w:t xml:space="preserve"> also encapsulat</w:t>
      </w:r>
      <w:r>
        <w:rPr>
          <w:noProof/>
        </w:rPr>
        <w:t>ing</w:t>
      </w:r>
      <w:r w:rsidRPr="001B0A5D">
        <w:rPr>
          <w:noProof/>
        </w:rPr>
        <w:t xml:space="preserve"> material from all the aide memoires and key background documents to that point. Table 6 summarizes the assessment of the SWAp against 14 key questions set in the TORs.</w:t>
      </w:r>
      <w:r>
        <w:rPr>
          <w:noProof/>
        </w:rPr>
        <w:t xml:space="preserve"> It argues that </w:t>
      </w:r>
      <w:r w:rsidRPr="001B0A5D">
        <w:rPr>
          <w:noProof/>
        </w:rPr>
        <w:t>‘weaknesses in the M&amp;E framework and its application, the absence of valid baseline measures and incomplete documentation in some areas make formal, rigorous evaluation of SWAp achievements problematic.’</w:t>
      </w:r>
      <w:r>
        <w:rPr>
          <w:noProof/>
        </w:rPr>
        <w:t xml:space="preserve"> Section </w:t>
      </w:r>
      <w:r w:rsidRPr="001B0A5D">
        <w:rPr>
          <w:noProof/>
        </w:rPr>
        <w:t>4.2 and Annex 6 capture SWAp process monitoring indicators</w:t>
      </w:r>
      <w:r>
        <w:rPr>
          <w:noProof/>
        </w:rPr>
        <w:t>, however t</w:t>
      </w:r>
      <w:r w:rsidRPr="001B0A5D">
        <w:rPr>
          <w:noProof/>
        </w:rPr>
        <w:t xml:space="preserve">he small amount of data point to some achievements in terms of SWAp processes but are of limited value as a basis for assessing the success or otherwise of the SWAp as an aid modality. </w:t>
      </w:r>
      <w:r>
        <w:rPr>
          <w:noProof/>
        </w:rPr>
        <w:t xml:space="preserve">The review finds that development partners’ </w:t>
      </w:r>
      <w:r w:rsidRPr="001B0A5D">
        <w:rPr>
          <w:noProof/>
        </w:rPr>
        <w:t>ability to contribute to meaningful policy dialogue over the life of the SWAp has been very limited</w:t>
      </w:r>
      <w:r>
        <w:rPr>
          <w:noProof/>
        </w:rPr>
        <w:t xml:space="preserve">, and that the </w:t>
      </w:r>
      <w:r w:rsidRPr="001B0A5D">
        <w:rPr>
          <w:noProof/>
        </w:rPr>
        <w:t>lack of meaningful participation of non-pool players detracts from a whole sector view</w:t>
      </w:r>
      <w:r>
        <w:rPr>
          <w:noProof/>
        </w:rPr>
        <w:t>.</w:t>
      </w:r>
    </w:p>
    <w:p w:rsidR="009F7318" w:rsidRPr="001B0A5D" w:rsidRDefault="009F7318" w:rsidP="009F7318">
      <w:pPr>
        <w:pStyle w:val="References"/>
        <w:ind w:left="0" w:firstLine="0"/>
        <w:rPr>
          <w:b/>
        </w:rPr>
      </w:pPr>
      <w:r w:rsidRPr="001B0A5D">
        <w:rPr>
          <w:b/>
        </w:rPr>
        <w:t xml:space="preserve">J </w:t>
      </w:r>
      <w:proofErr w:type="spellStart"/>
      <w:r w:rsidRPr="001B0A5D">
        <w:rPr>
          <w:b/>
        </w:rPr>
        <w:t>Negin</w:t>
      </w:r>
      <w:proofErr w:type="spellEnd"/>
      <w:r w:rsidRPr="001B0A5D">
        <w:rPr>
          <w:b/>
        </w:rPr>
        <w:t xml:space="preserve">, </w:t>
      </w:r>
      <w:r w:rsidRPr="001B0A5D">
        <w:rPr>
          <w:b/>
          <w:i/>
        </w:rPr>
        <w:t>Sector wide approaches for health: a comparative study of experiences in Samoa and the Solomon Islands</w:t>
      </w:r>
      <w:r w:rsidRPr="001B0A5D">
        <w:rPr>
          <w:b/>
        </w:rPr>
        <w:t xml:space="preserve">, </w:t>
      </w:r>
      <w:proofErr w:type="spellStart"/>
      <w:r w:rsidRPr="001B0A5D">
        <w:rPr>
          <w:b/>
        </w:rPr>
        <w:t>Nossal</w:t>
      </w:r>
      <w:proofErr w:type="spellEnd"/>
      <w:r w:rsidRPr="001B0A5D">
        <w:rPr>
          <w:b/>
        </w:rPr>
        <w:t xml:space="preserve"> Institute, Health Policy and Health Financing Knowledge Hub, Melbourne, 2010.</w:t>
      </w:r>
    </w:p>
    <w:p w:rsidR="009F7318" w:rsidRPr="001B0A5D" w:rsidRDefault="009F7318" w:rsidP="009F7318">
      <w:pPr>
        <w:rPr>
          <w:noProof/>
        </w:rPr>
      </w:pPr>
      <w:r>
        <w:rPr>
          <w:noProof/>
        </w:rPr>
        <w:t>T</w:t>
      </w:r>
      <w:r w:rsidRPr="001B0A5D">
        <w:rPr>
          <w:noProof/>
        </w:rPr>
        <w:t>his paper describe</w:t>
      </w:r>
      <w:r>
        <w:rPr>
          <w:noProof/>
        </w:rPr>
        <w:t>s</w:t>
      </w:r>
      <w:r w:rsidRPr="001B0A5D">
        <w:rPr>
          <w:noProof/>
        </w:rPr>
        <w:t xml:space="preserve"> the origin and implementation of SWAp processes in Samoa and the Solomons Islands</w:t>
      </w:r>
      <w:r>
        <w:rPr>
          <w:noProof/>
        </w:rPr>
        <w:t xml:space="preserve">, and </w:t>
      </w:r>
      <w:r w:rsidRPr="001B0A5D">
        <w:rPr>
          <w:noProof/>
        </w:rPr>
        <w:t>provide</w:t>
      </w:r>
      <w:r>
        <w:rPr>
          <w:noProof/>
        </w:rPr>
        <w:t>s</w:t>
      </w:r>
      <w:r w:rsidRPr="001B0A5D">
        <w:rPr>
          <w:noProof/>
        </w:rPr>
        <w:t xml:space="preserve"> information for the analysis of policy development processes in terms of actors, power dynamics and influences.</w:t>
      </w:r>
      <w:r>
        <w:rPr>
          <w:noProof/>
        </w:rPr>
        <w:t xml:space="preserve"> The author writes that in Samoa t</w:t>
      </w:r>
      <w:r w:rsidRPr="001B0A5D">
        <w:rPr>
          <w:noProof/>
        </w:rPr>
        <w:t>here is a strong sense of independence and sovereignty</w:t>
      </w:r>
      <w:r>
        <w:rPr>
          <w:noProof/>
        </w:rPr>
        <w:t>,</w:t>
      </w:r>
      <w:r w:rsidRPr="001B0A5D">
        <w:rPr>
          <w:noProof/>
        </w:rPr>
        <w:t xml:space="preserve"> and the government has actively led the reform process within and beyond the health sector.</w:t>
      </w:r>
      <w:r>
        <w:rPr>
          <w:noProof/>
        </w:rPr>
        <w:t xml:space="preserve"> However t</w:t>
      </w:r>
      <w:r w:rsidRPr="001B0A5D">
        <w:rPr>
          <w:noProof/>
        </w:rPr>
        <w:t xml:space="preserve">he establishment of the SWAp appears to have been a rushed </w:t>
      </w:r>
      <w:r w:rsidRPr="001B0A5D">
        <w:rPr>
          <w:noProof/>
        </w:rPr>
        <w:lastRenderedPageBreak/>
        <w:t xml:space="preserve">process that was dominated by procedural and contractual matters, rushing to meet an artificial deadline of June 2008 </w:t>
      </w:r>
      <w:r>
        <w:rPr>
          <w:noProof/>
        </w:rPr>
        <w:t>(</w:t>
      </w:r>
      <w:r w:rsidRPr="001B0A5D">
        <w:rPr>
          <w:noProof/>
        </w:rPr>
        <w:t>the date set for a World Bank board meeting</w:t>
      </w:r>
      <w:r>
        <w:rPr>
          <w:noProof/>
        </w:rPr>
        <w:t>)</w:t>
      </w:r>
      <w:r w:rsidRPr="001B0A5D">
        <w:rPr>
          <w:noProof/>
        </w:rPr>
        <w:t>.</w:t>
      </w:r>
    </w:p>
    <w:p w:rsidR="009F7318" w:rsidRPr="001B0A5D" w:rsidRDefault="009F7318" w:rsidP="009F7318">
      <w:pPr>
        <w:pStyle w:val="References"/>
        <w:ind w:left="0" w:firstLine="0"/>
        <w:rPr>
          <w:b/>
        </w:rPr>
      </w:pPr>
      <w:r w:rsidRPr="001B0A5D">
        <w:rPr>
          <w:b/>
        </w:rPr>
        <w:t xml:space="preserve">D </w:t>
      </w:r>
      <w:proofErr w:type="spellStart"/>
      <w:r w:rsidRPr="001B0A5D">
        <w:rPr>
          <w:b/>
        </w:rPr>
        <w:t>Vaillancourt</w:t>
      </w:r>
      <w:proofErr w:type="spellEnd"/>
      <w:r w:rsidRPr="001B0A5D">
        <w:rPr>
          <w:b/>
        </w:rPr>
        <w:t xml:space="preserve">, </w:t>
      </w:r>
      <w:proofErr w:type="gramStart"/>
      <w:r w:rsidRPr="006B7D13">
        <w:rPr>
          <w:b/>
          <w:i/>
        </w:rPr>
        <w:t>In</w:t>
      </w:r>
      <w:proofErr w:type="gramEnd"/>
      <w:r w:rsidRPr="006B7D13">
        <w:rPr>
          <w:b/>
          <w:i/>
        </w:rPr>
        <w:t xml:space="preserve"> sweet harmony?</w:t>
      </w:r>
      <w:r w:rsidRPr="001B0A5D">
        <w:rPr>
          <w:b/>
        </w:rPr>
        <w:t xml:space="preserve"> </w:t>
      </w:r>
      <w:r w:rsidRPr="001B0A5D">
        <w:rPr>
          <w:b/>
          <w:i/>
        </w:rPr>
        <w:t xml:space="preserve">A review of health and education </w:t>
      </w:r>
      <w:proofErr w:type="spellStart"/>
      <w:r w:rsidRPr="001B0A5D">
        <w:rPr>
          <w:b/>
          <w:i/>
        </w:rPr>
        <w:t>sectorwide</w:t>
      </w:r>
      <w:proofErr w:type="spellEnd"/>
      <w:r w:rsidRPr="001B0A5D">
        <w:rPr>
          <w:b/>
          <w:i/>
        </w:rPr>
        <w:t xml:space="preserve"> approaches in the South Pacific, Appendix 2: Samoa Health </w:t>
      </w:r>
      <w:proofErr w:type="spellStart"/>
      <w:r w:rsidRPr="001B0A5D">
        <w:rPr>
          <w:b/>
          <w:i/>
        </w:rPr>
        <w:t>SWAp</w:t>
      </w:r>
      <w:proofErr w:type="spellEnd"/>
      <w:r w:rsidRPr="001B0A5D">
        <w:rPr>
          <w:b/>
        </w:rPr>
        <w:t>, Wor</w:t>
      </w:r>
      <w:r>
        <w:rPr>
          <w:b/>
        </w:rPr>
        <w:t>ld Bank, Washington DC, 2012</w:t>
      </w:r>
      <w:r w:rsidRPr="001B0A5D">
        <w:rPr>
          <w:b/>
        </w:rPr>
        <w:t>.</w:t>
      </w:r>
    </w:p>
    <w:p w:rsidR="009F7318" w:rsidRPr="001B0A5D" w:rsidRDefault="009F7318" w:rsidP="009F7318">
      <w:pPr>
        <w:rPr>
          <w:noProof/>
        </w:rPr>
      </w:pPr>
      <w:r w:rsidRPr="001B0A5D">
        <w:rPr>
          <w:noProof/>
        </w:rPr>
        <w:t>This is a thorough review, conducted as a desk study, covering Samoa Health and Education Sectors and Solomon Islands Health Sector. In summary, it concludes that at the midpoint of the Health Sector Program implementation period, some of the anticipated capacity and efficiency benefits of the SWAp had been partially realized, but most had yet to be achieved. The study pulls together preliminary information and lessons through a selective review of relevant aid effectiveness and SWAp documentation and limited interviews and consultation, undertaken in 2010 and early 2011. It employs an objectives-based methodology, whereby aid effectiveness efforts under SWAps and sector development programs are assessed against the specific objectives and indicators set and agreed by the relevant country and development partnerss. OECD evaluation criteria guide the review’s analysis of the relevance, efficacy, efficiency and sustainability of specific SWAps.</w:t>
      </w:r>
    </w:p>
    <w:p w:rsidR="009F7318" w:rsidRPr="002126F3" w:rsidRDefault="009F7318" w:rsidP="009F7318">
      <w:pPr>
        <w:pStyle w:val="References"/>
        <w:rPr>
          <w:b/>
        </w:rPr>
      </w:pPr>
      <w:r w:rsidRPr="002126F3">
        <w:rPr>
          <w:b/>
          <w:i/>
        </w:rPr>
        <w:t>Health Sector Plan 2008-2018 Mid-term Review Report</w:t>
      </w:r>
      <w:r w:rsidRPr="002126F3">
        <w:rPr>
          <w:b/>
        </w:rPr>
        <w:t xml:space="preserve">, Samoa Ministry of Health, 2013. </w:t>
      </w:r>
    </w:p>
    <w:p w:rsidR="009F7318" w:rsidRDefault="009F7318" w:rsidP="009F7318">
      <w:pPr>
        <w:rPr>
          <w:noProof/>
        </w:rPr>
      </w:pPr>
      <w:r w:rsidRPr="002126F3">
        <w:rPr>
          <w:noProof/>
        </w:rPr>
        <w:t xml:space="preserve">This review assesses progress in implementing the </w:t>
      </w:r>
      <w:r>
        <w:rPr>
          <w:noProof/>
        </w:rPr>
        <w:t xml:space="preserve">health sector plan </w:t>
      </w:r>
      <w:r w:rsidRPr="002126F3">
        <w:rPr>
          <w:noProof/>
        </w:rPr>
        <w:t>and uses the indicators defined in the</w:t>
      </w:r>
      <w:r>
        <w:rPr>
          <w:noProof/>
        </w:rPr>
        <w:t xml:space="preserve"> </w:t>
      </w:r>
      <w:r w:rsidRPr="002126F3">
        <w:rPr>
          <w:noProof/>
        </w:rPr>
        <w:t xml:space="preserve">M&amp;E </w:t>
      </w:r>
      <w:r>
        <w:rPr>
          <w:noProof/>
        </w:rPr>
        <w:t>f</w:t>
      </w:r>
      <w:r w:rsidRPr="002126F3">
        <w:rPr>
          <w:noProof/>
        </w:rPr>
        <w:t>ramework as the main tool for assessing progress</w:t>
      </w:r>
      <w:r>
        <w:rPr>
          <w:noProof/>
        </w:rPr>
        <w:t xml:space="preserve">. There is very little discussion of SWAp processes, and or information to assess the success of the SWAp as an aid modality. </w:t>
      </w:r>
    </w:p>
    <w:p w:rsidR="009F7318" w:rsidRPr="000E78B1" w:rsidRDefault="009F7318" w:rsidP="009F7318">
      <w:pPr>
        <w:pStyle w:val="Heading3a"/>
      </w:pPr>
      <w:r>
        <w:t xml:space="preserve">Solomon Islands </w:t>
      </w:r>
    </w:p>
    <w:p w:rsidR="009F7318" w:rsidRPr="007C6F39" w:rsidRDefault="009F7318" w:rsidP="009F7318">
      <w:pPr>
        <w:pStyle w:val="References"/>
        <w:ind w:left="0" w:firstLine="0"/>
        <w:rPr>
          <w:b/>
        </w:rPr>
      </w:pPr>
      <w:r w:rsidRPr="007C6F39">
        <w:rPr>
          <w:b/>
        </w:rPr>
        <w:t xml:space="preserve">M Kelly &amp; K </w:t>
      </w:r>
      <w:proofErr w:type="spellStart"/>
      <w:r w:rsidRPr="007C6F39">
        <w:rPr>
          <w:b/>
        </w:rPr>
        <w:t>Tuckwell</w:t>
      </w:r>
      <w:proofErr w:type="spellEnd"/>
      <w:r w:rsidRPr="007C6F39">
        <w:rPr>
          <w:b/>
        </w:rPr>
        <w:t xml:space="preserve">, </w:t>
      </w:r>
      <w:r w:rsidRPr="007C6F39">
        <w:rPr>
          <w:b/>
          <w:i/>
        </w:rPr>
        <w:t>Solomon Islands Health Sector Support Program (HSSP): Inde</w:t>
      </w:r>
      <w:r w:rsidR="00521D10">
        <w:rPr>
          <w:b/>
          <w:i/>
        </w:rPr>
        <w:t xml:space="preserve">pendent Performance Assessment </w:t>
      </w:r>
      <w:r w:rsidRPr="007C6F39">
        <w:rPr>
          <w:b/>
          <w:i/>
        </w:rPr>
        <w:t>for 2013</w:t>
      </w:r>
      <w:r w:rsidRPr="007C6F39">
        <w:rPr>
          <w:b/>
        </w:rPr>
        <w:t>, Health Resource Facility, Canberra, May 2014.</w:t>
      </w:r>
    </w:p>
    <w:p w:rsidR="009F7318" w:rsidRPr="00DE002D" w:rsidRDefault="009F7318" w:rsidP="009F7318">
      <w:pPr>
        <w:rPr>
          <w:noProof/>
        </w:rPr>
      </w:pPr>
      <w:r w:rsidRPr="0039724D">
        <w:rPr>
          <w:noProof/>
        </w:rPr>
        <w:t>Following the 2012 IPA, the Ministry of Health and Medical Services (MHMS) and DFAT selected six performance indicators and targets for 2013 related to: unattended births, essential drug availability, malaria incidence, executive meetings, provincial budgets, and Public Financial Management. This report reviews progress against each of them and translates progress into DFAT performance payments to the sector. These arrangements are specific to DFAT and there is still a need to establish a SWAp results framework and SWAp performance management plan.</w:t>
      </w:r>
    </w:p>
    <w:p w:rsidR="009F7318" w:rsidRPr="007C6F39" w:rsidRDefault="009F7318" w:rsidP="009F7318">
      <w:pPr>
        <w:pStyle w:val="References"/>
        <w:ind w:left="0" w:firstLine="0"/>
        <w:rPr>
          <w:b/>
        </w:rPr>
      </w:pPr>
      <w:r w:rsidRPr="007C6F39">
        <w:rPr>
          <w:b/>
        </w:rPr>
        <w:t xml:space="preserve">J </w:t>
      </w:r>
      <w:proofErr w:type="spellStart"/>
      <w:r w:rsidRPr="007C6F39">
        <w:rPr>
          <w:b/>
        </w:rPr>
        <w:t>Negin</w:t>
      </w:r>
      <w:proofErr w:type="spellEnd"/>
      <w:r w:rsidRPr="007C6F39">
        <w:rPr>
          <w:b/>
        </w:rPr>
        <w:t xml:space="preserve"> &amp; </w:t>
      </w:r>
      <w:proofErr w:type="gramStart"/>
      <w:r w:rsidRPr="007C6F39">
        <w:rPr>
          <w:b/>
        </w:rPr>
        <w:t>A</w:t>
      </w:r>
      <w:proofErr w:type="gramEnd"/>
      <w:r w:rsidRPr="007C6F39">
        <w:rPr>
          <w:b/>
        </w:rPr>
        <w:t xml:space="preserve"> </w:t>
      </w:r>
      <w:proofErr w:type="spellStart"/>
      <w:r w:rsidRPr="007C6F39">
        <w:rPr>
          <w:b/>
        </w:rPr>
        <w:t>Martiniuk</w:t>
      </w:r>
      <w:proofErr w:type="spellEnd"/>
      <w:r w:rsidRPr="007C6F39">
        <w:rPr>
          <w:b/>
        </w:rPr>
        <w:t xml:space="preserve">, Sector wide approaches for health in small island states: lessons learned from the Solomon Islands, </w:t>
      </w:r>
      <w:r w:rsidRPr="007C6F39">
        <w:rPr>
          <w:b/>
          <w:i/>
        </w:rPr>
        <w:t>Global Public Health</w:t>
      </w:r>
      <w:r w:rsidRPr="007C6F39">
        <w:rPr>
          <w:b/>
        </w:rPr>
        <w:t>, 7(2):137-48, 2011.</w:t>
      </w:r>
    </w:p>
    <w:p w:rsidR="009F7318" w:rsidRPr="0039724D" w:rsidRDefault="009F7318" w:rsidP="009F7318">
      <w:pPr>
        <w:rPr>
          <w:noProof/>
        </w:rPr>
      </w:pPr>
      <w:r w:rsidRPr="0039724D">
        <w:rPr>
          <w:noProof/>
        </w:rPr>
        <w:t>This qualitative research paper explore the establishment and implementation of the health SWAp in the Solomon Islands as a specific case study with lessons learned for the region as well as for aid architecture in fragile states more generally. An interesting read on motivations and processes in the early days of the SWAp – characterized by consultant-led processes, sub-optimal relationships between key donors and the nascent SWAp being pushed by donors in a project-type fashion.</w:t>
      </w:r>
    </w:p>
    <w:p w:rsidR="009F7318" w:rsidRPr="007C6F39" w:rsidRDefault="009F7318" w:rsidP="009F7318">
      <w:pPr>
        <w:pStyle w:val="References"/>
        <w:ind w:left="0" w:firstLine="0"/>
        <w:rPr>
          <w:b/>
        </w:rPr>
      </w:pPr>
      <w:r w:rsidRPr="007C6F39">
        <w:rPr>
          <w:b/>
        </w:rPr>
        <w:t xml:space="preserve">S Tyson, </w:t>
      </w:r>
      <w:r w:rsidRPr="007C6F39">
        <w:rPr>
          <w:b/>
          <w:i/>
        </w:rPr>
        <w:t>Solomon Islands Health Sector Wide Approach: progress review 2008-2011</w:t>
      </w:r>
      <w:r w:rsidRPr="007C6F39">
        <w:rPr>
          <w:b/>
        </w:rPr>
        <w:t>, AusAID Health Resource Facility, Canberra, 2011.</w:t>
      </w:r>
    </w:p>
    <w:p w:rsidR="009F7318" w:rsidRPr="0039724D" w:rsidRDefault="009F7318" w:rsidP="009F7318">
      <w:pPr>
        <w:rPr>
          <w:noProof/>
        </w:rPr>
      </w:pPr>
      <w:r w:rsidRPr="0039724D">
        <w:rPr>
          <w:noProof/>
        </w:rPr>
        <w:t xml:space="preserve">One of the most useful papers on the Solomon Islands, it presents a good synopsis of the state of play. It documents a) progress against the commitments and principles of the SWAp and b) progress in strengthening health systems and in improving delivery of health services since the launch in 2008. </w:t>
      </w:r>
    </w:p>
    <w:p w:rsidR="009F7318" w:rsidRPr="007C6F39" w:rsidRDefault="009F7318" w:rsidP="009F7318">
      <w:pPr>
        <w:pStyle w:val="References"/>
        <w:ind w:left="0" w:firstLine="0"/>
        <w:rPr>
          <w:b/>
        </w:rPr>
      </w:pPr>
      <w:r w:rsidRPr="007C6F39">
        <w:rPr>
          <w:b/>
        </w:rPr>
        <w:t xml:space="preserve">SD </w:t>
      </w:r>
      <w:proofErr w:type="spellStart"/>
      <w:r w:rsidRPr="007C6F39">
        <w:rPr>
          <w:b/>
        </w:rPr>
        <w:t>Vaillancourt</w:t>
      </w:r>
      <w:proofErr w:type="spellEnd"/>
      <w:r w:rsidRPr="007C6F39">
        <w:rPr>
          <w:b/>
        </w:rPr>
        <w:t xml:space="preserve">, </w:t>
      </w:r>
      <w:proofErr w:type="gramStart"/>
      <w:r w:rsidRPr="007C6F39">
        <w:rPr>
          <w:b/>
          <w:i/>
        </w:rPr>
        <w:t>In</w:t>
      </w:r>
      <w:proofErr w:type="gramEnd"/>
      <w:r w:rsidRPr="007C6F39">
        <w:rPr>
          <w:b/>
          <w:i/>
        </w:rPr>
        <w:t xml:space="preserve"> sweet harmony? A review of health and education </w:t>
      </w:r>
      <w:proofErr w:type="spellStart"/>
      <w:r w:rsidRPr="007C6F39">
        <w:rPr>
          <w:b/>
          <w:i/>
        </w:rPr>
        <w:t>sectorwide</w:t>
      </w:r>
      <w:proofErr w:type="spellEnd"/>
      <w:r w:rsidRPr="007C6F39">
        <w:rPr>
          <w:b/>
          <w:i/>
        </w:rPr>
        <w:t xml:space="preserve"> approaches in the South Pacific, Appendix 3: Solomon Islands Health </w:t>
      </w:r>
      <w:proofErr w:type="spellStart"/>
      <w:r w:rsidRPr="007C6F39">
        <w:rPr>
          <w:b/>
          <w:i/>
        </w:rPr>
        <w:t>SWAp</w:t>
      </w:r>
      <w:proofErr w:type="spellEnd"/>
      <w:r w:rsidRPr="007C6F39">
        <w:rPr>
          <w:b/>
        </w:rPr>
        <w:t xml:space="preserve">, World Bank, Washington DC, 2012 (b). </w:t>
      </w:r>
    </w:p>
    <w:p w:rsidR="009F7318" w:rsidRPr="00DE002D" w:rsidRDefault="009F7318" w:rsidP="009F7318">
      <w:pPr>
        <w:rPr>
          <w:noProof/>
        </w:rPr>
      </w:pPr>
      <w:r w:rsidRPr="00BC7827">
        <w:rPr>
          <w:noProof/>
        </w:rPr>
        <w:lastRenderedPageBreak/>
        <w:t>This desk study</w:t>
      </w:r>
      <w:r>
        <w:rPr>
          <w:noProof/>
        </w:rPr>
        <w:t xml:space="preserve"> covers the health SWAp in the Solomon Islands and is one of the key references for the ODE review. </w:t>
      </w:r>
      <w:r w:rsidRPr="00BC7827">
        <w:rPr>
          <w:noProof/>
        </w:rPr>
        <w:t>It employs an objectives-based methodology</w:t>
      </w:r>
      <w:r>
        <w:rPr>
          <w:noProof/>
        </w:rPr>
        <w:t xml:space="preserve"> (see Samoa for further details.</w:t>
      </w:r>
      <w:r w:rsidRPr="00BC7827">
        <w:rPr>
          <w:noProof/>
        </w:rPr>
        <w:t xml:space="preserve"> It highlights issues that are specific to the Pacific Islands, among which are:</w:t>
      </w:r>
      <w:r>
        <w:rPr>
          <w:noProof/>
        </w:rPr>
        <w:t xml:space="preserve"> t</w:t>
      </w:r>
      <w:r w:rsidRPr="00BC7827">
        <w:rPr>
          <w:noProof/>
        </w:rPr>
        <w:t>he very small size of ministry staff vis a vis the heavy workload of SWAps</w:t>
      </w:r>
      <w:r>
        <w:rPr>
          <w:noProof/>
        </w:rPr>
        <w:t>; t</w:t>
      </w:r>
      <w:r w:rsidRPr="00BC7827">
        <w:rPr>
          <w:noProof/>
        </w:rPr>
        <w:t>he challenges of managing an especially large volume of TA</w:t>
      </w:r>
      <w:r>
        <w:rPr>
          <w:noProof/>
        </w:rPr>
        <w:t>; t</w:t>
      </w:r>
      <w:r w:rsidRPr="00BC7827">
        <w:rPr>
          <w:noProof/>
        </w:rPr>
        <w:t>he relatively smaller pool of DPs involved and the very prominent role played by one or two bilateral DPs</w:t>
      </w:r>
      <w:r>
        <w:rPr>
          <w:noProof/>
        </w:rPr>
        <w:t xml:space="preserve">. </w:t>
      </w:r>
      <w:bookmarkEnd w:id="73"/>
    </w:p>
    <w:sectPr w:rsidR="009F7318" w:rsidRPr="00DE00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80E" w:rsidRDefault="0060380E">
      <w:pPr>
        <w:spacing w:after="0"/>
      </w:pPr>
      <w:r>
        <w:separator/>
      </w:r>
    </w:p>
  </w:endnote>
  <w:endnote w:type="continuationSeparator" w:id="0">
    <w:p w:rsidR="0060380E" w:rsidRDefault="006038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01638"/>
      <w:docPartObj>
        <w:docPartGallery w:val="Page Numbers (Bottom of Page)"/>
        <w:docPartUnique/>
      </w:docPartObj>
    </w:sdtPr>
    <w:sdtEndPr>
      <w:rPr>
        <w:noProof/>
      </w:rPr>
    </w:sdtEndPr>
    <w:sdtContent>
      <w:p w:rsidR="0060380E" w:rsidRDefault="0060380E">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60380E" w:rsidRDefault="006038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16558"/>
      <w:docPartObj>
        <w:docPartGallery w:val="Page Numbers (Bottom of Page)"/>
        <w:docPartUnique/>
      </w:docPartObj>
    </w:sdtPr>
    <w:sdtEndPr>
      <w:rPr>
        <w:noProof/>
      </w:rPr>
    </w:sdtEndPr>
    <w:sdtContent>
      <w:p w:rsidR="0060380E" w:rsidRDefault="0060380E" w:rsidP="00AA45A4">
        <w:pPr>
          <w:pStyle w:val="Footer"/>
          <w:jc w:val="center"/>
        </w:pPr>
        <w:r>
          <w:fldChar w:fldCharType="begin"/>
        </w:r>
        <w:r>
          <w:instrText xml:space="preserve"> PAGE   \* MERGEFORMAT </w:instrText>
        </w:r>
        <w:r>
          <w:fldChar w:fldCharType="separate"/>
        </w:r>
        <w:r w:rsidR="000171C6">
          <w:rPr>
            <w:noProof/>
          </w:rPr>
          <w:t>14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571373"/>
      <w:docPartObj>
        <w:docPartGallery w:val="Page Numbers (Bottom of Page)"/>
        <w:docPartUnique/>
      </w:docPartObj>
    </w:sdtPr>
    <w:sdtEndPr>
      <w:rPr>
        <w:noProof/>
      </w:rPr>
    </w:sdtEndPr>
    <w:sdtContent>
      <w:p w:rsidR="0060380E" w:rsidRDefault="0060380E" w:rsidP="00F94BBA">
        <w:pPr>
          <w:pStyle w:val="Footer"/>
          <w:jc w:val="center"/>
        </w:pPr>
        <w:r>
          <w:fldChar w:fldCharType="begin"/>
        </w:r>
        <w:r>
          <w:instrText xml:space="preserve"> PAGE   \* MERGEFORMAT </w:instrText>
        </w:r>
        <w:r>
          <w:fldChar w:fldCharType="separate"/>
        </w:r>
        <w:r w:rsidR="000171C6">
          <w:rPr>
            <w:noProof/>
          </w:rPr>
          <w:t>iii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700609"/>
      <w:docPartObj>
        <w:docPartGallery w:val="Page Numbers (Bottom of Page)"/>
        <w:docPartUnique/>
      </w:docPartObj>
    </w:sdtPr>
    <w:sdtEndPr>
      <w:rPr>
        <w:noProof/>
      </w:rPr>
    </w:sdtEndPr>
    <w:sdtContent>
      <w:p w:rsidR="0060380E" w:rsidRDefault="0060380E" w:rsidP="00AA45A4">
        <w:pPr>
          <w:pStyle w:val="Footer"/>
          <w:jc w:val="center"/>
        </w:pPr>
        <w:r>
          <w:fldChar w:fldCharType="begin"/>
        </w:r>
        <w:r>
          <w:instrText xml:space="preserve"> PAGE   \* MERGEFORMAT </w:instrText>
        </w:r>
        <w:r>
          <w:fldChar w:fldCharType="separate"/>
        </w:r>
        <w:r w:rsidR="000171C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80E" w:rsidRDefault="0060380E">
      <w:pPr>
        <w:spacing w:after="0"/>
      </w:pPr>
      <w:r>
        <w:separator/>
      </w:r>
    </w:p>
  </w:footnote>
  <w:footnote w:type="continuationSeparator" w:id="0">
    <w:p w:rsidR="0060380E" w:rsidRDefault="0060380E">
      <w:pPr>
        <w:spacing w:after="0"/>
      </w:pPr>
      <w:r>
        <w:continuationSeparator/>
      </w:r>
    </w:p>
  </w:footnote>
  <w:footnote w:id="1">
    <w:p w:rsidR="0060380E" w:rsidRDefault="0060380E">
      <w:pPr>
        <w:pStyle w:val="FootnoteText"/>
      </w:pPr>
      <w:r>
        <w:rPr>
          <w:rStyle w:val="FootnoteReference"/>
        </w:rPr>
        <w:footnoteRef/>
      </w:r>
      <w:r>
        <w:t xml:space="preserve"> </w:t>
      </w:r>
      <w:proofErr w:type="spellStart"/>
      <w:r>
        <w:t>SWAps</w:t>
      </w:r>
      <w:proofErr w:type="spellEnd"/>
      <w:r>
        <w:t xml:space="preserve"> and their related instruments are defined and explained in Box 1.</w:t>
      </w:r>
    </w:p>
  </w:footnote>
  <w:footnote w:id="2">
    <w:p w:rsidR="0060380E" w:rsidRDefault="0060380E" w:rsidP="008A2491">
      <w:pPr>
        <w:pStyle w:val="FootnoteText"/>
        <w:ind w:left="142" w:hanging="142"/>
      </w:pPr>
      <w:r>
        <w:rPr>
          <w:rStyle w:val="FootnoteReference"/>
        </w:rPr>
        <w:footnoteRef/>
      </w:r>
      <w:r>
        <w:t xml:space="preserve"> </w:t>
      </w:r>
      <w:r w:rsidRPr="00911FF9">
        <w:t xml:space="preserve">D </w:t>
      </w:r>
      <w:proofErr w:type="spellStart"/>
      <w:r w:rsidRPr="00911FF9">
        <w:t>Vaillancourt</w:t>
      </w:r>
      <w:proofErr w:type="spellEnd"/>
      <w:r w:rsidRPr="00911FF9">
        <w:t xml:space="preserve">, </w:t>
      </w:r>
      <w:proofErr w:type="gramStart"/>
      <w:r w:rsidRPr="00911FF9">
        <w:rPr>
          <w:i/>
        </w:rPr>
        <w:t>In</w:t>
      </w:r>
      <w:proofErr w:type="gramEnd"/>
      <w:r w:rsidRPr="00911FF9">
        <w:rPr>
          <w:i/>
        </w:rPr>
        <w:t xml:space="preserve"> sweet harmony? A review of health and education sector wide approaches in the South Pacific</w:t>
      </w:r>
      <w:r w:rsidRPr="00911FF9">
        <w:t>, World Bank, Washington DC, 2012</w:t>
      </w:r>
      <w:r>
        <w:t>.</w:t>
      </w:r>
    </w:p>
  </w:footnote>
  <w:footnote w:id="3">
    <w:p w:rsidR="0060380E" w:rsidRDefault="0060380E" w:rsidP="00077780">
      <w:pPr>
        <w:pStyle w:val="FootnoteText"/>
        <w:ind w:left="0" w:firstLine="0"/>
      </w:pPr>
      <w:r>
        <w:rPr>
          <w:rStyle w:val="FootnoteReference"/>
        </w:rPr>
        <w:footnoteRef/>
      </w:r>
      <w:r>
        <w:t xml:space="preserve"> </w:t>
      </w:r>
      <w:r w:rsidRPr="001041F7">
        <w:t>M Pearson</w:t>
      </w:r>
      <w:r w:rsidRPr="000E1CFA">
        <w:rPr>
          <w:i/>
        </w:rPr>
        <w:t>, Impact evaluation of the sector wide approach (</w:t>
      </w:r>
      <w:proofErr w:type="spellStart"/>
      <w:r w:rsidRPr="000E1CFA">
        <w:rPr>
          <w:i/>
        </w:rPr>
        <w:t>SWAp</w:t>
      </w:r>
      <w:proofErr w:type="spellEnd"/>
      <w:r w:rsidRPr="000E1CFA">
        <w:rPr>
          <w:i/>
        </w:rPr>
        <w:t>), Malawi</w:t>
      </w:r>
      <w:r w:rsidRPr="001041F7">
        <w:t>. DFID Human Development Resource Centre, London, 2010 (a)</w:t>
      </w:r>
      <w:r>
        <w:t>, 7.</w:t>
      </w:r>
    </w:p>
  </w:footnote>
  <w:footnote w:id="4">
    <w:p w:rsidR="0060380E" w:rsidRPr="00EE5251" w:rsidRDefault="0060380E" w:rsidP="00077780">
      <w:pPr>
        <w:pStyle w:val="FootnoteText"/>
        <w:ind w:left="0" w:firstLine="0"/>
      </w:pPr>
      <w:r>
        <w:rPr>
          <w:rStyle w:val="FootnoteReference"/>
        </w:rPr>
        <w:footnoteRef/>
      </w:r>
      <w:r>
        <w:t xml:space="preserve"> </w:t>
      </w:r>
      <w:r w:rsidRPr="00EE5251">
        <w:t xml:space="preserve">A </w:t>
      </w:r>
      <w:proofErr w:type="spellStart"/>
      <w:r w:rsidRPr="00EE5251">
        <w:t>Cassels</w:t>
      </w:r>
      <w:proofErr w:type="spellEnd"/>
      <w:r w:rsidRPr="00EE5251">
        <w:t xml:space="preserve">, </w:t>
      </w:r>
      <w:r w:rsidRPr="000E1CFA">
        <w:rPr>
          <w:i/>
        </w:rPr>
        <w:t>Aid instruments and health systems development: an analysis of current practice</w:t>
      </w:r>
      <w:r w:rsidRPr="00EE5251">
        <w:t>, World Health Organization, Geneva, 1995.</w:t>
      </w:r>
    </w:p>
  </w:footnote>
  <w:footnote w:id="5">
    <w:p w:rsidR="0060380E" w:rsidRPr="006D41D3" w:rsidRDefault="0060380E" w:rsidP="009E70D9">
      <w:pPr>
        <w:pStyle w:val="FootnoteText"/>
        <w:ind w:left="0" w:firstLine="0"/>
        <w:rPr>
          <w:lang w:val="en-GB"/>
        </w:rPr>
      </w:pPr>
      <w:r>
        <w:rPr>
          <w:rStyle w:val="FootnoteReference"/>
        </w:rPr>
        <w:footnoteRef/>
      </w:r>
      <w:r>
        <w:t xml:space="preserve"> For the purpose of this paper, we intend ‘evaluations’ as a systematic assessment, that has been peer reviewed (using the term ‘peer’ in a broad sense, including for example technical experts and agency staff) and that uses a framework for analysis. We consider ‘reviews’ those undertaken in the context of a program, sector or </w:t>
      </w:r>
      <w:proofErr w:type="spellStart"/>
      <w:r>
        <w:t>SWAp</w:t>
      </w:r>
      <w:proofErr w:type="spellEnd"/>
      <w:r>
        <w:t xml:space="preserve"> implementation (e.g. annual progress reviews, mid-term reviews and joint assessments). </w:t>
      </w:r>
    </w:p>
  </w:footnote>
  <w:footnote w:id="6">
    <w:p w:rsidR="0060380E" w:rsidRPr="00A83460" w:rsidRDefault="0060380E" w:rsidP="00530E14">
      <w:pPr>
        <w:pStyle w:val="FootnoteText"/>
        <w:ind w:left="0" w:firstLine="0"/>
      </w:pPr>
      <w:r>
        <w:rPr>
          <w:rStyle w:val="FootnoteReference"/>
        </w:rPr>
        <w:footnoteRef/>
      </w:r>
      <w:r>
        <w:t xml:space="preserve"> </w:t>
      </w:r>
      <w:proofErr w:type="spellStart"/>
      <w:r w:rsidRPr="00A83460">
        <w:t>Cass</w:t>
      </w:r>
      <w:r>
        <w:t>els</w:t>
      </w:r>
      <w:proofErr w:type="spellEnd"/>
      <w:r w:rsidRPr="00A83460">
        <w:t>, 1995</w:t>
      </w:r>
      <w:r>
        <w:t>;</w:t>
      </w:r>
      <w:r w:rsidRPr="00FE764D">
        <w:t xml:space="preserve"> </w:t>
      </w:r>
      <w:r>
        <w:t xml:space="preserve">M Foster, A Brown &amp; T Conway, </w:t>
      </w:r>
      <w:r w:rsidRPr="000E1CFA">
        <w:rPr>
          <w:i/>
        </w:rPr>
        <w:t>Sector-wide approaches for health development: a review of experience</w:t>
      </w:r>
      <w:r>
        <w:t>. World Health Organization, Geneva, 2001.</w:t>
      </w:r>
    </w:p>
  </w:footnote>
  <w:footnote w:id="7">
    <w:p w:rsidR="0060380E" w:rsidRPr="00676C5C" w:rsidRDefault="0060380E" w:rsidP="00530E14">
      <w:pPr>
        <w:pStyle w:val="FootnoteText"/>
        <w:ind w:left="0" w:firstLine="0"/>
        <w:rPr>
          <w:lang w:val="en-GB"/>
        </w:rPr>
      </w:pPr>
      <w:r>
        <w:rPr>
          <w:rStyle w:val="FootnoteReference"/>
        </w:rPr>
        <w:footnoteRef/>
      </w:r>
      <w:r>
        <w:t xml:space="preserve"> </w:t>
      </w:r>
      <w:r w:rsidRPr="00F0381C">
        <w:rPr>
          <w:i/>
        </w:rPr>
        <w:t>Paris declaration on aid effectiveness: ownership, harmonisation, alignment, results and mutual accountability</w:t>
      </w:r>
      <w:r w:rsidRPr="00676C5C">
        <w:t xml:space="preserve">. </w:t>
      </w:r>
      <w:proofErr w:type="gramStart"/>
      <w:r w:rsidRPr="00676C5C">
        <w:t>2nd High</w:t>
      </w:r>
      <w:r w:rsidR="000171C6">
        <w:t xml:space="preserve"> </w:t>
      </w:r>
      <w:r>
        <w:t>L</w:t>
      </w:r>
      <w:r w:rsidRPr="00676C5C">
        <w:t xml:space="preserve">evel </w:t>
      </w:r>
      <w:r>
        <w:t>F</w:t>
      </w:r>
      <w:r w:rsidRPr="00676C5C">
        <w:t xml:space="preserve">orum on </w:t>
      </w:r>
      <w:r>
        <w:t>A</w:t>
      </w:r>
      <w:r w:rsidRPr="00676C5C">
        <w:t xml:space="preserve">id </w:t>
      </w:r>
      <w:r>
        <w:t>E</w:t>
      </w:r>
      <w:r w:rsidRPr="00676C5C">
        <w:t>ffectiveness</w:t>
      </w:r>
      <w:r>
        <w:t>,</w:t>
      </w:r>
      <w:r w:rsidRPr="00676C5C">
        <w:t xml:space="preserve"> Paris, 2005.</w:t>
      </w:r>
      <w:proofErr w:type="gramEnd"/>
    </w:p>
  </w:footnote>
  <w:footnote w:id="8">
    <w:p w:rsidR="0060380E" w:rsidRPr="006E6EC7" w:rsidRDefault="0060380E" w:rsidP="0054221D">
      <w:pPr>
        <w:pStyle w:val="FootnoteText"/>
        <w:ind w:left="142" w:hanging="142"/>
      </w:pPr>
      <w:r>
        <w:rPr>
          <w:rStyle w:val="FootnoteReference"/>
        </w:rPr>
        <w:footnoteRef/>
      </w:r>
      <w:r>
        <w:t xml:space="preserve"> </w:t>
      </w:r>
      <w:r w:rsidRPr="008F3D3D">
        <w:t xml:space="preserve">V </w:t>
      </w:r>
      <w:proofErr w:type="spellStart"/>
      <w:r w:rsidRPr="008F3D3D">
        <w:t>Walford</w:t>
      </w:r>
      <w:proofErr w:type="spellEnd"/>
      <w:r w:rsidRPr="008F3D3D">
        <w:t xml:space="preserve">, </w:t>
      </w:r>
      <w:r w:rsidRPr="008F3D3D">
        <w:rPr>
          <w:i/>
        </w:rPr>
        <w:t>A review of health sector wide approaches in Africa</w:t>
      </w:r>
      <w:r w:rsidRPr="008F3D3D">
        <w:t>. HLSP Institute, London, 2007.</w:t>
      </w:r>
    </w:p>
  </w:footnote>
  <w:footnote w:id="9">
    <w:p w:rsidR="0060380E" w:rsidRPr="001041F7" w:rsidRDefault="0060380E" w:rsidP="0054221D">
      <w:pPr>
        <w:pStyle w:val="FootnoteText"/>
        <w:ind w:left="142" w:hanging="142"/>
      </w:pPr>
      <w:r>
        <w:rPr>
          <w:rStyle w:val="FootnoteReference"/>
        </w:rPr>
        <w:footnoteRef/>
      </w:r>
      <w:r>
        <w:t xml:space="preserve"> J </w:t>
      </w:r>
      <w:proofErr w:type="spellStart"/>
      <w:r>
        <w:t>Negin</w:t>
      </w:r>
      <w:proofErr w:type="spellEnd"/>
      <w:r>
        <w:t xml:space="preserve">, </w:t>
      </w:r>
      <w:r w:rsidRPr="000E1CFA">
        <w:rPr>
          <w:i/>
        </w:rPr>
        <w:t>Sector-wide approaches for health: lessons from Samoa and the Solomon Islands</w:t>
      </w:r>
      <w:r>
        <w:t xml:space="preserve">, </w:t>
      </w:r>
      <w:proofErr w:type="spellStart"/>
      <w:r>
        <w:t>Nossal</w:t>
      </w:r>
      <w:proofErr w:type="spellEnd"/>
      <w:r>
        <w:t xml:space="preserve"> Institute, Health Policy and Health Finance Knowledge Hub, Melbourne, 2010.</w:t>
      </w:r>
    </w:p>
  </w:footnote>
  <w:footnote w:id="10">
    <w:p w:rsidR="0060380E" w:rsidRPr="001041F7" w:rsidRDefault="0060380E" w:rsidP="0054221D">
      <w:pPr>
        <w:pStyle w:val="FootnoteText"/>
        <w:ind w:left="142" w:hanging="142"/>
      </w:pPr>
      <w:r>
        <w:rPr>
          <w:rStyle w:val="FootnoteReference"/>
        </w:rPr>
        <w:footnoteRef/>
      </w:r>
      <w:r>
        <w:t xml:space="preserve"> </w:t>
      </w:r>
      <w:r w:rsidRPr="001041F7">
        <w:t xml:space="preserve">A </w:t>
      </w:r>
      <w:proofErr w:type="spellStart"/>
      <w:r w:rsidRPr="001041F7">
        <w:t>McNee</w:t>
      </w:r>
      <w:proofErr w:type="spellEnd"/>
      <w:r w:rsidRPr="001041F7">
        <w:t xml:space="preserve">, </w:t>
      </w:r>
      <w:r w:rsidRPr="000E1CFA">
        <w:rPr>
          <w:i/>
        </w:rPr>
        <w:t>Rethinking health sector wide approaches through the lens of aid effectiveness</w:t>
      </w:r>
      <w:r w:rsidRPr="001041F7">
        <w:t xml:space="preserve">. </w:t>
      </w:r>
      <w:proofErr w:type="gramStart"/>
      <w:r w:rsidRPr="001041F7">
        <w:t>Australian National University, Canberra, 2012</w:t>
      </w:r>
      <w:r>
        <w:t>.</w:t>
      </w:r>
      <w:proofErr w:type="gramEnd"/>
    </w:p>
  </w:footnote>
  <w:footnote w:id="11">
    <w:p w:rsidR="0060380E" w:rsidRPr="001041F7" w:rsidRDefault="0060380E" w:rsidP="0054221D">
      <w:pPr>
        <w:pStyle w:val="FootnoteText"/>
        <w:ind w:left="142" w:hanging="142"/>
      </w:pPr>
      <w:r>
        <w:rPr>
          <w:rStyle w:val="FootnoteReference"/>
        </w:rPr>
        <w:footnoteRef/>
      </w:r>
      <w:r>
        <w:t xml:space="preserve"> </w:t>
      </w:r>
      <w:proofErr w:type="gramStart"/>
      <w:r w:rsidRPr="001041F7">
        <w:t>Pearson</w:t>
      </w:r>
      <w:r w:rsidRPr="000E1CFA">
        <w:rPr>
          <w:i/>
        </w:rPr>
        <w:t xml:space="preserve">, </w:t>
      </w:r>
      <w:r>
        <w:t>2010a.</w:t>
      </w:r>
      <w:proofErr w:type="gramEnd"/>
    </w:p>
  </w:footnote>
  <w:footnote w:id="12">
    <w:p w:rsidR="0060380E" w:rsidRPr="00E41DA6" w:rsidRDefault="0060380E" w:rsidP="0054221D">
      <w:pPr>
        <w:pStyle w:val="FootnoteText"/>
        <w:ind w:left="142" w:hanging="142"/>
      </w:pPr>
      <w:r>
        <w:rPr>
          <w:rStyle w:val="FootnoteReference"/>
        </w:rPr>
        <w:footnoteRef/>
      </w:r>
      <w:r>
        <w:t xml:space="preserve"> </w:t>
      </w:r>
      <w:proofErr w:type="spellStart"/>
      <w:proofErr w:type="gramStart"/>
      <w:r w:rsidRPr="00E41DA6">
        <w:t>Vaillancourt</w:t>
      </w:r>
      <w:proofErr w:type="spellEnd"/>
      <w:r w:rsidRPr="00E41DA6">
        <w:t xml:space="preserve">, </w:t>
      </w:r>
      <w:r>
        <w:t>2012, Appendix 2 (Samoa).</w:t>
      </w:r>
      <w:proofErr w:type="gramEnd"/>
      <w:r>
        <w:t xml:space="preserve"> </w:t>
      </w:r>
    </w:p>
  </w:footnote>
  <w:footnote w:id="13">
    <w:p w:rsidR="0060380E" w:rsidRPr="000A1FC9" w:rsidRDefault="0060380E" w:rsidP="0054221D">
      <w:pPr>
        <w:pStyle w:val="FootnoteText"/>
        <w:ind w:left="142" w:hanging="142"/>
        <w:rPr>
          <w:lang w:val="en-GB"/>
        </w:rPr>
      </w:pPr>
      <w:r>
        <w:rPr>
          <w:rStyle w:val="FootnoteReference"/>
        </w:rPr>
        <w:footnoteRef/>
      </w:r>
      <w:r>
        <w:t xml:space="preserve"> Details at: </w:t>
      </w:r>
      <w:hyperlink r:id="rId1" w:history="1">
        <w:r w:rsidRPr="00AC5554">
          <w:rPr>
            <w:rStyle w:val="Hyperlink"/>
          </w:rPr>
          <w:t>http://www.oecd.org/development/evaluation/daccriteriaforevaluatingdevelopmentassistance.htm</w:t>
        </w:r>
      </w:hyperlink>
    </w:p>
  </w:footnote>
  <w:footnote w:id="14">
    <w:p w:rsidR="0060380E" w:rsidRPr="000915AE" w:rsidRDefault="0060380E" w:rsidP="006E22A0">
      <w:pPr>
        <w:pStyle w:val="FootnoteText"/>
        <w:ind w:left="142" w:hanging="142"/>
      </w:pPr>
      <w:r w:rsidRPr="000915AE">
        <w:rPr>
          <w:rStyle w:val="FootnoteReference"/>
        </w:rPr>
        <w:footnoteRef/>
      </w:r>
      <w:r w:rsidRPr="000915AE">
        <w:t xml:space="preserve"> </w:t>
      </w:r>
      <w:proofErr w:type="spellStart"/>
      <w:proofErr w:type="gramStart"/>
      <w:r w:rsidRPr="00A56950">
        <w:t>Vaillancourt</w:t>
      </w:r>
      <w:proofErr w:type="spellEnd"/>
      <w:r w:rsidRPr="00A56950">
        <w:t xml:space="preserve"> 2012</w:t>
      </w:r>
      <w:r>
        <w:t xml:space="preserve">, Appendix 2 (Samoa Health </w:t>
      </w:r>
      <w:proofErr w:type="spellStart"/>
      <w:r>
        <w:t>SWAp</w:t>
      </w:r>
      <w:proofErr w:type="spellEnd"/>
      <w:r>
        <w:t>) and 3 (Solomon Islands Health SWAP).</w:t>
      </w:r>
      <w:proofErr w:type="gramEnd"/>
    </w:p>
  </w:footnote>
  <w:footnote w:id="15">
    <w:p w:rsidR="0060380E" w:rsidRPr="0082586C" w:rsidRDefault="0060380E" w:rsidP="0054221D">
      <w:pPr>
        <w:pStyle w:val="FootnoteText"/>
        <w:ind w:left="142" w:hanging="142"/>
      </w:pPr>
      <w:r w:rsidRPr="0008013D">
        <w:rPr>
          <w:rStyle w:val="FootnoteReference"/>
        </w:rPr>
        <w:footnoteRef/>
      </w:r>
      <w:r w:rsidRPr="0008013D">
        <w:rPr>
          <w:vertAlign w:val="superscript"/>
        </w:rPr>
        <w:t xml:space="preserve"> </w:t>
      </w:r>
      <w:proofErr w:type="spellStart"/>
      <w:proofErr w:type="gramStart"/>
      <w:r w:rsidRPr="0082586C">
        <w:t>Vaillancourt</w:t>
      </w:r>
      <w:proofErr w:type="spellEnd"/>
      <w:r>
        <w:t xml:space="preserve"> 2009;</w:t>
      </w:r>
      <w:r w:rsidRPr="0082586C">
        <w:t xml:space="preserve"> P Davies, </w:t>
      </w:r>
      <w:r w:rsidRPr="00070126">
        <w:rPr>
          <w:i/>
        </w:rPr>
        <w:t xml:space="preserve">Evaluation of Samoa Health Sector Management Program (Health </w:t>
      </w:r>
      <w:proofErr w:type="spellStart"/>
      <w:r w:rsidRPr="00070126">
        <w:rPr>
          <w:i/>
        </w:rPr>
        <w:t>SWAp</w:t>
      </w:r>
      <w:proofErr w:type="spellEnd"/>
      <w:r w:rsidRPr="00070126">
        <w:rPr>
          <w:i/>
        </w:rPr>
        <w:t>)</w:t>
      </w:r>
      <w:r w:rsidRPr="0082586C">
        <w:t>, AusAID Health Resource Facility, Canberra, 2013;</w:t>
      </w:r>
      <w:r>
        <w:t xml:space="preserve"> </w:t>
      </w:r>
      <w:proofErr w:type="spellStart"/>
      <w:r w:rsidRPr="0082586C">
        <w:t>Walford</w:t>
      </w:r>
      <w:proofErr w:type="spellEnd"/>
      <w:r w:rsidRPr="0082586C">
        <w:t>, 2007</w:t>
      </w:r>
      <w:r>
        <w:t>.</w:t>
      </w:r>
      <w:proofErr w:type="gramEnd"/>
    </w:p>
  </w:footnote>
  <w:footnote w:id="16">
    <w:p w:rsidR="0060380E" w:rsidRPr="0082586C" w:rsidRDefault="0060380E" w:rsidP="0054221D">
      <w:pPr>
        <w:pStyle w:val="FootnoteText"/>
      </w:pPr>
      <w:r w:rsidRPr="0008013D">
        <w:rPr>
          <w:rStyle w:val="FootnoteReference"/>
        </w:rPr>
        <w:footnoteRef/>
      </w:r>
      <w:r w:rsidRPr="0008013D">
        <w:rPr>
          <w:vertAlign w:val="superscript"/>
        </w:rPr>
        <w:t xml:space="preserve"> </w:t>
      </w:r>
      <w:r>
        <w:t xml:space="preserve"> </w:t>
      </w:r>
      <w:proofErr w:type="gramStart"/>
      <w:r w:rsidRPr="0082586C">
        <w:t xml:space="preserve">Pearson, </w:t>
      </w:r>
      <w:r>
        <w:t>2010a.</w:t>
      </w:r>
      <w:proofErr w:type="gramEnd"/>
    </w:p>
  </w:footnote>
  <w:footnote w:id="17">
    <w:p w:rsidR="0060380E" w:rsidRPr="001454FC" w:rsidRDefault="0060380E" w:rsidP="000521AB">
      <w:pPr>
        <w:pStyle w:val="FootnoteText"/>
        <w:ind w:left="142" w:hanging="142"/>
        <w:rPr>
          <w:lang w:val="en-GB"/>
        </w:rPr>
      </w:pPr>
      <w:r>
        <w:rPr>
          <w:rStyle w:val="FootnoteReference"/>
        </w:rPr>
        <w:footnoteRef/>
      </w:r>
      <w:r>
        <w:t xml:space="preserve"> See for example: Commission on Social Determinants of Health, </w:t>
      </w:r>
      <w:r w:rsidRPr="001454FC">
        <w:rPr>
          <w:i/>
        </w:rPr>
        <w:t>Closing the gap in a generation: health equity through action on the social determinants of health</w:t>
      </w:r>
      <w:r>
        <w:rPr>
          <w:i/>
        </w:rPr>
        <w:t>,</w:t>
      </w:r>
      <w:r>
        <w:t xml:space="preserve"> WHO, Geneva, 2008. </w:t>
      </w:r>
    </w:p>
  </w:footnote>
  <w:footnote w:id="18">
    <w:p w:rsidR="0060380E" w:rsidRPr="0082586C" w:rsidRDefault="0060380E" w:rsidP="0054221D">
      <w:pPr>
        <w:pStyle w:val="FootnoteText"/>
      </w:pPr>
      <w:r w:rsidRPr="0008013D">
        <w:rPr>
          <w:rStyle w:val="FootnoteReference"/>
        </w:rPr>
        <w:footnoteRef/>
      </w:r>
      <w:r w:rsidRPr="0082586C">
        <w:t xml:space="preserve"> </w:t>
      </w:r>
      <w:r>
        <w:t>Pearson,</w:t>
      </w:r>
      <w:r w:rsidRPr="0082586C">
        <w:t xml:space="preserve"> </w:t>
      </w:r>
      <w:r>
        <w:t>2010a</w:t>
      </w:r>
      <w:r w:rsidRPr="0082586C">
        <w:t>, page 14.</w:t>
      </w:r>
    </w:p>
  </w:footnote>
  <w:footnote w:id="19">
    <w:p w:rsidR="0060380E" w:rsidRPr="00351C73" w:rsidRDefault="0060380E" w:rsidP="009F445C">
      <w:pPr>
        <w:pStyle w:val="FootnoteText"/>
        <w:ind w:left="142" w:hanging="142"/>
        <w:rPr>
          <w:rFonts w:eastAsia="Calibri"/>
          <w:sz w:val="20"/>
        </w:rPr>
      </w:pPr>
      <w:r w:rsidRPr="001F7901">
        <w:rPr>
          <w:rStyle w:val="FootnoteReference"/>
          <w:sz w:val="20"/>
        </w:rPr>
        <w:footnoteRef/>
      </w:r>
      <w:r w:rsidRPr="001F7901">
        <w:rPr>
          <w:sz w:val="20"/>
        </w:rPr>
        <w:t xml:space="preserve"> </w:t>
      </w:r>
      <w:r w:rsidRPr="00A6045F">
        <w:rPr>
          <w:rFonts w:eastAsia="Calibri"/>
        </w:rPr>
        <w:t xml:space="preserve">J Martinez, </w:t>
      </w:r>
      <w:r w:rsidRPr="00997584">
        <w:rPr>
          <w:rFonts w:eastAsia="Calibri"/>
          <w:i/>
        </w:rPr>
        <w:t>Sector wide approaches at critical times: the case of Bangladesh</w:t>
      </w:r>
      <w:r w:rsidRPr="00A6045F">
        <w:rPr>
          <w:rFonts w:eastAsia="Calibri"/>
        </w:rPr>
        <w:t>. HLSP Institute, London, 2008.</w:t>
      </w:r>
    </w:p>
  </w:footnote>
  <w:footnote w:id="20">
    <w:p w:rsidR="0060380E" w:rsidRPr="00351C73" w:rsidRDefault="0060380E" w:rsidP="000521AB">
      <w:pPr>
        <w:pStyle w:val="FootnoteText"/>
        <w:ind w:left="142" w:hanging="142"/>
        <w:rPr>
          <w:sz w:val="20"/>
        </w:rPr>
      </w:pPr>
      <w:r w:rsidRPr="001F7901">
        <w:rPr>
          <w:rStyle w:val="FootnoteReference"/>
          <w:sz w:val="20"/>
        </w:rPr>
        <w:footnoteRef/>
      </w:r>
      <w:r w:rsidRPr="00351C73">
        <w:t xml:space="preserve"> </w:t>
      </w:r>
      <w:r w:rsidRPr="00A6045F">
        <w:t xml:space="preserve">D </w:t>
      </w:r>
      <w:proofErr w:type="spellStart"/>
      <w:r w:rsidRPr="00A6045F">
        <w:t>Vaillancourt</w:t>
      </w:r>
      <w:proofErr w:type="spellEnd"/>
      <w:r w:rsidRPr="00A6045F">
        <w:t xml:space="preserve"> &amp; S </w:t>
      </w:r>
      <w:proofErr w:type="spellStart"/>
      <w:r w:rsidRPr="00A6045F">
        <w:t>Pokhrel</w:t>
      </w:r>
      <w:proofErr w:type="spellEnd"/>
      <w:r w:rsidRPr="00A6045F">
        <w:t xml:space="preserve">, </w:t>
      </w:r>
      <w:r w:rsidRPr="000E1CFA">
        <w:rPr>
          <w:i/>
        </w:rPr>
        <w:t>Aid effectiveness in Nepal’s health sector: accomplishments to date and measurement challenges</w:t>
      </w:r>
      <w:r w:rsidRPr="00A6045F">
        <w:t>, International Health Partnership (IHP+), Geneva, 2012.</w:t>
      </w:r>
    </w:p>
  </w:footnote>
  <w:footnote w:id="21">
    <w:p w:rsidR="0060380E" w:rsidRPr="00D9022A" w:rsidRDefault="0060380E" w:rsidP="00FF2F3D">
      <w:pPr>
        <w:pStyle w:val="FootnoteText"/>
        <w:ind w:left="0" w:firstLine="0"/>
        <w:rPr>
          <w:lang w:val="en-GB"/>
        </w:rPr>
      </w:pPr>
      <w:r>
        <w:rPr>
          <w:rStyle w:val="FootnoteReference"/>
        </w:rPr>
        <w:footnoteRef/>
      </w:r>
      <w:r>
        <w:t xml:space="preserve"> </w:t>
      </w:r>
      <w:r w:rsidRPr="00D9022A">
        <w:t xml:space="preserve">D </w:t>
      </w:r>
      <w:proofErr w:type="spellStart"/>
      <w:r w:rsidRPr="00D9022A">
        <w:t>Vaillancourt</w:t>
      </w:r>
      <w:proofErr w:type="spellEnd"/>
      <w:r w:rsidRPr="00D9022A">
        <w:t xml:space="preserve">, Do health sector wide approaches achieve results? </w:t>
      </w:r>
      <w:proofErr w:type="gramStart"/>
      <w:r w:rsidRPr="00D9022A">
        <w:t>Emerging evidence and lessons from six countries, Independent Evaluation Group, World Bank, Washington DC, 2009.</w:t>
      </w:r>
      <w:proofErr w:type="gramEnd"/>
    </w:p>
  </w:footnote>
  <w:footnote w:id="22">
    <w:p w:rsidR="0060380E" w:rsidRPr="00AF4044" w:rsidRDefault="0060380E" w:rsidP="009F445C">
      <w:pPr>
        <w:pStyle w:val="FootnoteText"/>
        <w:ind w:left="142" w:hanging="142"/>
      </w:pPr>
      <w:r>
        <w:rPr>
          <w:rStyle w:val="FootnoteReference"/>
        </w:rPr>
        <w:footnoteRef/>
      </w:r>
      <w:r>
        <w:t xml:space="preserve"> </w:t>
      </w:r>
      <w:proofErr w:type="spellStart"/>
      <w:proofErr w:type="gramStart"/>
      <w:r w:rsidRPr="00351C73">
        <w:rPr>
          <w:rFonts w:eastAsia="Calibri"/>
        </w:rPr>
        <w:t>Vaillancourt</w:t>
      </w:r>
      <w:proofErr w:type="spellEnd"/>
      <w:r w:rsidRPr="00351C73">
        <w:rPr>
          <w:rFonts w:eastAsia="Calibri"/>
        </w:rPr>
        <w:t>, 2012</w:t>
      </w:r>
      <w:r>
        <w:rPr>
          <w:rFonts w:eastAsia="Calibri"/>
        </w:rPr>
        <w:t>, Appendix 2 and 3.</w:t>
      </w:r>
      <w:proofErr w:type="gramEnd"/>
      <w:r w:rsidRPr="00351C73">
        <w:rPr>
          <w:rFonts w:eastAsia="Calibri"/>
        </w:rPr>
        <w:t xml:space="preserve"> </w:t>
      </w:r>
    </w:p>
  </w:footnote>
  <w:footnote w:id="23">
    <w:p w:rsidR="0060380E" w:rsidRPr="00FB257B" w:rsidRDefault="0060380E">
      <w:pPr>
        <w:pStyle w:val="FootnoteText"/>
        <w:rPr>
          <w:lang w:val="en-GB"/>
        </w:rPr>
      </w:pPr>
      <w:r>
        <w:rPr>
          <w:rStyle w:val="FootnoteReference"/>
        </w:rPr>
        <w:footnoteRef/>
      </w:r>
      <w:r>
        <w:t xml:space="preserve"> An in-depth review of this literature was not feasible in the time available for this study. </w:t>
      </w:r>
    </w:p>
  </w:footnote>
  <w:footnote w:id="24">
    <w:p w:rsidR="0060380E" w:rsidRPr="00B321BD" w:rsidRDefault="0060380E" w:rsidP="00CC0E3A">
      <w:pPr>
        <w:pStyle w:val="FootnoteText"/>
        <w:ind w:left="142" w:hanging="142"/>
      </w:pPr>
      <w:r>
        <w:rPr>
          <w:rStyle w:val="FootnoteReference"/>
        </w:rPr>
        <w:footnoteRef/>
      </w:r>
      <w:r>
        <w:t xml:space="preserve"> According to a source from the Australian aid program A</w:t>
      </w:r>
      <w:r w:rsidRPr="00B321BD">
        <w:t xml:space="preserve">ustralian aid to HSIP </w:t>
      </w:r>
      <w:r>
        <w:t xml:space="preserve">between </w:t>
      </w:r>
      <w:r w:rsidRPr="00B321BD">
        <w:t xml:space="preserve">2006–2011 </w:t>
      </w:r>
      <w:r>
        <w:t>‘</w:t>
      </w:r>
      <w:r w:rsidRPr="00B321BD">
        <w:rPr>
          <w:i/>
        </w:rPr>
        <w:t xml:space="preserve">was heavily </w:t>
      </w:r>
      <w:proofErr w:type="spellStart"/>
      <w:r w:rsidRPr="00B321BD">
        <w:rPr>
          <w:i/>
        </w:rPr>
        <w:t>unearmarked</w:t>
      </w:r>
      <w:proofErr w:type="spellEnd"/>
      <w:r w:rsidRPr="00B321BD">
        <w:rPr>
          <w:i/>
        </w:rPr>
        <w:t xml:space="preserve">, with modest amounts of funding earmarked for the National Malaria Control Program and construction of STI Clinics. Australian aid to the Trust Account was ‘frozen’ in 2011 due to adverse audit findings so remaining funds were earmarked and subject to agreed </w:t>
      </w:r>
      <w:proofErr w:type="spellStart"/>
      <w:r w:rsidRPr="00B321BD">
        <w:rPr>
          <w:i/>
        </w:rPr>
        <w:t>GoPNG</w:t>
      </w:r>
      <w:proofErr w:type="spellEnd"/>
      <w:r w:rsidRPr="00B321BD">
        <w:rPr>
          <w:i/>
        </w:rPr>
        <w:t>-Australia activitie</w:t>
      </w:r>
      <w:r w:rsidRPr="00B321BD">
        <w:t>s</w:t>
      </w:r>
      <w:r>
        <w:t>’</w:t>
      </w:r>
      <w:r w:rsidRPr="00B321BD">
        <w:t>.</w:t>
      </w:r>
      <w:r>
        <w:t xml:space="preserve"> </w:t>
      </w:r>
      <w:proofErr w:type="gramStart"/>
      <w:r>
        <w:t>Personal communication.</w:t>
      </w:r>
      <w:proofErr w:type="gramEnd"/>
    </w:p>
  </w:footnote>
  <w:footnote w:id="25">
    <w:p w:rsidR="0060380E" w:rsidRPr="0082586C" w:rsidRDefault="0060380E" w:rsidP="0082586C">
      <w:pPr>
        <w:pStyle w:val="FootnoteText"/>
        <w:ind w:left="142" w:hanging="142"/>
        <w:rPr>
          <w:rFonts w:eastAsia="Calibri"/>
        </w:rPr>
      </w:pPr>
      <w:r>
        <w:rPr>
          <w:rStyle w:val="FootnoteReference"/>
        </w:rPr>
        <w:footnoteRef/>
      </w:r>
      <w:r>
        <w:t xml:space="preserve"> </w:t>
      </w:r>
      <w:proofErr w:type="gramStart"/>
      <w:r w:rsidRPr="00655137">
        <w:rPr>
          <w:rFonts w:eastAsia="Calibri"/>
        </w:rPr>
        <w:t xml:space="preserve">Australian Agency for International Development, </w:t>
      </w:r>
      <w:r w:rsidRPr="0082586C">
        <w:rPr>
          <w:rFonts w:eastAsia="Calibri"/>
          <w:i/>
        </w:rPr>
        <w:t xml:space="preserve">Quality at implementation report for INJ722 Nepal Health Sector Program </w:t>
      </w:r>
      <w:proofErr w:type="spellStart"/>
      <w:r w:rsidRPr="0082586C">
        <w:rPr>
          <w:rFonts w:eastAsia="Calibri"/>
          <w:i/>
        </w:rPr>
        <w:t>SWAp</w:t>
      </w:r>
      <w:proofErr w:type="spellEnd"/>
      <w:r w:rsidRPr="0082586C">
        <w:rPr>
          <w:rFonts w:eastAsia="Calibri"/>
          <w:i/>
        </w:rPr>
        <w:t xml:space="preserve"> (IHP) _Phase II</w:t>
      </w:r>
      <w:r w:rsidRPr="00655137">
        <w:rPr>
          <w:rFonts w:eastAsia="Calibri"/>
        </w:rPr>
        <w:t>, AusAID, Canberra, 2012.</w:t>
      </w:r>
      <w:proofErr w:type="gramEnd"/>
    </w:p>
  </w:footnote>
  <w:footnote w:id="26">
    <w:p w:rsidR="0060380E" w:rsidRDefault="0060380E" w:rsidP="008606D1">
      <w:pPr>
        <w:pStyle w:val="FootnoteText"/>
        <w:ind w:left="142" w:hanging="142"/>
      </w:pPr>
      <w:r>
        <w:rPr>
          <w:rStyle w:val="FootnoteReference"/>
        </w:rPr>
        <w:footnoteRef/>
      </w:r>
      <w:r>
        <w:t xml:space="preserve"> </w:t>
      </w:r>
      <w:r w:rsidRPr="00655137">
        <w:rPr>
          <w:rFonts w:eastAsia="Calibri"/>
        </w:rPr>
        <w:t xml:space="preserve">J </w:t>
      </w:r>
      <w:proofErr w:type="spellStart"/>
      <w:r w:rsidRPr="00655137">
        <w:rPr>
          <w:rFonts w:eastAsia="Calibri"/>
        </w:rPr>
        <w:t>Negin</w:t>
      </w:r>
      <w:proofErr w:type="spellEnd"/>
      <w:r w:rsidRPr="0082586C">
        <w:rPr>
          <w:rFonts w:eastAsia="Calibri"/>
        </w:rPr>
        <w:t xml:space="preserve">, </w:t>
      </w:r>
      <w:r w:rsidRPr="00786965">
        <w:rPr>
          <w:rFonts w:eastAsia="Calibri"/>
          <w:i/>
        </w:rPr>
        <w:t>Sector wide approaches for health: a comparative study of experiences in Samoa and the Solomon Islands</w:t>
      </w:r>
      <w:r w:rsidRPr="00655137">
        <w:rPr>
          <w:rFonts w:eastAsia="Calibri"/>
        </w:rPr>
        <w:t xml:space="preserve">, </w:t>
      </w:r>
      <w:proofErr w:type="spellStart"/>
      <w:r w:rsidRPr="00655137">
        <w:rPr>
          <w:rFonts w:eastAsia="Calibri"/>
        </w:rPr>
        <w:t>Nossal</w:t>
      </w:r>
      <w:proofErr w:type="spellEnd"/>
      <w:r w:rsidRPr="00655137">
        <w:rPr>
          <w:rFonts w:eastAsia="Calibri"/>
        </w:rPr>
        <w:t xml:space="preserve"> Institute, Health Policy and Health Financing Knowledge Hub, Melbourne, 2010.</w:t>
      </w:r>
    </w:p>
  </w:footnote>
  <w:footnote w:id="27">
    <w:p w:rsidR="0060380E" w:rsidRPr="009A319B" w:rsidRDefault="0060380E">
      <w:pPr>
        <w:pStyle w:val="FootnoteText"/>
        <w:rPr>
          <w:lang w:val="en-GB"/>
        </w:rPr>
      </w:pPr>
      <w:r>
        <w:rPr>
          <w:rStyle w:val="FootnoteReference"/>
        </w:rPr>
        <w:footnoteRef/>
      </w:r>
      <w:r>
        <w:t xml:space="preserve"> </w:t>
      </w:r>
      <w:r w:rsidRPr="009A319B">
        <w:t>An extensive review of donor practices was beyond</w:t>
      </w:r>
      <w:r>
        <w:t xml:space="preserve"> the scope of </w:t>
      </w:r>
      <w:r w:rsidRPr="009A319B">
        <w:t xml:space="preserve">our </w:t>
      </w:r>
      <w:r>
        <w:t>review</w:t>
      </w:r>
      <w:r w:rsidRPr="009A319B">
        <w:t>.</w:t>
      </w:r>
    </w:p>
  </w:footnote>
  <w:footnote w:id="28">
    <w:p w:rsidR="0060380E" w:rsidRPr="00FE587C" w:rsidRDefault="0060380E" w:rsidP="00E0506D">
      <w:pPr>
        <w:pStyle w:val="FootnoteText"/>
        <w:rPr>
          <w:lang w:val="en-GB"/>
        </w:rPr>
      </w:pPr>
      <w:r>
        <w:rPr>
          <w:rStyle w:val="FootnoteReference"/>
        </w:rPr>
        <w:footnoteRef/>
      </w:r>
      <w:r>
        <w:t xml:space="preserve"> </w:t>
      </w:r>
      <w:proofErr w:type="spellStart"/>
      <w:proofErr w:type="gramStart"/>
      <w:r w:rsidRPr="0088584F">
        <w:t>Negin</w:t>
      </w:r>
      <w:proofErr w:type="spellEnd"/>
      <w:r w:rsidRPr="0088584F">
        <w:t>, 2010.</w:t>
      </w:r>
      <w:proofErr w:type="gramEnd"/>
      <w:r w:rsidRPr="0088584F">
        <w:t xml:space="preserve"> </w:t>
      </w:r>
    </w:p>
  </w:footnote>
  <w:footnote w:id="29">
    <w:p w:rsidR="0060380E" w:rsidRPr="001F7901" w:rsidRDefault="0060380E" w:rsidP="005841F1">
      <w:pPr>
        <w:pStyle w:val="FootnoteText"/>
        <w:ind w:left="142" w:hanging="142"/>
      </w:pPr>
      <w:r w:rsidRPr="001F7901">
        <w:rPr>
          <w:rStyle w:val="FootnoteReference"/>
          <w:sz w:val="20"/>
        </w:rPr>
        <w:footnoteRef/>
      </w:r>
      <w:r w:rsidRPr="001F7901">
        <w:t xml:space="preserve"> </w:t>
      </w:r>
      <w:proofErr w:type="spellStart"/>
      <w:r w:rsidRPr="00C5750C">
        <w:t>Vaillancourt</w:t>
      </w:r>
      <w:proofErr w:type="spellEnd"/>
      <w:r w:rsidRPr="00C5750C">
        <w:t xml:space="preserve"> </w:t>
      </w:r>
      <w:r>
        <w:t xml:space="preserve">2009; </w:t>
      </w:r>
      <w:proofErr w:type="spellStart"/>
      <w:r>
        <w:t>Vaillancourt</w:t>
      </w:r>
      <w:proofErr w:type="spellEnd"/>
      <w:r>
        <w:t xml:space="preserve"> 2012 (Appendix 2 and 3); </w:t>
      </w:r>
      <w:r w:rsidRPr="00786965">
        <w:t xml:space="preserve">S Tyson, </w:t>
      </w:r>
      <w:r w:rsidRPr="00786965">
        <w:rPr>
          <w:i/>
        </w:rPr>
        <w:t>Solomon Islands Health Sector Wide Approach: progress review 2008-2011</w:t>
      </w:r>
      <w:r w:rsidRPr="00786965">
        <w:t>; P Davies, 2013 (among others).</w:t>
      </w:r>
    </w:p>
  </w:footnote>
  <w:footnote w:id="30">
    <w:p w:rsidR="0060380E" w:rsidRPr="00351C73" w:rsidRDefault="0060380E" w:rsidP="003F79D6">
      <w:pPr>
        <w:pStyle w:val="FootnoteText"/>
        <w:ind w:left="142" w:hanging="142"/>
        <w:rPr>
          <w:rFonts w:eastAsia="Calibri"/>
          <w:sz w:val="20"/>
        </w:rPr>
      </w:pPr>
      <w:r w:rsidRPr="001F7901">
        <w:rPr>
          <w:rStyle w:val="FootnoteReference"/>
          <w:sz w:val="20"/>
        </w:rPr>
        <w:footnoteRef/>
      </w:r>
      <w:r w:rsidRPr="001F7901">
        <w:rPr>
          <w:sz w:val="20"/>
        </w:rPr>
        <w:t xml:space="preserve"> </w:t>
      </w:r>
      <w:r w:rsidRPr="00A6045F">
        <w:rPr>
          <w:rFonts w:eastAsia="Calibri"/>
        </w:rPr>
        <w:t xml:space="preserve">J Martinez, </w:t>
      </w:r>
      <w:r w:rsidRPr="00997584">
        <w:rPr>
          <w:rFonts w:eastAsia="Calibri"/>
          <w:i/>
        </w:rPr>
        <w:t>Sector wide approaches at critical times: the case of Bangladesh</w:t>
      </w:r>
      <w:r w:rsidRPr="00A6045F">
        <w:rPr>
          <w:rFonts w:eastAsia="Calibri"/>
        </w:rPr>
        <w:t>. HLSP Institute, London, 2008.</w:t>
      </w:r>
    </w:p>
  </w:footnote>
  <w:footnote w:id="31">
    <w:p w:rsidR="0060380E" w:rsidRPr="00351C73" w:rsidRDefault="0060380E" w:rsidP="003F79D6">
      <w:pPr>
        <w:pStyle w:val="FootnoteText"/>
        <w:ind w:left="0" w:firstLine="0"/>
        <w:rPr>
          <w:sz w:val="20"/>
        </w:rPr>
      </w:pPr>
      <w:r w:rsidRPr="001F7901">
        <w:rPr>
          <w:rStyle w:val="FootnoteReference"/>
          <w:sz w:val="20"/>
        </w:rPr>
        <w:footnoteRef/>
      </w:r>
      <w:r w:rsidRPr="00351C73">
        <w:t xml:space="preserve"> </w:t>
      </w:r>
      <w:r w:rsidRPr="00A6045F">
        <w:t xml:space="preserve">D </w:t>
      </w:r>
      <w:proofErr w:type="spellStart"/>
      <w:r w:rsidRPr="00A6045F">
        <w:t>Vaillancourt</w:t>
      </w:r>
      <w:proofErr w:type="spellEnd"/>
      <w:r w:rsidRPr="00A6045F">
        <w:t xml:space="preserve"> &amp; S </w:t>
      </w:r>
      <w:proofErr w:type="spellStart"/>
      <w:r w:rsidRPr="00A6045F">
        <w:t>Pokhrel</w:t>
      </w:r>
      <w:proofErr w:type="spellEnd"/>
      <w:r w:rsidRPr="00A6045F">
        <w:t xml:space="preserve">, </w:t>
      </w:r>
      <w:r w:rsidRPr="000E1CFA">
        <w:rPr>
          <w:i/>
        </w:rPr>
        <w:t>Aid effectiveness in Nepal’s health sector: accomplishments to date and measurement challenges</w:t>
      </w:r>
      <w:r w:rsidRPr="00A6045F">
        <w:t>, International Health Partnership (IHP+), Geneva, 2012.</w:t>
      </w:r>
    </w:p>
  </w:footnote>
  <w:footnote w:id="32">
    <w:p w:rsidR="0060380E" w:rsidRPr="00D9022A" w:rsidRDefault="0060380E" w:rsidP="003F79D6">
      <w:pPr>
        <w:pStyle w:val="FootnoteText"/>
        <w:ind w:left="0" w:firstLine="0"/>
        <w:rPr>
          <w:lang w:val="en-GB"/>
        </w:rPr>
      </w:pPr>
      <w:r>
        <w:rPr>
          <w:rStyle w:val="FootnoteReference"/>
        </w:rPr>
        <w:footnoteRef/>
      </w:r>
      <w:r>
        <w:t xml:space="preserve"> </w:t>
      </w:r>
      <w:r w:rsidRPr="00D9022A">
        <w:t xml:space="preserve">D </w:t>
      </w:r>
      <w:proofErr w:type="spellStart"/>
      <w:r w:rsidRPr="00D9022A">
        <w:t>Vaillancourt</w:t>
      </w:r>
      <w:proofErr w:type="spellEnd"/>
      <w:r w:rsidRPr="00D9022A">
        <w:t xml:space="preserve">, Do health sector wide approaches achieve results? </w:t>
      </w:r>
      <w:proofErr w:type="gramStart"/>
      <w:r w:rsidRPr="00D9022A">
        <w:t>Emerging evidence and lessons from six countries, Independent Evaluation Group, World Bank, Washington DC, 2009.</w:t>
      </w:r>
      <w:proofErr w:type="gramEnd"/>
    </w:p>
  </w:footnote>
  <w:footnote w:id="33">
    <w:p w:rsidR="0060380E" w:rsidRPr="00AF4044" w:rsidRDefault="0060380E" w:rsidP="003F79D6">
      <w:pPr>
        <w:pStyle w:val="FootnoteText"/>
        <w:ind w:left="142" w:hanging="142"/>
      </w:pPr>
      <w:r>
        <w:rPr>
          <w:rStyle w:val="FootnoteReference"/>
        </w:rPr>
        <w:footnoteRef/>
      </w:r>
      <w:r>
        <w:t xml:space="preserve"> </w:t>
      </w:r>
      <w:proofErr w:type="spellStart"/>
      <w:proofErr w:type="gramStart"/>
      <w:r w:rsidRPr="00351C73">
        <w:rPr>
          <w:rFonts w:eastAsia="Calibri"/>
        </w:rPr>
        <w:t>Vaillancourt</w:t>
      </w:r>
      <w:proofErr w:type="spellEnd"/>
      <w:r w:rsidRPr="00351C73">
        <w:rPr>
          <w:rFonts w:eastAsia="Calibri"/>
        </w:rPr>
        <w:t>, 2012</w:t>
      </w:r>
      <w:r>
        <w:rPr>
          <w:rFonts w:eastAsia="Calibri"/>
        </w:rPr>
        <w:t>, Appendix 2 and 3.</w:t>
      </w:r>
      <w:proofErr w:type="gramEnd"/>
      <w:r w:rsidRPr="00351C73">
        <w:rPr>
          <w:rFonts w:eastAsia="Calibri"/>
        </w:rPr>
        <w:t xml:space="preserve"> </w:t>
      </w:r>
    </w:p>
  </w:footnote>
  <w:footnote w:id="34">
    <w:p w:rsidR="0060380E" w:rsidRPr="00FB257B" w:rsidRDefault="0060380E" w:rsidP="003F79D6">
      <w:pPr>
        <w:pStyle w:val="FootnoteText"/>
        <w:rPr>
          <w:lang w:val="en-GB"/>
        </w:rPr>
      </w:pPr>
      <w:r>
        <w:rPr>
          <w:rStyle w:val="FootnoteReference"/>
        </w:rPr>
        <w:footnoteRef/>
      </w:r>
      <w:r>
        <w:t xml:space="preserve"> An in-depth review of this literature was not feasible in the time available for this study. </w:t>
      </w:r>
    </w:p>
  </w:footnote>
  <w:footnote w:id="35">
    <w:p w:rsidR="0060380E" w:rsidRPr="001F7901" w:rsidRDefault="0060380E" w:rsidP="00623E4A">
      <w:pPr>
        <w:pStyle w:val="FootnoteText"/>
        <w:ind w:left="142" w:hanging="142"/>
      </w:pPr>
      <w:r w:rsidRPr="001F7901">
        <w:rPr>
          <w:rStyle w:val="FootnoteReference"/>
          <w:sz w:val="20"/>
        </w:rPr>
        <w:footnoteRef/>
      </w:r>
      <w:r w:rsidRPr="001F7901">
        <w:t xml:space="preserve"> Bangladesh is an example of a </w:t>
      </w:r>
      <w:proofErr w:type="spellStart"/>
      <w:r w:rsidRPr="001F7901">
        <w:t>SWAp</w:t>
      </w:r>
      <w:proofErr w:type="spellEnd"/>
      <w:r w:rsidRPr="001F7901">
        <w:t xml:space="preserve"> where the original monitoring frameworks included a very large number of indicators which were subsequently prioritised in the second and third versions of the sector program (Independent Review Team, </w:t>
      </w:r>
      <w:r w:rsidRPr="00A37CBA">
        <w:rPr>
          <w:i/>
        </w:rPr>
        <w:t>Mid Term Review of the HNPSP</w:t>
      </w:r>
      <w:r w:rsidRPr="001F7901">
        <w:t xml:space="preserve">, 2008). </w:t>
      </w:r>
    </w:p>
  </w:footnote>
  <w:footnote w:id="36">
    <w:p w:rsidR="0060380E" w:rsidRPr="00E60C43" w:rsidRDefault="0060380E" w:rsidP="002041C4">
      <w:pPr>
        <w:pStyle w:val="FootnoteText"/>
        <w:rPr>
          <w:lang w:val="en-GB"/>
        </w:rPr>
      </w:pPr>
      <w:r w:rsidRPr="001F7901">
        <w:rPr>
          <w:rStyle w:val="FootnoteReference"/>
          <w:sz w:val="20"/>
        </w:rPr>
        <w:footnoteRef/>
      </w:r>
      <w:r w:rsidRPr="00E60C43">
        <w:rPr>
          <w:lang w:val="en-GB"/>
        </w:rPr>
        <w:t xml:space="preserve"> </w:t>
      </w:r>
      <w:proofErr w:type="gramStart"/>
      <w:r w:rsidRPr="00E60C43">
        <w:rPr>
          <w:lang w:val="en-GB"/>
        </w:rPr>
        <w:t>Martinez, 2008.</w:t>
      </w:r>
      <w:proofErr w:type="gramEnd"/>
    </w:p>
  </w:footnote>
  <w:footnote w:id="37">
    <w:p w:rsidR="0060380E" w:rsidRPr="00E60C43" w:rsidRDefault="0060380E" w:rsidP="002041C4">
      <w:pPr>
        <w:pStyle w:val="FootnoteText"/>
        <w:rPr>
          <w:lang w:val="en-GB"/>
        </w:rPr>
      </w:pPr>
      <w:r w:rsidRPr="001F7901">
        <w:rPr>
          <w:rStyle w:val="FootnoteReference"/>
          <w:sz w:val="20"/>
        </w:rPr>
        <w:footnoteRef/>
      </w:r>
      <w:r w:rsidRPr="00E60C43">
        <w:rPr>
          <w:lang w:val="en-GB"/>
        </w:rPr>
        <w:t xml:space="preserve"> </w:t>
      </w:r>
      <w:proofErr w:type="gramStart"/>
      <w:r w:rsidRPr="00E60C43">
        <w:rPr>
          <w:lang w:val="en-GB"/>
        </w:rPr>
        <w:t xml:space="preserve">Davies, 2013; </w:t>
      </w:r>
      <w:proofErr w:type="spellStart"/>
      <w:r w:rsidRPr="00E60C43">
        <w:rPr>
          <w:lang w:val="en-GB"/>
        </w:rPr>
        <w:t>Vaillancourt</w:t>
      </w:r>
      <w:proofErr w:type="spellEnd"/>
      <w:r w:rsidRPr="00E60C43">
        <w:rPr>
          <w:lang w:val="en-GB"/>
        </w:rPr>
        <w:t>, 2012 (Appendix 3).</w:t>
      </w:r>
      <w:proofErr w:type="gramEnd"/>
    </w:p>
  </w:footnote>
  <w:footnote w:id="38">
    <w:p w:rsidR="0060380E" w:rsidRPr="00834E65" w:rsidRDefault="0060380E" w:rsidP="00FD5E11">
      <w:pPr>
        <w:pStyle w:val="FootnoteText"/>
        <w:ind w:left="142" w:hanging="142"/>
      </w:pPr>
      <w:r w:rsidRPr="001F7901">
        <w:rPr>
          <w:rStyle w:val="FootnoteReference"/>
          <w:sz w:val="20"/>
        </w:rPr>
        <w:footnoteRef/>
      </w:r>
      <w:r w:rsidRPr="00834E65">
        <w:t xml:space="preserve"> Tyson,</w:t>
      </w:r>
      <w:r>
        <w:t xml:space="preserve"> 2011;</w:t>
      </w:r>
      <w:r w:rsidRPr="00C5750C">
        <w:t xml:space="preserve"> K </w:t>
      </w:r>
      <w:proofErr w:type="spellStart"/>
      <w:r w:rsidRPr="00C5750C">
        <w:t>Janovsky</w:t>
      </w:r>
      <w:proofErr w:type="spellEnd"/>
      <w:r w:rsidRPr="00C5750C">
        <w:t xml:space="preserve">, </w:t>
      </w:r>
      <w:r w:rsidRPr="00C5750C">
        <w:rPr>
          <w:i/>
        </w:rPr>
        <w:t xml:space="preserve">The PNG </w:t>
      </w:r>
      <w:proofErr w:type="spellStart"/>
      <w:r w:rsidRPr="00C5750C">
        <w:rPr>
          <w:i/>
        </w:rPr>
        <w:t>SWAp</w:t>
      </w:r>
      <w:proofErr w:type="spellEnd"/>
      <w:r w:rsidRPr="00C5750C">
        <w:rPr>
          <w:i/>
        </w:rPr>
        <w:t xml:space="preserve"> review: streamlining and strengthening mechanisms for sector coordination and policy dialogue</w:t>
      </w:r>
      <w:r w:rsidRPr="00C5750C">
        <w:t>, 2010a.</w:t>
      </w:r>
    </w:p>
  </w:footnote>
  <w:footnote w:id="39">
    <w:p w:rsidR="0060380E" w:rsidRPr="005318CD" w:rsidRDefault="0060380E" w:rsidP="00B51AE4">
      <w:pPr>
        <w:pStyle w:val="FootnoteText"/>
        <w:ind w:left="142" w:hanging="142"/>
        <w:rPr>
          <w:rFonts w:eastAsia="Calibri"/>
          <w:sz w:val="20"/>
        </w:rPr>
      </w:pPr>
      <w:r w:rsidRPr="001F7901">
        <w:rPr>
          <w:rStyle w:val="FootnoteReference"/>
          <w:sz w:val="20"/>
        </w:rPr>
        <w:footnoteRef/>
      </w:r>
      <w:r w:rsidRPr="005318CD">
        <w:rPr>
          <w:sz w:val="20"/>
        </w:rPr>
        <w:t xml:space="preserve"> </w:t>
      </w:r>
      <w:r w:rsidRPr="00A6045F">
        <w:rPr>
          <w:rFonts w:eastAsia="Calibri"/>
        </w:rPr>
        <w:t xml:space="preserve">Independent Review Team, </w:t>
      </w:r>
      <w:r w:rsidRPr="004616D0">
        <w:rPr>
          <w:rFonts w:eastAsia="Calibri"/>
          <w:i/>
        </w:rPr>
        <w:t>Mid-term Review of the Health, Nutrition and Population Sector Programme</w:t>
      </w:r>
      <w:r w:rsidRPr="00A6045F">
        <w:rPr>
          <w:rFonts w:eastAsia="Calibri"/>
        </w:rPr>
        <w:t xml:space="preserve"> (2003-2010): consolida</w:t>
      </w:r>
      <w:r>
        <w:rPr>
          <w:rFonts w:eastAsia="Calibri"/>
        </w:rPr>
        <w:t xml:space="preserve">ted report, </w:t>
      </w:r>
      <w:proofErr w:type="spellStart"/>
      <w:r>
        <w:rPr>
          <w:rFonts w:eastAsia="Calibri"/>
        </w:rPr>
        <w:t>MoHFW</w:t>
      </w:r>
      <w:proofErr w:type="spellEnd"/>
      <w:r>
        <w:rPr>
          <w:rFonts w:eastAsia="Calibri"/>
        </w:rPr>
        <w:t xml:space="preserve">, Dhaka, 2008; </w:t>
      </w:r>
      <w:r w:rsidRPr="004616D0">
        <w:rPr>
          <w:rFonts w:eastAsia="Calibri"/>
          <w:i/>
        </w:rPr>
        <w:t>Annual Programme Review 2012: consolidated report</w:t>
      </w:r>
      <w:r w:rsidRPr="005318CD">
        <w:rPr>
          <w:rFonts w:eastAsia="Calibri"/>
        </w:rPr>
        <w:t>,</w:t>
      </w:r>
      <w:r>
        <w:rPr>
          <w:rFonts w:eastAsia="Calibri"/>
        </w:rPr>
        <w:t xml:space="preserve"> </w:t>
      </w:r>
      <w:proofErr w:type="spellStart"/>
      <w:r>
        <w:rPr>
          <w:rFonts w:eastAsia="Calibri"/>
        </w:rPr>
        <w:t>MoHFW</w:t>
      </w:r>
      <w:proofErr w:type="spellEnd"/>
      <w:r>
        <w:rPr>
          <w:rFonts w:eastAsia="Calibri"/>
        </w:rPr>
        <w:t xml:space="preserve">, Dhaka, 2012; </w:t>
      </w:r>
      <w:r w:rsidRPr="004616D0">
        <w:rPr>
          <w:rFonts w:eastAsia="Calibri"/>
          <w:i/>
        </w:rPr>
        <w:t>Annual programme review (APR 2013)</w:t>
      </w:r>
      <w:r w:rsidRPr="005318CD">
        <w:rPr>
          <w:rFonts w:eastAsia="Calibri"/>
        </w:rPr>
        <w:t xml:space="preserve">: Health, Population and Nutrition Sector Development Program (HPNSDP), 2011-16. </w:t>
      </w:r>
      <w:proofErr w:type="gramStart"/>
      <w:r w:rsidRPr="005318CD">
        <w:rPr>
          <w:rFonts w:eastAsia="Calibri"/>
        </w:rPr>
        <w:t>Consolidated report.</w:t>
      </w:r>
      <w:proofErr w:type="gramEnd"/>
      <w:r w:rsidRPr="005318CD">
        <w:rPr>
          <w:rFonts w:eastAsia="Calibri"/>
        </w:rPr>
        <w:t xml:space="preserve"> </w:t>
      </w:r>
      <w:proofErr w:type="spellStart"/>
      <w:r w:rsidRPr="005318CD">
        <w:rPr>
          <w:rFonts w:eastAsia="Calibri"/>
        </w:rPr>
        <w:t>MoHFW</w:t>
      </w:r>
      <w:proofErr w:type="spellEnd"/>
      <w:r w:rsidRPr="005318CD">
        <w:rPr>
          <w:rFonts w:eastAsia="Calibri"/>
        </w:rPr>
        <w:t>, Dhaka, 2013.</w:t>
      </w:r>
    </w:p>
  </w:footnote>
  <w:footnote w:id="40">
    <w:p w:rsidR="0060380E" w:rsidRPr="00F000D1" w:rsidRDefault="0060380E" w:rsidP="00F000D1">
      <w:pPr>
        <w:pStyle w:val="FootnoteText"/>
        <w:ind w:left="142" w:hanging="142"/>
      </w:pPr>
      <w:r w:rsidRPr="00F000D1">
        <w:rPr>
          <w:rStyle w:val="FootnoteReference"/>
        </w:rPr>
        <w:footnoteRef/>
      </w:r>
      <w:r w:rsidRPr="00F000D1">
        <w:t xml:space="preserve"> </w:t>
      </w:r>
      <w:proofErr w:type="spellStart"/>
      <w:r w:rsidRPr="00F000D1">
        <w:t>Vaillancourt</w:t>
      </w:r>
      <w:proofErr w:type="spellEnd"/>
      <w:r w:rsidRPr="00F000D1">
        <w:t xml:space="preserve"> &amp; </w:t>
      </w:r>
      <w:proofErr w:type="spellStart"/>
      <w:r w:rsidRPr="00F000D1">
        <w:t>Pokhrel</w:t>
      </w:r>
      <w:proofErr w:type="spellEnd"/>
      <w:r w:rsidRPr="00F000D1">
        <w:t xml:space="preserve">, 2012; </w:t>
      </w:r>
      <w:r w:rsidRPr="00F000D1">
        <w:rPr>
          <w:rFonts w:eastAsia="Calibri"/>
        </w:rPr>
        <w:t xml:space="preserve">Department for International Development, </w:t>
      </w:r>
      <w:r w:rsidRPr="00D62498">
        <w:rPr>
          <w:rFonts w:eastAsia="Calibri"/>
          <w:i/>
        </w:rPr>
        <w:t>Annual review of DFID support to the National Health Sector Programme II, Nepal</w:t>
      </w:r>
      <w:r w:rsidRPr="00F000D1">
        <w:rPr>
          <w:rFonts w:eastAsia="Calibri"/>
        </w:rPr>
        <w:t>, DFID, London, 2014.</w:t>
      </w:r>
    </w:p>
  </w:footnote>
  <w:footnote w:id="41">
    <w:p w:rsidR="0060380E" w:rsidRPr="00F000D1" w:rsidRDefault="0060380E" w:rsidP="00800CB0">
      <w:pPr>
        <w:pStyle w:val="FootnoteText"/>
        <w:ind w:left="142" w:hanging="142"/>
      </w:pPr>
      <w:r w:rsidRPr="00F000D1">
        <w:rPr>
          <w:rStyle w:val="FootnoteReference"/>
        </w:rPr>
        <w:footnoteRef/>
      </w:r>
      <w:r w:rsidRPr="00F000D1">
        <w:t xml:space="preserve"> </w:t>
      </w:r>
      <w:r w:rsidRPr="00F000D1">
        <w:rPr>
          <w:rFonts w:eastAsia="Calibri"/>
        </w:rPr>
        <w:t xml:space="preserve">J Martinez, </w:t>
      </w:r>
      <w:r>
        <w:rPr>
          <w:rFonts w:eastAsia="Calibri"/>
        </w:rPr>
        <w:t>et al</w:t>
      </w:r>
      <w:r w:rsidRPr="00F000D1">
        <w:rPr>
          <w:rFonts w:eastAsia="Calibri"/>
        </w:rPr>
        <w:t xml:space="preserve">, </w:t>
      </w:r>
      <w:r w:rsidRPr="00D62498">
        <w:rPr>
          <w:rFonts w:eastAsia="Calibri"/>
          <w:i/>
        </w:rPr>
        <w:t>Overall assessment for Mid Term Review of Health Strategic Plan 2008-15</w:t>
      </w:r>
      <w:r w:rsidRPr="00F000D1">
        <w:rPr>
          <w:rFonts w:eastAsia="Calibri"/>
        </w:rPr>
        <w:t>, HLSP, London, 2011.</w:t>
      </w:r>
      <w:r>
        <w:rPr>
          <w:rFonts w:eastAsia="Calibri"/>
        </w:rPr>
        <w:t xml:space="preserve">; </w:t>
      </w:r>
      <w:r w:rsidRPr="00F000D1">
        <w:rPr>
          <w:rFonts w:eastAsia="Calibri"/>
        </w:rPr>
        <w:t xml:space="preserve">D </w:t>
      </w:r>
      <w:proofErr w:type="spellStart"/>
      <w:r w:rsidRPr="00F000D1">
        <w:rPr>
          <w:rFonts w:eastAsia="Calibri"/>
        </w:rPr>
        <w:t>Vaillancourt</w:t>
      </w:r>
      <w:proofErr w:type="spellEnd"/>
      <w:r w:rsidRPr="00F000D1">
        <w:rPr>
          <w:rFonts w:eastAsia="Calibri"/>
        </w:rPr>
        <w:t xml:space="preserve">, A Land &amp; D </w:t>
      </w:r>
      <w:proofErr w:type="spellStart"/>
      <w:r w:rsidRPr="00F000D1">
        <w:rPr>
          <w:rFonts w:eastAsia="Calibri"/>
        </w:rPr>
        <w:t>Shuey</w:t>
      </w:r>
      <w:proofErr w:type="spellEnd"/>
      <w:r w:rsidRPr="00F000D1">
        <w:rPr>
          <w:rFonts w:eastAsia="Calibri"/>
        </w:rPr>
        <w:t>, Aid effectiveness in Cambodia’s health sector: an assessment of the sector-wide management (</w:t>
      </w:r>
      <w:proofErr w:type="spellStart"/>
      <w:r w:rsidRPr="00F000D1">
        <w:rPr>
          <w:rFonts w:eastAsia="Calibri"/>
        </w:rPr>
        <w:t>SWiM</w:t>
      </w:r>
      <w:proofErr w:type="spellEnd"/>
      <w:r w:rsidRPr="00F000D1">
        <w:rPr>
          <w:rFonts w:eastAsia="Calibri"/>
        </w:rPr>
        <w:t>) approach and its effect on sector performance and outcomes, 2011 (Draft).</w:t>
      </w:r>
    </w:p>
  </w:footnote>
  <w:footnote w:id="42">
    <w:p w:rsidR="0060380E" w:rsidRPr="00F61E38" w:rsidRDefault="0060380E">
      <w:pPr>
        <w:pStyle w:val="FootnoteText"/>
        <w:rPr>
          <w:lang w:val="en-GB"/>
        </w:rPr>
      </w:pPr>
      <w:r>
        <w:rPr>
          <w:rStyle w:val="FootnoteReference"/>
        </w:rPr>
        <w:footnoteRef/>
      </w:r>
      <w:r>
        <w:t xml:space="preserve"> T</w:t>
      </w:r>
      <w:r w:rsidRPr="00F61E38">
        <w:t>here were no independent assessments after that</w:t>
      </w:r>
      <w:r>
        <w:t xml:space="preserve"> 2011</w:t>
      </w:r>
      <w:r w:rsidRPr="00F61E38">
        <w:t xml:space="preserve">, </w:t>
      </w:r>
      <w:r>
        <w:t xml:space="preserve">although some </w:t>
      </w:r>
      <w:r w:rsidRPr="00F61E38">
        <w:t xml:space="preserve">documents </w:t>
      </w:r>
      <w:r>
        <w:t>are</w:t>
      </w:r>
      <w:r w:rsidRPr="00F61E38">
        <w:t xml:space="preserve"> dated 2012</w:t>
      </w:r>
      <w:r>
        <w:t>.</w:t>
      </w:r>
    </w:p>
  </w:footnote>
  <w:footnote w:id="43">
    <w:p w:rsidR="0060380E" w:rsidRPr="006271CB" w:rsidRDefault="0060380E" w:rsidP="0038474B">
      <w:pPr>
        <w:pStyle w:val="FootnoteText"/>
        <w:ind w:left="142" w:hanging="142"/>
        <w:rPr>
          <w:lang w:val="en-GB"/>
        </w:rPr>
      </w:pPr>
      <w:r>
        <w:rPr>
          <w:rStyle w:val="FootnoteReference"/>
        </w:rPr>
        <w:footnoteRef/>
      </w:r>
      <w:r>
        <w:t xml:space="preserve"> </w:t>
      </w:r>
      <w:proofErr w:type="gramStart"/>
      <w:r w:rsidRPr="006271CB">
        <w:t>M</w:t>
      </w:r>
      <w:r>
        <w:t>aternal, neonatal and child health; c</w:t>
      </w:r>
      <w:r w:rsidRPr="006271CB">
        <w:t>ommunicable diseases</w:t>
      </w:r>
      <w:r>
        <w:t>;</w:t>
      </w:r>
      <w:r w:rsidRPr="006271CB">
        <w:t xml:space="preserve"> </w:t>
      </w:r>
      <w:r>
        <w:t>n</w:t>
      </w:r>
      <w:r w:rsidRPr="006271CB">
        <w:t>on-</w:t>
      </w:r>
      <w:r>
        <w:t>c</w:t>
      </w:r>
      <w:r w:rsidRPr="006271CB">
        <w:t xml:space="preserve">ommunicable </w:t>
      </w:r>
      <w:r>
        <w:t>d</w:t>
      </w:r>
      <w:r w:rsidRPr="006271CB">
        <w:t>iseases</w:t>
      </w:r>
      <w:r>
        <w:t>; h</w:t>
      </w:r>
      <w:r w:rsidRPr="006271CB">
        <w:t>ealth systems strengthening</w:t>
      </w:r>
      <w:r>
        <w:t>.</w:t>
      </w:r>
      <w:proofErr w:type="gramEnd"/>
    </w:p>
  </w:footnote>
  <w:footnote w:id="44">
    <w:p w:rsidR="0060380E" w:rsidRPr="001F7901" w:rsidRDefault="0060380E" w:rsidP="002041C4">
      <w:pPr>
        <w:pStyle w:val="FootnoteText"/>
      </w:pPr>
      <w:r w:rsidRPr="001F7901">
        <w:rPr>
          <w:rStyle w:val="FootnoteReference"/>
          <w:sz w:val="20"/>
        </w:rPr>
        <w:footnoteRef/>
      </w:r>
      <w:r w:rsidRPr="001F7901">
        <w:t xml:space="preserve"> </w:t>
      </w:r>
      <w:proofErr w:type="spellStart"/>
      <w:proofErr w:type="gramStart"/>
      <w:r w:rsidRPr="001F7901">
        <w:t>Vaillancourt</w:t>
      </w:r>
      <w:proofErr w:type="spellEnd"/>
      <w:r>
        <w:t>,</w:t>
      </w:r>
      <w:r w:rsidRPr="001F7901">
        <w:t xml:space="preserve"> 2011</w:t>
      </w:r>
      <w:r>
        <w:t xml:space="preserve">; </w:t>
      </w:r>
      <w:proofErr w:type="spellStart"/>
      <w:r>
        <w:t>Vaillancourt</w:t>
      </w:r>
      <w:proofErr w:type="spellEnd"/>
      <w:r>
        <w:t xml:space="preserve">, </w:t>
      </w:r>
      <w:r w:rsidRPr="001F7901">
        <w:t>2012</w:t>
      </w:r>
      <w:r>
        <w:t>.</w:t>
      </w:r>
      <w:proofErr w:type="gramEnd"/>
    </w:p>
  </w:footnote>
  <w:footnote w:id="45">
    <w:p w:rsidR="0060380E" w:rsidRPr="001F7901" w:rsidRDefault="0060380E" w:rsidP="002041C4">
      <w:pPr>
        <w:pStyle w:val="FootnoteText"/>
      </w:pPr>
      <w:r w:rsidRPr="001F7901">
        <w:rPr>
          <w:rStyle w:val="FootnoteReference"/>
          <w:sz w:val="20"/>
        </w:rPr>
        <w:footnoteRef/>
      </w:r>
      <w:r w:rsidRPr="001F7901">
        <w:t xml:space="preserve"> </w:t>
      </w:r>
      <w:proofErr w:type="spellStart"/>
      <w:proofErr w:type="gramStart"/>
      <w:r w:rsidRPr="001F7901">
        <w:t>Janovsky</w:t>
      </w:r>
      <w:proofErr w:type="spellEnd"/>
      <w:r>
        <w:t>,</w:t>
      </w:r>
      <w:r w:rsidRPr="001F7901">
        <w:t xml:space="preserve"> 2010a</w:t>
      </w:r>
      <w:r>
        <w:t xml:space="preserve">; </w:t>
      </w:r>
      <w:r w:rsidRPr="00D62498">
        <w:t xml:space="preserve">K </w:t>
      </w:r>
      <w:proofErr w:type="spellStart"/>
      <w:r w:rsidRPr="00D62498">
        <w:t>Janovsky</w:t>
      </w:r>
      <w:proofErr w:type="spellEnd"/>
      <w:r w:rsidRPr="00D62498">
        <w:t xml:space="preserve"> et al, The </w:t>
      </w:r>
      <w:r>
        <w:t xml:space="preserve">PNG Health </w:t>
      </w:r>
      <w:proofErr w:type="spellStart"/>
      <w:r>
        <w:t>SWAp</w:t>
      </w:r>
      <w:proofErr w:type="spellEnd"/>
      <w:r>
        <w:t xml:space="preserve"> review, 2010b</w:t>
      </w:r>
      <w:r w:rsidRPr="00D62498">
        <w:t>.</w:t>
      </w:r>
      <w:proofErr w:type="gramEnd"/>
      <w:r w:rsidRPr="001F7901">
        <w:t xml:space="preserve"> </w:t>
      </w:r>
    </w:p>
  </w:footnote>
  <w:footnote w:id="46">
    <w:p w:rsidR="0060380E" w:rsidRDefault="0060380E">
      <w:pPr>
        <w:pStyle w:val="FootnoteText"/>
      </w:pPr>
      <w:r>
        <w:rPr>
          <w:rStyle w:val="FootnoteReference"/>
        </w:rPr>
        <w:footnoteRef/>
      </w:r>
      <w:r>
        <w:t xml:space="preserve"> </w:t>
      </w:r>
      <w:proofErr w:type="gramStart"/>
      <w:r>
        <w:t>Davies, 2013.</w:t>
      </w:r>
      <w:proofErr w:type="gramEnd"/>
    </w:p>
  </w:footnote>
  <w:footnote w:id="47">
    <w:p w:rsidR="0060380E" w:rsidRDefault="0060380E">
      <w:pPr>
        <w:pStyle w:val="FootnoteText"/>
      </w:pPr>
      <w:r>
        <w:rPr>
          <w:rStyle w:val="FootnoteReference"/>
        </w:rPr>
        <w:footnoteRef/>
      </w:r>
      <w:r>
        <w:t xml:space="preserve"> </w:t>
      </w:r>
      <w:proofErr w:type="gramStart"/>
      <w:r>
        <w:t>Davies, 2013.</w:t>
      </w:r>
      <w:proofErr w:type="gramEnd"/>
    </w:p>
  </w:footnote>
  <w:footnote w:id="48">
    <w:p w:rsidR="0060380E" w:rsidRPr="00F000D1" w:rsidRDefault="0060380E" w:rsidP="00570A3A">
      <w:pPr>
        <w:pStyle w:val="FootnoteText"/>
      </w:pPr>
      <w:r w:rsidRPr="00F000D1">
        <w:rPr>
          <w:rStyle w:val="FootnoteReference"/>
        </w:rPr>
        <w:footnoteRef/>
      </w:r>
      <w:r w:rsidRPr="00F000D1">
        <w:t xml:space="preserve"> </w:t>
      </w:r>
      <w:proofErr w:type="gramStart"/>
      <w:r w:rsidRPr="00F000D1">
        <w:t>Tyson, 2011.</w:t>
      </w:r>
      <w:proofErr w:type="gramEnd"/>
    </w:p>
  </w:footnote>
  <w:footnote w:id="49">
    <w:p w:rsidR="0060380E" w:rsidRPr="00782251" w:rsidRDefault="0060380E" w:rsidP="00570A3A">
      <w:pPr>
        <w:pStyle w:val="FootnoteText"/>
        <w:ind w:left="0" w:firstLine="0"/>
        <w:rPr>
          <w:lang w:val="en-GB"/>
        </w:rPr>
      </w:pPr>
      <w:r>
        <w:rPr>
          <w:rStyle w:val="FootnoteReference"/>
        </w:rPr>
        <w:footnoteRef/>
      </w:r>
      <w:r>
        <w:t xml:space="preserve"> </w:t>
      </w:r>
      <w:r w:rsidRPr="00B93351">
        <w:t xml:space="preserve">M Kelly &amp; K </w:t>
      </w:r>
      <w:proofErr w:type="spellStart"/>
      <w:r w:rsidRPr="00B93351">
        <w:t>Tuckwell</w:t>
      </w:r>
      <w:proofErr w:type="spellEnd"/>
      <w:r w:rsidRPr="00B93351">
        <w:t xml:space="preserve">, </w:t>
      </w:r>
      <w:r w:rsidRPr="00B93351">
        <w:rPr>
          <w:i/>
        </w:rPr>
        <w:t>Solomon Islands Health Sector Support Program (HSSP): Independent Performance Assessment (IPA) for 2013</w:t>
      </w:r>
      <w:r w:rsidRPr="00B93351">
        <w:t>, Health Resource Facility, Canberra, May 2014.</w:t>
      </w:r>
    </w:p>
  </w:footnote>
  <w:footnote w:id="50">
    <w:p w:rsidR="0060380E" w:rsidRPr="004D367B" w:rsidRDefault="0060380E" w:rsidP="00F000D1">
      <w:pPr>
        <w:pStyle w:val="FootnoteText"/>
        <w:rPr>
          <w:lang w:val="en-GB"/>
        </w:rPr>
      </w:pPr>
      <w:r w:rsidRPr="00F000D1">
        <w:rPr>
          <w:rStyle w:val="FootnoteReference"/>
        </w:rPr>
        <w:footnoteRef/>
      </w:r>
      <w:r w:rsidRPr="00F000D1">
        <w:t xml:space="preserve"> </w:t>
      </w:r>
      <w:r w:rsidRPr="002D501E">
        <w:rPr>
          <w:rFonts w:eastAsia="Calibri"/>
        </w:rPr>
        <w:t xml:space="preserve">Independent Review Team, Annual Programme Review 2007: consolidated report, </w:t>
      </w:r>
      <w:proofErr w:type="spellStart"/>
      <w:r w:rsidRPr="002D501E">
        <w:rPr>
          <w:rFonts w:eastAsia="Calibri"/>
        </w:rPr>
        <w:t>MoHFW</w:t>
      </w:r>
      <w:proofErr w:type="spellEnd"/>
      <w:r w:rsidRPr="002D501E">
        <w:rPr>
          <w:rFonts w:eastAsia="Calibri"/>
        </w:rPr>
        <w:t xml:space="preserve">, Dhaka, 2007. </w:t>
      </w:r>
      <w:r w:rsidRPr="004D367B">
        <w:rPr>
          <w:lang w:val="en-GB"/>
        </w:rPr>
        <w:t xml:space="preserve">Martinez 2008. </w:t>
      </w:r>
    </w:p>
  </w:footnote>
  <w:footnote w:id="51">
    <w:p w:rsidR="0060380E" w:rsidRPr="004D367B" w:rsidRDefault="0060380E" w:rsidP="00F000D1">
      <w:pPr>
        <w:pStyle w:val="FootnoteText"/>
        <w:rPr>
          <w:lang w:val="en-GB"/>
        </w:rPr>
      </w:pPr>
      <w:r w:rsidRPr="00F000D1">
        <w:rPr>
          <w:rStyle w:val="FootnoteReference"/>
        </w:rPr>
        <w:footnoteRef/>
      </w:r>
      <w:r w:rsidRPr="004D367B">
        <w:rPr>
          <w:lang w:val="en-GB"/>
        </w:rPr>
        <w:t xml:space="preserve"> Martinez et al, 2011.</w:t>
      </w:r>
    </w:p>
  </w:footnote>
  <w:footnote w:id="52">
    <w:p w:rsidR="0060380E" w:rsidRPr="004D367B" w:rsidRDefault="0060380E" w:rsidP="00F000D1">
      <w:pPr>
        <w:pStyle w:val="FootnoteText"/>
        <w:rPr>
          <w:lang w:val="en-GB"/>
        </w:rPr>
      </w:pPr>
      <w:r w:rsidRPr="00F000D1">
        <w:rPr>
          <w:rStyle w:val="FootnoteReference"/>
        </w:rPr>
        <w:footnoteRef/>
      </w:r>
      <w:r w:rsidRPr="004D367B">
        <w:rPr>
          <w:lang w:val="en-GB"/>
        </w:rPr>
        <w:t xml:space="preserve"> </w:t>
      </w:r>
      <w:proofErr w:type="gramStart"/>
      <w:r w:rsidRPr="004D367B">
        <w:rPr>
          <w:lang w:val="en-GB"/>
        </w:rPr>
        <w:t xml:space="preserve">D </w:t>
      </w:r>
      <w:proofErr w:type="spellStart"/>
      <w:r w:rsidRPr="004D367B">
        <w:rPr>
          <w:lang w:val="en-GB"/>
        </w:rPr>
        <w:t>Vaillancourt</w:t>
      </w:r>
      <w:proofErr w:type="spellEnd"/>
      <w:r w:rsidRPr="004D367B">
        <w:rPr>
          <w:lang w:val="en-GB"/>
        </w:rPr>
        <w:t>, 2011.</w:t>
      </w:r>
      <w:proofErr w:type="gramEnd"/>
    </w:p>
  </w:footnote>
  <w:footnote w:id="53">
    <w:p w:rsidR="0060380E" w:rsidRPr="004D367B" w:rsidRDefault="0060380E" w:rsidP="00F000D1">
      <w:pPr>
        <w:pStyle w:val="FootnoteText"/>
        <w:rPr>
          <w:lang w:val="en-GB"/>
        </w:rPr>
      </w:pPr>
      <w:r w:rsidRPr="00F000D1">
        <w:rPr>
          <w:rStyle w:val="FootnoteReference"/>
        </w:rPr>
        <w:footnoteRef/>
      </w:r>
      <w:r w:rsidRPr="004D367B">
        <w:rPr>
          <w:lang w:val="en-GB"/>
        </w:rPr>
        <w:t xml:space="preserve"> </w:t>
      </w:r>
      <w:proofErr w:type="spellStart"/>
      <w:proofErr w:type="gramStart"/>
      <w:r w:rsidRPr="004D367B">
        <w:rPr>
          <w:lang w:val="en-GB"/>
        </w:rPr>
        <w:t>Vaillancourt</w:t>
      </w:r>
      <w:proofErr w:type="spellEnd"/>
      <w:r w:rsidRPr="004D367B">
        <w:rPr>
          <w:lang w:val="en-GB"/>
        </w:rPr>
        <w:t xml:space="preserve"> &amp; </w:t>
      </w:r>
      <w:proofErr w:type="spellStart"/>
      <w:r w:rsidRPr="004D367B">
        <w:rPr>
          <w:lang w:val="en-GB"/>
        </w:rPr>
        <w:t>Pokhrel</w:t>
      </w:r>
      <w:proofErr w:type="spellEnd"/>
      <w:r w:rsidRPr="004D367B">
        <w:rPr>
          <w:lang w:val="en-GB"/>
        </w:rPr>
        <w:t>, 2012.</w:t>
      </w:r>
      <w:proofErr w:type="gramEnd"/>
    </w:p>
  </w:footnote>
  <w:footnote w:id="54">
    <w:p w:rsidR="0060380E" w:rsidRPr="00B862F4" w:rsidRDefault="0060380E" w:rsidP="00667DF1">
      <w:pPr>
        <w:pStyle w:val="FootnoteText"/>
        <w:rPr>
          <w:lang w:val="en-GB"/>
        </w:rPr>
      </w:pPr>
      <w:r>
        <w:rPr>
          <w:rStyle w:val="FootnoteReference"/>
        </w:rPr>
        <w:footnoteRef/>
      </w:r>
      <w:r>
        <w:t xml:space="preserve"> </w:t>
      </w:r>
      <w:proofErr w:type="gramStart"/>
      <w:r>
        <w:t>Health Sector Partnership Review, 2014.</w:t>
      </w:r>
      <w:proofErr w:type="gramEnd"/>
      <w:r>
        <w:t xml:space="preserve">  No author.</w:t>
      </w:r>
    </w:p>
  </w:footnote>
  <w:footnote w:id="55">
    <w:p w:rsidR="0060380E" w:rsidRPr="001F7901" w:rsidRDefault="0060380E" w:rsidP="00D330CD">
      <w:pPr>
        <w:pStyle w:val="FootnoteText"/>
        <w:rPr>
          <w:lang w:val="fr-FR"/>
        </w:rPr>
      </w:pPr>
      <w:r w:rsidRPr="001F7901">
        <w:rPr>
          <w:rStyle w:val="FootnoteReference"/>
          <w:sz w:val="20"/>
        </w:rPr>
        <w:footnoteRef/>
      </w:r>
      <w:r w:rsidRPr="001F7901">
        <w:rPr>
          <w:lang w:val="fr-FR"/>
        </w:rPr>
        <w:t xml:space="preserve"> Davies 2013</w:t>
      </w:r>
      <w:r>
        <w:rPr>
          <w:lang w:val="fr-FR"/>
        </w:rPr>
        <w:t>;</w:t>
      </w:r>
      <w:r w:rsidRPr="001F7901">
        <w:rPr>
          <w:lang w:val="fr-FR"/>
        </w:rPr>
        <w:t xml:space="preserve"> Vaillancourt</w:t>
      </w:r>
      <w:r>
        <w:rPr>
          <w:lang w:val="fr-FR"/>
        </w:rPr>
        <w:t>,</w:t>
      </w:r>
      <w:r w:rsidRPr="001F7901">
        <w:rPr>
          <w:lang w:val="fr-FR"/>
        </w:rPr>
        <w:t xml:space="preserve"> 2012</w:t>
      </w:r>
      <w:r>
        <w:rPr>
          <w:lang w:val="fr-FR"/>
        </w:rPr>
        <w:t xml:space="preserve"> (</w:t>
      </w:r>
      <w:proofErr w:type="spellStart"/>
      <w:r>
        <w:rPr>
          <w:lang w:val="fr-FR"/>
        </w:rPr>
        <w:t>Appendix</w:t>
      </w:r>
      <w:proofErr w:type="spellEnd"/>
      <w:r>
        <w:rPr>
          <w:lang w:val="fr-FR"/>
        </w:rPr>
        <w:t xml:space="preserve"> 2, Samoa)</w:t>
      </w:r>
      <w:r w:rsidRPr="001F7901">
        <w:rPr>
          <w:lang w:val="fr-FR"/>
        </w:rPr>
        <w:t xml:space="preserve">. </w:t>
      </w:r>
    </w:p>
  </w:footnote>
  <w:footnote w:id="56">
    <w:p w:rsidR="0060380E" w:rsidRPr="001F7901" w:rsidRDefault="0060380E" w:rsidP="002041C4">
      <w:pPr>
        <w:pStyle w:val="FootnoteText"/>
        <w:rPr>
          <w:lang w:val="fr-FR"/>
        </w:rPr>
      </w:pPr>
      <w:r w:rsidRPr="001F7901">
        <w:rPr>
          <w:rStyle w:val="FootnoteReference"/>
          <w:sz w:val="20"/>
        </w:rPr>
        <w:footnoteRef/>
      </w:r>
      <w:r>
        <w:rPr>
          <w:lang w:val="fr-FR"/>
        </w:rPr>
        <w:t xml:space="preserve"> Davies, 2013, p</w:t>
      </w:r>
      <w:r w:rsidRPr="001F7901">
        <w:rPr>
          <w:lang w:val="fr-FR"/>
        </w:rPr>
        <w:t>19</w:t>
      </w:r>
      <w:r>
        <w:rPr>
          <w:lang w:val="fr-FR"/>
        </w:rPr>
        <w:t>.</w:t>
      </w:r>
    </w:p>
  </w:footnote>
  <w:footnote w:id="57">
    <w:p w:rsidR="0060380E" w:rsidRPr="00FE587C" w:rsidRDefault="0060380E" w:rsidP="00570A3A">
      <w:pPr>
        <w:pStyle w:val="FootnoteText"/>
        <w:rPr>
          <w:lang w:val="en-GB"/>
        </w:rPr>
      </w:pPr>
      <w:r w:rsidRPr="001F7901">
        <w:rPr>
          <w:rStyle w:val="FootnoteReference"/>
          <w:sz w:val="20"/>
        </w:rPr>
        <w:footnoteRef/>
      </w:r>
      <w:r>
        <w:rPr>
          <w:lang w:val="en-GB"/>
        </w:rPr>
        <w:t xml:space="preserve"> </w:t>
      </w:r>
      <w:proofErr w:type="gramStart"/>
      <w:r w:rsidRPr="00FE587C">
        <w:rPr>
          <w:lang w:val="en-GB"/>
        </w:rPr>
        <w:t>Tyson, 2011.</w:t>
      </w:r>
      <w:proofErr w:type="gramEnd"/>
    </w:p>
  </w:footnote>
  <w:footnote w:id="58">
    <w:p w:rsidR="0060380E" w:rsidRPr="00F000D1" w:rsidRDefault="0060380E" w:rsidP="00407214">
      <w:pPr>
        <w:pStyle w:val="FootnoteText"/>
        <w:ind w:left="142" w:hanging="142"/>
        <w:rPr>
          <w:rFonts w:eastAsia="Calibri"/>
        </w:rPr>
      </w:pPr>
      <w:r w:rsidRPr="001F7901">
        <w:rPr>
          <w:rStyle w:val="FootnoteReference"/>
          <w:sz w:val="20"/>
        </w:rPr>
        <w:footnoteRef/>
      </w:r>
      <w:r w:rsidRPr="001F7901">
        <w:rPr>
          <w:sz w:val="20"/>
        </w:rPr>
        <w:t xml:space="preserve"> </w:t>
      </w:r>
      <w:r w:rsidRPr="00F000D1">
        <w:t xml:space="preserve">The approach is discussed and referred to in several documents including: </w:t>
      </w:r>
      <w:r w:rsidRPr="002D501E">
        <w:rPr>
          <w:rFonts w:eastAsia="Calibri"/>
          <w:i/>
        </w:rPr>
        <w:t xml:space="preserve">Australian </w:t>
      </w:r>
      <w:r>
        <w:rPr>
          <w:rFonts w:eastAsia="Calibri"/>
          <w:i/>
        </w:rPr>
        <w:t>a</w:t>
      </w:r>
      <w:r w:rsidRPr="002D501E">
        <w:rPr>
          <w:rFonts w:eastAsia="Calibri"/>
          <w:i/>
        </w:rPr>
        <w:t xml:space="preserve">id: Promoting </w:t>
      </w:r>
      <w:r>
        <w:rPr>
          <w:rFonts w:eastAsia="Calibri"/>
          <w:i/>
        </w:rPr>
        <w:t>g</w:t>
      </w:r>
      <w:r w:rsidRPr="002D501E">
        <w:rPr>
          <w:rFonts w:eastAsia="Calibri"/>
          <w:i/>
        </w:rPr>
        <w:t xml:space="preserve">rowth and </w:t>
      </w:r>
      <w:r>
        <w:rPr>
          <w:rFonts w:eastAsia="Calibri"/>
          <w:i/>
        </w:rPr>
        <w:t>s</w:t>
      </w:r>
      <w:r w:rsidRPr="002D501E">
        <w:rPr>
          <w:rFonts w:eastAsia="Calibri"/>
          <w:i/>
        </w:rPr>
        <w:t xml:space="preserve">tability: A White Paper on the Australian </w:t>
      </w:r>
      <w:r>
        <w:rPr>
          <w:rFonts w:eastAsia="Calibri"/>
          <w:i/>
        </w:rPr>
        <w:t>G</w:t>
      </w:r>
      <w:r w:rsidRPr="002D501E">
        <w:rPr>
          <w:rFonts w:eastAsia="Calibri"/>
          <w:i/>
        </w:rPr>
        <w:t>overnment’s overseas aid program</w:t>
      </w:r>
      <w:r w:rsidRPr="00F000D1">
        <w:rPr>
          <w:rFonts w:eastAsia="Calibri"/>
        </w:rPr>
        <w:t xml:space="preserve">, </w:t>
      </w:r>
      <w:r>
        <w:rPr>
          <w:rFonts w:eastAsia="Calibri"/>
        </w:rPr>
        <w:t>AusAID,</w:t>
      </w:r>
      <w:r w:rsidRPr="00F000D1">
        <w:rPr>
          <w:rFonts w:eastAsia="Calibri"/>
        </w:rPr>
        <w:t xml:space="preserve"> Canberra 2006.</w:t>
      </w:r>
      <w:r w:rsidRPr="00C834F1">
        <w:rPr>
          <w:rFonts w:eastAsia="Calibri"/>
          <w:i/>
        </w:rPr>
        <w:t xml:space="preserve"> </w:t>
      </w:r>
      <w:r w:rsidRPr="002D501E">
        <w:rPr>
          <w:rFonts w:eastAsia="Calibri"/>
          <w:i/>
        </w:rPr>
        <w:t>Saving lives: Improving the health of the world’s poor</w:t>
      </w:r>
      <w:r>
        <w:rPr>
          <w:rFonts w:eastAsia="Calibri"/>
        </w:rPr>
        <w:t>,</w:t>
      </w:r>
      <w:r w:rsidRPr="00F000D1">
        <w:rPr>
          <w:rFonts w:eastAsia="Calibri"/>
        </w:rPr>
        <w:t xml:space="preserve"> </w:t>
      </w:r>
      <w:r>
        <w:rPr>
          <w:rFonts w:eastAsia="Calibri"/>
        </w:rPr>
        <w:t>AusAID,</w:t>
      </w:r>
      <w:r w:rsidRPr="00F000D1">
        <w:rPr>
          <w:rFonts w:eastAsia="Calibri"/>
        </w:rPr>
        <w:t xml:space="preserve"> Canberra</w:t>
      </w:r>
      <w:r>
        <w:rPr>
          <w:rFonts w:eastAsia="Calibri"/>
        </w:rPr>
        <w:t>,</w:t>
      </w:r>
      <w:r w:rsidRPr="00F000D1">
        <w:rPr>
          <w:rFonts w:eastAsia="Calibri"/>
        </w:rPr>
        <w:t xml:space="preserve"> 2011.</w:t>
      </w:r>
      <w:r w:rsidRPr="00407214">
        <w:rPr>
          <w:rFonts w:eastAsia="Calibri"/>
        </w:rPr>
        <w:t xml:space="preserve"> </w:t>
      </w:r>
      <w:r w:rsidRPr="002D501E">
        <w:rPr>
          <w:rFonts w:eastAsia="Calibri"/>
          <w:i/>
        </w:rPr>
        <w:t>2011–12 Annual Review of Aid Effectiveness</w:t>
      </w:r>
      <w:r w:rsidRPr="00F000D1">
        <w:rPr>
          <w:rFonts w:eastAsia="Calibri"/>
        </w:rPr>
        <w:t xml:space="preserve">, </w:t>
      </w:r>
      <w:r>
        <w:rPr>
          <w:rFonts w:eastAsia="Calibri"/>
        </w:rPr>
        <w:t>AusAID,</w:t>
      </w:r>
      <w:r w:rsidRPr="00F000D1">
        <w:rPr>
          <w:rFonts w:eastAsia="Calibri"/>
        </w:rPr>
        <w:t xml:space="preserve"> Canberra 2012a</w:t>
      </w:r>
      <w:r>
        <w:rPr>
          <w:rFonts w:eastAsia="Calibri"/>
        </w:rPr>
        <w:t xml:space="preserve">; </w:t>
      </w:r>
      <w:r w:rsidRPr="004E76A1">
        <w:rPr>
          <w:rFonts w:eastAsia="Calibri"/>
          <w:i/>
        </w:rPr>
        <w:t xml:space="preserve">Helping the </w:t>
      </w:r>
      <w:proofErr w:type="gramStart"/>
      <w:r>
        <w:rPr>
          <w:rFonts w:eastAsia="Calibri"/>
          <w:i/>
        </w:rPr>
        <w:t>w</w:t>
      </w:r>
      <w:r w:rsidRPr="004E76A1">
        <w:rPr>
          <w:rFonts w:eastAsia="Calibri"/>
          <w:i/>
        </w:rPr>
        <w:t>orld’s</w:t>
      </w:r>
      <w:proofErr w:type="gramEnd"/>
      <w:r w:rsidRPr="004E76A1">
        <w:rPr>
          <w:rFonts w:eastAsia="Calibri"/>
          <w:i/>
        </w:rPr>
        <w:t xml:space="preserve"> </w:t>
      </w:r>
      <w:r>
        <w:rPr>
          <w:rFonts w:eastAsia="Calibri"/>
          <w:i/>
        </w:rPr>
        <w:t>p</w:t>
      </w:r>
      <w:r w:rsidRPr="004E76A1">
        <w:rPr>
          <w:rFonts w:eastAsia="Calibri"/>
          <w:i/>
        </w:rPr>
        <w:t xml:space="preserve">oor through </w:t>
      </w:r>
      <w:r>
        <w:rPr>
          <w:rFonts w:eastAsia="Calibri"/>
          <w:i/>
        </w:rPr>
        <w:t>e</w:t>
      </w:r>
      <w:r w:rsidRPr="004E76A1">
        <w:rPr>
          <w:rFonts w:eastAsia="Calibri"/>
          <w:i/>
        </w:rPr>
        <w:t xml:space="preserve">ffective </w:t>
      </w:r>
      <w:r>
        <w:rPr>
          <w:rFonts w:eastAsia="Calibri"/>
          <w:i/>
        </w:rPr>
        <w:t>a</w:t>
      </w:r>
      <w:r w:rsidRPr="004E76A1">
        <w:rPr>
          <w:rFonts w:eastAsia="Calibri"/>
          <w:i/>
        </w:rPr>
        <w:t xml:space="preserve">id: Australia’s </w:t>
      </w:r>
      <w:r>
        <w:rPr>
          <w:rFonts w:eastAsia="Calibri"/>
          <w:i/>
        </w:rPr>
        <w:t>c</w:t>
      </w:r>
      <w:r w:rsidRPr="004E76A1">
        <w:rPr>
          <w:rFonts w:eastAsia="Calibri"/>
          <w:i/>
        </w:rPr>
        <w:t>omprehensive</w:t>
      </w:r>
      <w:r>
        <w:rPr>
          <w:rFonts w:eastAsia="Calibri"/>
          <w:i/>
        </w:rPr>
        <w:t xml:space="preserve"> a</w:t>
      </w:r>
      <w:r w:rsidRPr="004E76A1">
        <w:rPr>
          <w:rFonts w:eastAsia="Calibri"/>
          <w:i/>
        </w:rPr>
        <w:t xml:space="preserve">id </w:t>
      </w:r>
      <w:r>
        <w:rPr>
          <w:rFonts w:eastAsia="Calibri"/>
          <w:i/>
        </w:rPr>
        <w:t>p</w:t>
      </w:r>
      <w:r w:rsidRPr="004E76A1">
        <w:rPr>
          <w:rFonts w:eastAsia="Calibri"/>
          <w:i/>
        </w:rPr>
        <w:t xml:space="preserve">olicy </w:t>
      </w:r>
      <w:r>
        <w:rPr>
          <w:rFonts w:eastAsia="Calibri"/>
          <w:i/>
        </w:rPr>
        <w:t>f</w:t>
      </w:r>
      <w:r w:rsidRPr="004E76A1">
        <w:rPr>
          <w:rFonts w:eastAsia="Calibri"/>
          <w:i/>
        </w:rPr>
        <w:t>ramework to 2015–16</w:t>
      </w:r>
      <w:r w:rsidRPr="00AF4044">
        <w:rPr>
          <w:rFonts w:eastAsia="Calibri"/>
        </w:rPr>
        <w:t>.</w:t>
      </w:r>
      <w:r>
        <w:rPr>
          <w:rFonts w:eastAsia="Calibri"/>
        </w:rPr>
        <w:t xml:space="preserve"> AusAID,</w:t>
      </w:r>
      <w:r w:rsidRPr="00AF4044">
        <w:rPr>
          <w:rFonts w:eastAsia="Calibri"/>
        </w:rPr>
        <w:t xml:space="preserve"> Canberra</w:t>
      </w:r>
      <w:r>
        <w:rPr>
          <w:rFonts w:eastAsia="Calibri"/>
        </w:rPr>
        <w:t>,</w:t>
      </w:r>
      <w:r w:rsidRPr="00AF4044">
        <w:rPr>
          <w:rFonts w:eastAsia="Calibri"/>
        </w:rPr>
        <w:t xml:space="preserve"> 2012b</w:t>
      </w:r>
      <w:r>
        <w:rPr>
          <w:rFonts w:eastAsia="Calibri"/>
        </w:rPr>
        <w:t xml:space="preserve">; </w:t>
      </w:r>
      <w:proofErr w:type="gramStart"/>
      <w:r w:rsidRPr="004E76A1">
        <w:rPr>
          <w:rFonts w:eastAsia="Calibri"/>
          <w:i/>
        </w:rPr>
        <w:t>An</w:t>
      </w:r>
      <w:proofErr w:type="gramEnd"/>
      <w:r w:rsidRPr="004E76A1">
        <w:rPr>
          <w:rFonts w:eastAsia="Calibri"/>
          <w:i/>
        </w:rPr>
        <w:t xml:space="preserve"> </w:t>
      </w:r>
      <w:r>
        <w:rPr>
          <w:rFonts w:eastAsia="Calibri"/>
          <w:i/>
        </w:rPr>
        <w:t>e</w:t>
      </w:r>
      <w:r w:rsidRPr="004E76A1">
        <w:rPr>
          <w:rFonts w:eastAsia="Calibri"/>
          <w:i/>
        </w:rPr>
        <w:t xml:space="preserve">ffective </w:t>
      </w:r>
      <w:r>
        <w:rPr>
          <w:rFonts w:eastAsia="Calibri"/>
          <w:i/>
        </w:rPr>
        <w:t>a</w:t>
      </w:r>
      <w:r w:rsidRPr="004E76A1">
        <w:rPr>
          <w:rFonts w:eastAsia="Calibri"/>
          <w:i/>
        </w:rPr>
        <w:t xml:space="preserve">id </w:t>
      </w:r>
      <w:r>
        <w:rPr>
          <w:rFonts w:eastAsia="Calibri"/>
          <w:i/>
        </w:rPr>
        <w:t>p</w:t>
      </w:r>
      <w:r w:rsidRPr="004E76A1">
        <w:rPr>
          <w:rFonts w:eastAsia="Calibri"/>
          <w:i/>
        </w:rPr>
        <w:t xml:space="preserve">rogram for Australia: </w:t>
      </w:r>
      <w:r>
        <w:rPr>
          <w:rFonts w:eastAsia="Calibri"/>
          <w:i/>
        </w:rPr>
        <w:t>m</w:t>
      </w:r>
      <w:r w:rsidRPr="004E76A1">
        <w:rPr>
          <w:rFonts w:eastAsia="Calibri"/>
          <w:i/>
        </w:rPr>
        <w:t>aking a real difference—</w:t>
      </w:r>
      <w:r>
        <w:rPr>
          <w:rFonts w:eastAsia="Calibri"/>
          <w:i/>
        </w:rPr>
        <w:t>d</w:t>
      </w:r>
      <w:r w:rsidRPr="004E76A1">
        <w:rPr>
          <w:rFonts w:eastAsia="Calibri"/>
          <w:i/>
        </w:rPr>
        <w:t>elivering real results,</w:t>
      </w:r>
      <w:r w:rsidRPr="00AF4044">
        <w:rPr>
          <w:rFonts w:eastAsia="Calibri"/>
        </w:rPr>
        <w:t xml:space="preserve"> </w:t>
      </w:r>
      <w:r>
        <w:rPr>
          <w:rFonts w:eastAsia="Calibri"/>
        </w:rPr>
        <w:t>AusAID,</w:t>
      </w:r>
      <w:r w:rsidRPr="00AF4044">
        <w:rPr>
          <w:rFonts w:eastAsia="Calibri"/>
        </w:rPr>
        <w:t xml:space="preserve"> Canberra 2012(c)</w:t>
      </w:r>
      <w:r>
        <w:rPr>
          <w:rFonts w:eastAsia="Calibri"/>
        </w:rPr>
        <w:t>.</w:t>
      </w:r>
    </w:p>
  </w:footnote>
  <w:footnote w:id="59">
    <w:p w:rsidR="0060380E" w:rsidRPr="00256E5D" w:rsidRDefault="0060380E" w:rsidP="00CC776F">
      <w:pPr>
        <w:pStyle w:val="FootnoteText"/>
        <w:ind w:left="0" w:firstLine="0"/>
      </w:pPr>
      <w:r>
        <w:rPr>
          <w:rStyle w:val="FootnoteReference"/>
        </w:rPr>
        <w:footnoteRef/>
      </w:r>
      <w:r>
        <w:t xml:space="preserve"> Note from the author: in Bangladesh during the design of the sector program in 2008 there were discussions among donors on using sector budget support; in the end the previous pooled funding arrangements were adopted. </w:t>
      </w:r>
    </w:p>
  </w:footnote>
  <w:footnote w:id="60">
    <w:p w:rsidR="0060380E" w:rsidRPr="00204740" w:rsidRDefault="0060380E">
      <w:pPr>
        <w:pStyle w:val="FootnoteText"/>
      </w:pPr>
      <w:r>
        <w:rPr>
          <w:rStyle w:val="FootnoteReference"/>
        </w:rPr>
        <w:footnoteRef/>
      </w:r>
      <w:r>
        <w:t xml:space="preserve"> </w:t>
      </w:r>
      <w:proofErr w:type="gramStart"/>
      <w:r>
        <w:t>Personal communication from David Kelly, DFAT, in his feedback to an earlier version of this study.</w:t>
      </w:r>
      <w:proofErr w:type="gramEnd"/>
    </w:p>
  </w:footnote>
  <w:footnote w:id="61">
    <w:p w:rsidR="0060380E" w:rsidRPr="002E4BB3" w:rsidRDefault="0060380E">
      <w:pPr>
        <w:pStyle w:val="FootnoteText"/>
      </w:pPr>
      <w:r>
        <w:rPr>
          <w:rStyle w:val="FootnoteReference"/>
        </w:rPr>
        <w:footnoteRef/>
      </w:r>
      <w:r>
        <w:t xml:space="preserve"> </w:t>
      </w:r>
      <w:proofErr w:type="gramStart"/>
      <w:r>
        <w:t xml:space="preserve">Personal communication from </w:t>
      </w:r>
      <w:r w:rsidRPr="002E4BB3">
        <w:t xml:space="preserve">Aedan </w:t>
      </w:r>
      <w:proofErr w:type="spellStart"/>
      <w:r w:rsidRPr="002E4BB3">
        <w:t>Whyatt</w:t>
      </w:r>
      <w:proofErr w:type="spellEnd"/>
      <w:r w:rsidRPr="002E4BB3">
        <w:t>,</w:t>
      </w:r>
      <w:r>
        <w:t xml:space="preserve"> DFAT, in feedback provided on an earlier version of this study.</w:t>
      </w:r>
      <w:proofErr w:type="gramEnd"/>
    </w:p>
  </w:footnote>
  <w:footnote w:id="62">
    <w:p w:rsidR="0060380E" w:rsidRPr="006826FE" w:rsidRDefault="0060380E" w:rsidP="002041C4">
      <w:pPr>
        <w:pStyle w:val="FootnoteText"/>
      </w:pPr>
      <w:r>
        <w:rPr>
          <w:rStyle w:val="FootnoteReference"/>
        </w:rPr>
        <w:footnoteRef/>
      </w:r>
      <w:r>
        <w:t xml:space="preserve"> Based on </w:t>
      </w:r>
      <w:proofErr w:type="spellStart"/>
      <w:r w:rsidRPr="006826FE">
        <w:t>SWAp</w:t>
      </w:r>
      <w:proofErr w:type="spellEnd"/>
      <w:r w:rsidRPr="006826FE">
        <w:t xml:space="preserve"> foundation documents and the national health plans they support</w:t>
      </w:r>
      <w:r>
        <w:t xml:space="preserve">. </w:t>
      </w:r>
      <w:r w:rsidRPr="006826FE">
        <w:t xml:space="preserve"> </w:t>
      </w:r>
    </w:p>
  </w:footnote>
  <w:footnote w:id="63">
    <w:p w:rsidR="0060380E" w:rsidRPr="006826FE" w:rsidRDefault="0060380E" w:rsidP="002041C4">
      <w:pPr>
        <w:pStyle w:val="FootnoteText"/>
      </w:pPr>
      <w:r>
        <w:rPr>
          <w:rStyle w:val="FootnoteReference"/>
        </w:rPr>
        <w:footnoteRef/>
      </w:r>
      <w:r>
        <w:t xml:space="preserve"> </w:t>
      </w:r>
      <w:proofErr w:type="gramStart"/>
      <w:r>
        <w:t xml:space="preserve">Based on the most recent </w:t>
      </w:r>
      <w:r w:rsidRPr="006826FE">
        <w:t>annual</w:t>
      </w:r>
      <w:r>
        <w:t>/mid-term</w:t>
      </w:r>
      <w:r w:rsidRPr="006826FE">
        <w:t xml:space="preserve"> reviews conducted independently (by external consultants)</w:t>
      </w:r>
      <w:r>
        <w:t>.</w:t>
      </w:r>
      <w:proofErr w:type="gramEnd"/>
      <w:r w:rsidRPr="006826FE">
        <w:t xml:space="preserve"> </w:t>
      </w:r>
    </w:p>
  </w:footnote>
  <w:footnote w:id="64">
    <w:p w:rsidR="0060380E" w:rsidRPr="006826FE" w:rsidRDefault="0060380E" w:rsidP="002041C4">
      <w:pPr>
        <w:pStyle w:val="FootnoteText"/>
      </w:pPr>
      <w:r>
        <w:rPr>
          <w:rStyle w:val="FootnoteReference"/>
        </w:rPr>
        <w:footnoteRef/>
      </w:r>
      <w:r>
        <w:t xml:space="preserve"> </w:t>
      </w:r>
      <w:proofErr w:type="gramStart"/>
      <w:r>
        <w:t>Based on the most recent APPRs, in the section on the health program.</w:t>
      </w:r>
      <w:proofErr w:type="gramEnd"/>
      <w:r>
        <w:t xml:space="preserve"> </w:t>
      </w:r>
    </w:p>
  </w:footnote>
  <w:footnote w:id="65">
    <w:p w:rsidR="0060380E" w:rsidRPr="00E60C43" w:rsidRDefault="0060380E">
      <w:pPr>
        <w:pStyle w:val="FootnoteText"/>
        <w:rPr>
          <w:lang w:val="en-GB"/>
        </w:rPr>
      </w:pPr>
      <w:r>
        <w:rPr>
          <w:rStyle w:val="FootnoteReference"/>
        </w:rPr>
        <w:footnoteRef/>
      </w:r>
      <w:r w:rsidRPr="00E60C43">
        <w:rPr>
          <w:lang w:val="en-GB"/>
        </w:rPr>
        <w:t xml:space="preserve"> K </w:t>
      </w:r>
      <w:proofErr w:type="spellStart"/>
      <w:r w:rsidRPr="00F64E79">
        <w:t>Frieson</w:t>
      </w:r>
      <w:proofErr w:type="spellEnd"/>
      <w:r w:rsidRPr="00F64E79">
        <w:t xml:space="preserve"> et al, </w:t>
      </w:r>
      <w:r w:rsidRPr="00F64E79">
        <w:rPr>
          <w:i/>
        </w:rPr>
        <w:t>A gender analysis of the Cambodian health sector</w:t>
      </w:r>
      <w:r w:rsidRPr="00F64E79">
        <w:t>, 2011</w:t>
      </w:r>
      <w:r>
        <w:t>.</w:t>
      </w:r>
    </w:p>
  </w:footnote>
  <w:footnote w:id="66">
    <w:p w:rsidR="0060380E" w:rsidRPr="00E60C43" w:rsidRDefault="0060380E" w:rsidP="00710DE3">
      <w:pPr>
        <w:pStyle w:val="FootnoteText"/>
        <w:rPr>
          <w:lang w:val="en-GB"/>
        </w:rPr>
      </w:pPr>
      <w:r>
        <w:rPr>
          <w:rStyle w:val="FootnoteReference"/>
        </w:rPr>
        <w:footnoteRef/>
      </w:r>
      <w:r w:rsidRPr="00E60C43">
        <w:rPr>
          <w:lang w:val="en-GB"/>
        </w:rPr>
        <w:t xml:space="preserve"> </w:t>
      </w:r>
      <w:proofErr w:type="gramStart"/>
      <w:r w:rsidRPr="00E60C43">
        <w:rPr>
          <w:lang w:val="en-GB"/>
        </w:rPr>
        <w:t>Davies, 2013.</w:t>
      </w:r>
      <w:proofErr w:type="gramEnd"/>
    </w:p>
  </w:footnote>
  <w:footnote w:id="67">
    <w:p w:rsidR="0060380E" w:rsidRPr="008463D7" w:rsidRDefault="0060380E" w:rsidP="009F7318">
      <w:pPr>
        <w:pStyle w:val="FootnoteText"/>
        <w:ind w:left="0" w:firstLine="0"/>
      </w:pPr>
      <w:r>
        <w:rPr>
          <w:rStyle w:val="FootnoteReference"/>
        </w:rPr>
        <w:footnoteRef/>
      </w:r>
      <w:r>
        <w:t xml:space="preserve"> Please note that these dates were subsequently revised in agreement between the HRF, the reviewers and ODE. The draft report was submitted in early August and the final report in mid-September.</w:t>
      </w:r>
    </w:p>
  </w:footnote>
  <w:footnote w:id="68">
    <w:p w:rsidR="0060380E" w:rsidRPr="006956F8" w:rsidRDefault="0060380E" w:rsidP="009F7318">
      <w:pPr>
        <w:spacing w:after="0"/>
        <w:ind w:left="284" w:hanging="284"/>
        <w:rPr>
          <w:rFonts w:eastAsia="Calibri"/>
        </w:rPr>
      </w:pPr>
      <w:r>
        <w:rPr>
          <w:rStyle w:val="FootnoteReference"/>
        </w:rPr>
        <w:footnoteRef/>
      </w:r>
      <w:r>
        <w:t xml:space="preserve"> </w:t>
      </w:r>
      <w:r w:rsidRPr="006956F8">
        <w:rPr>
          <w:rStyle w:val="FootnoteTextChar"/>
          <w:rFonts w:eastAsia="Calibri"/>
        </w:rPr>
        <w:t>Department of Foreign Affairs and Trade, Aid Program Performance Report 2012−13: Cambodia, DFAT, Canberra, 2014.</w:t>
      </w:r>
    </w:p>
  </w:footnote>
  <w:footnote w:id="69">
    <w:p w:rsidR="0060380E" w:rsidRPr="006956F8" w:rsidRDefault="0060380E" w:rsidP="009F7318">
      <w:pPr>
        <w:spacing w:after="0"/>
        <w:rPr>
          <w:rFonts w:eastAsia="Calibri"/>
        </w:rPr>
      </w:pPr>
      <w:r>
        <w:rPr>
          <w:rStyle w:val="FootnoteReference"/>
        </w:rPr>
        <w:footnoteRef/>
      </w:r>
      <w:r>
        <w:t xml:space="preserve"> </w:t>
      </w:r>
      <w:proofErr w:type="gramStart"/>
      <w:r w:rsidRPr="006956F8">
        <w:rPr>
          <w:rStyle w:val="FootnoteTextChar"/>
          <w:rFonts w:eastAsia="Calibri"/>
        </w:rPr>
        <w:t>Cambodia Annual Program Performance Report 2011, AusAID, Canberra, 2012.</w:t>
      </w:r>
      <w:proofErr w:type="gramEnd"/>
    </w:p>
  </w:footnote>
  <w:footnote w:id="70">
    <w:p w:rsidR="0060380E" w:rsidRPr="00111196" w:rsidRDefault="0060380E" w:rsidP="009F7318">
      <w:pPr>
        <w:spacing w:after="0"/>
        <w:rPr>
          <w:rFonts w:eastAsia="Calibri"/>
        </w:rPr>
      </w:pPr>
      <w:r>
        <w:rPr>
          <w:rStyle w:val="FootnoteReference"/>
        </w:rPr>
        <w:footnoteRef/>
      </w:r>
      <w:r>
        <w:t xml:space="preserve"> </w:t>
      </w:r>
      <w:proofErr w:type="gramStart"/>
      <w:r w:rsidRPr="00111196">
        <w:rPr>
          <w:rStyle w:val="FootnoteTextChar"/>
          <w:rFonts w:eastAsia="Calibri"/>
        </w:rPr>
        <w:t>Department of Foreign Affairs and Trade.</w:t>
      </w:r>
      <w:proofErr w:type="gramEnd"/>
      <w:r w:rsidRPr="00111196">
        <w:rPr>
          <w:rStyle w:val="FootnoteTextChar"/>
          <w:rFonts w:eastAsia="Calibri"/>
        </w:rPr>
        <w:t xml:space="preserve"> Aid Program Performance Report 2012-2013. </w:t>
      </w:r>
      <w:proofErr w:type="gramStart"/>
      <w:r w:rsidRPr="00111196">
        <w:rPr>
          <w:rStyle w:val="FootnoteTextChar"/>
          <w:rFonts w:eastAsia="Calibri"/>
        </w:rPr>
        <w:t>Regional Assistance Mission Solomon Islands.</w:t>
      </w:r>
      <w:proofErr w:type="gramEnd"/>
      <w:r w:rsidRPr="00111196">
        <w:rPr>
          <w:rStyle w:val="FootnoteTextChar"/>
          <w:rFonts w:eastAsia="Calibri"/>
        </w:rPr>
        <w:t xml:space="preserve"> </w:t>
      </w:r>
      <w:proofErr w:type="gramStart"/>
      <w:r w:rsidRPr="00111196">
        <w:rPr>
          <w:rStyle w:val="FootnoteTextChar"/>
          <w:rFonts w:eastAsia="Calibri"/>
        </w:rPr>
        <w:t>Canberra, 2013.</w:t>
      </w:r>
      <w:proofErr w:type="gramEnd"/>
      <w:r w:rsidRPr="00655137">
        <w:rPr>
          <w:rFonts w:eastAsia="Calibri"/>
        </w:rPr>
        <w:t xml:space="preserve"> </w:t>
      </w:r>
    </w:p>
  </w:footnote>
  <w:footnote w:id="71">
    <w:p w:rsidR="0060380E" w:rsidRPr="00111196" w:rsidRDefault="0060380E" w:rsidP="009F7318">
      <w:pPr>
        <w:spacing w:after="0"/>
        <w:rPr>
          <w:rFonts w:eastAsia="Calibri"/>
        </w:rPr>
      </w:pPr>
      <w:r>
        <w:rPr>
          <w:rStyle w:val="FootnoteReference"/>
        </w:rPr>
        <w:footnoteRef/>
      </w:r>
      <w:r>
        <w:t xml:space="preserve"> </w:t>
      </w:r>
      <w:r w:rsidRPr="00111196">
        <w:rPr>
          <w:rStyle w:val="FootnoteTextChar"/>
          <w:rFonts w:eastAsia="Calibri"/>
        </w:rPr>
        <w:t>Independent Performance Assessment Panel, Solomon Islands</w:t>
      </w:r>
      <w:r>
        <w:rPr>
          <w:rStyle w:val="FootnoteTextChar"/>
          <w:rFonts w:eastAsia="Calibri"/>
        </w:rPr>
        <w:t>-</w:t>
      </w:r>
      <w:r w:rsidRPr="00111196">
        <w:rPr>
          <w:rStyle w:val="FootnoteTextChar"/>
          <w:rFonts w:eastAsia="Calibri"/>
        </w:rPr>
        <w:t>Australia Partnership for Development: assessment for 2012, AusAID, Canberra, 2013.</w:t>
      </w:r>
      <w:r>
        <w:rPr>
          <w:rFonts w:eastAsia="Calibri"/>
        </w:rPr>
        <w:t xml:space="preserve"> </w:t>
      </w:r>
    </w:p>
  </w:footnote>
  <w:footnote w:id="72">
    <w:p w:rsidR="0060380E" w:rsidRPr="00111196" w:rsidRDefault="0060380E" w:rsidP="009F7318">
      <w:pPr>
        <w:pStyle w:val="FootnoteText"/>
        <w:spacing w:before="0" w:line="240" w:lineRule="auto"/>
        <w:ind w:left="0" w:firstLine="0"/>
        <w:rPr>
          <w:rFonts w:eastAsia="Calibri"/>
        </w:rPr>
      </w:pPr>
      <w:r>
        <w:rPr>
          <w:rStyle w:val="FootnoteReference"/>
        </w:rPr>
        <w:footnoteRef/>
      </w:r>
      <w:r>
        <w:t xml:space="preserve"> </w:t>
      </w:r>
      <w:r w:rsidRPr="00655137">
        <w:rPr>
          <w:rFonts w:eastAsia="Calibri"/>
        </w:rPr>
        <w:t xml:space="preserve">Independent Review Team, Mid-term Review of the Health, Nutrition and Population Sector Programme (2003-2010): consolidated report, </w:t>
      </w:r>
      <w:proofErr w:type="spellStart"/>
      <w:r w:rsidRPr="00655137">
        <w:rPr>
          <w:rFonts w:eastAsia="Calibri"/>
        </w:rPr>
        <w:t>MoHFW</w:t>
      </w:r>
      <w:proofErr w:type="spellEnd"/>
      <w:r w:rsidRPr="00655137">
        <w:rPr>
          <w:rFonts w:eastAsia="Calibri"/>
        </w:rPr>
        <w:t>, Dhaka, 2008</w:t>
      </w:r>
    </w:p>
  </w:footnote>
  <w:footnote w:id="73">
    <w:p w:rsidR="0060380E" w:rsidRPr="00111196" w:rsidRDefault="0060380E" w:rsidP="009F7318">
      <w:pPr>
        <w:spacing w:before="0" w:after="0" w:line="240" w:lineRule="auto"/>
        <w:rPr>
          <w:rFonts w:eastAsia="Calibri"/>
        </w:rPr>
      </w:pPr>
      <w:r>
        <w:rPr>
          <w:rStyle w:val="FootnoteReference"/>
        </w:rPr>
        <w:footnoteRef/>
      </w:r>
      <w:r>
        <w:t xml:space="preserve"> </w:t>
      </w:r>
      <w:r w:rsidRPr="00111196">
        <w:rPr>
          <w:rStyle w:val="FootnoteTextChar"/>
          <w:rFonts w:eastAsia="Calibri"/>
        </w:rPr>
        <w:t xml:space="preserve">Independent Review Team, Annual programme review (APR 2013): Health, Population and Nutrition Sector Development Program (HPNSDP), 2011-16. </w:t>
      </w:r>
      <w:proofErr w:type="gramStart"/>
      <w:r w:rsidRPr="00111196">
        <w:rPr>
          <w:rStyle w:val="FootnoteTextChar"/>
          <w:rFonts w:eastAsia="Calibri"/>
        </w:rPr>
        <w:t>Consolidated report.</w:t>
      </w:r>
      <w:proofErr w:type="gramEnd"/>
      <w:r w:rsidRPr="00111196">
        <w:rPr>
          <w:rStyle w:val="FootnoteTextChar"/>
          <w:rFonts w:eastAsia="Calibri"/>
        </w:rPr>
        <w:t xml:space="preserve"> </w:t>
      </w:r>
      <w:proofErr w:type="spellStart"/>
      <w:r w:rsidRPr="00111196">
        <w:rPr>
          <w:rStyle w:val="FootnoteTextChar"/>
          <w:rFonts w:eastAsia="Calibri"/>
        </w:rPr>
        <w:t>MoHFW</w:t>
      </w:r>
      <w:proofErr w:type="spellEnd"/>
      <w:r w:rsidRPr="00111196">
        <w:rPr>
          <w:rStyle w:val="FootnoteTextChar"/>
          <w:rFonts w:eastAsia="Calibri"/>
        </w:rPr>
        <w:t>, Dhaka, 2013.</w:t>
      </w:r>
    </w:p>
  </w:footnote>
  <w:footnote w:id="74">
    <w:p w:rsidR="0060380E" w:rsidRDefault="0060380E" w:rsidP="000F08A7">
      <w:pPr>
        <w:spacing w:before="0" w:after="0" w:line="240" w:lineRule="auto"/>
        <w:ind w:left="142" w:hanging="142"/>
      </w:pPr>
      <w:r>
        <w:rPr>
          <w:rStyle w:val="FootnoteReference"/>
        </w:rPr>
        <w:footnoteRef/>
      </w:r>
      <w:r>
        <w:t xml:space="preserve"> </w:t>
      </w:r>
      <w:r w:rsidRPr="00111196">
        <w:rPr>
          <w:rStyle w:val="FootnoteTextChar"/>
          <w:rFonts w:eastAsia="Calibri"/>
        </w:rPr>
        <w:t>Health &amp; Education Advice and Resource Team, Nepal Health Sector Programme II (NHSP II): mid-term review, HEART, 2013</w:t>
      </w:r>
    </w:p>
  </w:footnote>
  <w:footnote w:id="75">
    <w:p w:rsidR="0060380E" w:rsidRDefault="0060380E" w:rsidP="009F7318">
      <w:pPr>
        <w:spacing w:before="0" w:after="0" w:line="240" w:lineRule="auto"/>
        <w:ind w:left="283" w:hanging="283"/>
      </w:pPr>
      <w:r>
        <w:rPr>
          <w:rStyle w:val="FootnoteReference"/>
        </w:rPr>
        <w:footnoteRef/>
      </w:r>
      <w:r>
        <w:t xml:space="preserve"> </w:t>
      </w:r>
      <w:proofErr w:type="gramStart"/>
      <w:r w:rsidRPr="00111196">
        <w:rPr>
          <w:rStyle w:val="FootnoteTextChar"/>
          <w:rFonts w:eastAsia="Calibri"/>
        </w:rPr>
        <w:t>Australian Agency for International Development, Nepal development cooperation report 2010, AusAID, Canberra, 2011.</w:t>
      </w:r>
      <w:proofErr w:type="gramEnd"/>
    </w:p>
  </w:footnote>
  <w:footnote w:id="76">
    <w:p w:rsidR="0060380E" w:rsidRDefault="0060380E" w:rsidP="008E7949">
      <w:pPr>
        <w:pStyle w:val="FootnoteText"/>
        <w:ind w:left="0" w:firstLine="0"/>
      </w:pPr>
      <w:r>
        <w:rPr>
          <w:rStyle w:val="FootnoteReference"/>
        </w:rPr>
        <w:footnoteRef/>
      </w:r>
      <w:r>
        <w:t xml:space="preserve"> </w:t>
      </w:r>
      <w:r w:rsidRPr="00655137">
        <w:rPr>
          <w:rFonts w:eastAsia="Calibri"/>
        </w:rPr>
        <w:t xml:space="preserve">K </w:t>
      </w:r>
      <w:proofErr w:type="spellStart"/>
      <w:r w:rsidRPr="00655137">
        <w:rPr>
          <w:rFonts w:eastAsia="Calibri"/>
        </w:rPr>
        <w:t>Janovsky</w:t>
      </w:r>
      <w:proofErr w:type="spellEnd"/>
      <w:r w:rsidRPr="00655137">
        <w:rPr>
          <w:rFonts w:eastAsia="Calibri"/>
        </w:rPr>
        <w:t xml:space="preserve">, </w:t>
      </w:r>
      <w:r w:rsidRPr="0009252E">
        <w:rPr>
          <w:rFonts w:eastAsia="Calibri"/>
          <w:i/>
        </w:rPr>
        <w:t xml:space="preserve">The PNG </w:t>
      </w:r>
      <w:proofErr w:type="spellStart"/>
      <w:r w:rsidRPr="0009252E">
        <w:rPr>
          <w:rFonts w:eastAsia="Calibri"/>
          <w:i/>
        </w:rPr>
        <w:t>SWAp</w:t>
      </w:r>
      <w:proofErr w:type="spellEnd"/>
      <w:r w:rsidRPr="0009252E">
        <w:rPr>
          <w:rFonts w:eastAsia="Calibri"/>
          <w:i/>
        </w:rPr>
        <w:t xml:space="preserve"> review: streamlining and strengthening mechanisms for sector coordination and policy dialogue</w:t>
      </w:r>
      <w:r>
        <w:rPr>
          <w:rFonts w:eastAsia="Calibri"/>
        </w:rPr>
        <w:t>, 2010</w:t>
      </w:r>
      <w:r w:rsidRPr="00655137">
        <w:rPr>
          <w:rFonts w:eastAsia="Calibri"/>
        </w:rPr>
        <w:t>.</w:t>
      </w:r>
    </w:p>
  </w:footnote>
  <w:footnote w:id="77">
    <w:p w:rsidR="0060380E" w:rsidRPr="0009252E" w:rsidRDefault="0060380E" w:rsidP="009F7318">
      <w:pPr>
        <w:pStyle w:val="FootnoteText"/>
        <w:ind w:left="0" w:firstLine="0"/>
        <w:rPr>
          <w:rFonts w:eastAsia="Calibri"/>
        </w:rPr>
      </w:pPr>
      <w:r>
        <w:rPr>
          <w:rStyle w:val="FootnoteReference"/>
        </w:rPr>
        <w:footnoteRef/>
      </w:r>
      <w:r>
        <w:t xml:space="preserve"> </w:t>
      </w:r>
      <w:r w:rsidRPr="00655137">
        <w:rPr>
          <w:rFonts w:eastAsia="Calibri"/>
        </w:rPr>
        <w:t xml:space="preserve">D </w:t>
      </w:r>
      <w:proofErr w:type="spellStart"/>
      <w:r w:rsidRPr="00655137">
        <w:rPr>
          <w:rFonts w:eastAsia="Calibri"/>
        </w:rPr>
        <w:t>Vaillancourt</w:t>
      </w:r>
      <w:proofErr w:type="spellEnd"/>
      <w:r w:rsidRPr="0009252E">
        <w:rPr>
          <w:rFonts w:eastAsia="Calibri"/>
          <w:i/>
        </w:rPr>
        <w:t xml:space="preserve">, </w:t>
      </w:r>
      <w:proofErr w:type="gramStart"/>
      <w:r w:rsidRPr="0009252E">
        <w:rPr>
          <w:rFonts w:eastAsia="Calibri"/>
          <w:i/>
        </w:rPr>
        <w:t>In</w:t>
      </w:r>
      <w:proofErr w:type="gramEnd"/>
      <w:r w:rsidRPr="0009252E">
        <w:rPr>
          <w:rFonts w:eastAsia="Calibri"/>
          <w:i/>
        </w:rPr>
        <w:t xml:space="preserve"> sweet harmony? A review of health and education </w:t>
      </w:r>
      <w:proofErr w:type="spellStart"/>
      <w:r w:rsidRPr="0009252E">
        <w:rPr>
          <w:rFonts w:eastAsia="Calibri"/>
          <w:i/>
        </w:rPr>
        <w:t>sectorwide</w:t>
      </w:r>
      <w:proofErr w:type="spellEnd"/>
      <w:r w:rsidRPr="0009252E">
        <w:rPr>
          <w:rFonts w:eastAsia="Calibri"/>
          <w:i/>
        </w:rPr>
        <w:t xml:space="preserve"> approaches in the South Pacific, Appendix 2: Samoa Health </w:t>
      </w:r>
      <w:proofErr w:type="spellStart"/>
      <w:r w:rsidRPr="0009252E">
        <w:rPr>
          <w:rFonts w:eastAsia="Calibri"/>
          <w:i/>
        </w:rPr>
        <w:t>SWAp</w:t>
      </w:r>
      <w:proofErr w:type="spellEnd"/>
      <w:r w:rsidRPr="0009252E">
        <w:rPr>
          <w:rFonts w:eastAsia="Calibri"/>
          <w:i/>
        </w:rPr>
        <w:t>,</w:t>
      </w:r>
      <w:r w:rsidRPr="00655137">
        <w:rPr>
          <w:rFonts w:eastAsia="Calibri"/>
        </w:rPr>
        <w:t xml:space="preserve"> World Bank, Washington DC, 2012.</w:t>
      </w:r>
    </w:p>
  </w:footnote>
  <w:footnote w:id="78">
    <w:p w:rsidR="0060380E" w:rsidRPr="00191949" w:rsidRDefault="0060380E" w:rsidP="009F7318">
      <w:pPr>
        <w:pStyle w:val="FootnoteText"/>
        <w:ind w:left="0" w:firstLine="0"/>
        <w:rPr>
          <w:rFonts w:eastAsia="Calibri"/>
        </w:rPr>
      </w:pPr>
      <w:r>
        <w:rPr>
          <w:rStyle w:val="FootnoteReference"/>
        </w:rPr>
        <w:footnoteRef/>
      </w:r>
      <w:r>
        <w:t xml:space="preserve"> </w:t>
      </w:r>
      <w:r w:rsidRPr="00655137">
        <w:rPr>
          <w:rFonts w:eastAsia="Calibri"/>
        </w:rPr>
        <w:t xml:space="preserve">Tyson, </w:t>
      </w:r>
      <w:r w:rsidRPr="0009252E">
        <w:rPr>
          <w:rFonts w:eastAsia="Calibri"/>
          <w:i/>
        </w:rPr>
        <w:t>Solomon Islands Health Sector Wide Approach: progress review 2008-2011</w:t>
      </w:r>
      <w:r w:rsidRPr="00655137">
        <w:rPr>
          <w:rFonts w:eastAsia="Calibri"/>
        </w:rPr>
        <w:t>, AusAID Health Resource Facility, Canberra, 2011.</w:t>
      </w:r>
    </w:p>
  </w:footnote>
  <w:footnote w:id="79">
    <w:p w:rsidR="0060380E" w:rsidRDefault="0060380E" w:rsidP="009F7318">
      <w:pPr>
        <w:pStyle w:val="FootnoteText"/>
      </w:pPr>
      <w:r>
        <w:rPr>
          <w:rStyle w:val="FootnoteReference"/>
        </w:rPr>
        <w:footnoteRef/>
      </w:r>
      <w:r>
        <w:t xml:space="preserve"> </w:t>
      </w:r>
      <w:proofErr w:type="gramStart"/>
      <w:r>
        <w:t>Davies, 2013.</w:t>
      </w:r>
      <w:proofErr w:type="gramEnd"/>
    </w:p>
  </w:footnote>
  <w:footnote w:id="80">
    <w:p w:rsidR="0060380E" w:rsidRDefault="0060380E" w:rsidP="00860081">
      <w:pPr>
        <w:pStyle w:val="FootnoteText"/>
        <w:ind w:left="0" w:firstLine="0"/>
      </w:pPr>
      <w:r>
        <w:rPr>
          <w:rStyle w:val="FootnoteReference"/>
        </w:rPr>
        <w:footnoteRef/>
      </w:r>
      <w:r>
        <w:t xml:space="preserve"> </w:t>
      </w:r>
      <w:r>
        <w:rPr>
          <w:rFonts w:eastAsia="Calibri"/>
        </w:rPr>
        <w:t xml:space="preserve">AusAID 2012 (Quality at Implementation Report); </w:t>
      </w:r>
      <w:r w:rsidRPr="00A44C6A">
        <w:t xml:space="preserve">a more thorough review and analysis </w:t>
      </w:r>
      <w:proofErr w:type="gramStart"/>
      <w:r w:rsidRPr="00A44C6A">
        <w:t>is</w:t>
      </w:r>
      <w:proofErr w:type="gramEnd"/>
      <w:r w:rsidRPr="00A44C6A">
        <w:t xml:space="preserve"> available in </w:t>
      </w:r>
      <w:r w:rsidRPr="00655137">
        <w:rPr>
          <w:rFonts w:eastAsia="Calibri"/>
        </w:rPr>
        <w:t xml:space="preserve">Health &amp; Education Advice and Resource Team, </w:t>
      </w:r>
      <w:r w:rsidRPr="00655137">
        <w:rPr>
          <w:rFonts w:eastAsia="Calibri"/>
          <w:i/>
        </w:rPr>
        <w:t>Nepal Health Sector Programme II (NHSP II): mid-term review</w:t>
      </w:r>
      <w:r>
        <w:rPr>
          <w:rFonts w:eastAsia="Calibri"/>
        </w:rPr>
        <w:t>, HEART, 2013.</w:t>
      </w:r>
    </w:p>
  </w:footnote>
  <w:footnote w:id="81">
    <w:p w:rsidR="0060380E" w:rsidRPr="0009252E" w:rsidRDefault="0060380E" w:rsidP="00142837">
      <w:pPr>
        <w:spacing w:after="0"/>
        <w:ind w:left="142" w:hanging="142"/>
        <w:rPr>
          <w:rFonts w:eastAsia="Calibri"/>
        </w:rPr>
      </w:pPr>
      <w:r>
        <w:rPr>
          <w:rStyle w:val="FootnoteReference"/>
        </w:rPr>
        <w:footnoteRef/>
      </w:r>
      <w:r>
        <w:t xml:space="preserve"> </w:t>
      </w:r>
      <w:proofErr w:type="gramStart"/>
      <w:r w:rsidRPr="0009252E">
        <w:rPr>
          <w:rStyle w:val="FootnoteTextChar"/>
          <w:rFonts w:eastAsia="Calibri"/>
        </w:rPr>
        <w:t>Australian Agency for International Development, Health sector annual performance report 2010, AusAID, Canberra, 2011.</w:t>
      </w:r>
      <w:proofErr w:type="gramEnd"/>
    </w:p>
  </w:footnote>
  <w:footnote w:id="82">
    <w:p w:rsidR="0060380E" w:rsidRPr="00B51AE4" w:rsidRDefault="0060380E" w:rsidP="008E7949">
      <w:pPr>
        <w:pStyle w:val="FootnoteText"/>
        <w:ind w:left="142" w:hanging="142"/>
        <w:rPr>
          <w:rFonts w:eastAsia="Calibri"/>
        </w:rPr>
      </w:pPr>
      <w:r>
        <w:rPr>
          <w:rStyle w:val="FootnoteReference"/>
        </w:rPr>
        <w:footnoteRef/>
      </w:r>
      <w:r>
        <w:t xml:space="preserve"> </w:t>
      </w:r>
      <w:proofErr w:type="gramStart"/>
      <w:r w:rsidRPr="00655137">
        <w:rPr>
          <w:rFonts w:eastAsia="Calibri"/>
        </w:rPr>
        <w:t xml:space="preserve">Australian Agency for International Development, </w:t>
      </w:r>
      <w:r w:rsidRPr="00655137">
        <w:rPr>
          <w:rFonts w:eastAsia="Calibri"/>
          <w:i/>
        </w:rPr>
        <w:t>Health sector annual performance report 2010</w:t>
      </w:r>
      <w:r>
        <w:rPr>
          <w:rFonts w:eastAsia="Calibri"/>
        </w:rPr>
        <w:t>, AusAID, Canberra, 2011, p 1-2.</w:t>
      </w:r>
      <w:proofErr w:type="gramEnd"/>
    </w:p>
  </w:footnote>
  <w:footnote w:id="83">
    <w:p w:rsidR="0060380E" w:rsidRPr="00FE587C" w:rsidRDefault="0060380E" w:rsidP="00860081">
      <w:pPr>
        <w:pStyle w:val="FootnoteText"/>
        <w:rPr>
          <w:lang w:val="fr-FR"/>
        </w:rPr>
      </w:pPr>
      <w:r>
        <w:rPr>
          <w:rStyle w:val="FootnoteReference"/>
        </w:rPr>
        <w:footnoteRef/>
      </w:r>
      <w:r w:rsidRPr="00FE587C">
        <w:rPr>
          <w:lang w:val="fr-FR"/>
        </w:rPr>
        <w:t xml:space="preserve"> Vaillancourt, 2012</w:t>
      </w:r>
      <w:r>
        <w:rPr>
          <w:lang w:val="fr-FR"/>
        </w:rPr>
        <w:t xml:space="preserve">, </w:t>
      </w:r>
      <w:proofErr w:type="spellStart"/>
      <w:r>
        <w:rPr>
          <w:lang w:val="fr-FR"/>
        </w:rPr>
        <w:t>Appendix</w:t>
      </w:r>
      <w:proofErr w:type="spellEnd"/>
      <w:r>
        <w:rPr>
          <w:lang w:val="fr-FR"/>
        </w:rPr>
        <w:t xml:space="preserve"> 3.</w:t>
      </w:r>
    </w:p>
  </w:footnote>
  <w:footnote w:id="84">
    <w:p w:rsidR="0060380E" w:rsidRPr="00FE587C" w:rsidRDefault="0060380E" w:rsidP="00860081">
      <w:pPr>
        <w:pStyle w:val="FootnoteText"/>
        <w:rPr>
          <w:lang w:val="fr-FR"/>
        </w:rPr>
      </w:pPr>
      <w:r>
        <w:rPr>
          <w:rStyle w:val="FootnoteReference"/>
        </w:rPr>
        <w:footnoteRef/>
      </w:r>
      <w:r>
        <w:rPr>
          <w:lang w:val="fr-FR"/>
        </w:rPr>
        <w:t xml:space="preserve"> </w:t>
      </w:r>
      <w:r w:rsidRPr="00FE587C">
        <w:rPr>
          <w:lang w:val="fr-FR"/>
        </w:rPr>
        <w:t>Davies, 2013</w:t>
      </w:r>
      <w:r>
        <w:rPr>
          <w:lang w:val="fr-FR"/>
        </w:rPr>
        <w:t>.</w:t>
      </w:r>
    </w:p>
  </w:footnote>
  <w:footnote w:id="85">
    <w:p w:rsidR="0060380E" w:rsidRPr="00E60C43" w:rsidRDefault="0060380E" w:rsidP="00860081">
      <w:pPr>
        <w:pStyle w:val="FootnoteText"/>
        <w:ind w:left="142" w:hanging="142"/>
        <w:rPr>
          <w:rFonts w:eastAsia="Calibri"/>
          <w:lang w:val="fr-FR"/>
        </w:rPr>
      </w:pPr>
      <w:r>
        <w:rPr>
          <w:rStyle w:val="FootnoteReference"/>
        </w:rPr>
        <w:footnoteRef/>
      </w:r>
      <w:r w:rsidRPr="00E60C43">
        <w:rPr>
          <w:lang w:val="fr-FR"/>
        </w:rPr>
        <w:t xml:space="preserve"> </w:t>
      </w:r>
      <w:r w:rsidRPr="00E60C43">
        <w:rPr>
          <w:rFonts w:eastAsia="Calibri"/>
          <w:lang w:val="fr-FR"/>
        </w:rPr>
        <w:t>Davies, 2013.</w:t>
      </w:r>
    </w:p>
  </w:footnote>
  <w:footnote w:id="86">
    <w:p w:rsidR="0060380E" w:rsidRPr="00FE587C" w:rsidRDefault="0060380E" w:rsidP="00860081">
      <w:pPr>
        <w:pStyle w:val="FootnoteText"/>
        <w:rPr>
          <w:lang w:val="fr-FR"/>
        </w:rPr>
      </w:pPr>
      <w:r>
        <w:rPr>
          <w:rStyle w:val="FootnoteReference"/>
        </w:rPr>
        <w:footnoteRef/>
      </w:r>
      <w:r w:rsidRPr="00FE587C">
        <w:rPr>
          <w:lang w:val="fr-FR"/>
        </w:rPr>
        <w:t xml:space="preserve"> </w:t>
      </w:r>
      <w:r>
        <w:rPr>
          <w:lang w:val="fr-FR"/>
        </w:rPr>
        <w:t>T</w:t>
      </w:r>
      <w:r w:rsidRPr="00FE587C">
        <w:rPr>
          <w:lang w:val="fr-FR"/>
        </w:rPr>
        <w:t>yson, 2011</w:t>
      </w:r>
      <w:r>
        <w:rPr>
          <w:lang w:val="fr-FR"/>
        </w:rPr>
        <w:t>.</w:t>
      </w:r>
    </w:p>
  </w:footnote>
  <w:footnote w:id="87">
    <w:p w:rsidR="0060380E" w:rsidRPr="00E60C43" w:rsidRDefault="0060380E" w:rsidP="00860081">
      <w:pPr>
        <w:pStyle w:val="FootnoteText"/>
        <w:rPr>
          <w:lang w:val="en-GB"/>
        </w:rPr>
      </w:pPr>
      <w:r>
        <w:rPr>
          <w:rStyle w:val="FootnoteReference"/>
        </w:rPr>
        <w:footnoteRef/>
      </w:r>
      <w:r w:rsidRPr="00E60C43">
        <w:rPr>
          <w:lang w:val="en-GB"/>
        </w:rPr>
        <w:t xml:space="preserve"> </w:t>
      </w:r>
      <w:proofErr w:type="spellStart"/>
      <w:r w:rsidRPr="00E60C43">
        <w:rPr>
          <w:lang w:val="en-GB"/>
        </w:rPr>
        <w:t>Vaillancourt</w:t>
      </w:r>
      <w:proofErr w:type="spellEnd"/>
      <w:r w:rsidRPr="00E60C43">
        <w:rPr>
          <w:lang w:val="en-GB"/>
        </w:rPr>
        <w:t xml:space="preserve">, </w:t>
      </w:r>
      <w:proofErr w:type="gramStart"/>
      <w:r w:rsidRPr="00E60C43">
        <w:rPr>
          <w:lang w:val="en-GB"/>
        </w:rPr>
        <w:t>2012 ,</w:t>
      </w:r>
      <w:proofErr w:type="gramEnd"/>
      <w:r w:rsidRPr="00E60C43">
        <w:rPr>
          <w:lang w:val="en-GB"/>
        </w:rPr>
        <w:t xml:space="preserve"> Appendix 3..</w:t>
      </w:r>
    </w:p>
  </w:footnote>
  <w:footnote w:id="88">
    <w:p w:rsidR="0060380E" w:rsidRDefault="0060380E" w:rsidP="00860081">
      <w:pPr>
        <w:pStyle w:val="FootnoteText"/>
      </w:pPr>
      <w:r>
        <w:rPr>
          <w:rStyle w:val="FootnoteReference"/>
        </w:rPr>
        <w:footnoteRef/>
      </w:r>
      <w:r>
        <w:t xml:space="preserve"> </w:t>
      </w:r>
      <w:proofErr w:type="gramStart"/>
      <w:r>
        <w:t>Tyson, 2011.</w:t>
      </w:r>
      <w:proofErr w:type="gramEnd"/>
    </w:p>
  </w:footnote>
  <w:footnote w:id="89">
    <w:p w:rsidR="0060380E" w:rsidRDefault="0060380E" w:rsidP="00860081">
      <w:pPr>
        <w:pStyle w:val="FootnoteText"/>
      </w:pPr>
      <w:r>
        <w:rPr>
          <w:rStyle w:val="FootnoteReference"/>
        </w:rPr>
        <w:footnoteRef/>
      </w:r>
      <w:r>
        <w:t xml:space="preserve"> </w:t>
      </w:r>
      <w:proofErr w:type="gramStart"/>
      <w:r>
        <w:t>Tyson, 2011.</w:t>
      </w:r>
      <w:proofErr w:type="gramEnd"/>
    </w:p>
  </w:footnote>
  <w:footnote w:id="90">
    <w:p w:rsidR="0060380E" w:rsidRDefault="0060380E" w:rsidP="00860081">
      <w:pPr>
        <w:pStyle w:val="FootnoteText"/>
        <w:ind w:left="142" w:hanging="142"/>
      </w:pPr>
      <w:r>
        <w:rPr>
          <w:rStyle w:val="FootnoteReference"/>
        </w:rPr>
        <w:footnoteRef/>
      </w:r>
      <w:r>
        <w:t xml:space="preserve"> </w:t>
      </w:r>
      <w:proofErr w:type="gramStart"/>
      <w:r w:rsidRPr="00655137">
        <w:rPr>
          <w:rFonts w:eastAsia="Calibri"/>
        </w:rPr>
        <w:t>Department of Foreign Affairs and Trade.</w:t>
      </w:r>
      <w:proofErr w:type="gramEnd"/>
      <w:r w:rsidRPr="00655137">
        <w:rPr>
          <w:rFonts w:eastAsia="Calibri"/>
        </w:rPr>
        <w:t xml:space="preserve"> </w:t>
      </w:r>
      <w:r w:rsidRPr="00B51AE4">
        <w:rPr>
          <w:rFonts w:eastAsia="Calibri"/>
          <w:i/>
        </w:rPr>
        <w:t xml:space="preserve">Aid Program Performance Report 2012-2013. </w:t>
      </w:r>
      <w:proofErr w:type="gramStart"/>
      <w:r w:rsidRPr="00B51AE4">
        <w:rPr>
          <w:rFonts w:eastAsia="Calibri"/>
          <w:i/>
        </w:rPr>
        <w:t>Regional Assistance Mission Solomon Islands</w:t>
      </w:r>
      <w:r w:rsidRPr="00655137">
        <w:rPr>
          <w:rFonts w:eastAsia="Calibri"/>
        </w:rPr>
        <w:t>.</w:t>
      </w:r>
      <w:proofErr w:type="gramEnd"/>
      <w:r w:rsidRPr="00655137">
        <w:rPr>
          <w:rFonts w:eastAsia="Calibri"/>
        </w:rPr>
        <w:t xml:space="preserve"> Canberra, </w:t>
      </w:r>
      <w:r>
        <w:rPr>
          <w:rFonts w:eastAsia="Calibri"/>
        </w:rPr>
        <w:t xml:space="preserve">DFAT, </w:t>
      </w:r>
      <w:r w:rsidRPr="00655137">
        <w:rPr>
          <w:rFonts w:eastAsia="Calibri"/>
        </w:rPr>
        <w:t>2013</w:t>
      </w:r>
      <w:r>
        <w:rPr>
          <w:rFonts w:eastAsia="Calibri"/>
        </w:rPr>
        <w:t>.</w:t>
      </w:r>
    </w:p>
  </w:footnote>
  <w:footnote w:id="91">
    <w:p w:rsidR="0060380E" w:rsidRPr="00FE587C" w:rsidRDefault="0060380E" w:rsidP="009F7318">
      <w:pPr>
        <w:pStyle w:val="FootnoteText"/>
        <w:rPr>
          <w:lang w:val="fr-FR"/>
        </w:rPr>
      </w:pPr>
      <w:r>
        <w:rPr>
          <w:rStyle w:val="FootnoteReference"/>
        </w:rPr>
        <w:footnoteRef/>
      </w:r>
      <w:r w:rsidRPr="00FE587C">
        <w:rPr>
          <w:lang w:val="fr-FR"/>
        </w:rPr>
        <w:t xml:space="preserve"> Davies, 2013 (p.12)</w:t>
      </w:r>
      <w:r>
        <w:rPr>
          <w:lang w:val="fr-FR"/>
        </w:rPr>
        <w:t>.</w:t>
      </w:r>
    </w:p>
  </w:footnote>
  <w:footnote w:id="92">
    <w:p w:rsidR="0060380E" w:rsidRDefault="0060380E" w:rsidP="009F7318">
      <w:pPr>
        <w:pStyle w:val="FootnoteText"/>
      </w:pPr>
      <w:r>
        <w:rPr>
          <w:rStyle w:val="FootnoteReference"/>
        </w:rPr>
        <w:footnoteRef/>
      </w:r>
      <w:r>
        <w:t xml:space="preserve"> </w:t>
      </w:r>
      <w:proofErr w:type="gramStart"/>
      <w:r>
        <w:t>Tyson, 2011.</w:t>
      </w:r>
      <w:proofErr w:type="gramEnd"/>
    </w:p>
  </w:footnote>
  <w:footnote w:id="93">
    <w:p w:rsidR="0060380E" w:rsidRDefault="0060380E" w:rsidP="009F7318">
      <w:pPr>
        <w:pStyle w:val="FootnoteText"/>
      </w:pPr>
      <w:r>
        <w:rPr>
          <w:rStyle w:val="FootnoteReference"/>
        </w:rPr>
        <w:footnoteRef/>
      </w:r>
      <w:r>
        <w:t xml:space="preserve"> </w:t>
      </w:r>
      <w:proofErr w:type="gramStart"/>
      <w:r>
        <w:t>Tyson, 2011.</w:t>
      </w:r>
      <w:proofErr w:type="gramEnd"/>
    </w:p>
  </w:footnote>
  <w:footnote w:id="94">
    <w:p w:rsidR="0060380E" w:rsidRPr="00097C6E" w:rsidRDefault="0060380E" w:rsidP="009F7318">
      <w:pPr>
        <w:pStyle w:val="FootnoteText"/>
        <w:rPr>
          <w:rFonts w:eastAsia="Calibri"/>
        </w:rPr>
      </w:pPr>
      <w:r>
        <w:rPr>
          <w:rStyle w:val="FootnoteReference"/>
        </w:rPr>
        <w:footnoteRef/>
      </w:r>
      <w:r>
        <w:t xml:space="preserve"> </w:t>
      </w:r>
      <w:proofErr w:type="gramStart"/>
      <w:r w:rsidRPr="00655137">
        <w:rPr>
          <w:rFonts w:eastAsia="Calibri"/>
        </w:rPr>
        <w:t>Independent Review Team,</w:t>
      </w:r>
      <w:r>
        <w:rPr>
          <w:rFonts w:eastAsia="Calibri"/>
        </w:rPr>
        <w:t xml:space="preserve"> 2013.</w:t>
      </w:r>
      <w:proofErr w:type="gramEnd"/>
    </w:p>
  </w:footnote>
  <w:footnote w:id="95">
    <w:p w:rsidR="0060380E" w:rsidRPr="00097C6E" w:rsidRDefault="0060380E" w:rsidP="009F7318">
      <w:pPr>
        <w:pStyle w:val="FootnoteText"/>
        <w:ind w:left="0" w:firstLine="0"/>
        <w:rPr>
          <w:rFonts w:eastAsia="Calibri"/>
        </w:rPr>
      </w:pPr>
      <w:r>
        <w:rPr>
          <w:rStyle w:val="FootnoteReference"/>
        </w:rPr>
        <w:footnoteRef/>
      </w:r>
      <w:r>
        <w:t xml:space="preserve"> J</w:t>
      </w:r>
      <w:r w:rsidRPr="00655137">
        <w:rPr>
          <w:rFonts w:eastAsia="Calibri"/>
        </w:rPr>
        <w:t xml:space="preserve"> Martinez, S Simmonds, L </w:t>
      </w:r>
      <w:proofErr w:type="spellStart"/>
      <w:r w:rsidRPr="00655137">
        <w:rPr>
          <w:rFonts w:eastAsia="Calibri"/>
        </w:rPr>
        <w:t>Vinyals</w:t>
      </w:r>
      <w:proofErr w:type="spellEnd"/>
      <w:r w:rsidRPr="00655137">
        <w:rPr>
          <w:rFonts w:eastAsia="Calibri"/>
        </w:rPr>
        <w:t xml:space="preserve">, </w:t>
      </w:r>
      <w:proofErr w:type="spellStart"/>
      <w:r w:rsidRPr="00655137">
        <w:rPr>
          <w:rFonts w:eastAsia="Calibri"/>
        </w:rPr>
        <w:t>Som</w:t>
      </w:r>
      <w:proofErr w:type="spellEnd"/>
      <w:r w:rsidRPr="00655137">
        <w:rPr>
          <w:rFonts w:eastAsia="Calibri"/>
        </w:rPr>
        <w:t xml:space="preserve"> Hun, </w:t>
      </w:r>
      <w:proofErr w:type="spellStart"/>
      <w:r w:rsidRPr="00655137">
        <w:rPr>
          <w:rFonts w:eastAsia="Calibri"/>
        </w:rPr>
        <w:t>Chhun</w:t>
      </w:r>
      <w:proofErr w:type="spellEnd"/>
      <w:r w:rsidRPr="00655137">
        <w:rPr>
          <w:rFonts w:eastAsia="Calibri"/>
        </w:rPr>
        <w:t xml:space="preserve"> </w:t>
      </w:r>
      <w:proofErr w:type="spellStart"/>
      <w:r w:rsidRPr="00655137">
        <w:rPr>
          <w:rFonts w:eastAsia="Calibri"/>
        </w:rPr>
        <w:t>Phally</w:t>
      </w:r>
      <w:proofErr w:type="spellEnd"/>
      <w:r w:rsidRPr="00655137">
        <w:rPr>
          <w:rFonts w:eastAsia="Calibri"/>
        </w:rPr>
        <w:t xml:space="preserve">, </w:t>
      </w:r>
      <w:proofErr w:type="spellStart"/>
      <w:r w:rsidRPr="00655137">
        <w:rPr>
          <w:rFonts w:eastAsia="Calibri"/>
        </w:rPr>
        <w:t>Por</w:t>
      </w:r>
      <w:proofErr w:type="spellEnd"/>
      <w:r w:rsidRPr="00655137">
        <w:rPr>
          <w:rFonts w:eastAsia="Calibri"/>
        </w:rPr>
        <w:t xml:space="preserve"> </w:t>
      </w:r>
      <w:proofErr w:type="spellStart"/>
      <w:r w:rsidRPr="00655137">
        <w:rPr>
          <w:rFonts w:eastAsia="Calibri"/>
        </w:rPr>
        <w:t>Ir</w:t>
      </w:r>
      <w:proofErr w:type="spellEnd"/>
      <w:r w:rsidRPr="00655137">
        <w:rPr>
          <w:rFonts w:eastAsia="Calibri"/>
        </w:rPr>
        <w:t xml:space="preserve">, </w:t>
      </w:r>
      <w:r w:rsidRPr="00655137">
        <w:rPr>
          <w:rFonts w:eastAsia="Calibri"/>
          <w:i/>
        </w:rPr>
        <w:t>Overall assessment for Mid Term Review of Health Strategic Plan 2008-15,</w:t>
      </w:r>
      <w:r w:rsidRPr="00655137">
        <w:rPr>
          <w:rFonts w:eastAsia="Calibri"/>
        </w:rPr>
        <w:t xml:space="preserve"> HLSP, London, 2011. </w:t>
      </w:r>
    </w:p>
  </w:footnote>
  <w:footnote w:id="96">
    <w:p w:rsidR="0060380E" w:rsidRPr="004D367B" w:rsidRDefault="0060380E" w:rsidP="009F7318">
      <w:pPr>
        <w:pStyle w:val="FootnoteText"/>
        <w:rPr>
          <w:lang w:val="fr-FR"/>
        </w:rPr>
      </w:pPr>
      <w:r>
        <w:rPr>
          <w:rStyle w:val="FootnoteReference"/>
        </w:rPr>
        <w:footnoteRef/>
      </w:r>
      <w:r w:rsidRPr="004D367B">
        <w:rPr>
          <w:lang w:val="fr-FR"/>
        </w:rPr>
        <w:t xml:space="preserve"> HEART, 2013.</w:t>
      </w:r>
    </w:p>
  </w:footnote>
  <w:footnote w:id="97">
    <w:p w:rsidR="0060380E" w:rsidRPr="004D367B" w:rsidRDefault="0060380E" w:rsidP="009F7318">
      <w:pPr>
        <w:pStyle w:val="FootnoteText"/>
        <w:rPr>
          <w:lang w:val="fr-FR"/>
        </w:rPr>
      </w:pPr>
      <w:r>
        <w:rPr>
          <w:rStyle w:val="FootnoteReference"/>
        </w:rPr>
        <w:footnoteRef/>
      </w:r>
      <w:r w:rsidRPr="004D367B">
        <w:rPr>
          <w:lang w:val="fr-FR"/>
        </w:rPr>
        <w:t xml:space="preserve"> AusAID, 2011.</w:t>
      </w:r>
    </w:p>
  </w:footnote>
  <w:footnote w:id="98">
    <w:p w:rsidR="0060380E" w:rsidRPr="004D367B" w:rsidRDefault="0060380E" w:rsidP="009F7318">
      <w:pPr>
        <w:pStyle w:val="FootnoteText"/>
        <w:rPr>
          <w:lang w:val="fr-FR"/>
        </w:rPr>
      </w:pPr>
      <w:r>
        <w:rPr>
          <w:rStyle w:val="FootnoteReference"/>
        </w:rPr>
        <w:footnoteRef/>
      </w:r>
      <w:r w:rsidRPr="004D367B">
        <w:rPr>
          <w:lang w:val="fr-FR"/>
        </w:rPr>
        <w:t xml:space="preserve"> </w:t>
      </w:r>
      <w:proofErr w:type="spellStart"/>
      <w:r w:rsidRPr="004D367B">
        <w:rPr>
          <w:lang w:val="fr-FR"/>
        </w:rPr>
        <w:t>Janovsky</w:t>
      </w:r>
      <w:proofErr w:type="spellEnd"/>
      <w:r w:rsidRPr="004D367B">
        <w:rPr>
          <w:lang w:val="fr-FR"/>
        </w:rPr>
        <w:t>, 2010a.</w:t>
      </w:r>
    </w:p>
  </w:footnote>
  <w:footnote w:id="99">
    <w:p w:rsidR="0060380E" w:rsidRPr="004D367B" w:rsidRDefault="0060380E" w:rsidP="009F7318">
      <w:pPr>
        <w:pStyle w:val="FootnoteText"/>
        <w:rPr>
          <w:lang w:val="fr-FR"/>
        </w:rPr>
      </w:pPr>
      <w:r>
        <w:rPr>
          <w:rStyle w:val="FootnoteReference"/>
        </w:rPr>
        <w:footnoteRef/>
      </w:r>
      <w:r w:rsidRPr="004D367B">
        <w:rPr>
          <w:lang w:val="fr-FR"/>
        </w:rPr>
        <w:t xml:space="preserve"> Vaillancourt, 2012.</w:t>
      </w:r>
    </w:p>
  </w:footnote>
  <w:footnote w:id="100">
    <w:p w:rsidR="0060380E" w:rsidRPr="004D367B" w:rsidRDefault="0060380E" w:rsidP="009F7318">
      <w:pPr>
        <w:pStyle w:val="FootnoteText"/>
        <w:rPr>
          <w:lang w:val="fr-FR"/>
        </w:rPr>
      </w:pPr>
      <w:r>
        <w:rPr>
          <w:rStyle w:val="FootnoteReference"/>
        </w:rPr>
        <w:footnoteRef/>
      </w:r>
      <w:r w:rsidRPr="004D367B">
        <w:rPr>
          <w:lang w:val="fr-FR"/>
        </w:rPr>
        <w:t xml:space="preserve"> Davies, 2013.</w:t>
      </w:r>
    </w:p>
  </w:footnote>
  <w:footnote w:id="101">
    <w:p w:rsidR="0060380E" w:rsidRPr="004D367B" w:rsidRDefault="0060380E" w:rsidP="009F7318">
      <w:pPr>
        <w:pStyle w:val="FootnoteText"/>
        <w:rPr>
          <w:lang w:val="fr-FR"/>
        </w:rPr>
      </w:pPr>
      <w:r>
        <w:rPr>
          <w:rStyle w:val="FootnoteReference"/>
        </w:rPr>
        <w:footnoteRef/>
      </w:r>
      <w:r w:rsidRPr="004D367B">
        <w:rPr>
          <w:lang w:val="fr-FR"/>
        </w:rPr>
        <w:t xml:space="preserve"> </w:t>
      </w:r>
      <w:proofErr w:type="spellStart"/>
      <w:r w:rsidRPr="004D367B">
        <w:rPr>
          <w:lang w:val="fr-FR"/>
        </w:rPr>
        <w:t>Negin</w:t>
      </w:r>
      <w:proofErr w:type="spellEnd"/>
      <w:r w:rsidRPr="004D367B">
        <w:rPr>
          <w:lang w:val="fr-FR"/>
        </w:rPr>
        <w:t>, 2010.</w:t>
      </w:r>
    </w:p>
  </w:footnote>
  <w:footnote w:id="102">
    <w:p w:rsidR="0060380E" w:rsidRPr="004D367B" w:rsidRDefault="0060380E" w:rsidP="009F7318">
      <w:pPr>
        <w:pStyle w:val="FootnoteText"/>
        <w:rPr>
          <w:lang w:val="fr-FR"/>
        </w:rPr>
      </w:pPr>
      <w:r>
        <w:rPr>
          <w:rStyle w:val="FootnoteReference"/>
        </w:rPr>
        <w:footnoteRef/>
      </w:r>
      <w:r w:rsidRPr="004D367B">
        <w:rPr>
          <w:lang w:val="fr-FR"/>
        </w:rPr>
        <w:t xml:space="preserve"> Davies, 2013; p. 27.</w:t>
      </w:r>
    </w:p>
  </w:footnote>
  <w:footnote w:id="103">
    <w:p w:rsidR="0060380E" w:rsidRPr="00E60C43" w:rsidRDefault="0060380E" w:rsidP="009F7318">
      <w:pPr>
        <w:pStyle w:val="FootnoteText"/>
        <w:rPr>
          <w:lang w:val="fr-FR"/>
        </w:rPr>
      </w:pPr>
      <w:r>
        <w:rPr>
          <w:rStyle w:val="FootnoteReference"/>
        </w:rPr>
        <w:footnoteRef/>
      </w:r>
      <w:r w:rsidRPr="00E60C43">
        <w:rPr>
          <w:lang w:val="fr-FR"/>
        </w:rPr>
        <w:t xml:space="preserve"> Vaillancourt, 2012, </w:t>
      </w:r>
      <w:proofErr w:type="spellStart"/>
      <w:r w:rsidRPr="00E60C43">
        <w:rPr>
          <w:lang w:val="fr-FR"/>
        </w:rPr>
        <w:t>Appendix</w:t>
      </w:r>
      <w:proofErr w:type="spellEnd"/>
      <w:r w:rsidRPr="00E60C43">
        <w:rPr>
          <w:lang w:val="fr-FR"/>
        </w:rPr>
        <w:t xml:space="preserve"> 3.</w:t>
      </w:r>
    </w:p>
  </w:footnote>
  <w:footnote w:id="104">
    <w:p w:rsidR="0060380E" w:rsidRPr="004D367B" w:rsidRDefault="0060380E" w:rsidP="009F7318">
      <w:pPr>
        <w:pStyle w:val="FootnoteText"/>
        <w:rPr>
          <w:lang w:val="en-GB"/>
        </w:rPr>
      </w:pPr>
      <w:r>
        <w:rPr>
          <w:rStyle w:val="FootnoteReference"/>
        </w:rPr>
        <w:footnoteRef/>
      </w:r>
      <w:r w:rsidRPr="004D367B">
        <w:rPr>
          <w:lang w:val="en-GB"/>
        </w:rPr>
        <w:t xml:space="preserve"> </w:t>
      </w:r>
      <w:proofErr w:type="gramStart"/>
      <w:r w:rsidRPr="004D367B">
        <w:rPr>
          <w:lang w:val="en-GB"/>
        </w:rPr>
        <w:t>Tyson, 2011.</w:t>
      </w:r>
      <w:proofErr w:type="gramEnd"/>
    </w:p>
  </w:footnote>
  <w:footnote w:id="105">
    <w:p w:rsidR="0060380E" w:rsidRPr="004D367B" w:rsidRDefault="0060380E" w:rsidP="009F7318">
      <w:pPr>
        <w:pStyle w:val="FootnoteText"/>
        <w:ind w:left="142" w:hanging="142"/>
        <w:rPr>
          <w:lang w:val="en-GB"/>
        </w:rPr>
      </w:pPr>
      <w:r>
        <w:rPr>
          <w:rStyle w:val="FootnoteReference"/>
        </w:rPr>
        <w:footnoteRef/>
      </w:r>
      <w:r w:rsidRPr="004D367B">
        <w:rPr>
          <w:lang w:val="en-GB"/>
        </w:rPr>
        <w:t xml:space="preserve"> </w:t>
      </w:r>
      <w:proofErr w:type="spellStart"/>
      <w:proofErr w:type="gramStart"/>
      <w:r w:rsidRPr="004D367B">
        <w:rPr>
          <w:lang w:val="en-GB"/>
        </w:rPr>
        <w:t>MoHFW</w:t>
      </w:r>
      <w:proofErr w:type="spellEnd"/>
      <w:r w:rsidRPr="004D367B">
        <w:rPr>
          <w:lang w:val="en-GB"/>
        </w:rPr>
        <w:t>, 2012.</w:t>
      </w:r>
      <w:proofErr w:type="gramEnd"/>
    </w:p>
  </w:footnote>
  <w:footnote w:id="106">
    <w:p w:rsidR="0060380E" w:rsidRPr="004D367B" w:rsidRDefault="0060380E" w:rsidP="009F7318">
      <w:pPr>
        <w:pStyle w:val="FootnoteText"/>
        <w:ind w:left="142" w:hanging="142"/>
        <w:rPr>
          <w:lang w:val="en-GB"/>
        </w:rPr>
      </w:pPr>
      <w:r>
        <w:rPr>
          <w:rStyle w:val="FootnoteReference"/>
        </w:rPr>
        <w:footnoteRef/>
      </w:r>
      <w:r w:rsidRPr="004D367B">
        <w:rPr>
          <w:lang w:val="en-GB"/>
        </w:rPr>
        <w:t xml:space="preserve"> </w:t>
      </w:r>
      <w:proofErr w:type="spellStart"/>
      <w:proofErr w:type="gramStart"/>
      <w:r w:rsidRPr="004D367B">
        <w:rPr>
          <w:lang w:val="en-GB"/>
        </w:rPr>
        <w:t>MoHFW</w:t>
      </w:r>
      <w:proofErr w:type="spellEnd"/>
      <w:r w:rsidRPr="004D367B">
        <w:rPr>
          <w:lang w:val="en-GB"/>
        </w:rPr>
        <w:t>, 2008.</w:t>
      </w:r>
      <w:proofErr w:type="gramEnd"/>
    </w:p>
  </w:footnote>
  <w:footnote w:id="107">
    <w:p w:rsidR="0060380E" w:rsidRDefault="0060380E" w:rsidP="009F7318">
      <w:pPr>
        <w:pStyle w:val="FootnoteText"/>
        <w:ind w:left="142" w:hanging="142"/>
      </w:pPr>
      <w:r>
        <w:rPr>
          <w:rStyle w:val="FootnoteReference"/>
        </w:rPr>
        <w:footnoteRef/>
      </w:r>
      <w:r>
        <w:t xml:space="preserve"> </w:t>
      </w:r>
      <w:r w:rsidRPr="00655137">
        <w:rPr>
          <w:rFonts w:eastAsia="Calibri"/>
        </w:rPr>
        <w:t>J Martinez</w:t>
      </w:r>
      <w:r>
        <w:rPr>
          <w:rFonts w:eastAsia="Calibri"/>
        </w:rPr>
        <w:t xml:space="preserve"> et al</w:t>
      </w:r>
      <w:r w:rsidRPr="00655137">
        <w:rPr>
          <w:rFonts w:eastAsia="Calibri"/>
        </w:rPr>
        <w:t xml:space="preserve">, </w:t>
      </w:r>
      <w:r w:rsidRPr="00655137">
        <w:rPr>
          <w:rFonts w:eastAsia="Calibri"/>
          <w:i/>
        </w:rPr>
        <w:t>Overall assessment for Mid Term Review of Health Strategic Plan 2008-15,</w:t>
      </w:r>
      <w:r w:rsidRPr="00655137">
        <w:rPr>
          <w:rFonts w:eastAsia="Calibri"/>
        </w:rPr>
        <w:t xml:space="preserve"> HLSP, London, 2011.</w:t>
      </w:r>
    </w:p>
  </w:footnote>
  <w:footnote w:id="108">
    <w:p w:rsidR="0060380E" w:rsidRPr="00C729DE" w:rsidRDefault="0060380E" w:rsidP="009F7318">
      <w:pPr>
        <w:pStyle w:val="FootnoteText"/>
        <w:ind w:left="142" w:hanging="142"/>
        <w:rPr>
          <w:rFonts w:eastAsia="Calibri"/>
        </w:rPr>
      </w:pPr>
      <w:r>
        <w:rPr>
          <w:rStyle w:val="FootnoteReference"/>
        </w:rPr>
        <w:footnoteRef/>
      </w:r>
      <w:r>
        <w:t xml:space="preserve"> </w:t>
      </w:r>
      <w:r w:rsidRPr="00655137">
        <w:rPr>
          <w:rFonts w:eastAsia="Calibri"/>
        </w:rPr>
        <w:t>Martinez</w:t>
      </w:r>
      <w:r>
        <w:rPr>
          <w:rFonts w:eastAsia="Calibri"/>
        </w:rPr>
        <w:t xml:space="preserve"> et al, 2011.</w:t>
      </w:r>
    </w:p>
  </w:footnote>
  <w:footnote w:id="109">
    <w:p w:rsidR="0060380E" w:rsidRPr="00C729DE" w:rsidRDefault="0060380E" w:rsidP="009F7318">
      <w:pPr>
        <w:pStyle w:val="FootnoteText"/>
        <w:ind w:left="142" w:hanging="142"/>
        <w:rPr>
          <w:rFonts w:eastAsia="Calibri"/>
        </w:rPr>
      </w:pPr>
      <w:r>
        <w:rPr>
          <w:rStyle w:val="FootnoteReference"/>
        </w:rPr>
        <w:footnoteRef/>
      </w:r>
      <w:r>
        <w:t xml:space="preserve"> </w:t>
      </w:r>
      <w:r w:rsidRPr="00655137">
        <w:rPr>
          <w:rFonts w:eastAsia="Calibri"/>
        </w:rPr>
        <w:t xml:space="preserve">D </w:t>
      </w:r>
      <w:proofErr w:type="spellStart"/>
      <w:r w:rsidRPr="00655137">
        <w:rPr>
          <w:rFonts w:eastAsia="Calibri"/>
        </w:rPr>
        <w:t>Vaillancourt</w:t>
      </w:r>
      <w:proofErr w:type="spellEnd"/>
      <w:r w:rsidRPr="00655137">
        <w:rPr>
          <w:rFonts w:eastAsia="Calibri"/>
        </w:rPr>
        <w:t xml:space="preserve">, A Land &amp; D </w:t>
      </w:r>
      <w:proofErr w:type="spellStart"/>
      <w:r w:rsidRPr="00655137">
        <w:rPr>
          <w:rFonts w:eastAsia="Calibri"/>
        </w:rPr>
        <w:t>Shuey</w:t>
      </w:r>
      <w:proofErr w:type="spellEnd"/>
      <w:r w:rsidRPr="00655137">
        <w:rPr>
          <w:rFonts w:eastAsia="Calibri"/>
        </w:rPr>
        <w:t>, Aid effectiveness in Cambodia’s health sector: an assessment of the sector-wide management (</w:t>
      </w:r>
      <w:proofErr w:type="spellStart"/>
      <w:r w:rsidRPr="00655137">
        <w:rPr>
          <w:rFonts w:eastAsia="Calibri"/>
        </w:rPr>
        <w:t>SWiM</w:t>
      </w:r>
      <w:proofErr w:type="spellEnd"/>
      <w:r w:rsidRPr="00655137">
        <w:rPr>
          <w:rFonts w:eastAsia="Calibri"/>
        </w:rPr>
        <w:t xml:space="preserve">) approach and its effect on sector performance and outcomes, 2011 (Draft). </w:t>
      </w:r>
    </w:p>
  </w:footnote>
  <w:footnote w:id="110">
    <w:p w:rsidR="0060380E" w:rsidRPr="00E60C43" w:rsidRDefault="0060380E" w:rsidP="009F7318">
      <w:pPr>
        <w:pStyle w:val="FootnoteText"/>
        <w:ind w:left="142" w:hanging="142"/>
        <w:rPr>
          <w:lang w:val="fr-FR"/>
        </w:rPr>
      </w:pPr>
      <w:r>
        <w:rPr>
          <w:rStyle w:val="FootnoteReference"/>
        </w:rPr>
        <w:footnoteRef/>
      </w:r>
      <w:r w:rsidRPr="00E60C43">
        <w:rPr>
          <w:lang w:val="fr-FR"/>
        </w:rPr>
        <w:t xml:space="preserve"> AusAID, 2011.</w:t>
      </w:r>
    </w:p>
  </w:footnote>
  <w:footnote w:id="111">
    <w:p w:rsidR="0060380E" w:rsidRPr="00E60C43" w:rsidRDefault="0060380E" w:rsidP="009F7318">
      <w:pPr>
        <w:pStyle w:val="FootnoteText"/>
        <w:ind w:left="142" w:hanging="142"/>
        <w:rPr>
          <w:rFonts w:eastAsia="Calibri"/>
          <w:lang w:val="fr-FR"/>
        </w:rPr>
      </w:pPr>
      <w:r>
        <w:rPr>
          <w:rStyle w:val="FootnoteReference"/>
        </w:rPr>
        <w:footnoteRef/>
      </w:r>
      <w:r w:rsidRPr="00E60C43">
        <w:rPr>
          <w:lang w:val="fr-FR"/>
        </w:rPr>
        <w:t xml:space="preserve"> </w:t>
      </w:r>
      <w:r w:rsidRPr="00E60C43">
        <w:rPr>
          <w:rFonts w:eastAsia="Calibri"/>
          <w:lang w:val="fr-FR"/>
        </w:rPr>
        <w:t>AusAID, 2012.</w:t>
      </w:r>
    </w:p>
  </w:footnote>
  <w:footnote w:id="112">
    <w:p w:rsidR="0060380E" w:rsidRPr="00E60C43" w:rsidRDefault="0060380E" w:rsidP="009F7318">
      <w:pPr>
        <w:pStyle w:val="FootnoteText"/>
        <w:ind w:left="142" w:hanging="142"/>
        <w:rPr>
          <w:rFonts w:eastAsia="Calibri"/>
          <w:lang w:val="fr-FR"/>
        </w:rPr>
      </w:pPr>
      <w:r>
        <w:rPr>
          <w:rStyle w:val="FootnoteReference"/>
        </w:rPr>
        <w:footnoteRef/>
      </w:r>
      <w:r w:rsidRPr="00E60C43">
        <w:rPr>
          <w:lang w:val="fr-FR"/>
        </w:rPr>
        <w:t xml:space="preserve"> </w:t>
      </w:r>
      <w:r w:rsidRPr="00E60C43">
        <w:rPr>
          <w:rFonts w:eastAsia="Calibri"/>
          <w:lang w:val="fr-FR"/>
        </w:rPr>
        <w:t xml:space="preserve">Vaillancourt &amp; </w:t>
      </w:r>
      <w:proofErr w:type="spellStart"/>
      <w:r w:rsidRPr="00E60C43">
        <w:rPr>
          <w:rFonts w:eastAsia="Calibri"/>
          <w:lang w:val="fr-FR"/>
        </w:rPr>
        <w:t>Pokhrel</w:t>
      </w:r>
      <w:proofErr w:type="spellEnd"/>
      <w:r w:rsidRPr="00E60C43">
        <w:rPr>
          <w:rFonts w:eastAsia="Calibri"/>
          <w:lang w:val="fr-FR"/>
        </w:rPr>
        <w:t>, 2012.</w:t>
      </w:r>
    </w:p>
  </w:footnote>
  <w:footnote w:id="113">
    <w:p w:rsidR="0060380E" w:rsidRPr="00E60C43" w:rsidRDefault="0060380E" w:rsidP="009F7318">
      <w:pPr>
        <w:pStyle w:val="FootnoteText"/>
        <w:ind w:left="142" w:hanging="142"/>
        <w:rPr>
          <w:lang w:val="fr-FR"/>
        </w:rPr>
      </w:pPr>
      <w:r>
        <w:rPr>
          <w:rStyle w:val="FootnoteReference"/>
        </w:rPr>
        <w:footnoteRef/>
      </w:r>
      <w:r w:rsidRPr="00E60C43">
        <w:rPr>
          <w:lang w:val="fr-FR"/>
        </w:rPr>
        <w:t xml:space="preserve"> Vaillancourt, 2012 (</w:t>
      </w:r>
      <w:proofErr w:type="spellStart"/>
      <w:r w:rsidRPr="00E60C43">
        <w:rPr>
          <w:lang w:val="fr-FR"/>
        </w:rPr>
        <w:t>Appendix</w:t>
      </w:r>
      <w:proofErr w:type="spellEnd"/>
      <w:r w:rsidRPr="00E60C43">
        <w:rPr>
          <w:lang w:val="fr-FR"/>
        </w:rPr>
        <w:t xml:space="preserve"> 3); Davies, 2013.</w:t>
      </w:r>
    </w:p>
  </w:footnote>
  <w:footnote w:id="114">
    <w:p w:rsidR="0060380E" w:rsidRPr="00E60C43" w:rsidRDefault="0060380E" w:rsidP="009F7318">
      <w:pPr>
        <w:pStyle w:val="FootnoteText"/>
        <w:ind w:left="142" w:hanging="142"/>
        <w:rPr>
          <w:lang w:val="fr-FR"/>
        </w:rPr>
      </w:pPr>
      <w:r>
        <w:rPr>
          <w:rStyle w:val="FootnoteReference"/>
        </w:rPr>
        <w:footnoteRef/>
      </w:r>
      <w:r w:rsidRPr="00E60C43">
        <w:rPr>
          <w:lang w:val="fr-FR"/>
        </w:rPr>
        <w:t xml:space="preserve"> Vaillancourt, 2012 (</w:t>
      </w:r>
      <w:proofErr w:type="spellStart"/>
      <w:r w:rsidRPr="00E60C43">
        <w:rPr>
          <w:lang w:val="fr-FR"/>
        </w:rPr>
        <w:t>Appendix</w:t>
      </w:r>
      <w:proofErr w:type="spellEnd"/>
      <w:r w:rsidRPr="00E60C43">
        <w:rPr>
          <w:lang w:val="fr-FR"/>
        </w:rPr>
        <w:t xml:space="preserve"> 3); Tyson, 2011.</w:t>
      </w:r>
    </w:p>
  </w:footnote>
  <w:footnote w:id="115">
    <w:p w:rsidR="0060380E" w:rsidRPr="00E60C43" w:rsidRDefault="0060380E" w:rsidP="009F7318">
      <w:pPr>
        <w:pStyle w:val="FootnoteText"/>
        <w:ind w:left="142" w:hanging="142"/>
        <w:rPr>
          <w:lang w:val="fr-FR"/>
        </w:rPr>
      </w:pPr>
      <w:r>
        <w:rPr>
          <w:rStyle w:val="FootnoteReference"/>
        </w:rPr>
        <w:footnoteRef/>
      </w:r>
      <w:r w:rsidRPr="00E60C43">
        <w:rPr>
          <w:lang w:val="fr-FR"/>
        </w:rPr>
        <w:t xml:space="preserve"> DFAT, 2013.</w:t>
      </w:r>
    </w:p>
  </w:footnote>
  <w:footnote w:id="116">
    <w:p w:rsidR="0060380E" w:rsidRPr="00E60C43" w:rsidRDefault="0060380E" w:rsidP="009F7318">
      <w:pPr>
        <w:pStyle w:val="FootnoteText"/>
        <w:rPr>
          <w:lang w:val="fr-FR"/>
        </w:rPr>
      </w:pPr>
      <w:r w:rsidRPr="00031F22">
        <w:rPr>
          <w:rStyle w:val="FootnoteReference"/>
        </w:rPr>
        <w:footnoteRef/>
      </w:r>
      <w:r w:rsidRPr="00E60C43">
        <w:rPr>
          <w:vertAlign w:val="superscript"/>
          <w:lang w:val="fr-FR"/>
        </w:rPr>
        <w:t xml:space="preserve"> </w:t>
      </w:r>
      <w:proofErr w:type="spellStart"/>
      <w:r w:rsidRPr="00E60C43">
        <w:rPr>
          <w:lang w:val="fr-FR"/>
        </w:rPr>
        <w:t>MoHFW</w:t>
      </w:r>
      <w:proofErr w:type="spellEnd"/>
      <w:r w:rsidRPr="00E60C43">
        <w:rPr>
          <w:lang w:val="fr-FR"/>
        </w:rPr>
        <w:t>, 201.3</w:t>
      </w:r>
    </w:p>
  </w:footnote>
  <w:footnote w:id="117">
    <w:p w:rsidR="0060380E" w:rsidRPr="00E60C43" w:rsidRDefault="0060380E" w:rsidP="009F7318">
      <w:pPr>
        <w:pStyle w:val="FootnoteText"/>
        <w:rPr>
          <w:lang w:val="fr-FR"/>
        </w:rPr>
      </w:pPr>
      <w:r w:rsidRPr="00031F22">
        <w:rPr>
          <w:rStyle w:val="FootnoteReference"/>
        </w:rPr>
        <w:footnoteRef/>
      </w:r>
      <w:r w:rsidRPr="00E60C43">
        <w:rPr>
          <w:vertAlign w:val="superscript"/>
          <w:lang w:val="fr-FR"/>
        </w:rPr>
        <w:t xml:space="preserve"> </w:t>
      </w:r>
      <w:proofErr w:type="spellStart"/>
      <w:r w:rsidRPr="00E60C43">
        <w:rPr>
          <w:lang w:val="fr-FR"/>
        </w:rPr>
        <w:t>MoHFW</w:t>
      </w:r>
      <w:proofErr w:type="spellEnd"/>
      <w:r w:rsidRPr="00E60C43">
        <w:rPr>
          <w:lang w:val="fr-FR"/>
        </w:rPr>
        <w:t xml:space="preserve">, 2008; </w:t>
      </w:r>
      <w:proofErr w:type="spellStart"/>
      <w:r w:rsidRPr="00E60C43">
        <w:rPr>
          <w:lang w:val="fr-FR"/>
        </w:rPr>
        <w:t>MoHFW</w:t>
      </w:r>
      <w:proofErr w:type="spellEnd"/>
      <w:r w:rsidRPr="00E60C43">
        <w:rPr>
          <w:lang w:val="fr-FR"/>
        </w:rPr>
        <w:t xml:space="preserve">, 2012; </w:t>
      </w:r>
      <w:proofErr w:type="spellStart"/>
      <w:r w:rsidRPr="00E60C43">
        <w:rPr>
          <w:lang w:val="fr-FR"/>
        </w:rPr>
        <w:t>MoHFW</w:t>
      </w:r>
      <w:proofErr w:type="spellEnd"/>
      <w:r w:rsidRPr="00E60C43">
        <w:rPr>
          <w:lang w:val="fr-FR"/>
        </w:rPr>
        <w:t>, 2013.</w:t>
      </w:r>
    </w:p>
  </w:footnote>
  <w:footnote w:id="118">
    <w:p w:rsidR="0060380E" w:rsidRPr="00FE587C" w:rsidRDefault="0060380E" w:rsidP="009F7318">
      <w:pPr>
        <w:pStyle w:val="FootnoteText"/>
        <w:rPr>
          <w:lang w:val="fr-FR"/>
        </w:rPr>
      </w:pPr>
      <w:r w:rsidRPr="00031F22">
        <w:rPr>
          <w:rStyle w:val="FootnoteReference"/>
        </w:rPr>
        <w:footnoteRef/>
      </w:r>
      <w:r w:rsidRPr="00FE587C">
        <w:rPr>
          <w:vertAlign w:val="superscript"/>
          <w:lang w:val="fr-FR"/>
        </w:rPr>
        <w:t xml:space="preserve"> </w:t>
      </w:r>
      <w:r w:rsidRPr="00FE587C">
        <w:rPr>
          <w:lang w:val="fr-FR"/>
        </w:rPr>
        <w:t>Vaillancourt, 2011; p.22</w:t>
      </w:r>
      <w:r>
        <w:rPr>
          <w:lang w:val="fr-FR"/>
        </w:rPr>
        <w:t>.</w:t>
      </w:r>
    </w:p>
  </w:footnote>
  <w:footnote w:id="119">
    <w:p w:rsidR="0060380E" w:rsidRPr="00FE587C" w:rsidRDefault="0060380E" w:rsidP="009F7318">
      <w:pPr>
        <w:pStyle w:val="FootnoteText"/>
        <w:rPr>
          <w:lang w:val="fr-FR"/>
        </w:rPr>
      </w:pPr>
      <w:r w:rsidRPr="00031F22">
        <w:rPr>
          <w:rStyle w:val="FootnoteReference"/>
        </w:rPr>
        <w:footnoteRef/>
      </w:r>
      <w:r w:rsidRPr="00FE587C">
        <w:rPr>
          <w:lang w:val="fr-FR"/>
        </w:rPr>
        <w:t xml:space="preserve"> AusAID, 2012</w:t>
      </w:r>
      <w:r>
        <w:rPr>
          <w:lang w:val="fr-FR"/>
        </w:rPr>
        <w:t>.</w:t>
      </w:r>
    </w:p>
  </w:footnote>
  <w:footnote w:id="120">
    <w:p w:rsidR="0060380E" w:rsidRPr="00FE587C" w:rsidRDefault="0060380E" w:rsidP="009F7318">
      <w:pPr>
        <w:pStyle w:val="FootnoteText"/>
        <w:rPr>
          <w:lang w:val="fr-FR"/>
        </w:rPr>
      </w:pPr>
      <w:r w:rsidRPr="00031F22">
        <w:rPr>
          <w:rStyle w:val="FootnoteReference"/>
        </w:rPr>
        <w:footnoteRef/>
      </w:r>
      <w:r w:rsidRPr="00FE587C">
        <w:rPr>
          <w:lang w:val="fr-FR"/>
        </w:rPr>
        <w:t xml:space="preserve"> Vaillancourt &amp; </w:t>
      </w:r>
      <w:proofErr w:type="spellStart"/>
      <w:r w:rsidRPr="00FE587C">
        <w:rPr>
          <w:lang w:val="fr-FR"/>
        </w:rPr>
        <w:t>Pokhrel</w:t>
      </w:r>
      <w:proofErr w:type="spellEnd"/>
      <w:r w:rsidRPr="00FE587C">
        <w:rPr>
          <w:lang w:val="fr-FR"/>
        </w:rPr>
        <w:t>, 2012</w:t>
      </w:r>
      <w:r>
        <w:rPr>
          <w:lang w:val="fr-FR"/>
        </w:rPr>
        <w:t>.</w:t>
      </w:r>
    </w:p>
  </w:footnote>
  <w:footnote w:id="121">
    <w:p w:rsidR="0060380E" w:rsidRPr="00031F22" w:rsidRDefault="0060380E" w:rsidP="009F7318">
      <w:pPr>
        <w:pStyle w:val="FootnoteText"/>
      </w:pPr>
      <w:r w:rsidRPr="00031F22">
        <w:rPr>
          <w:rStyle w:val="FootnoteReference"/>
        </w:rPr>
        <w:footnoteRef/>
      </w:r>
      <w:r w:rsidRPr="00031F22">
        <w:t xml:space="preserve"> </w:t>
      </w:r>
      <w:proofErr w:type="gramStart"/>
      <w:r w:rsidRPr="00031F22">
        <w:t>AusAID, 2012</w:t>
      </w:r>
      <w:r>
        <w:t>.</w:t>
      </w:r>
      <w:proofErr w:type="gramEnd"/>
    </w:p>
  </w:footnote>
  <w:footnote w:id="122">
    <w:p w:rsidR="0060380E" w:rsidRDefault="0060380E" w:rsidP="009F7318">
      <w:pPr>
        <w:pStyle w:val="FootnoteText"/>
      </w:pPr>
      <w:r w:rsidRPr="00031F22">
        <w:rPr>
          <w:rStyle w:val="FootnoteReference"/>
        </w:rPr>
        <w:footnoteRef/>
      </w:r>
      <w:r w:rsidRPr="00031F22">
        <w:rPr>
          <w:vertAlign w:val="superscript"/>
        </w:rPr>
        <w:t xml:space="preserve"> </w:t>
      </w:r>
      <w:proofErr w:type="spellStart"/>
      <w:proofErr w:type="gramStart"/>
      <w:r w:rsidRPr="00031F22">
        <w:t>Janovsky</w:t>
      </w:r>
      <w:proofErr w:type="spellEnd"/>
      <w:r w:rsidRPr="00031F22">
        <w:t>, 2010a</w:t>
      </w:r>
      <w:r>
        <w:t>.</w:t>
      </w:r>
      <w:proofErr w:type="gramEnd"/>
    </w:p>
  </w:footnote>
  <w:footnote w:id="123">
    <w:p w:rsidR="0060380E" w:rsidRDefault="0060380E" w:rsidP="009F7318">
      <w:pPr>
        <w:pStyle w:val="FootnoteText"/>
      </w:pPr>
      <w:r>
        <w:rPr>
          <w:rStyle w:val="FootnoteReference"/>
        </w:rPr>
        <w:footnoteRef/>
      </w:r>
      <w:r>
        <w:t xml:space="preserve"> </w:t>
      </w:r>
      <w:proofErr w:type="spellStart"/>
      <w:proofErr w:type="gramStart"/>
      <w:r>
        <w:t>Janovsky</w:t>
      </w:r>
      <w:proofErr w:type="spellEnd"/>
      <w:r>
        <w:t>, 2010b.</w:t>
      </w:r>
      <w:proofErr w:type="gramEnd"/>
    </w:p>
  </w:footnote>
  <w:footnote w:id="124">
    <w:p w:rsidR="0060380E" w:rsidRPr="00FE587C" w:rsidRDefault="0060380E" w:rsidP="009F7318">
      <w:pPr>
        <w:pStyle w:val="FootnoteText"/>
        <w:rPr>
          <w:lang w:val="fr-FR"/>
        </w:rPr>
      </w:pPr>
      <w:r>
        <w:rPr>
          <w:rStyle w:val="FootnoteReference"/>
        </w:rPr>
        <w:footnoteRef/>
      </w:r>
      <w:r w:rsidRPr="00FE587C">
        <w:rPr>
          <w:lang w:val="fr-FR"/>
        </w:rPr>
        <w:t xml:space="preserve"> </w:t>
      </w:r>
      <w:proofErr w:type="spellStart"/>
      <w:r w:rsidRPr="00FE587C">
        <w:rPr>
          <w:lang w:val="fr-FR"/>
        </w:rPr>
        <w:t>Janovsky</w:t>
      </w:r>
      <w:proofErr w:type="spellEnd"/>
      <w:r w:rsidRPr="00FE587C">
        <w:rPr>
          <w:lang w:val="fr-FR"/>
        </w:rPr>
        <w:t xml:space="preserve"> 2010a and 2010b</w:t>
      </w:r>
      <w:r>
        <w:rPr>
          <w:lang w:val="fr-FR"/>
        </w:rPr>
        <w:t>.</w:t>
      </w:r>
    </w:p>
  </w:footnote>
  <w:footnote w:id="125">
    <w:p w:rsidR="0060380E" w:rsidRPr="00FE587C" w:rsidRDefault="0060380E" w:rsidP="009F7318">
      <w:pPr>
        <w:pStyle w:val="FootnoteText"/>
        <w:rPr>
          <w:lang w:val="fr-FR"/>
        </w:rPr>
      </w:pPr>
      <w:r>
        <w:rPr>
          <w:rStyle w:val="FootnoteReference"/>
        </w:rPr>
        <w:footnoteRef/>
      </w:r>
      <w:r w:rsidRPr="00FE587C">
        <w:rPr>
          <w:lang w:val="fr-FR"/>
        </w:rPr>
        <w:t xml:space="preserve"> Vaillancourt, 2012</w:t>
      </w:r>
      <w:r>
        <w:rPr>
          <w:lang w:val="fr-FR"/>
        </w:rPr>
        <w:t xml:space="preserve">, </w:t>
      </w:r>
      <w:proofErr w:type="spellStart"/>
      <w:r>
        <w:rPr>
          <w:lang w:val="fr-FR"/>
        </w:rPr>
        <w:t>Appendix</w:t>
      </w:r>
      <w:proofErr w:type="spellEnd"/>
      <w:r>
        <w:rPr>
          <w:lang w:val="fr-FR"/>
        </w:rPr>
        <w:t xml:space="preserve"> 3</w:t>
      </w:r>
      <w:r w:rsidRPr="00FE587C">
        <w:rPr>
          <w:lang w:val="fr-FR"/>
        </w:rPr>
        <w:t xml:space="preserve"> p.20</w:t>
      </w:r>
      <w:r>
        <w:rPr>
          <w:lang w:val="fr-FR"/>
        </w:rPr>
        <w:t>.</w:t>
      </w:r>
    </w:p>
  </w:footnote>
  <w:footnote w:id="126">
    <w:p w:rsidR="0060380E" w:rsidRPr="00FE587C" w:rsidRDefault="0060380E" w:rsidP="009F7318">
      <w:pPr>
        <w:pStyle w:val="FootnoteText"/>
        <w:rPr>
          <w:lang w:val="fr-FR"/>
        </w:rPr>
      </w:pPr>
      <w:r>
        <w:rPr>
          <w:rStyle w:val="FootnoteReference"/>
        </w:rPr>
        <w:footnoteRef/>
      </w:r>
      <w:r w:rsidRPr="00FE587C">
        <w:rPr>
          <w:lang w:val="fr-FR"/>
        </w:rPr>
        <w:t xml:space="preserve"> Vaillancourt, 2012</w:t>
      </w:r>
      <w:r>
        <w:rPr>
          <w:lang w:val="fr-FR"/>
        </w:rPr>
        <w:t xml:space="preserve">, </w:t>
      </w:r>
      <w:proofErr w:type="spellStart"/>
      <w:r>
        <w:rPr>
          <w:lang w:val="fr-FR"/>
        </w:rPr>
        <w:t>Appendix</w:t>
      </w:r>
      <w:proofErr w:type="spellEnd"/>
      <w:r>
        <w:rPr>
          <w:lang w:val="fr-FR"/>
        </w:rPr>
        <w:t xml:space="preserve"> 3</w:t>
      </w:r>
      <w:r w:rsidRPr="00FE587C">
        <w:rPr>
          <w:lang w:val="fr-FR"/>
        </w:rPr>
        <w:t xml:space="preserve"> p.20</w:t>
      </w:r>
      <w:r>
        <w:rPr>
          <w:lang w:val="fr-FR"/>
        </w:rPr>
        <w:t>.</w:t>
      </w:r>
    </w:p>
  </w:footnote>
  <w:footnote w:id="127">
    <w:p w:rsidR="0060380E" w:rsidRPr="00E60C43" w:rsidRDefault="0060380E" w:rsidP="009F7318">
      <w:pPr>
        <w:pStyle w:val="FootnoteText"/>
        <w:rPr>
          <w:lang w:val="fr-FR"/>
        </w:rPr>
      </w:pPr>
      <w:r>
        <w:rPr>
          <w:rStyle w:val="FootnoteReference"/>
        </w:rPr>
        <w:footnoteRef/>
      </w:r>
      <w:r w:rsidRPr="00E60C43">
        <w:rPr>
          <w:lang w:val="fr-FR"/>
        </w:rPr>
        <w:t xml:space="preserve"> Tyson, 2011.</w:t>
      </w:r>
    </w:p>
  </w:footnote>
  <w:footnote w:id="128">
    <w:p w:rsidR="0060380E" w:rsidRPr="00E60C43" w:rsidRDefault="0060380E" w:rsidP="009F7318">
      <w:pPr>
        <w:pStyle w:val="FootnoteText"/>
        <w:rPr>
          <w:lang w:val="fr-FR"/>
        </w:rPr>
      </w:pPr>
      <w:r>
        <w:rPr>
          <w:rStyle w:val="FootnoteReference"/>
        </w:rPr>
        <w:footnoteRef/>
      </w:r>
      <w:r w:rsidRPr="00E60C43">
        <w:rPr>
          <w:lang w:val="fr-FR"/>
        </w:rPr>
        <w:t xml:space="preserve"> Tyson, 2011.</w:t>
      </w:r>
    </w:p>
  </w:footnote>
  <w:footnote w:id="129">
    <w:p w:rsidR="0060380E" w:rsidRPr="00E60C43" w:rsidRDefault="0060380E" w:rsidP="009F7318">
      <w:pPr>
        <w:pStyle w:val="FootnoteText"/>
        <w:rPr>
          <w:rStyle w:val="FootnoteReference"/>
          <w:lang w:val="fr-FR"/>
        </w:rPr>
      </w:pPr>
      <w:r w:rsidRPr="00297D91">
        <w:rPr>
          <w:rStyle w:val="FootnoteReference"/>
        </w:rPr>
        <w:footnoteRef/>
      </w:r>
      <w:r w:rsidRPr="00E60C43">
        <w:rPr>
          <w:rStyle w:val="FootnoteReference"/>
          <w:lang w:val="fr-FR"/>
        </w:rPr>
        <w:t xml:space="preserve"> </w:t>
      </w:r>
      <w:proofErr w:type="spellStart"/>
      <w:r w:rsidRPr="00E60C43">
        <w:rPr>
          <w:rStyle w:val="FootnoteReference"/>
          <w:vertAlign w:val="baseline"/>
          <w:lang w:val="fr-FR"/>
        </w:rPr>
        <w:t>MoHFW</w:t>
      </w:r>
      <w:proofErr w:type="spellEnd"/>
      <w:r w:rsidRPr="00E60C43">
        <w:rPr>
          <w:rStyle w:val="FootnoteReference"/>
          <w:vertAlign w:val="baseline"/>
          <w:lang w:val="fr-FR"/>
        </w:rPr>
        <w:t>, 2007, Martinez, 2008</w:t>
      </w:r>
      <w:r w:rsidRPr="00E60C43">
        <w:rPr>
          <w:lang w:val="fr-FR"/>
        </w:rPr>
        <w:t>.</w:t>
      </w:r>
    </w:p>
  </w:footnote>
  <w:footnote w:id="130">
    <w:p w:rsidR="0060380E" w:rsidRPr="00E60C43" w:rsidRDefault="0060380E" w:rsidP="009F7318">
      <w:pPr>
        <w:pStyle w:val="FootnoteText"/>
        <w:rPr>
          <w:rStyle w:val="FootnoteReference"/>
          <w:lang w:val="fr-FR"/>
        </w:rPr>
      </w:pPr>
      <w:r w:rsidRPr="00297D91">
        <w:rPr>
          <w:rStyle w:val="FootnoteReference"/>
        </w:rPr>
        <w:footnoteRef/>
      </w:r>
      <w:r w:rsidRPr="00E60C43">
        <w:rPr>
          <w:rStyle w:val="FootnoteReference"/>
          <w:lang w:val="fr-FR"/>
        </w:rPr>
        <w:t xml:space="preserve"> </w:t>
      </w:r>
      <w:r w:rsidRPr="00E60C43">
        <w:rPr>
          <w:rStyle w:val="FootnoteReference"/>
          <w:rFonts w:eastAsia="Calibri"/>
          <w:vertAlign w:val="baseline"/>
          <w:lang w:val="fr-FR"/>
        </w:rPr>
        <w:t>Martinez et al, 2011</w:t>
      </w:r>
      <w:r w:rsidRPr="00E60C43">
        <w:rPr>
          <w:rFonts w:eastAsia="Calibri"/>
          <w:lang w:val="fr-FR"/>
        </w:rPr>
        <w:t>.</w:t>
      </w:r>
    </w:p>
  </w:footnote>
  <w:footnote w:id="131">
    <w:p w:rsidR="0060380E" w:rsidRPr="00E60C43" w:rsidRDefault="0060380E" w:rsidP="009F7318">
      <w:pPr>
        <w:pStyle w:val="FootnoteText"/>
        <w:rPr>
          <w:rStyle w:val="FootnoteReference"/>
          <w:lang w:val="fr-FR"/>
        </w:rPr>
      </w:pPr>
      <w:r w:rsidRPr="00297D91">
        <w:rPr>
          <w:rStyle w:val="FootnoteReference"/>
        </w:rPr>
        <w:footnoteRef/>
      </w:r>
      <w:r w:rsidRPr="00E60C43">
        <w:rPr>
          <w:rStyle w:val="FootnoteReference"/>
          <w:lang w:val="fr-FR"/>
        </w:rPr>
        <w:t xml:space="preserve"> </w:t>
      </w:r>
      <w:r w:rsidRPr="00E60C43">
        <w:rPr>
          <w:rStyle w:val="FootnoteReference"/>
          <w:rFonts w:eastAsia="Calibri"/>
          <w:vertAlign w:val="baseline"/>
          <w:lang w:val="fr-FR"/>
        </w:rPr>
        <w:t>Martinez et al, 2011</w:t>
      </w:r>
      <w:r w:rsidRPr="00E60C43">
        <w:rPr>
          <w:rFonts w:eastAsia="Calibri"/>
          <w:lang w:val="fr-FR"/>
        </w:rPr>
        <w:t>.</w:t>
      </w:r>
    </w:p>
  </w:footnote>
  <w:footnote w:id="132">
    <w:p w:rsidR="0060380E" w:rsidRPr="00E60C43" w:rsidRDefault="0060380E" w:rsidP="009F7318">
      <w:pPr>
        <w:pStyle w:val="FootnoteText"/>
        <w:rPr>
          <w:rFonts w:eastAsia="Calibri"/>
          <w:lang w:val="fr-FR"/>
        </w:rPr>
      </w:pPr>
      <w:r w:rsidRPr="00297D91">
        <w:rPr>
          <w:rStyle w:val="FootnoteReference"/>
        </w:rPr>
        <w:footnoteRef/>
      </w:r>
      <w:r w:rsidRPr="00E60C43">
        <w:rPr>
          <w:rStyle w:val="FootnoteReference"/>
          <w:lang w:val="fr-FR"/>
        </w:rPr>
        <w:t xml:space="preserve"> </w:t>
      </w:r>
      <w:r w:rsidRPr="00E60C43">
        <w:rPr>
          <w:rStyle w:val="FootnoteReference"/>
          <w:rFonts w:eastAsia="Calibri"/>
          <w:vertAlign w:val="baseline"/>
          <w:lang w:val="fr-FR"/>
        </w:rPr>
        <w:t xml:space="preserve">C </w:t>
      </w:r>
      <w:proofErr w:type="spellStart"/>
      <w:r w:rsidRPr="00E60C43">
        <w:rPr>
          <w:rStyle w:val="FootnoteReference"/>
          <w:rFonts w:eastAsia="Calibri"/>
          <w:vertAlign w:val="baseline"/>
          <w:lang w:val="fr-FR"/>
        </w:rPr>
        <w:t>Örtendahl</w:t>
      </w:r>
      <w:proofErr w:type="spellEnd"/>
      <w:r w:rsidRPr="00E60C43">
        <w:rPr>
          <w:rStyle w:val="FootnoteReference"/>
          <w:rFonts w:eastAsia="Calibri"/>
          <w:vertAlign w:val="baseline"/>
          <w:lang w:val="fr-FR"/>
        </w:rPr>
        <w:t xml:space="preserve">, M </w:t>
      </w:r>
      <w:proofErr w:type="spellStart"/>
      <w:r w:rsidRPr="00E60C43">
        <w:rPr>
          <w:rStyle w:val="FootnoteReference"/>
          <w:rFonts w:eastAsia="Calibri"/>
          <w:vertAlign w:val="baseline"/>
          <w:lang w:val="fr-FR"/>
        </w:rPr>
        <w:t>Donoghue</w:t>
      </w:r>
      <w:proofErr w:type="spellEnd"/>
      <w:r w:rsidRPr="00E60C43">
        <w:rPr>
          <w:rStyle w:val="FootnoteReference"/>
          <w:rFonts w:eastAsia="Calibri"/>
          <w:vertAlign w:val="baseline"/>
          <w:lang w:val="fr-FR"/>
        </w:rPr>
        <w:t xml:space="preserve">, M Pearson, J Lau, </w:t>
      </w:r>
      <w:proofErr w:type="spellStart"/>
      <w:r w:rsidRPr="00E60C43">
        <w:rPr>
          <w:rStyle w:val="FootnoteReference"/>
          <w:rFonts w:eastAsia="Calibri"/>
          <w:i/>
          <w:vertAlign w:val="baseline"/>
          <w:lang w:val="fr-FR"/>
        </w:rPr>
        <w:t>Health</w:t>
      </w:r>
      <w:proofErr w:type="spellEnd"/>
      <w:r w:rsidRPr="00E60C43">
        <w:rPr>
          <w:rStyle w:val="FootnoteReference"/>
          <w:rFonts w:eastAsia="Calibri"/>
          <w:i/>
          <w:vertAlign w:val="baseline"/>
          <w:lang w:val="fr-FR"/>
        </w:rPr>
        <w:t xml:space="preserve"> </w:t>
      </w:r>
      <w:proofErr w:type="spellStart"/>
      <w:r w:rsidRPr="00E60C43">
        <w:rPr>
          <w:rStyle w:val="FootnoteReference"/>
          <w:rFonts w:eastAsia="Calibri"/>
          <w:i/>
          <w:vertAlign w:val="baseline"/>
          <w:lang w:val="fr-FR"/>
        </w:rPr>
        <w:t>Sector</w:t>
      </w:r>
      <w:proofErr w:type="spellEnd"/>
      <w:r w:rsidRPr="00E60C43">
        <w:rPr>
          <w:rStyle w:val="FootnoteReference"/>
          <w:rFonts w:eastAsia="Calibri"/>
          <w:i/>
          <w:vertAlign w:val="baseline"/>
          <w:lang w:val="fr-FR"/>
        </w:rPr>
        <w:t xml:space="preserve"> </w:t>
      </w:r>
      <w:proofErr w:type="spellStart"/>
      <w:r w:rsidRPr="00E60C43">
        <w:rPr>
          <w:rStyle w:val="FootnoteReference"/>
          <w:rFonts w:eastAsia="Calibri"/>
          <w:i/>
          <w:vertAlign w:val="baseline"/>
          <w:lang w:val="fr-FR"/>
        </w:rPr>
        <w:t>Review</w:t>
      </w:r>
      <w:proofErr w:type="spellEnd"/>
      <w:r w:rsidRPr="00E60C43">
        <w:rPr>
          <w:rStyle w:val="FootnoteReference"/>
          <w:rFonts w:eastAsia="Calibri"/>
          <w:i/>
          <w:vertAlign w:val="baseline"/>
          <w:lang w:val="fr-FR"/>
        </w:rPr>
        <w:t xml:space="preserve"> 2003-2007</w:t>
      </w:r>
      <w:r w:rsidRPr="00E60C43">
        <w:rPr>
          <w:rStyle w:val="FootnoteReference"/>
          <w:rFonts w:eastAsia="Calibri"/>
          <w:vertAlign w:val="baseline"/>
          <w:lang w:val="fr-FR"/>
        </w:rPr>
        <w:t>, HLSP London August 200</w:t>
      </w:r>
      <w:r w:rsidRPr="00E60C43">
        <w:rPr>
          <w:rFonts w:eastAsia="Calibri"/>
          <w:lang w:val="fr-FR"/>
        </w:rPr>
        <w:t>7.</w:t>
      </w:r>
    </w:p>
  </w:footnote>
  <w:footnote w:id="133">
    <w:p w:rsidR="0060380E" w:rsidRDefault="0060380E" w:rsidP="009F7318">
      <w:pPr>
        <w:pStyle w:val="FootnoteText"/>
      </w:pPr>
      <w:r>
        <w:rPr>
          <w:rStyle w:val="FootnoteReference"/>
        </w:rPr>
        <w:footnoteRef/>
      </w:r>
      <w:r>
        <w:t xml:space="preserve"> </w:t>
      </w:r>
      <w:proofErr w:type="spellStart"/>
      <w:proofErr w:type="gramStart"/>
      <w:r w:rsidRPr="003505F7">
        <w:t>Vaillancourt</w:t>
      </w:r>
      <w:proofErr w:type="spellEnd"/>
      <w:r w:rsidRPr="003505F7">
        <w:t xml:space="preserve"> &amp; </w:t>
      </w:r>
      <w:proofErr w:type="spellStart"/>
      <w:r w:rsidRPr="003505F7">
        <w:t>Pokhrel</w:t>
      </w:r>
      <w:proofErr w:type="spellEnd"/>
      <w:r>
        <w:t>, 2012.</w:t>
      </w:r>
      <w:proofErr w:type="gramEnd"/>
    </w:p>
  </w:footnote>
  <w:footnote w:id="134">
    <w:p w:rsidR="0060380E" w:rsidRPr="00297D91" w:rsidRDefault="0060380E" w:rsidP="006B11B8">
      <w:pPr>
        <w:pStyle w:val="FootnoteText"/>
        <w:ind w:left="142" w:hanging="142"/>
        <w:rPr>
          <w:rFonts w:eastAsia="Calibri"/>
        </w:rPr>
      </w:pPr>
      <w:r>
        <w:rPr>
          <w:rStyle w:val="FootnoteReference"/>
        </w:rPr>
        <w:footnoteRef/>
      </w:r>
      <w:r>
        <w:t xml:space="preserve"> </w:t>
      </w:r>
      <w:proofErr w:type="gramStart"/>
      <w:r w:rsidRPr="00655137">
        <w:rPr>
          <w:rFonts w:eastAsia="Calibri"/>
        </w:rPr>
        <w:t>Department for International Development, Annual review of DFID support to the Natio</w:t>
      </w:r>
      <w:r>
        <w:rPr>
          <w:rFonts w:eastAsia="Calibri"/>
        </w:rPr>
        <w:t xml:space="preserve">nal Health Sector Programme II, </w:t>
      </w:r>
      <w:r w:rsidRPr="00655137">
        <w:rPr>
          <w:rFonts w:eastAsia="Calibri"/>
        </w:rPr>
        <w:t>Nepal, DFID, London, 2014.</w:t>
      </w:r>
      <w:proofErr w:type="gramEnd"/>
    </w:p>
  </w:footnote>
  <w:footnote w:id="135">
    <w:p w:rsidR="0060380E" w:rsidRDefault="0060380E" w:rsidP="009F7318">
      <w:pPr>
        <w:pStyle w:val="FootnoteText"/>
      </w:pPr>
      <w:r>
        <w:rPr>
          <w:rStyle w:val="FootnoteReference"/>
        </w:rPr>
        <w:footnoteRef/>
      </w:r>
      <w:r>
        <w:t xml:space="preserve"> </w:t>
      </w:r>
      <w:proofErr w:type="gramStart"/>
      <w:r w:rsidRPr="00297D91">
        <w:t>AusAID, 2012</w:t>
      </w:r>
      <w:r>
        <w:t>.</w:t>
      </w:r>
      <w:proofErr w:type="gramEnd"/>
    </w:p>
  </w:footnote>
  <w:footnote w:id="136">
    <w:p w:rsidR="0060380E" w:rsidRDefault="0060380E" w:rsidP="009F7318">
      <w:pPr>
        <w:pStyle w:val="FootnoteText"/>
      </w:pPr>
      <w:r>
        <w:rPr>
          <w:rStyle w:val="FootnoteReference"/>
        </w:rPr>
        <w:footnoteRef/>
      </w:r>
      <w:r>
        <w:t xml:space="preserve"> </w:t>
      </w:r>
      <w:proofErr w:type="gramStart"/>
      <w:r>
        <w:t>AusAID, 2011.</w:t>
      </w:r>
      <w:proofErr w:type="gramEnd"/>
    </w:p>
  </w:footnote>
  <w:footnote w:id="137">
    <w:p w:rsidR="0060380E" w:rsidRDefault="0060380E" w:rsidP="009F7318">
      <w:pPr>
        <w:pStyle w:val="FootnoteText"/>
      </w:pPr>
      <w:r>
        <w:rPr>
          <w:rStyle w:val="FootnoteReference"/>
        </w:rPr>
        <w:footnoteRef/>
      </w:r>
      <w:r>
        <w:t xml:space="preserve"> </w:t>
      </w:r>
      <w:proofErr w:type="gramStart"/>
      <w:r>
        <w:t>P Davies, 2013 p. 19.</w:t>
      </w:r>
      <w:proofErr w:type="gramEnd"/>
    </w:p>
  </w:footnote>
  <w:footnote w:id="138">
    <w:p w:rsidR="0060380E" w:rsidRPr="00FE587C" w:rsidRDefault="0060380E" w:rsidP="009F7318">
      <w:pPr>
        <w:pStyle w:val="FootnoteText"/>
        <w:rPr>
          <w:lang w:val="fr-FR"/>
        </w:rPr>
      </w:pPr>
      <w:r>
        <w:rPr>
          <w:rStyle w:val="FootnoteReference"/>
        </w:rPr>
        <w:footnoteRef/>
      </w:r>
      <w:r w:rsidRPr="00FE587C">
        <w:rPr>
          <w:lang w:val="fr-FR"/>
        </w:rPr>
        <w:t xml:space="preserve"> Davies, 2013</w:t>
      </w:r>
      <w:r>
        <w:rPr>
          <w:lang w:val="fr-FR"/>
        </w:rPr>
        <w:t>.</w:t>
      </w:r>
    </w:p>
  </w:footnote>
  <w:footnote w:id="139">
    <w:p w:rsidR="0060380E" w:rsidRPr="00FE587C" w:rsidRDefault="0060380E" w:rsidP="009F7318">
      <w:pPr>
        <w:pStyle w:val="TableText"/>
        <w:rPr>
          <w:lang w:val="fr-FR"/>
        </w:rPr>
      </w:pPr>
      <w:r>
        <w:rPr>
          <w:rStyle w:val="FootnoteReference"/>
        </w:rPr>
        <w:footnoteRef/>
      </w:r>
      <w:r w:rsidRPr="00FE587C">
        <w:rPr>
          <w:lang w:val="fr-FR"/>
        </w:rPr>
        <w:t xml:space="preserve"> Vaillancourt 2012</w:t>
      </w:r>
      <w:r>
        <w:rPr>
          <w:lang w:val="fr-FR"/>
        </w:rPr>
        <w:t xml:space="preserve">, </w:t>
      </w:r>
      <w:proofErr w:type="spellStart"/>
      <w:r>
        <w:rPr>
          <w:lang w:val="fr-FR"/>
        </w:rPr>
        <w:t>Annex</w:t>
      </w:r>
      <w:proofErr w:type="spellEnd"/>
      <w:r>
        <w:rPr>
          <w:lang w:val="fr-FR"/>
        </w:rPr>
        <w:t xml:space="preserve"> 2</w:t>
      </w:r>
      <w:r w:rsidRPr="00FE587C">
        <w:rPr>
          <w:lang w:val="fr-FR"/>
        </w:rPr>
        <w:t>, p 20</w:t>
      </w:r>
      <w:r>
        <w:rPr>
          <w:lang w:val="fr-FR"/>
        </w:rPr>
        <w:t>.</w:t>
      </w:r>
    </w:p>
  </w:footnote>
  <w:footnote w:id="140">
    <w:p w:rsidR="0060380E" w:rsidRPr="00FE587C" w:rsidRDefault="0060380E" w:rsidP="009F7318">
      <w:pPr>
        <w:pStyle w:val="FootnoteText"/>
        <w:rPr>
          <w:lang w:val="fr-FR"/>
        </w:rPr>
      </w:pPr>
      <w:r>
        <w:rPr>
          <w:rStyle w:val="FootnoteReference"/>
        </w:rPr>
        <w:footnoteRef/>
      </w:r>
      <w:r w:rsidRPr="00FE587C">
        <w:rPr>
          <w:lang w:val="fr-FR"/>
        </w:rPr>
        <w:t xml:space="preserve"> </w:t>
      </w:r>
      <w:r>
        <w:rPr>
          <w:lang w:val="fr-FR"/>
        </w:rPr>
        <w:t>Vaillancourt 2012</w:t>
      </w:r>
      <w:r w:rsidRPr="00FE587C">
        <w:rPr>
          <w:lang w:val="fr-FR"/>
        </w:rPr>
        <w:t>,</w:t>
      </w:r>
      <w:r>
        <w:rPr>
          <w:lang w:val="fr-FR"/>
        </w:rPr>
        <w:t xml:space="preserve"> </w:t>
      </w:r>
      <w:proofErr w:type="spellStart"/>
      <w:r>
        <w:rPr>
          <w:lang w:val="fr-FR"/>
        </w:rPr>
        <w:t>Annex</w:t>
      </w:r>
      <w:proofErr w:type="spellEnd"/>
      <w:r>
        <w:rPr>
          <w:lang w:val="fr-FR"/>
        </w:rPr>
        <w:t xml:space="preserve"> 2</w:t>
      </w:r>
      <w:r w:rsidRPr="00FE587C">
        <w:rPr>
          <w:lang w:val="fr-FR"/>
        </w:rPr>
        <w:t>, p 20</w:t>
      </w:r>
      <w:r>
        <w:rPr>
          <w:lang w:val="fr-FR"/>
        </w:rPr>
        <w:t>.</w:t>
      </w:r>
    </w:p>
  </w:footnote>
  <w:footnote w:id="141">
    <w:p w:rsidR="0060380E" w:rsidRPr="00FE587C" w:rsidRDefault="0060380E" w:rsidP="009F7318">
      <w:pPr>
        <w:pStyle w:val="FootnoteText"/>
        <w:rPr>
          <w:lang w:val="fr-FR"/>
        </w:rPr>
      </w:pPr>
      <w:r>
        <w:rPr>
          <w:rStyle w:val="FootnoteReference"/>
        </w:rPr>
        <w:footnoteRef/>
      </w:r>
      <w:r w:rsidRPr="00FE587C">
        <w:rPr>
          <w:lang w:val="fr-FR"/>
        </w:rPr>
        <w:t xml:space="preserve"> </w:t>
      </w:r>
      <w:r>
        <w:rPr>
          <w:lang w:val="fr-FR"/>
        </w:rPr>
        <w:t>Vaillancourt 2012</w:t>
      </w:r>
      <w:r w:rsidRPr="00FE587C">
        <w:rPr>
          <w:lang w:val="fr-FR"/>
        </w:rPr>
        <w:t>,</w:t>
      </w:r>
      <w:r>
        <w:rPr>
          <w:lang w:val="fr-FR"/>
        </w:rPr>
        <w:t xml:space="preserve"> </w:t>
      </w:r>
      <w:proofErr w:type="spellStart"/>
      <w:r>
        <w:rPr>
          <w:lang w:val="fr-FR"/>
        </w:rPr>
        <w:t>Annex</w:t>
      </w:r>
      <w:proofErr w:type="spellEnd"/>
      <w:r>
        <w:rPr>
          <w:lang w:val="fr-FR"/>
        </w:rPr>
        <w:t xml:space="preserve"> 2</w:t>
      </w:r>
      <w:r w:rsidRPr="00FE587C">
        <w:rPr>
          <w:lang w:val="fr-FR"/>
        </w:rPr>
        <w:t>, p 19</w:t>
      </w:r>
      <w:r>
        <w:rPr>
          <w:lang w:val="fr-FR"/>
        </w:rPr>
        <w:t>.</w:t>
      </w:r>
    </w:p>
  </w:footnote>
  <w:footnote w:id="142">
    <w:p w:rsidR="0060380E" w:rsidRPr="00E60C43" w:rsidRDefault="0060380E" w:rsidP="009F7318">
      <w:pPr>
        <w:pStyle w:val="FootnoteText"/>
        <w:rPr>
          <w:lang w:val="fr-FR"/>
        </w:rPr>
      </w:pPr>
      <w:r>
        <w:rPr>
          <w:rStyle w:val="FootnoteReference"/>
        </w:rPr>
        <w:footnoteRef/>
      </w:r>
      <w:r w:rsidRPr="00E60C43">
        <w:rPr>
          <w:lang w:val="fr-FR"/>
        </w:rPr>
        <w:t xml:space="preserve"> Tyson, 2011.</w:t>
      </w:r>
    </w:p>
  </w:footnote>
  <w:footnote w:id="143">
    <w:p w:rsidR="0060380E" w:rsidRPr="00E60C43" w:rsidRDefault="0060380E" w:rsidP="009F7318">
      <w:pPr>
        <w:pStyle w:val="FootnoteText"/>
        <w:rPr>
          <w:lang w:val="fr-FR"/>
        </w:rPr>
      </w:pPr>
      <w:r>
        <w:rPr>
          <w:rStyle w:val="FootnoteReference"/>
        </w:rPr>
        <w:footnoteRef/>
      </w:r>
      <w:r w:rsidRPr="00E60C43">
        <w:rPr>
          <w:lang w:val="fr-FR"/>
        </w:rPr>
        <w:t xml:space="preserve"> Tyson, 2011.</w:t>
      </w:r>
    </w:p>
  </w:footnote>
  <w:footnote w:id="144">
    <w:p w:rsidR="0060380E" w:rsidRPr="00E60C43" w:rsidRDefault="0060380E" w:rsidP="009F7318">
      <w:pPr>
        <w:pStyle w:val="FootnoteText"/>
        <w:rPr>
          <w:lang w:val="fr-FR"/>
        </w:rPr>
      </w:pPr>
      <w:r>
        <w:rPr>
          <w:rStyle w:val="FootnoteReference"/>
        </w:rPr>
        <w:footnoteRef/>
      </w:r>
      <w:r w:rsidRPr="00E60C43">
        <w:rPr>
          <w:lang w:val="fr-FR"/>
        </w:rPr>
        <w:t xml:space="preserve"> </w:t>
      </w:r>
      <w:r w:rsidRPr="00E60C43">
        <w:rPr>
          <w:rFonts w:eastAsia="Calibri"/>
          <w:lang w:val="fr-FR"/>
        </w:rPr>
        <w:t>Martinez et al, 2011.</w:t>
      </w:r>
    </w:p>
  </w:footnote>
  <w:footnote w:id="145">
    <w:p w:rsidR="0060380E" w:rsidRDefault="0060380E" w:rsidP="009F7318">
      <w:pPr>
        <w:pStyle w:val="FootnoteText"/>
      </w:pPr>
      <w:r>
        <w:rPr>
          <w:rStyle w:val="FootnoteReference"/>
        </w:rPr>
        <w:footnoteRef/>
      </w:r>
      <w:r>
        <w:t xml:space="preserve"> </w:t>
      </w:r>
      <w:proofErr w:type="spellStart"/>
      <w:proofErr w:type="gramStart"/>
      <w:r w:rsidRPr="00655137">
        <w:rPr>
          <w:rFonts w:eastAsia="Calibri"/>
        </w:rPr>
        <w:t>Vaillancourt</w:t>
      </w:r>
      <w:proofErr w:type="spellEnd"/>
      <w:r w:rsidRPr="00655137">
        <w:rPr>
          <w:rFonts w:eastAsia="Calibri"/>
        </w:rPr>
        <w:t xml:space="preserve">, Land &amp; </w:t>
      </w:r>
      <w:proofErr w:type="spellStart"/>
      <w:r w:rsidRPr="00655137">
        <w:rPr>
          <w:rFonts w:eastAsia="Calibri"/>
        </w:rPr>
        <w:t>Shuey</w:t>
      </w:r>
      <w:proofErr w:type="spellEnd"/>
      <w:r>
        <w:rPr>
          <w:rFonts w:eastAsia="Calibri"/>
        </w:rPr>
        <w:t>, 2011.</w:t>
      </w:r>
      <w:proofErr w:type="gramEnd"/>
    </w:p>
  </w:footnote>
  <w:footnote w:id="146">
    <w:p w:rsidR="0060380E" w:rsidRDefault="0060380E" w:rsidP="009F7318">
      <w:pPr>
        <w:pStyle w:val="FootnoteText"/>
      </w:pPr>
      <w:r>
        <w:rPr>
          <w:rStyle w:val="FootnoteReference"/>
        </w:rPr>
        <w:footnoteRef/>
      </w:r>
      <w:r>
        <w:t xml:space="preserve"> </w:t>
      </w:r>
      <w:proofErr w:type="spellStart"/>
      <w:proofErr w:type="gramStart"/>
      <w:r>
        <w:t>Janovsky</w:t>
      </w:r>
      <w:proofErr w:type="spellEnd"/>
      <w:r>
        <w:t xml:space="preserve"> 2010a.</w:t>
      </w:r>
      <w:proofErr w:type="gramEnd"/>
    </w:p>
  </w:footnote>
  <w:footnote w:id="147">
    <w:p w:rsidR="0060380E" w:rsidRPr="00E60C43" w:rsidRDefault="0060380E" w:rsidP="009F7318">
      <w:pPr>
        <w:pStyle w:val="FootnoteText"/>
        <w:rPr>
          <w:lang w:val="fr-FR"/>
        </w:rPr>
      </w:pPr>
      <w:r>
        <w:rPr>
          <w:rStyle w:val="FootnoteReference"/>
        </w:rPr>
        <w:footnoteRef/>
      </w:r>
      <w:r w:rsidRPr="00E60C43">
        <w:rPr>
          <w:lang w:val="fr-FR"/>
        </w:rPr>
        <w:t xml:space="preserve"> </w:t>
      </w:r>
      <w:proofErr w:type="spellStart"/>
      <w:r w:rsidRPr="00E60C43">
        <w:rPr>
          <w:lang w:val="fr-FR"/>
        </w:rPr>
        <w:t>Janovsky</w:t>
      </w:r>
      <w:proofErr w:type="spellEnd"/>
      <w:r w:rsidRPr="00E60C43">
        <w:rPr>
          <w:lang w:val="fr-FR"/>
        </w:rPr>
        <w:t xml:space="preserve"> 2010b.</w:t>
      </w:r>
    </w:p>
  </w:footnote>
  <w:footnote w:id="148">
    <w:p w:rsidR="0060380E" w:rsidRPr="00E60C43" w:rsidRDefault="0060380E" w:rsidP="009F7318">
      <w:pPr>
        <w:pStyle w:val="FootnoteText"/>
        <w:rPr>
          <w:lang w:val="fr-FR"/>
        </w:rPr>
      </w:pPr>
      <w:r>
        <w:rPr>
          <w:rStyle w:val="FootnoteReference"/>
        </w:rPr>
        <w:footnoteRef/>
      </w:r>
      <w:r w:rsidRPr="00E60C43">
        <w:rPr>
          <w:lang w:val="fr-FR"/>
        </w:rPr>
        <w:t xml:space="preserve"> Tyson, 2011.</w:t>
      </w:r>
    </w:p>
  </w:footnote>
  <w:footnote w:id="149">
    <w:p w:rsidR="0060380E" w:rsidRPr="00E60C43" w:rsidRDefault="0060380E" w:rsidP="009F7318">
      <w:pPr>
        <w:pStyle w:val="FootnoteText"/>
        <w:rPr>
          <w:lang w:val="fr-FR"/>
        </w:rPr>
      </w:pPr>
      <w:r>
        <w:rPr>
          <w:rStyle w:val="FootnoteReference"/>
        </w:rPr>
        <w:footnoteRef/>
      </w:r>
      <w:r w:rsidRPr="00E60C43">
        <w:rPr>
          <w:lang w:val="fr-FR"/>
        </w:rPr>
        <w:t xml:space="preserve"> </w:t>
      </w:r>
      <w:r w:rsidRPr="00E60C43">
        <w:rPr>
          <w:rFonts w:eastAsia="Calibri"/>
          <w:lang w:val="fr-FR"/>
        </w:rPr>
        <w:t>Martinez et al, 2011.</w:t>
      </w:r>
    </w:p>
  </w:footnote>
  <w:footnote w:id="150">
    <w:p w:rsidR="0060380E" w:rsidRPr="00E60C43" w:rsidRDefault="0060380E" w:rsidP="008E7949">
      <w:pPr>
        <w:pStyle w:val="FootnoteText"/>
        <w:rPr>
          <w:lang w:val="fr-FR"/>
        </w:rPr>
      </w:pPr>
      <w:r>
        <w:rPr>
          <w:rStyle w:val="FootnoteReference"/>
        </w:rPr>
        <w:footnoteRef/>
      </w:r>
      <w:r w:rsidRPr="00E60C43">
        <w:rPr>
          <w:lang w:val="fr-FR"/>
        </w:rPr>
        <w:t xml:space="preserve"> </w:t>
      </w:r>
      <w:proofErr w:type="spellStart"/>
      <w:r w:rsidRPr="00E60C43">
        <w:rPr>
          <w:lang w:val="fr-FR"/>
        </w:rPr>
        <w:t>Janovsky</w:t>
      </w:r>
      <w:proofErr w:type="spellEnd"/>
      <w:r w:rsidRPr="00E60C43">
        <w:rPr>
          <w:lang w:val="fr-FR"/>
        </w:rPr>
        <w:t>, 2010a.</w:t>
      </w:r>
    </w:p>
  </w:footnote>
  <w:footnote w:id="151">
    <w:p w:rsidR="0060380E" w:rsidRPr="00E60C43" w:rsidRDefault="0060380E" w:rsidP="009F7318">
      <w:pPr>
        <w:pStyle w:val="FootnoteText"/>
        <w:rPr>
          <w:lang w:val="fr-FR"/>
        </w:rPr>
      </w:pPr>
      <w:r>
        <w:rPr>
          <w:rStyle w:val="FootnoteReference"/>
        </w:rPr>
        <w:footnoteRef/>
      </w:r>
      <w:r w:rsidRPr="00E60C43">
        <w:rPr>
          <w:lang w:val="fr-FR"/>
        </w:rPr>
        <w:t xml:space="preserve"> Davies, 2013, p.24.</w:t>
      </w:r>
    </w:p>
  </w:footnote>
  <w:footnote w:id="152">
    <w:p w:rsidR="0060380E" w:rsidRPr="00E60C43" w:rsidRDefault="0060380E" w:rsidP="009F7318">
      <w:pPr>
        <w:pStyle w:val="FootnoteText"/>
        <w:rPr>
          <w:lang w:val="fr-FR"/>
        </w:rPr>
      </w:pPr>
      <w:r>
        <w:rPr>
          <w:rStyle w:val="FootnoteReference"/>
        </w:rPr>
        <w:footnoteRef/>
      </w:r>
      <w:r w:rsidRPr="00E60C43">
        <w:rPr>
          <w:lang w:val="fr-FR"/>
        </w:rPr>
        <w:t xml:space="preserve"> Davies, 2013, p.24.</w:t>
      </w:r>
    </w:p>
  </w:footnote>
  <w:footnote w:id="153">
    <w:p w:rsidR="0060380E" w:rsidRPr="00E60C43" w:rsidRDefault="0060380E" w:rsidP="009F7318">
      <w:pPr>
        <w:pStyle w:val="FootnoteText"/>
        <w:rPr>
          <w:lang w:val="fr-FR"/>
        </w:rPr>
      </w:pPr>
      <w:r>
        <w:rPr>
          <w:rStyle w:val="FootnoteReference"/>
        </w:rPr>
        <w:footnoteRef/>
      </w:r>
      <w:r w:rsidRPr="00E60C43">
        <w:rPr>
          <w:lang w:val="fr-FR"/>
        </w:rPr>
        <w:t xml:space="preserve"> Tyson, 2011.</w:t>
      </w:r>
    </w:p>
  </w:footnote>
  <w:footnote w:id="154">
    <w:p w:rsidR="0060380E" w:rsidRPr="00E60C43" w:rsidRDefault="0060380E" w:rsidP="009F7318">
      <w:pPr>
        <w:pStyle w:val="FootnoteText"/>
        <w:rPr>
          <w:lang w:val="fr-FR"/>
        </w:rPr>
      </w:pPr>
      <w:r>
        <w:rPr>
          <w:rStyle w:val="FootnoteReference"/>
        </w:rPr>
        <w:footnoteRef/>
      </w:r>
      <w:r w:rsidRPr="00E60C43">
        <w:rPr>
          <w:lang w:val="fr-FR"/>
        </w:rPr>
        <w:t xml:space="preserve"> </w:t>
      </w:r>
      <w:proofErr w:type="spellStart"/>
      <w:r w:rsidRPr="00E60C43">
        <w:rPr>
          <w:lang w:val="fr-FR"/>
        </w:rPr>
        <w:t>MoHFW</w:t>
      </w:r>
      <w:proofErr w:type="spellEnd"/>
      <w:r w:rsidRPr="00E60C43">
        <w:rPr>
          <w:lang w:val="fr-FR"/>
        </w:rPr>
        <w:t>, 2013.</w:t>
      </w:r>
    </w:p>
  </w:footnote>
  <w:footnote w:id="155">
    <w:p w:rsidR="0060380E" w:rsidRPr="00E60C43" w:rsidRDefault="0060380E" w:rsidP="009F7318">
      <w:pPr>
        <w:pStyle w:val="FootnoteText"/>
        <w:rPr>
          <w:lang w:val="fr-FR"/>
        </w:rPr>
      </w:pPr>
      <w:r>
        <w:rPr>
          <w:rStyle w:val="FootnoteReference"/>
        </w:rPr>
        <w:footnoteRef/>
      </w:r>
      <w:r w:rsidRPr="00E60C43">
        <w:rPr>
          <w:lang w:val="fr-FR"/>
        </w:rPr>
        <w:t xml:space="preserve"> </w:t>
      </w:r>
      <w:r w:rsidRPr="00E60C43">
        <w:rPr>
          <w:rFonts w:eastAsia="Calibri"/>
          <w:lang w:val="fr-FR"/>
        </w:rPr>
        <w:t>Martinez et al, 2011.</w:t>
      </w:r>
    </w:p>
  </w:footnote>
  <w:footnote w:id="156">
    <w:p w:rsidR="0060380E" w:rsidRDefault="0060380E" w:rsidP="009F7318">
      <w:pPr>
        <w:pStyle w:val="FootnoteText"/>
      </w:pPr>
      <w:r>
        <w:rPr>
          <w:rStyle w:val="FootnoteReference"/>
        </w:rPr>
        <w:footnoteRef/>
      </w:r>
      <w:r>
        <w:t xml:space="preserve"> </w:t>
      </w:r>
      <w:proofErr w:type="gramStart"/>
      <w:r>
        <w:t>HEART, 2013.</w:t>
      </w:r>
      <w:proofErr w:type="gramEnd"/>
    </w:p>
  </w:footnote>
  <w:footnote w:id="157">
    <w:p w:rsidR="0060380E" w:rsidRDefault="0060380E" w:rsidP="009F7318">
      <w:pPr>
        <w:pStyle w:val="FootnoteText"/>
      </w:pPr>
      <w:r>
        <w:rPr>
          <w:rStyle w:val="FootnoteReference"/>
        </w:rPr>
        <w:footnoteRef/>
      </w:r>
      <w:r>
        <w:t xml:space="preserve"> </w:t>
      </w:r>
      <w:proofErr w:type="gramStart"/>
      <w:r>
        <w:t>Davies, 2013.</w:t>
      </w:r>
      <w:proofErr w:type="gramEnd"/>
    </w:p>
  </w:footnote>
  <w:footnote w:id="158">
    <w:p w:rsidR="0060380E" w:rsidRDefault="0060380E" w:rsidP="009F7318">
      <w:pPr>
        <w:pStyle w:val="FootnoteText"/>
      </w:pPr>
      <w:r>
        <w:rPr>
          <w:rStyle w:val="FootnoteReference"/>
        </w:rPr>
        <w:footnoteRef/>
      </w:r>
      <w:r>
        <w:t xml:space="preserve"> </w:t>
      </w:r>
      <w:proofErr w:type="gramStart"/>
      <w:r>
        <w:t>Tyson, 2011.</w:t>
      </w:r>
      <w:proofErr w:type="gramEnd"/>
    </w:p>
  </w:footnote>
  <w:footnote w:id="159">
    <w:p w:rsidR="0060380E" w:rsidRPr="00B41FEE" w:rsidRDefault="0060380E" w:rsidP="00344DA8">
      <w:pPr>
        <w:pStyle w:val="FootnoteText"/>
        <w:ind w:left="284" w:hanging="284"/>
        <w:rPr>
          <w:rFonts w:eastAsia="Calibri"/>
        </w:rPr>
      </w:pPr>
      <w:r>
        <w:rPr>
          <w:rStyle w:val="FootnoteReference"/>
        </w:rPr>
        <w:footnoteRef/>
      </w:r>
      <w:r>
        <w:t xml:space="preserve"> </w:t>
      </w:r>
      <w:r w:rsidRPr="00655137">
        <w:rPr>
          <w:rFonts w:eastAsia="Calibri"/>
        </w:rPr>
        <w:t xml:space="preserve">S Richards, G </w:t>
      </w:r>
      <w:proofErr w:type="spellStart"/>
      <w:r w:rsidRPr="00655137">
        <w:rPr>
          <w:rFonts w:eastAsia="Calibri"/>
        </w:rPr>
        <w:t>Rupa</w:t>
      </w:r>
      <w:proofErr w:type="spellEnd"/>
      <w:r w:rsidRPr="00655137">
        <w:rPr>
          <w:rFonts w:eastAsia="Calibri"/>
        </w:rPr>
        <w:t xml:space="preserve">, L Shaw &amp; I Glastonbury, </w:t>
      </w:r>
      <w:r w:rsidRPr="00376F19">
        <w:rPr>
          <w:rFonts w:eastAsia="Calibri"/>
          <w:i/>
        </w:rPr>
        <w:t>Re-design of the health services improvement program (HSIP) Trust Account</w:t>
      </w:r>
      <w:r>
        <w:rPr>
          <w:rFonts w:eastAsia="Calibri"/>
        </w:rPr>
        <w:t>, 2012.</w:t>
      </w:r>
    </w:p>
  </w:footnote>
  <w:footnote w:id="160">
    <w:p w:rsidR="0060380E" w:rsidRPr="00FE587C" w:rsidRDefault="0060380E" w:rsidP="009F7318">
      <w:pPr>
        <w:pStyle w:val="FootnoteText"/>
        <w:ind w:left="284" w:hanging="284"/>
        <w:rPr>
          <w:lang w:val="fr-FR"/>
        </w:rPr>
      </w:pPr>
      <w:r>
        <w:rPr>
          <w:rStyle w:val="FootnoteReference"/>
        </w:rPr>
        <w:footnoteRef/>
      </w:r>
      <w:r w:rsidRPr="00FE587C">
        <w:rPr>
          <w:lang w:val="fr-FR"/>
        </w:rPr>
        <w:t xml:space="preserve"> Vaillancourt, 2012, </w:t>
      </w:r>
      <w:proofErr w:type="spellStart"/>
      <w:r>
        <w:rPr>
          <w:lang w:val="fr-FR"/>
        </w:rPr>
        <w:t>Annex</w:t>
      </w:r>
      <w:proofErr w:type="spellEnd"/>
      <w:r>
        <w:rPr>
          <w:lang w:val="fr-FR"/>
        </w:rPr>
        <w:t xml:space="preserve"> 3, </w:t>
      </w:r>
      <w:r w:rsidRPr="00FE587C">
        <w:rPr>
          <w:lang w:val="fr-FR"/>
        </w:rPr>
        <w:t>20</w:t>
      </w:r>
      <w:r>
        <w:rPr>
          <w:lang w:val="fr-FR"/>
        </w:rPr>
        <w:t>.</w:t>
      </w:r>
    </w:p>
  </w:footnote>
  <w:footnote w:id="161">
    <w:p w:rsidR="0060380E" w:rsidRPr="00FE587C" w:rsidRDefault="0060380E" w:rsidP="009F7318">
      <w:pPr>
        <w:pStyle w:val="FootnoteText"/>
        <w:ind w:left="284" w:hanging="284"/>
        <w:rPr>
          <w:lang w:val="fr-FR"/>
        </w:rPr>
      </w:pPr>
      <w:r>
        <w:rPr>
          <w:rStyle w:val="FootnoteReference"/>
        </w:rPr>
        <w:footnoteRef/>
      </w:r>
      <w:r w:rsidRPr="00FE587C">
        <w:rPr>
          <w:lang w:val="fr-FR"/>
        </w:rPr>
        <w:t xml:space="preserve"> Tyson, 2011</w:t>
      </w:r>
      <w:r>
        <w:rPr>
          <w:lang w:val="fr-FR"/>
        </w:rPr>
        <w:t>.</w:t>
      </w:r>
    </w:p>
  </w:footnote>
  <w:footnote w:id="162">
    <w:p w:rsidR="0060380E" w:rsidRPr="00E60C43" w:rsidRDefault="0060380E" w:rsidP="009F7318">
      <w:pPr>
        <w:pStyle w:val="FootnoteText"/>
        <w:rPr>
          <w:lang w:val="fr-FR"/>
        </w:rPr>
      </w:pPr>
      <w:r>
        <w:rPr>
          <w:rStyle w:val="FootnoteReference"/>
        </w:rPr>
        <w:footnoteRef/>
      </w:r>
      <w:r w:rsidRPr="00E60C43">
        <w:rPr>
          <w:lang w:val="fr-FR"/>
        </w:rPr>
        <w:t xml:space="preserve"> </w:t>
      </w:r>
      <w:proofErr w:type="spellStart"/>
      <w:r w:rsidRPr="00E60C43">
        <w:rPr>
          <w:lang w:val="fr-FR"/>
        </w:rPr>
        <w:t>MoHFW</w:t>
      </w:r>
      <w:proofErr w:type="spellEnd"/>
      <w:r w:rsidRPr="00E60C43">
        <w:rPr>
          <w:lang w:val="fr-FR"/>
        </w:rPr>
        <w:t xml:space="preserve">, 2007; </w:t>
      </w:r>
      <w:proofErr w:type="spellStart"/>
      <w:r w:rsidRPr="00E60C43">
        <w:rPr>
          <w:lang w:val="fr-FR"/>
        </w:rPr>
        <w:t>MoHFW</w:t>
      </w:r>
      <w:proofErr w:type="spellEnd"/>
      <w:r w:rsidRPr="00E60C43">
        <w:rPr>
          <w:lang w:val="fr-FR"/>
        </w:rPr>
        <w:t>, 2013.</w:t>
      </w:r>
    </w:p>
  </w:footnote>
  <w:footnote w:id="163">
    <w:p w:rsidR="0060380E" w:rsidRPr="00E60C43" w:rsidRDefault="0060380E" w:rsidP="009F7318">
      <w:pPr>
        <w:pStyle w:val="FootnoteText"/>
        <w:rPr>
          <w:lang w:val="fr-FR"/>
        </w:rPr>
      </w:pPr>
      <w:r>
        <w:rPr>
          <w:rStyle w:val="FootnoteReference"/>
        </w:rPr>
        <w:footnoteRef/>
      </w:r>
      <w:r w:rsidRPr="00E60C43">
        <w:rPr>
          <w:lang w:val="fr-FR"/>
        </w:rPr>
        <w:t xml:space="preserve"> </w:t>
      </w:r>
      <w:r w:rsidRPr="00E60C43">
        <w:rPr>
          <w:rFonts w:eastAsia="Calibri"/>
          <w:lang w:val="fr-FR"/>
        </w:rPr>
        <w:t>Martinez et al, 2011.</w:t>
      </w:r>
    </w:p>
  </w:footnote>
  <w:footnote w:id="164">
    <w:p w:rsidR="0060380E" w:rsidRPr="004D367B" w:rsidRDefault="0060380E" w:rsidP="009F7318">
      <w:pPr>
        <w:pStyle w:val="FootnoteText"/>
        <w:rPr>
          <w:lang w:val="fr-FR"/>
        </w:rPr>
      </w:pPr>
      <w:r>
        <w:rPr>
          <w:rStyle w:val="FootnoteReference"/>
        </w:rPr>
        <w:footnoteRef/>
      </w:r>
      <w:r w:rsidRPr="004D367B">
        <w:rPr>
          <w:lang w:val="fr-FR"/>
        </w:rPr>
        <w:t xml:space="preserve"> </w:t>
      </w:r>
      <w:r w:rsidRPr="004D367B">
        <w:rPr>
          <w:rFonts w:eastAsia="Calibri"/>
          <w:lang w:val="fr-FR"/>
        </w:rPr>
        <w:t xml:space="preserve">Vaillancourt, Land &amp; </w:t>
      </w:r>
      <w:proofErr w:type="spellStart"/>
      <w:r w:rsidRPr="004D367B">
        <w:rPr>
          <w:rFonts w:eastAsia="Calibri"/>
          <w:lang w:val="fr-FR"/>
        </w:rPr>
        <w:t>Shuey</w:t>
      </w:r>
      <w:proofErr w:type="spellEnd"/>
      <w:r w:rsidRPr="004D367B">
        <w:rPr>
          <w:rFonts w:eastAsia="Calibri"/>
          <w:lang w:val="fr-FR"/>
        </w:rPr>
        <w:t>, 2011, p.22.</w:t>
      </w:r>
    </w:p>
  </w:footnote>
  <w:footnote w:id="165">
    <w:p w:rsidR="0060380E" w:rsidRPr="004D367B" w:rsidRDefault="0060380E" w:rsidP="009F7318">
      <w:pPr>
        <w:pStyle w:val="FootnoteText"/>
        <w:rPr>
          <w:lang w:val="fr-FR"/>
        </w:rPr>
      </w:pPr>
      <w:r>
        <w:rPr>
          <w:rStyle w:val="FootnoteReference"/>
        </w:rPr>
        <w:footnoteRef/>
      </w:r>
      <w:r w:rsidRPr="004D367B">
        <w:rPr>
          <w:lang w:val="fr-FR"/>
        </w:rPr>
        <w:t xml:space="preserve"> AusAID, 2011.</w:t>
      </w:r>
    </w:p>
  </w:footnote>
  <w:footnote w:id="166">
    <w:p w:rsidR="0060380E" w:rsidRPr="004D367B" w:rsidRDefault="0060380E" w:rsidP="009F7318">
      <w:pPr>
        <w:pStyle w:val="FootnoteText"/>
        <w:rPr>
          <w:lang w:val="fr-FR"/>
        </w:rPr>
      </w:pPr>
      <w:r>
        <w:rPr>
          <w:rStyle w:val="FootnoteReference"/>
        </w:rPr>
        <w:footnoteRef/>
      </w:r>
      <w:r w:rsidRPr="004D367B">
        <w:rPr>
          <w:lang w:val="fr-FR"/>
        </w:rPr>
        <w:t xml:space="preserve"> Davies, 2013, </w:t>
      </w:r>
      <w:proofErr w:type="spellStart"/>
      <w:r w:rsidRPr="004D367B">
        <w:rPr>
          <w:lang w:val="fr-FR"/>
        </w:rPr>
        <w:t>chapter</w:t>
      </w:r>
      <w:proofErr w:type="spellEnd"/>
      <w:r w:rsidRPr="004D367B">
        <w:rPr>
          <w:lang w:val="fr-FR"/>
        </w:rPr>
        <w:t xml:space="preserve"> 4.2.</w:t>
      </w:r>
    </w:p>
  </w:footnote>
  <w:footnote w:id="167">
    <w:p w:rsidR="0060380E" w:rsidRPr="004D367B" w:rsidRDefault="0060380E" w:rsidP="009F7318">
      <w:pPr>
        <w:pStyle w:val="FootnoteText"/>
        <w:rPr>
          <w:lang w:val="fr-FR"/>
        </w:rPr>
      </w:pPr>
      <w:r>
        <w:rPr>
          <w:rStyle w:val="FootnoteReference"/>
        </w:rPr>
        <w:footnoteRef/>
      </w:r>
      <w:r w:rsidRPr="004D367B">
        <w:rPr>
          <w:lang w:val="fr-FR"/>
        </w:rPr>
        <w:t xml:space="preserve"> Vaillancourt, 2012, </w:t>
      </w:r>
      <w:proofErr w:type="spellStart"/>
      <w:r w:rsidRPr="004D367B">
        <w:rPr>
          <w:lang w:val="fr-FR"/>
        </w:rPr>
        <w:t>Solomon</w:t>
      </w:r>
      <w:proofErr w:type="spellEnd"/>
      <w:r w:rsidRPr="004D367B">
        <w:rPr>
          <w:lang w:val="fr-FR"/>
        </w:rPr>
        <w:t xml:space="preserve"> </w:t>
      </w:r>
      <w:proofErr w:type="spellStart"/>
      <w:r w:rsidRPr="004D367B">
        <w:rPr>
          <w:lang w:val="fr-FR"/>
        </w:rPr>
        <w:t>Islands</w:t>
      </w:r>
      <w:proofErr w:type="spellEnd"/>
      <w:r w:rsidRPr="004D367B">
        <w:rPr>
          <w:lang w:val="fr-FR"/>
        </w:rPr>
        <w:t xml:space="preserve"> </w:t>
      </w:r>
      <w:proofErr w:type="spellStart"/>
      <w:r w:rsidRPr="004D367B">
        <w:rPr>
          <w:lang w:val="fr-FR"/>
        </w:rPr>
        <w:t>Appendix</w:t>
      </w:r>
      <w:proofErr w:type="spellEnd"/>
      <w:r w:rsidRPr="004D367B">
        <w:rPr>
          <w:lang w:val="fr-FR"/>
        </w:rPr>
        <w:t>, p.10.</w:t>
      </w:r>
    </w:p>
  </w:footnote>
  <w:footnote w:id="168">
    <w:p w:rsidR="0060380E" w:rsidRPr="006826FE" w:rsidRDefault="0060380E" w:rsidP="009F7318">
      <w:pPr>
        <w:pStyle w:val="FootnoteText"/>
        <w:ind w:left="0" w:firstLine="0"/>
      </w:pPr>
      <w:r>
        <w:rPr>
          <w:rStyle w:val="FootnoteReference"/>
        </w:rPr>
        <w:footnoteRef/>
      </w:r>
      <w:r>
        <w:t xml:space="preserve"> We looked at </w:t>
      </w:r>
      <w:r w:rsidRPr="006826FE">
        <w:t xml:space="preserve">the </w:t>
      </w:r>
      <w:proofErr w:type="spellStart"/>
      <w:r w:rsidRPr="006826FE">
        <w:t>SWAp</w:t>
      </w:r>
      <w:proofErr w:type="spellEnd"/>
      <w:r w:rsidRPr="006826FE">
        <w:t xml:space="preserve"> foundation documents and the national health plans they support</w:t>
      </w:r>
      <w:r>
        <w:t xml:space="preserve">. </w:t>
      </w:r>
      <w:r w:rsidRPr="006826FE">
        <w:t xml:space="preserve"> </w:t>
      </w:r>
    </w:p>
  </w:footnote>
  <w:footnote w:id="169">
    <w:p w:rsidR="0060380E" w:rsidRPr="006826FE" w:rsidRDefault="0060380E" w:rsidP="00DE74D2">
      <w:pPr>
        <w:pStyle w:val="FootnoteText"/>
        <w:ind w:left="284" w:hanging="284"/>
      </w:pPr>
      <w:r>
        <w:rPr>
          <w:rStyle w:val="FootnoteReference"/>
        </w:rPr>
        <w:footnoteRef/>
      </w:r>
      <w:r>
        <w:t xml:space="preserve"> </w:t>
      </w:r>
      <w:r w:rsidRPr="006826FE">
        <w:t xml:space="preserve">We </w:t>
      </w:r>
      <w:r>
        <w:t xml:space="preserve">looked at one or </w:t>
      </w:r>
      <w:r w:rsidRPr="006826FE">
        <w:t xml:space="preserve">two annual reviews or MTR conducted independently (by external consultants) from as late as </w:t>
      </w:r>
      <w:r>
        <w:t>possible (2012-2013 preferably).</w:t>
      </w:r>
    </w:p>
  </w:footnote>
  <w:footnote w:id="170">
    <w:p w:rsidR="0060380E" w:rsidRPr="006826FE" w:rsidRDefault="0060380E" w:rsidP="00DE74D2">
      <w:pPr>
        <w:pStyle w:val="FootnoteText"/>
        <w:ind w:left="284" w:hanging="284"/>
      </w:pPr>
      <w:r>
        <w:rPr>
          <w:rStyle w:val="FootnoteReference"/>
        </w:rPr>
        <w:footnoteRef/>
      </w:r>
      <w:r>
        <w:t xml:space="preserve"> We searched for gender specific references in </w:t>
      </w:r>
      <w:r w:rsidRPr="006826FE">
        <w:t xml:space="preserve">the </w:t>
      </w:r>
      <w:r>
        <w:t xml:space="preserve">more recent </w:t>
      </w:r>
      <w:r w:rsidRPr="006826FE">
        <w:t xml:space="preserve">APPRs, in the section where the </w:t>
      </w:r>
      <w:r>
        <w:t>health program was being covered.</w:t>
      </w:r>
    </w:p>
  </w:footnote>
  <w:footnote w:id="171">
    <w:p w:rsidR="0060380E" w:rsidRPr="00757F91" w:rsidRDefault="0060380E" w:rsidP="00DE74D2">
      <w:pPr>
        <w:pStyle w:val="FootnoteText"/>
        <w:ind w:left="284" w:hanging="284"/>
        <w:rPr>
          <w:rFonts w:eastAsia="Calibri"/>
        </w:rPr>
      </w:pPr>
      <w:r>
        <w:rPr>
          <w:rStyle w:val="FootnoteReference"/>
        </w:rPr>
        <w:footnoteRef/>
      </w:r>
      <w:r>
        <w:t xml:space="preserve"> </w:t>
      </w:r>
      <w:r w:rsidRPr="00655137">
        <w:rPr>
          <w:rFonts w:eastAsia="Calibri"/>
        </w:rPr>
        <w:t xml:space="preserve">Ministry of Health and Family Welfare, Strategic plan for Health Population and Nutrition Sector Development Program (HPNSDP) 2011-2016, </w:t>
      </w:r>
      <w:proofErr w:type="spellStart"/>
      <w:r w:rsidRPr="00655137">
        <w:rPr>
          <w:rFonts w:eastAsia="Calibri"/>
        </w:rPr>
        <w:t>MoHFW</w:t>
      </w:r>
      <w:proofErr w:type="spellEnd"/>
      <w:r w:rsidRPr="00655137">
        <w:rPr>
          <w:rFonts w:eastAsia="Calibri"/>
        </w:rPr>
        <w:t>, Dhaka, 2011a.</w:t>
      </w:r>
    </w:p>
  </w:footnote>
  <w:footnote w:id="172">
    <w:p w:rsidR="0060380E" w:rsidRPr="00757F91" w:rsidRDefault="0060380E" w:rsidP="009F7318">
      <w:pPr>
        <w:pStyle w:val="FootnoteText"/>
        <w:ind w:left="284" w:hanging="284"/>
        <w:rPr>
          <w:rFonts w:eastAsia="Calibri"/>
        </w:rPr>
      </w:pPr>
      <w:r>
        <w:rPr>
          <w:rStyle w:val="FootnoteReference"/>
        </w:rPr>
        <w:footnoteRef/>
      </w:r>
      <w:r>
        <w:t xml:space="preserve"> </w:t>
      </w:r>
      <w:r w:rsidRPr="00655137">
        <w:rPr>
          <w:rFonts w:eastAsia="Calibri"/>
        </w:rPr>
        <w:t xml:space="preserve">Department of Foreign Affairs and Trade, </w:t>
      </w:r>
      <w:r w:rsidRPr="00655137">
        <w:rPr>
          <w:rFonts w:eastAsia="Calibri"/>
          <w:i/>
        </w:rPr>
        <w:t>Bangladesh Aid Program Performance Report 2012–13</w:t>
      </w:r>
      <w:r w:rsidRPr="00655137">
        <w:rPr>
          <w:rFonts w:eastAsia="Calibri"/>
        </w:rPr>
        <w:t>. DFAT, Canberra, 2014</w:t>
      </w:r>
      <w:r>
        <w:rPr>
          <w:rFonts w:eastAsia="Calibri"/>
        </w:rPr>
        <w:t>.</w:t>
      </w:r>
    </w:p>
  </w:footnote>
  <w:footnote w:id="173">
    <w:p w:rsidR="0060380E" w:rsidRPr="00757F91" w:rsidRDefault="0060380E" w:rsidP="002E603C">
      <w:pPr>
        <w:pStyle w:val="FootnoteText"/>
        <w:ind w:left="284" w:hanging="284"/>
        <w:rPr>
          <w:rFonts w:eastAsia="Calibri"/>
        </w:rPr>
      </w:pPr>
      <w:r>
        <w:rPr>
          <w:rStyle w:val="FootnoteReference"/>
        </w:rPr>
        <w:footnoteRef/>
      </w:r>
      <w:r>
        <w:t xml:space="preserve"> </w:t>
      </w:r>
      <w:r w:rsidRPr="00655137">
        <w:rPr>
          <w:rFonts w:eastAsia="Calibri"/>
        </w:rPr>
        <w:t xml:space="preserve">Ministry of Health, </w:t>
      </w:r>
      <w:r w:rsidRPr="00655137">
        <w:rPr>
          <w:rFonts w:eastAsia="Calibri"/>
          <w:i/>
        </w:rPr>
        <w:t>Health Strategic Plan 2008-2015</w:t>
      </w:r>
      <w:r w:rsidRPr="00655137">
        <w:rPr>
          <w:rFonts w:eastAsia="Calibri"/>
        </w:rPr>
        <w:t xml:space="preserve">, Cambodia </w:t>
      </w:r>
      <w:proofErr w:type="spellStart"/>
      <w:r w:rsidRPr="00655137">
        <w:rPr>
          <w:rFonts w:eastAsia="Calibri"/>
        </w:rPr>
        <w:t>MoH</w:t>
      </w:r>
      <w:proofErr w:type="spellEnd"/>
      <w:r w:rsidRPr="00655137">
        <w:rPr>
          <w:rFonts w:eastAsia="Calibri"/>
        </w:rPr>
        <w:t xml:space="preserve">, Phnom Penh, 2008. </w:t>
      </w:r>
    </w:p>
  </w:footnote>
  <w:footnote w:id="174">
    <w:p w:rsidR="0060380E" w:rsidRPr="00757F91" w:rsidRDefault="0060380E" w:rsidP="009F7318">
      <w:pPr>
        <w:ind w:left="284" w:hanging="284"/>
        <w:rPr>
          <w:rFonts w:eastAsia="Calibri"/>
        </w:rPr>
      </w:pPr>
      <w:r>
        <w:rPr>
          <w:rStyle w:val="FootnoteReference"/>
        </w:rPr>
        <w:footnoteRef/>
      </w:r>
      <w:r>
        <w:t xml:space="preserve"> </w:t>
      </w:r>
      <w:r w:rsidRPr="00757F91">
        <w:rPr>
          <w:rStyle w:val="FootnoteTextChar"/>
          <w:rFonts w:eastAsia="Calibri"/>
        </w:rPr>
        <w:t>World Bank, Program appraisal document for a Second Health Sector Support Program, World Bank, Washington, DC, 2008.</w:t>
      </w:r>
      <w:r w:rsidRPr="00655137">
        <w:rPr>
          <w:rFonts w:eastAsia="Calibri"/>
        </w:rPr>
        <w:t xml:space="preserve"> </w:t>
      </w:r>
    </w:p>
  </w:footnote>
  <w:footnote w:id="175">
    <w:p w:rsidR="0060380E" w:rsidRPr="00757F91" w:rsidRDefault="0060380E" w:rsidP="009F7318">
      <w:pPr>
        <w:pStyle w:val="FootnoteText"/>
        <w:ind w:left="284" w:hanging="284"/>
        <w:rPr>
          <w:rFonts w:eastAsia="Calibri"/>
        </w:rPr>
      </w:pPr>
      <w:r>
        <w:rPr>
          <w:rStyle w:val="FootnoteReference"/>
        </w:rPr>
        <w:footnoteRef/>
      </w:r>
      <w:r>
        <w:t xml:space="preserve"> </w:t>
      </w:r>
      <w:r w:rsidRPr="00655137">
        <w:rPr>
          <w:rFonts w:eastAsia="Calibri"/>
        </w:rPr>
        <w:t xml:space="preserve">Department of Foreign Affairs and Trade, </w:t>
      </w:r>
      <w:r w:rsidRPr="00655137">
        <w:rPr>
          <w:rFonts w:eastAsia="Calibri"/>
          <w:i/>
        </w:rPr>
        <w:t>Aid Program Performance Report 2012−13: Cambodia</w:t>
      </w:r>
      <w:r w:rsidRPr="00655137">
        <w:rPr>
          <w:rFonts w:eastAsia="Calibri"/>
        </w:rPr>
        <w:t>, DFAT, Canberra, 2014.</w:t>
      </w:r>
    </w:p>
  </w:footnote>
  <w:footnote w:id="176">
    <w:p w:rsidR="0060380E" w:rsidRDefault="0060380E" w:rsidP="009F7318">
      <w:pPr>
        <w:pStyle w:val="FootnoteText"/>
      </w:pPr>
      <w:r>
        <w:rPr>
          <w:rStyle w:val="FootnoteReference"/>
        </w:rPr>
        <w:footnoteRef/>
      </w:r>
      <w:r>
        <w:t xml:space="preserve"> </w:t>
      </w:r>
      <w:proofErr w:type="gramStart"/>
      <w:r>
        <w:t>HEART, 2013.</w:t>
      </w:r>
      <w:proofErr w:type="gramEnd"/>
    </w:p>
  </w:footnote>
  <w:footnote w:id="177">
    <w:p w:rsidR="0060380E" w:rsidRPr="00655137" w:rsidRDefault="0060380E" w:rsidP="009F7318">
      <w:pPr>
        <w:rPr>
          <w:rFonts w:eastAsia="Calibri"/>
        </w:rPr>
      </w:pPr>
      <w:r>
        <w:rPr>
          <w:rStyle w:val="FootnoteReference"/>
        </w:rPr>
        <w:footnoteRef/>
      </w:r>
      <w:r>
        <w:t xml:space="preserve"> </w:t>
      </w:r>
      <w:proofErr w:type="gramStart"/>
      <w:r w:rsidRPr="00DE4C91">
        <w:rPr>
          <w:rStyle w:val="FootnoteTextChar"/>
          <w:rFonts w:eastAsia="Calibri"/>
        </w:rPr>
        <w:t>DFAT, 2013</w:t>
      </w:r>
      <w:r>
        <w:rPr>
          <w:rStyle w:val="FootnoteTextChar"/>
          <w:rFonts w:eastAsia="Calibri"/>
        </w:rPr>
        <w:t>.</w:t>
      </w:r>
      <w:proofErr w:type="gramEnd"/>
    </w:p>
    <w:p w:rsidR="0060380E" w:rsidRDefault="0060380E" w:rsidP="009F731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0E" w:rsidRDefault="000171C6">
    <w:pPr>
      <w:pStyle w:val="Header"/>
    </w:pPr>
    <w:r>
      <w:fldChar w:fldCharType="begin"/>
    </w:r>
    <w:r>
      <w:instrText xml:space="preserve"> FILENAME   \* MERGEFORMAT </w:instrText>
    </w:r>
    <w:r>
      <w:fldChar w:fldCharType="separate"/>
    </w:r>
    <w:r w:rsidR="0060380E">
      <w:rPr>
        <w:noProof/>
      </w:rPr>
      <w:t>ODE report ODE 241114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0E" w:rsidRPr="00AA45A4" w:rsidRDefault="0060380E" w:rsidP="00AA45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0E" w:rsidRPr="00AA45A4" w:rsidRDefault="0060380E" w:rsidP="00AA45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0E" w:rsidRPr="00AA45A4" w:rsidRDefault="0060380E" w:rsidP="00AA4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C09001B"/>
    <w:lvl w:ilvl="0">
      <w:start w:val="1"/>
      <w:numFmt w:val="lowerRoman"/>
      <w:pStyle w:val="Numberlist2"/>
      <w:lvlText w:val="%1."/>
      <w:lvlJc w:val="right"/>
      <w:pPr>
        <w:ind w:left="926" w:hanging="360"/>
      </w:pPr>
    </w:lvl>
  </w:abstractNum>
  <w:abstractNum w:abstractNumId="1">
    <w:nsid w:val="FFFFFF7F"/>
    <w:multiLevelType w:val="singleLevel"/>
    <w:tmpl w:val="815641AE"/>
    <w:lvl w:ilvl="0">
      <w:start w:val="1"/>
      <w:numFmt w:val="decimal"/>
      <w:pStyle w:val="NumberList3"/>
      <w:lvlText w:val="%1."/>
      <w:lvlJc w:val="left"/>
      <w:pPr>
        <w:tabs>
          <w:tab w:val="num" w:pos="643"/>
        </w:tabs>
        <w:ind w:left="643" w:hanging="360"/>
      </w:pPr>
    </w:lvl>
  </w:abstractNum>
  <w:abstractNum w:abstractNumId="2">
    <w:nsid w:val="020D66F2"/>
    <w:multiLevelType w:val="hybridMultilevel"/>
    <w:tmpl w:val="484046F0"/>
    <w:lvl w:ilvl="0" w:tplc="FA564518">
      <w:start w:val="1"/>
      <w:numFmt w:val="lowerLetter"/>
      <w:pStyle w:val="TableListNumber2"/>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nsid w:val="04282CE2"/>
    <w:multiLevelType w:val="hybridMultilevel"/>
    <w:tmpl w:val="3DFA0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3D7532"/>
    <w:multiLevelType w:val="hybridMultilevel"/>
    <w:tmpl w:val="E5963DF4"/>
    <w:lvl w:ilvl="0" w:tplc="3B7202E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642DC1"/>
    <w:multiLevelType w:val="hybridMultilevel"/>
    <w:tmpl w:val="0AAA9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216AAF"/>
    <w:multiLevelType w:val="hybridMultilevel"/>
    <w:tmpl w:val="36B07F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4621CE7"/>
    <w:multiLevelType w:val="hybridMultilevel"/>
    <w:tmpl w:val="9F282FDC"/>
    <w:lvl w:ilvl="0" w:tplc="7862B858">
      <w:start w:val="1"/>
      <w:numFmt w:val="bullet"/>
      <w:pStyle w:val="TableDash"/>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8">
    <w:nsid w:val="16BB4224"/>
    <w:multiLevelType w:val="hybridMultilevel"/>
    <w:tmpl w:val="0E427BCE"/>
    <w:lvl w:ilvl="0" w:tplc="167A8A7E">
      <w:start w:val="1"/>
      <w:numFmt w:val="bullet"/>
      <w:pStyle w:val="BoxBullet"/>
      <w:lvlText w:val="›"/>
      <w:lvlJc w:val="left"/>
      <w:pPr>
        <w:tabs>
          <w:tab w:val="num" w:pos="357"/>
        </w:tabs>
        <w:ind w:left="357" w:hanging="35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B7DD8"/>
    <w:multiLevelType w:val="hybridMultilevel"/>
    <w:tmpl w:val="BE4AD784"/>
    <w:lvl w:ilvl="0" w:tplc="A6C2F2AE">
      <w:start w:val="1"/>
      <w:numFmt w:val="lowerLetter"/>
      <w:pStyle w:val="TableNumberList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10">
    <w:nsid w:val="180665BC"/>
    <w:multiLevelType w:val="hybridMultilevel"/>
    <w:tmpl w:val="02C8271A"/>
    <w:lvl w:ilvl="0" w:tplc="666EE2CE">
      <w:start w:val="1"/>
      <w:numFmt w:val="decimal"/>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11">
    <w:nsid w:val="1D143502"/>
    <w:multiLevelType w:val="hybridMultilevel"/>
    <w:tmpl w:val="8296358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E1F5076"/>
    <w:multiLevelType w:val="hybridMultilevel"/>
    <w:tmpl w:val="E52ED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09B02A7"/>
    <w:multiLevelType w:val="singleLevel"/>
    <w:tmpl w:val="0B94AE00"/>
    <w:lvl w:ilvl="0">
      <w:start w:val="1"/>
      <w:numFmt w:val="bullet"/>
      <w:pStyle w:val="Dash"/>
      <w:lvlText w:val="»"/>
      <w:lvlJc w:val="left"/>
      <w:pPr>
        <w:ind w:left="644" w:hanging="360"/>
      </w:pPr>
      <w:rPr>
        <w:rFonts w:ascii="Times New Roman" w:hAnsi="Times New Roman" w:cs="Times New Roman" w:hint="default"/>
        <w:color w:val="auto"/>
        <w:sz w:val="21"/>
        <w:szCs w:val="21"/>
      </w:rPr>
    </w:lvl>
  </w:abstractNum>
  <w:abstractNum w:abstractNumId="14">
    <w:nsid w:val="20C264A7"/>
    <w:multiLevelType w:val="hybridMultilevel"/>
    <w:tmpl w:val="2C52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4469AB"/>
    <w:multiLevelType w:val="hybridMultilevel"/>
    <w:tmpl w:val="73528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0E9255C"/>
    <w:multiLevelType w:val="hybridMultilevel"/>
    <w:tmpl w:val="C70CAD5A"/>
    <w:lvl w:ilvl="0" w:tplc="E5F6D53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393C52"/>
    <w:multiLevelType w:val="hybridMultilevel"/>
    <w:tmpl w:val="36A8266E"/>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5164D4"/>
    <w:multiLevelType w:val="hybridMultilevel"/>
    <w:tmpl w:val="DEBC8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934D0C"/>
    <w:multiLevelType w:val="hybridMultilevel"/>
    <w:tmpl w:val="3A9E3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974D5F"/>
    <w:multiLevelType w:val="hybridMultilevel"/>
    <w:tmpl w:val="76B6BC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2087D42"/>
    <w:multiLevelType w:val="hybridMultilevel"/>
    <w:tmpl w:val="48C87A36"/>
    <w:lvl w:ilvl="0" w:tplc="E1F647D4">
      <w:start w:val="1"/>
      <w:numFmt w:val="decimal"/>
      <w:pStyle w:val="Tabl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0F34AE"/>
    <w:multiLevelType w:val="hybridMultilevel"/>
    <w:tmpl w:val="79FC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2F4A0B"/>
    <w:multiLevelType w:val="hybridMultilevel"/>
    <w:tmpl w:val="AD52AE40"/>
    <w:lvl w:ilvl="0" w:tplc="46908ECC">
      <w:start w:val="1"/>
      <w:numFmt w:val="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95E6950"/>
    <w:multiLevelType w:val="hybridMultilevel"/>
    <w:tmpl w:val="F7EE22AE"/>
    <w:lvl w:ilvl="0" w:tplc="08090001">
      <w:start w:val="1"/>
      <w:numFmt w:val="bullet"/>
      <w:lvlText w:val=""/>
      <w:lvlJc w:val="left"/>
      <w:pPr>
        <w:ind w:left="775" w:hanging="360"/>
      </w:pPr>
      <w:rPr>
        <w:rFonts w:ascii="Symbol" w:hAnsi="Symbol" w:hint="default"/>
      </w:rPr>
    </w:lvl>
    <w:lvl w:ilvl="1" w:tplc="0C090001">
      <w:start w:val="1"/>
      <w:numFmt w:val="bullet"/>
      <w:lvlText w:val=""/>
      <w:lvlJc w:val="left"/>
      <w:pPr>
        <w:ind w:left="1495" w:hanging="360"/>
      </w:pPr>
      <w:rPr>
        <w:rFonts w:ascii="Symbol" w:hAnsi="Symbol"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6">
    <w:nsid w:val="4E100756"/>
    <w:multiLevelType w:val="hybridMultilevel"/>
    <w:tmpl w:val="ED6497E4"/>
    <w:lvl w:ilvl="0" w:tplc="9586D7A6">
      <w:start w:val="1"/>
      <w:numFmt w:val="decimal"/>
      <w:pStyle w:val="Table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3937632"/>
    <w:multiLevelType w:val="hybridMultilevel"/>
    <w:tmpl w:val="1D28D6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380E9F"/>
    <w:multiLevelType w:val="hybridMultilevel"/>
    <w:tmpl w:val="29E4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3A66B7"/>
    <w:multiLevelType w:val="hybridMultilevel"/>
    <w:tmpl w:val="B3A42456"/>
    <w:lvl w:ilvl="0" w:tplc="FAD2CF84">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54330F0"/>
    <w:multiLevelType w:val="hybridMultilevel"/>
    <w:tmpl w:val="6B90E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5E863B5"/>
    <w:multiLevelType w:val="hybridMultilevel"/>
    <w:tmpl w:val="A29E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98A5214"/>
    <w:multiLevelType w:val="hybridMultilevel"/>
    <w:tmpl w:val="7884C832"/>
    <w:lvl w:ilvl="0" w:tplc="07522316">
      <w:start w:val="1"/>
      <w:numFmt w:val="decimal"/>
      <w:pStyle w:val="TableNumberList"/>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9A5528A"/>
    <w:multiLevelType w:val="hybridMultilevel"/>
    <w:tmpl w:val="A4CE0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C6264B4"/>
    <w:multiLevelType w:val="hybridMultilevel"/>
    <w:tmpl w:val="04C2F852"/>
    <w:lvl w:ilvl="0" w:tplc="2E5E2236">
      <w:start w:val="1"/>
      <w:numFmt w:val="bullet"/>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5CB43DDF"/>
    <w:multiLevelType w:val="hybridMultilevel"/>
    <w:tmpl w:val="435A44C8"/>
    <w:lvl w:ilvl="0" w:tplc="B78A9C58">
      <w:start w:val="1"/>
      <w:numFmt w:val="bullet"/>
      <w:lvlText w:val="-"/>
      <w:lvlJc w:val="left"/>
      <w:pPr>
        <w:ind w:left="720" w:hanging="360"/>
      </w:pPr>
      <w:rPr>
        <w:rFonts w:ascii="Palatino Linotype" w:eastAsiaTheme="minorHAnsi" w:hAnsi="Palatino Linotype"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5646A66"/>
    <w:multiLevelType w:val="hybridMultilevel"/>
    <w:tmpl w:val="39AA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C55035"/>
    <w:multiLevelType w:val="hybridMultilevel"/>
    <w:tmpl w:val="55C6E97A"/>
    <w:lvl w:ilvl="0" w:tplc="7848D426">
      <w:start w:val="1"/>
      <w:numFmt w:val="bullet"/>
      <w:pStyle w:val="Table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38">
    <w:nsid w:val="67E80FB3"/>
    <w:multiLevelType w:val="hybridMultilevel"/>
    <w:tmpl w:val="659A42FA"/>
    <w:lvl w:ilvl="0" w:tplc="CA2EE832">
      <w:start w:val="2"/>
      <w:numFmt w:val="bullet"/>
      <w:lvlText w:val="&gt;"/>
      <w:lvlJc w:val="left"/>
      <w:pPr>
        <w:ind w:left="720" w:hanging="360"/>
      </w:pPr>
      <w:rPr>
        <w:rFonts w:ascii="Franklin Gothic Medium" w:eastAsia="Times New Roman" w:hAnsi="Franklin Gothic Medium"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03915D7"/>
    <w:multiLevelType w:val="hybridMultilevel"/>
    <w:tmpl w:val="2F90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8D4DD3"/>
    <w:multiLevelType w:val="hybridMultilevel"/>
    <w:tmpl w:val="87569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F7A528B"/>
    <w:multiLevelType w:val="hybridMultilevel"/>
    <w:tmpl w:val="E71A6964"/>
    <w:lvl w:ilvl="0" w:tplc="7870CCAE">
      <w:start w:val="1"/>
      <w:numFmt w:val="bullet"/>
      <w:pStyle w:val="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2"/>
  </w:num>
  <w:num w:numId="6">
    <w:abstractNumId w:val="26"/>
  </w:num>
  <w:num w:numId="7">
    <w:abstractNumId w:val="2"/>
  </w:num>
  <w:num w:numId="8">
    <w:abstractNumId w:val="13"/>
  </w:num>
  <w:num w:numId="9">
    <w:abstractNumId w:val="41"/>
  </w:num>
  <w:num w:numId="10">
    <w:abstractNumId w:val="37"/>
  </w:num>
  <w:num w:numId="11">
    <w:abstractNumId w:val="7"/>
  </w:num>
  <w:num w:numId="12">
    <w:abstractNumId w:val="32"/>
  </w:num>
  <w:num w:numId="13">
    <w:abstractNumId w:val="9"/>
  </w:num>
  <w:num w:numId="14">
    <w:abstractNumId w:val="17"/>
  </w:num>
  <w:num w:numId="15">
    <w:abstractNumId w:val="30"/>
  </w:num>
  <w:num w:numId="16">
    <w:abstractNumId w:val="25"/>
  </w:num>
  <w:num w:numId="17">
    <w:abstractNumId w:val="12"/>
  </w:num>
  <w:num w:numId="18">
    <w:abstractNumId w:val="3"/>
  </w:num>
  <w:num w:numId="19">
    <w:abstractNumId w:val="19"/>
  </w:num>
  <w:num w:numId="20">
    <w:abstractNumId w:val="5"/>
  </w:num>
  <w:num w:numId="21">
    <w:abstractNumId w:val="33"/>
  </w:num>
  <w:num w:numId="22">
    <w:abstractNumId w:val="20"/>
  </w:num>
  <w:num w:numId="23">
    <w:abstractNumId w:val="15"/>
  </w:num>
  <w:num w:numId="24">
    <w:abstractNumId w:val="36"/>
  </w:num>
  <w:num w:numId="25">
    <w:abstractNumId w:val="23"/>
  </w:num>
  <w:num w:numId="26">
    <w:abstractNumId w:val="31"/>
  </w:num>
  <w:num w:numId="27">
    <w:abstractNumId w:val="14"/>
  </w:num>
  <w:num w:numId="28">
    <w:abstractNumId w:val="27"/>
  </w:num>
  <w:num w:numId="29">
    <w:abstractNumId w:val="6"/>
  </w:num>
  <w:num w:numId="30">
    <w:abstractNumId w:val="17"/>
  </w:num>
  <w:num w:numId="31">
    <w:abstractNumId w:val="17"/>
  </w:num>
  <w:num w:numId="32">
    <w:abstractNumId w:val="17"/>
  </w:num>
  <w:num w:numId="33">
    <w:abstractNumId w:val="11"/>
  </w:num>
  <w:num w:numId="34">
    <w:abstractNumId w:val="39"/>
  </w:num>
  <w:num w:numId="35">
    <w:abstractNumId w:val="40"/>
  </w:num>
  <w:num w:numId="36">
    <w:abstractNumId w:val="35"/>
  </w:num>
  <w:num w:numId="37">
    <w:abstractNumId w:val="10"/>
  </w:num>
  <w:num w:numId="38">
    <w:abstractNumId w:val="4"/>
  </w:num>
  <w:num w:numId="39">
    <w:abstractNumId w:val="29"/>
  </w:num>
  <w:num w:numId="40">
    <w:abstractNumId w:val="24"/>
  </w:num>
  <w:num w:numId="41">
    <w:abstractNumId w:val="34"/>
  </w:num>
  <w:num w:numId="42">
    <w:abstractNumId w:val="38"/>
  </w:num>
  <w:num w:numId="43">
    <w:abstractNumId w:val="21"/>
  </w:num>
  <w:num w:numId="44">
    <w:abstractNumId w:val="18"/>
  </w:num>
  <w:num w:numId="45">
    <w:abstractNumId w:val="41"/>
  </w:num>
  <w:num w:numId="46">
    <w:abstractNumId w:val="28"/>
  </w:num>
  <w:num w:numId="47">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41"/>
    <w:rsid w:val="000017F1"/>
    <w:rsid w:val="000037CD"/>
    <w:rsid w:val="000072E7"/>
    <w:rsid w:val="00011A17"/>
    <w:rsid w:val="00011D94"/>
    <w:rsid w:val="00013434"/>
    <w:rsid w:val="00013A29"/>
    <w:rsid w:val="00015029"/>
    <w:rsid w:val="000171C6"/>
    <w:rsid w:val="000176C5"/>
    <w:rsid w:val="00020488"/>
    <w:rsid w:val="00020AE5"/>
    <w:rsid w:val="0002181F"/>
    <w:rsid w:val="000239EB"/>
    <w:rsid w:val="00026DD6"/>
    <w:rsid w:val="000270B3"/>
    <w:rsid w:val="00027295"/>
    <w:rsid w:val="00030AA8"/>
    <w:rsid w:val="00030D82"/>
    <w:rsid w:val="00031EF5"/>
    <w:rsid w:val="00031F22"/>
    <w:rsid w:val="00032FC2"/>
    <w:rsid w:val="000429F1"/>
    <w:rsid w:val="00044490"/>
    <w:rsid w:val="00044B9D"/>
    <w:rsid w:val="000521AB"/>
    <w:rsid w:val="00052D7C"/>
    <w:rsid w:val="000547FC"/>
    <w:rsid w:val="00055BD7"/>
    <w:rsid w:val="000645A9"/>
    <w:rsid w:val="00065446"/>
    <w:rsid w:val="000661E6"/>
    <w:rsid w:val="00070126"/>
    <w:rsid w:val="000716DD"/>
    <w:rsid w:val="00072411"/>
    <w:rsid w:val="000739AF"/>
    <w:rsid w:val="00074AD9"/>
    <w:rsid w:val="0007619D"/>
    <w:rsid w:val="00077780"/>
    <w:rsid w:val="0008013D"/>
    <w:rsid w:val="00080EA9"/>
    <w:rsid w:val="0009003D"/>
    <w:rsid w:val="0009252E"/>
    <w:rsid w:val="000926C0"/>
    <w:rsid w:val="00094F12"/>
    <w:rsid w:val="00095D5B"/>
    <w:rsid w:val="00096385"/>
    <w:rsid w:val="000978DF"/>
    <w:rsid w:val="00097C6E"/>
    <w:rsid w:val="000A01F0"/>
    <w:rsid w:val="000A0AF0"/>
    <w:rsid w:val="000A1FC9"/>
    <w:rsid w:val="000A202A"/>
    <w:rsid w:val="000B241E"/>
    <w:rsid w:val="000B4D59"/>
    <w:rsid w:val="000B5A3A"/>
    <w:rsid w:val="000C0A59"/>
    <w:rsid w:val="000C10BA"/>
    <w:rsid w:val="000C49FC"/>
    <w:rsid w:val="000C5E27"/>
    <w:rsid w:val="000C6D17"/>
    <w:rsid w:val="000D5560"/>
    <w:rsid w:val="000D5AD9"/>
    <w:rsid w:val="000D7681"/>
    <w:rsid w:val="000E03D7"/>
    <w:rsid w:val="000E1CFA"/>
    <w:rsid w:val="000E1E2C"/>
    <w:rsid w:val="000E328E"/>
    <w:rsid w:val="000E78B1"/>
    <w:rsid w:val="000F08A7"/>
    <w:rsid w:val="000F1020"/>
    <w:rsid w:val="000F2DF5"/>
    <w:rsid w:val="000F317C"/>
    <w:rsid w:val="000F3739"/>
    <w:rsid w:val="000F5473"/>
    <w:rsid w:val="000F6430"/>
    <w:rsid w:val="000F733D"/>
    <w:rsid w:val="000F73D1"/>
    <w:rsid w:val="00100909"/>
    <w:rsid w:val="00100B56"/>
    <w:rsid w:val="001041F7"/>
    <w:rsid w:val="00104E39"/>
    <w:rsid w:val="00105E90"/>
    <w:rsid w:val="00111196"/>
    <w:rsid w:val="0011286D"/>
    <w:rsid w:val="00114BAC"/>
    <w:rsid w:val="00116AC3"/>
    <w:rsid w:val="0011722F"/>
    <w:rsid w:val="00125331"/>
    <w:rsid w:val="00127531"/>
    <w:rsid w:val="00130BFF"/>
    <w:rsid w:val="0013249C"/>
    <w:rsid w:val="001342F7"/>
    <w:rsid w:val="0013770D"/>
    <w:rsid w:val="0014069C"/>
    <w:rsid w:val="00142837"/>
    <w:rsid w:val="00142F9F"/>
    <w:rsid w:val="00150330"/>
    <w:rsid w:val="00151883"/>
    <w:rsid w:val="00151F69"/>
    <w:rsid w:val="001566C1"/>
    <w:rsid w:val="00161542"/>
    <w:rsid w:val="001626F5"/>
    <w:rsid w:val="0016417A"/>
    <w:rsid w:val="00165127"/>
    <w:rsid w:val="00166274"/>
    <w:rsid w:val="00167D43"/>
    <w:rsid w:val="00170AEA"/>
    <w:rsid w:val="00174911"/>
    <w:rsid w:val="00175E39"/>
    <w:rsid w:val="00176933"/>
    <w:rsid w:val="001772F3"/>
    <w:rsid w:val="0018544D"/>
    <w:rsid w:val="001863B5"/>
    <w:rsid w:val="00190F71"/>
    <w:rsid w:val="001931BB"/>
    <w:rsid w:val="001941C2"/>
    <w:rsid w:val="0019576E"/>
    <w:rsid w:val="001A1A97"/>
    <w:rsid w:val="001A2583"/>
    <w:rsid w:val="001A3BD8"/>
    <w:rsid w:val="001B2409"/>
    <w:rsid w:val="001B28EB"/>
    <w:rsid w:val="001B33F3"/>
    <w:rsid w:val="001B33FF"/>
    <w:rsid w:val="001B3F4B"/>
    <w:rsid w:val="001B454D"/>
    <w:rsid w:val="001B6819"/>
    <w:rsid w:val="001C67BD"/>
    <w:rsid w:val="001C6AD8"/>
    <w:rsid w:val="001D2EF0"/>
    <w:rsid w:val="001D4D1F"/>
    <w:rsid w:val="001D6660"/>
    <w:rsid w:val="001E08D9"/>
    <w:rsid w:val="001E0E49"/>
    <w:rsid w:val="001E259C"/>
    <w:rsid w:val="001E3B45"/>
    <w:rsid w:val="001F05D0"/>
    <w:rsid w:val="001F2FB6"/>
    <w:rsid w:val="001F6C94"/>
    <w:rsid w:val="00201707"/>
    <w:rsid w:val="0020319C"/>
    <w:rsid w:val="002041C4"/>
    <w:rsid w:val="00204740"/>
    <w:rsid w:val="00205F21"/>
    <w:rsid w:val="00206F48"/>
    <w:rsid w:val="00211C60"/>
    <w:rsid w:val="00213696"/>
    <w:rsid w:val="00215F28"/>
    <w:rsid w:val="00223521"/>
    <w:rsid w:val="00223911"/>
    <w:rsid w:val="00243067"/>
    <w:rsid w:val="00247AA6"/>
    <w:rsid w:val="00253CF5"/>
    <w:rsid w:val="00255A72"/>
    <w:rsid w:val="002568ED"/>
    <w:rsid w:val="002602B3"/>
    <w:rsid w:val="00261E74"/>
    <w:rsid w:val="002624E1"/>
    <w:rsid w:val="00266202"/>
    <w:rsid w:val="00267E6D"/>
    <w:rsid w:val="00271B40"/>
    <w:rsid w:val="00276B44"/>
    <w:rsid w:val="00282229"/>
    <w:rsid w:val="00284611"/>
    <w:rsid w:val="00284F00"/>
    <w:rsid w:val="00287317"/>
    <w:rsid w:val="00290DCD"/>
    <w:rsid w:val="00291741"/>
    <w:rsid w:val="0029335F"/>
    <w:rsid w:val="0029345F"/>
    <w:rsid w:val="00294CB2"/>
    <w:rsid w:val="00297D91"/>
    <w:rsid w:val="002A1B80"/>
    <w:rsid w:val="002A25BF"/>
    <w:rsid w:val="002A646E"/>
    <w:rsid w:val="002B2E23"/>
    <w:rsid w:val="002B5A07"/>
    <w:rsid w:val="002B5EAE"/>
    <w:rsid w:val="002C19BF"/>
    <w:rsid w:val="002C1A6B"/>
    <w:rsid w:val="002C3F92"/>
    <w:rsid w:val="002C61F5"/>
    <w:rsid w:val="002C752F"/>
    <w:rsid w:val="002D0313"/>
    <w:rsid w:val="002D0691"/>
    <w:rsid w:val="002D501E"/>
    <w:rsid w:val="002D77DA"/>
    <w:rsid w:val="002E11AE"/>
    <w:rsid w:val="002E4BB3"/>
    <w:rsid w:val="002E603C"/>
    <w:rsid w:val="002E6060"/>
    <w:rsid w:val="002E6551"/>
    <w:rsid w:val="002F55EB"/>
    <w:rsid w:val="002F5DCE"/>
    <w:rsid w:val="00300365"/>
    <w:rsid w:val="00300FE4"/>
    <w:rsid w:val="00307EBE"/>
    <w:rsid w:val="003110A0"/>
    <w:rsid w:val="00311B36"/>
    <w:rsid w:val="00312F7A"/>
    <w:rsid w:val="003160B0"/>
    <w:rsid w:val="00320A3D"/>
    <w:rsid w:val="00320A3E"/>
    <w:rsid w:val="0032221D"/>
    <w:rsid w:val="003238BE"/>
    <w:rsid w:val="00325186"/>
    <w:rsid w:val="003252D1"/>
    <w:rsid w:val="00327074"/>
    <w:rsid w:val="00331663"/>
    <w:rsid w:val="003317C1"/>
    <w:rsid w:val="0033188B"/>
    <w:rsid w:val="003348FF"/>
    <w:rsid w:val="00334CB8"/>
    <w:rsid w:val="00334E6D"/>
    <w:rsid w:val="0033754C"/>
    <w:rsid w:val="003375F1"/>
    <w:rsid w:val="00340602"/>
    <w:rsid w:val="003416D4"/>
    <w:rsid w:val="00342F27"/>
    <w:rsid w:val="00343CCB"/>
    <w:rsid w:val="00344DA8"/>
    <w:rsid w:val="00344E75"/>
    <w:rsid w:val="00345AEE"/>
    <w:rsid w:val="003478F4"/>
    <w:rsid w:val="0035342F"/>
    <w:rsid w:val="00355292"/>
    <w:rsid w:val="003574B1"/>
    <w:rsid w:val="003615C8"/>
    <w:rsid w:val="00363543"/>
    <w:rsid w:val="003646F7"/>
    <w:rsid w:val="00364813"/>
    <w:rsid w:val="003669FF"/>
    <w:rsid w:val="00374496"/>
    <w:rsid w:val="00376D7A"/>
    <w:rsid w:val="00376F19"/>
    <w:rsid w:val="00377872"/>
    <w:rsid w:val="00381DDE"/>
    <w:rsid w:val="0038474B"/>
    <w:rsid w:val="003857EB"/>
    <w:rsid w:val="00386086"/>
    <w:rsid w:val="00386725"/>
    <w:rsid w:val="003931F6"/>
    <w:rsid w:val="0039361E"/>
    <w:rsid w:val="0039530F"/>
    <w:rsid w:val="00396F45"/>
    <w:rsid w:val="003A04A0"/>
    <w:rsid w:val="003A32F0"/>
    <w:rsid w:val="003A4879"/>
    <w:rsid w:val="003A5BF7"/>
    <w:rsid w:val="003B0C46"/>
    <w:rsid w:val="003B383F"/>
    <w:rsid w:val="003B38DA"/>
    <w:rsid w:val="003B6598"/>
    <w:rsid w:val="003B7626"/>
    <w:rsid w:val="003C5BF9"/>
    <w:rsid w:val="003C70F5"/>
    <w:rsid w:val="003C7E77"/>
    <w:rsid w:val="003D0620"/>
    <w:rsid w:val="003D06DE"/>
    <w:rsid w:val="003D755B"/>
    <w:rsid w:val="003E18D6"/>
    <w:rsid w:val="003E4024"/>
    <w:rsid w:val="003E531F"/>
    <w:rsid w:val="003E5CD5"/>
    <w:rsid w:val="003E6522"/>
    <w:rsid w:val="003E6B0B"/>
    <w:rsid w:val="003E75A6"/>
    <w:rsid w:val="003F0A4D"/>
    <w:rsid w:val="003F0D08"/>
    <w:rsid w:val="003F4BD9"/>
    <w:rsid w:val="003F6FF6"/>
    <w:rsid w:val="003F751E"/>
    <w:rsid w:val="003F79D6"/>
    <w:rsid w:val="00406DBC"/>
    <w:rsid w:val="00407214"/>
    <w:rsid w:val="004164C0"/>
    <w:rsid w:val="0042090F"/>
    <w:rsid w:val="00422EF0"/>
    <w:rsid w:val="00423A51"/>
    <w:rsid w:val="00424375"/>
    <w:rsid w:val="00425E89"/>
    <w:rsid w:val="0042785A"/>
    <w:rsid w:val="0044143B"/>
    <w:rsid w:val="004463D3"/>
    <w:rsid w:val="004474CB"/>
    <w:rsid w:val="00453F51"/>
    <w:rsid w:val="00456255"/>
    <w:rsid w:val="0045646F"/>
    <w:rsid w:val="00460991"/>
    <w:rsid w:val="00460BF5"/>
    <w:rsid w:val="004616D0"/>
    <w:rsid w:val="004636FC"/>
    <w:rsid w:val="00463C78"/>
    <w:rsid w:val="0046437C"/>
    <w:rsid w:val="0047118A"/>
    <w:rsid w:val="00471E8D"/>
    <w:rsid w:val="00475EDF"/>
    <w:rsid w:val="004822BC"/>
    <w:rsid w:val="0048295D"/>
    <w:rsid w:val="00483032"/>
    <w:rsid w:val="004861A4"/>
    <w:rsid w:val="0048716B"/>
    <w:rsid w:val="00487D77"/>
    <w:rsid w:val="004900B9"/>
    <w:rsid w:val="004924EF"/>
    <w:rsid w:val="004957C3"/>
    <w:rsid w:val="0049699C"/>
    <w:rsid w:val="00497D20"/>
    <w:rsid w:val="004A30E9"/>
    <w:rsid w:val="004A3143"/>
    <w:rsid w:val="004B2D6F"/>
    <w:rsid w:val="004B342D"/>
    <w:rsid w:val="004B36E8"/>
    <w:rsid w:val="004B3E0B"/>
    <w:rsid w:val="004B52F4"/>
    <w:rsid w:val="004B6220"/>
    <w:rsid w:val="004B6773"/>
    <w:rsid w:val="004C4923"/>
    <w:rsid w:val="004C7983"/>
    <w:rsid w:val="004D03A5"/>
    <w:rsid w:val="004D367B"/>
    <w:rsid w:val="004D4B62"/>
    <w:rsid w:val="004D5D91"/>
    <w:rsid w:val="004D79BE"/>
    <w:rsid w:val="004E09B0"/>
    <w:rsid w:val="004E18AC"/>
    <w:rsid w:val="004E3C43"/>
    <w:rsid w:val="004E43E9"/>
    <w:rsid w:val="004E4459"/>
    <w:rsid w:val="004E6A73"/>
    <w:rsid w:val="004E6ED4"/>
    <w:rsid w:val="004F07E1"/>
    <w:rsid w:val="004F08BE"/>
    <w:rsid w:val="0050015F"/>
    <w:rsid w:val="00502659"/>
    <w:rsid w:val="00506992"/>
    <w:rsid w:val="005078F1"/>
    <w:rsid w:val="005106CE"/>
    <w:rsid w:val="00511096"/>
    <w:rsid w:val="00516D13"/>
    <w:rsid w:val="00521D10"/>
    <w:rsid w:val="005253B8"/>
    <w:rsid w:val="00525B1C"/>
    <w:rsid w:val="00527ACF"/>
    <w:rsid w:val="00530E14"/>
    <w:rsid w:val="0054221D"/>
    <w:rsid w:val="00544BCD"/>
    <w:rsid w:val="00546144"/>
    <w:rsid w:val="005524B2"/>
    <w:rsid w:val="005529A9"/>
    <w:rsid w:val="00552E51"/>
    <w:rsid w:val="00556CA1"/>
    <w:rsid w:val="005615FF"/>
    <w:rsid w:val="00570A3A"/>
    <w:rsid w:val="00571A48"/>
    <w:rsid w:val="00573409"/>
    <w:rsid w:val="00574AEC"/>
    <w:rsid w:val="00575E54"/>
    <w:rsid w:val="0058027B"/>
    <w:rsid w:val="00582E44"/>
    <w:rsid w:val="005841F1"/>
    <w:rsid w:val="00586F09"/>
    <w:rsid w:val="00592666"/>
    <w:rsid w:val="00595A68"/>
    <w:rsid w:val="005A2CD6"/>
    <w:rsid w:val="005A3244"/>
    <w:rsid w:val="005A4230"/>
    <w:rsid w:val="005A4C99"/>
    <w:rsid w:val="005A50F5"/>
    <w:rsid w:val="005A596A"/>
    <w:rsid w:val="005A72C4"/>
    <w:rsid w:val="005B3B6E"/>
    <w:rsid w:val="005B7D2C"/>
    <w:rsid w:val="005C481D"/>
    <w:rsid w:val="005C646F"/>
    <w:rsid w:val="005D45AB"/>
    <w:rsid w:val="005D617F"/>
    <w:rsid w:val="005D71A9"/>
    <w:rsid w:val="005E1B46"/>
    <w:rsid w:val="005F0AC3"/>
    <w:rsid w:val="005F1827"/>
    <w:rsid w:val="005F4AAB"/>
    <w:rsid w:val="005F5328"/>
    <w:rsid w:val="00600D70"/>
    <w:rsid w:val="0060380E"/>
    <w:rsid w:val="006047AE"/>
    <w:rsid w:val="006068DE"/>
    <w:rsid w:val="00607F95"/>
    <w:rsid w:val="0061008C"/>
    <w:rsid w:val="00613C39"/>
    <w:rsid w:val="00616058"/>
    <w:rsid w:val="006173A0"/>
    <w:rsid w:val="00623B92"/>
    <w:rsid w:val="00623E4A"/>
    <w:rsid w:val="006271CB"/>
    <w:rsid w:val="006327F7"/>
    <w:rsid w:val="00635DED"/>
    <w:rsid w:val="00636332"/>
    <w:rsid w:val="006408E4"/>
    <w:rsid w:val="00641B24"/>
    <w:rsid w:val="00642530"/>
    <w:rsid w:val="0064287B"/>
    <w:rsid w:val="0064504E"/>
    <w:rsid w:val="00647E29"/>
    <w:rsid w:val="006503BB"/>
    <w:rsid w:val="00651301"/>
    <w:rsid w:val="0065319B"/>
    <w:rsid w:val="00655733"/>
    <w:rsid w:val="006632DE"/>
    <w:rsid w:val="0066662D"/>
    <w:rsid w:val="0066732E"/>
    <w:rsid w:val="00667DF1"/>
    <w:rsid w:val="00670BC7"/>
    <w:rsid w:val="00676C5C"/>
    <w:rsid w:val="006928ED"/>
    <w:rsid w:val="0069293C"/>
    <w:rsid w:val="006929B3"/>
    <w:rsid w:val="00692B58"/>
    <w:rsid w:val="006956F8"/>
    <w:rsid w:val="006962F8"/>
    <w:rsid w:val="00697C59"/>
    <w:rsid w:val="006A0281"/>
    <w:rsid w:val="006A1305"/>
    <w:rsid w:val="006A3817"/>
    <w:rsid w:val="006A3A42"/>
    <w:rsid w:val="006A5EC2"/>
    <w:rsid w:val="006A702C"/>
    <w:rsid w:val="006B0266"/>
    <w:rsid w:val="006B11B8"/>
    <w:rsid w:val="006B170B"/>
    <w:rsid w:val="006B28EB"/>
    <w:rsid w:val="006B3476"/>
    <w:rsid w:val="006B3619"/>
    <w:rsid w:val="006B4086"/>
    <w:rsid w:val="006B5413"/>
    <w:rsid w:val="006B77B5"/>
    <w:rsid w:val="006C1F7D"/>
    <w:rsid w:val="006C62B2"/>
    <w:rsid w:val="006D2050"/>
    <w:rsid w:val="006D41D3"/>
    <w:rsid w:val="006D567A"/>
    <w:rsid w:val="006D7C2B"/>
    <w:rsid w:val="006E22A0"/>
    <w:rsid w:val="006E2630"/>
    <w:rsid w:val="006E2A3B"/>
    <w:rsid w:val="006E2F25"/>
    <w:rsid w:val="006E4B91"/>
    <w:rsid w:val="006E5DF9"/>
    <w:rsid w:val="006E6C28"/>
    <w:rsid w:val="006E6EC7"/>
    <w:rsid w:val="006E78E5"/>
    <w:rsid w:val="006F3E72"/>
    <w:rsid w:val="006F5743"/>
    <w:rsid w:val="0070017B"/>
    <w:rsid w:val="00704FE3"/>
    <w:rsid w:val="00705E1B"/>
    <w:rsid w:val="007069B6"/>
    <w:rsid w:val="007078E4"/>
    <w:rsid w:val="00710671"/>
    <w:rsid w:val="00710DE3"/>
    <w:rsid w:val="00712A99"/>
    <w:rsid w:val="00713464"/>
    <w:rsid w:val="00715EA4"/>
    <w:rsid w:val="00716F3F"/>
    <w:rsid w:val="00720360"/>
    <w:rsid w:val="00721310"/>
    <w:rsid w:val="007216E7"/>
    <w:rsid w:val="007221EB"/>
    <w:rsid w:val="00732467"/>
    <w:rsid w:val="00733153"/>
    <w:rsid w:val="00735739"/>
    <w:rsid w:val="0074567E"/>
    <w:rsid w:val="00746AA8"/>
    <w:rsid w:val="007532F6"/>
    <w:rsid w:val="007534C6"/>
    <w:rsid w:val="00753A6B"/>
    <w:rsid w:val="00755FCB"/>
    <w:rsid w:val="007564C2"/>
    <w:rsid w:val="007573CD"/>
    <w:rsid w:val="00757F91"/>
    <w:rsid w:val="00760DD2"/>
    <w:rsid w:val="007670D4"/>
    <w:rsid w:val="00770969"/>
    <w:rsid w:val="007727A7"/>
    <w:rsid w:val="00772D67"/>
    <w:rsid w:val="00773806"/>
    <w:rsid w:val="00773CBF"/>
    <w:rsid w:val="007754DB"/>
    <w:rsid w:val="007754ED"/>
    <w:rsid w:val="00775582"/>
    <w:rsid w:val="00776598"/>
    <w:rsid w:val="00777462"/>
    <w:rsid w:val="00777661"/>
    <w:rsid w:val="00782251"/>
    <w:rsid w:val="00782D36"/>
    <w:rsid w:val="00786965"/>
    <w:rsid w:val="007871A0"/>
    <w:rsid w:val="00787BF6"/>
    <w:rsid w:val="00793655"/>
    <w:rsid w:val="00793721"/>
    <w:rsid w:val="00794C31"/>
    <w:rsid w:val="00795B53"/>
    <w:rsid w:val="00797A1F"/>
    <w:rsid w:val="007A137D"/>
    <w:rsid w:val="007B14F2"/>
    <w:rsid w:val="007B6376"/>
    <w:rsid w:val="007B781B"/>
    <w:rsid w:val="007C1D1B"/>
    <w:rsid w:val="007C3B62"/>
    <w:rsid w:val="007D0803"/>
    <w:rsid w:val="007D2F2F"/>
    <w:rsid w:val="007D3948"/>
    <w:rsid w:val="007D58EF"/>
    <w:rsid w:val="007E29B1"/>
    <w:rsid w:val="007E5AC1"/>
    <w:rsid w:val="007F41BB"/>
    <w:rsid w:val="007F5108"/>
    <w:rsid w:val="007F7F72"/>
    <w:rsid w:val="00800CB0"/>
    <w:rsid w:val="00801AFE"/>
    <w:rsid w:val="0080270A"/>
    <w:rsid w:val="00805815"/>
    <w:rsid w:val="008108E8"/>
    <w:rsid w:val="00812E83"/>
    <w:rsid w:val="00817A75"/>
    <w:rsid w:val="008212FA"/>
    <w:rsid w:val="008217CC"/>
    <w:rsid w:val="0082533E"/>
    <w:rsid w:val="008257FD"/>
    <w:rsid w:val="0082586C"/>
    <w:rsid w:val="00826301"/>
    <w:rsid w:val="00827AEF"/>
    <w:rsid w:val="0083063E"/>
    <w:rsid w:val="008309A2"/>
    <w:rsid w:val="00832356"/>
    <w:rsid w:val="00833FA9"/>
    <w:rsid w:val="00834D49"/>
    <w:rsid w:val="0083540B"/>
    <w:rsid w:val="00836190"/>
    <w:rsid w:val="00836306"/>
    <w:rsid w:val="00836A09"/>
    <w:rsid w:val="00836E0E"/>
    <w:rsid w:val="008419CC"/>
    <w:rsid w:val="0084428F"/>
    <w:rsid w:val="008445C2"/>
    <w:rsid w:val="008463D7"/>
    <w:rsid w:val="0085275A"/>
    <w:rsid w:val="00852957"/>
    <w:rsid w:val="00860081"/>
    <w:rsid w:val="008606D1"/>
    <w:rsid w:val="00861ABE"/>
    <w:rsid w:val="008625FB"/>
    <w:rsid w:val="0086304F"/>
    <w:rsid w:val="008715B9"/>
    <w:rsid w:val="00872016"/>
    <w:rsid w:val="00872157"/>
    <w:rsid w:val="0087273A"/>
    <w:rsid w:val="00872E0F"/>
    <w:rsid w:val="00875070"/>
    <w:rsid w:val="00877174"/>
    <w:rsid w:val="008771C7"/>
    <w:rsid w:val="008777B4"/>
    <w:rsid w:val="0088030E"/>
    <w:rsid w:val="00880E5D"/>
    <w:rsid w:val="00881A18"/>
    <w:rsid w:val="00883739"/>
    <w:rsid w:val="0088584F"/>
    <w:rsid w:val="0088667E"/>
    <w:rsid w:val="00887FA3"/>
    <w:rsid w:val="00892BC6"/>
    <w:rsid w:val="00897ABE"/>
    <w:rsid w:val="008A2491"/>
    <w:rsid w:val="008A2B3F"/>
    <w:rsid w:val="008A42F1"/>
    <w:rsid w:val="008B01EE"/>
    <w:rsid w:val="008B082F"/>
    <w:rsid w:val="008B429C"/>
    <w:rsid w:val="008B46EB"/>
    <w:rsid w:val="008B7077"/>
    <w:rsid w:val="008B7E2D"/>
    <w:rsid w:val="008C1373"/>
    <w:rsid w:val="008C5435"/>
    <w:rsid w:val="008D09FB"/>
    <w:rsid w:val="008D14EF"/>
    <w:rsid w:val="008D32BA"/>
    <w:rsid w:val="008D45EB"/>
    <w:rsid w:val="008D5825"/>
    <w:rsid w:val="008E0C7A"/>
    <w:rsid w:val="008E32C4"/>
    <w:rsid w:val="008E4082"/>
    <w:rsid w:val="008E4FCF"/>
    <w:rsid w:val="008E5CBC"/>
    <w:rsid w:val="008E5F67"/>
    <w:rsid w:val="008E6A3C"/>
    <w:rsid w:val="008E7949"/>
    <w:rsid w:val="008F281B"/>
    <w:rsid w:val="008F3115"/>
    <w:rsid w:val="008F338F"/>
    <w:rsid w:val="008F3AA8"/>
    <w:rsid w:val="008F3D3D"/>
    <w:rsid w:val="008F62A5"/>
    <w:rsid w:val="00903574"/>
    <w:rsid w:val="00905087"/>
    <w:rsid w:val="00911FF9"/>
    <w:rsid w:val="009260AF"/>
    <w:rsid w:val="009267B2"/>
    <w:rsid w:val="00931D12"/>
    <w:rsid w:val="00932C6D"/>
    <w:rsid w:val="00933448"/>
    <w:rsid w:val="0093462B"/>
    <w:rsid w:val="00936852"/>
    <w:rsid w:val="00937B37"/>
    <w:rsid w:val="009408FA"/>
    <w:rsid w:val="0094197E"/>
    <w:rsid w:val="00943536"/>
    <w:rsid w:val="009435C4"/>
    <w:rsid w:val="00944BDE"/>
    <w:rsid w:val="00945E3D"/>
    <w:rsid w:val="00946F0C"/>
    <w:rsid w:val="0095141A"/>
    <w:rsid w:val="00954D67"/>
    <w:rsid w:val="0096081E"/>
    <w:rsid w:val="00960DBD"/>
    <w:rsid w:val="00961243"/>
    <w:rsid w:val="00963307"/>
    <w:rsid w:val="00967CAB"/>
    <w:rsid w:val="0097056D"/>
    <w:rsid w:val="00971828"/>
    <w:rsid w:val="00972230"/>
    <w:rsid w:val="0097569E"/>
    <w:rsid w:val="00975C95"/>
    <w:rsid w:val="00976D59"/>
    <w:rsid w:val="0098333F"/>
    <w:rsid w:val="009835FD"/>
    <w:rsid w:val="0098385C"/>
    <w:rsid w:val="009839BA"/>
    <w:rsid w:val="009855B8"/>
    <w:rsid w:val="009877F5"/>
    <w:rsid w:val="00997584"/>
    <w:rsid w:val="009A1158"/>
    <w:rsid w:val="009A16FB"/>
    <w:rsid w:val="009A319B"/>
    <w:rsid w:val="009A46A5"/>
    <w:rsid w:val="009A503F"/>
    <w:rsid w:val="009A7F3B"/>
    <w:rsid w:val="009B003C"/>
    <w:rsid w:val="009B3CB6"/>
    <w:rsid w:val="009B4A88"/>
    <w:rsid w:val="009C7BA5"/>
    <w:rsid w:val="009D2634"/>
    <w:rsid w:val="009D5095"/>
    <w:rsid w:val="009D58A6"/>
    <w:rsid w:val="009E1115"/>
    <w:rsid w:val="009E3B68"/>
    <w:rsid w:val="009E4821"/>
    <w:rsid w:val="009E6D66"/>
    <w:rsid w:val="009E70D9"/>
    <w:rsid w:val="009E7EEB"/>
    <w:rsid w:val="009F1B70"/>
    <w:rsid w:val="009F3C1A"/>
    <w:rsid w:val="009F444A"/>
    <w:rsid w:val="009F445C"/>
    <w:rsid w:val="009F5415"/>
    <w:rsid w:val="009F7318"/>
    <w:rsid w:val="009F73E7"/>
    <w:rsid w:val="00A046AE"/>
    <w:rsid w:val="00A104FB"/>
    <w:rsid w:val="00A10960"/>
    <w:rsid w:val="00A10DAD"/>
    <w:rsid w:val="00A15665"/>
    <w:rsid w:val="00A169D8"/>
    <w:rsid w:val="00A2211E"/>
    <w:rsid w:val="00A2261D"/>
    <w:rsid w:val="00A23F6C"/>
    <w:rsid w:val="00A25238"/>
    <w:rsid w:val="00A25D78"/>
    <w:rsid w:val="00A262B8"/>
    <w:rsid w:val="00A268C5"/>
    <w:rsid w:val="00A26DC6"/>
    <w:rsid w:val="00A27C59"/>
    <w:rsid w:val="00A3613E"/>
    <w:rsid w:val="00A37CBA"/>
    <w:rsid w:val="00A40502"/>
    <w:rsid w:val="00A41E84"/>
    <w:rsid w:val="00A458FF"/>
    <w:rsid w:val="00A52F24"/>
    <w:rsid w:val="00A55B04"/>
    <w:rsid w:val="00A55E1D"/>
    <w:rsid w:val="00A564A7"/>
    <w:rsid w:val="00A56950"/>
    <w:rsid w:val="00A57B42"/>
    <w:rsid w:val="00A57BB7"/>
    <w:rsid w:val="00A62792"/>
    <w:rsid w:val="00A62975"/>
    <w:rsid w:val="00A6424B"/>
    <w:rsid w:val="00A70D9B"/>
    <w:rsid w:val="00A724E9"/>
    <w:rsid w:val="00A72825"/>
    <w:rsid w:val="00A73945"/>
    <w:rsid w:val="00A74688"/>
    <w:rsid w:val="00A74956"/>
    <w:rsid w:val="00A755FC"/>
    <w:rsid w:val="00A803F4"/>
    <w:rsid w:val="00A818D6"/>
    <w:rsid w:val="00A83460"/>
    <w:rsid w:val="00A84380"/>
    <w:rsid w:val="00A85465"/>
    <w:rsid w:val="00A9018F"/>
    <w:rsid w:val="00A92110"/>
    <w:rsid w:val="00A92F90"/>
    <w:rsid w:val="00A9331B"/>
    <w:rsid w:val="00A94069"/>
    <w:rsid w:val="00A94E7A"/>
    <w:rsid w:val="00A971B8"/>
    <w:rsid w:val="00A974CA"/>
    <w:rsid w:val="00AA01A1"/>
    <w:rsid w:val="00AA2CA4"/>
    <w:rsid w:val="00AA45A4"/>
    <w:rsid w:val="00AB2B02"/>
    <w:rsid w:val="00AB3A0A"/>
    <w:rsid w:val="00AC2FB8"/>
    <w:rsid w:val="00AC5559"/>
    <w:rsid w:val="00AC58D0"/>
    <w:rsid w:val="00AC67D5"/>
    <w:rsid w:val="00AD0CD0"/>
    <w:rsid w:val="00AD4339"/>
    <w:rsid w:val="00AD6DCF"/>
    <w:rsid w:val="00AE0259"/>
    <w:rsid w:val="00AE0683"/>
    <w:rsid w:val="00AF24FA"/>
    <w:rsid w:val="00AF3C88"/>
    <w:rsid w:val="00AF6247"/>
    <w:rsid w:val="00AF672B"/>
    <w:rsid w:val="00AF7808"/>
    <w:rsid w:val="00B0683F"/>
    <w:rsid w:val="00B072E2"/>
    <w:rsid w:val="00B07DBB"/>
    <w:rsid w:val="00B11A0D"/>
    <w:rsid w:val="00B13CB5"/>
    <w:rsid w:val="00B1647E"/>
    <w:rsid w:val="00B1712A"/>
    <w:rsid w:val="00B21841"/>
    <w:rsid w:val="00B22095"/>
    <w:rsid w:val="00B23F8D"/>
    <w:rsid w:val="00B24C8F"/>
    <w:rsid w:val="00B321BD"/>
    <w:rsid w:val="00B3398F"/>
    <w:rsid w:val="00B34092"/>
    <w:rsid w:val="00B36AFB"/>
    <w:rsid w:val="00B41223"/>
    <w:rsid w:val="00B41FEE"/>
    <w:rsid w:val="00B47D4D"/>
    <w:rsid w:val="00B50476"/>
    <w:rsid w:val="00B50D30"/>
    <w:rsid w:val="00B51AE4"/>
    <w:rsid w:val="00B52517"/>
    <w:rsid w:val="00B54E38"/>
    <w:rsid w:val="00B55651"/>
    <w:rsid w:val="00B55F41"/>
    <w:rsid w:val="00B62111"/>
    <w:rsid w:val="00B624E2"/>
    <w:rsid w:val="00B64994"/>
    <w:rsid w:val="00B66D32"/>
    <w:rsid w:val="00B67242"/>
    <w:rsid w:val="00B7037D"/>
    <w:rsid w:val="00B70ED1"/>
    <w:rsid w:val="00B72DD5"/>
    <w:rsid w:val="00B743B7"/>
    <w:rsid w:val="00B76266"/>
    <w:rsid w:val="00B826D1"/>
    <w:rsid w:val="00B82DFF"/>
    <w:rsid w:val="00B834B9"/>
    <w:rsid w:val="00B84FFA"/>
    <w:rsid w:val="00B859E2"/>
    <w:rsid w:val="00B862F4"/>
    <w:rsid w:val="00B871E0"/>
    <w:rsid w:val="00B91464"/>
    <w:rsid w:val="00B93351"/>
    <w:rsid w:val="00B971D4"/>
    <w:rsid w:val="00B97C5E"/>
    <w:rsid w:val="00BA0D41"/>
    <w:rsid w:val="00BA5205"/>
    <w:rsid w:val="00BA7CAC"/>
    <w:rsid w:val="00BB1574"/>
    <w:rsid w:val="00BB436C"/>
    <w:rsid w:val="00BB5800"/>
    <w:rsid w:val="00BB64D6"/>
    <w:rsid w:val="00BC3521"/>
    <w:rsid w:val="00BC3FB6"/>
    <w:rsid w:val="00BC5E95"/>
    <w:rsid w:val="00BD158C"/>
    <w:rsid w:val="00BD22A7"/>
    <w:rsid w:val="00BD33AC"/>
    <w:rsid w:val="00BD346C"/>
    <w:rsid w:val="00BE10F8"/>
    <w:rsid w:val="00BE1435"/>
    <w:rsid w:val="00BE3345"/>
    <w:rsid w:val="00BE490B"/>
    <w:rsid w:val="00BE5881"/>
    <w:rsid w:val="00BE780B"/>
    <w:rsid w:val="00BF0F3E"/>
    <w:rsid w:val="00BF1D7B"/>
    <w:rsid w:val="00BF3BE1"/>
    <w:rsid w:val="00BF51FF"/>
    <w:rsid w:val="00BF7040"/>
    <w:rsid w:val="00C03EB2"/>
    <w:rsid w:val="00C049B6"/>
    <w:rsid w:val="00C04C4C"/>
    <w:rsid w:val="00C0755B"/>
    <w:rsid w:val="00C129A0"/>
    <w:rsid w:val="00C129BB"/>
    <w:rsid w:val="00C12A8C"/>
    <w:rsid w:val="00C151E6"/>
    <w:rsid w:val="00C15DB3"/>
    <w:rsid w:val="00C15FD1"/>
    <w:rsid w:val="00C1664F"/>
    <w:rsid w:val="00C16AE9"/>
    <w:rsid w:val="00C20764"/>
    <w:rsid w:val="00C21CF8"/>
    <w:rsid w:val="00C2349E"/>
    <w:rsid w:val="00C23BC7"/>
    <w:rsid w:val="00C26138"/>
    <w:rsid w:val="00C30B0E"/>
    <w:rsid w:val="00C315EA"/>
    <w:rsid w:val="00C32F55"/>
    <w:rsid w:val="00C3363C"/>
    <w:rsid w:val="00C34411"/>
    <w:rsid w:val="00C35A8D"/>
    <w:rsid w:val="00C35D08"/>
    <w:rsid w:val="00C35F48"/>
    <w:rsid w:val="00C45040"/>
    <w:rsid w:val="00C45C28"/>
    <w:rsid w:val="00C51075"/>
    <w:rsid w:val="00C532A3"/>
    <w:rsid w:val="00C535CC"/>
    <w:rsid w:val="00C53D9C"/>
    <w:rsid w:val="00C56695"/>
    <w:rsid w:val="00C5750C"/>
    <w:rsid w:val="00C61846"/>
    <w:rsid w:val="00C62400"/>
    <w:rsid w:val="00C630DF"/>
    <w:rsid w:val="00C6406A"/>
    <w:rsid w:val="00C65228"/>
    <w:rsid w:val="00C729DE"/>
    <w:rsid w:val="00C746D1"/>
    <w:rsid w:val="00C75DE5"/>
    <w:rsid w:val="00C80389"/>
    <w:rsid w:val="00C824C6"/>
    <w:rsid w:val="00C82E35"/>
    <w:rsid w:val="00C831DF"/>
    <w:rsid w:val="00C834F1"/>
    <w:rsid w:val="00C83636"/>
    <w:rsid w:val="00C844E3"/>
    <w:rsid w:val="00C84F48"/>
    <w:rsid w:val="00C85E13"/>
    <w:rsid w:val="00C87829"/>
    <w:rsid w:val="00C90C19"/>
    <w:rsid w:val="00C92341"/>
    <w:rsid w:val="00C9551B"/>
    <w:rsid w:val="00C9562E"/>
    <w:rsid w:val="00C95F06"/>
    <w:rsid w:val="00CA15C8"/>
    <w:rsid w:val="00CA213B"/>
    <w:rsid w:val="00CA24DF"/>
    <w:rsid w:val="00CB1723"/>
    <w:rsid w:val="00CB2308"/>
    <w:rsid w:val="00CB68F3"/>
    <w:rsid w:val="00CC0E3A"/>
    <w:rsid w:val="00CC1947"/>
    <w:rsid w:val="00CC776F"/>
    <w:rsid w:val="00CD0A97"/>
    <w:rsid w:val="00CD3664"/>
    <w:rsid w:val="00CD4E02"/>
    <w:rsid w:val="00CE0EB4"/>
    <w:rsid w:val="00CE32A3"/>
    <w:rsid w:val="00CE4001"/>
    <w:rsid w:val="00CE4FA2"/>
    <w:rsid w:val="00CE5569"/>
    <w:rsid w:val="00CE63A4"/>
    <w:rsid w:val="00CE75FD"/>
    <w:rsid w:val="00CF14D2"/>
    <w:rsid w:val="00CF24CE"/>
    <w:rsid w:val="00CF4C32"/>
    <w:rsid w:val="00CF6C64"/>
    <w:rsid w:val="00D00308"/>
    <w:rsid w:val="00D018E7"/>
    <w:rsid w:val="00D020BE"/>
    <w:rsid w:val="00D02812"/>
    <w:rsid w:val="00D0393C"/>
    <w:rsid w:val="00D0603F"/>
    <w:rsid w:val="00D063ED"/>
    <w:rsid w:val="00D119FE"/>
    <w:rsid w:val="00D130FD"/>
    <w:rsid w:val="00D20FD9"/>
    <w:rsid w:val="00D23876"/>
    <w:rsid w:val="00D24D7E"/>
    <w:rsid w:val="00D3288D"/>
    <w:rsid w:val="00D330CD"/>
    <w:rsid w:val="00D3514D"/>
    <w:rsid w:val="00D37533"/>
    <w:rsid w:val="00D37641"/>
    <w:rsid w:val="00D44071"/>
    <w:rsid w:val="00D44284"/>
    <w:rsid w:val="00D45C6B"/>
    <w:rsid w:val="00D5121C"/>
    <w:rsid w:val="00D62498"/>
    <w:rsid w:val="00D73DBF"/>
    <w:rsid w:val="00D75AC5"/>
    <w:rsid w:val="00D81B7F"/>
    <w:rsid w:val="00D82B1A"/>
    <w:rsid w:val="00D82FB8"/>
    <w:rsid w:val="00D83F1E"/>
    <w:rsid w:val="00D8435B"/>
    <w:rsid w:val="00D85147"/>
    <w:rsid w:val="00D9022A"/>
    <w:rsid w:val="00D9103E"/>
    <w:rsid w:val="00D910CA"/>
    <w:rsid w:val="00D91599"/>
    <w:rsid w:val="00D91B73"/>
    <w:rsid w:val="00D91C06"/>
    <w:rsid w:val="00D92BCA"/>
    <w:rsid w:val="00D939C8"/>
    <w:rsid w:val="00D961DF"/>
    <w:rsid w:val="00D96F7C"/>
    <w:rsid w:val="00DA56A3"/>
    <w:rsid w:val="00DA5A21"/>
    <w:rsid w:val="00DB112B"/>
    <w:rsid w:val="00DB3B74"/>
    <w:rsid w:val="00DB6571"/>
    <w:rsid w:val="00DB7BE5"/>
    <w:rsid w:val="00DC122C"/>
    <w:rsid w:val="00DC7351"/>
    <w:rsid w:val="00DD351A"/>
    <w:rsid w:val="00DD4F49"/>
    <w:rsid w:val="00DE0CAE"/>
    <w:rsid w:val="00DE1104"/>
    <w:rsid w:val="00DE2FE5"/>
    <w:rsid w:val="00DE3FBF"/>
    <w:rsid w:val="00DE491F"/>
    <w:rsid w:val="00DE4C91"/>
    <w:rsid w:val="00DE74D2"/>
    <w:rsid w:val="00DF183F"/>
    <w:rsid w:val="00DF1B3A"/>
    <w:rsid w:val="00DF1DD1"/>
    <w:rsid w:val="00DF4801"/>
    <w:rsid w:val="00DF56DD"/>
    <w:rsid w:val="00DF6361"/>
    <w:rsid w:val="00E02652"/>
    <w:rsid w:val="00E03278"/>
    <w:rsid w:val="00E0506D"/>
    <w:rsid w:val="00E052EA"/>
    <w:rsid w:val="00E06902"/>
    <w:rsid w:val="00E07D7E"/>
    <w:rsid w:val="00E141E1"/>
    <w:rsid w:val="00E1667A"/>
    <w:rsid w:val="00E21112"/>
    <w:rsid w:val="00E214E1"/>
    <w:rsid w:val="00E26D9D"/>
    <w:rsid w:val="00E27BA1"/>
    <w:rsid w:val="00E31DDC"/>
    <w:rsid w:val="00E337E0"/>
    <w:rsid w:val="00E33AFA"/>
    <w:rsid w:val="00E33C6F"/>
    <w:rsid w:val="00E35DF1"/>
    <w:rsid w:val="00E40F8B"/>
    <w:rsid w:val="00E41DA6"/>
    <w:rsid w:val="00E43269"/>
    <w:rsid w:val="00E437BF"/>
    <w:rsid w:val="00E461B2"/>
    <w:rsid w:val="00E4665F"/>
    <w:rsid w:val="00E50821"/>
    <w:rsid w:val="00E50CBE"/>
    <w:rsid w:val="00E51429"/>
    <w:rsid w:val="00E52173"/>
    <w:rsid w:val="00E56E22"/>
    <w:rsid w:val="00E60882"/>
    <w:rsid w:val="00E60C43"/>
    <w:rsid w:val="00E60E4F"/>
    <w:rsid w:val="00E61CC5"/>
    <w:rsid w:val="00E63248"/>
    <w:rsid w:val="00E64C27"/>
    <w:rsid w:val="00E705EF"/>
    <w:rsid w:val="00E718A6"/>
    <w:rsid w:val="00E73BD4"/>
    <w:rsid w:val="00E77D9F"/>
    <w:rsid w:val="00E80BF3"/>
    <w:rsid w:val="00E80E74"/>
    <w:rsid w:val="00E8591A"/>
    <w:rsid w:val="00E87BE9"/>
    <w:rsid w:val="00E903B7"/>
    <w:rsid w:val="00E914CA"/>
    <w:rsid w:val="00E92F8F"/>
    <w:rsid w:val="00E93D4F"/>
    <w:rsid w:val="00EA27D5"/>
    <w:rsid w:val="00EB025E"/>
    <w:rsid w:val="00EB0D4C"/>
    <w:rsid w:val="00EB2C0D"/>
    <w:rsid w:val="00EB4AC2"/>
    <w:rsid w:val="00EB4EEA"/>
    <w:rsid w:val="00EB5D6F"/>
    <w:rsid w:val="00EB6A10"/>
    <w:rsid w:val="00EC055B"/>
    <w:rsid w:val="00EC160E"/>
    <w:rsid w:val="00EC6052"/>
    <w:rsid w:val="00ED29EF"/>
    <w:rsid w:val="00ED3E73"/>
    <w:rsid w:val="00ED4425"/>
    <w:rsid w:val="00ED44B7"/>
    <w:rsid w:val="00ED618E"/>
    <w:rsid w:val="00ED78FA"/>
    <w:rsid w:val="00ED7E0D"/>
    <w:rsid w:val="00EE060B"/>
    <w:rsid w:val="00EE178D"/>
    <w:rsid w:val="00EE3020"/>
    <w:rsid w:val="00EE3699"/>
    <w:rsid w:val="00EE5251"/>
    <w:rsid w:val="00EE52E8"/>
    <w:rsid w:val="00EE7B06"/>
    <w:rsid w:val="00EF16A8"/>
    <w:rsid w:val="00EF1ED6"/>
    <w:rsid w:val="00EF57A3"/>
    <w:rsid w:val="00EF7543"/>
    <w:rsid w:val="00F000D1"/>
    <w:rsid w:val="00F00B75"/>
    <w:rsid w:val="00F0381C"/>
    <w:rsid w:val="00F14B8C"/>
    <w:rsid w:val="00F23111"/>
    <w:rsid w:val="00F2346A"/>
    <w:rsid w:val="00F236FC"/>
    <w:rsid w:val="00F23C5B"/>
    <w:rsid w:val="00F23F67"/>
    <w:rsid w:val="00F25C94"/>
    <w:rsid w:val="00F267FD"/>
    <w:rsid w:val="00F27597"/>
    <w:rsid w:val="00F27F42"/>
    <w:rsid w:val="00F31287"/>
    <w:rsid w:val="00F326F3"/>
    <w:rsid w:val="00F354E7"/>
    <w:rsid w:val="00F37CA7"/>
    <w:rsid w:val="00F4201A"/>
    <w:rsid w:val="00F43F78"/>
    <w:rsid w:val="00F44BAA"/>
    <w:rsid w:val="00F517AE"/>
    <w:rsid w:val="00F57AE3"/>
    <w:rsid w:val="00F61E38"/>
    <w:rsid w:val="00F64E79"/>
    <w:rsid w:val="00F65C7D"/>
    <w:rsid w:val="00F7159D"/>
    <w:rsid w:val="00F73408"/>
    <w:rsid w:val="00F75C88"/>
    <w:rsid w:val="00F760B7"/>
    <w:rsid w:val="00F8573C"/>
    <w:rsid w:val="00F86ADF"/>
    <w:rsid w:val="00F86D4B"/>
    <w:rsid w:val="00F87845"/>
    <w:rsid w:val="00F90819"/>
    <w:rsid w:val="00F93E2F"/>
    <w:rsid w:val="00F94BBA"/>
    <w:rsid w:val="00F9550C"/>
    <w:rsid w:val="00FA0327"/>
    <w:rsid w:val="00FA0AE7"/>
    <w:rsid w:val="00FA1A79"/>
    <w:rsid w:val="00FA2EB0"/>
    <w:rsid w:val="00FA3775"/>
    <w:rsid w:val="00FA5DE1"/>
    <w:rsid w:val="00FA74F2"/>
    <w:rsid w:val="00FB1683"/>
    <w:rsid w:val="00FB257B"/>
    <w:rsid w:val="00FB2882"/>
    <w:rsid w:val="00FB2918"/>
    <w:rsid w:val="00FB29BE"/>
    <w:rsid w:val="00FB4D3C"/>
    <w:rsid w:val="00FB4E1F"/>
    <w:rsid w:val="00FB7162"/>
    <w:rsid w:val="00FB798A"/>
    <w:rsid w:val="00FC202E"/>
    <w:rsid w:val="00FC48FD"/>
    <w:rsid w:val="00FC5FB9"/>
    <w:rsid w:val="00FC6064"/>
    <w:rsid w:val="00FC606D"/>
    <w:rsid w:val="00FD0482"/>
    <w:rsid w:val="00FD2FAD"/>
    <w:rsid w:val="00FD5E11"/>
    <w:rsid w:val="00FD615C"/>
    <w:rsid w:val="00FD64F2"/>
    <w:rsid w:val="00FE4213"/>
    <w:rsid w:val="00FE587C"/>
    <w:rsid w:val="00FE64E2"/>
    <w:rsid w:val="00FE764D"/>
    <w:rsid w:val="00FF2B04"/>
    <w:rsid w:val="00FF2F3D"/>
    <w:rsid w:val="00FF7845"/>
    <w:rsid w:val="00FF7B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1D"/>
    <w:pPr>
      <w:spacing w:before="40" w:after="160" w:line="288" w:lineRule="auto"/>
    </w:pPr>
    <w:rPr>
      <w:rFonts w:ascii="Franklin Gothic Book" w:hAnsi="Franklin Gothic Book"/>
      <w:sz w:val="21"/>
    </w:rPr>
  </w:style>
  <w:style w:type="paragraph" w:styleId="Heading1">
    <w:name w:val="heading 1"/>
    <w:basedOn w:val="Normal"/>
    <w:next w:val="Normal"/>
    <w:link w:val="Heading1Char"/>
    <w:qFormat/>
    <w:rsid w:val="0054221D"/>
    <w:pPr>
      <w:keepNext/>
      <w:pageBreakBefore/>
      <w:spacing w:before="480" w:after="1560" w:line="540" w:lineRule="atLeast"/>
      <w:ind w:left="720" w:hanging="720"/>
      <w:outlineLvl w:val="0"/>
    </w:pPr>
    <w:rPr>
      <w:rFonts w:ascii="Arial" w:hAnsi="Arial" w:cs="Arial"/>
      <w:bCs/>
      <w:color w:val="FFFFFF" w:themeColor="background1"/>
      <w:sz w:val="44"/>
      <w:szCs w:val="32"/>
    </w:rPr>
  </w:style>
  <w:style w:type="paragraph" w:styleId="Heading2">
    <w:name w:val="heading 2"/>
    <w:basedOn w:val="Normal"/>
    <w:next w:val="Normal"/>
    <w:link w:val="Heading2Char"/>
    <w:qFormat/>
    <w:rsid w:val="0054221D"/>
    <w:pPr>
      <w:keepNext/>
      <w:spacing w:before="480" w:after="120" w:line="240" w:lineRule="auto"/>
      <w:ind w:left="720" w:hanging="720"/>
      <w:outlineLvl w:val="1"/>
    </w:pPr>
    <w:rPr>
      <w:rFonts w:ascii="Arial" w:hAnsi="Arial" w:cs="Arial"/>
      <w:b/>
      <w:bCs/>
      <w:iCs/>
      <w:color w:val="124486"/>
      <w:sz w:val="28"/>
      <w:szCs w:val="28"/>
    </w:rPr>
  </w:style>
  <w:style w:type="paragraph" w:styleId="Heading3">
    <w:name w:val="heading 3"/>
    <w:basedOn w:val="Normal"/>
    <w:next w:val="Normal"/>
    <w:link w:val="Heading3Char"/>
    <w:qFormat/>
    <w:rsid w:val="0054221D"/>
    <w:pPr>
      <w:keepNext/>
      <w:spacing w:before="360" w:after="120" w:line="240" w:lineRule="auto"/>
      <w:ind w:left="720" w:hanging="720"/>
      <w:outlineLvl w:val="2"/>
    </w:pPr>
    <w:rPr>
      <w:rFonts w:ascii="Arial" w:hAnsi="Arial" w:cs="Arial"/>
      <w:bCs/>
      <w:color w:val="007FAD"/>
      <w:sz w:val="24"/>
      <w:szCs w:val="26"/>
    </w:rPr>
  </w:style>
  <w:style w:type="paragraph" w:styleId="Heading4">
    <w:name w:val="heading 4"/>
    <w:basedOn w:val="Normal"/>
    <w:next w:val="Normal"/>
    <w:link w:val="Heading4Char"/>
    <w:rsid w:val="0054221D"/>
    <w:pPr>
      <w:keepNext/>
      <w:spacing w:before="240" w:after="120"/>
      <w:outlineLvl w:val="3"/>
    </w:pPr>
    <w:rPr>
      <w:rFonts w:ascii="Arial" w:hAnsi="Arial"/>
      <w:b/>
      <w:bCs/>
      <w:sz w:val="22"/>
      <w:szCs w:val="28"/>
    </w:rPr>
  </w:style>
  <w:style w:type="paragraph" w:styleId="Heading5">
    <w:name w:val="heading 5"/>
    <w:basedOn w:val="Normal"/>
    <w:next w:val="Normal"/>
    <w:link w:val="Heading5Char"/>
    <w:rsid w:val="0054221D"/>
    <w:pPr>
      <w:keepNext/>
      <w:spacing w:before="60" w:after="60"/>
      <w:outlineLvl w:val="4"/>
    </w:pPr>
    <w:rPr>
      <w:rFonts w:ascii="Arial" w:hAnsi="Arial"/>
      <w:bCs/>
      <w:i/>
      <w:iCs/>
      <w:sz w:val="22"/>
      <w:szCs w:val="26"/>
    </w:rPr>
  </w:style>
  <w:style w:type="paragraph" w:styleId="Heading6">
    <w:name w:val="heading 6"/>
    <w:basedOn w:val="Normal"/>
    <w:next w:val="Normal"/>
    <w:link w:val="Heading6Char"/>
    <w:uiPriority w:val="9"/>
    <w:semiHidden/>
    <w:unhideWhenUsed/>
    <w:qFormat/>
    <w:rsid w:val="00DE491F"/>
    <w:pPr>
      <w:keepNext/>
      <w:keepLines/>
      <w:spacing w:after="0" w:line="276" w:lineRule="auto"/>
      <w:outlineLvl w:val="5"/>
    </w:pPr>
    <w:rPr>
      <w:rFonts w:asciiTheme="majorHAnsi" w:eastAsiaTheme="majorEastAsia" w:hAnsiTheme="majorHAnsi" w:cstheme="majorBidi"/>
      <w:i/>
      <w:iCs/>
      <w:caps/>
      <w:color w:val="244061" w:themeColor="accent1" w:themeShade="80"/>
      <w:sz w:val="20"/>
      <w:lang w:val="en-GB" w:eastAsia="en-US"/>
    </w:rPr>
  </w:style>
  <w:style w:type="paragraph" w:styleId="Heading7">
    <w:name w:val="heading 7"/>
    <w:basedOn w:val="Normal"/>
    <w:next w:val="Normal"/>
    <w:link w:val="Heading7Char"/>
    <w:uiPriority w:val="9"/>
    <w:semiHidden/>
    <w:unhideWhenUsed/>
    <w:qFormat/>
    <w:rsid w:val="00DE491F"/>
    <w:pPr>
      <w:keepNext/>
      <w:keepLines/>
      <w:spacing w:after="0" w:line="276" w:lineRule="auto"/>
      <w:outlineLvl w:val="6"/>
    </w:pPr>
    <w:rPr>
      <w:rFonts w:asciiTheme="majorHAnsi" w:eastAsiaTheme="majorEastAsia" w:hAnsiTheme="majorHAnsi" w:cstheme="majorBidi"/>
      <w:b/>
      <w:bCs/>
      <w:color w:val="244061" w:themeColor="accent1" w:themeShade="80"/>
      <w:sz w:val="20"/>
      <w:lang w:val="en-GB" w:eastAsia="en-US"/>
    </w:rPr>
  </w:style>
  <w:style w:type="paragraph" w:styleId="Heading8">
    <w:name w:val="heading 8"/>
    <w:basedOn w:val="Normal"/>
    <w:next w:val="Normal"/>
    <w:link w:val="Heading8Char"/>
    <w:uiPriority w:val="9"/>
    <w:semiHidden/>
    <w:unhideWhenUsed/>
    <w:qFormat/>
    <w:rsid w:val="00DE491F"/>
    <w:pPr>
      <w:keepNext/>
      <w:keepLines/>
      <w:spacing w:after="0" w:line="276" w:lineRule="auto"/>
      <w:outlineLvl w:val="7"/>
    </w:pPr>
    <w:rPr>
      <w:rFonts w:asciiTheme="majorHAnsi" w:eastAsiaTheme="majorEastAsia" w:hAnsiTheme="majorHAnsi" w:cstheme="majorBidi"/>
      <w:b/>
      <w:bCs/>
      <w:i/>
      <w:iCs/>
      <w:color w:val="244061" w:themeColor="accent1" w:themeShade="80"/>
      <w:sz w:val="20"/>
      <w:lang w:val="en-GB" w:eastAsia="en-US"/>
    </w:rPr>
  </w:style>
  <w:style w:type="paragraph" w:styleId="Heading9">
    <w:name w:val="heading 9"/>
    <w:basedOn w:val="Normal"/>
    <w:next w:val="Normal"/>
    <w:link w:val="Heading9Char"/>
    <w:uiPriority w:val="9"/>
    <w:semiHidden/>
    <w:unhideWhenUsed/>
    <w:qFormat/>
    <w:rsid w:val="00DE491F"/>
    <w:pPr>
      <w:keepNext/>
      <w:keepLines/>
      <w:spacing w:after="0" w:line="276" w:lineRule="auto"/>
      <w:outlineLvl w:val="8"/>
    </w:pPr>
    <w:rPr>
      <w:rFonts w:asciiTheme="majorHAnsi" w:eastAsiaTheme="majorEastAsia" w:hAnsiTheme="majorHAnsi" w:cstheme="majorBidi"/>
      <w:i/>
      <w:iCs/>
      <w:color w:val="244061" w:themeColor="accent1" w:themeShade="8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Normal"/>
    <w:link w:val="DateChar"/>
    <w:rsid w:val="0054221D"/>
    <w:pPr>
      <w:spacing w:after="600"/>
    </w:pPr>
    <w:rPr>
      <w:i/>
      <w:iCs/>
    </w:rPr>
  </w:style>
  <w:style w:type="paragraph" w:customStyle="1" w:styleId="PullQuote">
    <w:name w:val="PullQuote"/>
    <w:basedOn w:val="Normal"/>
    <w:next w:val="Normal"/>
    <w:rsid w:val="0054221D"/>
    <w:rPr>
      <w:rFonts w:ascii="Trebuchet MS" w:hAnsi="Trebuchet MS"/>
      <w:b/>
      <w:i/>
      <w:color w:val="007FAD"/>
    </w:rPr>
  </w:style>
  <w:style w:type="paragraph" w:customStyle="1" w:styleId="ReportDate">
    <w:name w:val="ReportDate"/>
    <w:basedOn w:val="Normal"/>
    <w:rsid w:val="0054221D"/>
    <w:pPr>
      <w:spacing w:before="960"/>
    </w:pPr>
    <w:rPr>
      <w:rFonts w:asciiTheme="minorHAnsi" w:hAnsiTheme="minorHAnsi"/>
      <w:sz w:val="28"/>
    </w:rPr>
  </w:style>
  <w:style w:type="paragraph" w:customStyle="1" w:styleId="Heading1a">
    <w:name w:val="Heading 1a"/>
    <w:basedOn w:val="Heading1"/>
    <w:next w:val="Normal"/>
    <w:rsid w:val="0054221D"/>
    <w:pPr>
      <w:outlineLvl w:val="9"/>
    </w:pPr>
  </w:style>
  <w:style w:type="paragraph" w:customStyle="1" w:styleId="Heading2a">
    <w:name w:val="Heading 2a"/>
    <w:basedOn w:val="Heading2"/>
    <w:next w:val="Normal"/>
    <w:rsid w:val="0054221D"/>
    <w:pPr>
      <w:ind w:left="0" w:firstLine="0"/>
      <w:outlineLvl w:val="9"/>
    </w:pPr>
  </w:style>
  <w:style w:type="paragraph" w:customStyle="1" w:styleId="Heading3a">
    <w:name w:val="Heading 3a"/>
    <w:basedOn w:val="Heading3"/>
    <w:next w:val="Normal"/>
    <w:rsid w:val="0054221D"/>
    <w:pPr>
      <w:ind w:left="0" w:firstLine="0"/>
      <w:outlineLvl w:val="9"/>
    </w:pPr>
  </w:style>
  <w:style w:type="paragraph" w:styleId="Header">
    <w:name w:val="header"/>
    <w:basedOn w:val="Normal"/>
    <w:link w:val="HeaderChar"/>
    <w:uiPriority w:val="99"/>
    <w:rsid w:val="0054221D"/>
    <w:pPr>
      <w:tabs>
        <w:tab w:val="right" w:pos="9000"/>
      </w:tabs>
      <w:spacing w:after="0"/>
    </w:pPr>
    <w:rPr>
      <w:sz w:val="18"/>
    </w:rPr>
  </w:style>
  <w:style w:type="paragraph" w:styleId="Footer">
    <w:name w:val="footer"/>
    <w:basedOn w:val="Normal"/>
    <w:link w:val="FooterChar"/>
    <w:uiPriority w:val="99"/>
    <w:rsid w:val="0054221D"/>
    <w:pPr>
      <w:tabs>
        <w:tab w:val="right" w:pos="9000"/>
      </w:tabs>
      <w:spacing w:after="0"/>
    </w:pPr>
    <w:rPr>
      <w:sz w:val="20"/>
    </w:rPr>
  </w:style>
  <w:style w:type="character" w:styleId="PageNumber">
    <w:name w:val="page number"/>
    <w:basedOn w:val="DefaultParagraphFont"/>
    <w:semiHidden/>
    <w:rsid w:val="0054221D"/>
    <w:rPr>
      <w:rFonts w:ascii="Times New Roman" w:hAnsi="Times New Roman"/>
      <w:b/>
      <w:sz w:val="20"/>
    </w:rPr>
  </w:style>
  <w:style w:type="paragraph" w:customStyle="1" w:styleId="TableText">
    <w:name w:val="TableText"/>
    <w:basedOn w:val="Normal"/>
    <w:rsid w:val="0054221D"/>
    <w:pPr>
      <w:keepNext/>
      <w:spacing w:after="40" w:line="200" w:lineRule="atLeast"/>
    </w:pPr>
    <w:rPr>
      <w:color w:val="000000" w:themeColor="text1"/>
      <w:sz w:val="17"/>
      <w:szCs w:val="21"/>
    </w:rPr>
  </w:style>
  <w:style w:type="paragraph" w:customStyle="1" w:styleId="TFListNotesSpace">
    <w:name w:val="TFListNotes+Space"/>
    <w:basedOn w:val="TableText"/>
    <w:next w:val="Normal"/>
    <w:rsid w:val="0054221D"/>
    <w:pPr>
      <w:keepNext w:val="0"/>
      <w:keepLines/>
      <w:spacing w:after="360"/>
      <w:ind w:left="170" w:hanging="170"/>
    </w:pPr>
    <w:rPr>
      <w:sz w:val="16"/>
      <w:szCs w:val="18"/>
    </w:rPr>
  </w:style>
  <w:style w:type="paragraph" w:customStyle="1" w:styleId="TFListNotes">
    <w:name w:val="TFListNotes"/>
    <w:basedOn w:val="TFListNotesSpace"/>
    <w:rsid w:val="0054221D"/>
    <w:pPr>
      <w:keepNext/>
      <w:spacing w:after="0"/>
    </w:pPr>
  </w:style>
  <w:style w:type="paragraph" w:customStyle="1" w:styleId="TableName">
    <w:name w:val="TableName"/>
    <w:basedOn w:val="TableText"/>
    <w:rsid w:val="0054221D"/>
    <w:pPr>
      <w:tabs>
        <w:tab w:val="left" w:pos="1080"/>
      </w:tabs>
      <w:spacing w:before="80" w:after="120"/>
      <w:ind w:left="1077" w:hanging="1077"/>
    </w:pPr>
    <w:rPr>
      <w:b/>
      <w:bCs/>
      <w:color w:val="auto"/>
      <w:sz w:val="22"/>
    </w:rPr>
  </w:style>
  <w:style w:type="paragraph" w:customStyle="1" w:styleId="TableHeading">
    <w:name w:val="TableHeading"/>
    <w:basedOn w:val="TableText"/>
    <w:rsid w:val="0054221D"/>
    <w:pPr>
      <w:spacing w:before="80" w:after="80"/>
    </w:pPr>
    <w:rPr>
      <w:rFonts w:ascii="Arial" w:hAnsi="Arial"/>
      <w:b/>
      <w:bCs/>
      <w:color w:val="FFFFFF" w:themeColor="background1"/>
      <w:sz w:val="20"/>
    </w:rPr>
  </w:style>
  <w:style w:type="paragraph" w:customStyle="1" w:styleId="BoxText">
    <w:name w:val="BoxText"/>
    <w:basedOn w:val="Normal"/>
    <w:link w:val="BoxTextChar"/>
    <w:qFormat/>
    <w:rsid w:val="0054221D"/>
    <w:pPr>
      <w:pBdr>
        <w:top w:val="single" w:sz="4" w:space="4" w:color="007FAD"/>
        <w:left w:val="single" w:sz="4" w:space="4" w:color="007FAD"/>
        <w:bottom w:val="single" w:sz="4" w:space="4" w:color="007FAD"/>
        <w:right w:val="single" w:sz="4" w:space="4" w:color="007FAD"/>
      </w:pBdr>
      <w:shd w:val="clear" w:color="auto" w:fill="ECF1F7"/>
      <w:spacing w:before="0" w:after="120" w:line="240" w:lineRule="auto"/>
    </w:pPr>
  </w:style>
  <w:style w:type="paragraph" w:customStyle="1" w:styleId="BoxNotes">
    <w:name w:val="BoxNotes"/>
    <w:basedOn w:val="BoxText"/>
    <w:rsid w:val="0054221D"/>
    <w:pPr>
      <w:spacing w:before="120" w:after="60"/>
    </w:pPr>
    <w:rPr>
      <w:sz w:val="18"/>
    </w:rPr>
  </w:style>
  <w:style w:type="paragraph" w:styleId="Quote">
    <w:name w:val="Quote"/>
    <w:basedOn w:val="Normal"/>
    <w:link w:val="QuoteChar"/>
    <w:rsid w:val="0054221D"/>
    <w:pPr>
      <w:ind w:left="567" w:right="567"/>
    </w:pPr>
    <w:rPr>
      <w:i/>
    </w:rPr>
  </w:style>
  <w:style w:type="paragraph" w:customStyle="1" w:styleId="References">
    <w:name w:val="References"/>
    <w:basedOn w:val="Normal"/>
    <w:rsid w:val="0054221D"/>
    <w:pPr>
      <w:keepLines/>
      <w:ind w:left="284" w:hanging="284"/>
    </w:pPr>
  </w:style>
  <w:style w:type="character" w:customStyle="1" w:styleId="FooterChar">
    <w:name w:val="Footer Char"/>
    <w:basedOn w:val="DefaultParagraphFont"/>
    <w:link w:val="Footer"/>
    <w:uiPriority w:val="99"/>
    <w:rsid w:val="0054221D"/>
    <w:rPr>
      <w:rFonts w:ascii="Franklin Gothic Book" w:hAnsi="Franklin Gothic Book"/>
    </w:rPr>
  </w:style>
  <w:style w:type="paragraph" w:styleId="FootnoteText">
    <w:name w:val="footnote text"/>
    <w:basedOn w:val="Normal"/>
    <w:link w:val="FootnoteTextChar"/>
    <w:uiPriority w:val="99"/>
    <w:rsid w:val="0054221D"/>
    <w:pPr>
      <w:spacing w:after="0"/>
      <w:ind w:left="360" w:hanging="360"/>
    </w:pPr>
    <w:rPr>
      <w:sz w:val="17"/>
    </w:rPr>
  </w:style>
  <w:style w:type="character" w:styleId="FootnoteReference">
    <w:name w:val="footnote reference"/>
    <w:basedOn w:val="DefaultParagraphFont"/>
    <w:semiHidden/>
    <w:rsid w:val="0054221D"/>
    <w:rPr>
      <w:vertAlign w:val="superscript"/>
    </w:rPr>
  </w:style>
  <w:style w:type="paragraph" w:customStyle="1" w:styleId="FigTabPara">
    <w:name w:val="FigTabPara"/>
    <w:basedOn w:val="Normal"/>
    <w:next w:val="Normal"/>
    <w:rsid w:val="0054221D"/>
    <w:pPr>
      <w:keepNext/>
      <w:ind w:left="1077"/>
    </w:pPr>
    <w:rPr>
      <w:sz w:val="20"/>
    </w:rPr>
  </w:style>
  <w:style w:type="paragraph" w:customStyle="1" w:styleId="TableBullet">
    <w:name w:val="TableBullet"/>
    <w:basedOn w:val="Normal"/>
    <w:rsid w:val="0054221D"/>
    <w:pPr>
      <w:numPr>
        <w:numId w:val="10"/>
      </w:numPr>
      <w:spacing w:after="40" w:line="240" w:lineRule="auto"/>
    </w:pPr>
    <w:rPr>
      <w:rFonts w:eastAsia="Calibri"/>
      <w:sz w:val="17"/>
      <w:szCs w:val="17"/>
      <w:lang w:eastAsia="en-US"/>
    </w:rPr>
  </w:style>
  <w:style w:type="paragraph" w:customStyle="1" w:styleId="TFAbbrevs">
    <w:name w:val="TFAbbrevs"/>
    <w:basedOn w:val="TFListNotes"/>
    <w:rsid w:val="0054221D"/>
    <w:pPr>
      <w:ind w:left="0" w:firstLine="0"/>
    </w:pPr>
  </w:style>
  <w:style w:type="paragraph" w:styleId="TOC1">
    <w:name w:val="toc 1"/>
    <w:basedOn w:val="Normal"/>
    <w:next w:val="Normal"/>
    <w:autoRedefine/>
    <w:uiPriority w:val="39"/>
    <w:rsid w:val="0054221D"/>
    <w:pPr>
      <w:tabs>
        <w:tab w:val="left" w:pos="720"/>
        <w:tab w:val="right" w:leader="dot" w:pos="9016"/>
      </w:tabs>
      <w:spacing w:before="120" w:after="120" w:line="240" w:lineRule="auto"/>
      <w:ind w:left="720" w:right="720" w:hanging="720"/>
    </w:pPr>
    <w:rPr>
      <w:rFonts w:ascii="Arial" w:hAnsi="Arial"/>
      <w:bCs/>
      <w:noProof/>
      <w:color w:val="007FAD"/>
      <w:sz w:val="24"/>
    </w:rPr>
  </w:style>
  <w:style w:type="paragraph" w:styleId="TOC2">
    <w:name w:val="toc 2"/>
    <w:basedOn w:val="Normal"/>
    <w:next w:val="Normal"/>
    <w:autoRedefine/>
    <w:uiPriority w:val="39"/>
    <w:rsid w:val="0054221D"/>
    <w:pPr>
      <w:tabs>
        <w:tab w:val="left" w:pos="1440"/>
        <w:tab w:val="right" w:leader="dot" w:pos="9016"/>
      </w:tabs>
      <w:spacing w:before="120" w:after="120" w:line="240" w:lineRule="auto"/>
      <w:ind w:left="1440" w:right="720" w:hanging="720"/>
    </w:pPr>
    <w:rPr>
      <w:rFonts w:ascii="Arial" w:hAnsi="Arial"/>
      <w:sz w:val="24"/>
    </w:rPr>
  </w:style>
  <w:style w:type="paragraph" w:styleId="TableofFigures">
    <w:name w:val="table of figures"/>
    <w:basedOn w:val="Normal"/>
    <w:next w:val="Normal"/>
    <w:uiPriority w:val="99"/>
    <w:rsid w:val="0054221D"/>
    <w:pPr>
      <w:tabs>
        <w:tab w:val="left" w:pos="1080"/>
        <w:tab w:val="right" w:leader="dot" w:pos="9000"/>
      </w:tabs>
      <w:ind w:left="1080" w:right="720" w:hangingChars="450" w:hanging="1080"/>
    </w:pPr>
    <w:rPr>
      <w:rFonts w:ascii="Arial" w:hAnsi="Arial"/>
      <w:sz w:val="22"/>
    </w:rPr>
  </w:style>
  <w:style w:type="paragraph" w:customStyle="1" w:styleId="TableDash">
    <w:name w:val="TableDash"/>
    <w:basedOn w:val="TableBullet"/>
    <w:link w:val="TableDashChar"/>
    <w:rsid w:val="0054221D"/>
    <w:pPr>
      <w:numPr>
        <w:numId w:val="11"/>
      </w:numPr>
    </w:pPr>
  </w:style>
  <w:style w:type="paragraph" w:customStyle="1" w:styleId="Bullet">
    <w:name w:val="Bullet"/>
    <w:basedOn w:val="Normal"/>
    <w:qFormat/>
    <w:rsid w:val="0054221D"/>
    <w:pPr>
      <w:numPr>
        <w:numId w:val="9"/>
      </w:numPr>
      <w:spacing w:before="0" w:after="80" w:line="280" w:lineRule="exact"/>
    </w:pPr>
  </w:style>
  <w:style w:type="paragraph" w:customStyle="1" w:styleId="BulletLast">
    <w:name w:val="BulletLast"/>
    <w:basedOn w:val="Bullet"/>
    <w:qFormat/>
    <w:rsid w:val="0054221D"/>
    <w:pPr>
      <w:spacing w:after="160"/>
    </w:pPr>
  </w:style>
  <w:style w:type="paragraph" w:customStyle="1" w:styleId="Dash">
    <w:name w:val="Dash"/>
    <w:basedOn w:val="Normal"/>
    <w:rsid w:val="0054221D"/>
    <w:pPr>
      <w:numPr>
        <w:numId w:val="8"/>
      </w:numPr>
      <w:spacing w:before="0" w:after="80" w:line="280" w:lineRule="exact"/>
      <w:ind w:left="568" w:hanging="284"/>
    </w:pPr>
    <w:rPr>
      <w:szCs w:val="24"/>
    </w:rPr>
  </w:style>
  <w:style w:type="paragraph" w:customStyle="1" w:styleId="DashLast">
    <w:name w:val="DashLast"/>
    <w:basedOn w:val="Dash"/>
    <w:rsid w:val="0054221D"/>
    <w:pPr>
      <w:spacing w:after="120"/>
    </w:pPr>
  </w:style>
  <w:style w:type="paragraph" w:customStyle="1" w:styleId="DashLastSpace">
    <w:name w:val="DashLast+Space"/>
    <w:basedOn w:val="DashLast"/>
    <w:rsid w:val="0054221D"/>
    <w:pPr>
      <w:spacing w:after="240"/>
    </w:pPr>
  </w:style>
  <w:style w:type="paragraph" w:customStyle="1" w:styleId="NormalBeforeBullet">
    <w:name w:val="NormalBeforeBullet"/>
    <w:basedOn w:val="Normal"/>
    <w:qFormat/>
    <w:rsid w:val="0054221D"/>
    <w:pPr>
      <w:keepNext/>
      <w:spacing w:before="0" w:after="80"/>
    </w:pPr>
  </w:style>
  <w:style w:type="paragraph" w:customStyle="1" w:styleId="BoxName">
    <w:name w:val="BoxName"/>
    <w:basedOn w:val="BoxText"/>
    <w:rsid w:val="0054221D"/>
    <w:pPr>
      <w:keepNext/>
      <w:shd w:val="clear" w:color="auto" w:fill="007FAD"/>
      <w:spacing w:before="180" w:after="240"/>
      <w:ind w:left="1077" w:hanging="1077"/>
    </w:pPr>
    <w:rPr>
      <w:rFonts w:ascii="Arial" w:hAnsi="Arial"/>
      <w:b/>
      <w:bCs/>
      <w:color w:val="FFFFFF" w:themeColor="background1"/>
      <w:sz w:val="24"/>
    </w:rPr>
  </w:style>
  <w:style w:type="paragraph" w:customStyle="1" w:styleId="BoxHeading">
    <w:name w:val="BoxHeading"/>
    <w:basedOn w:val="BoxText"/>
    <w:link w:val="BoxHeadingChar"/>
    <w:rsid w:val="0054221D"/>
    <w:pPr>
      <w:keepNext/>
      <w:spacing w:before="120" w:after="60"/>
    </w:pPr>
    <w:rPr>
      <w:b/>
      <w:bCs/>
      <w:sz w:val="22"/>
    </w:rPr>
  </w:style>
  <w:style w:type="paragraph" w:customStyle="1" w:styleId="BoxBullet">
    <w:name w:val="BoxBullet"/>
    <w:basedOn w:val="BoxText"/>
    <w:link w:val="BoxBulletChar"/>
    <w:rsid w:val="0054221D"/>
    <w:pPr>
      <w:numPr>
        <w:numId w:val="4"/>
      </w:numPr>
    </w:pPr>
  </w:style>
  <w:style w:type="character" w:customStyle="1" w:styleId="BoxBulletChar">
    <w:name w:val="BoxBullet Char"/>
    <w:basedOn w:val="BoxTextChar"/>
    <w:link w:val="BoxBullet"/>
    <w:rsid w:val="0054221D"/>
    <w:rPr>
      <w:rFonts w:ascii="Franklin Gothic Book" w:hAnsi="Franklin Gothic Book"/>
      <w:sz w:val="21"/>
      <w:shd w:val="clear" w:color="auto" w:fill="ECF1F7"/>
    </w:rPr>
  </w:style>
  <w:style w:type="paragraph" w:customStyle="1" w:styleId="BoxHeading2">
    <w:name w:val="BoxHeading2"/>
    <w:basedOn w:val="BoxHeading"/>
    <w:link w:val="BoxHeading2Char"/>
    <w:qFormat/>
    <w:rsid w:val="0054221D"/>
    <w:rPr>
      <w:i/>
      <w:sz w:val="21"/>
    </w:rPr>
  </w:style>
  <w:style w:type="paragraph" w:customStyle="1" w:styleId="FigureName">
    <w:name w:val="FigureName"/>
    <w:basedOn w:val="Normal"/>
    <w:next w:val="Normal"/>
    <w:rsid w:val="0054221D"/>
    <w:pPr>
      <w:keepNext/>
      <w:keepLines/>
      <w:tabs>
        <w:tab w:val="left" w:pos="1080"/>
      </w:tabs>
      <w:spacing w:before="80" w:after="80"/>
      <w:ind w:left="1077" w:hanging="1077"/>
    </w:pPr>
    <w:rPr>
      <w:b/>
      <w:bCs/>
      <w:sz w:val="22"/>
    </w:rPr>
  </w:style>
  <w:style w:type="paragraph" w:styleId="Index1">
    <w:name w:val="index 1"/>
    <w:basedOn w:val="Normal"/>
    <w:next w:val="Normal"/>
    <w:rsid w:val="0054221D"/>
    <w:pPr>
      <w:spacing w:after="0"/>
      <w:ind w:left="518" w:hanging="518"/>
    </w:pPr>
    <w:rPr>
      <w:noProof/>
      <w:sz w:val="22"/>
    </w:rPr>
  </w:style>
  <w:style w:type="paragraph" w:styleId="Index2">
    <w:name w:val="index 2"/>
    <w:basedOn w:val="Index1"/>
    <w:next w:val="Normal"/>
    <w:rsid w:val="0054221D"/>
    <w:pPr>
      <w:ind w:left="816" w:hanging="476"/>
    </w:pPr>
  </w:style>
  <w:style w:type="paragraph" w:styleId="TOC4">
    <w:name w:val="toc 4"/>
    <w:basedOn w:val="Normal"/>
    <w:next w:val="Normal"/>
    <w:autoRedefine/>
    <w:semiHidden/>
    <w:rsid w:val="0054221D"/>
    <w:pPr>
      <w:tabs>
        <w:tab w:val="right" w:leader="dot" w:pos="9016"/>
      </w:tabs>
      <w:spacing w:after="0"/>
      <w:ind w:left="2160" w:right="720"/>
    </w:pPr>
    <w:rPr>
      <w:noProof/>
      <w:szCs w:val="24"/>
    </w:rPr>
  </w:style>
  <w:style w:type="paragraph" w:customStyle="1" w:styleId="NumberList">
    <w:name w:val="NumberList"/>
    <w:basedOn w:val="Normal"/>
    <w:rsid w:val="0054221D"/>
    <w:pPr>
      <w:tabs>
        <w:tab w:val="left" w:pos="360"/>
      </w:tabs>
      <w:ind w:left="360" w:hanging="360"/>
    </w:pPr>
  </w:style>
  <w:style w:type="paragraph" w:customStyle="1" w:styleId="TFNoteSourceSpace">
    <w:name w:val="TFNoteSource+Space"/>
    <w:basedOn w:val="TFListNotesSpace"/>
    <w:next w:val="Normal"/>
    <w:rsid w:val="0054221D"/>
    <w:pPr>
      <w:ind w:left="624" w:hanging="624"/>
    </w:pPr>
  </w:style>
  <w:style w:type="paragraph" w:customStyle="1" w:styleId="TFNoteSource">
    <w:name w:val="TFNoteSource"/>
    <w:basedOn w:val="TFNoteSourceSpace"/>
    <w:rsid w:val="0054221D"/>
    <w:pPr>
      <w:spacing w:after="0"/>
    </w:pPr>
  </w:style>
  <w:style w:type="paragraph" w:customStyle="1" w:styleId="TFAbbrevsSpace">
    <w:name w:val="TFAbbrevs+Space"/>
    <w:basedOn w:val="TFAbbrevs"/>
    <w:next w:val="Normal"/>
    <w:rsid w:val="0054221D"/>
    <w:pPr>
      <w:spacing w:after="360"/>
    </w:pPr>
  </w:style>
  <w:style w:type="character" w:styleId="Strong">
    <w:name w:val="Strong"/>
    <w:basedOn w:val="DefaultParagraphFont"/>
    <w:uiPriority w:val="22"/>
    <w:qFormat/>
    <w:rsid w:val="0054221D"/>
    <w:rPr>
      <w:b/>
      <w:bCs/>
    </w:rPr>
  </w:style>
  <w:style w:type="character" w:styleId="Emphasis">
    <w:name w:val="Emphasis"/>
    <w:basedOn w:val="DefaultParagraphFont"/>
    <w:uiPriority w:val="20"/>
    <w:qFormat/>
    <w:rsid w:val="0054221D"/>
    <w:rPr>
      <w:i/>
      <w:iCs/>
    </w:rPr>
  </w:style>
  <w:style w:type="character" w:customStyle="1" w:styleId="Roman">
    <w:name w:val="Roman"/>
    <w:uiPriority w:val="1"/>
    <w:rsid w:val="0054221D"/>
    <w:rPr>
      <w:b w:val="0"/>
      <w:i/>
    </w:rPr>
  </w:style>
  <w:style w:type="character" w:customStyle="1" w:styleId="TableDashChar">
    <w:name w:val="TableDash Char"/>
    <w:link w:val="TableDash"/>
    <w:rsid w:val="0054221D"/>
    <w:rPr>
      <w:rFonts w:ascii="Franklin Gothic Book" w:eastAsia="Calibri" w:hAnsi="Franklin Gothic Book"/>
      <w:sz w:val="17"/>
      <w:szCs w:val="17"/>
      <w:lang w:eastAsia="en-US"/>
    </w:rPr>
  </w:style>
  <w:style w:type="table" w:styleId="TableGrid">
    <w:name w:val="Table Grid"/>
    <w:basedOn w:val="TableNormal"/>
    <w:uiPriority w:val="59"/>
    <w:rsid w:val="0054221D"/>
    <w:tblPr>
      <w:tblBorders>
        <w:top w:val="single" w:sz="4" w:space="0" w:color="007FAD"/>
        <w:bottom w:val="single" w:sz="4" w:space="0" w:color="007FAD"/>
        <w:insideH w:val="single" w:sz="4" w:space="0" w:color="007FAD"/>
      </w:tblBorders>
      <w:tblCellMar>
        <w:top w:w="85" w:type="dxa"/>
        <w:bottom w:w="85" w:type="dxa"/>
      </w:tblCellMar>
    </w:tblPr>
    <w:tcPr>
      <w:shd w:val="clear" w:color="auto" w:fill="FFFFFF" w:themeFill="background1"/>
    </w:tcPr>
    <w:tblStylePr w:type="firstRow">
      <w:tblPr/>
      <w:tcPr>
        <w:shd w:val="clear" w:color="auto" w:fill="007FAD"/>
      </w:tcPr>
    </w:tblStylePr>
  </w:style>
  <w:style w:type="paragraph" w:customStyle="1" w:styleId="TableNumberList">
    <w:name w:val="TableNumberList"/>
    <w:basedOn w:val="Normal"/>
    <w:rsid w:val="0054221D"/>
    <w:pPr>
      <w:numPr>
        <w:numId w:val="12"/>
      </w:numPr>
      <w:spacing w:after="40" w:line="240" w:lineRule="auto"/>
    </w:pPr>
    <w:rPr>
      <w:rFonts w:eastAsia="Calibri"/>
      <w:sz w:val="17"/>
      <w:szCs w:val="17"/>
      <w:lang w:eastAsia="en-US"/>
    </w:rPr>
  </w:style>
  <w:style w:type="character" w:customStyle="1" w:styleId="BoxTextChar">
    <w:name w:val="BoxText Char"/>
    <w:basedOn w:val="DefaultParagraphFont"/>
    <w:link w:val="BoxText"/>
    <w:rsid w:val="0054221D"/>
    <w:rPr>
      <w:rFonts w:ascii="Franklin Gothic Book" w:hAnsi="Franklin Gothic Book"/>
      <w:sz w:val="21"/>
      <w:shd w:val="clear" w:color="auto" w:fill="ECF1F7"/>
    </w:rPr>
  </w:style>
  <w:style w:type="character" w:customStyle="1" w:styleId="Subscript">
    <w:name w:val="Subscript"/>
    <w:basedOn w:val="DefaultParagraphFont"/>
    <w:uiPriority w:val="1"/>
    <w:rsid w:val="0054221D"/>
    <w:rPr>
      <w:noProof/>
      <w:vertAlign w:val="subscript"/>
    </w:rPr>
  </w:style>
  <w:style w:type="character" w:customStyle="1" w:styleId="Superscript">
    <w:name w:val="Superscript"/>
    <w:basedOn w:val="DefaultParagraphFont"/>
    <w:uiPriority w:val="1"/>
    <w:rsid w:val="0054221D"/>
    <w:rPr>
      <w:noProof/>
      <w:vertAlign w:val="superscript"/>
    </w:rPr>
  </w:style>
  <w:style w:type="character" w:customStyle="1" w:styleId="Symbol">
    <w:name w:val="Symbol"/>
    <w:basedOn w:val="DefaultParagraphFont"/>
    <w:uiPriority w:val="1"/>
    <w:rsid w:val="0054221D"/>
    <w:rPr>
      <w:noProof/>
    </w:rPr>
  </w:style>
  <w:style w:type="character" w:customStyle="1" w:styleId="BoxHeadingChar">
    <w:name w:val="BoxHeading Char"/>
    <w:basedOn w:val="BoxTextChar"/>
    <w:link w:val="BoxHeading"/>
    <w:rsid w:val="0054221D"/>
    <w:rPr>
      <w:rFonts w:ascii="Franklin Gothic Book" w:hAnsi="Franklin Gothic Book"/>
      <w:b/>
      <w:bCs/>
      <w:sz w:val="22"/>
      <w:shd w:val="clear" w:color="auto" w:fill="ECF1F7"/>
    </w:rPr>
  </w:style>
  <w:style w:type="character" w:customStyle="1" w:styleId="BoxHeading2Char">
    <w:name w:val="BoxHeading2 Char"/>
    <w:basedOn w:val="BoxHeadingChar"/>
    <w:link w:val="BoxHeading2"/>
    <w:rsid w:val="0054221D"/>
    <w:rPr>
      <w:rFonts w:ascii="Franklin Gothic Book" w:hAnsi="Franklin Gothic Book"/>
      <w:b/>
      <w:bCs/>
      <w:i/>
      <w:sz w:val="21"/>
      <w:shd w:val="clear" w:color="auto" w:fill="ECF1F7"/>
    </w:rPr>
  </w:style>
  <w:style w:type="character" w:customStyle="1" w:styleId="DateChar">
    <w:name w:val="Date Char"/>
    <w:link w:val="Date"/>
    <w:rsid w:val="0054221D"/>
    <w:rPr>
      <w:rFonts w:ascii="Helvetica" w:hAnsi="Helvetica"/>
      <w:i/>
      <w:iCs/>
      <w:noProof/>
      <w:color w:val="FFFFFF"/>
      <w:kern w:val="28"/>
      <w:sz w:val="32"/>
      <w:szCs w:val="32"/>
      <w:lang w:val="en-US" w:eastAsia="en-US"/>
    </w:rPr>
  </w:style>
  <w:style w:type="paragraph" w:customStyle="1" w:styleId="TableNumberList2">
    <w:name w:val="TableNumberList2"/>
    <w:basedOn w:val="TableNumberList"/>
    <w:rsid w:val="0054221D"/>
    <w:pPr>
      <w:numPr>
        <w:numId w:val="13"/>
      </w:numPr>
    </w:pPr>
  </w:style>
  <w:style w:type="paragraph" w:customStyle="1" w:styleId="ImprintText">
    <w:name w:val="ImprintText"/>
    <w:basedOn w:val="Normal"/>
    <w:rsid w:val="0054221D"/>
    <w:pPr>
      <w:spacing w:line="240" w:lineRule="auto"/>
    </w:pPr>
  </w:style>
  <w:style w:type="paragraph" w:styleId="Subtitle">
    <w:name w:val="Subtitle"/>
    <w:basedOn w:val="Title"/>
    <w:next w:val="Date"/>
    <w:link w:val="SubtitleChar"/>
    <w:qFormat/>
    <w:rsid w:val="0054221D"/>
    <w:pPr>
      <w:pageBreakBefore w:val="0"/>
      <w:spacing w:before="200" w:after="0" w:line="380" w:lineRule="atLeast"/>
    </w:pPr>
    <w:rPr>
      <w:sz w:val="32"/>
      <w:szCs w:val="32"/>
    </w:rPr>
  </w:style>
  <w:style w:type="paragraph" w:styleId="Caption">
    <w:name w:val="caption"/>
    <w:basedOn w:val="Normal"/>
    <w:next w:val="Credit"/>
    <w:uiPriority w:val="35"/>
    <w:unhideWhenUsed/>
    <w:rsid w:val="0054221D"/>
    <w:pPr>
      <w:spacing w:after="0"/>
    </w:pPr>
    <w:rPr>
      <w:b/>
      <w:bCs/>
      <w:sz w:val="20"/>
      <w:szCs w:val="18"/>
    </w:rPr>
  </w:style>
  <w:style w:type="paragraph" w:customStyle="1" w:styleId="Credit">
    <w:name w:val="Credit"/>
    <w:basedOn w:val="Caption"/>
    <w:next w:val="Normal"/>
    <w:rsid w:val="0054221D"/>
    <w:pPr>
      <w:spacing w:after="240"/>
    </w:pPr>
    <w:rPr>
      <w:b w:val="0"/>
      <w:noProof/>
    </w:rPr>
  </w:style>
  <w:style w:type="character" w:customStyle="1" w:styleId="SubtitleChar">
    <w:name w:val="Subtitle Char"/>
    <w:link w:val="Subtitle"/>
    <w:rsid w:val="0054221D"/>
    <w:rPr>
      <w:rFonts w:ascii="Helvetica" w:hAnsi="Helvetica"/>
      <w:noProof/>
      <w:color w:val="FFFFFF"/>
      <w:kern w:val="28"/>
      <w:sz w:val="32"/>
      <w:szCs w:val="32"/>
      <w:lang w:val="en-US" w:eastAsia="en-US"/>
    </w:rPr>
  </w:style>
  <w:style w:type="paragraph" w:customStyle="1" w:styleId="TableHeadingCA">
    <w:name w:val="TableHeadingCA"/>
    <w:basedOn w:val="TableHeading"/>
    <w:rsid w:val="0054221D"/>
    <w:pPr>
      <w:jc w:val="center"/>
    </w:pPr>
  </w:style>
  <w:style w:type="paragraph" w:customStyle="1" w:styleId="TableTextCA">
    <w:name w:val="TableTextCA"/>
    <w:basedOn w:val="TableText"/>
    <w:rsid w:val="0054221D"/>
    <w:pPr>
      <w:jc w:val="center"/>
    </w:pPr>
  </w:style>
  <w:style w:type="paragraph" w:customStyle="1" w:styleId="TableTextDecimalAlign">
    <w:name w:val="TableTextDecimalAlign"/>
    <w:basedOn w:val="TableText"/>
    <w:rsid w:val="0054221D"/>
    <w:pPr>
      <w:tabs>
        <w:tab w:val="decimal" w:pos="1119"/>
      </w:tabs>
    </w:pPr>
  </w:style>
  <w:style w:type="paragraph" w:customStyle="1" w:styleId="NormalIndent">
    <w:name w:val="NormalIndent"/>
    <w:basedOn w:val="Normal"/>
    <w:rsid w:val="0054221D"/>
    <w:pPr>
      <w:ind w:left="357"/>
    </w:pPr>
  </w:style>
  <w:style w:type="paragraph" w:styleId="BalloonText">
    <w:name w:val="Balloon Text"/>
    <w:basedOn w:val="Normal"/>
    <w:link w:val="BalloonTextChar"/>
    <w:uiPriority w:val="99"/>
    <w:semiHidden/>
    <w:unhideWhenUsed/>
    <w:rsid w:val="005422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21D"/>
    <w:rPr>
      <w:rFonts w:ascii="Tahoma" w:hAnsi="Tahoma" w:cs="Tahoma"/>
      <w:sz w:val="16"/>
      <w:szCs w:val="16"/>
    </w:rPr>
  </w:style>
  <w:style w:type="paragraph" w:customStyle="1" w:styleId="RecommendationText">
    <w:name w:val="RecommendationText"/>
    <w:basedOn w:val="BoxText"/>
    <w:link w:val="RecommendationTextChar"/>
    <w:qFormat/>
    <w:rsid w:val="0054221D"/>
    <w:pPr>
      <w:pBdr>
        <w:top w:val="single" w:sz="4" w:space="4" w:color="124486"/>
        <w:left w:val="none" w:sz="0" w:space="0" w:color="auto"/>
        <w:bottom w:val="single" w:sz="4" w:space="4" w:color="124486"/>
        <w:right w:val="none" w:sz="0" w:space="0" w:color="auto"/>
      </w:pBdr>
      <w:shd w:val="clear" w:color="auto" w:fill="auto"/>
    </w:pPr>
  </w:style>
  <w:style w:type="paragraph" w:styleId="Title">
    <w:name w:val="Title"/>
    <w:basedOn w:val="Normal"/>
    <w:next w:val="Subtitle"/>
    <w:link w:val="TitleChar"/>
    <w:qFormat/>
    <w:rsid w:val="0054221D"/>
    <w:pPr>
      <w:pageBreakBefore/>
      <w:spacing w:before="8700" w:after="1080" w:line="640" w:lineRule="atLeast"/>
      <w:ind w:left="2410" w:right="-198"/>
    </w:pPr>
    <w:rPr>
      <w:rFonts w:ascii="Helvetica" w:hAnsi="Helvetica"/>
      <w:noProof/>
      <w:color w:val="FFFFFF"/>
      <w:kern w:val="28"/>
      <w:sz w:val="50"/>
      <w:szCs w:val="50"/>
      <w:lang w:val="en-US" w:eastAsia="en-US"/>
    </w:rPr>
  </w:style>
  <w:style w:type="character" w:customStyle="1" w:styleId="TitleChar">
    <w:name w:val="Title Char"/>
    <w:link w:val="Title"/>
    <w:rsid w:val="0054221D"/>
    <w:rPr>
      <w:rFonts w:ascii="Helvetica" w:hAnsi="Helvetica"/>
      <w:noProof/>
      <w:color w:val="FFFFFF"/>
      <w:kern w:val="28"/>
      <w:sz w:val="50"/>
      <w:szCs w:val="50"/>
      <w:lang w:val="en-US" w:eastAsia="en-US"/>
    </w:rPr>
  </w:style>
  <w:style w:type="paragraph" w:customStyle="1" w:styleId="SectionTitle">
    <w:name w:val="SectionTitle"/>
    <w:basedOn w:val="Normal"/>
    <w:next w:val="Normal"/>
    <w:rsid w:val="0054221D"/>
    <w:pPr>
      <w:pageBreakBefore/>
    </w:pPr>
    <w:rPr>
      <w:rFonts w:ascii="Arial" w:hAnsi="Arial"/>
      <w:b/>
      <w:color w:val="124486"/>
      <w:sz w:val="50"/>
    </w:rPr>
  </w:style>
  <w:style w:type="paragraph" w:customStyle="1" w:styleId="SectionSubtitle">
    <w:name w:val="SectionSubtitle"/>
    <w:basedOn w:val="Normal"/>
    <w:rsid w:val="0054221D"/>
    <w:pPr>
      <w:spacing w:after="0"/>
    </w:pPr>
    <w:rPr>
      <w:rFonts w:asciiTheme="minorHAnsi" w:hAnsiTheme="minorHAnsi"/>
      <w:color w:val="007FAD"/>
      <w:sz w:val="32"/>
    </w:rPr>
  </w:style>
  <w:style w:type="paragraph" w:customStyle="1" w:styleId="QuoteNumberList">
    <w:name w:val="QuoteNumberList"/>
    <w:basedOn w:val="Quote"/>
    <w:rsid w:val="0054221D"/>
    <w:pPr>
      <w:ind w:left="1117" w:hanging="397"/>
    </w:pPr>
    <w:rPr>
      <w:noProof/>
    </w:rPr>
  </w:style>
  <w:style w:type="paragraph" w:customStyle="1" w:styleId="QuoteBullet">
    <w:name w:val="QuoteBullet"/>
    <w:basedOn w:val="Quote"/>
    <w:rsid w:val="0054221D"/>
    <w:pPr>
      <w:numPr>
        <w:numId w:val="3"/>
      </w:numPr>
      <w:tabs>
        <w:tab w:val="left" w:pos="851"/>
      </w:tabs>
      <w:ind w:left="851" w:hanging="284"/>
    </w:pPr>
    <w:rPr>
      <w:noProof/>
    </w:rPr>
  </w:style>
  <w:style w:type="character" w:customStyle="1" w:styleId="HeaderChar">
    <w:name w:val="Header Char"/>
    <w:basedOn w:val="DefaultParagraphFont"/>
    <w:link w:val="Header"/>
    <w:uiPriority w:val="99"/>
    <w:rsid w:val="0054221D"/>
    <w:rPr>
      <w:rFonts w:ascii="Franklin Gothic Book" w:hAnsi="Franklin Gothic Book"/>
      <w:sz w:val="18"/>
    </w:rPr>
  </w:style>
  <w:style w:type="paragraph" w:customStyle="1" w:styleId="TableNumberedList">
    <w:name w:val="TableNumberedList"/>
    <w:basedOn w:val="TableText"/>
    <w:autoRedefine/>
    <w:qFormat/>
    <w:rsid w:val="0054221D"/>
    <w:pPr>
      <w:numPr>
        <w:numId w:val="5"/>
      </w:numPr>
      <w:ind w:left="357" w:hanging="357"/>
    </w:pPr>
  </w:style>
  <w:style w:type="paragraph" w:customStyle="1" w:styleId="TableListNumber">
    <w:name w:val="TableListNumber"/>
    <w:basedOn w:val="Normal"/>
    <w:qFormat/>
    <w:rsid w:val="0054221D"/>
    <w:pPr>
      <w:keepNext/>
      <w:numPr>
        <w:numId w:val="6"/>
      </w:numPr>
      <w:tabs>
        <w:tab w:val="left" w:pos="216"/>
      </w:tabs>
      <w:spacing w:after="40" w:line="200" w:lineRule="atLeast"/>
      <w:ind w:left="284" w:hanging="284"/>
    </w:pPr>
    <w:rPr>
      <w:color w:val="000000" w:themeColor="text1"/>
      <w:sz w:val="17"/>
      <w:szCs w:val="21"/>
    </w:rPr>
  </w:style>
  <w:style w:type="paragraph" w:customStyle="1" w:styleId="TableListNumber2">
    <w:name w:val="TableListNumber 2"/>
    <w:basedOn w:val="TableListNumber"/>
    <w:qFormat/>
    <w:rsid w:val="0054221D"/>
    <w:pPr>
      <w:numPr>
        <w:numId w:val="7"/>
      </w:numPr>
      <w:tabs>
        <w:tab w:val="clear" w:pos="216"/>
        <w:tab w:val="left" w:pos="284"/>
      </w:tabs>
      <w:ind w:left="430" w:hanging="215"/>
    </w:pPr>
  </w:style>
  <w:style w:type="paragraph" w:customStyle="1" w:styleId="TableHeading2">
    <w:name w:val="TableHeading2"/>
    <w:basedOn w:val="TableHeading"/>
    <w:qFormat/>
    <w:rsid w:val="0054221D"/>
    <w:rPr>
      <w:i/>
    </w:rPr>
  </w:style>
  <w:style w:type="paragraph" w:customStyle="1" w:styleId="Draftingnote">
    <w:name w:val="Drafting note"/>
    <w:basedOn w:val="Normal"/>
    <w:link w:val="DraftingnoteChar"/>
    <w:qFormat/>
    <w:rsid w:val="0054221D"/>
    <w:rPr>
      <w:b/>
      <w:color w:val="FF0000"/>
      <w:sz w:val="20"/>
      <w:u w:val="dotted"/>
    </w:rPr>
  </w:style>
  <w:style w:type="character" w:customStyle="1" w:styleId="DraftingnoteChar">
    <w:name w:val="Drafting note Char"/>
    <w:basedOn w:val="DefaultParagraphFont"/>
    <w:link w:val="Draftingnote"/>
    <w:rsid w:val="0054221D"/>
    <w:rPr>
      <w:rFonts w:ascii="Franklin Gothic Book" w:hAnsi="Franklin Gothic Book"/>
      <w:b/>
      <w:color w:val="FF0000"/>
      <w:u w:val="dotted"/>
    </w:rPr>
  </w:style>
  <w:style w:type="character" w:styleId="Hyperlink">
    <w:name w:val="Hyperlink"/>
    <w:basedOn w:val="DefaultParagraphFont"/>
    <w:uiPriority w:val="99"/>
    <w:unhideWhenUsed/>
    <w:rsid w:val="0054221D"/>
    <w:rPr>
      <w:color w:val="007FAD"/>
      <w:u w:val="single"/>
    </w:rPr>
  </w:style>
  <w:style w:type="character" w:styleId="CommentReference">
    <w:name w:val="annotation reference"/>
    <w:basedOn w:val="DefaultParagraphFont"/>
    <w:uiPriority w:val="99"/>
    <w:semiHidden/>
    <w:unhideWhenUsed/>
    <w:rsid w:val="0054221D"/>
    <w:rPr>
      <w:sz w:val="16"/>
      <w:szCs w:val="16"/>
    </w:rPr>
  </w:style>
  <w:style w:type="paragraph" w:styleId="CommentText">
    <w:name w:val="annotation text"/>
    <w:basedOn w:val="Normal"/>
    <w:link w:val="CommentTextChar"/>
    <w:uiPriority w:val="99"/>
    <w:unhideWhenUsed/>
    <w:rsid w:val="0054221D"/>
    <w:pPr>
      <w:spacing w:line="240" w:lineRule="auto"/>
    </w:pPr>
    <w:rPr>
      <w:sz w:val="20"/>
    </w:rPr>
  </w:style>
  <w:style w:type="character" w:customStyle="1" w:styleId="CommentTextChar">
    <w:name w:val="Comment Text Char"/>
    <w:basedOn w:val="DefaultParagraphFont"/>
    <w:link w:val="CommentText"/>
    <w:uiPriority w:val="99"/>
    <w:rsid w:val="0054221D"/>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54221D"/>
    <w:rPr>
      <w:b/>
      <w:bCs/>
    </w:rPr>
  </w:style>
  <w:style w:type="character" w:customStyle="1" w:styleId="CommentSubjectChar">
    <w:name w:val="Comment Subject Char"/>
    <w:basedOn w:val="CommentTextChar"/>
    <w:link w:val="CommentSubject"/>
    <w:uiPriority w:val="99"/>
    <w:semiHidden/>
    <w:rsid w:val="0054221D"/>
    <w:rPr>
      <w:rFonts w:ascii="Franklin Gothic Book" w:hAnsi="Franklin Gothic Book"/>
      <w:b/>
      <w:bCs/>
    </w:rPr>
  </w:style>
  <w:style w:type="table" w:styleId="LightShading">
    <w:name w:val="Light Shading"/>
    <w:basedOn w:val="TableNormal"/>
    <w:uiPriority w:val="60"/>
    <w:rsid w:val="0054221D"/>
    <w:rPr>
      <w:color w:val="000000" w:themeColor="text1" w:themeShade="BF"/>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92C3CA"/>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54221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basedOn w:val="DefaultParagraphFont"/>
    <w:link w:val="FootnoteText"/>
    <w:uiPriority w:val="99"/>
    <w:rsid w:val="0054221D"/>
    <w:rPr>
      <w:rFonts w:ascii="Franklin Gothic Book" w:hAnsi="Franklin Gothic Book"/>
      <w:sz w:val="17"/>
    </w:rPr>
  </w:style>
  <w:style w:type="paragraph" w:customStyle="1" w:styleId="Numberlist2">
    <w:name w:val="Numberlist2"/>
    <w:basedOn w:val="Normal"/>
    <w:rsid w:val="0054221D"/>
    <w:pPr>
      <w:numPr>
        <w:numId w:val="2"/>
      </w:numPr>
      <w:tabs>
        <w:tab w:val="num" w:pos="567"/>
      </w:tabs>
      <w:spacing w:before="0" w:line="280" w:lineRule="exact"/>
      <w:ind w:left="568" w:hanging="284"/>
    </w:pPr>
    <w:rPr>
      <w:szCs w:val="24"/>
    </w:rPr>
  </w:style>
  <w:style w:type="paragraph" w:customStyle="1" w:styleId="NumberList3">
    <w:name w:val="NumberList3"/>
    <w:basedOn w:val="Normal"/>
    <w:rsid w:val="0054221D"/>
    <w:pPr>
      <w:numPr>
        <w:numId w:val="1"/>
      </w:numPr>
      <w:spacing w:before="0" w:line="280" w:lineRule="exact"/>
      <w:ind w:left="851" w:hanging="284"/>
      <w:contextualSpacing/>
    </w:pPr>
    <w:rPr>
      <w:szCs w:val="24"/>
    </w:rPr>
  </w:style>
  <w:style w:type="paragraph" w:customStyle="1" w:styleId="BoxDash">
    <w:name w:val="BoxDash"/>
    <w:basedOn w:val="BoxText"/>
    <w:rsid w:val="0054221D"/>
    <w:pPr>
      <w:tabs>
        <w:tab w:val="left" w:pos="360"/>
        <w:tab w:val="left" w:pos="720"/>
      </w:tabs>
      <w:ind w:left="720" w:hanging="720"/>
    </w:pPr>
  </w:style>
  <w:style w:type="paragraph" w:styleId="EndnoteText">
    <w:name w:val="endnote text"/>
    <w:basedOn w:val="Normal"/>
    <w:link w:val="EndnoteTextChar"/>
    <w:uiPriority w:val="99"/>
    <w:semiHidden/>
    <w:unhideWhenUsed/>
    <w:rsid w:val="0054221D"/>
    <w:pPr>
      <w:spacing w:before="0" w:after="0" w:line="240" w:lineRule="auto"/>
    </w:pPr>
    <w:rPr>
      <w:sz w:val="20"/>
    </w:rPr>
  </w:style>
  <w:style w:type="character" w:customStyle="1" w:styleId="EndnoteTextChar">
    <w:name w:val="Endnote Text Char"/>
    <w:basedOn w:val="DefaultParagraphFont"/>
    <w:link w:val="EndnoteText"/>
    <w:uiPriority w:val="99"/>
    <w:semiHidden/>
    <w:rsid w:val="0054221D"/>
    <w:rPr>
      <w:rFonts w:ascii="Franklin Gothic Book" w:hAnsi="Franklin Gothic Book"/>
    </w:rPr>
  </w:style>
  <w:style w:type="character" w:styleId="EndnoteReference">
    <w:name w:val="endnote reference"/>
    <w:basedOn w:val="DefaultParagraphFont"/>
    <w:uiPriority w:val="99"/>
    <w:semiHidden/>
    <w:unhideWhenUsed/>
    <w:rsid w:val="0054221D"/>
    <w:rPr>
      <w:vertAlign w:val="superscript"/>
    </w:rPr>
  </w:style>
  <w:style w:type="paragraph" w:customStyle="1" w:styleId="BoxQuote">
    <w:name w:val="BoxQuote"/>
    <w:basedOn w:val="BoxText"/>
    <w:next w:val="BoxQuoteSource"/>
    <w:link w:val="BoxQuoteChar"/>
    <w:qFormat/>
    <w:rsid w:val="0054221D"/>
    <w:pPr>
      <w:spacing w:after="0"/>
      <w:ind w:left="357" w:hanging="357"/>
    </w:pPr>
    <w:rPr>
      <w:i/>
    </w:rPr>
  </w:style>
  <w:style w:type="paragraph" w:customStyle="1" w:styleId="BoxQuoteSource">
    <w:name w:val="BoxQuoteSource"/>
    <w:basedOn w:val="BoxText"/>
    <w:link w:val="BoxQuoteSourceChar"/>
    <w:qFormat/>
    <w:rsid w:val="0054221D"/>
    <w:pPr>
      <w:jc w:val="right"/>
    </w:pPr>
    <w:rPr>
      <w:noProof/>
    </w:rPr>
  </w:style>
  <w:style w:type="paragraph" w:customStyle="1" w:styleId="QuoteSource">
    <w:name w:val="QuoteSource"/>
    <w:basedOn w:val="Quote"/>
    <w:link w:val="QuoteSourceChar"/>
    <w:qFormat/>
    <w:rsid w:val="0054221D"/>
    <w:pPr>
      <w:spacing w:after="240"/>
      <w:jc w:val="right"/>
    </w:pPr>
    <w:rPr>
      <w:i w:val="0"/>
    </w:rPr>
  </w:style>
  <w:style w:type="character" w:customStyle="1" w:styleId="BoxQuoteChar">
    <w:name w:val="BoxQuote Char"/>
    <w:basedOn w:val="BoxTextChar"/>
    <w:link w:val="BoxQuote"/>
    <w:rsid w:val="0054221D"/>
    <w:rPr>
      <w:rFonts w:ascii="Franklin Gothic Book" w:hAnsi="Franklin Gothic Book"/>
      <w:i/>
      <w:sz w:val="21"/>
      <w:shd w:val="clear" w:color="auto" w:fill="ECF1F7"/>
    </w:rPr>
  </w:style>
  <w:style w:type="character" w:customStyle="1" w:styleId="BoxQuoteSourceChar">
    <w:name w:val="BoxQuoteSource Char"/>
    <w:basedOn w:val="BoxTextChar"/>
    <w:link w:val="BoxQuoteSource"/>
    <w:rsid w:val="0054221D"/>
    <w:rPr>
      <w:rFonts w:ascii="Franklin Gothic Book" w:hAnsi="Franklin Gothic Book"/>
      <w:noProof/>
      <w:sz w:val="21"/>
      <w:shd w:val="clear" w:color="auto" w:fill="ECF1F7"/>
    </w:rPr>
  </w:style>
  <w:style w:type="character" w:customStyle="1" w:styleId="QuoteChar">
    <w:name w:val="Quote Char"/>
    <w:basedOn w:val="DefaultParagraphFont"/>
    <w:link w:val="Quote"/>
    <w:rsid w:val="0054221D"/>
    <w:rPr>
      <w:rFonts w:ascii="Franklin Gothic Book" w:hAnsi="Franklin Gothic Book"/>
      <w:i/>
      <w:sz w:val="21"/>
    </w:rPr>
  </w:style>
  <w:style w:type="character" w:customStyle="1" w:styleId="QuoteSourceChar">
    <w:name w:val="QuoteSource Char"/>
    <w:basedOn w:val="QuoteChar"/>
    <w:link w:val="QuoteSource"/>
    <w:rsid w:val="0054221D"/>
    <w:rPr>
      <w:rFonts w:ascii="Franklin Gothic Book" w:hAnsi="Franklin Gothic Book"/>
      <w:i w:val="0"/>
      <w:sz w:val="21"/>
    </w:rPr>
  </w:style>
  <w:style w:type="paragraph" w:customStyle="1" w:styleId="RecommendationSub">
    <w:name w:val="RecommendationSub"/>
    <w:basedOn w:val="RecommendationText"/>
    <w:link w:val="RecommendationSubChar"/>
    <w:qFormat/>
    <w:rsid w:val="0054221D"/>
    <w:pPr>
      <w:ind w:left="357" w:hanging="357"/>
    </w:pPr>
  </w:style>
  <w:style w:type="character" w:customStyle="1" w:styleId="RecommendationTextChar">
    <w:name w:val="RecommendationText Char"/>
    <w:basedOn w:val="BoxTextChar"/>
    <w:link w:val="RecommendationText"/>
    <w:rsid w:val="0054221D"/>
    <w:rPr>
      <w:rFonts w:ascii="Franklin Gothic Book" w:hAnsi="Franklin Gothic Book"/>
      <w:sz w:val="21"/>
      <w:shd w:val="clear" w:color="auto" w:fill="ECF1F7"/>
    </w:rPr>
  </w:style>
  <w:style w:type="paragraph" w:customStyle="1" w:styleId="RecommendationName">
    <w:name w:val="RecommendationName"/>
    <w:basedOn w:val="RecommendationText"/>
    <w:link w:val="RecommendationNameChar"/>
    <w:qFormat/>
    <w:rsid w:val="0054221D"/>
    <w:pPr>
      <w:spacing w:before="120"/>
    </w:pPr>
    <w:rPr>
      <w:rFonts w:ascii="Arial Bold" w:hAnsi="Arial Bold"/>
      <w:b/>
      <w:color w:val="EB0029"/>
      <w:sz w:val="24"/>
    </w:rPr>
  </w:style>
  <w:style w:type="character" w:customStyle="1" w:styleId="RecommendationSubChar">
    <w:name w:val="RecommendationSub Char"/>
    <w:basedOn w:val="RecommendationTextChar"/>
    <w:link w:val="RecommendationSub"/>
    <w:rsid w:val="0054221D"/>
    <w:rPr>
      <w:rFonts w:ascii="Franklin Gothic Book" w:hAnsi="Franklin Gothic Book"/>
      <w:sz w:val="21"/>
      <w:shd w:val="clear" w:color="auto" w:fill="ECF1F7"/>
    </w:rPr>
  </w:style>
  <w:style w:type="character" w:customStyle="1" w:styleId="RecommendationNameChar">
    <w:name w:val="RecommendationName Char"/>
    <w:basedOn w:val="RecommendationTextChar"/>
    <w:link w:val="RecommendationName"/>
    <w:rsid w:val="0054221D"/>
    <w:rPr>
      <w:rFonts w:ascii="Arial Bold" w:hAnsi="Arial Bold"/>
      <w:b/>
      <w:color w:val="EB0029"/>
      <w:sz w:val="24"/>
      <w:shd w:val="clear" w:color="auto" w:fill="ECF1F7"/>
    </w:rPr>
  </w:style>
  <w:style w:type="paragraph" w:customStyle="1" w:styleId="footnote1">
    <w:name w:val="footnote1"/>
    <w:basedOn w:val="Normal"/>
    <w:link w:val="footnote1Char"/>
    <w:qFormat/>
    <w:rsid w:val="008E4082"/>
    <w:pPr>
      <w:spacing w:before="0" w:after="0" w:line="240" w:lineRule="auto"/>
    </w:pPr>
    <w:rPr>
      <w:rFonts w:asciiTheme="minorHAnsi" w:eastAsiaTheme="minorEastAsia" w:hAnsiTheme="minorHAnsi" w:cstheme="minorBidi"/>
      <w:sz w:val="18"/>
      <w:szCs w:val="18"/>
      <w:lang w:val="en-GB" w:eastAsia="en-US" w:bidi="hi-IN"/>
    </w:rPr>
  </w:style>
  <w:style w:type="character" w:customStyle="1" w:styleId="footnote1Char">
    <w:name w:val="footnote1 Char"/>
    <w:basedOn w:val="DefaultParagraphFont"/>
    <w:link w:val="footnote1"/>
    <w:rsid w:val="008E4082"/>
    <w:rPr>
      <w:rFonts w:asciiTheme="minorHAnsi" w:eastAsiaTheme="minorEastAsia" w:hAnsiTheme="minorHAnsi" w:cstheme="minorBidi"/>
      <w:sz w:val="18"/>
      <w:szCs w:val="18"/>
      <w:lang w:val="en-GB" w:eastAsia="en-US" w:bidi="hi-IN"/>
    </w:rPr>
  </w:style>
  <w:style w:type="paragraph" w:styleId="ListParagraph">
    <w:name w:val="List Paragraph"/>
    <w:basedOn w:val="Normal"/>
    <w:uiPriority w:val="34"/>
    <w:qFormat/>
    <w:rsid w:val="0088667E"/>
    <w:pPr>
      <w:numPr>
        <w:numId w:val="14"/>
      </w:numPr>
      <w:spacing w:before="0" w:after="120" w:line="276" w:lineRule="auto"/>
      <w:contextualSpacing/>
      <w:jc w:val="both"/>
    </w:pPr>
    <w:rPr>
      <w:rFonts w:asciiTheme="minorHAnsi" w:eastAsiaTheme="minorEastAsia" w:hAnsiTheme="minorHAnsi" w:cstheme="minorBidi"/>
      <w:sz w:val="20"/>
      <w:lang w:val="en-GB" w:eastAsia="en-US"/>
    </w:rPr>
  </w:style>
  <w:style w:type="table" w:customStyle="1" w:styleId="TableGrid1">
    <w:name w:val="Table Grid1"/>
    <w:basedOn w:val="TableNormal"/>
    <w:next w:val="TableGrid"/>
    <w:uiPriority w:val="59"/>
    <w:rsid w:val="0088667E"/>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8667E"/>
    <w:rPr>
      <w:rFonts w:asciiTheme="minorHAnsi" w:eastAsiaTheme="minorEastAsia" w:hAnsiTheme="minorHAnsi" w:cstheme="minorBidi"/>
      <w:sz w:val="22"/>
      <w:szCs w:val="22"/>
      <w:lang w:val="en-GB" w:eastAsia="en-US"/>
    </w:rPr>
  </w:style>
  <w:style w:type="table" w:customStyle="1" w:styleId="TableGrid12">
    <w:name w:val="Table Grid12"/>
    <w:basedOn w:val="TableNormal"/>
    <w:next w:val="TableGrid"/>
    <w:uiPriority w:val="59"/>
    <w:rsid w:val="0088667E"/>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Spacing"/>
    <w:link w:val="TabletitleChar"/>
    <w:qFormat/>
    <w:rsid w:val="0088667E"/>
    <w:pPr>
      <w:spacing w:after="40"/>
      <w:jc w:val="both"/>
    </w:pPr>
    <w:rPr>
      <w:b/>
    </w:rPr>
  </w:style>
  <w:style w:type="character" w:customStyle="1" w:styleId="NoSpacingChar">
    <w:name w:val="No Spacing Char"/>
    <w:basedOn w:val="DefaultParagraphFont"/>
    <w:link w:val="NoSpacing"/>
    <w:uiPriority w:val="1"/>
    <w:rsid w:val="0088667E"/>
    <w:rPr>
      <w:rFonts w:asciiTheme="minorHAnsi" w:eastAsiaTheme="minorEastAsia" w:hAnsiTheme="minorHAnsi" w:cstheme="minorBidi"/>
      <w:sz w:val="22"/>
      <w:szCs w:val="22"/>
      <w:lang w:val="en-GB" w:eastAsia="en-US"/>
    </w:rPr>
  </w:style>
  <w:style w:type="character" w:customStyle="1" w:styleId="TabletitleChar">
    <w:name w:val="Table title Char"/>
    <w:basedOn w:val="NoSpacingChar"/>
    <w:link w:val="Tabletitle"/>
    <w:rsid w:val="0088667E"/>
    <w:rPr>
      <w:rFonts w:asciiTheme="minorHAnsi" w:eastAsiaTheme="minorEastAsia" w:hAnsiTheme="minorHAnsi" w:cstheme="minorBidi"/>
      <w:b/>
      <w:sz w:val="22"/>
      <w:szCs w:val="22"/>
      <w:lang w:val="en-GB" w:eastAsia="en-US"/>
    </w:rPr>
  </w:style>
  <w:style w:type="paragraph" w:styleId="Revision">
    <w:name w:val="Revision"/>
    <w:hidden/>
    <w:uiPriority w:val="99"/>
    <w:semiHidden/>
    <w:rsid w:val="0088667E"/>
    <w:rPr>
      <w:rFonts w:ascii="Franklin Gothic Book" w:hAnsi="Franklin Gothic Book"/>
      <w:sz w:val="21"/>
    </w:rPr>
  </w:style>
  <w:style w:type="paragraph" w:customStyle="1" w:styleId="footnote">
    <w:name w:val="footnote"/>
    <w:basedOn w:val="FootnoteText"/>
    <w:link w:val="footnoteChar"/>
    <w:rsid w:val="00746AA8"/>
    <w:pPr>
      <w:spacing w:before="0" w:line="240" w:lineRule="auto"/>
      <w:ind w:left="0" w:firstLine="0"/>
    </w:pPr>
    <w:rPr>
      <w:rFonts w:asciiTheme="minorHAnsi" w:eastAsiaTheme="minorEastAsia" w:hAnsiTheme="minorHAnsi" w:cstheme="minorBidi"/>
      <w:sz w:val="18"/>
      <w:szCs w:val="18"/>
      <w:lang w:val="en-GB" w:eastAsia="en-US" w:bidi="hi-IN"/>
    </w:rPr>
  </w:style>
  <w:style w:type="character" w:customStyle="1" w:styleId="footnoteChar">
    <w:name w:val="footnote Char"/>
    <w:basedOn w:val="FootnoteTextChar"/>
    <w:link w:val="footnote"/>
    <w:rsid w:val="00746AA8"/>
    <w:rPr>
      <w:rFonts w:asciiTheme="minorHAnsi" w:eastAsiaTheme="minorEastAsia" w:hAnsiTheme="minorHAnsi" w:cstheme="minorBidi"/>
      <w:sz w:val="18"/>
      <w:szCs w:val="18"/>
      <w:lang w:val="en-GB" w:eastAsia="en-US" w:bidi="hi-IN"/>
    </w:rPr>
  </w:style>
  <w:style w:type="table" w:customStyle="1" w:styleId="TableGrid11">
    <w:name w:val="Table Grid11"/>
    <w:basedOn w:val="TableNormal"/>
    <w:next w:val="TableGrid"/>
    <w:uiPriority w:val="59"/>
    <w:rsid w:val="00746AA8"/>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link w:val="TableheadingChar"/>
    <w:qFormat/>
    <w:rsid w:val="00670BC7"/>
    <w:pPr>
      <w:spacing w:before="0" w:after="0" w:line="276" w:lineRule="auto"/>
    </w:pPr>
    <w:rPr>
      <w:rFonts w:asciiTheme="minorHAnsi" w:hAnsiTheme="minorHAnsi" w:cstheme="minorBidi"/>
      <w:b/>
      <w:sz w:val="20"/>
      <w:lang w:val="en-GB" w:eastAsia="en-GB" w:bidi="hi-IN"/>
    </w:rPr>
  </w:style>
  <w:style w:type="character" w:customStyle="1" w:styleId="TableheadingChar">
    <w:name w:val="Table heading Char"/>
    <w:basedOn w:val="DefaultParagraphFont"/>
    <w:link w:val="Tableheading0"/>
    <w:rsid w:val="00670BC7"/>
    <w:rPr>
      <w:rFonts w:asciiTheme="minorHAnsi" w:hAnsiTheme="minorHAnsi" w:cstheme="minorBidi"/>
      <w:b/>
      <w:lang w:val="en-GB" w:eastAsia="en-GB" w:bidi="hi-IN"/>
    </w:rPr>
  </w:style>
  <w:style w:type="table" w:customStyle="1" w:styleId="TableGrid13">
    <w:name w:val="Table Grid13"/>
    <w:basedOn w:val="TableNormal"/>
    <w:next w:val="TableGrid"/>
    <w:uiPriority w:val="59"/>
    <w:rsid w:val="00670BC7"/>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DE491F"/>
    <w:rPr>
      <w:rFonts w:asciiTheme="majorHAnsi" w:eastAsiaTheme="majorEastAsia" w:hAnsiTheme="majorHAnsi" w:cstheme="majorBidi"/>
      <w:i/>
      <w:iCs/>
      <w:caps/>
      <w:color w:val="244061" w:themeColor="accent1" w:themeShade="80"/>
      <w:lang w:val="en-GB" w:eastAsia="en-US"/>
    </w:rPr>
  </w:style>
  <w:style w:type="character" w:customStyle="1" w:styleId="Heading7Char">
    <w:name w:val="Heading 7 Char"/>
    <w:basedOn w:val="DefaultParagraphFont"/>
    <w:link w:val="Heading7"/>
    <w:uiPriority w:val="9"/>
    <w:semiHidden/>
    <w:rsid w:val="00DE491F"/>
    <w:rPr>
      <w:rFonts w:asciiTheme="majorHAnsi" w:eastAsiaTheme="majorEastAsia" w:hAnsiTheme="majorHAnsi" w:cstheme="majorBidi"/>
      <w:b/>
      <w:bCs/>
      <w:color w:val="244061" w:themeColor="accent1" w:themeShade="80"/>
      <w:lang w:val="en-GB" w:eastAsia="en-US"/>
    </w:rPr>
  </w:style>
  <w:style w:type="character" w:customStyle="1" w:styleId="Heading8Char">
    <w:name w:val="Heading 8 Char"/>
    <w:basedOn w:val="DefaultParagraphFont"/>
    <w:link w:val="Heading8"/>
    <w:uiPriority w:val="9"/>
    <w:semiHidden/>
    <w:rsid w:val="00DE491F"/>
    <w:rPr>
      <w:rFonts w:asciiTheme="majorHAnsi" w:eastAsiaTheme="majorEastAsia" w:hAnsiTheme="majorHAnsi" w:cstheme="majorBidi"/>
      <w:b/>
      <w:bCs/>
      <w:i/>
      <w:iCs/>
      <w:color w:val="244061" w:themeColor="accent1" w:themeShade="80"/>
      <w:lang w:val="en-GB" w:eastAsia="en-US"/>
    </w:rPr>
  </w:style>
  <w:style w:type="character" w:customStyle="1" w:styleId="Heading9Char">
    <w:name w:val="Heading 9 Char"/>
    <w:basedOn w:val="DefaultParagraphFont"/>
    <w:link w:val="Heading9"/>
    <w:uiPriority w:val="9"/>
    <w:semiHidden/>
    <w:rsid w:val="00DE491F"/>
    <w:rPr>
      <w:rFonts w:asciiTheme="majorHAnsi" w:eastAsiaTheme="majorEastAsia" w:hAnsiTheme="majorHAnsi" w:cstheme="majorBidi"/>
      <w:i/>
      <w:iCs/>
      <w:color w:val="244061" w:themeColor="accent1" w:themeShade="80"/>
      <w:lang w:val="en-GB" w:eastAsia="en-US"/>
    </w:rPr>
  </w:style>
  <w:style w:type="character" w:customStyle="1" w:styleId="Heading1Char">
    <w:name w:val="Heading 1 Char"/>
    <w:basedOn w:val="DefaultParagraphFont"/>
    <w:link w:val="Heading1"/>
    <w:rsid w:val="00DE491F"/>
    <w:rPr>
      <w:rFonts w:ascii="Arial" w:hAnsi="Arial" w:cs="Arial"/>
      <w:bCs/>
      <w:color w:val="FFFFFF" w:themeColor="background1"/>
      <w:sz w:val="44"/>
      <w:szCs w:val="32"/>
    </w:rPr>
  </w:style>
  <w:style w:type="character" w:customStyle="1" w:styleId="Heading2Char">
    <w:name w:val="Heading 2 Char"/>
    <w:basedOn w:val="DefaultParagraphFont"/>
    <w:link w:val="Heading2"/>
    <w:rsid w:val="00DE491F"/>
    <w:rPr>
      <w:rFonts w:ascii="Arial" w:hAnsi="Arial" w:cs="Arial"/>
      <w:b/>
      <w:bCs/>
      <w:iCs/>
      <w:color w:val="124486"/>
      <w:sz w:val="28"/>
      <w:szCs w:val="28"/>
    </w:rPr>
  </w:style>
  <w:style w:type="character" w:customStyle="1" w:styleId="Heading3Char">
    <w:name w:val="Heading 3 Char"/>
    <w:basedOn w:val="DefaultParagraphFont"/>
    <w:link w:val="Heading3"/>
    <w:rsid w:val="00DE491F"/>
    <w:rPr>
      <w:rFonts w:ascii="Arial" w:hAnsi="Arial" w:cs="Arial"/>
      <w:bCs/>
      <w:color w:val="007FAD"/>
      <w:sz w:val="24"/>
      <w:szCs w:val="26"/>
    </w:rPr>
  </w:style>
  <w:style w:type="paragraph" w:customStyle="1" w:styleId="Default">
    <w:name w:val="Default"/>
    <w:rsid w:val="00DE491F"/>
    <w:pPr>
      <w:autoSpaceDE w:val="0"/>
      <w:autoSpaceDN w:val="0"/>
      <w:adjustRightInd w:val="0"/>
    </w:pPr>
    <w:rPr>
      <w:rFonts w:ascii="Helvetica" w:eastAsiaTheme="minorEastAsia" w:hAnsi="Helvetica" w:cs="Helvetica"/>
      <w:color w:val="000000"/>
      <w:sz w:val="24"/>
      <w:szCs w:val="24"/>
      <w:lang w:val="en-GB" w:eastAsia="en-US"/>
    </w:rPr>
  </w:style>
  <w:style w:type="paragraph" w:customStyle="1" w:styleId="CM43">
    <w:name w:val="CM43"/>
    <w:basedOn w:val="Default"/>
    <w:next w:val="Default"/>
    <w:uiPriority w:val="99"/>
    <w:rsid w:val="00DE491F"/>
    <w:rPr>
      <w:color w:val="auto"/>
    </w:rPr>
  </w:style>
  <w:style w:type="paragraph" w:styleId="TOCHeading">
    <w:name w:val="TOC Heading"/>
    <w:basedOn w:val="Heading1"/>
    <w:next w:val="Normal"/>
    <w:uiPriority w:val="39"/>
    <w:unhideWhenUsed/>
    <w:qFormat/>
    <w:rsid w:val="00DE491F"/>
    <w:pPr>
      <w:keepLines/>
      <w:pageBreakBefore w:val="0"/>
      <w:spacing w:before="400" w:after="240" w:line="240" w:lineRule="auto"/>
      <w:ind w:left="360" w:hanging="360"/>
      <w:outlineLvl w:val="9"/>
    </w:pPr>
    <w:rPr>
      <w:rFonts w:eastAsiaTheme="minorEastAsia"/>
      <w:b/>
      <w:bCs w:val="0"/>
      <w:color w:val="244061" w:themeColor="accent1" w:themeShade="80"/>
      <w:sz w:val="28"/>
      <w:szCs w:val="28"/>
      <w:lang w:val="en-GB" w:eastAsia="en-US"/>
    </w:rPr>
  </w:style>
  <w:style w:type="paragraph" w:styleId="TOC3">
    <w:name w:val="toc 3"/>
    <w:basedOn w:val="Normal"/>
    <w:next w:val="Normal"/>
    <w:autoRedefine/>
    <w:uiPriority w:val="39"/>
    <w:unhideWhenUsed/>
    <w:rsid w:val="00DE491F"/>
    <w:pPr>
      <w:spacing w:before="0" w:after="100" w:line="276" w:lineRule="auto"/>
      <w:ind w:left="400"/>
    </w:pPr>
    <w:rPr>
      <w:rFonts w:asciiTheme="minorHAnsi" w:eastAsiaTheme="minorEastAsia" w:hAnsiTheme="minorHAnsi" w:cstheme="minorBidi"/>
      <w:sz w:val="20"/>
      <w:lang w:val="en-GB" w:eastAsia="en-US"/>
    </w:rPr>
  </w:style>
  <w:style w:type="character" w:customStyle="1" w:styleId="Heading4Char">
    <w:name w:val="Heading 4 Char"/>
    <w:basedOn w:val="DefaultParagraphFont"/>
    <w:link w:val="Heading4"/>
    <w:rsid w:val="00DE491F"/>
    <w:rPr>
      <w:rFonts w:ascii="Arial" w:hAnsi="Arial"/>
      <w:b/>
      <w:bCs/>
      <w:sz w:val="22"/>
      <w:szCs w:val="28"/>
    </w:rPr>
  </w:style>
  <w:style w:type="character" w:customStyle="1" w:styleId="Heading5Char">
    <w:name w:val="Heading 5 Char"/>
    <w:basedOn w:val="DefaultParagraphFont"/>
    <w:link w:val="Heading5"/>
    <w:rsid w:val="00DE491F"/>
    <w:rPr>
      <w:rFonts w:ascii="Arial" w:hAnsi="Arial"/>
      <w:bCs/>
      <w:i/>
      <w:iCs/>
      <w:sz w:val="22"/>
      <w:szCs w:val="26"/>
    </w:rPr>
  </w:style>
  <w:style w:type="paragraph" w:styleId="IntenseQuote">
    <w:name w:val="Intense Quote"/>
    <w:basedOn w:val="Normal"/>
    <w:next w:val="Normal"/>
    <w:link w:val="IntenseQuoteChar"/>
    <w:uiPriority w:val="30"/>
    <w:qFormat/>
    <w:rsid w:val="00DE491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val="en-GB" w:eastAsia="en-US"/>
    </w:rPr>
  </w:style>
  <w:style w:type="character" w:customStyle="1" w:styleId="IntenseQuoteChar">
    <w:name w:val="Intense Quote Char"/>
    <w:basedOn w:val="DefaultParagraphFont"/>
    <w:link w:val="IntenseQuote"/>
    <w:uiPriority w:val="30"/>
    <w:rsid w:val="00DE491F"/>
    <w:rPr>
      <w:rFonts w:asciiTheme="majorHAnsi" w:eastAsiaTheme="majorEastAsia" w:hAnsiTheme="majorHAnsi" w:cstheme="majorBidi"/>
      <w:color w:val="1F497D" w:themeColor="text2"/>
      <w:spacing w:val="-6"/>
      <w:sz w:val="32"/>
      <w:szCs w:val="32"/>
      <w:lang w:val="en-GB" w:eastAsia="en-US"/>
    </w:rPr>
  </w:style>
  <w:style w:type="character" w:styleId="SubtleEmphasis">
    <w:name w:val="Subtle Emphasis"/>
    <w:basedOn w:val="DefaultParagraphFont"/>
    <w:uiPriority w:val="19"/>
    <w:qFormat/>
    <w:rsid w:val="00DE491F"/>
    <w:rPr>
      <w:i/>
      <w:iCs/>
      <w:color w:val="595959" w:themeColor="text1" w:themeTint="A6"/>
    </w:rPr>
  </w:style>
  <w:style w:type="character" w:styleId="IntenseEmphasis">
    <w:name w:val="Intense Emphasis"/>
    <w:basedOn w:val="DefaultParagraphFont"/>
    <w:uiPriority w:val="21"/>
    <w:qFormat/>
    <w:rsid w:val="00DE491F"/>
    <w:rPr>
      <w:b/>
      <w:bCs/>
      <w:i/>
      <w:iCs/>
    </w:rPr>
  </w:style>
  <w:style w:type="character" w:styleId="SubtleReference">
    <w:name w:val="Subtle Reference"/>
    <w:basedOn w:val="DefaultParagraphFont"/>
    <w:uiPriority w:val="31"/>
    <w:qFormat/>
    <w:rsid w:val="00DE491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E491F"/>
    <w:rPr>
      <w:b/>
      <w:bCs/>
      <w:smallCaps/>
      <w:color w:val="1F497D" w:themeColor="text2"/>
      <w:u w:val="single"/>
    </w:rPr>
  </w:style>
  <w:style w:type="character" w:styleId="BookTitle">
    <w:name w:val="Book Title"/>
    <w:basedOn w:val="DefaultParagraphFont"/>
    <w:uiPriority w:val="33"/>
    <w:qFormat/>
    <w:rsid w:val="00DE491F"/>
    <w:rPr>
      <w:b/>
      <w:bCs/>
      <w:smallCap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1D"/>
    <w:pPr>
      <w:spacing w:before="40" w:after="160" w:line="288" w:lineRule="auto"/>
    </w:pPr>
    <w:rPr>
      <w:rFonts w:ascii="Franklin Gothic Book" w:hAnsi="Franklin Gothic Book"/>
      <w:sz w:val="21"/>
    </w:rPr>
  </w:style>
  <w:style w:type="paragraph" w:styleId="Heading1">
    <w:name w:val="heading 1"/>
    <w:basedOn w:val="Normal"/>
    <w:next w:val="Normal"/>
    <w:link w:val="Heading1Char"/>
    <w:qFormat/>
    <w:rsid w:val="0054221D"/>
    <w:pPr>
      <w:keepNext/>
      <w:pageBreakBefore/>
      <w:spacing w:before="480" w:after="1560" w:line="540" w:lineRule="atLeast"/>
      <w:ind w:left="720" w:hanging="720"/>
      <w:outlineLvl w:val="0"/>
    </w:pPr>
    <w:rPr>
      <w:rFonts w:ascii="Arial" w:hAnsi="Arial" w:cs="Arial"/>
      <w:bCs/>
      <w:color w:val="FFFFFF" w:themeColor="background1"/>
      <w:sz w:val="44"/>
      <w:szCs w:val="32"/>
    </w:rPr>
  </w:style>
  <w:style w:type="paragraph" w:styleId="Heading2">
    <w:name w:val="heading 2"/>
    <w:basedOn w:val="Normal"/>
    <w:next w:val="Normal"/>
    <w:link w:val="Heading2Char"/>
    <w:qFormat/>
    <w:rsid w:val="0054221D"/>
    <w:pPr>
      <w:keepNext/>
      <w:spacing w:before="480" w:after="120" w:line="240" w:lineRule="auto"/>
      <w:ind w:left="720" w:hanging="720"/>
      <w:outlineLvl w:val="1"/>
    </w:pPr>
    <w:rPr>
      <w:rFonts w:ascii="Arial" w:hAnsi="Arial" w:cs="Arial"/>
      <w:b/>
      <w:bCs/>
      <w:iCs/>
      <w:color w:val="124486"/>
      <w:sz w:val="28"/>
      <w:szCs w:val="28"/>
    </w:rPr>
  </w:style>
  <w:style w:type="paragraph" w:styleId="Heading3">
    <w:name w:val="heading 3"/>
    <w:basedOn w:val="Normal"/>
    <w:next w:val="Normal"/>
    <w:link w:val="Heading3Char"/>
    <w:qFormat/>
    <w:rsid w:val="0054221D"/>
    <w:pPr>
      <w:keepNext/>
      <w:spacing w:before="360" w:after="120" w:line="240" w:lineRule="auto"/>
      <w:ind w:left="720" w:hanging="720"/>
      <w:outlineLvl w:val="2"/>
    </w:pPr>
    <w:rPr>
      <w:rFonts w:ascii="Arial" w:hAnsi="Arial" w:cs="Arial"/>
      <w:bCs/>
      <w:color w:val="007FAD"/>
      <w:sz w:val="24"/>
      <w:szCs w:val="26"/>
    </w:rPr>
  </w:style>
  <w:style w:type="paragraph" w:styleId="Heading4">
    <w:name w:val="heading 4"/>
    <w:basedOn w:val="Normal"/>
    <w:next w:val="Normal"/>
    <w:link w:val="Heading4Char"/>
    <w:rsid w:val="0054221D"/>
    <w:pPr>
      <w:keepNext/>
      <w:spacing w:before="240" w:after="120"/>
      <w:outlineLvl w:val="3"/>
    </w:pPr>
    <w:rPr>
      <w:rFonts w:ascii="Arial" w:hAnsi="Arial"/>
      <w:b/>
      <w:bCs/>
      <w:sz w:val="22"/>
      <w:szCs w:val="28"/>
    </w:rPr>
  </w:style>
  <w:style w:type="paragraph" w:styleId="Heading5">
    <w:name w:val="heading 5"/>
    <w:basedOn w:val="Normal"/>
    <w:next w:val="Normal"/>
    <w:link w:val="Heading5Char"/>
    <w:rsid w:val="0054221D"/>
    <w:pPr>
      <w:keepNext/>
      <w:spacing w:before="60" w:after="60"/>
      <w:outlineLvl w:val="4"/>
    </w:pPr>
    <w:rPr>
      <w:rFonts w:ascii="Arial" w:hAnsi="Arial"/>
      <w:bCs/>
      <w:i/>
      <w:iCs/>
      <w:sz w:val="22"/>
      <w:szCs w:val="26"/>
    </w:rPr>
  </w:style>
  <w:style w:type="paragraph" w:styleId="Heading6">
    <w:name w:val="heading 6"/>
    <w:basedOn w:val="Normal"/>
    <w:next w:val="Normal"/>
    <w:link w:val="Heading6Char"/>
    <w:uiPriority w:val="9"/>
    <w:semiHidden/>
    <w:unhideWhenUsed/>
    <w:qFormat/>
    <w:rsid w:val="00DE491F"/>
    <w:pPr>
      <w:keepNext/>
      <w:keepLines/>
      <w:spacing w:after="0" w:line="276" w:lineRule="auto"/>
      <w:outlineLvl w:val="5"/>
    </w:pPr>
    <w:rPr>
      <w:rFonts w:asciiTheme="majorHAnsi" w:eastAsiaTheme="majorEastAsia" w:hAnsiTheme="majorHAnsi" w:cstheme="majorBidi"/>
      <w:i/>
      <w:iCs/>
      <w:caps/>
      <w:color w:val="244061" w:themeColor="accent1" w:themeShade="80"/>
      <w:sz w:val="20"/>
      <w:lang w:val="en-GB" w:eastAsia="en-US"/>
    </w:rPr>
  </w:style>
  <w:style w:type="paragraph" w:styleId="Heading7">
    <w:name w:val="heading 7"/>
    <w:basedOn w:val="Normal"/>
    <w:next w:val="Normal"/>
    <w:link w:val="Heading7Char"/>
    <w:uiPriority w:val="9"/>
    <w:semiHidden/>
    <w:unhideWhenUsed/>
    <w:qFormat/>
    <w:rsid w:val="00DE491F"/>
    <w:pPr>
      <w:keepNext/>
      <w:keepLines/>
      <w:spacing w:after="0" w:line="276" w:lineRule="auto"/>
      <w:outlineLvl w:val="6"/>
    </w:pPr>
    <w:rPr>
      <w:rFonts w:asciiTheme="majorHAnsi" w:eastAsiaTheme="majorEastAsia" w:hAnsiTheme="majorHAnsi" w:cstheme="majorBidi"/>
      <w:b/>
      <w:bCs/>
      <w:color w:val="244061" w:themeColor="accent1" w:themeShade="80"/>
      <w:sz w:val="20"/>
      <w:lang w:val="en-GB" w:eastAsia="en-US"/>
    </w:rPr>
  </w:style>
  <w:style w:type="paragraph" w:styleId="Heading8">
    <w:name w:val="heading 8"/>
    <w:basedOn w:val="Normal"/>
    <w:next w:val="Normal"/>
    <w:link w:val="Heading8Char"/>
    <w:uiPriority w:val="9"/>
    <w:semiHidden/>
    <w:unhideWhenUsed/>
    <w:qFormat/>
    <w:rsid w:val="00DE491F"/>
    <w:pPr>
      <w:keepNext/>
      <w:keepLines/>
      <w:spacing w:after="0" w:line="276" w:lineRule="auto"/>
      <w:outlineLvl w:val="7"/>
    </w:pPr>
    <w:rPr>
      <w:rFonts w:asciiTheme="majorHAnsi" w:eastAsiaTheme="majorEastAsia" w:hAnsiTheme="majorHAnsi" w:cstheme="majorBidi"/>
      <w:b/>
      <w:bCs/>
      <w:i/>
      <w:iCs/>
      <w:color w:val="244061" w:themeColor="accent1" w:themeShade="80"/>
      <w:sz w:val="20"/>
      <w:lang w:val="en-GB" w:eastAsia="en-US"/>
    </w:rPr>
  </w:style>
  <w:style w:type="paragraph" w:styleId="Heading9">
    <w:name w:val="heading 9"/>
    <w:basedOn w:val="Normal"/>
    <w:next w:val="Normal"/>
    <w:link w:val="Heading9Char"/>
    <w:uiPriority w:val="9"/>
    <w:semiHidden/>
    <w:unhideWhenUsed/>
    <w:qFormat/>
    <w:rsid w:val="00DE491F"/>
    <w:pPr>
      <w:keepNext/>
      <w:keepLines/>
      <w:spacing w:after="0" w:line="276" w:lineRule="auto"/>
      <w:outlineLvl w:val="8"/>
    </w:pPr>
    <w:rPr>
      <w:rFonts w:asciiTheme="majorHAnsi" w:eastAsiaTheme="majorEastAsia" w:hAnsiTheme="majorHAnsi" w:cstheme="majorBidi"/>
      <w:i/>
      <w:iCs/>
      <w:color w:val="244061" w:themeColor="accent1" w:themeShade="8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Normal"/>
    <w:link w:val="DateChar"/>
    <w:rsid w:val="0054221D"/>
    <w:pPr>
      <w:spacing w:after="600"/>
    </w:pPr>
    <w:rPr>
      <w:i/>
      <w:iCs/>
    </w:rPr>
  </w:style>
  <w:style w:type="paragraph" w:customStyle="1" w:styleId="PullQuote">
    <w:name w:val="PullQuote"/>
    <w:basedOn w:val="Normal"/>
    <w:next w:val="Normal"/>
    <w:rsid w:val="0054221D"/>
    <w:rPr>
      <w:rFonts w:ascii="Trebuchet MS" w:hAnsi="Trebuchet MS"/>
      <w:b/>
      <w:i/>
      <w:color w:val="007FAD"/>
    </w:rPr>
  </w:style>
  <w:style w:type="paragraph" w:customStyle="1" w:styleId="ReportDate">
    <w:name w:val="ReportDate"/>
    <w:basedOn w:val="Normal"/>
    <w:rsid w:val="0054221D"/>
    <w:pPr>
      <w:spacing w:before="960"/>
    </w:pPr>
    <w:rPr>
      <w:rFonts w:asciiTheme="minorHAnsi" w:hAnsiTheme="minorHAnsi"/>
      <w:sz w:val="28"/>
    </w:rPr>
  </w:style>
  <w:style w:type="paragraph" w:customStyle="1" w:styleId="Heading1a">
    <w:name w:val="Heading 1a"/>
    <w:basedOn w:val="Heading1"/>
    <w:next w:val="Normal"/>
    <w:rsid w:val="0054221D"/>
    <w:pPr>
      <w:outlineLvl w:val="9"/>
    </w:pPr>
  </w:style>
  <w:style w:type="paragraph" w:customStyle="1" w:styleId="Heading2a">
    <w:name w:val="Heading 2a"/>
    <w:basedOn w:val="Heading2"/>
    <w:next w:val="Normal"/>
    <w:rsid w:val="0054221D"/>
    <w:pPr>
      <w:ind w:left="0" w:firstLine="0"/>
      <w:outlineLvl w:val="9"/>
    </w:pPr>
  </w:style>
  <w:style w:type="paragraph" w:customStyle="1" w:styleId="Heading3a">
    <w:name w:val="Heading 3a"/>
    <w:basedOn w:val="Heading3"/>
    <w:next w:val="Normal"/>
    <w:rsid w:val="0054221D"/>
    <w:pPr>
      <w:ind w:left="0" w:firstLine="0"/>
      <w:outlineLvl w:val="9"/>
    </w:pPr>
  </w:style>
  <w:style w:type="paragraph" w:styleId="Header">
    <w:name w:val="header"/>
    <w:basedOn w:val="Normal"/>
    <w:link w:val="HeaderChar"/>
    <w:uiPriority w:val="99"/>
    <w:rsid w:val="0054221D"/>
    <w:pPr>
      <w:tabs>
        <w:tab w:val="right" w:pos="9000"/>
      </w:tabs>
      <w:spacing w:after="0"/>
    </w:pPr>
    <w:rPr>
      <w:sz w:val="18"/>
    </w:rPr>
  </w:style>
  <w:style w:type="paragraph" w:styleId="Footer">
    <w:name w:val="footer"/>
    <w:basedOn w:val="Normal"/>
    <w:link w:val="FooterChar"/>
    <w:uiPriority w:val="99"/>
    <w:rsid w:val="0054221D"/>
    <w:pPr>
      <w:tabs>
        <w:tab w:val="right" w:pos="9000"/>
      </w:tabs>
      <w:spacing w:after="0"/>
    </w:pPr>
    <w:rPr>
      <w:sz w:val="20"/>
    </w:rPr>
  </w:style>
  <w:style w:type="character" w:styleId="PageNumber">
    <w:name w:val="page number"/>
    <w:basedOn w:val="DefaultParagraphFont"/>
    <w:semiHidden/>
    <w:rsid w:val="0054221D"/>
    <w:rPr>
      <w:rFonts w:ascii="Times New Roman" w:hAnsi="Times New Roman"/>
      <w:b/>
      <w:sz w:val="20"/>
    </w:rPr>
  </w:style>
  <w:style w:type="paragraph" w:customStyle="1" w:styleId="TableText">
    <w:name w:val="TableText"/>
    <w:basedOn w:val="Normal"/>
    <w:rsid w:val="0054221D"/>
    <w:pPr>
      <w:keepNext/>
      <w:spacing w:after="40" w:line="200" w:lineRule="atLeast"/>
    </w:pPr>
    <w:rPr>
      <w:color w:val="000000" w:themeColor="text1"/>
      <w:sz w:val="17"/>
      <w:szCs w:val="21"/>
    </w:rPr>
  </w:style>
  <w:style w:type="paragraph" w:customStyle="1" w:styleId="TFListNotesSpace">
    <w:name w:val="TFListNotes+Space"/>
    <w:basedOn w:val="TableText"/>
    <w:next w:val="Normal"/>
    <w:rsid w:val="0054221D"/>
    <w:pPr>
      <w:keepNext w:val="0"/>
      <w:keepLines/>
      <w:spacing w:after="360"/>
      <w:ind w:left="170" w:hanging="170"/>
    </w:pPr>
    <w:rPr>
      <w:sz w:val="16"/>
      <w:szCs w:val="18"/>
    </w:rPr>
  </w:style>
  <w:style w:type="paragraph" w:customStyle="1" w:styleId="TFListNotes">
    <w:name w:val="TFListNotes"/>
    <w:basedOn w:val="TFListNotesSpace"/>
    <w:rsid w:val="0054221D"/>
    <w:pPr>
      <w:keepNext/>
      <w:spacing w:after="0"/>
    </w:pPr>
  </w:style>
  <w:style w:type="paragraph" w:customStyle="1" w:styleId="TableName">
    <w:name w:val="TableName"/>
    <w:basedOn w:val="TableText"/>
    <w:rsid w:val="0054221D"/>
    <w:pPr>
      <w:tabs>
        <w:tab w:val="left" w:pos="1080"/>
      </w:tabs>
      <w:spacing w:before="80" w:after="120"/>
      <w:ind w:left="1077" w:hanging="1077"/>
    </w:pPr>
    <w:rPr>
      <w:b/>
      <w:bCs/>
      <w:color w:val="auto"/>
      <w:sz w:val="22"/>
    </w:rPr>
  </w:style>
  <w:style w:type="paragraph" w:customStyle="1" w:styleId="TableHeading">
    <w:name w:val="TableHeading"/>
    <w:basedOn w:val="TableText"/>
    <w:rsid w:val="0054221D"/>
    <w:pPr>
      <w:spacing w:before="80" w:after="80"/>
    </w:pPr>
    <w:rPr>
      <w:rFonts w:ascii="Arial" w:hAnsi="Arial"/>
      <w:b/>
      <w:bCs/>
      <w:color w:val="FFFFFF" w:themeColor="background1"/>
      <w:sz w:val="20"/>
    </w:rPr>
  </w:style>
  <w:style w:type="paragraph" w:customStyle="1" w:styleId="BoxText">
    <w:name w:val="BoxText"/>
    <w:basedOn w:val="Normal"/>
    <w:link w:val="BoxTextChar"/>
    <w:qFormat/>
    <w:rsid w:val="0054221D"/>
    <w:pPr>
      <w:pBdr>
        <w:top w:val="single" w:sz="4" w:space="4" w:color="007FAD"/>
        <w:left w:val="single" w:sz="4" w:space="4" w:color="007FAD"/>
        <w:bottom w:val="single" w:sz="4" w:space="4" w:color="007FAD"/>
        <w:right w:val="single" w:sz="4" w:space="4" w:color="007FAD"/>
      </w:pBdr>
      <w:shd w:val="clear" w:color="auto" w:fill="ECF1F7"/>
      <w:spacing w:before="0" w:after="120" w:line="240" w:lineRule="auto"/>
    </w:pPr>
  </w:style>
  <w:style w:type="paragraph" w:customStyle="1" w:styleId="BoxNotes">
    <w:name w:val="BoxNotes"/>
    <w:basedOn w:val="BoxText"/>
    <w:rsid w:val="0054221D"/>
    <w:pPr>
      <w:spacing w:before="120" w:after="60"/>
    </w:pPr>
    <w:rPr>
      <w:sz w:val="18"/>
    </w:rPr>
  </w:style>
  <w:style w:type="paragraph" w:styleId="Quote">
    <w:name w:val="Quote"/>
    <w:basedOn w:val="Normal"/>
    <w:link w:val="QuoteChar"/>
    <w:rsid w:val="0054221D"/>
    <w:pPr>
      <w:ind w:left="567" w:right="567"/>
    </w:pPr>
    <w:rPr>
      <w:i/>
    </w:rPr>
  </w:style>
  <w:style w:type="paragraph" w:customStyle="1" w:styleId="References">
    <w:name w:val="References"/>
    <w:basedOn w:val="Normal"/>
    <w:rsid w:val="0054221D"/>
    <w:pPr>
      <w:keepLines/>
      <w:ind w:left="284" w:hanging="284"/>
    </w:pPr>
  </w:style>
  <w:style w:type="character" w:customStyle="1" w:styleId="FooterChar">
    <w:name w:val="Footer Char"/>
    <w:basedOn w:val="DefaultParagraphFont"/>
    <w:link w:val="Footer"/>
    <w:uiPriority w:val="99"/>
    <w:rsid w:val="0054221D"/>
    <w:rPr>
      <w:rFonts w:ascii="Franklin Gothic Book" w:hAnsi="Franklin Gothic Book"/>
    </w:rPr>
  </w:style>
  <w:style w:type="paragraph" w:styleId="FootnoteText">
    <w:name w:val="footnote text"/>
    <w:basedOn w:val="Normal"/>
    <w:link w:val="FootnoteTextChar"/>
    <w:uiPriority w:val="99"/>
    <w:rsid w:val="0054221D"/>
    <w:pPr>
      <w:spacing w:after="0"/>
      <w:ind w:left="360" w:hanging="360"/>
    </w:pPr>
    <w:rPr>
      <w:sz w:val="17"/>
    </w:rPr>
  </w:style>
  <w:style w:type="character" w:styleId="FootnoteReference">
    <w:name w:val="footnote reference"/>
    <w:basedOn w:val="DefaultParagraphFont"/>
    <w:semiHidden/>
    <w:rsid w:val="0054221D"/>
    <w:rPr>
      <w:vertAlign w:val="superscript"/>
    </w:rPr>
  </w:style>
  <w:style w:type="paragraph" w:customStyle="1" w:styleId="FigTabPara">
    <w:name w:val="FigTabPara"/>
    <w:basedOn w:val="Normal"/>
    <w:next w:val="Normal"/>
    <w:rsid w:val="0054221D"/>
    <w:pPr>
      <w:keepNext/>
      <w:ind w:left="1077"/>
    </w:pPr>
    <w:rPr>
      <w:sz w:val="20"/>
    </w:rPr>
  </w:style>
  <w:style w:type="paragraph" w:customStyle="1" w:styleId="TableBullet">
    <w:name w:val="TableBullet"/>
    <w:basedOn w:val="Normal"/>
    <w:rsid w:val="0054221D"/>
    <w:pPr>
      <w:numPr>
        <w:numId w:val="10"/>
      </w:numPr>
      <w:spacing w:after="40" w:line="240" w:lineRule="auto"/>
    </w:pPr>
    <w:rPr>
      <w:rFonts w:eastAsia="Calibri"/>
      <w:sz w:val="17"/>
      <w:szCs w:val="17"/>
      <w:lang w:eastAsia="en-US"/>
    </w:rPr>
  </w:style>
  <w:style w:type="paragraph" w:customStyle="1" w:styleId="TFAbbrevs">
    <w:name w:val="TFAbbrevs"/>
    <w:basedOn w:val="TFListNotes"/>
    <w:rsid w:val="0054221D"/>
    <w:pPr>
      <w:ind w:left="0" w:firstLine="0"/>
    </w:pPr>
  </w:style>
  <w:style w:type="paragraph" w:styleId="TOC1">
    <w:name w:val="toc 1"/>
    <w:basedOn w:val="Normal"/>
    <w:next w:val="Normal"/>
    <w:autoRedefine/>
    <w:uiPriority w:val="39"/>
    <w:rsid w:val="0054221D"/>
    <w:pPr>
      <w:tabs>
        <w:tab w:val="left" w:pos="720"/>
        <w:tab w:val="right" w:leader="dot" w:pos="9016"/>
      </w:tabs>
      <w:spacing w:before="120" w:after="120" w:line="240" w:lineRule="auto"/>
      <w:ind w:left="720" w:right="720" w:hanging="720"/>
    </w:pPr>
    <w:rPr>
      <w:rFonts w:ascii="Arial" w:hAnsi="Arial"/>
      <w:bCs/>
      <w:noProof/>
      <w:color w:val="007FAD"/>
      <w:sz w:val="24"/>
    </w:rPr>
  </w:style>
  <w:style w:type="paragraph" w:styleId="TOC2">
    <w:name w:val="toc 2"/>
    <w:basedOn w:val="Normal"/>
    <w:next w:val="Normal"/>
    <w:autoRedefine/>
    <w:uiPriority w:val="39"/>
    <w:rsid w:val="0054221D"/>
    <w:pPr>
      <w:tabs>
        <w:tab w:val="left" w:pos="1440"/>
        <w:tab w:val="right" w:leader="dot" w:pos="9016"/>
      </w:tabs>
      <w:spacing w:before="120" w:after="120" w:line="240" w:lineRule="auto"/>
      <w:ind w:left="1440" w:right="720" w:hanging="720"/>
    </w:pPr>
    <w:rPr>
      <w:rFonts w:ascii="Arial" w:hAnsi="Arial"/>
      <w:sz w:val="24"/>
    </w:rPr>
  </w:style>
  <w:style w:type="paragraph" w:styleId="TableofFigures">
    <w:name w:val="table of figures"/>
    <w:basedOn w:val="Normal"/>
    <w:next w:val="Normal"/>
    <w:uiPriority w:val="99"/>
    <w:rsid w:val="0054221D"/>
    <w:pPr>
      <w:tabs>
        <w:tab w:val="left" w:pos="1080"/>
        <w:tab w:val="right" w:leader="dot" w:pos="9000"/>
      </w:tabs>
      <w:ind w:left="1080" w:right="720" w:hangingChars="450" w:hanging="1080"/>
    </w:pPr>
    <w:rPr>
      <w:rFonts w:ascii="Arial" w:hAnsi="Arial"/>
      <w:sz w:val="22"/>
    </w:rPr>
  </w:style>
  <w:style w:type="paragraph" w:customStyle="1" w:styleId="TableDash">
    <w:name w:val="TableDash"/>
    <w:basedOn w:val="TableBullet"/>
    <w:link w:val="TableDashChar"/>
    <w:rsid w:val="0054221D"/>
    <w:pPr>
      <w:numPr>
        <w:numId w:val="11"/>
      </w:numPr>
    </w:pPr>
  </w:style>
  <w:style w:type="paragraph" w:customStyle="1" w:styleId="Bullet">
    <w:name w:val="Bullet"/>
    <w:basedOn w:val="Normal"/>
    <w:qFormat/>
    <w:rsid w:val="0054221D"/>
    <w:pPr>
      <w:numPr>
        <w:numId w:val="9"/>
      </w:numPr>
      <w:spacing w:before="0" w:after="80" w:line="280" w:lineRule="exact"/>
    </w:pPr>
  </w:style>
  <w:style w:type="paragraph" w:customStyle="1" w:styleId="BulletLast">
    <w:name w:val="BulletLast"/>
    <w:basedOn w:val="Bullet"/>
    <w:qFormat/>
    <w:rsid w:val="0054221D"/>
    <w:pPr>
      <w:spacing w:after="160"/>
    </w:pPr>
  </w:style>
  <w:style w:type="paragraph" w:customStyle="1" w:styleId="Dash">
    <w:name w:val="Dash"/>
    <w:basedOn w:val="Normal"/>
    <w:rsid w:val="0054221D"/>
    <w:pPr>
      <w:numPr>
        <w:numId w:val="8"/>
      </w:numPr>
      <w:spacing w:before="0" w:after="80" w:line="280" w:lineRule="exact"/>
      <w:ind w:left="568" w:hanging="284"/>
    </w:pPr>
    <w:rPr>
      <w:szCs w:val="24"/>
    </w:rPr>
  </w:style>
  <w:style w:type="paragraph" w:customStyle="1" w:styleId="DashLast">
    <w:name w:val="DashLast"/>
    <w:basedOn w:val="Dash"/>
    <w:rsid w:val="0054221D"/>
    <w:pPr>
      <w:spacing w:after="120"/>
    </w:pPr>
  </w:style>
  <w:style w:type="paragraph" w:customStyle="1" w:styleId="DashLastSpace">
    <w:name w:val="DashLast+Space"/>
    <w:basedOn w:val="DashLast"/>
    <w:rsid w:val="0054221D"/>
    <w:pPr>
      <w:spacing w:after="240"/>
    </w:pPr>
  </w:style>
  <w:style w:type="paragraph" w:customStyle="1" w:styleId="NormalBeforeBullet">
    <w:name w:val="NormalBeforeBullet"/>
    <w:basedOn w:val="Normal"/>
    <w:qFormat/>
    <w:rsid w:val="0054221D"/>
    <w:pPr>
      <w:keepNext/>
      <w:spacing w:before="0" w:after="80"/>
    </w:pPr>
  </w:style>
  <w:style w:type="paragraph" w:customStyle="1" w:styleId="BoxName">
    <w:name w:val="BoxName"/>
    <w:basedOn w:val="BoxText"/>
    <w:rsid w:val="0054221D"/>
    <w:pPr>
      <w:keepNext/>
      <w:shd w:val="clear" w:color="auto" w:fill="007FAD"/>
      <w:spacing w:before="180" w:after="240"/>
      <w:ind w:left="1077" w:hanging="1077"/>
    </w:pPr>
    <w:rPr>
      <w:rFonts w:ascii="Arial" w:hAnsi="Arial"/>
      <w:b/>
      <w:bCs/>
      <w:color w:val="FFFFFF" w:themeColor="background1"/>
      <w:sz w:val="24"/>
    </w:rPr>
  </w:style>
  <w:style w:type="paragraph" w:customStyle="1" w:styleId="BoxHeading">
    <w:name w:val="BoxHeading"/>
    <w:basedOn w:val="BoxText"/>
    <w:link w:val="BoxHeadingChar"/>
    <w:rsid w:val="0054221D"/>
    <w:pPr>
      <w:keepNext/>
      <w:spacing w:before="120" w:after="60"/>
    </w:pPr>
    <w:rPr>
      <w:b/>
      <w:bCs/>
      <w:sz w:val="22"/>
    </w:rPr>
  </w:style>
  <w:style w:type="paragraph" w:customStyle="1" w:styleId="BoxBullet">
    <w:name w:val="BoxBullet"/>
    <w:basedOn w:val="BoxText"/>
    <w:link w:val="BoxBulletChar"/>
    <w:rsid w:val="0054221D"/>
    <w:pPr>
      <w:numPr>
        <w:numId w:val="4"/>
      </w:numPr>
    </w:pPr>
  </w:style>
  <w:style w:type="character" w:customStyle="1" w:styleId="BoxBulletChar">
    <w:name w:val="BoxBullet Char"/>
    <w:basedOn w:val="BoxTextChar"/>
    <w:link w:val="BoxBullet"/>
    <w:rsid w:val="0054221D"/>
    <w:rPr>
      <w:rFonts w:ascii="Franklin Gothic Book" w:hAnsi="Franklin Gothic Book"/>
      <w:sz w:val="21"/>
      <w:shd w:val="clear" w:color="auto" w:fill="ECF1F7"/>
    </w:rPr>
  </w:style>
  <w:style w:type="paragraph" w:customStyle="1" w:styleId="BoxHeading2">
    <w:name w:val="BoxHeading2"/>
    <w:basedOn w:val="BoxHeading"/>
    <w:link w:val="BoxHeading2Char"/>
    <w:qFormat/>
    <w:rsid w:val="0054221D"/>
    <w:rPr>
      <w:i/>
      <w:sz w:val="21"/>
    </w:rPr>
  </w:style>
  <w:style w:type="paragraph" w:customStyle="1" w:styleId="FigureName">
    <w:name w:val="FigureName"/>
    <w:basedOn w:val="Normal"/>
    <w:next w:val="Normal"/>
    <w:rsid w:val="0054221D"/>
    <w:pPr>
      <w:keepNext/>
      <w:keepLines/>
      <w:tabs>
        <w:tab w:val="left" w:pos="1080"/>
      </w:tabs>
      <w:spacing w:before="80" w:after="80"/>
      <w:ind w:left="1077" w:hanging="1077"/>
    </w:pPr>
    <w:rPr>
      <w:b/>
      <w:bCs/>
      <w:sz w:val="22"/>
    </w:rPr>
  </w:style>
  <w:style w:type="paragraph" w:styleId="Index1">
    <w:name w:val="index 1"/>
    <w:basedOn w:val="Normal"/>
    <w:next w:val="Normal"/>
    <w:rsid w:val="0054221D"/>
    <w:pPr>
      <w:spacing w:after="0"/>
      <w:ind w:left="518" w:hanging="518"/>
    </w:pPr>
    <w:rPr>
      <w:noProof/>
      <w:sz w:val="22"/>
    </w:rPr>
  </w:style>
  <w:style w:type="paragraph" w:styleId="Index2">
    <w:name w:val="index 2"/>
    <w:basedOn w:val="Index1"/>
    <w:next w:val="Normal"/>
    <w:rsid w:val="0054221D"/>
    <w:pPr>
      <w:ind w:left="816" w:hanging="476"/>
    </w:pPr>
  </w:style>
  <w:style w:type="paragraph" w:styleId="TOC4">
    <w:name w:val="toc 4"/>
    <w:basedOn w:val="Normal"/>
    <w:next w:val="Normal"/>
    <w:autoRedefine/>
    <w:semiHidden/>
    <w:rsid w:val="0054221D"/>
    <w:pPr>
      <w:tabs>
        <w:tab w:val="right" w:leader="dot" w:pos="9016"/>
      </w:tabs>
      <w:spacing w:after="0"/>
      <w:ind w:left="2160" w:right="720"/>
    </w:pPr>
    <w:rPr>
      <w:noProof/>
      <w:szCs w:val="24"/>
    </w:rPr>
  </w:style>
  <w:style w:type="paragraph" w:customStyle="1" w:styleId="NumberList">
    <w:name w:val="NumberList"/>
    <w:basedOn w:val="Normal"/>
    <w:rsid w:val="0054221D"/>
    <w:pPr>
      <w:tabs>
        <w:tab w:val="left" w:pos="360"/>
      </w:tabs>
      <w:ind w:left="360" w:hanging="360"/>
    </w:pPr>
  </w:style>
  <w:style w:type="paragraph" w:customStyle="1" w:styleId="TFNoteSourceSpace">
    <w:name w:val="TFNoteSource+Space"/>
    <w:basedOn w:val="TFListNotesSpace"/>
    <w:next w:val="Normal"/>
    <w:rsid w:val="0054221D"/>
    <w:pPr>
      <w:ind w:left="624" w:hanging="624"/>
    </w:pPr>
  </w:style>
  <w:style w:type="paragraph" w:customStyle="1" w:styleId="TFNoteSource">
    <w:name w:val="TFNoteSource"/>
    <w:basedOn w:val="TFNoteSourceSpace"/>
    <w:rsid w:val="0054221D"/>
    <w:pPr>
      <w:spacing w:after="0"/>
    </w:pPr>
  </w:style>
  <w:style w:type="paragraph" w:customStyle="1" w:styleId="TFAbbrevsSpace">
    <w:name w:val="TFAbbrevs+Space"/>
    <w:basedOn w:val="TFAbbrevs"/>
    <w:next w:val="Normal"/>
    <w:rsid w:val="0054221D"/>
    <w:pPr>
      <w:spacing w:after="360"/>
    </w:pPr>
  </w:style>
  <w:style w:type="character" w:styleId="Strong">
    <w:name w:val="Strong"/>
    <w:basedOn w:val="DefaultParagraphFont"/>
    <w:uiPriority w:val="22"/>
    <w:qFormat/>
    <w:rsid w:val="0054221D"/>
    <w:rPr>
      <w:b/>
      <w:bCs/>
    </w:rPr>
  </w:style>
  <w:style w:type="character" w:styleId="Emphasis">
    <w:name w:val="Emphasis"/>
    <w:basedOn w:val="DefaultParagraphFont"/>
    <w:uiPriority w:val="20"/>
    <w:qFormat/>
    <w:rsid w:val="0054221D"/>
    <w:rPr>
      <w:i/>
      <w:iCs/>
    </w:rPr>
  </w:style>
  <w:style w:type="character" w:customStyle="1" w:styleId="Roman">
    <w:name w:val="Roman"/>
    <w:uiPriority w:val="1"/>
    <w:rsid w:val="0054221D"/>
    <w:rPr>
      <w:b w:val="0"/>
      <w:i/>
    </w:rPr>
  </w:style>
  <w:style w:type="character" w:customStyle="1" w:styleId="TableDashChar">
    <w:name w:val="TableDash Char"/>
    <w:link w:val="TableDash"/>
    <w:rsid w:val="0054221D"/>
    <w:rPr>
      <w:rFonts w:ascii="Franklin Gothic Book" w:eastAsia="Calibri" w:hAnsi="Franklin Gothic Book"/>
      <w:sz w:val="17"/>
      <w:szCs w:val="17"/>
      <w:lang w:eastAsia="en-US"/>
    </w:rPr>
  </w:style>
  <w:style w:type="table" w:styleId="TableGrid">
    <w:name w:val="Table Grid"/>
    <w:basedOn w:val="TableNormal"/>
    <w:uiPriority w:val="59"/>
    <w:rsid w:val="0054221D"/>
    <w:tblPr>
      <w:tblBorders>
        <w:top w:val="single" w:sz="4" w:space="0" w:color="007FAD"/>
        <w:bottom w:val="single" w:sz="4" w:space="0" w:color="007FAD"/>
        <w:insideH w:val="single" w:sz="4" w:space="0" w:color="007FAD"/>
      </w:tblBorders>
      <w:tblCellMar>
        <w:top w:w="85" w:type="dxa"/>
        <w:bottom w:w="85" w:type="dxa"/>
      </w:tblCellMar>
    </w:tblPr>
    <w:tcPr>
      <w:shd w:val="clear" w:color="auto" w:fill="FFFFFF" w:themeFill="background1"/>
    </w:tcPr>
    <w:tblStylePr w:type="firstRow">
      <w:tblPr/>
      <w:tcPr>
        <w:shd w:val="clear" w:color="auto" w:fill="007FAD"/>
      </w:tcPr>
    </w:tblStylePr>
  </w:style>
  <w:style w:type="paragraph" w:customStyle="1" w:styleId="TableNumberList">
    <w:name w:val="TableNumberList"/>
    <w:basedOn w:val="Normal"/>
    <w:rsid w:val="0054221D"/>
    <w:pPr>
      <w:numPr>
        <w:numId w:val="12"/>
      </w:numPr>
      <w:spacing w:after="40" w:line="240" w:lineRule="auto"/>
    </w:pPr>
    <w:rPr>
      <w:rFonts w:eastAsia="Calibri"/>
      <w:sz w:val="17"/>
      <w:szCs w:val="17"/>
      <w:lang w:eastAsia="en-US"/>
    </w:rPr>
  </w:style>
  <w:style w:type="character" w:customStyle="1" w:styleId="BoxTextChar">
    <w:name w:val="BoxText Char"/>
    <w:basedOn w:val="DefaultParagraphFont"/>
    <w:link w:val="BoxText"/>
    <w:rsid w:val="0054221D"/>
    <w:rPr>
      <w:rFonts w:ascii="Franklin Gothic Book" w:hAnsi="Franklin Gothic Book"/>
      <w:sz w:val="21"/>
      <w:shd w:val="clear" w:color="auto" w:fill="ECF1F7"/>
    </w:rPr>
  </w:style>
  <w:style w:type="character" w:customStyle="1" w:styleId="Subscript">
    <w:name w:val="Subscript"/>
    <w:basedOn w:val="DefaultParagraphFont"/>
    <w:uiPriority w:val="1"/>
    <w:rsid w:val="0054221D"/>
    <w:rPr>
      <w:noProof/>
      <w:vertAlign w:val="subscript"/>
    </w:rPr>
  </w:style>
  <w:style w:type="character" w:customStyle="1" w:styleId="Superscript">
    <w:name w:val="Superscript"/>
    <w:basedOn w:val="DefaultParagraphFont"/>
    <w:uiPriority w:val="1"/>
    <w:rsid w:val="0054221D"/>
    <w:rPr>
      <w:noProof/>
      <w:vertAlign w:val="superscript"/>
    </w:rPr>
  </w:style>
  <w:style w:type="character" w:customStyle="1" w:styleId="Symbol">
    <w:name w:val="Symbol"/>
    <w:basedOn w:val="DefaultParagraphFont"/>
    <w:uiPriority w:val="1"/>
    <w:rsid w:val="0054221D"/>
    <w:rPr>
      <w:noProof/>
    </w:rPr>
  </w:style>
  <w:style w:type="character" w:customStyle="1" w:styleId="BoxHeadingChar">
    <w:name w:val="BoxHeading Char"/>
    <w:basedOn w:val="BoxTextChar"/>
    <w:link w:val="BoxHeading"/>
    <w:rsid w:val="0054221D"/>
    <w:rPr>
      <w:rFonts w:ascii="Franklin Gothic Book" w:hAnsi="Franklin Gothic Book"/>
      <w:b/>
      <w:bCs/>
      <w:sz w:val="22"/>
      <w:shd w:val="clear" w:color="auto" w:fill="ECF1F7"/>
    </w:rPr>
  </w:style>
  <w:style w:type="character" w:customStyle="1" w:styleId="BoxHeading2Char">
    <w:name w:val="BoxHeading2 Char"/>
    <w:basedOn w:val="BoxHeadingChar"/>
    <w:link w:val="BoxHeading2"/>
    <w:rsid w:val="0054221D"/>
    <w:rPr>
      <w:rFonts w:ascii="Franklin Gothic Book" w:hAnsi="Franklin Gothic Book"/>
      <w:b/>
      <w:bCs/>
      <w:i/>
      <w:sz w:val="21"/>
      <w:shd w:val="clear" w:color="auto" w:fill="ECF1F7"/>
    </w:rPr>
  </w:style>
  <w:style w:type="character" w:customStyle="1" w:styleId="DateChar">
    <w:name w:val="Date Char"/>
    <w:link w:val="Date"/>
    <w:rsid w:val="0054221D"/>
    <w:rPr>
      <w:rFonts w:ascii="Helvetica" w:hAnsi="Helvetica"/>
      <w:i/>
      <w:iCs/>
      <w:noProof/>
      <w:color w:val="FFFFFF"/>
      <w:kern w:val="28"/>
      <w:sz w:val="32"/>
      <w:szCs w:val="32"/>
      <w:lang w:val="en-US" w:eastAsia="en-US"/>
    </w:rPr>
  </w:style>
  <w:style w:type="paragraph" w:customStyle="1" w:styleId="TableNumberList2">
    <w:name w:val="TableNumberList2"/>
    <w:basedOn w:val="TableNumberList"/>
    <w:rsid w:val="0054221D"/>
    <w:pPr>
      <w:numPr>
        <w:numId w:val="13"/>
      </w:numPr>
    </w:pPr>
  </w:style>
  <w:style w:type="paragraph" w:customStyle="1" w:styleId="ImprintText">
    <w:name w:val="ImprintText"/>
    <w:basedOn w:val="Normal"/>
    <w:rsid w:val="0054221D"/>
    <w:pPr>
      <w:spacing w:line="240" w:lineRule="auto"/>
    </w:pPr>
  </w:style>
  <w:style w:type="paragraph" w:styleId="Subtitle">
    <w:name w:val="Subtitle"/>
    <w:basedOn w:val="Title"/>
    <w:next w:val="Date"/>
    <w:link w:val="SubtitleChar"/>
    <w:qFormat/>
    <w:rsid w:val="0054221D"/>
    <w:pPr>
      <w:pageBreakBefore w:val="0"/>
      <w:spacing w:before="200" w:after="0" w:line="380" w:lineRule="atLeast"/>
    </w:pPr>
    <w:rPr>
      <w:sz w:val="32"/>
      <w:szCs w:val="32"/>
    </w:rPr>
  </w:style>
  <w:style w:type="paragraph" w:styleId="Caption">
    <w:name w:val="caption"/>
    <w:basedOn w:val="Normal"/>
    <w:next w:val="Credit"/>
    <w:uiPriority w:val="35"/>
    <w:unhideWhenUsed/>
    <w:rsid w:val="0054221D"/>
    <w:pPr>
      <w:spacing w:after="0"/>
    </w:pPr>
    <w:rPr>
      <w:b/>
      <w:bCs/>
      <w:sz w:val="20"/>
      <w:szCs w:val="18"/>
    </w:rPr>
  </w:style>
  <w:style w:type="paragraph" w:customStyle="1" w:styleId="Credit">
    <w:name w:val="Credit"/>
    <w:basedOn w:val="Caption"/>
    <w:next w:val="Normal"/>
    <w:rsid w:val="0054221D"/>
    <w:pPr>
      <w:spacing w:after="240"/>
    </w:pPr>
    <w:rPr>
      <w:b w:val="0"/>
      <w:noProof/>
    </w:rPr>
  </w:style>
  <w:style w:type="character" w:customStyle="1" w:styleId="SubtitleChar">
    <w:name w:val="Subtitle Char"/>
    <w:link w:val="Subtitle"/>
    <w:rsid w:val="0054221D"/>
    <w:rPr>
      <w:rFonts w:ascii="Helvetica" w:hAnsi="Helvetica"/>
      <w:noProof/>
      <w:color w:val="FFFFFF"/>
      <w:kern w:val="28"/>
      <w:sz w:val="32"/>
      <w:szCs w:val="32"/>
      <w:lang w:val="en-US" w:eastAsia="en-US"/>
    </w:rPr>
  </w:style>
  <w:style w:type="paragraph" w:customStyle="1" w:styleId="TableHeadingCA">
    <w:name w:val="TableHeadingCA"/>
    <w:basedOn w:val="TableHeading"/>
    <w:rsid w:val="0054221D"/>
    <w:pPr>
      <w:jc w:val="center"/>
    </w:pPr>
  </w:style>
  <w:style w:type="paragraph" w:customStyle="1" w:styleId="TableTextCA">
    <w:name w:val="TableTextCA"/>
    <w:basedOn w:val="TableText"/>
    <w:rsid w:val="0054221D"/>
    <w:pPr>
      <w:jc w:val="center"/>
    </w:pPr>
  </w:style>
  <w:style w:type="paragraph" w:customStyle="1" w:styleId="TableTextDecimalAlign">
    <w:name w:val="TableTextDecimalAlign"/>
    <w:basedOn w:val="TableText"/>
    <w:rsid w:val="0054221D"/>
    <w:pPr>
      <w:tabs>
        <w:tab w:val="decimal" w:pos="1119"/>
      </w:tabs>
    </w:pPr>
  </w:style>
  <w:style w:type="paragraph" w:customStyle="1" w:styleId="NormalIndent">
    <w:name w:val="NormalIndent"/>
    <w:basedOn w:val="Normal"/>
    <w:rsid w:val="0054221D"/>
    <w:pPr>
      <w:ind w:left="357"/>
    </w:pPr>
  </w:style>
  <w:style w:type="paragraph" w:styleId="BalloonText">
    <w:name w:val="Balloon Text"/>
    <w:basedOn w:val="Normal"/>
    <w:link w:val="BalloonTextChar"/>
    <w:uiPriority w:val="99"/>
    <w:semiHidden/>
    <w:unhideWhenUsed/>
    <w:rsid w:val="005422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21D"/>
    <w:rPr>
      <w:rFonts w:ascii="Tahoma" w:hAnsi="Tahoma" w:cs="Tahoma"/>
      <w:sz w:val="16"/>
      <w:szCs w:val="16"/>
    </w:rPr>
  </w:style>
  <w:style w:type="paragraph" w:customStyle="1" w:styleId="RecommendationText">
    <w:name w:val="RecommendationText"/>
    <w:basedOn w:val="BoxText"/>
    <w:link w:val="RecommendationTextChar"/>
    <w:qFormat/>
    <w:rsid w:val="0054221D"/>
    <w:pPr>
      <w:pBdr>
        <w:top w:val="single" w:sz="4" w:space="4" w:color="124486"/>
        <w:left w:val="none" w:sz="0" w:space="0" w:color="auto"/>
        <w:bottom w:val="single" w:sz="4" w:space="4" w:color="124486"/>
        <w:right w:val="none" w:sz="0" w:space="0" w:color="auto"/>
      </w:pBdr>
      <w:shd w:val="clear" w:color="auto" w:fill="auto"/>
    </w:pPr>
  </w:style>
  <w:style w:type="paragraph" w:styleId="Title">
    <w:name w:val="Title"/>
    <w:basedOn w:val="Normal"/>
    <w:next w:val="Subtitle"/>
    <w:link w:val="TitleChar"/>
    <w:qFormat/>
    <w:rsid w:val="0054221D"/>
    <w:pPr>
      <w:pageBreakBefore/>
      <w:spacing w:before="8700" w:after="1080" w:line="640" w:lineRule="atLeast"/>
      <w:ind w:left="2410" w:right="-198"/>
    </w:pPr>
    <w:rPr>
      <w:rFonts w:ascii="Helvetica" w:hAnsi="Helvetica"/>
      <w:noProof/>
      <w:color w:val="FFFFFF"/>
      <w:kern w:val="28"/>
      <w:sz w:val="50"/>
      <w:szCs w:val="50"/>
      <w:lang w:val="en-US" w:eastAsia="en-US"/>
    </w:rPr>
  </w:style>
  <w:style w:type="character" w:customStyle="1" w:styleId="TitleChar">
    <w:name w:val="Title Char"/>
    <w:link w:val="Title"/>
    <w:rsid w:val="0054221D"/>
    <w:rPr>
      <w:rFonts w:ascii="Helvetica" w:hAnsi="Helvetica"/>
      <w:noProof/>
      <w:color w:val="FFFFFF"/>
      <w:kern w:val="28"/>
      <w:sz w:val="50"/>
      <w:szCs w:val="50"/>
      <w:lang w:val="en-US" w:eastAsia="en-US"/>
    </w:rPr>
  </w:style>
  <w:style w:type="paragraph" w:customStyle="1" w:styleId="SectionTitle">
    <w:name w:val="SectionTitle"/>
    <w:basedOn w:val="Normal"/>
    <w:next w:val="Normal"/>
    <w:rsid w:val="0054221D"/>
    <w:pPr>
      <w:pageBreakBefore/>
    </w:pPr>
    <w:rPr>
      <w:rFonts w:ascii="Arial" w:hAnsi="Arial"/>
      <w:b/>
      <w:color w:val="124486"/>
      <w:sz w:val="50"/>
    </w:rPr>
  </w:style>
  <w:style w:type="paragraph" w:customStyle="1" w:styleId="SectionSubtitle">
    <w:name w:val="SectionSubtitle"/>
    <w:basedOn w:val="Normal"/>
    <w:rsid w:val="0054221D"/>
    <w:pPr>
      <w:spacing w:after="0"/>
    </w:pPr>
    <w:rPr>
      <w:rFonts w:asciiTheme="minorHAnsi" w:hAnsiTheme="minorHAnsi"/>
      <w:color w:val="007FAD"/>
      <w:sz w:val="32"/>
    </w:rPr>
  </w:style>
  <w:style w:type="paragraph" w:customStyle="1" w:styleId="QuoteNumberList">
    <w:name w:val="QuoteNumberList"/>
    <w:basedOn w:val="Quote"/>
    <w:rsid w:val="0054221D"/>
    <w:pPr>
      <w:ind w:left="1117" w:hanging="397"/>
    </w:pPr>
    <w:rPr>
      <w:noProof/>
    </w:rPr>
  </w:style>
  <w:style w:type="paragraph" w:customStyle="1" w:styleId="QuoteBullet">
    <w:name w:val="QuoteBullet"/>
    <w:basedOn w:val="Quote"/>
    <w:rsid w:val="0054221D"/>
    <w:pPr>
      <w:numPr>
        <w:numId w:val="3"/>
      </w:numPr>
      <w:tabs>
        <w:tab w:val="left" w:pos="851"/>
      </w:tabs>
      <w:ind w:left="851" w:hanging="284"/>
    </w:pPr>
    <w:rPr>
      <w:noProof/>
    </w:rPr>
  </w:style>
  <w:style w:type="character" w:customStyle="1" w:styleId="HeaderChar">
    <w:name w:val="Header Char"/>
    <w:basedOn w:val="DefaultParagraphFont"/>
    <w:link w:val="Header"/>
    <w:uiPriority w:val="99"/>
    <w:rsid w:val="0054221D"/>
    <w:rPr>
      <w:rFonts w:ascii="Franklin Gothic Book" w:hAnsi="Franklin Gothic Book"/>
      <w:sz w:val="18"/>
    </w:rPr>
  </w:style>
  <w:style w:type="paragraph" w:customStyle="1" w:styleId="TableNumberedList">
    <w:name w:val="TableNumberedList"/>
    <w:basedOn w:val="TableText"/>
    <w:autoRedefine/>
    <w:qFormat/>
    <w:rsid w:val="0054221D"/>
    <w:pPr>
      <w:numPr>
        <w:numId w:val="5"/>
      </w:numPr>
      <w:ind w:left="357" w:hanging="357"/>
    </w:pPr>
  </w:style>
  <w:style w:type="paragraph" w:customStyle="1" w:styleId="TableListNumber">
    <w:name w:val="TableListNumber"/>
    <w:basedOn w:val="Normal"/>
    <w:qFormat/>
    <w:rsid w:val="0054221D"/>
    <w:pPr>
      <w:keepNext/>
      <w:numPr>
        <w:numId w:val="6"/>
      </w:numPr>
      <w:tabs>
        <w:tab w:val="left" w:pos="216"/>
      </w:tabs>
      <w:spacing w:after="40" w:line="200" w:lineRule="atLeast"/>
      <w:ind w:left="284" w:hanging="284"/>
    </w:pPr>
    <w:rPr>
      <w:color w:val="000000" w:themeColor="text1"/>
      <w:sz w:val="17"/>
      <w:szCs w:val="21"/>
    </w:rPr>
  </w:style>
  <w:style w:type="paragraph" w:customStyle="1" w:styleId="TableListNumber2">
    <w:name w:val="TableListNumber 2"/>
    <w:basedOn w:val="TableListNumber"/>
    <w:qFormat/>
    <w:rsid w:val="0054221D"/>
    <w:pPr>
      <w:numPr>
        <w:numId w:val="7"/>
      </w:numPr>
      <w:tabs>
        <w:tab w:val="clear" w:pos="216"/>
        <w:tab w:val="left" w:pos="284"/>
      </w:tabs>
      <w:ind w:left="430" w:hanging="215"/>
    </w:pPr>
  </w:style>
  <w:style w:type="paragraph" w:customStyle="1" w:styleId="TableHeading2">
    <w:name w:val="TableHeading2"/>
    <w:basedOn w:val="TableHeading"/>
    <w:qFormat/>
    <w:rsid w:val="0054221D"/>
    <w:rPr>
      <w:i/>
    </w:rPr>
  </w:style>
  <w:style w:type="paragraph" w:customStyle="1" w:styleId="Draftingnote">
    <w:name w:val="Drafting note"/>
    <w:basedOn w:val="Normal"/>
    <w:link w:val="DraftingnoteChar"/>
    <w:qFormat/>
    <w:rsid w:val="0054221D"/>
    <w:rPr>
      <w:b/>
      <w:color w:val="FF0000"/>
      <w:sz w:val="20"/>
      <w:u w:val="dotted"/>
    </w:rPr>
  </w:style>
  <w:style w:type="character" w:customStyle="1" w:styleId="DraftingnoteChar">
    <w:name w:val="Drafting note Char"/>
    <w:basedOn w:val="DefaultParagraphFont"/>
    <w:link w:val="Draftingnote"/>
    <w:rsid w:val="0054221D"/>
    <w:rPr>
      <w:rFonts w:ascii="Franklin Gothic Book" w:hAnsi="Franklin Gothic Book"/>
      <w:b/>
      <w:color w:val="FF0000"/>
      <w:u w:val="dotted"/>
    </w:rPr>
  </w:style>
  <w:style w:type="character" w:styleId="Hyperlink">
    <w:name w:val="Hyperlink"/>
    <w:basedOn w:val="DefaultParagraphFont"/>
    <w:uiPriority w:val="99"/>
    <w:unhideWhenUsed/>
    <w:rsid w:val="0054221D"/>
    <w:rPr>
      <w:color w:val="007FAD"/>
      <w:u w:val="single"/>
    </w:rPr>
  </w:style>
  <w:style w:type="character" w:styleId="CommentReference">
    <w:name w:val="annotation reference"/>
    <w:basedOn w:val="DefaultParagraphFont"/>
    <w:uiPriority w:val="99"/>
    <w:semiHidden/>
    <w:unhideWhenUsed/>
    <w:rsid w:val="0054221D"/>
    <w:rPr>
      <w:sz w:val="16"/>
      <w:szCs w:val="16"/>
    </w:rPr>
  </w:style>
  <w:style w:type="paragraph" w:styleId="CommentText">
    <w:name w:val="annotation text"/>
    <w:basedOn w:val="Normal"/>
    <w:link w:val="CommentTextChar"/>
    <w:uiPriority w:val="99"/>
    <w:unhideWhenUsed/>
    <w:rsid w:val="0054221D"/>
    <w:pPr>
      <w:spacing w:line="240" w:lineRule="auto"/>
    </w:pPr>
    <w:rPr>
      <w:sz w:val="20"/>
    </w:rPr>
  </w:style>
  <w:style w:type="character" w:customStyle="1" w:styleId="CommentTextChar">
    <w:name w:val="Comment Text Char"/>
    <w:basedOn w:val="DefaultParagraphFont"/>
    <w:link w:val="CommentText"/>
    <w:uiPriority w:val="99"/>
    <w:rsid w:val="0054221D"/>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54221D"/>
    <w:rPr>
      <w:b/>
      <w:bCs/>
    </w:rPr>
  </w:style>
  <w:style w:type="character" w:customStyle="1" w:styleId="CommentSubjectChar">
    <w:name w:val="Comment Subject Char"/>
    <w:basedOn w:val="CommentTextChar"/>
    <w:link w:val="CommentSubject"/>
    <w:uiPriority w:val="99"/>
    <w:semiHidden/>
    <w:rsid w:val="0054221D"/>
    <w:rPr>
      <w:rFonts w:ascii="Franklin Gothic Book" w:hAnsi="Franklin Gothic Book"/>
      <w:b/>
      <w:bCs/>
    </w:rPr>
  </w:style>
  <w:style w:type="table" w:styleId="LightShading">
    <w:name w:val="Light Shading"/>
    <w:basedOn w:val="TableNormal"/>
    <w:uiPriority w:val="60"/>
    <w:rsid w:val="0054221D"/>
    <w:rPr>
      <w:color w:val="000000" w:themeColor="text1" w:themeShade="BF"/>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92C3CA"/>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54221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basedOn w:val="DefaultParagraphFont"/>
    <w:link w:val="FootnoteText"/>
    <w:uiPriority w:val="99"/>
    <w:rsid w:val="0054221D"/>
    <w:rPr>
      <w:rFonts w:ascii="Franklin Gothic Book" w:hAnsi="Franklin Gothic Book"/>
      <w:sz w:val="17"/>
    </w:rPr>
  </w:style>
  <w:style w:type="paragraph" w:customStyle="1" w:styleId="Numberlist2">
    <w:name w:val="Numberlist2"/>
    <w:basedOn w:val="Normal"/>
    <w:rsid w:val="0054221D"/>
    <w:pPr>
      <w:numPr>
        <w:numId w:val="2"/>
      </w:numPr>
      <w:tabs>
        <w:tab w:val="num" w:pos="567"/>
      </w:tabs>
      <w:spacing w:before="0" w:line="280" w:lineRule="exact"/>
      <w:ind w:left="568" w:hanging="284"/>
    </w:pPr>
    <w:rPr>
      <w:szCs w:val="24"/>
    </w:rPr>
  </w:style>
  <w:style w:type="paragraph" w:customStyle="1" w:styleId="NumberList3">
    <w:name w:val="NumberList3"/>
    <w:basedOn w:val="Normal"/>
    <w:rsid w:val="0054221D"/>
    <w:pPr>
      <w:numPr>
        <w:numId w:val="1"/>
      </w:numPr>
      <w:spacing w:before="0" w:line="280" w:lineRule="exact"/>
      <w:ind w:left="851" w:hanging="284"/>
      <w:contextualSpacing/>
    </w:pPr>
    <w:rPr>
      <w:szCs w:val="24"/>
    </w:rPr>
  </w:style>
  <w:style w:type="paragraph" w:customStyle="1" w:styleId="BoxDash">
    <w:name w:val="BoxDash"/>
    <w:basedOn w:val="BoxText"/>
    <w:rsid w:val="0054221D"/>
    <w:pPr>
      <w:tabs>
        <w:tab w:val="left" w:pos="360"/>
        <w:tab w:val="left" w:pos="720"/>
      </w:tabs>
      <w:ind w:left="720" w:hanging="720"/>
    </w:pPr>
  </w:style>
  <w:style w:type="paragraph" w:styleId="EndnoteText">
    <w:name w:val="endnote text"/>
    <w:basedOn w:val="Normal"/>
    <w:link w:val="EndnoteTextChar"/>
    <w:uiPriority w:val="99"/>
    <w:semiHidden/>
    <w:unhideWhenUsed/>
    <w:rsid w:val="0054221D"/>
    <w:pPr>
      <w:spacing w:before="0" w:after="0" w:line="240" w:lineRule="auto"/>
    </w:pPr>
    <w:rPr>
      <w:sz w:val="20"/>
    </w:rPr>
  </w:style>
  <w:style w:type="character" w:customStyle="1" w:styleId="EndnoteTextChar">
    <w:name w:val="Endnote Text Char"/>
    <w:basedOn w:val="DefaultParagraphFont"/>
    <w:link w:val="EndnoteText"/>
    <w:uiPriority w:val="99"/>
    <w:semiHidden/>
    <w:rsid w:val="0054221D"/>
    <w:rPr>
      <w:rFonts w:ascii="Franklin Gothic Book" w:hAnsi="Franklin Gothic Book"/>
    </w:rPr>
  </w:style>
  <w:style w:type="character" w:styleId="EndnoteReference">
    <w:name w:val="endnote reference"/>
    <w:basedOn w:val="DefaultParagraphFont"/>
    <w:uiPriority w:val="99"/>
    <w:semiHidden/>
    <w:unhideWhenUsed/>
    <w:rsid w:val="0054221D"/>
    <w:rPr>
      <w:vertAlign w:val="superscript"/>
    </w:rPr>
  </w:style>
  <w:style w:type="paragraph" w:customStyle="1" w:styleId="BoxQuote">
    <w:name w:val="BoxQuote"/>
    <w:basedOn w:val="BoxText"/>
    <w:next w:val="BoxQuoteSource"/>
    <w:link w:val="BoxQuoteChar"/>
    <w:qFormat/>
    <w:rsid w:val="0054221D"/>
    <w:pPr>
      <w:spacing w:after="0"/>
      <w:ind w:left="357" w:hanging="357"/>
    </w:pPr>
    <w:rPr>
      <w:i/>
    </w:rPr>
  </w:style>
  <w:style w:type="paragraph" w:customStyle="1" w:styleId="BoxQuoteSource">
    <w:name w:val="BoxQuoteSource"/>
    <w:basedOn w:val="BoxText"/>
    <w:link w:val="BoxQuoteSourceChar"/>
    <w:qFormat/>
    <w:rsid w:val="0054221D"/>
    <w:pPr>
      <w:jc w:val="right"/>
    </w:pPr>
    <w:rPr>
      <w:noProof/>
    </w:rPr>
  </w:style>
  <w:style w:type="paragraph" w:customStyle="1" w:styleId="QuoteSource">
    <w:name w:val="QuoteSource"/>
    <w:basedOn w:val="Quote"/>
    <w:link w:val="QuoteSourceChar"/>
    <w:qFormat/>
    <w:rsid w:val="0054221D"/>
    <w:pPr>
      <w:spacing w:after="240"/>
      <w:jc w:val="right"/>
    </w:pPr>
    <w:rPr>
      <w:i w:val="0"/>
    </w:rPr>
  </w:style>
  <w:style w:type="character" w:customStyle="1" w:styleId="BoxQuoteChar">
    <w:name w:val="BoxQuote Char"/>
    <w:basedOn w:val="BoxTextChar"/>
    <w:link w:val="BoxQuote"/>
    <w:rsid w:val="0054221D"/>
    <w:rPr>
      <w:rFonts w:ascii="Franklin Gothic Book" w:hAnsi="Franklin Gothic Book"/>
      <w:i/>
      <w:sz w:val="21"/>
      <w:shd w:val="clear" w:color="auto" w:fill="ECF1F7"/>
    </w:rPr>
  </w:style>
  <w:style w:type="character" w:customStyle="1" w:styleId="BoxQuoteSourceChar">
    <w:name w:val="BoxQuoteSource Char"/>
    <w:basedOn w:val="BoxTextChar"/>
    <w:link w:val="BoxQuoteSource"/>
    <w:rsid w:val="0054221D"/>
    <w:rPr>
      <w:rFonts w:ascii="Franklin Gothic Book" w:hAnsi="Franklin Gothic Book"/>
      <w:noProof/>
      <w:sz w:val="21"/>
      <w:shd w:val="clear" w:color="auto" w:fill="ECF1F7"/>
    </w:rPr>
  </w:style>
  <w:style w:type="character" w:customStyle="1" w:styleId="QuoteChar">
    <w:name w:val="Quote Char"/>
    <w:basedOn w:val="DefaultParagraphFont"/>
    <w:link w:val="Quote"/>
    <w:rsid w:val="0054221D"/>
    <w:rPr>
      <w:rFonts w:ascii="Franklin Gothic Book" w:hAnsi="Franklin Gothic Book"/>
      <w:i/>
      <w:sz w:val="21"/>
    </w:rPr>
  </w:style>
  <w:style w:type="character" w:customStyle="1" w:styleId="QuoteSourceChar">
    <w:name w:val="QuoteSource Char"/>
    <w:basedOn w:val="QuoteChar"/>
    <w:link w:val="QuoteSource"/>
    <w:rsid w:val="0054221D"/>
    <w:rPr>
      <w:rFonts w:ascii="Franklin Gothic Book" w:hAnsi="Franklin Gothic Book"/>
      <w:i w:val="0"/>
      <w:sz w:val="21"/>
    </w:rPr>
  </w:style>
  <w:style w:type="paragraph" w:customStyle="1" w:styleId="RecommendationSub">
    <w:name w:val="RecommendationSub"/>
    <w:basedOn w:val="RecommendationText"/>
    <w:link w:val="RecommendationSubChar"/>
    <w:qFormat/>
    <w:rsid w:val="0054221D"/>
    <w:pPr>
      <w:ind w:left="357" w:hanging="357"/>
    </w:pPr>
  </w:style>
  <w:style w:type="character" w:customStyle="1" w:styleId="RecommendationTextChar">
    <w:name w:val="RecommendationText Char"/>
    <w:basedOn w:val="BoxTextChar"/>
    <w:link w:val="RecommendationText"/>
    <w:rsid w:val="0054221D"/>
    <w:rPr>
      <w:rFonts w:ascii="Franklin Gothic Book" w:hAnsi="Franklin Gothic Book"/>
      <w:sz w:val="21"/>
      <w:shd w:val="clear" w:color="auto" w:fill="ECF1F7"/>
    </w:rPr>
  </w:style>
  <w:style w:type="paragraph" w:customStyle="1" w:styleId="RecommendationName">
    <w:name w:val="RecommendationName"/>
    <w:basedOn w:val="RecommendationText"/>
    <w:link w:val="RecommendationNameChar"/>
    <w:qFormat/>
    <w:rsid w:val="0054221D"/>
    <w:pPr>
      <w:spacing w:before="120"/>
    </w:pPr>
    <w:rPr>
      <w:rFonts w:ascii="Arial Bold" w:hAnsi="Arial Bold"/>
      <w:b/>
      <w:color w:val="EB0029"/>
      <w:sz w:val="24"/>
    </w:rPr>
  </w:style>
  <w:style w:type="character" w:customStyle="1" w:styleId="RecommendationSubChar">
    <w:name w:val="RecommendationSub Char"/>
    <w:basedOn w:val="RecommendationTextChar"/>
    <w:link w:val="RecommendationSub"/>
    <w:rsid w:val="0054221D"/>
    <w:rPr>
      <w:rFonts w:ascii="Franklin Gothic Book" w:hAnsi="Franklin Gothic Book"/>
      <w:sz w:val="21"/>
      <w:shd w:val="clear" w:color="auto" w:fill="ECF1F7"/>
    </w:rPr>
  </w:style>
  <w:style w:type="character" w:customStyle="1" w:styleId="RecommendationNameChar">
    <w:name w:val="RecommendationName Char"/>
    <w:basedOn w:val="RecommendationTextChar"/>
    <w:link w:val="RecommendationName"/>
    <w:rsid w:val="0054221D"/>
    <w:rPr>
      <w:rFonts w:ascii="Arial Bold" w:hAnsi="Arial Bold"/>
      <w:b/>
      <w:color w:val="EB0029"/>
      <w:sz w:val="24"/>
      <w:shd w:val="clear" w:color="auto" w:fill="ECF1F7"/>
    </w:rPr>
  </w:style>
  <w:style w:type="paragraph" w:customStyle="1" w:styleId="footnote1">
    <w:name w:val="footnote1"/>
    <w:basedOn w:val="Normal"/>
    <w:link w:val="footnote1Char"/>
    <w:qFormat/>
    <w:rsid w:val="008E4082"/>
    <w:pPr>
      <w:spacing w:before="0" w:after="0" w:line="240" w:lineRule="auto"/>
    </w:pPr>
    <w:rPr>
      <w:rFonts w:asciiTheme="minorHAnsi" w:eastAsiaTheme="minorEastAsia" w:hAnsiTheme="minorHAnsi" w:cstheme="minorBidi"/>
      <w:sz w:val="18"/>
      <w:szCs w:val="18"/>
      <w:lang w:val="en-GB" w:eastAsia="en-US" w:bidi="hi-IN"/>
    </w:rPr>
  </w:style>
  <w:style w:type="character" w:customStyle="1" w:styleId="footnote1Char">
    <w:name w:val="footnote1 Char"/>
    <w:basedOn w:val="DefaultParagraphFont"/>
    <w:link w:val="footnote1"/>
    <w:rsid w:val="008E4082"/>
    <w:rPr>
      <w:rFonts w:asciiTheme="minorHAnsi" w:eastAsiaTheme="minorEastAsia" w:hAnsiTheme="minorHAnsi" w:cstheme="minorBidi"/>
      <w:sz w:val="18"/>
      <w:szCs w:val="18"/>
      <w:lang w:val="en-GB" w:eastAsia="en-US" w:bidi="hi-IN"/>
    </w:rPr>
  </w:style>
  <w:style w:type="paragraph" w:styleId="ListParagraph">
    <w:name w:val="List Paragraph"/>
    <w:basedOn w:val="Normal"/>
    <w:uiPriority w:val="34"/>
    <w:qFormat/>
    <w:rsid w:val="0088667E"/>
    <w:pPr>
      <w:numPr>
        <w:numId w:val="14"/>
      </w:numPr>
      <w:spacing w:before="0" w:after="120" w:line="276" w:lineRule="auto"/>
      <w:contextualSpacing/>
      <w:jc w:val="both"/>
    </w:pPr>
    <w:rPr>
      <w:rFonts w:asciiTheme="minorHAnsi" w:eastAsiaTheme="minorEastAsia" w:hAnsiTheme="minorHAnsi" w:cstheme="minorBidi"/>
      <w:sz w:val="20"/>
      <w:lang w:val="en-GB" w:eastAsia="en-US"/>
    </w:rPr>
  </w:style>
  <w:style w:type="table" w:customStyle="1" w:styleId="TableGrid1">
    <w:name w:val="Table Grid1"/>
    <w:basedOn w:val="TableNormal"/>
    <w:next w:val="TableGrid"/>
    <w:uiPriority w:val="59"/>
    <w:rsid w:val="0088667E"/>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8667E"/>
    <w:rPr>
      <w:rFonts w:asciiTheme="minorHAnsi" w:eastAsiaTheme="minorEastAsia" w:hAnsiTheme="minorHAnsi" w:cstheme="minorBidi"/>
      <w:sz w:val="22"/>
      <w:szCs w:val="22"/>
      <w:lang w:val="en-GB" w:eastAsia="en-US"/>
    </w:rPr>
  </w:style>
  <w:style w:type="table" w:customStyle="1" w:styleId="TableGrid12">
    <w:name w:val="Table Grid12"/>
    <w:basedOn w:val="TableNormal"/>
    <w:next w:val="TableGrid"/>
    <w:uiPriority w:val="59"/>
    <w:rsid w:val="0088667E"/>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Spacing"/>
    <w:link w:val="TabletitleChar"/>
    <w:qFormat/>
    <w:rsid w:val="0088667E"/>
    <w:pPr>
      <w:spacing w:after="40"/>
      <w:jc w:val="both"/>
    </w:pPr>
    <w:rPr>
      <w:b/>
    </w:rPr>
  </w:style>
  <w:style w:type="character" w:customStyle="1" w:styleId="NoSpacingChar">
    <w:name w:val="No Spacing Char"/>
    <w:basedOn w:val="DefaultParagraphFont"/>
    <w:link w:val="NoSpacing"/>
    <w:uiPriority w:val="1"/>
    <w:rsid w:val="0088667E"/>
    <w:rPr>
      <w:rFonts w:asciiTheme="minorHAnsi" w:eastAsiaTheme="minorEastAsia" w:hAnsiTheme="minorHAnsi" w:cstheme="minorBidi"/>
      <w:sz w:val="22"/>
      <w:szCs w:val="22"/>
      <w:lang w:val="en-GB" w:eastAsia="en-US"/>
    </w:rPr>
  </w:style>
  <w:style w:type="character" w:customStyle="1" w:styleId="TabletitleChar">
    <w:name w:val="Table title Char"/>
    <w:basedOn w:val="NoSpacingChar"/>
    <w:link w:val="Tabletitle"/>
    <w:rsid w:val="0088667E"/>
    <w:rPr>
      <w:rFonts w:asciiTheme="minorHAnsi" w:eastAsiaTheme="minorEastAsia" w:hAnsiTheme="minorHAnsi" w:cstheme="minorBidi"/>
      <w:b/>
      <w:sz w:val="22"/>
      <w:szCs w:val="22"/>
      <w:lang w:val="en-GB" w:eastAsia="en-US"/>
    </w:rPr>
  </w:style>
  <w:style w:type="paragraph" w:styleId="Revision">
    <w:name w:val="Revision"/>
    <w:hidden/>
    <w:uiPriority w:val="99"/>
    <w:semiHidden/>
    <w:rsid w:val="0088667E"/>
    <w:rPr>
      <w:rFonts w:ascii="Franklin Gothic Book" w:hAnsi="Franklin Gothic Book"/>
      <w:sz w:val="21"/>
    </w:rPr>
  </w:style>
  <w:style w:type="paragraph" w:customStyle="1" w:styleId="footnote">
    <w:name w:val="footnote"/>
    <w:basedOn w:val="FootnoteText"/>
    <w:link w:val="footnoteChar"/>
    <w:rsid w:val="00746AA8"/>
    <w:pPr>
      <w:spacing w:before="0" w:line="240" w:lineRule="auto"/>
      <w:ind w:left="0" w:firstLine="0"/>
    </w:pPr>
    <w:rPr>
      <w:rFonts w:asciiTheme="minorHAnsi" w:eastAsiaTheme="minorEastAsia" w:hAnsiTheme="minorHAnsi" w:cstheme="minorBidi"/>
      <w:sz w:val="18"/>
      <w:szCs w:val="18"/>
      <w:lang w:val="en-GB" w:eastAsia="en-US" w:bidi="hi-IN"/>
    </w:rPr>
  </w:style>
  <w:style w:type="character" w:customStyle="1" w:styleId="footnoteChar">
    <w:name w:val="footnote Char"/>
    <w:basedOn w:val="FootnoteTextChar"/>
    <w:link w:val="footnote"/>
    <w:rsid w:val="00746AA8"/>
    <w:rPr>
      <w:rFonts w:asciiTheme="minorHAnsi" w:eastAsiaTheme="minorEastAsia" w:hAnsiTheme="minorHAnsi" w:cstheme="minorBidi"/>
      <w:sz w:val="18"/>
      <w:szCs w:val="18"/>
      <w:lang w:val="en-GB" w:eastAsia="en-US" w:bidi="hi-IN"/>
    </w:rPr>
  </w:style>
  <w:style w:type="table" w:customStyle="1" w:styleId="TableGrid11">
    <w:name w:val="Table Grid11"/>
    <w:basedOn w:val="TableNormal"/>
    <w:next w:val="TableGrid"/>
    <w:uiPriority w:val="59"/>
    <w:rsid w:val="00746AA8"/>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link w:val="TableheadingChar"/>
    <w:qFormat/>
    <w:rsid w:val="00670BC7"/>
    <w:pPr>
      <w:spacing w:before="0" w:after="0" w:line="276" w:lineRule="auto"/>
    </w:pPr>
    <w:rPr>
      <w:rFonts w:asciiTheme="minorHAnsi" w:hAnsiTheme="minorHAnsi" w:cstheme="minorBidi"/>
      <w:b/>
      <w:sz w:val="20"/>
      <w:lang w:val="en-GB" w:eastAsia="en-GB" w:bidi="hi-IN"/>
    </w:rPr>
  </w:style>
  <w:style w:type="character" w:customStyle="1" w:styleId="TableheadingChar">
    <w:name w:val="Table heading Char"/>
    <w:basedOn w:val="DefaultParagraphFont"/>
    <w:link w:val="Tableheading0"/>
    <w:rsid w:val="00670BC7"/>
    <w:rPr>
      <w:rFonts w:asciiTheme="minorHAnsi" w:hAnsiTheme="minorHAnsi" w:cstheme="minorBidi"/>
      <w:b/>
      <w:lang w:val="en-GB" w:eastAsia="en-GB" w:bidi="hi-IN"/>
    </w:rPr>
  </w:style>
  <w:style w:type="table" w:customStyle="1" w:styleId="TableGrid13">
    <w:name w:val="Table Grid13"/>
    <w:basedOn w:val="TableNormal"/>
    <w:next w:val="TableGrid"/>
    <w:uiPriority w:val="59"/>
    <w:rsid w:val="00670BC7"/>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DE491F"/>
    <w:rPr>
      <w:rFonts w:asciiTheme="majorHAnsi" w:eastAsiaTheme="majorEastAsia" w:hAnsiTheme="majorHAnsi" w:cstheme="majorBidi"/>
      <w:i/>
      <w:iCs/>
      <w:caps/>
      <w:color w:val="244061" w:themeColor="accent1" w:themeShade="80"/>
      <w:lang w:val="en-GB" w:eastAsia="en-US"/>
    </w:rPr>
  </w:style>
  <w:style w:type="character" w:customStyle="1" w:styleId="Heading7Char">
    <w:name w:val="Heading 7 Char"/>
    <w:basedOn w:val="DefaultParagraphFont"/>
    <w:link w:val="Heading7"/>
    <w:uiPriority w:val="9"/>
    <w:semiHidden/>
    <w:rsid w:val="00DE491F"/>
    <w:rPr>
      <w:rFonts w:asciiTheme="majorHAnsi" w:eastAsiaTheme="majorEastAsia" w:hAnsiTheme="majorHAnsi" w:cstheme="majorBidi"/>
      <w:b/>
      <w:bCs/>
      <w:color w:val="244061" w:themeColor="accent1" w:themeShade="80"/>
      <w:lang w:val="en-GB" w:eastAsia="en-US"/>
    </w:rPr>
  </w:style>
  <w:style w:type="character" w:customStyle="1" w:styleId="Heading8Char">
    <w:name w:val="Heading 8 Char"/>
    <w:basedOn w:val="DefaultParagraphFont"/>
    <w:link w:val="Heading8"/>
    <w:uiPriority w:val="9"/>
    <w:semiHidden/>
    <w:rsid w:val="00DE491F"/>
    <w:rPr>
      <w:rFonts w:asciiTheme="majorHAnsi" w:eastAsiaTheme="majorEastAsia" w:hAnsiTheme="majorHAnsi" w:cstheme="majorBidi"/>
      <w:b/>
      <w:bCs/>
      <w:i/>
      <w:iCs/>
      <w:color w:val="244061" w:themeColor="accent1" w:themeShade="80"/>
      <w:lang w:val="en-GB" w:eastAsia="en-US"/>
    </w:rPr>
  </w:style>
  <w:style w:type="character" w:customStyle="1" w:styleId="Heading9Char">
    <w:name w:val="Heading 9 Char"/>
    <w:basedOn w:val="DefaultParagraphFont"/>
    <w:link w:val="Heading9"/>
    <w:uiPriority w:val="9"/>
    <w:semiHidden/>
    <w:rsid w:val="00DE491F"/>
    <w:rPr>
      <w:rFonts w:asciiTheme="majorHAnsi" w:eastAsiaTheme="majorEastAsia" w:hAnsiTheme="majorHAnsi" w:cstheme="majorBidi"/>
      <w:i/>
      <w:iCs/>
      <w:color w:val="244061" w:themeColor="accent1" w:themeShade="80"/>
      <w:lang w:val="en-GB" w:eastAsia="en-US"/>
    </w:rPr>
  </w:style>
  <w:style w:type="character" w:customStyle="1" w:styleId="Heading1Char">
    <w:name w:val="Heading 1 Char"/>
    <w:basedOn w:val="DefaultParagraphFont"/>
    <w:link w:val="Heading1"/>
    <w:rsid w:val="00DE491F"/>
    <w:rPr>
      <w:rFonts w:ascii="Arial" w:hAnsi="Arial" w:cs="Arial"/>
      <w:bCs/>
      <w:color w:val="FFFFFF" w:themeColor="background1"/>
      <w:sz w:val="44"/>
      <w:szCs w:val="32"/>
    </w:rPr>
  </w:style>
  <w:style w:type="character" w:customStyle="1" w:styleId="Heading2Char">
    <w:name w:val="Heading 2 Char"/>
    <w:basedOn w:val="DefaultParagraphFont"/>
    <w:link w:val="Heading2"/>
    <w:rsid w:val="00DE491F"/>
    <w:rPr>
      <w:rFonts w:ascii="Arial" w:hAnsi="Arial" w:cs="Arial"/>
      <w:b/>
      <w:bCs/>
      <w:iCs/>
      <w:color w:val="124486"/>
      <w:sz w:val="28"/>
      <w:szCs w:val="28"/>
    </w:rPr>
  </w:style>
  <w:style w:type="character" w:customStyle="1" w:styleId="Heading3Char">
    <w:name w:val="Heading 3 Char"/>
    <w:basedOn w:val="DefaultParagraphFont"/>
    <w:link w:val="Heading3"/>
    <w:rsid w:val="00DE491F"/>
    <w:rPr>
      <w:rFonts w:ascii="Arial" w:hAnsi="Arial" w:cs="Arial"/>
      <w:bCs/>
      <w:color w:val="007FAD"/>
      <w:sz w:val="24"/>
      <w:szCs w:val="26"/>
    </w:rPr>
  </w:style>
  <w:style w:type="paragraph" w:customStyle="1" w:styleId="Default">
    <w:name w:val="Default"/>
    <w:rsid w:val="00DE491F"/>
    <w:pPr>
      <w:autoSpaceDE w:val="0"/>
      <w:autoSpaceDN w:val="0"/>
      <w:adjustRightInd w:val="0"/>
    </w:pPr>
    <w:rPr>
      <w:rFonts w:ascii="Helvetica" w:eastAsiaTheme="minorEastAsia" w:hAnsi="Helvetica" w:cs="Helvetica"/>
      <w:color w:val="000000"/>
      <w:sz w:val="24"/>
      <w:szCs w:val="24"/>
      <w:lang w:val="en-GB" w:eastAsia="en-US"/>
    </w:rPr>
  </w:style>
  <w:style w:type="paragraph" w:customStyle="1" w:styleId="CM43">
    <w:name w:val="CM43"/>
    <w:basedOn w:val="Default"/>
    <w:next w:val="Default"/>
    <w:uiPriority w:val="99"/>
    <w:rsid w:val="00DE491F"/>
    <w:rPr>
      <w:color w:val="auto"/>
    </w:rPr>
  </w:style>
  <w:style w:type="paragraph" w:styleId="TOCHeading">
    <w:name w:val="TOC Heading"/>
    <w:basedOn w:val="Heading1"/>
    <w:next w:val="Normal"/>
    <w:uiPriority w:val="39"/>
    <w:unhideWhenUsed/>
    <w:qFormat/>
    <w:rsid w:val="00DE491F"/>
    <w:pPr>
      <w:keepLines/>
      <w:pageBreakBefore w:val="0"/>
      <w:spacing w:before="400" w:after="240" w:line="240" w:lineRule="auto"/>
      <w:ind w:left="360" w:hanging="360"/>
      <w:outlineLvl w:val="9"/>
    </w:pPr>
    <w:rPr>
      <w:rFonts w:eastAsiaTheme="minorEastAsia"/>
      <w:b/>
      <w:bCs w:val="0"/>
      <w:color w:val="244061" w:themeColor="accent1" w:themeShade="80"/>
      <w:sz w:val="28"/>
      <w:szCs w:val="28"/>
      <w:lang w:val="en-GB" w:eastAsia="en-US"/>
    </w:rPr>
  </w:style>
  <w:style w:type="paragraph" w:styleId="TOC3">
    <w:name w:val="toc 3"/>
    <w:basedOn w:val="Normal"/>
    <w:next w:val="Normal"/>
    <w:autoRedefine/>
    <w:uiPriority w:val="39"/>
    <w:unhideWhenUsed/>
    <w:rsid w:val="00DE491F"/>
    <w:pPr>
      <w:spacing w:before="0" w:after="100" w:line="276" w:lineRule="auto"/>
      <w:ind w:left="400"/>
    </w:pPr>
    <w:rPr>
      <w:rFonts w:asciiTheme="minorHAnsi" w:eastAsiaTheme="minorEastAsia" w:hAnsiTheme="minorHAnsi" w:cstheme="minorBidi"/>
      <w:sz w:val="20"/>
      <w:lang w:val="en-GB" w:eastAsia="en-US"/>
    </w:rPr>
  </w:style>
  <w:style w:type="character" w:customStyle="1" w:styleId="Heading4Char">
    <w:name w:val="Heading 4 Char"/>
    <w:basedOn w:val="DefaultParagraphFont"/>
    <w:link w:val="Heading4"/>
    <w:rsid w:val="00DE491F"/>
    <w:rPr>
      <w:rFonts w:ascii="Arial" w:hAnsi="Arial"/>
      <w:b/>
      <w:bCs/>
      <w:sz w:val="22"/>
      <w:szCs w:val="28"/>
    </w:rPr>
  </w:style>
  <w:style w:type="character" w:customStyle="1" w:styleId="Heading5Char">
    <w:name w:val="Heading 5 Char"/>
    <w:basedOn w:val="DefaultParagraphFont"/>
    <w:link w:val="Heading5"/>
    <w:rsid w:val="00DE491F"/>
    <w:rPr>
      <w:rFonts w:ascii="Arial" w:hAnsi="Arial"/>
      <w:bCs/>
      <w:i/>
      <w:iCs/>
      <w:sz w:val="22"/>
      <w:szCs w:val="26"/>
    </w:rPr>
  </w:style>
  <w:style w:type="paragraph" w:styleId="IntenseQuote">
    <w:name w:val="Intense Quote"/>
    <w:basedOn w:val="Normal"/>
    <w:next w:val="Normal"/>
    <w:link w:val="IntenseQuoteChar"/>
    <w:uiPriority w:val="30"/>
    <w:qFormat/>
    <w:rsid w:val="00DE491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val="en-GB" w:eastAsia="en-US"/>
    </w:rPr>
  </w:style>
  <w:style w:type="character" w:customStyle="1" w:styleId="IntenseQuoteChar">
    <w:name w:val="Intense Quote Char"/>
    <w:basedOn w:val="DefaultParagraphFont"/>
    <w:link w:val="IntenseQuote"/>
    <w:uiPriority w:val="30"/>
    <w:rsid w:val="00DE491F"/>
    <w:rPr>
      <w:rFonts w:asciiTheme="majorHAnsi" w:eastAsiaTheme="majorEastAsia" w:hAnsiTheme="majorHAnsi" w:cstheme="majorBidi"/>
      <w:color w:val="1F497D" w:themeColor="text2"/>
      <w:spacing w:val="-6"/>
      <w:sz w:val="32"/>
      <w:szCs w:val="32"/>
      <w:lang w:val="en-GB" w:eastAsia="en-US"/>
    </w:rPr>
  </w:style>
  <w:style w:type="character" w:styleId="SubtleEmphasis">
    <w:name w:val="Subtle Emphasis"/>
    <w:basedOn w:val="DefaultParagraphFont"/>
    <w:uiPriority w:val="19"/>
    <w:qFormat/>
    <w:rsid w:val="00DE491F"/>
    <w:rPr>
      <w:i/>
      <w:iCs/>
      <w:color w:val="595959" w:themeColor="text1" w:themeTint="A6"/>
    </w:rPr>
  </w:style>
  <w:style w:type="character" w:styleId="IntenseEmphasis">
    <w:name w:val="Intense Emphasis"/>
    <w:basedOn w:val="DefaultParagraphFont"/>
    <w:uiPriority w:val="21"/>
    <w:qFormat/>
    <w:rsid w:val="00DE491F"/>
    <w:rPr>
      <w:b/>
      <w:bCs/>
      <w:i/>
      <w:iCs/>
    </w:rPr>
  </w:style>
  <w:style w:type="character" w:styleId="SubtleReference">
    <w:name w:val="Subtle Reference"/>
    <w:basedOn w:val="DefaultParagraphFont"/>
    <w:uiPriority w:val="31"/>
    <w:qFormat/>
    <w:rsid w:val="00DE491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E491F"/>
    <w:rPr>
      <w:b/>
      <w:bCs/>
      <w:smallCaps/>
      <w:color w:val="1F497D" w:themeColor="text2"/>
      <w:u w:val="single"/>
    </w:rPr>
  </w:style>
  <w:style w:type="character" w:styleId="BookTitle">
    <w:name w:val="Book Title"/>
    <w:basedOn w:val="DefaultParagraphFont"/>
    <w:uiPriority w:val="33"/>
    <w:qFormat/>
    <w:rsid w:val="00DE491F"/>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8747">
      <w:bodyDiv w:val="1"/>
      <w:marLeft w:val="0"/>
      <w:marRight w:val="0"/>
      <w:marTop w:val="0"/>
      <w:marBottom w:val="0"/>
      <w:divBdr>
        <w:top w:val="none" w:sz="0" w:space="0" w:color="auto"/>
        <w:left w:val="none" w:sz="0" w:space="0" w:color="auto"/>
        <w:bottom w:val="none" w:sz="0" w:space="0" w:color="auto"/>
        <w:right w:val="none" w:sz="0" w:space="0" w:color="auto"/>
      </w:divBdr>
    </w:div>
    <w:div w:id="417793050">
      <w:bodyDiv w:val="1"/>
      <w:marLeft w:val="0"/>
      <w:marRight w:val="0"/>
      <w:marTop w:val="0"/>
      <w:marBottom w:val="0"/>
      <w:divBdr>
        <w:top w:val="none" w:sz="0" w:space="0" w:color="auto"/>
        <w:left w:val="none" w:sz="0" w:space="0" w:color="auto"/>
        <w:bottom w:val="none" w:sz="0" w:space="0" w:color="auto"/>
        <w:right w:val="none" w:sz="0" w:space="0" w:color="auto"/>
      </w:divBdr>
    </w:div>
    <w:div w:id="938871359">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202136705">
      <w:bodyDiv w:val="1"/>
      <w:marLeft w:val="0"/>
      <w:marRight w:val="0"/>
      <w:marTop w:val="0"/>
      <w:marBottom w:val="0"/>
      <w:divBdr>
        <w:top w:val="none" w:sz="0" w:space="0" w:color="auto"/>
        <w:left w:val="none" w:sz="0" w:space="0" w:color="auto"/>
        <w:bottom w:val="none" w:sz="0" w:space="0" w:color="auto"/>
        <w:right w:val="none" w:sz="0" w:space="0" w:color="auto"/>
      </w:divBdr>
    </w:div>
    <w:div w:id="1373076746">
      <w:bodyDiv w:val="1"/>
      <w:marLeft w:val="0"/>
      <w:marRight w:val="0"/>
      <w:marTop w:val="0"/>
      <w:marBottom w:val="0"/>
      <w:divBdr>
        <w:top w:val="none" w:sz="0" w:space="0" w:color="auto"/>
        <w:left w:val="none" w:sz="0" w:space="0" w:color="auto"/>
        <w:bottom w:val="none" w:sz="0" w:space="0" w:color="auto"/>
        <w:right w:val="none" w:sz="0" w:space="0" w:color="auto"/>
      </w:divBdr>
      <w:divsChild>
        <w:div w:id="200557351">
          <w:marLeft w:val="0"/>
          <w:marRight w:val="0"/>
          <w:marTop w:val="0"/>
          <w:marBottom w:val="0"/>
          <w:divBdr>
            <w:top w:val="none" w:sz="0" w:space="0" w:color="auto"/>
            <w:left w:val="none" w:sz="0" w:space="0" w:color="auto"/>
            <w:bottom w:val="none" w:sz="0" w:space="0" w:color="auto"/>
            <w:right w:val="none" w:sz="0" w:space="0" w:color="auto"/>
          </w:divBdr>
          <w:divsChild>
            <w:div w:id="1402755996">
              <w:marLeft w:val="0"/>
              <w:marRight w:val="0"/>
              <w:marTop w:val="0"/>
              <w:marBottom w:val="0"/>
              <w:divBdr>
                <w:top w:val="none" w:sz="0" w:space="0" w:color="auto"/>
                <w:left w:val="none" w:sz="0" w:space="0" w:color="auto"/>
                <w:bottom w:val="none" w:sz="0" w:space="0" w:color="auto"/>
                <w:right w:val="none" w:sz="0" w:space="0" w:color="auto"/>
              </w:divBdr>
              <w:divsChild>
                <w:div w:id="1725715774">
                  <w:marLeft w:val="0"/>
                  <w:marRight w:val="0"/>
                  <w:marTop w:val="0"/>
                  <w:marBottom w:val="0"/>
                  <w:divBdr>
                    <w:top w:val="none" w:sz="0" w:space="0" w:color="auto"/>
                    <w:left w:val="none" w:sz="0" w:space="0" w:color="auto"/>
                    <w:bottom w:val="none" w:sz="0" w:space="0" w:color="auto"/>
                    <w:right w:val="none" w:sz="0" w:space="0" w:color="auto"/>
                  </w:divBdr>
                  <w:divsChild>
                    <w:div w:id="379520680">
                      <w:marLeft w:val="0"/>
                      <w:marRight w:val="0"/>
                      <w:marTop w:val="0"/>
                      <w:marBottom w:val="0"/>
                      <w:divBdr>
                        <w:top w:val="none" w:sz="0" w:space="0" w:color="auto"/>
                        <w:left w:val="none" w:sz="0" w:space="0" w:color="auto"/>
                        <w:bottom w:val="none" w:sz="0" w:space="0" w:color="auto"/>
                        <w:right w:val="none" w:sz="0" w:space="0" w:color="auto"/>
                      </w:divBdr>
                      <w:divsChild>
                        <w:div w:id="1563713697">
                          <w:marLeft w:val="0"/>
                          <w:marRight w:val="0"/>
                          <w:marTop w:val="0"/>
                          <w:marBottom w:val="0"/>
                          <w:divBdr>
                            <w:top w:val="none" w:sz="0" w:space="0" w:color="auto"/>
                            <w:left w:val="none" w:sz="0" w:space="0" w:color="auto"/>
                            <w:bottom w:val="none" w:sz="0" w:space="0" w:color="auto"/>
                            <w:right w:val="none" w:sz="0" w:space="0" w:color="auto"/>
                          </w:divBdr>
                          <w:divsChild>
                            <w:div w:id="14659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758402025">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lummk01/AppData/Local/Microsoft/Windows/Temporary%20Internet%20Files/Content.Outlook/WTGBO7I9/www.ode.dfat.gov.au"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ode.dfat.gov.au" TargetMode="External"/><Relationship Id="rId17" Type="http://schemas.openxmlformats.org/officeDocument/2006/relationships/footer" Target="foot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legalcod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creativecommons.org/licenses/by/3.0/a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ode.dfat.gov.au" TargetMode="External"/><Relationship Id="rId22" Type="http://schemas.openxmlformats.org/officeDocument/2006/relationships/footer" Target="footer4.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development/evaluation/daccriteriaforevaluatingdevelopmentassistanc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30096\Documents\My%20Q%20Drive%20at%20home\ODE\ODE%20Report%20Template-%20For%20Printing%20%20with%20Photo%20pd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4D0686-F90C-43F0-911B-613895D5F183}"/>
</file>

<file path=customXml/itemProps2.xml><?xml version="1.0" encoding="utf-8"?>
<ds:datastoreItem xmlns:ds="http://schemas.openxmlformats.org/officeDocument/2006/customXml" ds:itemID="{25730024-FCDB-4D12-B096-67F7C9FAA5C8}"/>
</file>

<file path=customXml/itemProps3.xml><?xml version="1.0" encoding="utf-8"?>
<ds:datastoreItem xmlns:ds="http://schemas.openxmlformats.org/officeDocument/2006/customXml" ds:itemID="{3522A29E-CEB1-4196-924F-A58BDBC63213}"/>
</file>

<file path=customXml/itemProps4.xml><?xml version="1.0" encoding="utf-8"?>
<ds:datastoreItem xmlns:ds="http://schemas.openxmlformats.org/officeDocument/2006/customXml" ds:itemID="{A0AAC378-8036-4C48-9FFE-0604E758D213}"/>
</file>

<file path=docProps/app.xml><?xml version="1.0" encoding="utf-8"?>
<Properties xmlns="http://schemas.openxmlformats.org/officeDocument/2006/extended-properties" xmlns:vt="http://schemas.openxmlformats.org/officeDocument/2006/docPropsVTypes">
  <Template>ODE Report Template- For Printing  with Photo pdf.dotx</Template>
  <TotalTime>2</TotalTime>
  <Pages>86</Pages>
  <Words>35691</Words>
  <Characters>202850</Characters>
  <Application>Microsoft Office Word</Application>
  <DocSecurity>0</DocSecurity>
  <Lines>4139</Lines>
  <Paragraphs>1600</Paragraphs>
  <ScaleCrop>false</ScaleCrop>
  <HeadingPairs>
    <vt:vector size="2" baseType="variant">
      <vt:variant>
        <vt:lpstr>Title</vt:lpstr>
      </vt:variant>
      <vt:variant>
        <vt:i4>1</vt:i4>
      </vt:variant>
    </vt:vector>
  </HeadingPairs>
  <TitlesOfParts>
    <vt:vector size="1" baseType="lpstr">
      <vt:lpstr>Report Title</vt:lpstr>
    </vt:vector>
  </TitlesOfParts>
  <Company>dpplus</Company>
  <LinksUpToDate>false</LinksUpToDate>
  <CharactersWithSpaces>236941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Christopherson Dunn, Kieh B</dc:creator>
  <cp:lastModifiedBy>clmcinto</cp:lastModifiedBy>
  <cp:revision>3</cp:revision>
  <cp:lastPrinted>2015-03-23T02:29:00Z</cp:lastPrinted>
  <dcterms:created xsi:type="dcterms:W3CDTF">2015-05-19T06:33:00Z</dcterms:created>
  <dcterms:modified xsi:type="dcterms:W3CDTF">2015-05-19T06:34:00Z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0x0101003B97E0CA36F93F49A064E94984C37C74</vt:lpwstr>
  </property>
  <property fmtid="{D5CDD505-2E9C-101B-9397-08002B2CF9AE}" pid="3" name="TemplateUrl">
    <vt:lpwstr/>
  </property>
  <property fmtid="{D5CDD505-2E9C-101B-9397-08002B2CF9AE}" pid="4" name="Order">
    <vt:r8>66300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