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AF1B7" w14:textId="77777777" w:rsidR="00166A39" w:rsidRPr="003533CE" w:rsidRDefault="00166A39" w:rsidP="00166A39">
      <w:pPr>
        <w:jc w:val="center"/>
        <w:rPr>
          <w:rFonts w:asciiTheme="minorHAnsi" w:hAnsiTheme="minorHAnsi"/>
          <w:b/>
        </w:rPr>
      </w:pPr>
      <w:bookmarkStart w:id="0" w:name="_GoBack"/>
      <w:bookmarkEnd w:id="0"/>
      <w:r w:rsidRPr="003533CE">
        <w:rPr>
          <w:rFonts w:asciiTheme="minorHAnsi" w:hAnsiTheme="minorHAnsi"/>
          <w:b/>
        </w:rPr>
        <w:t>Technical file</w:t>
      </w:r>
    </w:p>
    <w:p w14:paraId="5757B9EB" w14:textId="0D5206F1" w:rsidR="00A50D68" w:rsidRPr="003533CE" w:rsidRDefault="00A50D68" w:rsidP="00A50D68">
      <w:pPr>
        <w:rPr>
          <w:rFonts w:ascii="Calibri" w:hAnsi="Calibri"/>
        </w:rPr>
      </w:pPr>
      <w:r w:rsidRPr="003533CE">
        <w:rPr>
          <w:rFonts w:ascii="Calibri" w:hAnsi="Calibri"/>
          <w:b/>
        </w:rPr>
        <w:t xml:space="preserve">Date of </w:t>
      </w:r>
      <w:r w:rsidR="005A5DA8" w:rsidRPr="003533CE">
        <w:rPr>
          <w:rFonts w:ascii="Calibri" w:hAnsi="Calibri"/>
          <w:b/>
        </w:rPr>
        <w:t>receipt</w:t>
      </w:r>
      <w:r w:rsidR="005A5DA8" w:rsidRPr="003533CE">
        <w:rPr>
          <w:rFonts w:ascii="Calibri" w:hAnsi="Calibri"/>
        </w:rPr>
        <w:t xml:space="preserve"> (</w:t>
      </w:r>
      <w:r w:rsidRPr="003533CE">
        <w:rPr>
          <w:rFonts w:ascii="Calibri" w:hAnsi="Calibri"/>
        </w:rPr>
        <w:t>DD/MM/YYYY) ...</w:t>
      </w:r>
    </w:p>
    <w:p w14:paraId="5B844E4D" w14:textId="77777777" w:rsidR="00A50D68" w:rsidRPr="003533CE" w:rsidRDefault="00A50D68" w:rsidP="00A50D68">
      <w:pPr>
        <w:rPr>
          <w:rFonts w:ascii="Calibri" w:hAnsi="Calibri"/>
          <w:sz w:val="20"/>
          <w:szCs w:val="20"/>
        </w:rPr>
      </w:pPr>
      <w:r w:rsidRPr="003533CE">
        <w:rPr>
          <w:rFonts w:ascii="Calibri" w:hAnsi="Calibri"/>
          <w:i/>
          <w:sz w:val="20"/>
        </w:rPr>
        <w:t>[to be completed by the Commission]</w:t>
      </w:r>
    </w:p>
    <w:p w14:paraId="7DBCC952" w14:textId="77777777" w:rsidR="00A50D68" w:rsidRPr="003533CE" w:rsidRDefault="00A50D68" w:rsidP="00A50D68">
      <w:pPr>
        <w:rPr>
          <w:rFonts w:ascii="Calibri" w:hAnsi="Calibri"/>
        </w:rPr>
      </w:pPr>
      <w:r w:rsidRPr="003533CE">
        <w:rPr>
          <w:rFonts w:ascii="Calibri" w:hAnsi="Calibri"/>
          <w:b/>
        </w:rPr>
        <w:t>Number of pages</w:t>
      </w:r>
      <w:r w:rsidRPr="003533CE">
        <w:rPr>
          <w:rFonts w:ascii="Calibri" w:hAnsi="Calibri"/>
        </w:rPr>
        <w:t xml:space="preserve"> (including this page) </w:t>
      </w:r>
      <w:r w:rsidRPr="003533CE">
        <w:tab/>
      </w:r>
      <w:r w:rsidRPr="003533CE">
        <w:rPr>
          <w:rFonts w:ascii="Calibri" w:hAnsi="Calibri"/>
        </w:rPr>
        <w:t>4</w:t>
      </w:r>
    </w:p>
    <w:p w14:paraId="4E843777" w14:textId="77777777" w:rsidR="00A50D68" w:rsidRPr="003533CE" w:rsidRDefault="00A50D68" w:rsidP="00A50D68">
      <w:pPr>
        <w:tabs>
          <w:tab w:val="left" w:pos="4253"/>
        </w:tabs>
        <w:rPr>
          <w:rFonts w:ascii="Calibri" w:hAnsi="Calibri"/>
        </w:rPr>
      </w:pPr>
      <w:r w:rsidRPr="003533CE">
        <w:rPr>
          <w:rFonts w:ascii="Calibri" w:hAnsi="Calibri"/>
          <w:b/>
        </w:rPr>
        <w:t>Language used for submission of application</w:t>
      </w:r>
      <w:r w:rsidRPr="003533CE">
        <w:rPr>
          <w:rFonts w:ascii="Calibri" w:hAnsi="Calibri"/>
        </w:rPr>
        <w:t xml:space="preserve"> </w:t>
      </w:r>
      <w:r w:rsidRPr="003533CE">
        <w:tab/>
      </w:r>
      <w:r w:rsidRPr="003533CE">
        <w:rPr>
          <w:rFonts w:ascii="Calibri" w:hAnsi="Calibri"/>
        </w:rPr>
        <w:t>German</w:t>
      </w:r>
    </w:p>
    <w:p w14:paraId="4150A0A1" w14:textId="77777777" w:rsidR="00A50D68" w:rsidRPr="003533CE" w:rsidRDefault="00A50D68" w:rsidP="00A50D68">
      <w:pPr>
        <w:rPr>
          <w:rFonts w:ascii="Calibri" w:hAnsi="Calibri"/>
          <w:b/>
        </w:rPr>
      </w:pPr>
      <w:r w:rsidRPr="003533CE">
        <w:rPr>
          <w:rFonts w:ascii="Calibri" w:hAnsi="Calibri"/>
          <w:b/>
        </w:rPr>
        <w:t>File number: ...</w:t>
      </w:r>
    </w:p>
    <w:p w14:paraId="4D2F1681" w14:textId="77777777" w:rsidR="00A50D68" w:rsidRPr="003533CE" w:rsidRDefault="00A50D68" w:rsidP="00A50D68">
      <w:pPr>
        <w:rPr>
          <w:rFonts w:ascii="Calibri" w:hAnsi="Calibri"/>
          <w:i/>
          <w:iCs/>
          <w:sz w:val="20"/>
          <w:szCs w:val="20"/>
        </w:rPr>
      </w:pPr>
      <w:r w:rsidRPr="003533CE">
        <w:rPr>
          <w:rFonts w:ascii="Calibri" w:hAnsi="Calibri"/>
          <w:i/>
          <w:sz w:val="20"/>
        </w:rPr>
        <w:t>[to be completed by the Commission]</w:t>
      </w:r>
    </w:p>
    <w:p w14:paraId="227F40C9" w14:textId="77777777" w:rsidR="00A50D68" w:rsidRPr="003533CE" w:rsidRDefault="00A50D68" w:rsidP="00A50D68">
      <w:pPr>
        <w:tabs>
          <w:tab w:val="left" w:pos="4200"/>
        </w:tabs>
        <w:rPr>
          <w:rFonts w:ascii="Calibri" w:hAnsi="Calibri"/>
        </w:rPr>
      </w:pPr>
      <w:r w:rsidRPr="003533CE">
        <w:rPr>
          <w:rFonts w:ascii="Calibri" w:hAnsi="Calibri"/>
          <w:b/>
        </w:rPr>
        <w:t xml:space="preserve">Geographical indication to be registered </w:t>
      </w:r>
      <w:r w:rsidRPr="003533CE">
        <w:tab/>
      </w:r>
      <w:r w:rsidRPr="003533CE">
        <w:rPr>
          <w:rFonts w:ascii="Calibri" w:hAnsi="Calibri"/>
          <w:b/>
          <w:i/>
        </w:rPr>
        <w:t>‘</w:t>
      </w:r>
      <w:r w:rsidRPr="003533CE">
        <w:rPr>
          <w:rFonts w:ascii="Calibri" w:hAnsi="Calibri"/>
          <w:b/>
          <w:u w:val="single"/>
        </w:rPr>
        <w:t>Wachauer Weinbrand</w:t>
      </w:r>
      <w:r w:rsidRPr="003533CE">
        <w:rPr>
          <w:rFonts w:ascii="Calibri" w:hAnsi="Calibri"/>
          <w:b/>
          <w:i/>
        </w:rPr>
        <w:t>’</w:t>
      </w:r>
    </w:p>
    <w:p w14:paraId="06E52468" w14:textId="77777777" w:rsidR="00A50D68" w:rsidRPr="003533CE" w:rsidRDefault="00A50D68" w:rsidP="00A50D68">
      <w:pPr>
        <w:rPr>
          <w:rFonts w:ascii="Calibri" w:hAnsi="Calibri"/>
          <w:sz w:val="20"/>
          <w:szCs w:val="20"/>
        </w:rPr>
      </w:pPr>
      <w:r w:rsidRPr="003533CE">
        <w:rPr>
          <w:rFonts w:ascii="Calibri" w:hAnsi="Calibri"/>
          <w:b/>
        </w:rPr>
        <w:t>Category of the spirit drink</w:t>
      </w:r>
    </w:p>
    <w:p w14:paraId="1FB264E7" w14:textId="77777777" w:rsidR="00A50D68" w:rsidRPr="003533CE" w:rsidRDefault="00A50D68" w:rsidP="00A50D68">
      <w:pPr>
        <w:rPr>
          <w:rFonts w:asciiTheme="minorHAnsi" w:hAnsiTheme="minorHAnsi"/>
        </w:rPr>
      </w:pPr>
      <w:r w:rsidRPr="003533CE">
        <w:rPr>
          <w:rFonts w:asciiTheme="minorHAnsi" w:hAnsiTheme="minorHAnsi"/>
        </w:rPr>
        <w:t>Product category 5. Brandy or Weinbrand, Annex III to Regulation (EC) No 110/2008</w:t>
      </w:r>
    </w:p>
    <w:p w14:paraId="19D5B176" w14:textId="77777777" w:rsidR="00A50D68" w:rsidRPr="003533CE" w:rsidRDefault="00A50D68" w:rsidP="00A50D68">
      <w:pPr>
        <w:rPr>
          <w:rFonts w:ascii="Calibri" w:hAnsi="Calibri"/>
          <w:b/>
        </w:rPr>
      </w:pPr>
    </w:p>
    <w:p w14:paraId="3605B08B" w14:textId="77777777" w:rsidR="00A50D68" w:rsidRPr="003533CE" w:rsidRDefault="00A50D68" w:rsidP="00A50D68">
      <w:pPr>
        <w:rPr>
          <w:rFonts w:ascii="Calibri" w:hAnsi="Calibri"/>
          <w:b/>
        </w:rPr>
      </w:pPr>
      <w:r w:rsidRPr="003533CE">
        <w:rPr>
          <w:rFonts w:ascii="Calibri" w:hAnsi="Calibri"/>
          <w:b/>
        </w:rPr>
        <w:t>Description of the spirit drink</w:t>
      </w:r>
    </w:p>
    <w:p w14:paraId="13529293" w14:textId="77777777" w:rsidR="00A50D68" w:rsidRPr="003533CE" w:rsidRDefault="00A50D68" w:rsidP="00A50D68">
      <w:pPr>
        <w:pStyle w:val="ListParagraph"/>
        <w:numPr>
          <w:ilvl w:val="0"/>
          <w:numId w:val="3"/>
        </w:numPr>
        <w:autoSpaceDE w:val="0"/>
        <w:autoSpaceDN w:val="0"/>
        <w:adjustRightInd w:val="0"/>
        <w:spacing w:before="0" w:after="60"/>
        <w:ind w:left="391" w:hanging="266"/>
        <w:contextualSpacing w:val="0"/>
        <w:jc w:val="left"/>
        <w:rPr>
          <w:rFonts w:asciiTheme="minorHAnsi" w:hAnsiTheme="minorHAnsi" w:cs="Calibri"/>
          <w:i/>
        </w:rPr>
      </w:pPr>
      <w:r w:rsidRPr="003533CE">
        <w:rPr>
          <w:rFonts w:asciiTheme="minorHAnsi" w:hAnsiTheme="minorHAnsi"/>
          <w:i/>
        </w:rPr>
        <w:t>Physical and chemical characteristics</w:t>
      </w:r>
    </w:p>
    <w:p w14:paraId="61CDCF37" w14:textId="77777777" w:rsidR="001E2A69" w:rsidRPr="003533CE" w:rsidRDefault="008E0133" w:rsidP="00A50D68">
      <w:pPr>
        <w:pStyle w:val="ListParagraph"/>
        <w:tabs>
          <w:tab w:val="left" w:pos="3119"/>
        </w:tabs>
        <w:autoSpaceDE w:val="0"/>
        <w:autoSpaceDN w:val="0"/>
        <w:adjustRightInd w:val="0"/>
        <w:spacing w:after="0"/>
        <w:ind w:left="567"/>
        <w:jc w:val="left"/>
        <w:rPr>
          <w:rFonts w:asciiTheme="minorHAnsi" w:eastAsiaTheme="minorHAnsi" w:hAnsiTheme="minorHAnsi" w:cs="Calibri"/>
        </w:rPr>
      </w:pPr>
      <w:r w:rsidRPr="003533CE">
        <w:rPr>
          <w:rFonts w:asciiTheme="minorHAnsi" w:eastAsiaTheme="minorHAnsi" w:hAnsiTheme="minorHAnsi"/>
        </w:rPr>
        <w:t xml:space="preserve">Alcoholic strength: </w:t>
      </w:r>
      <w:r w:rsidRPr="003533CE">
        <w:tab/>
      </w:r>
      <w:r w:rsidRPr="003533CE">
        <w:rPr>
          <w:rFonts w:asciiTheme="minorHAnsi" w:eastAsiaTheme="minorHAnsi" w:hAnsiTheme="minorHAnsi"/>
        </w:rPr>
        <w:t>min. 36 % vol.; max. 45 % vol.</w:t>
      </w:r>
    </w:p>
    <w:p w14:paraId="2F936B91" w14:textId="77777777" w:rsidR="001E2A69" w:rsidRPr="003533CE" w:rsidRDefault="001E2A69" w:rsidP="00A50D68">
      <w:pPr>
        <w:pStyle w:val="ListParagraph"/>
        <w:tabs>
          <w:tab w:val="left" w:pos="3119"/>
        </w:tabs>
        <w:autoSpaceDE w:val="0"/>
        <w:autoSpaceDN w:val="0"/>
        <w:adjustRightInd w:val="0"/>
        <w:spacing w:before="0" w:after="60"/>
        <w:ind w:left="3119" w:hanging="2552"/>
        <w:contextualSpacing w:val="0"/>
        <w:jc w:val="left"/>
        <w:rPr>
          <w:rFonts w:asciiTheme="minorHAnsi" w:eastAsiaTheme="minorHAnsi" w:hAnsiTheme="minorHAnsi" w:cs="Calibri"/>
        </w:rPr>
      </w:pPr>
      <w:r w:rsidRPr="003533CE">
        <w:rPr>
          <w:rFonts w:asciiTheme="minorHAnsi" w:eastAsiaTheme="minorHAnsi" w:hAnsiTheme="minorHAnsi"/>
        </w:rPr>
        <w:t xml:space="preserve">Total dry extract: </w:t>
      </w:r>
      <w:r w:rsidRPr="003533CE">
        <w:tab/>
      </w:r>
      <w:r w:rsidRPr="003533CE">
        <w:rPr>
          <w:rFonts w:asciiTheme="minorHAnsi" w:eastAsiaTheme="minorHAnsi" w:hAnsiTheme="minorHAnsi"/>
        </w:rPr>
        <w:t xml:space="preserve">max. 20 g/l of finished product </w:t>
      </w:r>
    </w:p>
    <w:p w14:paraId="45925372" w14:textId="77777777" w:rsidR="001E2A69" w:rsidRPr="003533CE" w:rsidRDefault="008E0133" w:rsidP="00A50D68">
      <w:pPr>
        <w:pStyle w:val="ListParagraph"/>
        <w:tabs>
          <w:tab w:val="left" w:pos="3119"/>
        </w:tabs>
        <w:autoSpaceDE w:val="0"/>
        <w:autoSpaceDN w:val="0"/>
        <w:adjustRightInd w:val="0"/>
        <w:spacing w:before="0" w:after="60"/>
        <w:ind w:left="3119" w:hanging="2552"/>
        <w:contextualSpacing w:val="0"/>
        <w:jc w:val="left"/>
        <w:rPr>
          <w:rFonts w:asciiTheme="minorHAnsi" w:eastAsiaTheme="minorHAnsi" w:hAnsiTheme="minorHAnsi" w:cs="Calibri"/>
        </w:rPr>
      </w:pPr>
      <w:r w:rsidRPr="003533CE">
        <w:rPr>
          <w:rFonts w:asciiTheme="minorHAnsi" w:eastAsiaTheme="minorHAnsi" w:hAnsiTheme="minorHAnsi"/>
        </w:rPr>
        <w:t xml:space="preserve">Methanol content: </w:t>
      </w:r>
      <w:r w:rsidRPr="003533CE">
        <w:tab/>
      </w:r>
      <w:r w:rsidRPr="003533CE">
        <w:rPr>
          <w:rFonts w:asciiTheme="minorHAnsi" w:eastAsiaTheme="minorHAnsi" w:hAnsiTheme="minorHAnsi"/>
        </w:rPr>
        <w:t xml:space="preserve">max. 100 g/hl of 100 % vol. alcohol </w:t>
      </w:r>
      <w:r w:rsidRPr="003533CE">
        <w:rPr>
          <w:rFonts w:asciiTheme="minorHAnsi" w:eastAsiaTheme="minorHAnsi" w:hAnsiTheme="minorHAnsi" w:cs="Calibri"/>
        </w:rPr>
        <w:br/>
      </w:r>
      <w:r w:rsidRPr="003533CE">
        <w:rPr>
          <w:rFonts w:asciiTheme="minorHAnsi" w:eastAsiaTheme="minorHAnsi" w:hAnsiTheme="minorHAnsi"/>
        </w:rPr>
        <w:t>up to 180 g/hl of 100 % vol. alcohol in the case of red wine distillates</w:t>
      </w:r>
    </w:p>
    <w:p w14:paraId="199817FB" w14:textId="77777777" w:rsidR="00940B43" w:rsidRPr="003533CE" w:rsidRDefault="00940B43" w:rsidP="00A50D68">
      <w:pPr>
        <w:pStyle w:val="ListParagraph"/>
        <w:tabs>
          <w:tab w:val="left" w:pos="3119"/>
        </w:tabs>
        <w:autoSpaceDE w:val="0"/>
        <w:autoSpaceDN w:val="0"/>
        <w:adjustRightInd w:val="0"/>
        <w:spacing w:after="0"/>
        <w:ind w:left="567"/>
        <w:jc w:val="left"/>
        <w:rPr>
          <w:rFonts w:asciiTheme="minorHAnsi" w:eastAsiaTheme="minorHAnsi" w:hAnsiTheme="minorHAnsi" w:cs="Calibri"/>
        </w:rPr>
      </w:pPr>
      <w:r w:rsidRPr="003533CE">
        <w:rPr>
          <w:rFonts w:asciiTheme="minorHAnsi" w:eastAsiaTheme="minorHAnsi" w:hAnsiTheme="minorHAnsi"/>
        </w:rPr>
        <w:t>Volatile matter</w:t>
      </w:r>
      <w:r w:rsidRPr="003533CE">
        <w:rPr>
          <w:rStyle w:val="FootnoteReference"/>
          <w:rFonts w:asciiTheme="minorHAnsi" w:eastAsiaTheme="minorHAnsi" w:hAnsiTheme="minorHAnsi"/>
        </w:rPr>
        <w:footnoteReference w:id="1"/>
      </w:r>
      <w:r w:rsidRPr="003533CE">
        <w:rPr>
          <w:rFonts w:asciiTheme="minorHAnsi" w:eastAsiaTheme="minorHAnsi" w:hAnsiTheme="minorHAnsi"/>
        </w:rPr>
        <w:t>:</w:t>
      </w:r>
      <w:r w:rsidRPr="003533CE">
        <w:tab/>
      </w:r>
      <w:r w:rsidRPr="003533CE">
        <w:rPr>
          <w:rFonts w:asciiTheme="minorHAnsi" w:eastAsiaTheme="minorHAnsi" w:hAnsiTheme="minorHAnsi"/>
        </w:rPr>
        <w:t>min. 125 g/hl of 100 % vol. alcohol</w:t>
      </w:r>
    </w:p>
    <w:p w14:paraId="7ADCAA4F" w14:textId="77777777" w:rsidR="00940B43" w:rsidRPr="003533CE" w:rsidRDefault="00940B43" w:rsidP="00A50D68">
      <w:pPr>
        <w:pStyle w:val="ListParagraph"/>
        <w:tabs>
          <w:tab w:val="left" w:pos="3119"/>
        </w:tabs>
        <w:autoSpaceDE w:val="0"/>
        <w:autoSpaceDN w:val="0"/>
        <w:adjustRightInd w:val="0"/>
        <w:spacing w:after="0"/>
        <w:ind w:left="567"/>
        <w:jc w:val="left"/>
        <w:rPr>
          <w:rFonts w:asciiTheme="minorHAnsi" w:eastAsiaTheme="minorHAnsi" w:hAnsiTheme="minorHAnsi" w:cs="Calibri"/>
        </w:rPr>
      </w:pPr>
      <w:r w:rsidRPr="003533CE">
        <w:rPr>
          <w:rFonts w:asciiTheme="minorHAnsi" w:eastAsiaTheme="minorHAnsi" w:hAnsiTheme="minorHAnsi"/>
        </w:rPr>
        <w:t>Ethyl acetate:</w:t>
      </w:r>
      <w:r w:rsidRPr="003533CE">
        <w:tab/>
      </w:r>
      <w:r w:rsidRPr="003533CE">
        <w:rPr>
          <w:rFonts w:asciiTheme="minorHAnsi" w:eastAsiaTheme="minorHAnsi" w:hAnsiTheme="minorHAnsi"/>
        </w:rPr>
        <w:t>max. 90 g/hl of 100 % vol. alcohol</w:t>
      </w:r>
    </w:p>
    <w:p w14:paraId="7E7E8664" w14:textId="77777777" w:rsidR="00940B43" w:rsidRPr="003533CE" w:rsidRDefault="00C2605B" w:rsidP="001E0AE8">
      <w:pPr>
        <w:pStyle w:val="ListParagraph"/>
        <w:tabs>
          <w:tab w:val="left" w:pos="3119"/>
          <w:tab w:val="left" w:pos="4970"/>
        </w:tabs>
        <w:autoSpaceDE w:val="0"/>
        <w:autoSpaceDN w:val="0"/>
        <w:adjustRightInd w:val="0"/>
        <w:spacing w:before="0" w:after="60"/>
        <w:ind w:left="3119" w:hanging="2552"/>
        <w:contextualSpacing w:val="0"/>
        <w:jc w:val="left"/>
        <w:rPr>
          <w:rFonts w:ascii="Calibri" w:hAnsi="Calibri" w:cs="Calibri"/>
        </w:rPr>
      </w:pPr>
      <w:r w:rsidRPr="003533CE">
        <w:rPr>
          <w:rFonts w:asciiTheme="minorHAnsi" w:eastAsiaTheme="minorHAnsi" w:hAnsiTheme="minorHAnsi"/>
        </w:rPr>
        <w:t>Sum of iso-butanol and iso-amyl alcohols:</w:t>
      </w:r>
      <w:r w:rsidRPr="003533CE">
        <w:tab/>
      </w:r>
      <w:r w:rsidRPr="003533CE">
        <w:rPr>
          <w:rFonts w:asciiTheme="minorHAnsi" w:eastAsiaTheme="minorHAnsi" w:hAnsiTheme="minorHAnsi"/>
        </w:rPr>
        <w:t>min. 160 g/hl of 100 % vol. alcohol;</w:t>
      </w:r>
      <w:r w:rsidRPr="003533CE">
        <w:rPr>
          <w:rFonts w:asciiTheme="minorHAnsi" w:eastAsiaTheme="minorHAnsi" w:hAnsiTheme="minorHAnsi" w:cs="Calibri"/>
        </w:rPr>
        <w:br/>
      </w:r>
      <w:r w:rsidRPr="003533CE">
        <w:tab/>
      </w:r>
      <w:r w:rsidRPr="003533CE">
        <w:rPr>
          <w:rFonts w:asciiTheme="minorHAnsi" w:eastAsiaTheme="minorHAnsi" w:hAnsiTheme="minorHAnsi"/>
        </w:rPr>
        <w:t>max. 400 g/hl of 100 % vol. alcohol;</w:t>
      </w:r>
    </w:p>
    <w:p w14:paraId="56F6A788" w14:textId="77777777" w:rsidR="005673E8" w:rsidRPr="003533CE" w:rsidRDefault="005673E8" w:rsidP="00087CCF">
      <w:pPr>
        <w:pStyle w:val="ListParagraph"/>
        <w:tabs>
          <w:tab w:val="left" w:pos="3119"/>
        </w:tabs>
        <w:autoSpaceDE w:val="0"/>
        <w:autoSpaceDN w:val="0"/>
        <w:adjustRightInd w:val="0"/>
        <w:spacing w:after="0"/>
        <w:ind w:left="567"/>
        <w:jc w:val="left"/>
        <w:rPr>
          <w:rFonts w:asciiTheme="minorHAnsi" w:eastAsiaTheme="minorHAnsi" w:hAnsiTheme="minorHAnsi" w:cs="Calibri"/>
        </w:rPr>
      </w:pPr>
      <w:r w:rsidRPr="003533CE">
        <w:rPr>
          <w:rFonts w:asciiTheme="minorHAnsi" w:eastAsiaTheme="minorHAnsi" w:hAnsiTheme="minorHAnsi"/>
        </w:rPr>
        <w:t>Ash:</w:t>
      </w:r>
      <w:r w:rsidRPr="003533CE">
        <w:tab/>
      </w:r>
      <w:r w:rsidRPr="003533CE">
        <w:rPr>
          <w:rFonts w:asciiTheme="minorHAnsi" w:eastAsiaTheme="minorHAnsi" w:hAnsiTheme="minorHAnsi"/>
        </w:rPr>
        <w:t>max. 0.50 g/l (in relation to product).</w:t>
      </w:r>
    </w:p>
    <w:p w14:paraId="4F85FA53" w14:textId="77777777" w:rsidR="001E2A69" w:rsidRPr="003533CE" w:rsidRDefault="001E2A69" w:rsidP="001E2A69">
      <w:pPr>
        <w:autoSpaceDE w:val="0"/>
        <w:autoSpaceDN w:val="0"/>
        <w:adjustRightInd w:val="0"/>
        <w:spacing w:after="0"/>
        <w:jc w:val="left"/>
        <w:rPr>
          <w:rFonts w:asciiTheme="minorHAnsi" w:eastAsiaTheme="minorHAnsi" w:hAnsiTheme="minorHAnsi" w:cs="Calibri"/>
        </w:rPr>
      </w:pPr>
    </w:p>
    <w:p w14:paraId="16AAB20A" w14:textId="2991EE79" w:rsidR="008E0FA2" w:rsidRPr="003533CE" w:rsidRDefault="00087CCF" w:rsidP="00A56488">
      <w:pPr>
        <w:numPr>
          <w:ilvl w:val="0"/>
          <w:numId w:val="3"/>
        </w:numPr>
        <w:autoSpaceDE w:val="0"/>
        <w:autoSpaceDN w:val="0"/>
        <w:adjustRightInd w:val="0"/>
        <w:spacing w:after="60"/>
        <w:ind w:left="391" w:hanging="266"/>
        <w:rPr>
          <w:rFonts w:asciiTheme="minorHAnsi" w:eastAsiaTheme="minorHAnsi" w:hAnsiTheme="minorHAnsi" w:cs="Calibri"/>
        </w:rPr>
      </w:pPr>
      <w:r w:rsidRPr="003533CE">
        <w:rPr>
          <w:rFonts w:ascii="Calibri" w:hAnsi="Calibri"/>
          <w:i/>
        </w:rPr>
        <w:t>Organoleptic properties</w:t>
      </w:r>
    </w:p>
    <w:p w14:paraId="4F2BC6BE" w14:textId="5D744B33" w:rsidR="0012203D" w:rsidRPr="003533CE" w:rsidRDefault="0012203D" w:rsidP="00A56488">
      <w:pPr>
        <w:autoSpaceDE w:val="0"/>
        <w:autoSpaceDN w:val="0"/>
        <w:adjustRightInd w:val="0"/>
        <w:spacing w:after="0"/>
        <w:rPr>
          <w:rFonts w:ascii="Calibri" w:hAnsi="Calibri" w:cs="Calibri"/>
        </w:rPr>
      </w:pPr>
      <w:r w:rsidRPr="003533CE">
        <w:rPr>
          <w:rFonts w:ascii="Calibri" w:hAnsi="Calibri"/>
        </w:rPr>
        <w:t>‘Wachauer Weinbrand’ is clear, of a golden to amber, yellowish brownish colour, mild to robust but not pungent, its smell and taste exhibiting the vinous notes typical of the wines from which it is produced. It has typical hints of wood and vanilla, and sometimes a (very) discreet smokiness, as a result of having been matured in oak barrels.</w:t>
      </w:r>
    </w:p>
    <w:p w14:paraId="468F3975" w14:textId="77777777" w:rsidR="0012203D" w:rsidRPr="003533CE" w:rsidRDefault="0012203D" w:rsidP="0019278E">
      <w:pPr>
        <w:autoSpaceDE w:val="0"/>
        <w:autoSpaceDN w:val="0"/>
        <w:adjustRightInd w:val="0"/>
        <w:spacing w:before="0" w:after="0"/>
        <w:rPr>
          <w:rFonts w:ascii="Calibri" w:hAnsi="Calibri" w:cs="Calibri"/>
        </w:rPr>
      </w:pPr>
    </w:p>
    <w:p w14:paraId="50AEC10B" w14:textId="77777777" w:rsidR="0012203D" w:rsidRPr="003533CE" w:rsidRDefault="0012203D" w:rsidP="00394488">
      <w:pPr>
        <w:numPr>
          <w:ilvl w:val="0"/>
          <w:numId w:val="3"/>
        </w:numPr>
        <w:autoSpaceDE w:val="0"/>
        <w:autoSpaceDN w:val="0"/>
        <w:adjustRightInd w:val="0"/>
        <w:spacing w:after="60"/>
        <w:ind w:left="391" w:hanging="266"/>
        <w:rPr>
          <w:rFonts w:ascii="Calibri" w:hAnsi="Calibri" w:cs="Calibri"/>
          <w:i/>
        </w:rPr>
      </w:pPr>
      <w:r w:rsidRPr="003533CE">
        <w:rPr>
          <w:rFonts w:ascii="Calibri" w:hAnsi="Calibri"/>
          <w:i/>
        </w:rPr>
        <w:t>Specific characteristics (compared to spirit drinks of the same category)</w:t>
      </w:r>
    </w:p>
    <w:p w14:paraId="5B30A7C6" w14:textId="0F7CC226" w:rsidR="0012203D" w:rsidRPr="003533CE" w:rsidRDefault="0012203D" w:rsidP="0019278E">
      <w:pPr>
        <w:autoSpaceDE w:val="0"/>
        <w:autoSpaceDN w:val="0"/>
        <w:adjustRightInd w:val="0"/>
        <w:spacing w:after="0"/>
        <w:rPr>
          <w:rFonts w:ascii="Calibri" w:hAnsi="Calibri" w:cs="Calibri"/>
        </w:rPr>
      </w:pPr>
      <w:r w:rsidRPr="003533CE">
        <w:rPr>
          <w:rFonts w:ascii="Calibri" w:hAnsi="Calibri"/>
        </w:rPr>
        <w:t>In particular if the grapes are harvested early, ‘Wachauer Weinbrand’ has a multi-layered character, with a typically high-extract style and concentrated fruity aroma.</w:t>
      </w:r>
    </w:p>
    <w:p w14:paraId="300526D0" w14:textId="14252E07" w:rsidR="0012203D" w:rsidRPr="003533CE" w:rsidRDefault="0012203D" w:rsidP="0019278E">
      <w:pPr>
        <w:autoSpaceDE w:val="0"/>
        <w:autoSpaceDN w:val="0"/>
        <w:adjustRightInd w:val="0"/>
        <w:spacing w:before="0" w:after="0"/>
        <w:rPr>
          <w:rFonts w:ascii="Calibri" w:hAnsi="Calibri" w:cs="Calibri"/>
        </w:rPr>
      </w:pPr>
      <w:r w:rsidRPr="003533CE">
        <w:rPr>
          <w:rFonts w:ascii="Calibri" w:hAnsi="Calibri"/>
        </w:rPr>
        <w:t>Compared with the ‘Brandy or Weinbrand’ category, ‘Wachauer Weinbrand’ traditionally has a total dry extract content of no more than 20 g/l, a lower maximum methanol content and a defined maximum ethyl acetate content.</w:t>
      </w:r>
    </w:p>
    <w:p w14:paraId="623251D9" w14:textId="77777777" w:rsidR="00E87C7F" w:rsidRPr="003533CE" w:rsidRDefault="00E87C7F" w:rsidP="0019278E">
      <w:pPr>
        <w:autoSpaceDE w:val="0"/>
        <w:autoSpaceDN w:val="0"/>
        <w:adjustRightInd w:val="0"/>
        <w:spacing w:before="0" w:after="0"/>
        <w:rPr>
          <w:rFonts w:asciiTheme="minorHAnsi" w:eastAsiaTheme="minorHAnsi" w:hAnsiTheme="minorHAnsi" w:cs="Calibri"/>
        </w:rPr>
      </w:pPr>
    </w:p>
    <w:p w14:paraId="7CE288F6" w14:textId="77777777" w:rsidR="00D5570F" w:rsidRPr="003533CE" w:rsidRDefault="00D5570F" w:rsidP="00D5570F">
      <w:pPr>
        <w:autoSpaceDE w:val="0"/>
        <w:autoSpaceDN w:val="0"/>
        <w:adjustRightInd w:val="0"/>
        <w:spacing w:before="0" w:after="0"/>
        <w:jc w:val="left"/>
        <w:rPr>
          <w:rFonts w:ascii="Calibri" w:eastAsiaTheme="minorHAnsi" w:hAnsi="Calibri" w:cs="Calibri"/>
        </w:rPr>
      </w:pPr>
    </w:p>
    <w:p w14:paraId="19AD4BDE" w14:textId="77777777" w:rsidR="00F75E98" w:rsidRPr="003533CE" w:rsidRDefault="00E4418F" w:rsidP="00166A39">
      <w:pPr>
        <w:rPr>
          <w:rFonts w:asciiTheme="minorHAnsi" w:hAnsiTheme="minorHAnsi"/>
          <w:b/>
        </w:rPr>
      </w:pPr>
      <w:r w:rsidRPr="003533CE">
        <w:rPr>
          <w:rFonts w:asciiTheme="minorHAnsi" w:hAnsiTheme="minorHAnsi"/>
          <w:b/>
        </w:rPr>
        <w:lastRenderedPageBreak/>
        <w:t xml:space="preserve">Geographical area: </w:t>
      </w:r>
    </w:p>
    <w:p w14:paraId="284438ED" w14:textId="77777777" w:rsidR="00324DEA" w:rsidRPr="003533CE" w:rsidRDefault="00C2605B" w:rsidP="00C2605B">
      <w:pPr>
        <w:rPr>
          <w:rFonts w:ascii="Calibri" w:eastAsiaTheme="minorHAnsi" w:hAnsi="Calibri" w:cs="Calibri"/>
        </w:rPr>
      </w:pPr>
      <w:r w:rsidRPr="003533CE">
        <w:rPr>
          <w:rFonts w:ascii="Calibri" w:eastAsiaTheme="minorHAnsi" w:hAnsi="Calibri"/>
        </w:rPr>
        <w:t xml:space="preserve">‘Wachauer Weinbrand’ is produced exclusively from wines with the ‘Wachau’ protected designation of origin (PDO-AT-A0205). </w:t>
      </w:r>
    </w:p>
    <w:p w14:paraId="5C489531" w14:textId="77777777" w:rsidR="00087CCF" w:rsidRPr="003533CE" w:rsidRDefault="00087CCF" w:rsidP="00087CCF">
      <w:pPr>
        <w:widowControl w:val="0"/>
        <w:autoSpaceDE w:val="0"/>
        <w:autoSpaceDN w:val="0"/>
        <w:adjustRightInd w:val="0"/>
        <w:spacing w:before="0" w:after="0"/>
        <w:jc w:val="left"/>
        <w:rPr>
          <w:rFonts w:ascii="Calibri" w:eastAsiaTheme="minorHAnsi" w:hAnsi="Calibri" w:cs="Calibri"/>
        </w:rPr>
      </w:pPr>
      <w:r w:rsidRPr="003533CE">
        <w:rPr>
          <w:rFonts w:ascii="Calibri" w:eastAsiaTheme="minorHAnsi" w:hAnsi="Calibri"/>
        </w:rPr>
        <w:t>The 'Wachau' region of origin covers the municipalities of Aggsbach, Bergern im Dunkelsteinerwald, Dürnstein, Mautern an der Donau, Mühldorf, Rossatz, Spitz and Weißenkirchen in Lower Austria.</w:t>
      </w:r>
    </w:p>
    <w:p w14:paraId="6790625F" w14:textId="77777777" w:rsidR="000158EA" w:rsidRPr="003533CE" w:rsidRDefault="000158EA" w:rsidP="00087CCF">
      <w:pPr>
        <w:rPr>
          <w:rFonts w:ascii="Calibri" w:hAnsi="Calibri" w:cs="Calibri"/>
        </w:rPr>
      </w:pPr>
      <w:r w:rsidRPr="003533CE">
        <w:rPr>
          <w:rFonts w:ascii="Calibri" w:hAnsi="Calibri"/>
          <w:b/>
        </w:rPr>
        <w:t>‘</w:t>
      </w:r>
      <w:r w:rsidRPr="003533CE">
        <w:rPr>
          <w:rFonts w:ascii="Calibri" w:hAnsi="Calibri"/>
        </w:rPr>
        <w:t>Wachauer Weinbrand’ is produced exclusively in distilleries in the defined geographical area of the ‘Wachau’.</w:t>
      </w:r>
    </w:p>
    <w:p w14:paraId="291AD418" w14:textId="77777777" w:rsidR="00A67382" w:rsidRPr="003533CE" w:rsidRDefault="00A67382" w:rsidP="00166A39">
      <w:pPr>
        <w:rPr>
          <w:rFonts w:asciiTheme="minorHAnsi" w:hAnsiTheme="minorHAnsi"/>
          <w:b/>
        </w:rPr>
      </w:pPr>
    </w:p>
    <w:p w14:paraId="054760AF" w14:textId="77777777" w:rsidR="00087CCF" w:rsidRPr="003533CE" w:rsidRDefault="00087CCF" w:rsidP="00087CCF">
      <w:pPr>
        <w:rPr>
          <w:rFonts w:ascii="Calibri" w:hAnsi="Calibri"/>
          <w:b/>
        </w:rPr>
      </w:pPr>
      <w:r w:rsidRPr="003533CE">
        <w:rPr>
          <w:rFonts w:ascii="Calibri" w:hAnsi="Calibri"/>
          <w:b/>
        </w:rPr>
        <w:t>Method for obtaining the spirit drink</w:t>
      </w:r>
    </w:p>
    <w:p w14:paraId="1E54C363" w14:textId="77777777" w:rsidR="00D602B4" w:rsidRPr="003533CE" w:rsidRDefault="000F734F" w:rsidP="00087CCF">
      <w:pPr>
        <w:rPr>
          <w:rFonts w:ascii="Calibri" w:eastAsiaTheme="minorHAnsi" w:hAnsi="Calibri" w:cs="Calibri"/>
        </w:rPr>
      </w:pPr>
      <w:r w:rsidRPr="003533CE">
        <w:rPr>
          <w:rFonts w:ascii="Calibri" w:eastAsiaTheme="minorHAnsi" w:hAnsi="Calibri"/>
        </w:rPr>
        <w:t xml:space="preserve">‘Wachauer Weinbrand’ is obtained in accordance with the requirements to be met by Category 5 of Annex II to Regulation (EC) No 110/2008, as amended, from wine spirit, whether or not wine distillate has been added, distilled at less than 94.8 % vol., that distillate not exceeding a maximum of 50 % of the alcohol content of the finished product. </w:t>
      </w:r>
    </w:p>
    <w:p w14:paraId="34D86E14" w14:textId="6217680D" w:rsidR="00D602B4" w:rsidRPr="003533CE" w:rsidRDefault="00D602B4" w:rsidP="00D602B4">
      <w:pPr>
        <w:rPr>
          <w:rFonts w:asciiTheme="minorHAnsi" w:hAnsiTheme="minorHAnsi" w:cs="Tahoma"/>
        </w:rPr>
      </w:pPr>
      <w:r w:rsidRPr="003533CE">
        <w:rPr>
          <w:rFonts w:asciiTheme="minorHAnsi" w:hAnsiTheme="minorHAnsi"/>
        </w:rPr>
        <w:t>The following wine grape varieties are permitted for producing the wines that may be used for ‘Wachauer Weinbrand’, in accordance with the product specification as referred to in Article 118c of Regulation (EC) No 1234/2007 for a ‘designation of origin’ as defined in Article 118b:</w:t>
      </w:r>
    </w:p>
    <w:p w14:paraId="6E03C92F" w14:textId="77777777" w:rsidR="00D602B4" w:rsidRPr="003533CE" w:rsidRDefault="00D602B4" w:rsidP="00D602B4">
      <w:pPr>
        <w:rPr>
          <w:rFonts w:asciiTheme="minorHAnsi" w:hAnsiTheme="minorHAnsi" w:cs="Tahoma"/>
        </w:rPr>
      </w:pPr>
      <w:r w:rsidRPr="003533CE">
        <w:rPr>
          <w:rFonts w:asciiTheme="minorHAnsi" w:hAnsiTheme="minorHAnsi"/>
        </w:rPr>
        <w:t>1. White vine varieties:</w:t>
      </w:r>
    </w:p>
    <w:p w14:paraId="2249FAB3" w14:textId="77777777" w:rsidR="00D602B4" w:rsidRPr="003533CE" w:rsidRDefault="00D602B4" w:rsidP="00D602B4">
      <w:pPr>
        <w:rPr>
          <w:rFonts w:asciiTheme="minorHAnsi" w:hAnsiTheme="minorHAnsi" w:cs="Tahoma"/>
        </w:rPr>
      </w:pPr>
      <w:r w:rsidRPr="003533CE">
        <w:rPr>
          <w:rFonts w:asciiTheme="minorHAnsi" w:hAnsiTheme="minorHAnsi"/>
        </w:rPr>
        <w:t>Bouvier, Chardonnay (Morillon), Frühroter Veltliner (Malvasier), Furmint, Goldburger, Grauer Burgunder (Pinot Gris, Ruländer), Grüner Veltliner (Weißgipfler), Jubiläumsrebe, Müller-Thurgau (Rivaner), Muskateller (Gelber Muskateller, Roter Muskateller), Muskat-Ottonel, Neuburger, Roter Veltliner, Rotgipfler, Sauvignon Blanc, Scheurebe (Sämling 88), Sylvaner (Grüner Sylvaner), Traminer (Gewürztraminer, Roter Traminer, Gelber Traminer), Weißer Burgunder (Weißburgunder, Pinot Blanc, Klevner), Weißer Riesling (Riesling, Rheinriesling), Welschriesling, Zierfandler (Spätrot);</w:t>
      </w:r>
    </w:p>
    <w:p w14:paraId="0B236ACA" w14:textId="77777777" w:rsidR="00D602B4" w:rsidRPr="003533CE" w:rsidRDefault="00D602B4" w:rsidP="00D602B4">
      <w:pPr>
        <w:rPr>
          <w:rFonts w:asciiTheme="minorHAnsi" w:hAnsiTheme="minorHAnsi" w:cs="Tahoma"/>
        </w:rPr>
      </w:pPr>
      <w:r w:rsidRPr="003533CE">
        <w:rPr>
          <w:rFonts w:asciiTheme="minorHAnsi" w:hAnsiTheme="minorHAnsi"/>
        </w:rPr>
        <w:t>2. Red vine varieties:</w:t>
      </w:r>
    </w:p>
    <w:p w14:paraId="68C47EFA" w14:textId="77777777" w:rsidR="00D602B4" w:rsidRPr="003533CE" w:rsidRDefault="00D602B4" w:rsidP="00D602B4">
      <w:pPr>
        <w:rPr>
          <w:rFonts w:asciiTheme="minorHAnsi" w:hAnsiTheme="minorHAnsi" w:cs="Tahoma"/>
        </w:rPr>
      </w:pPr>
      <w:r w:rsidRPr="003533CE">
        <w:rPr>
          <w:rFonts w:asciiTheme="minorHAnsi" w:hAnsiTheme="minorHAnsi"/>
        </w:rPr>
        <w:t>Blauburger, Blauer Burgunder (Blauer Spätburgunder, Blauburgunder, Pinot Noir), Blauer Portugieser, Blauer Wildbacher, Blaufränkisch, Cabernet Franc, Cabernet Sauvignon, Merlot, Rathay, Roesler, St. Laurent, Syrah (Shiraz), Zweigelt (Blauer Zweigelt, Rotburger).</w:t>
      </w:r>
    </w:p>
    <w:p w14:paraId="5548347B" w14:textId="77777777" w:rsidR="00D602B4" w:rsidRPr="003533CE" w:rsidRDefault="00D602B4" w:rsidP="00C2605B">
      <w:pPr>
        <w:rPr>
          <w:rFonts w:ascii="Calibri" w:eastAsiaTheme="minorHAnsi" w:hAnsi="Calibri" w:cs="Calibri"/>
        </w:rPr>
      </w:pPr>
    </w:p>
    <w:p w14:paraId="4E122F98" w14:textId="77777777" w:rsidR="00D602B4" w:rsidRPr="003533CE" w:rsidRDefault="00C2605B" w:rsidP="00C2605B">
      <w:pPr>
        <w:rPr>
          <w:rFonts w:ascii="Calibri" w:eastAsiaTheme="minorHAnsi" w:hAnsi="Calibri" w:cs="Calibri"/>
        </w:rPr>
      </w:pPr>
      <w:r w:rsidRPr="003533CE">
        <w:rPr>
          <w:rFonts w:ascii="Calibri" w:eastAsiaTheme="minorHAnsi" w:hAnsi="Calibri"/>
        </w:rPr>
        <w:t xml:space="preserve">The distillate is produced in traditional distillation plants with copper or steel stills. The distinctive taste of the wines used is to a very large extent preserved during the particularly gentle distillation process. </w:t>
      </w:r>
    </w:p>
    <w:p w14:paraId="2AB8BD0D" w14:textId="77777777" w:rsidR="001148F0" w:rsidRPr="003533CE" w:rsidRDefault="00FF7EE3" w:rsidP="00C2605B">
      <w:pPr>
        <w:rPr>
          <w:rFonts w:ascii="Calibri" w:eastAsiaTheme="minorHAnsi" w:hAnsi="Calibri" w:cs="Calibri"/>
        </w:rPr>
      </w:pPr>
      <w:r w:rsidRPr="003533CE">
        <w:rPr>
          <w:rFonts w:ascii="Calibri" w:eastAsiaTheme="minorHAnsi" w:hAnsi="Calibri"/>
        </w:rPr>
        <w:t>Continuous distillation processes are not used.</w:t>
      </w:r>
    </w:p>
    <w:p w14:paraId="0C39659B" w14:textId="77777777" w:rsidR="00D602B4" w:rsidRPr="003533CE" w:rsidRDefault="00D602B4" w:rsidP="00D602B4">
      <w:pPr>
        <w:rPr>
          <w:rFonts w:asciiTheme="minorHAnsi" w:eastAsiaTheme="minorHAnsi" w:hAnsiTheme="minorHAnsi" w:cs="Calibri"/>
        </w:rPr>
      </w:pPr>
      <w:r w:rsidRPr="003533CE">
        <w:rPr>
          <w:rFonts w:asciiTheme="minorHAnsi" w:eastAsiaTheme="minorHAnsi" w:hAnsiTheme="minorHAnsi"/>
        </w:rPr>
        <w:t>The distillate is matured in typical Wachau oak barrels which generally have a capacity of considerably less than 1 000 litres.</w:t>
      </w:r>
    </w:p>
    <w:p w14:paraId="10FBA289" w14:textId="77777777" w:rsidR="00D602B4" w:rsidRPr="003533CE" w:rsidRDefault="00D602B4" w:rsidP="00D602B4">
      <w:pPr>
        <w:rPr>
          <w:rFonts w:asciiTheme="minorHAnsi" w:eastAsiaTheme="minorHAnsi" w:hAnsiTheme="minorHAnsi" w:cs="Calibri"/>
        </w:rPr>
      </w:pPr>
      <w:r w:rsidRPr="003533CE">
        <w:rPr>
          <w:rFonts w:asciiTheme="minorHAnsi" w:eastAsiaTheme="minorHAnsi" w:hAnsiTheme="minorHAnsi"/>
        </w:rPr>
        <w:t>It is matured for at least three years.</w:t>
      </w:r>
    </w:p>
    <w:p w14:paraId="77967279" w14:textId="77777777" w:rsidR="00622D9E" w:rsidRPr="003533CE" w:rsidRDefault="00622D9E" w:rsidP="00D602B4">
      <w:pPr>
        <w:rPr>
          <w:rFonts w:asciiTheme="minorHAnsi" w:eastAsiaTheme="minorHAnsi" w:hAnsiTheme="minorHAnsi" w:cs="Calibri"/>
        </w:rPr>
      </w:pPr>
    </w:p>
    <w:p w14:paraId="2097103A" w14:textId="77777777" w:rsidR="00A67382" w:rsidRPr="003533CE" w:rsidRDefault="00A67382" w:rsidP="00166A39">
      <w:pPr>
        <w:rPr>
          <w:rFonts w:asciiTheme="minorHAnsi" w:hAnsiTheme="minorHAnsi" w:cs="EUAlbertina"/>
          <w:b/>
          <w:bCs/>
          <w:color w:val="000000"/>
        </w:rPr>
      </w:pPr>
      <w:r w:rsidRPr="003533CE">
        <w:rPr>
          <w:rFonts w:asciiTheme="minorHAnsi" w:hAnsiTheme="minorHAnsi"/>
          <w:b/>
          <w:color w:val="000000"/>
        </w:rPr>
        <w:t>Link with the geographical area:</w:t>
      </w:r>
    </w:p>
    <w:p w14:paraId="5E564C39" w14:textId="77777777" w:rsidR="00A25477" w:rsidRPr="003533CE" w:rsidRDefault="00A25477" w:rsidP="00A25477">
      <w:pPr>
        <w:pStyle w:val="ListParagraph"/>
        <w:numPr>
          <w:ilvl w:val="0"/>
          <w:numId w:val="3"/>
        </w:numPr>
        <w:autoSpaceDE w:val="0"/>
        <w:autoSpaceDN w:val="0"/>
        <w:adjustRightInd w:val="0"/>
        <w:spacing w:before="0" w:after="60"/>
        <w:ind w:left="391" w:hanging="266"/>
        <w:contextualSpacing w:val="0"/>
        <w:jc w:val="left"/>
        <w:rPr>
          <w:rFonts w:asciiTheme="minorHAnsi" w:hAnsiTheme="minorHAnsi" w:cs="Calibri"/>
          <w:i/>
        </w:rPr>
      </w:pPr>
      <w:r w:rsidRPr="003533CE">
        <w:rPr>
          <w:rFonts w:ascii="Calibri" w:hAnsi="Calibri"/>
          <w:i/>
          <w:color w:val="000000"/>
        </w:rPr>
        <w:lastRenderedPageBreak/>
        <w:t>Details of the geographical area or origin relevant to the link</w:t>
      </w:r>
    </w:p>
    <w:p w14:paraId="2FB707AA" w14:textId="77777777" w:rsidR="007F22AE" w:rsidRPr="003533CE" w:rsidRDefault="009F3CEB" w:rsidP="007F22AE">
      <w:pPr>
        <w:rPr>
          <w:rFonts w:asciiTheme="minorHAnsi" w:hAnsiTheme="minorHAnsi" w:cs="Tahoma"/>
        </w:rPr>
      </w:pPr>
      <w:r w:rsidRPr="003533CE">
        <w:rPr>
          <w:rFonts w:asciiTheme="minorHAnsi" w:hAnsiTheme="minorHAnsi"/>
        </w:rPr>
        <w:t>Upon Austria's accession to the EU on 29 August 1994 (Act of Accession (94/C 241 /08), OJ C 241, 29.8.1994, p. 21), ‘Wachauer Weinbrand’ was listed in Annex II to Regulation (EEC) No 1576/89 as a geographical designation pursuant to Article 5(3) of that Regulation. Its listing was preceded by a long tradition of Weinbrand production in the Wachau - now a region of origin - which gave the product a reputation that extends far beyond the borders of Austria and is inextricably linked with the region.</w:t>
      </w:r>
    </w:p>
    <w:p w14:paraId="1BADE03F" w14:textId="77777777" w:rsidR="00EF14DD" w:rsidRPr="003533CE" w:rsidRDefault="00EF14DD" w:rsidP="007F22AE">
      <w:pPr>
        <w:rPr>
          <w:rFonts w:asciiTheme="minorHAnsi" w:hAnsiTheme="minorHAnsi" w:cs="Tahoma"/>
        </w:rPr>
      </w:pPr>
    </w:p>
    <w:p w14:paraId="7880A268" w14:textId="77777777" w:rsidR="007F22AE" w:rsidRPr="003533CE" w:rsidRDefault="00FF7EE3" w:rsidP="007F22AE">
      <w:pPr>
        <w:rPr>
          <w:rFonts w:asciiTheme="minorHAnsi" w:hAnsiTheme="minorHAnsi" w:cs="Tahoma"/>
        </w:rPr>
      </w:pPr>
      <w:r w:rsidRPr="003533CE">
        <w:rPr>
          <w:rFonts w:asciiTheme="minorHAnsi" w:hAnsiTheme="minorHAnsi"/>
        </w:rPr>
        <w:t xml:space="preserve">Owing to its location, the Wachau possesses exceptional qualities for wine-growing. This is described in the details about the geographical area for protected designation of origin PDO-AT-0205: </w:t>
      </w:r>
    </w:p>
    <w:p w14:paraId="79E36198" w14:textId="77777777" w:rsidR="007F22AE" w:rsidRPr="003533CE" w:rsidRDefault="0085398F" w:rsidP="00A25477">
      <w:pPr>
        <w:ind w:left="567"/>
        <w:rPr>
          <w:rFonts w:asciiTheme="minorHAnsi" w:hAnsiTheme="minorHAnsi" w:cs="Tahoma"/>
        </w:rPr>
      </w:pPr>
      <w:r w:rsidRPr="003533CE">
        <w:rPr>
          <w:rFonts w:asciiTheme="minorHAnsi" w:hAnsiTheme="minorHAnsi"/>
        </w:rPr>
        <w:t>The Danube has carved its meandering course through the Gföhler Gneis rock soil over millions of years, resulting in weathered bedrock soils. Drift sand was deposited in the wind-sheltered mountains in the postglacial period, allowing loess layers to form in many places on the eastern sides of the rock slopes. This geological terrain and the stone terraces which were laid in the Middle Ages allow for more efficient cultivation of the steep slopes along the Danube and are also the key features of the Wachau landscape.</w:t>
      </w:r>
    </w:p>
    <w:p w14:paraId="23240120" w14:textId="77777777" w:rsidR="007F22AE" w:rsidRPr="003533CE" w:rsidRDefault="007F22AE" w:rsidP="00A25477">
      <w:pPr>
        <w:ind w:left="567"/>
        <w:rPr>
          <w:rFonts w:asciiTheme="minorHAnsi" w:hAnsiTheme="minorHAnsi" w:cs="Tahoma"/>
        </w:rPr>
      </w:pPr>
      <w:r w:rsidRPr="003533CE">
        <w:rPr>
          <w:rFonts w:asciiTheme="minorHAnsi" w:hAnsiTheme="minorHAnsi"/>
        </w:rPr>
        <w:t>The climate is also an exciting one, as two powerful influences meet here – not head on, but in a closely intertwined manner: the western/Atlantic and the eastern/Pannonian climate. Microclimates develop depending on the slope, exposure and terrain, and as a result of the heat-storing walls and boulders of the terraces. The hot, dry summers and the harsh winters are tempered by the broad expanse of the Danube. The cool downwinds from the Waldviertel in the north cause major variations between day- and night-time temperature, especially in the months leading up to the harvest.</w:t>
      </w:r>
    </w:p>
    <w:p w14:paraId="374BFAAC" w14:textId="77777777" w:rsidR="0085398F" w:rsidRPr="003533CE" w:rsidRDefault="00B61CB8" w:rsidP="0085398F">
      <w:pPr>
        <w:rPr>
          <w:rFonts w:asciiTheme="minorHAnsi" w:hAnsiTheme="minorHAnsi" w:cs="Tahoma"/>
        </w:rPr>
      </w:pPr>
      <w:r w:rsidRPr="003533CE">
        <w:rPr>
          <w:rFonts w:asciiTheme="minorHAnsi" w:hAnsiTheme="minorHAnsi"/>
        </w:rPr>
        <w:t>The quality of ‘Wachauer Weinbrand’ is determined both by the wines used as the main raw material which are shaped by the specific features of this geographical area and by the know-how associated with a centuries-old tradition of wine-growing and distillation.</w:t>
      </w:r>
    </w:p>
    <w:p w14:paraId="78DC6E59" w14:textId="77777777" w:rsidR="00F56A81" w:rsidRPr="003533CE" w:rsidRDefault="00F56A81" w:rsidP="00F56A81">
      <w:pPr>
        <w:rPr>
          <w:rFonts w:asciiTheme="minorHAnsi" w:hAnsiTheme="minorHAnsi" w:cs="Tahoma"/>
        </w:rPr>
      </w:pPr>
      <w:r w:rsidRPr="003533CE">
        <w:rPr>
          <w:rFonts w:asciiTheme="minorHAnsi" w:hAnsiTheme="minorHAnsi"/>
        </w:rPr>
        <w:t>Last but not least, the reputation of ‘Wachauer Weinbrand’ is also based on a close link between tourism in the Wachau and the products yielded by the region's wine sector.</w:t>
      </w:r>
    </w:p>
    <w:p w14:paraId="2B48734E" w14:textId="77777777" w:rsidR="00F07786" w:rsidRPr="003533CE" w:rsidRDefault="00F07786" w:rsidP="00F07786">
      <w:pPr>
        <w:numPr>
          <w:ilvl w:val="0"/>
          <w:numId w:val="3"/>
        </w:numPr>
        <w:autoSpaceDE w:val="0"/>
        <w:autoSpaceDN w:val="0"/>
        <w:adjustRightInd w:val="0"/>
        <w:spacing w:before="0" w:after="60" w:line="276" w:lineRule="auto"/>
        <w:ind w:left="391" w:hanging="266"/>
        <w:jc w:val="left"/>
        <w:rPr>
          <w:rFonts w:ascii="Calibri" w:hAnsi="Calibri" w:cs="Tahoma"/>
          <w:i/>
          <w:color w:val="000000"/>
        </w:rPr>
      </w:pPr>
      <w:r w:rsidRPr="003533CE">
        <w:rPr>
          <w:rFonts w:ascii="Calibri" w:hAnsi="Calibri"/>
          <w:i/>
          <w:color w:val="000000"/>
        </w:rPr>
        <w:t>Specific characteristics of the spirit drink attributable to the geographical area</w:t>
      </w:r>
    </w:p>
    <w:p w14:paraId="157C52E7" w14:textId="49991D28" w:rsidR="00F07786" w:rsidRPr="003533CE" w:rsidRDefault="00F07786" w:rsidP="00F07786">
      <w:pPr>
        <w:rPr>
          <w:rFonts w:ascii="Calibri" w:hAnsi="Calibri" w:cs="Tahoma"/>
        </w:rPr>
      </w:pPr>
      <w:r w:rsidRPr="003533CE">
        <w:rPr>
          <w:rFonts w:ascii="Calibri" w:hAnsi="Calibri"/>
        </w:rPr>
        <w:t xml:space="preserve">The weathered bedrock soils that predominate on the terraces in the Wachau are ideal for the production of Wachau wines. The </w:t>
      </w:r>
      <w:r w:rsidRPr="003533CE">
        <w:rPr>
          <w:rFonts w:asciiTheme="minorHAnsi" w:eastAsiaTheme="minorHAnsi" w:hAnsiTheme="minorHAnsi"/>
        </w:rPr>
        <w:t>bedrock soils and loess soils, combined with the very pronounced micro-climates produced by heat-retaining walls and rocks, and hot, dry summers and severe winters, give the wines a distinctive varietal aroma profile. This is further enhanced by major differences between day- and night-time temperatures, especially in the months leading up to the harvest.</w:t>
      </w:r>
    </w:p>
    <w:p w14:paraId="72F13601" w14:textId="3B09F495" w:rsidR="001B3607" w:rsidRPr="003533CE" w:rsidRDefault="00F07786" w:rsidP="00324727">
      <w:pPr>
        <w:rPr>
          <w:rFonts w:asciiTheme="minorHAnsi" w:hAnsiTheme="minorHAnsi" w:cs="Tahoma"/>
        </w:rPr>
      </w:pPr>
      <w:r w:rsidRPr="003533CE">
        <w:rPr>
          <w:rFonts w:asciiTheme="minorHAnsi" w:eastAsiaTheme="minorHAnsi" w:hAnsiTheme="minorHAnsi"/>
        </w:rPr>
        <w:t xml:space="preserve">It is because of these particular characteristics that ‘Wachauer Weinbrand’ made from these wines acquires its typically multi-layered and high-extract style and intense fruity aroma. </w:t>
      </w:r>
    </w:p>
    <w:p w14:paraId="34FCD774" w14:textId="77777777" w:rsidR="001C3AF1" w:rsidRPr="003533CE" w:rsidRDefault="001C3AF1" w:rsidP="00324727">
      <w:pPr>
        <w:rPr>
          <w:rFonts w:asciiTheme="minorHAnsi" w:hAnsiTheme="minorHAnsi"/>
          <w:b/>
          <w:bCs/>
        </w:rPr>
      </w:pPr>
    </w:p>
    <w:p w14:paraId="2AB1B189" w14:textId="77777777" w:rsidR="00A67382" w:rsidRPr="003533CE" w:rsidRDefault="00A67382" w:rsidP="00166A39">
      <w:pPr>
        <w:rPr>
          <w:rFonts w:asciiTheme="minorHAnsi" w:hAnsiTheme="minorHAnsi"/>
          <w:b/>
          <w:bCs/>
        </w:rPr>
      </w:pPr>
      <w:r w:rsidRPr="003533CE">
        <w:rPr>
          <w:rFonts w:asciiTheme="minorHAnsi" w:hAnsiTheme="minorHAnsi"/>
          <w:b/>
        </w:rPr>
        <w:t>European Union or national/regional provisions:</w:t>
      </w:r>
    </w:p>
    <w:p w14:paraId="2CDBBF5D" w14:textId="46EF5526" w:rsidR="00324727" w:rsidRPr="003533CE" w:rsidRDefault="008B5CCE" w:rsidP="009E1F97">
      <w:pPr>
        <w:rPr>
          <w:rFonts w:asciiTheme="minorHAnsi" w:hAnsiTheme="minorHAnsi" w:cs="Tahoma"/>
        </w:rPr>
      </w:pPr>
      <w:r w:rsidRPr="003533CE">
        <w:rPr>
          <w:rFonts w:asciiTheme="minorHAnsi" w:hAnsiTheme="minorHAnsi"/>
        </w:rPr>
        <w:lastRenderedPageBreak/>
        <w:t>Since the Agreement on the European Economic Area (EEA Agreement, BGBl. No 909/1993) was signed, ‘Wachauer Weinbrand’  has been one of the Austrian spirit drinks that are recognised by the signatories and hence an established geographical indication listed in Annex III to Regulation (EC) No 110/2008 of the European Parliament and of the Council of 15 January 2008 on the definition, description, presentation, labelling and the protection of geographical indications of spirit drinks and repealing Council Regulation (EEC) No 1576/89, as provided for in Article 20 of that Regulation.</w:t>
      </w:r>
    </w:p>
    <w:p w14:paraId="054930D3" w14:textId="59E13896" w:rsidR="00721E34" w:rsidRPr="003533CE" w:rsidRDefault="00F310D9" w:rsidP="009E1F97">
      <w:pPr>
        <w:rPr>
          <w:rFonts w:asciiTheme="minorHAnsi" w:hAnsiTheme="minorHAnsi" w:cs="Tahoma"/>
        </w:rPr>
      </w:pPr>
      <w:r w:rsidRPr="003533CE">
        <w:rPr>
          <w:rFonts w:ascii="Calibri" w:hAnsi="Calibri"/>
        </w:rPr>
        <w:t>At national level, the specification for ‘Wachauer Weinbrand’ has been published in Chapter B 23 - Spirits of the current edition of the Austrian Food Code [</w:t>
      </w:r>
      <w:r w:rsidRPr="003533CE">
        <w:rPr>
          <w:rFonts w:ascii="Calibri" w:hAnsi="Calibri"/>
          <w:i/>
        </w:rPr>
        <w:t>Österreichisches Lebensmittelbuch</w:t>
      </w:r>
      <w:r w:rsidRPr="003533CE">
        <w:rPr>
          <w:rFonts w:ascii="Calibri" w:hAnsi="Calibri"/>
        </w:rPr>
        <w:t>] and may be downloaded from the website www.lebensmittelbuch.at.</w:t>
      </w:r>
    </w:p>
    <w:p w14:paraId="63E2C08D" w14:textId="77777777" w:rsidR="00A67382" w:rsidRPr="003533CE" w:rsidRDefault="00A67382" w:rsidP="00166A39">
      <w:pPr>
        <w:rPr>
          <w:rFonts w:asciiTheme="minorHAnsi" w:hAnsiTheme="minorHAnsi"/>
          <w:b/>
          <w:bCs/>
        </w:rPr>
      </w:pPr>
    </w:p>
    <w:p w14:paraId="0D01E061" w14:textId="77777777" w:rsidR="00A25477" w:rsidRPr="003533CE" w:rsidRDefault="00A25477" w:rsidP="00A25477">
      <w:pPr>
        <w:rPr>
          <w:rFonts w:ascii="Calibri" w:hAnsi="Calibri" w:cs="EUAlbertina"/>
          <w:b/>
          <w:bCs/>
          <w:color w:val="000000"/>
        </w:rPr>
      </w:pPr>
      <w:r w:rsidRPr="003533CE">
        <w:rPr>
          <w:rFonts w:ascii="Calibri" w:hAnsi="Calibri"/>
          <w:b/>
          <w:color w:val="000000"/>
        </w:rPr>
        <w:t xml:space="preserve">Applicant </w:t>
      </w:r>
    </w:p>
    <w:p w14:paraId="37307CB9" w14:textId="77777777" w:rsidR="00622D9E" w:rsidRPr="003533CE" w:rsidRDefault="00622D9E" w:rsidP="00A25477">
      <w:pPr>
        <w:rPr>
          <w:rFonts w:ascii="Calibri" w:hAnsi="Calibri" w:cs="Tahoma"/>
        </w:rPr>
      </w:pPr>
      <w:r w:rsidRPr="003533CE">
        <w:rPr>
          <w:rFonts w:ascii="Calibri" w:hAnsi="Calibri"/>
        </w:rPr>
        <w:t>Member State: Austria</w:t>
      </w:r>
    </w:p>
    <w:p w14:paraId="0D9154FA" w14:textId="77777777" w:rsidR="00E50A66" w:rsidRPr="003533CE" w:rsidRDefault="00E50A66" w:rsidP="00A25477">
      <w:pPr>
        <w:rPr>
          <w:rFonts w:ascii="Calibri" w:hAnsi="Calibri" w:cs="Tahoma"/>
        </w:rPr>
      </w:pPr>
    </w:p>
    <w:p w14:paraId="408F7C83" w14:textId="77777777" w:rsidR="00622D9E" w:rsidRPr="003533CE" w:rsidRDefault="00A25477" w:rsidP="00A25477">
      <w:pPr>
        <w:rPr>
          <w:rFonts w:ascii="Calibri" w:hAnsi="Calibri" w:cs="Tahoma"/>
        </w:rPr>
      </w:pPr>
      <w:r w:rsidRPr="003533CE">
        <w:rPr>
          <w:rFonts w:ascii="Calibri" w:hAnsi="Calibri"/>
        </w:rPr>
        <w:t>Bundesministerium für Gesundheit [Federal Ministry of Health]</w:t>
      </w:r>
    </w:p>
    <w:p w14:paraId="7B79D74F" w14:textId="77777777" w:rsidR="00622D9E" w:rsidRPr="003533CE" w:rsidRDefault="00A25477" w:rsidP="00A25477">
      <w:pPr>
        <w:rPr>
          <w:rFonts w:ascii="Calibri" w:hAnsi="Calibri" w:cs="Tahoma"/>
        </w:rPr>
      </w:pPr>
      <w:r w:rsidRPr="003533CE">
        <w:rPr>
          <w:rFonts w:ascii="Calibri" w:hAnsi="Calibri"/>
        </w:rPr>
        <w:t>Radetzkystraße 2</w:t>
      </w:r>
    </w:p>
    <w:p w14:paraId="1C09A615" w14:textId="71A8E4BC" w:rsidR="00A25477" w:rsidRPr="003533CE" w:rsidRDefault="00A25477" w:rsidP="00A25477">
      <w:pPr>
        <w:rPr>
          <w:rFonts w:ascii="Calibri" w:hAnsi="Calibri" w:cs="Tahoma"/>
        </w:rPr>
      </w:pPr>
      <w:r w:rsidRPr="003533CE">
        <w:rPr>
          <w:rFonts w:ascii="Calibri" w:hAnsi="Calibri"/>
        </w:rPr>
        <w:t>1030 Vienna</w:t>
      </w:r>
    </w:p>
    <w:p w14:paraId="186177F8" w14:textId="77777777" w:rsidR="00622D9E" w:rsidRPr="003533CE" w:rsidRDefault="00622D9E" w:rsidP="00622D9E">
      <w:pPr>
        <w:autoSpaceDE w:val="0"/>
        <w:autoSpaceDN w:val="0"/>
        <w:adjustRightInd w:val="0"/>
        <w:spacing w:before="0" w:after="0"/>
        <w:jc w:val="left"/>
        <w:rPr>
          <w:rFonts w:ascii="Calibri" w:eastAsiaTheme="minorHAnsi" w:hAnsi="Calibri" w:cs="Calibri"/>
          <w:color w:val="000000"/>
        </w:rPr>
      </w:pPr>
      <w:r w:rsidRPr="003533CE">
        <w:rPr>
          <w:rFonts w:ascii="Calibri" w:eastAsiaTheme="minorHAnsi" w:hAnsi="Calibri"/>
          <w:color w:val="000000"/>
        </w:rPr>
        <w:t>Telephone: 0043 (0)1 71100-0</w:t>
      </w:r>
    </w:p>
    <w:p w14:paraId="775BF721" w14:textId="767CE0DD" w:rsidR="00622D9E" w:rsidRPr="003533CE" w:rsidRDefault="00622D9E" w:rsidP="00622D9E">
      <w:pPr>
        <w:rPr>
          <w:rFonts w:ascii="Calibri" w:hAnsi="Calibri"/>
          <w:b/>
          <w:bCs/>
        </w:rPr>
      </w:pPr>
      <w:r w:rsidRPr="003533CE">
        <w:rPr>
          <w:rFonts w:ascii="Calibri" w:eastAsiaTheme="minorHAnsi" w:hAnsi="Calibri"/>
          <w:color w:val="000000"/>
        </w:rPr>
        <w:t xml:space="preserve">E-mail: </w:t>
      </w:r>
      <w:hyperlink r:id="rId9">
        <w:r w:rsidRPr="003533CE">
          <w:rPr>
            <w:rStyle w:val="Hyperlink"/>
            <w:rFonts w:ascii="Calibri" w:eastAsiaTheme="minorHAnsi" w:hAnsi="Calibri"/>
          </w:rPr>
          <w:t>IIB13@bmg.gv.at</w:t>
        </w:r>
      </w:hyperlink>
    </w:p>
    <w:p w14:paraId="393539FD" w14:textId="77777777" w:rsidR="00A67382" w:rsidRPr="003533CE" w:rsidRDefault="00A67382" w:rsidP="00166A39">
      <w:pPr>
        <w:rPr>
          <w:rFonts w:asciiTheme="minorHAnsi" w:hAnsiTheme="minorHAnsi"/>
          <w:b/>
          <w:bCs/>
        </w:rPr>
      </w:pPr>
    </w:p>
    <w:p w14:paraId="49FE67E4" w14:textId="77777777" w:rsidR="00A67382" w:rsidRPr="003533CE" w:rsidRDefault="00A67382" w:rsidP="00166A39">
      <w:pPr>
        <w:rPr>
          <w:rFonts w:asciiTheme="minorHAnsi" w:hAnsiTheme="minorHAnsi"/>
          <w:b/>
          <w:bCs/>
        </w:rPr>
      </w:pPr>
      <w:r w:rsidRPr="003533CE">
        <w:rPr>
          <w:rFonts w:asciiTheme="minorHAnsi" w:hAnsiTheme="minorHAnsi"/>
          <w:b/>
        </w:rPr>
        <w:t>Supplement to the geographical indication</w:t>
      </w:r>
    </w:p>
    <w:p w14:paraId="3FE46C85" w14:textId="77777777" w:rsidR="009E1F97" w:rsidRPr="003533CE" w:rsidRDefault="0004201C" w:rsidP="00166A39">
      <w:pPr>
        <w:rPr>
          <w:rFonts w:asciiTheme="minorHAnsi" w:hAnsiTheme="minorHAnsi"/>
          <w:b/>
          <w:bCs/>
        </w:rPr>
      </w:pPr>
      <w:r w:rsidRPr="003533CE">
        <w:rPr>
          <w:rFonts w:ascii="Calibri" w:eastAsiaTheme="minorHAnsi" w:hAnsi="Calibri"/>
        </w:rPr>
        <w:t>None</w:t>
      </w:r>
    </w:p>
    <w:p w14:paraId="39240A3A" w14:textId="77777777" w:rsidR="00A25477" w:rsidRPr="003533CE" w:rsidRDefault="00A25477" w:rsidP="00A25477">
      <w:pPr>
        <w:rPr>
          <w:rFonts w:ascii="Calibri" w:hAnsi="Calibri"/>
          <w:b/>
          <w:bCs/>
        </w:rPr>
      </w:pPr>
      <w:r w:rsidRPr="003533CE">
        <w:rPr>
          <w:rFonts w:ascii="Calibri" w:hAnsi="Calibri"/>
          <w:b/>
        </w:rPr>
        <w:t>Specific labelling rules</w:t>
      </w:r>
    </w:p>
    <w:p w14:paraId="36A919BB" w14:textId="77777777" w:rsidR="009D32F0" w:rsidRPr="003533CE" w:rsidRDefault="009D32F0" w:rsidP="009D32F0">
      <w:pPr>
        <w:rPr>
          <w:rFonts w:ascii="Calibri" w:eastAsiaTheme="minorHAnsi" w:hAnsi="Calibri" w:cs="Calibri"/>
        </w:rPr>
      </w:pPr>
      <w:r w:rsidRPr="003533CE">
        <w:rPr>
          <w:rFonts w:ascii="Calibri" w:eastAsiaTheme="minorHAnsi" w:hAnsi="Calibri"/>
        </w:rPr>
        <w:t>In the case of single-variety ‘Wachauer Weinbrand’, in which at least 85 % of the wine used for distillation comes from one grape variety, it is customary for commercial purposes to add the name of the grape variety, e.g. ‘Wachauer Weinbrand - Grüner Veltliner’ for a more detailed characterisation of the product.</w:t>
      </w:r>
    </w:p>
    <w:p w14:paraId="104CD96D" w14:textId="77777777" w:rsidR="000158EA" w:rsidRPr="003533CE" w:rsidRDefault="000158EA" w:rsidP="009E620F">
      <w:pPr>
        <w:rPr>
          <w:rFonts w:ascii="Calibri" w:hAnsi="Calibri" w:cs="Calibri"/>
        </w:rPr>
      </w:pPr>
      <w:r w:rsidRPr="003533CE">
        <w:rPr>
          <w:rFonts w:ascii="Calibri" w:hAnsi="Calibri"/>
        </w:rPr>
        <w:t xml:space="preserve">The name of the distillery which made the product must be indicated. </w:t>
      </w:r>
    </w:p>
    <w:p w14:paraId="364BF03E" w14:textId="657D61C3" w:rsidR="00A25477" w:rsidRPr="003533CE" w:rsidRDefault="009E620F" w:rsidP="00A56488">
      <w:pPr>
        <w:rPr>
          <w:rFonts w:ascii="Calibri" w:eastAsiaTheme="minorHAnsi" w:hAnsi="Calibri" w:cs="Calibri"/>
        </w:rPr>
      </w:pPr>
      <w:r w:rsidRPr="003533CE">
        <w:rPr>
          <w:rFonts w:ascii="Calibri" w:eastAsiaTheme="minorHAnsi" w:hAnsi="Calibri"/>
        </w:rPr>
        <w:t>The EU symbol for registered geographical indications established in Annex V to Regulation (EC) No 1898/2006</w:t>
      </w:r>
      <w:r w:rsidRPr="003533CE">
        <w:rPr>
          <w:rStyle w:val="FootnoteReference"/>
          <w:rFonts w:ascii="Calibri" w:eastAsiaTheme="minorHAnsi" w:hAnsi="Calibri"/>
        </w:rPr>
        <w:footnoteReference w:id="2"/>
      </w:r>
      <w:r w:rsidRPr="003533CE">
        <w:rPr>
          <w:rFonts w:ascii="Calibri" w:eastAsiaTheme="minorHAnsi" w:hAnsi="Calibri"/>
        </w:rPr>
        <w:t xml:space="preserve"> may be used as provided for in Article 22 of Commission Implementing Regulation (EU) No 716/2013</w:t>
      </w:r>
      <w:r w:rsidRPr="003533CE">
        <w:rPr>
          <w:rStyle w:val="FootnoteReference"/>
          <w:rFonts w:ascii="Calibri" w:eastAsiaTheme="minorHAnsi" w:hAnsi="Calibri"/>
        </w:rPr>
        <w:footnoteReference w:id="3"/>
      </w:r>
      <w:r w:rsidRPr="003533CE">
        <w:rPr>
          <w:rFonts w:ascii="Calibri" w:eastAsiaTheme="minorHAnsi" w:hAnsi="Calibri"/>
        </w:rPr>
        <w:t>.</w:t>
      </w:r>
    </w:p>
    <w:sectPr w:rsidR="00A25477" w:rsidRPr="003533CE" w:rsidSect="009917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34D0" w14:textId="77777777" w:rsidR="005B13AB" w:rsidRDefault="005B13AB" w:rsidP="00940B43">
      <w:pPr>
        <w:spacing w:before="0" w:after="0"/>
      </w:pPr>
      <w:r>
        <w:separator/>
      </w:r>
    </w:p>
  </w:endnote>
  <w:endnote w:type="continuationSeparator" w:id="0">
    <w:p w14:paraId="60132A7C" w14:textId="77777777" w:rsidR="005B13AB" w:rsidRDefault="005B13AB" w:rsidP="00940B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EUAlbertina">
    <w:altName w:val="Times New Roman"/>
    <w:charset w:val="CC"/>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29812" w14:textId="77777777" w:rsidR="005B13AB" w:rsidRDefault="005B13AB" w:rsidP="00940B43">
      <w:pPr>
        <w:spacing w:before="0" w:after="0"/>
      </w:pPr>
      <w:r>
        <w:separator/>
      </w:r>
    </w:p>
  </w:footnote>
  <w:footnote w:type="continuationSeparator" w:id="0">
    <w:p w14:paraId="60F17D52" w14:textId="77777777" w:rsidR="005B13AB" w:rsidRDefault="005B13AB" w:rsidP="00940B43">
      <w:pPr>
        <w:spacing w:before="0" w:after="0"/>
      </w:pPr>
      <w:r>
        <w:continuationSeparator/>
      </w:r>
    </w:p>
  </w:footnote>
  <w:footnote w:id="1">
    <w:p w14:paraId="0E03EC76" w14:textId="77777777" w:rsidR="005B13AB" w:rsidRPr="00B544BA" w:rsidRDefault="005B13AB">
      <w:pPr>
        <w:pStyle w:val="FootnoteText"/>
        <w:rPr>
          <w:rFonts w:ascii="Calibri" w:eastAsiaTheme="minorHAnsi" w:hAnsi="Calibri" w:cs="Calibri"/>
          <w:lang w:val="de-DE" w:eastAsia="de-DE"/>
        </w:rPr>
      </w:pPr>
      <w:r>
        <w:rPr>
          <w:rStyle w:val="FootnoteReference"/>
        </w:rPr>
        <w:footnoteRef/>
      </w:r>
      <w:r>
        <w:t xml:space="preserve"> </w:t>
      </w:r>
      <w:r>
        <w:rPr>
          <w:rFonts w:ascii="Calibri" w:eastAsiaTheme="minorHAnsi" w:hAnsi="Calibri"/>
        </w:rPr>
        <w:t>Point 12 of Annex I to Commission Regulation (EC) No 110/2008</w:t>
      </w:r>
    </w:p>
  </w:footnote>
  <w:footnote w:id="2">
    <w:p w14:paraId="47933486" w14:textId="77777777" w:rsidR="005B13AB" w:rsidRPr="009E620F" w:rsidRDefault="005B13AB" w:rsidP="00E71688">
      <w:pPr>
        <w:pStyle w:val="CM1"/>
        <w:spacing w:before="120" w:after="40"/>
        <w:rPr>
          <w:rFonts w:asciiTheme="minorHAnsi" w:hAnsiTheme="minorHAnsi"/>
          <w:sz w:val="20"/>
          <w:szCs w:val="20"/>
        </w:rPr>
      </w:pPr>
      <w:r>
        <w:rPr>
          <w:rStyle w:val="FootnoteReference"/>
          <w:rFonts w:asciiTheme="minorHAnsi" w:hAnsiTheme="minorHAnsi"/>
        </w:rPr>
        <w:footnoteRef/>
      </w:r>
      <w:r>
        <w:rPr>
          <w:rFonts w:asciiTheme="minorHAnsi" w:hAnsiTheme="minorHAnsi"/>
        </w:rPr>
        <w:t xml:space="preserve"> </w:t>
      </w:r>
      <w:r>
        <w:rPr>
          <w:rFonts w:asciiTheme="minorHAnsi" w:hAnsiTheme="minorHAnsi"/>
          <w:color w:val="000000"/>
          <w:sz w:val="20"/>
        </w:rPr>
        <w:t>OJ L 369, 23.12.2006, p. 1.</w:t>
      </w:r>
    </w:p>
  </w:footnote>
  <w:footnote w:id="3">
    <w:p w14:paraId="7552C15B" w14:textId="77777777" w:rsidR="005B13AB" w:rsidRPr="00A4024D" w:rsidRDefault="005B13AB">
      <w:pPr>
        <w:pStyle w:val="FootnoteText"/>
        <w:rPr>
          <w:lang w:val="de-DE"/>
        </w:rPr>
      </w:pPr>
      <w:r>
        <w:rPr>
          <w:rStyle w:val="FootnoteReference"/>
        </w:rPr>
        <w:footnoteRef/>
      </w:r>
      <w:r>
        <w:t xml:space="preserve"> </w:t>
      </w:r>
      <w:r>
        <w:rPr>
          <w:rFonts w:asciiTheme="minorHAnsi" w:hAnsiTheme="minorHAnsi"/>
          <w:color w:val="000000"/>
        </w:rPr>
        <w:t>OJ L 201, 26.7.2013,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0104"/>
    <w:multiLevelType w:val="hybridMultilevel"/>
    <w:tmpl w:val="8DF0B8C2"/>
    <w:lvl w:ilvl="0" w:tplc="8CDC6A0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781B01"/>
    <w:multiLevelType w:val="hybridMultilevel"/>
    <w:tmpl w:val="ABB613E6"/>
    <w:lvl w:ilvl="0" w:tplc="49B416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AC354D"/>
    <w:multiLevelType w:val="hybridMultilevel"/>
    <w:tmpl w:val="7D78FC0A"/>
    <w:lvl w:ilvl="0" w:tplc="5304237A">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66A39"/>
    <w:rsid w:val="00000A04"/>
    <w:rsid w:val="000158EA"/>
    <w:rsid w:val="00031780"/>
    <w:rsid w:val="0003406B"/>
    <w:rsid w:val="0004201C"/>
    <w:rsid w:val="00050372"/>
    <w:rsid w:val="00071E0D"/>
    <w:rsid w:val="000864FF"/>
    <w:rsid w:val="00087CCF"/>
    <w:rsid w:val="00091EFE"/>
    <w:rsid w:val="00095B70"/>
    <w:rsid w:val="00096AC6"/>
    <w:rsid w:val="000B32BB"/>
    <w:rsid w:val="000B61C4"/>
    <w:rsid w:val="000C7B52"/>
    <w:rsid w:val="000D251A"/>
    <w:rsid w:val="000E42A5"/>
    <w:rsid w:val="000E663C"/>
    <w:rsid w:val="000F40BD"/>
    <w:rsid w:val="000F734F"/>
    <w:rsid w:val="001148F0"/>
    <w:rsid w:val="0012203D"/>
    <w:rsid w:val="001453FF"/>
    <w:rsid w:val="001606DB"/>
    <w:rsid w:val="00162BDE"/>
    <w:rsid w:val="00166A39"/>
    <w:rsid w:val="0019278E"/>
    <w:rsid w:val="001B3607"/>
    <w:rsid w:val="001C3AF1"/>
    <w:rsid w:val="001C3CC0"/>
    <w:rsid w:val="001D7FBE"/>
    <w:rsid w:val="001E0AE8"/>
    <w:rsid w:val="001E2A69"/>
    <w:rsid w:val="001F4048"/>
    <w:rsid w:val="00225C72"/>
    <w:rsid w:val="0025210E"/>
    <w:rsid w:val="00257F39"/>
    <w:rsid w:val="0026146F"/>
    <w:rsid w:val="00262308"/>
    <w:rsid w:val="002674BA"/>
    <w:rsid w:val="00270924"/>
    <w:rsid w:val="002863B1"/>
    <w:rsid w:val="00286856"/>
    <w:rsid w:val="00286A3C"/>
    <w:rsid w:val="002B2B60"/>
    <w:rsid w:val="002B6084"/>
    <w:rsid w:val="002C3BF6"/>
    <w:rsid w:val="002D382F"/>
    <w:rsid w:val="002E69EB"/>
    <w:rsid w:val="002F0802"/>
    <w:rsid w:val="00316D5F"/>
    <w:rsid w:val="00324727"/>
    <w:rsid w:val="00324DEA"/>
    <w:rsid w:val="00337E26"/>
    <w:rsid w:val="003407AD"/>
    <w:rsid w:val="003408CC"/>
    <w:rsid w:val="003533CE"/>
    <w:rsid w:val="00370A33"/>
    <w:rsid w:val="00381171"/>
    <w:rsid w:val="003913F2"/>
    <w:rsid w:val="00394488"/>
    <w:rsid w:val="003A19A2"/>
    <w:rsid w:val="003A4847"/>
    <w:rsid w:val="003B583E"/>
    <w:rsid w:val="003F06E9"/>
    <w:rsid w:val="003F08F0"/>
    <w:rsid w:val="003F6DEE"/>
    <w:rsid w:val="003F7311"/>
    <w:rsid w:val="003F7677"/>
    <w:rsid w:val="004035DF"/>
    <w:rsid w:val="00413C13"/>
    <w:rsid w:val="00423DFA"/>
    <w:rsid w:val="004446BB"/>
    <w:rsid w:val="00452357"/>
    <w:rsid w:val="00493375"/>
    <w:rsid w:val="0049767A"/>
    <w:rsid w:val="004A3097"/>
    <w:rsid w:val="004B38D7"/>
    <w:rsid w:val="004C6BB2"/>
    <w:rsid w:val="004F0977"/>
    <w:rsid w:val="004F3803"/>
    <w:rsid w:val="005429B2"/>
    <w:rsid w:val="005506CD"/>
    <w:rsid w:val="005673E8"/>
    <w:rsid w:val="00570433"/>
    <w:rsid w:val="00590777"/>
    <w:rsid w:val="005A5DA8"/>
    <w:rsid w:val="005B13AB"/>
    <w:rsid w:val="005D3E42"/>
    <w:rsid w:val="005F0E76"/>
    <w:rsid w:val="005F7164"/>
    <w:rsid w:val="00602C4F"/>
    <w:rsid w:val="00603778"/>
    <w:rsid w:val="006141BB"/>
    <w:rsid w:val="00617899"/>
    <w:rsid w:val="00622D9E"/>
    <w:rsid w:val="00625DBD"/>
    <w:rsid w:val="00626576"/>
    <w:rsid w:val="00630A7D"/>
    <w:rsid w:val="00640169"/>
    <w:rsid w:val="00644A75"/>
    <w:rsid w:val="006470E2"/>
    <w:rsid w:val="00664E5B"/>
    <w:rsid w:val="00674193"/>
    <w:rsid w:val="006816E3"/>
    <w:rsid w:val="00691679"/>
    <w:rsid w:val="006A14B6"/>
    <w:rsid w:val="006B7921"/>
    <w:rsid w:val="006D08D2"/>
    <w:rsid w:val="006D741A"/>
    <w:rsid w:val="007167FF"/>
    <w:rsid w:val="00716A9E"/>
    <w:rsid w:val="00720888"/>
    <w:rsid w:val="00721E34"/>
    <w:rsid w:val="00731ADA"/>
    <w:rsid w:val="007449D6"/>
    <w:rsid w:val="007546BB"/>
    <w:rsid w:val="00755394"/>
    <w:rsid w:val="007555A6"/>
    <w:rsid w:val="00756368"/>
    <w:rsid w:val="0077381B"/>
    <w:rsid w:val="00774736"/>
    <w:rsid w:val="007814E8"/>
    <w:rsid w:val="007B1F86"/>
    <w:rsid w:val="007F22AE"/>
    <w:rsid w:val="008140C1"/>
    <w:rsid w:val="00814214"/>
    <w:rsid w:val="00833EE7"/>
    <w:rsid w:val="00845CF7"/>
    <w:rsid w:val="00847289"/>
    <w:rsid w:val="008502C6"/>
    <w:rsid w:val="0085398F"/>
    <w:rsid w:val="00857D82"/>
    <w:rsid w:val="008605ED"/>
    <w:rsid w:val="00870F6D"/>
    <w:rsid w:val="00882F11"/>
    <w:rsid w:val="008A6669"/>
    <w:rsid w:val="008B5CCE"/>
    <w:rsid w:val="008B6206"/>
    <w:rsid w:val="008C0206"/>
    <w:rsid w:val="008D6343"/>
    <w:rsid w:val="008E0133"/>
    <w:rsid w:val="008E0FA2"/>
    <w:rsid w:val="008E1E8C"/>
    <w:rsid w:val="00903B71"/>
    <w:rsid w:val="00921609"/>
    <w:rsid w:val="009273EE"/>
    <w:rsid w:val="00940B43"/>
    <w:rsid w:val="00946BCD"/>
    <w:rsid w:val="00954F3B"/>
    <w:rsid w:val="00991750"/>
    <w:rsid w:val="009A5DB9"/>
    <w:rsid w:val="009B08B2"/>
    <w:rsid w:val="009D32F0"/>
    <w:rsid w:val="009E1F97"/>
    <w:rsid w:val="009E5F8A"/>
    <w:rsid w:val="009E61BD"/>
    <w:rsid w:val="009E620F"/>
    <w:rsid w:val="009F3CEB"/>
    <w:rsid w:val="009F5154"/>
    <w:rsid w:val="009F7E3D"/>
    <w:rsid w:val="00A0547A"/>
    <w:rsid w:val="00A22CE8"/>
    <w:rsid w:val="00A25477"/>
    <w:rsid w:val="00A26DB7"/>
    <w:rsid w:val="00A34B83"/>
    <w:rsid w:val="00A4024D"/>
    <w:rsid w:val="00A449AC"/>
    <w:rsid w:val="00A4631C"/>
    <w:rsid w:val="00A472AB"/>
    <w:rsid w:val="00A50D68"/>
    <w:rsid w:val="00A56488"/>
    <w:rsid w:val="00A633E7"/>
    <w:rsid w:val="00A67382"/>
    <w:rsid w:val="00A7130E"/>
    <w:rsid w:val="00A83353"/>
    <w:rsid w:val="00A87AF7"/>
    <w:rsid w:val="00A901B6"/>
    <w:rsid w:val="00AB4251"/>
    <w:rsid w:val="00AE74AE"/>
    <w:rsid w:val="00AF6EA3"/>
    <w:rsid w:val="00B152FA"/>
    <w:rsid w:val="00B34D4D"/>
    <w:rsid w:val="00B36F39"/>
    <w:rsid w:val="00B544BA"/>
    <w:rsid w:val="00B5564E"/>
    <w:rsid w:val="00B61CB8"/>
    <w:rsid w:val="00B66BF5"/>
    <w:rsid w:val="00B735B7"/>
    <w:rsid w:val="00B847C1"/>
    <w:rsid w:val="00B93ABF"/>
    <w:rsid w:val="00B956F7"/>
    <w:rsid w:val="00B95C26"/>
    <w:rsid w:val="00BB0D19"/>
    <w:rsid w:val="00BF11C3"/>
    <w:rsid w:val="00C03D8A"/>
    <w:rsid w:val="00C06552"/>
    <w:rsid w:val="00C21446"/>
    <w:rsid w:val="00C21E44"/>
    <w:rsid w:val="00C2605B"/>
    <w:rsid w:val="00C306C8"/>
    <w:rsid w:val="00C44DAC"/>
    <w:rsid w:val="00C65D1B"/>
    <w:rsid w:val="00C73CB9"/>
    <w:rsid w:val="00C90E58"/>
    <w:rsid w:val="00C94C0E"/>
    <w:rsid w:val="00CA19F9"/>
    <w:rsid w:val="00CA3ACC"/>
    <w:rsid w:val="00CC4AF1"/>
    <w:rsid w:val="00CC4D40"/>
    <w:rsid w:val="00CC7AA8"/>
    <w:rsid w:val="00CE24A8"/>
    <w:rsid w:val="00CF69CD"/>
    <w:rsid w:val="00D01135"/>
    <w:rsid w:val="00D04684"/>
    <w:rsid w:val="00D11313"/>
    <w:rsid w:val="00D5570F"/>
    <w:rsid w:val="00D602B4"/>
    <w:rsid w:val="00DB517B"/>
    <w:rsid w:val="00DD09C4"/>
    <w:rsid w:val="00DF2E57"/>
    <w:rsid w:val="00DF5EA9"/>
    <w:rsid w:val="00E23FFE"/>
    <w:rsid w:val="00E43048"/>
    <w:rsid w:val="00E4418F"/>
    <w:rsid w:val="00E4522A"/>
    <w:rsid w:val="00E50A66"/>
    <w:rsid w:val="00E71688"/>
    <w:rsid w:val="00E87C7F"/>
    <w:rsid w:val="00ED7A61"/>
    <w:rsid w:val="00EE594A"/>
    <w:rsid w:val="00EE5E4F"/>
    <w:rsid w:val="00EF14DD"/>
    <w:rsid w:val="00EF30D6"/>
    <w:rsid w:val="00EF7070"/>
    <w:rsid w:val="00F07786"/>
    <w:rsid w:val="00F1642A"/>
    <w:rsid w:val="00F25713"/>
    <w:rsid w:val="00F310D9"/>
    <w:rsid w:val="00F32030"/>
    <w:rsid w:val="00F413DE"/>
    <w:rsid w:val="00F434D7"/>
    <w:rsid w:val="00F561E1"/>
    <w:rsid w:val="00F56A81"/>
    <w:rsid w:val="00F677AB"/>
    <w:rsid w:val="00F73E22"/>
    <w:rsid w:val="00F75E98"/>
    <w:rsid w:val="00F800D8"/>
    <w:rsid w:val="00F92AA2"/>
    <w:rsid w:val="00F96DB7"/>
    <w:rsid w:val="00FB1C34"/>
    <w:rsid w:val="00FB3D1F"/>
    <w:rsid w:val="00FC47EE"/>
    <w:rsid w:val="00FD1323"/>
    <w:rsid w:val="00FF52D6"/>
    <w:rsid w:val="00FF7EE3"/>
  </w:rsids>
  <m:mathPr>
    <m:mathFont m:val="Cambria Math"/>
    <m:brkBin m:val="before"/>
    <m:brkBinSub m:val="--"/>
    <m:smallFrac m:val="0"/>
    <m:dispDef/>
    <m:lMargin m:val="0"/>
    <m:rMargin m:val="0"/>
    <m:defJc m:val="centerGroup"/>
    <m:wrapIndent m:val="1440"/>
    <m:intLim m:val="subSup"/>
    <m:naryLim m:val="undOvr"/>
  </m:mathPr>
  <w:themeFontLang w:val="de-AT" w:eastAsia="ja-JP" w:bidi="as-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1A1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66A39"/>
    <w:pPr>
      <w:ind w:left="850"/>
    </w:pPr>
  </w:style>
  <w:style w:type="paragraph" w:styleId="NormalWeb">
    <w:name w:val="Normal (Web)"/>
    <w:basedOn w:val="Normal"/>
    <w:uiPriority w:val="99"/>
    <w:semiHidden/>
    <w:unhideWhenUsed/>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sid w:val="008E1E8C"/>
    <w:rPr>
      <w:sz w:val="16"/>
      <w:szCs w:val="16"/>
    </w:rPr>
  </w:style>
  <w:style w:type="paragraph" w:styleId="CommentText">
    <w:name w:val="annotation text"/>
    <w:basedOn w:val="Normal"/>
    <w:link w:val="CommentTextChar"/>
    <w:uiPriority w:val="99"/>
    <w:unhideWhenUsed/>
    <w:rsid w:val="008E1E8C"/>
    <w:rPr>
      <w:sz w:val="20"/>
      <w:szCs w:val="20"/>
    </w:rPr>
  </w:style>
  <w:style w:type="character" w:customStyle="1" w:styleId="CommentTextChar">
    <w:name w:val="Comment Text Char"/>
    <w:basedOn w:val="DefaultParagraphFont"/>
    <w:link w:val="CommentText"/>
    <w:uiPriority w:val="99"/>
    <w:rsid w:val="008E1E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1E8C"/>
    <w:rPr>
      <w:b/>
      <w:bCs/>
    </w:rPr>
  </w:style>
  <w:style w:type="character" w:customStyle="1" w:styleId="CommentSubjectChar">
    <w:name w:val="Comment Subject Char"/>
    <w:basedOn w:val="CommentTextChar"/>
    <w:link w:val="CommentSubject"/>
    <w:uiPriority w:val="99"/>
    <w:semiHidden/>
    <w:rsid w:val="008E1E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C"/>
    <w:rPr>
      <w:rFonts w:ascii="Tahoma" w:eastAsia="Times New Roman" w:hAnsi="Tahoma" w:cs="Tahoma"/>
      <w:sz w:val="16"/>
      <w:szCs w:val="16"/>
      <w:lang w:val="en-GB" w:eastAsia="en-GB"/>
    </w:rPr>
  </w:style>
  <w:style w:type="paragraph" w:styleId="ListParagraph">
    <w:name w:val="List Paragraph"/>
    <w:basedOn w:val="Normal"/>
    <w:uiPriority w:val="99"/>
    <w:qFormat/>
    <w:rsid w:val="003F06E9"/>
    <w:pPr>
      <w:ind w:left="720"/>
      <w:contextualSpacing/>
    </w:pPr>
  </w:style>
  <w:style w:type="paragraph" w:styleId="FootnoteText">
    <w:name w:val="footnote text"/>
    <w:basedOn w:val="Normal"/>
    <w:link w:val="FootnoteTextChar"/>
    <w:uiPriority w:val="99"/>
    <w:semiHidden/>
    <w:unhideWhenUsed/>
    <w:rsid w:val="00940B43"/>
    <w:pPr>
      <w:spacing w:before="0" w:after="0"/>
    </w:pPr>
    <w:rPr>
      <w:sz w:val="20"/>
      <w:szCs w:val="20"/>
    </w:rPr>
  </w:style>
  <w:style w:type="character" w:customStyle="1" w:styleId="FootnoteTextChar">
    <w:name w:val="Footnote Text Char"/>
    <w:basedOn w:val="DefaultParagraphFont"/>
    <w:link w:val="FootnoteText"/>
    <w:uiPriority w:val="99"/>
    <w:semiHidden/>
    <w:rsid w:val="00940B4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940B43"/>
    <w:rPr>
      <w:vertAlign w:val="superscript"/>
    </w:rPr>
  </w:style>
  <w:style w:type="paragraph" w:customStyle="1" w:styleId="CM1">
    <w:name w:val="CM1"/>
    <w:basedOn w:val="Normal"/>
    <w:next w:val="Normal"/>
    <w:uiPriority w:val="99"/>
    <w:rsid w:val="009E620F"/>
    <w:pPr>
      <w:autoSpaceDE w:val="0"/>
      <w:autoSpaceDN w:val="0"/>
      <w:adjustRightInd w:val="0"/>
      <w:spacing w:before="0" w:after="0"/>
      <w:jc w:val="left"/>
    </w:pPr>
    <w:rPr>
      <w:rFonts w:ascii="EUAlbertina" w:eastAsiaTheme="minorHAnsi" w:hAnsi="EUAlbertina" w:cstheme="minorBidi"/>
    </w:rPr>
  </w:style>
  <w:style w:type="paragraph" w:customStyle="1" w:styleId="CM3">
    <w:name w:val="CM3"/>
    <w:basedOn w:val="Normal"/>
    <w:next w:val="Normal"/>
    <w:uiPriority w:val="99"/>
    <w:rsid w:val="009E620F"/>
    <w:pPr>
      <w:autoSpaceDE w:val="0"/>
      <w:autoSpaceDN w:val="0"/>
      <w:adjustRightInd w:val="0"/>
      <w:spacing w:before="0" w:after="0"/>
      <w:jc w:val="left"/>
    </w:pPr>
    <w:rPr>
      <w:rFonts w:ascii="EUAlbertina" w:eastAsiaTheme="minorHAnsi" w:hAnsi="EUAlbertina" w:cstheme="minorBidi"/>
    </w:rPr>
  </w:style>
  <w:style w:type="paragraph" w:customStyle="1" w:styleId="Default">
    <w:name w:val="Default"/>
    <w:rsid w:val="00F92AA2"/>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903B71"/>
    <w:pPr>
      <w:tabs>
        <w:tab w:val="center" w:pos="4536"/>
        <w:tab w:val="right" w:pos="9072"/>
      </w:tabs>
      <w:spacing w:before="0" w:after="0"/>
    </w:pPr>
  </w:style>
  <w:style w:type="character" w:customStyle="1" w:styleId="HeaderChar">
    <w:name w:val="Header Char"/>
    <w:basedOn w:val="DefaultParagraphFont"/>
    <w:link w:val="Header"/>
    <w:uiPriority w:val="99"/>
    <w:rsid w:val="00903B7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03B71"/>
    <w:pPr>
      <w:tabs>
        <w:tab w:val="center" w:pos="4536"/>
        <w:tab w:val="right" w:pos="9072"/>
      </w:tabs>
      <w:spacing w:before="0" w:after="0"/>
    </w:pPr>
  </w:style>
  <w:style w:type="character" w:customStyle="1" w:styleId="FooterChar">
    <w:name w:val="Footer Char"/>
    <w:basedOn w:val="DefaultParagraphFont"/>
    <w:link w:val="Footer"/>
    <w:uiPriority w:val="99"/>
    <w:rsid w:val="00903B71"/>
    <w:rPr>
      <w:rFonts w:ascii="Times New Roman" w:eastAsia="Times New Roman" w:hAnsi="Times New Roman" w:cs="Times New Roman"/>
      <w:sz w:val="24"/>
      <w:szCs w:val="24"/>
      <w:lang w:val="en-GB" w:eastAsia="en-GB"/>
    </w:rPr>
  </w:style>
  <w:style w:type="paragraph" w:customStyle="1" w:styleId="CM4">
    <w:name w:val="CM4"/>
    <w:basedOn w:val="Default"/>
    <w:next w:val="Default"/>
    <w:uiPriority w:val="99"/>
    <w:rsid w:val="00870F6D"/>
    <w:rPr>
      <w:rFonts w:cstheme="minorBidi"/>
      <w:color w:val="auto"/>
    </w:rPr>
  </w:style>
  <w:style w:type="character" w:styleId="Hyperlink">
    <w:name w:val="Hyperlink"/>
    <w:basedOn w:val="DefaultParagraphFont"/>
    <w:uiPriority w:val="99"/>
    <w:unhideWhenUsed/>
    <w:rsid w:val="00622D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66A39"/>
    <w:pPr>
      <w:ind w:left="850"/>
    </w:pPr>
  </w:style>
  <w:style w:type="paragraph" w:styleId="NormalWeb">
    <w:name w:val="Normal (Web)"/>
    <w:basedOn w:val="Normal"/>
    <w:uiPriority w:val="99"/>
    <w:semiHidden/>
    <w:unhideWhenUsed/>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sid w:val="008E1E8C"/>
    <w:rPr>
      <w:sz w:val="16"/>
      <w:szCs w:val="16"/>
    </w:rPr>
  </w:style>
  <w:style w:type="paragraph" w:styleId="CommentText">
    <w:name w:val="annotation text"/>
    <w:basedOn w:val="Normal"/>
    <w:link w:val="CommentTextChar"/>
    <w:uiPriority w:val="99"/>
    <w:unhideWhenUsed/>
    <w:rsid w:val="008E1E8C"/>
    <w:rPr>
      <w:sz w:val="20"/>
      <w:szCs w:val="20"/>
    </w:rPr>
  </w:style>
  <w:style w:type="character" w:customStyle="1" w:styleId="CommentTextChar">
    <w:name w:val="Comment Text Char"/>
    <w:basedOn w:val="DefaultParagraphFont"/>
    <w:link w:val="CommentText"/>
    <w:uiPriority w:val="99"/>
    <w:rsid w:val="008E1E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1E8C"/>
    <w:rPr>
      <w:b/>
      <w:bCs/>
    </w:rPr>
  </w:style>
  <w:style w:type="character" w:customStyle="1" w:styleId="CommentSubjectChar">
    <w:name w:val="Comment Subject Char"/>
    <w:basedOn w:val="CommentTextChar"/>
    <w:link w:val="CommentSubject"/>
    <w:uiPriority w:val="99"/>
    <w:semiHidden/>
    <w:rsid w:val="008E1E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C"/>
    <w:rPr>
      <w:rFonts w:ascii="Tahoma" w:eastAsia="Times New Roman" w:hAnsi="Tahoma" w:cs="Tahoma"/>
      <w:sz w:val="16"/>
      <w:szCs w:val="16"/>
      <w:lang w:val="en-GB" w:eastAsia="en-GB"/>
    </w:rPr>
  </w:style>
  <w:style w:type="paragraph" w:styleId="ListParagraph">
    <w:name w:val="List Paragraph"/>
    <w:basedOn w:val="Normal"/>
    <w:uiPriority w:val="99"/>
    <w:qFormat/>
    <w:rsid w:val="003F06E9"/>
    <w:pPr>
      <w:ind w:left="720"/>
      <w:contextualSpacing/>
    </w:pPr>
  </w:style>
  <w:style w:type="paragraph" w:styleId="FootnoteText">
    <w:name w:val="footnote text"/>
    <w:basedOn w:val="Normal"/>
    <w:link w:val="FootnoteTextChar"/>
    <w:uiPriority w:val="99"/>
    <w:semiHidden/>
    <w:unhideWhenUsed/>
    <w:rsid w:val="00940B43"/>
    <w:pPr>
      <w:spacing w:before="0" w:after="0"/>
    </w:pPr>
    <w:rPr>
      <w:sz w:val="20"/>
      <w:szCs w:val="20"/>
    </w:rPr>
  </w:style>
  <w:style w:type="character" w:customStyle="1" w:styleId="FootnoteTextChar">
    <w:name w:val="Footnote Text Char"/>
    <w:basedOn w:val="DefaultParagraphFont"/>
    <w:link w:val="FootnoteText"/>
    <w:uiPriority w:val="99"/>
    <w:semiHidden/>
    <w:rsid w:val="00940B4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940B43"/>
    <w:rPr>
      <w:vertAlign w:val="superscript"/>
    </w:rPr>
  </w:style>
  <w:style w:type="paragraph" w:customStyle="1" w:styleId="CM1">
    <w:name w:val="CM1"/>
    <w:basedOn w:val="Normal"/>
    <w:next w:val="Normal"/>
    <w:uiPriority w:val="99"/>
    <w:rsid w:val="009E620F"/>
    <w:pPr>
      <w:autoSpaceDE w:val="0"/>
      <w:autoSpaceDN w:val="0"/>
      <w:adjustRightInd w:val="0"/>
      <w:spacing w:before="0" w:after="0"/>
      <w:jc w:val="left"/>
    </w:pPr>
    <w:rPr>
      <w:rFonts w:ascii="EUAlbertina" w:eastAsiaTheme="minorHAnsi" w:hAnsi="EUAlbertina" w:cstheme="minorBidi"/>
    </w:rPr>
  </w:style>
  <w:style w:type="paragraph" w:customStyle="1" w:styleId="CM3">
    <w:name w:val="CM3"/>
    <w:basedOn w:val="Normal"/>
    <w:next w:val="Normal"/>
    <w:uiPriority w:val="99"/>
    <w:rsid w:val="009E620F"/>
    <w:pPr>
      <w:autoSpaceDE w:val="0"/>
      <w:autoSpaceDN w:val="0"/>
      <w:adjustRightInd w:val="0"/>
      <w:spacing w:before="0" w:after="0"/>
      <w:jc w:val="left"/>
    </w:pPr>
    <w:rPr>
      <w:rFonts w:ascii="EUAlbertina" w:eastAsiaTheme="minorHAnsi" w:hAnsi="EUAlbertina" w:cstheme="minorBidi"/>
    </w:rPr>
  </w:style>
  <w:style w:type="paragraph" w:customStyle="1" w:styleId="Default">
    <w:name w:val="Default"/>
    <w:rsid w:val="00F92AA2"/>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903B71"/>
    <w:pPr>
      <w:tabs>
        <w:tab w:val="center" w:pos="4536"/>
        <w:tab w:val="right" w:pos="9072"/>
      </w:tabs>
      <w:spacing w:before="0" w:after="0"/>
    </w:pPr>
  </w:style>
  <w:style w:type="character" w:customStyle="1" w:styleId="HeaderChar">
    <w:name w:val="Header Char"/>
    <w:basedOn w:val="DefaultParagraphFont"/>
    <w:link w:val="Header"/>
    <w:uiPriority w:val="99"/>
    <w:rsid w:val="00903B7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03B71"/>
    <w:pPr>
      <w:tabs>
        <w:tab w:val="center" w:pos="4536"/>
        <w:tab w:val="right" w:pos="9072"/>
      </w:tabs>
      <w:spacing w:before="0" w:after="0"/>
    </w:pPr>
  </w:style>
  <w:style w:type="character" w:customStyle="1" w:styleId="FooterChar">
    <w:name w:val="Footer Char"/>
    <w:basedOn w:val="DefaultParagraphFont"/>
    <w:link w:val="Footer"/>
    <w:uiPriority w:val="99"/>
    <w:rsid w:val="00903B71"/>
    <w:rPr>
      <w:rFonts w:ascii="Times New Roman" w:eastAsia="Times New Roman" w:hAnsi="Times New Roman" w:cs="Times New Roman"/>
      <w:sz w:val="24"/>
      <w:szCs w:val="24"/>
      <w:lang w:val="en-GB" w:eastAsia="en-GB"/>
    </w:rPr>
  </w:style>
  <w:style w:type="paragraph" w:customStyle="1" w:styleId="CM4">
    <w:name w:val="CM4"/>
    <w:basedOn w:val="Default"/>
    <w:next w:val="Default"/>
    <w:uiPriority w:val="99"/>
    <w:rsid w:val="00870F6D"/>
    <w:rPr>
      <w:rFonts w:cstheme="minorBidi"/>
      <w:color w:val="auto"/>
    </w:rPr>
  </w:style>
  <w:style w:type="character" w:styleId="Hyperlink">
    <w:name w:val="Hyperlink"/>
    <w:basedOn w:val="DefaultParagraphFont"/>
    <w:uiPriority w:val="99"/>
    <w:unhideWhenUsed/>
    <w:rsid w:val="00622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IB13@bmg.gv.at" TargetMode="Externa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E1CF1-4A9F-4035-92B5-3DE89188FE44}"/>
</file>

<file path=customXml/itemProps2.xml><?xml version="1.0" encoding="utf-8"?>
<ds:datastoreItem xmlns:ds="http://schemas.openxmlformats.org/officeDocument/2006/customXml" ds:itemID="{93CD43BE-43DE-49CD-85A4-AA4BA39B7A72}"/>
</file>

<file path=customXml/itemProps3.xml><?xml version="1.0" encoding="utf-8"?>
<ds:datastoreItem xmlns:ds="http://schemas.openxmlformats.org/officeDocument/2006/customXml" ds:itemID="{E60D7171-8F7B-4061-B8D8-8FC51DEB7594}"/>
</file>

<file path=customXml/itemProps4.xml><?xml version="1.0" encoding="utf-8"?>
<ds:datastoreItem xmlns:ds="http://schemas.openxmlformats.org/officeDocument/2006/customXml" ds:itemID="{C92CFE96-1E00-4C1C-8AB4-D203183AF328}"/>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7732</Characters>
  <Application>Microsoft Office Word</Application>
  <DocSecurity>0</DocSecurity>
  <Lines>154</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AGES GmbH</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Wachauer Weinbrand - EN VERSION - TECHNICAL FILE</dc:title>
  <dc:subject/>
  <dc:creator/>
  <cp:keywords/>
  <dc:description/>
  <cp:lastModifiedBy>HEINONEN Maija (AGRI)</cp:lastModifiedBy>
  <cp:revision>2</cp:revision>
  <cp:lastPrinted>2015-10-20T12:17:00Z</cp:lastPrinted>
  <dcterms:created xsi:type="dcterms:W3CDTF">2016-11-28T09:43:00Z</dcterms:created>
  <dcterms:modified xsi:type="dcterms:W3CDTF">2016-11-28T09:43:00Z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-1969360081</vt:i4>
  </property>
  <property fmtid="{D5CDD505-2E9C-101B-9397-08002B2CF9AE}" pid="3" name="_NewReviewCycle">
    <vt:lpwstr/>
  </property>
  <property fmtid="{D5CDD505-2E9C-101B-9397-08002B2CF9AE}" pid="4" name="_EmailSubject">
    <vt:lpwstr>Weinbrand Dürnstein</vt:lpwstr>
  </property>
  <property fmtid="{D5CDD505-2E9C-101B-9397-08002B2CF9AE}" pid="5" name="_AuthorEmail">
    <vt:lpwstr>r.horvath@domaene-wachau.at</vt:lpwstr>
  </property>
  <property fmtid="{D5CDD505-2E9C-101B-9397-08002B2CF9AE}" pid="6" name="_AuthorEmailDisplayName">
    <vt:lpwstr>Roman Horvath - Domäne Wachau</vt:lpwstr>
  </property>
  <property fmtid="{D5CDD505-2E9C-101B-9397-08002B2CF9AE}" pid="7" name="_ReviewingToolsShownOnce">
    <vt:lpwstr/>
  </property>
  <property fmtid="{D5CDD505-2E9C-101B-9397-08002B2CF9AE}" pid="8" name="ContentTypeId">
    <vt:lpwstr>0x0101006CAC4E9DC9F35C489898D8FFD3F5C6B4</vt:lpwstr>
  </property>
  <property fmtid="{D5CDD505-2E9C-101B-9397-08002B2CF9AE}" pid="9" name="Order">
    <vt:r8>7500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