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9763" w14:textId="77777777" w:rsidR="00644864" w:rsidRDefault="00644864">
      <w:pPr>
        <w:pStyle w:val="BodyText"/>
        <w:spacing w:before="5"/>
        <w:rPr>
          <w:sz w:val="27"/>
        </w:rPr>
      </w:pPr>
    </w:p>
    <w:p w14:paraId="5EC06D95" w14:textId="77777777" w:rsidR="00644864" w:rsidRDefault="003F3CE2">
      <w:pPr>
        <w:pStyle w:val="Heading1"/>
        <w:spacing w:before="90" w:line="480" w:lineRule="auto"/>
        <w:ind w:left="3183" w:right="3181" w:hanging="3"/>
        <w:jc w:val="center"/>
      </w:pPr>
      <w:r>
        <w:t>CHAPTER 6 TRADE</w:t>
      </w:r>
      <w:r>
        <w:rPr>
          <w:spacing w:val="-15"/>
        </w:rPr>
        <w:t xml:space="preserve"> </w:t>
      </w:r>
      <w:r>
        <w:t>REMEDIES</w:t>
      </w:r>
    </w:p>
    <w:p w14:paraId="1738C4F3" w14:textId="77777777" w:rsidR="00644864" w:rsidRDefault="00644864">
      <w:pPr>
        <w:pStyle w:val="BodyText"/>
        <w:rPr>
          <w:b/>
        </w:rPr>
      </w:pPr>
    </w:p>
    <w:p w14:paraId="77E84D41" w14:textId="77777777" w:rsidR="00644864" w:rsidRDefault="003F3CE2">
      <w:pPr>
        <w:spacing w:line="480" w:lineRule="auto"/>
        <w:ind w:left="305" w:right="1989" w:firstLine="2328"/>
        <w:rPr>
          <w:b/>
          <w:sz w:val="24"/>
        </w:rPr>
      </w:pPr>
      <w:r>
        <w:rPr>
          <w:b/>
          <w:sz w:val="24"/>
        </w:rPr>
        <w:t>Section</w:t>
      </w:r>
      <w:r>
        <w:rPr>
          <w:b/>
          <w:spacing w:val="-9"/>
          <w:sz w:val="24"/>
        </w:rPr>
        <w:t xml:space="preserve"> </w:t>
      </w:r>
      <w:r>
        <w:rPr>
          <w:b/>
          <w:sz w:val="24"/>
        </w:rPr>
        <w:t>A:</w:t>
      </w:r>
      <w:r>
        <w:rPr>
          <w:b/>
          <w:spacing w:val="40"/>
          <w:sz w:val="24"/>
        </w:rPr>
        <w:t xml:space="preserve"> </w:t>
      </w:r>
      <w:r>
        <w:rPr>
          <w:b/>
          <w:sz w:val="24"/>
        </w:rPr>
        <w:t>Safeguard</w:t>
      </w:r>
      <w:r>
        <w:rPr>
          <w:b/>
          <w:spacing w:val="-9"/>
          <w:sz w:val="24"/>
        </w:rPr>
        <w:t xml:space="preserve"> </w:t>
      </w:r>
      <w:r>
        <w:rPr>
          <w:b/>
          <w:sz w:val="24"/>
        </w:rPr>
        <w:t>Measures Article 6.1:</w:t>
      </w:r>
      <w:r>
        <w:rPr>
          <w:b/>
          <w:spacing w:val="40"/>
          <w:sz w:val="24"/>
        </w:rPr>
        <w:t xml:space="preserve"> </w:t>
      </w:r>
      <w:r>
        <w:rPr>
          <w:b/>
          <w:sz w:val="24"/>
        </w:rPr>
        <w:t>Definitions</w:t>
      </w:r>
    </w:p>
    <w:p w14:paraId="25E8B28C" w14:textId="77777777" w:rsidR="00644864" w:rsidRDefault="003F3CE2">
      <w:pPr>
        <w:pStyle w:val="BodyText"/>
        <w:spacing w:line="271" w:lineRule="exact"/>
        <w:ind w:left="1025"/>
      </w:pPr>
      <w:r>
        <w:t>For</w:t>
      </w:r>
      <w:r>
        <w:rPr>
          <w:spacing w:val="-6"/>
        </w:rPr>
        <w:t xml:space="preserve"> </w:t>
      </w:r>
      <w:r>
        <w:t>the</w:t>
      </w:r>
      <w:r>
        <w:rPr>
          <w:spacing w:val="-4"/>
        </w:rPr>
        <w:t xml:space="preserve"> </w:t>
      </w:r>
      <w:r>
        <w:t>purposes</w:t>
      </w:r>
      <w:r>
        <w:rPr>
          <w:spacing w:val="-4"/>
        </w:rPr>
        <w:t xml:space="preserve"> </w:t>
      </w:r>
      <w:r>
        <w:t>of</w:t>
      </w:r>
      <w:r>
        <w:rPr>
          <w:spacing w:val="-4"/>
        </w:rPr>
        <w:t xml:space="preserve"> </w:t>
      </w:r>
      <w:r>
        <w:t>this</w:t>
      </w:r>
      <w:r>
        <w:rPr>
          <w:spacing w:val="-4"/>
        </w:rPr>
        <w:t xml:space="preserve"> </w:t>
      </w:r>
      <w:r>
        <w:rPr>
          <w:spacing w:val="-2"/>
        </w:rPr>
        <w:t>Section:</w:t>
      </w:r>
    </w:p>
    <w:p w14:paraId="6B16691E" w14:textId="77777777" w:rsidR="00644864" w:rsidRDefault="00644864">
      <w:pPr>
        <w:pStyle w:val="BodyText"/>
        <w:spacing w:before="1"/>
      </w:pPr>
    </w:p>
    <w:p w14:paraId="55CB8FF2" w14:textId="77777777" w:rsidR="00644864" w:rsidRDefault="003F3CE2">
      <w:pPr>
        <w:pStyle w:val="BodyText"/>
        <w:ind w:left="305" w:right="300"/>
        <w:jc w:val="both"/>
      </w:pPr>
      <w:r>
        <w:rPr>
          <w:b/>
        </w:rPr>
        <w:t xml:space="preserve">domestic industry </w:t>
      </w:r>
      <w:r>
        <w:t>means, with respect to an imported good, the producers as a whole of the like or directly competitive good operating within the territory of a Party, or those producers whose collective production of the like or directly competitive good constitutes a majo</w:t>
      </w:r>
      <w:r>
        <w:t xml:space="preserve">r proportion of the total domestic production of that </w:t>
      </w:r>
      <w:proofErr w:type="gramStart"/>
      <w:r>
        <w:t>good;</w:t>
      </w:r>
      <w:proofErr w:type="gramEnd"/>
    </w:p>
    <w:p w14:paraId="7D5E0E0D" w14:textId="77777777" w:rsidR="00644864" w:rsidRDefault="00644864">
      <w:pPr>
        <w:pStyle w:val="BodyText"/>
      </w:pPr>
    </w:p>
    <w:p w14:paraId="1C4E1272" w14:textId="77777777" w:rsidR="00644864" w:rsidRDefault="003F3CE2">
      <w:pPr>
        <w:pStyle w:val="BodyText"/>
        <w:ind w:left="305" w:right="305"/>
        <w:jc w:val="both"/>
      </w:pPr>
      <w:r>
        <w:rPr>
          <w:b/>
        </w:rPr>
        <w:t xml:space="preserve">serious injury </w:t>
      </w:r>
      <w:r>
        <w:t xml:space="preserve">means a significant overall impairment in the position of a domestic </w:t>
      </w:r>
      <w:proofErr w:type="gramStart"/>
      <w:r>
        <w:t>industry;</w:t>
      </w:r>
      <w:proofErr w:type="gramEnd"/>
    </w:p>
    <w:p w14:paraId="7A264D7E" w14:textId="77777777" w:rsidR="00644864" w:rsidRDefault="00644864">
      <w:pPr>
        <w:pStyle w:val="BodyText"/>
        <w:spacing w:before="2"/>
        <w:rPr>
          <w:sz w:val="23"/>
        </w:rPr>
      </w:pPr>
    </w:p>
    <w:p w14:paraId="2A77CFD0" w14:textId="77777777" w:rsidR="00644864" w:rsidRDefault="003F3CE2">
      <w:pPr>
        <w:pStyle w:val="BodyText"/>
        <w:ind w:left="305" w:right="306"/>
        <w:jc w:val="both"/>
      </w:pPr>
      <w:r>
        <w:rPr>
          <w:b/>
        </w:rPr>
        <w:t xml:space="preserve">threat of serious injury </w:t>
      </w:r>
      <w:r>
        <w:t>means serious injury that, on the basis of facts and not merely on allegati</w:t>
      </w:r>
      <w:r>
        <w:t xml:space="preserve">on, conjecture or remote possibility, is clearly </w:t>
      </w:r>
      <w:proofErr w:type="gramStart"/>
      <w:r>
        <w:t>imminent;</w:t>
      </w:r>
      <w:proofErr w:type="gramEnd"/>
    </w:p>
    <w:p w14:paraId="516C2DE9" w14:textId="77777777" w:rsidR="00644864" w:rsidRDefault="00644864">
      <w:pPr>
        <w:pStyle w:val="BodyText"/>
      </w:pPr>
    </w:p>
    <w:p w14:paraId="3E2A2B32" w14:textId="77777777" w:rsidR="00644864" w:rsidRDefault="003F3CE2">
      <w:pPr>
        <w:pStyle w:val="BodyText"/>
        <w:spacing w:before="1"/>
        <w:ind w:left="305" w:right="301"/>
        <w:jc w:val="both"/>
      </w:pPr>
      <w:r>
        <w:rPr>
          <w:b/>
        </w:rPr>
        <w:t xml:space="preserve">transition period </w:t>
      </w:r>
      <w:r>
        <w:t>means, in relation to a particular good, the three-year period beginning on the date of entry into force of this Agreement, except where the</w:t>
      </w:r>
      <w:r>
        <w:rPr>
          <w:spacing w:val="40"/>
        </w:rPr>
        <w:t xml:space="preserve"> </w:t>
      </w:r>
      <w:r>
        <w:t>tariff elimination for the good occur</w:t>
      </w:r>
      <w:r>
        <w:t>s over a longer period of time, in which case the transition period shall be the period of the staged tariff elimination for that good; and</w:t>
      </w:r>
    </w:p>
    <w:p w14:paraId="72C7F80D" w14:textId="77777777" w:rsidR="00644864" w:rsidRDefault="00644864">
      <w:pPr>
        <w:pStyle w:val="BodyText"/>
        <w:spacing w:before="11"/>
        <w:rPr>
          <w:sz w:val="23"/>
        </w:rPr>
      </w:pPr>
    </w:p>
    <w:p w14:paraId="7C83F139" w14:textId="77777777" w:rsidR="00644864" w:rsidRDefault="003F3CE2">
      <w:pPr>
        <w:ind w:left="305" w:right="298"/>
        <w:jc w:val="both"/>
        <w:rPr>
          <w:sz w:val="24"/>
        </w:rPr>
      </w:pPr>
      <w:r>
        <w:rPr>
          <w:b/>
          <w:sz w:val="24"/>
        </w:rPr>
        <w:t xml:space="preserve">transitional safeguard measure </w:t>
      </w:r>
      <w:r>
        <w:rPr>
          <w:sz w:val="24"/>
        </w:rPr>
        <w:t>means a measure described in Article 6.3.2 (Imposition of a Transitional Safeguard Measure).</w:t>
      </w:r>
    </w:p>
    <w:p w14:paraId="6CCA0420" w14:textId="77777777" w:rsidR="00644864" w:rsidRDefault="00644864">
      <w:pPr>
        <w:pStyle w:val="BodyText"/>
        <w:rPr>
          <w:sz w:val="26"/>
        </w:rPr>
      </w:pPr>
    </w:p>
    <w:p w14:paraId="1D0D3989" w14:textId="77777777" w:rsidR="00644864" w:rsidRDefault="00644864">
      <w:pPr>
        <w:pStyle w:val="BodyText"/>
        <w:spacing w:before="5"/>
        <w:rPr>
          <w:sz w:val="22"/>
        </w:rPr>
      </w:pPr>
    </w:p>
    <w:p w14:paraId="1F6504A1" w14:textId="77777777" w:rsidR="00644864" w:rsidRDefault="003F3CE2">
      <w:pPr>
        <w:pStyle w:val="Heading1"/>
        <w:jc w:val="both"/>
      </w:pPr>
      <w:r>
        <w:t>Article</w:t>
      </w:r>
      <w:r>
        <w:rPr>
          <w:spacing w:val="-7"/>
        </w:rPr>
        <w:t xml:space="preserve"> </w:t>
      </w:r>
      <w:r>
        <w:t>6.2:</w:t>
      </w:r>
      <w:r>
        <w:rPr>
          <w:spacing w:val="48"/>
        </w:rPr>
        <w:t xml:space="preserve"> </w:t>
      </w:r>
      <w:r>
        <w:t>Global</w:t>
      </w:r>
      <w:r>
        <w:rPr>
          <w:spacing w:val="-5"/>
        </w:rPr>
        <w:t xml:space="preserve"> </w:t>
      </w:r>
      <w:r>
        <w:rPr>
          <w:spacing w:val="-2"/>
        </w:rPr>
        <w:t>Safeguards</w:t>
      </w:r>
    </w:p>
    <w:p w14:paraId="016F4F63" w14:textId="77777777" w:rsidR="00644864" w:rsidRDefault="00644864">
      <w:pPr>
        <w:pStyle w:val="BodyText"/>
        <w:spacing w:before="7"/>
        <w:rPr>
          <w:b/>
          <w:sz w:val="23"/>
        </w:rPr>
      </w:pPr>
    </w:p>
    <w:p w14:paraId="2645339A" w14:textId="77777777" w:rsidR="00644864" w:rsidRDefault="003F3CE2">
      <w:pPr>
        <w:pStyle w:val="ListParagraph"/>
        <w:numPr>
          <w:ilvl w:val="0"/>
          <w:numId w:val="7"/>
        </w:numPr>
        <w:tabs>
          <w:tab w:val="left" w:pos="1026"/>
        </w:tabs>
        <w:ind w:right="304" w:firstLine="0"/>
        <w:jc w:val="both"/>
        <w:rPr>
          <w:sz w:val="24"/>
        </w:rPr>
      </w:pPr>
      <w:r>
        <w:rPr>
          <w:sz w:val="24"/>
        </w:rPr>
        <w:t>Nothing in this Agreement affects the rights and obligations of the Parties under Article XIX of GATT 1994 and the Safeguards Agr</w:t>
      </w:r>
      <w:r>
        <w:rPr>
          <w:sz w:val="24"/>
        </w:rPr>
        <w:t>eement.</w:t>
      </w:r>
    </w:p>
    <w:p w14:paraId="47D95BFC" w14:textId="77777777" w:rsidR="00644864" w:rsidRDefault="00644864">
      <w:pPr>
        <w:pStyle w:val="BodyText"/>
      </w:pPr>
    </w:p>
    <w:p w14:paraId="78AAAAFF" w14:textId="77777777" w:rsidR="00644864" w:rsidRDefault="003F3CE2">
      <w:pPr>
        <w:pStyle w:val="ListParagraph"/>
        <w:numPr>
          <w:ilvl w:val="0"/>
          <w:numId w:val="7"/>
        </w:numPr>
        <w:tabs>
          <w:tab w:val="left" w:pos="1026"/>
        </w:tabs>
        <w:ind w:right="303" w:firstLine="0"/>
        <w:jc w:val="both"/>
        <w:rPr>
          <w:sz w:val="24"/>
        </w:rPr>
      </w:pPr>
      <w:r>
        <w:rPr>
          <w:sz w:val="24"/>
        </w:rPr>
        <w:t>Except as provided in paragraph 3, nothing in this Agreement shall confer any rights or impose any obligations on the Parties with regard to actions taken pursuant to Article XIX of GATT 1994 and the Safeguards Agreement.</w:t>
      </w:r>
    </w:p>
    <w:p w14:paraId="466EF611" w14:textId="77777777" w:rsidR="00644864" w:rsidRDefault="00644864">
      <w:pPr>
        <w:pStyle w:val="BodyText"/>
      </w:pPr>
    </w:p>
    <w:p w14:paraId="29E2C6B7" w14:textId="77777777" w:rsidR="00644864" w:rsidRDefault="003F3CE2">
      <w:pPr>
        <w:pStyle w:val="ListParagraph"/>
        <w:numPr>
          <w:ilvl w:val="0"/>
          <w:numId w:val="7"/>
        </w:numPr>
        <w:tabs>
          <w:tab w:val="left" w:pos="1026"/>
        </w:tabs>
        <w:spacing w:before="1"/>
        <w:ind w:right="300" w:firstLine="0"/>
        <w:jc w:val="both"/>
        <w:rPr>
          <w:sz w:val="24"/>
        </w:rPr>
      </w:pPr>
      <w:r>
        <w:rPr>
          <w:sz w:val="24"/>
        </w:rPr>
        <w:t>A Party that initiates a safeguard investigatory process shall provide to the other Parties an electronic copy of the notification given to the WTO Committee on Safeguards under Article 12.1(a) of the Safeguards Agreement.</w:t>
      </w:r>
    </w:p>
    <w:p w14:paraId="7BEE1A77" w14:textId="77777777" w:rsidR="00644864" w:rsidRDefault="00644864">
      <w:pPr>
        <w:jc w:val="both"/>
        <w:rPr>
          <w:sz w:val="24"/>
        </w:rPr>
        <w:sectPr w:rsidR="00644864">
          <w:footerReference w:type="default" r:id="rId7"/>
          <w:type w:val="continuous"/>
          <w:pgSz w:w="11910" w:h="16850"/>
          <w:pgMar w:top="1940" w:right="1680" w:bottom="1200" w:left="1680" w:header="0" w:footer="1019" w:gutter="0"/>
          <w:pgNumType w:start="1"/>
          <w:cols w:space="720"/>
        </w:sectPr>
      </w:pPr>
    </w:p>
    <w:p w14:paraId="787A4C13" w14:textId="77777777" w:rsidR="00644864" w:rsidRDefault="003F3CE2">
      <w:pPr>
        <w:pStyle w:val="ListParagraph"/>
        <w:numPr>
          <w:ilvl w:val="0"/>
          <w:numId w:val="7"/>
        </w:numPr>
        <w:tabs>
          <w:tab w:val="left" w:pos="1026"/>
        </w:tabs>
        <w:spacing w:before="69"/>
        <w:ind w:right="298" w:firstLine="0"/>
        <w:jc w:val="both"/>
        <w:rPr>
          <w:sz w:val="24"/>
        </w:rPr>
      </w:pPr>
      <w:r>
        <w:rPr>
          <w:sz w:val="24"/>
        </w:rPr>
        <w:lastRenderedPageBreak/>
        <w:t>No Party shall apply or maintain a safeguard measure under this Chapter, to any product imported under a tariff rate quota (TRQ) established by the Party under this Agreement.</w:t>
      </w:r>
      <w:r>
        <w:rPr>
          <w:spacing w:val="40"/>
          <w:sz w:val="24"/>
        </w:rPr>
        <w:t xml:space="preserve"> </w:t>
      </w:r>
      <w:r>
        <w:rPr>
          <w:sz w:val="24"/>
        </w:rPr>
        <w:t>A Party taking a safeguard measure under A</w:t>
      </w:r>
      <w:r>
        <w:rPr>
          <w:sz w:val="24"/>
        </w:rPr>
        <w:t>rticle XIX of GATT 1994 and the Safeguards Agreement may exclude from the safeguard measure imports of originating goods under a TRQ established by</w:t>
      </w:r>
      <w:r>
        <w:rPr>
          <w:spacing w:val="-3"/>
          <w:sz w:val="24"/>
        </w:rPr>
        <w:t xml:space="preserve"> </w:t>
      </w:r>
      <w:r>
        <w:rPr>
          <w:sz w:val="24"/>
        </w:rPr>
        <w:t>the Party under this Agreement and set out in Appendix A to the Party’s Schedule to Annex 2-D (Tariff Commit</w:t>
      </w:r>
      <w:r>
        <w:rPr>
          <w:sz w:val="24"/>
        </w:rPr>
        <w:t xml:space="preserve">ments), if such imports are not a cause of serious injury or threat </w:t>
      </w:r>
      <w:r>
        <w:rPr>
          <w:spacing w:val="-2"/>
          <w:sz w:val="24"/>
        </w:rPr>
        <w:t>thereof.</w:t>
      </w:r>
    </w:p>
    <w:p w14:paraId="06C5770E" w14:textId="77777777" w:rsidR="00644864" w:rsidRDefault="00644864">
      <w:pPr>
        <w:pStyle w:val="BodyText"/>
      </w:pPr>
    </w:p>
    <w:p w14:paraId="60751B31" w14:textId="77777777" w:rsidR="00644864" w:rsidRDefault="003F3CE2">
      <w:pPr>
        <w:pStyle w:val="ListParagraph"/>
        <w:numPr>
          <w:ilvl w:val="0"/>
          <w:numId w:val="7"/>
        </w:numPr>
        <w:tabs>
          <w:tab w:val="left" w:pos="1026"/>
        </w:tabs>
        <w:ind w:right="303" w:firstLine="0"/>
        <w:jc w:val="both"/>
        <w:rPr>
          <w:sz w:val="24"/>
        </w:rPr>
      </w:pPr>
      <w:r>
        <w:rPr>
          <w:sz w:val="24"/>
        </w:rPr>
        <w:t>No Party shall apply or maintain two or more of the following measures, with respect to the same good, at the same time:</w:t>
      </w:r>
    </w:p>
    <w:p w14:paraId="07A10F1B" w14:textId="77777777" w:rsidR="00644864" w:rsidRDefault="00644864">
      <w:pPr>
        <w:pStyle w:val="BodyText"/>
        <w:spacing w:before="1"/>
      </w:pPr>
    </w:p>
    <w:p w14:paraId="48CD2C4A" w14:textId="77777777" w:rsidR="00644864" w:rsidRDefault="003F3CE2">
      <w:pPr>
        <w:pStyle w:val="ListParagraph"/>
        <w:numPr>
          <w:ilvl w:val="1"/>
          <w:numId w:val="7"/>
        </w:numPr>
        <w:tabs>
          <w:tab w:val="left" w:pos="1745"/>
          <w:tab w:val="left" w:pos="1746"/>
        </w:tabs>
        <w:ind w:right="0"/>
        <w:rPr>
          <w:sz w:val="24"/>
        </w:rPr>
      </w:pPr>
      <w:r>
        <w:rPr>
          <w:sz w:val="24"/>
        </w:rPr>
        <w:t>a</w:t>
      </w:r>
      <w:r>
        <w:rPr>
          <w:spacing w:val="-9"/>
          <w:sz w:val="24"/>
        </w:rPr>
        <w:t xml:space="preserve"> </w:t>
      </w:r>
      <w:r>
        <w:rPr>
          <w:sz w:val="24"/>
        </w:rPr>
        <w:t>transitional</w:t>
      </w:r>
      <w:r>
        <w:rPr>
          <w:spacing w:val="-6"/>
          <w:sz w:val="24"/>
        </w:rPr>
        <w:t xml:space="preserve"> </w:t>
      </w:r>
      <w:r>
        <w:rPr>
          <w:sz w:val="24"/>
        </w:rPr>
        <w:t>safeguard</w:t>
      </w:r>
      <w:r>
        <w:rPr>
          <w:spacing w:val="-6"/>
          <w:sz w:val="24"/>
        </w:rPr>
        <w:t xml:space="preserve"> </w:t>
      </w:r>
      <w:r>
        <w:rPr>
          <w:sz w:val="24"/>
        </w:rPr>
        <w:t>measure</w:t>
      </w:r>
      <w:r>
        <w:rPr>
          <w:spacing w:val="-7"/>
          <w:sz w:val="24"/>
        </w:rPr>
        <w:t xml:space="preserve"> </w:t>
      </w:r>
      <w:r>
        <w:rPr>
          <w:sz w:val="24"/>
        </w:rPr>
        <w:t>under</w:t>
      </w:r>
      <w:r>
        <w:rPr>
          <w:spacing w:val="-8"/>
          <w:sz w:val="24"/>
        </w:rPr>
        <w:t xml:space="preserve"> </w:t>
      </w:r>
      <w:r>
        <w:rPr>
          <w:sz w:val="24"/>
        </w:rPr>
        <w:t>this</w:t>
      </w:r>
      <w:r>
        <w:rPr>
          <w:spacing w:val="-6"/>
          <w:sz w:val="24"/>
        </w:rPr>
        <w:t xml:space="preserve"> </w:t>
      </w:r>
      <w:proofErr w:type="gramStart"/>
      <w:r>
        <w:rPr>
          <w:spacing w:val="-2"/>
          <w:sz w:val="24"/>
        </w:rPr>
        <w:t>Chapter;</w:t>
      </w:r>
      <w:proofErr w:type="gramEnd"/>
    </w:p>
    <w:p w14:paraId="0228F68B" w14:textId="77777777" w:rsidR="00644864" w:rsidRDefault="00644864">
      <w:pPr>
        <w:pStyle w:val="BodyText"/>
      </w:pPr>
    </w:p>
    <w:p w14:paraId="7886D5EF" w14:textId="77777777" w:rsidR="00644864" w:rsidRDefault="003F3CE2">
      <w:pPr>
        <w:pStyle w:val="ListParagraph"/>
        <w:numPr>
          <w:ilvl w:val="1"/>
          <w:numId w:val="7"/>
        </w:numPr>
        <w:tabs>
          <w:tab w:val="left" w:pos="1746"/>
        </w:tabs>
        <w:ind w:right="304"/>
        <w:jc w:val="both"/>
        <w:rPr>
          <w:sz w:val="24"/>
        </w:rPr>
      </w:pPr>
      <w:r>
        <w:rPr>
          <w:sz w:val="24"/>
        </w:rPr>
        <w:t xml:space="preserve">a </w:t>
      </w:r>
      <w:r>
        <w:rPr>
          <w:sz w:val="24"/>
        </w:rPr>
        <w:t xml:space="preserve">safeguard measure under Article XIX of GATT 1994 and the Safeguards </w:t>
      </w:r>
      <w:proofErr w:type="gramStart"/>
      <w:r>
        <w:rPr>
          <w:sz w:val="24"/>
        </w:rPr>
        <w:t>Agreement;</w:t>
      </w:r>
      <w:proofErr w:type="gramEnd"/>
    </w:p>
    <w:p w14:paraId="67CA2ECE" w14:textId="77777777" w:rsidR="00644864" w:rsidRDefault="00644864">
      <w:pPr>
        <w:pStyle w:val="BodyText"/>
      </w:pPr>
    </w:p>
    <w:p w14:paraId="527284DA" w14:textId="77777777" w:rsidR="00644864" w:rsidRDefault="003F3CE2">
      <w:pPr>
        <w:pStyle w:val="ListParagraph"/>
        <w:numPr>
          <w:ilvl w:val="1"/>
          <w:numId w:val="7"/>
        </w:numPr>
        <w:tabs>
          <w:tab w:val="left" w:pos="1746"/>
        </w:tabs>
        <w:ind w:right="300"/>
        <w:jc w:val="both"/>
        <w:rPr>
          <w:sz w:val="24"/>
        </w:rPr>
      </w:pPr>
      <w:r>
        <w:rPr>
          <w:sz w:val="24"/>
        </w:rPr>
        <w:t>a safeguard measure set out in Appendix B to its Schedule to</w:t>
      </w:r>
      <w:r>
        <w:rPr>
          <w:spacing w:val="40"/>
          <w:sz w:val="24"/>
        </w:rPr>
        <w:t xml:space="preserve"> </w:t>
      </w:r>
      <w:r>
        <w:rPr>
          <w:sz w:val="24"/>
        </w:rPr>
        <w:t>Annex 2-D (Tariff Commitments); or</w:t>
      </w:r>
    </w:p>
    <w:p w14:paraId="0E5F8E3E" w14:textId="77777777" w:rsidR="00644864" w:rsidRDefault="00644864">
      <w:pPr>
        <w:pStyle w:val="BodyText"/>
      </w:pPr>
    </w:p>
    <w:p w14:paraId="02E09B59" w14:textId="77777777" w:rsidR="00644864" w:rsidRDefault="003F3CE2">
      <w:pPr>
        <w:pStyle w:val="ListParagraph"/>
        <w:numPr>
          <w:ilvl w:val="1"/>
          <w:numId w:val="7"/>
        </w:numPr>
        <w:tabs>
          <w:tab w:val="left" w:pos="1725"/>
        </w:tabs>
        <w:ind w:left="1724" w:right="305" w:hanging="699"/>
        <w:jc w:val="both"/>
        <w:rPr>
          <w:sz w:val="24"/>
        </w:rPr>
      </w:pPr>
      <w:r>
        <w:rPr>
          <w:sz w:val="24"/>
        </w:rPr>
        <w:t>an emergency action under Chapter 4 (Textiles and Apparel</w:t>
      </w:r>
      <w:r>
        <w:rPr>
          <w:spacing w:val="40"/>
          <w:sz w:val="24"/>
        </w:rPr>
        <w:t xml:space="preserve"> </w:t>
      </w:r>
      <w:r>
        <w:rPr>
          <w:spacing w:val="-2"/>
          <w:sz w:val="24"/>
        </w:rPr>
        <w:t>Goods).</w:t>
      </w:r>
    </w:p>
    <w:p w14:paraId="7DB448FF" w14:textId="77777777" w:rsidR="00644864" w:rsidRDefault="00644864">
      <w:pPr>
        <w:pStyle w:val="BodyText"/>
        <w:rPr>
          <w:sz w:val="26"/>
        </w:rPr>
      </w:pPr>
    </w:p>
    <w:p w14:paraId="08614A2A" w14:textId="77777777" w:rsidR="00644864" w:rsidRDefault="00644864">
      <w:pPr>
        <w:pStyle w:val="BodyText"/>
        <w:spacing w:before="5"/>
        <w:rPr>
          <w:sz w:val="22"/>
        </w:rPr>
      </w:pPr>
    </w:p>
    <w:p w14:paraId="1766EA7A" w14:textId="77777777" w:rsidR="00644864" w:rsidRDefault="003F3CE2">
      <w:pPr>
        <w:pStyle w:val="Heading1"/>
      </w:pPr>
      <w:r>
        <w:t>Article</w:t>
      </w:r>
      <w:r>
        <w:rPr>
          <w:spacing w:val="-8"/>
        </w:rPr>
        <w:t xml:space="preserve"> </w:t>
      </w:r>
      <w:r>
        <w:t>6.3:</w:t>
      </w:r>
      <w:r>
        <w:rPr>
          <w:spacing w:val="47"/>
        </w:rPr>
        <w:t xml:space="preserve"> </w:t>
      </w:r>
      <w:r>
        <w:t>Imposition</w:t>
      </w:r>
      <w:r>
        <w:rPr>
          <w:spacing w:val="-5"/>
        </w:rPr>
        <w:t xml:space="preserve"> </w:t>
      </w:r>
      <w:r>
        <w:t>of</w:t>
      </w:r>
      <w:r>
        <w:rPr>
          <w:spacing w:val="-5"/>
        </w:rPr>
        <w:t xml:space="preserve"> </w:t>
      </w:r>
      <w:r>
        <w:t>a</w:t>
      </w:r>
      <w:r>
        <w:rPr>
          <w:spacing w:val="-5"/>
        </w:rPr>
        <w:t xml:space="preserve"> </w:t>
      </w:r>
      <w:r>
        <w:t>Transitional</w:t>
      </w:r>
      <w:r>
        <w:rPr>
          <w:spacing w:val="-6"/>
        </w:rPr>
        <w:t xml:space="preserve"> </w:t>
      </w:r>
      <w:r>
        <w:t>Safeguard</w:t>
      </w:r>
      <w:r>
        <w:rPr>
          <w:spacing w:val="-2"/>
        </w:rPr>
        <w:t xml:space="preserve"> Measure</w:t>
      </w:r>
    </w:p>
    <w:p w14:paraId="623E0D28" w14:textId="77777777" w:rsidR="00644864" w:rsidRDefault="00644864">
      <w:pPr>
        <w:pStyle w:val="BodyText"/>
        <w:spacing w:before="4"/>
        <w:rPr>
          <w:b/>
          <w:sz w:val="23"/>
        </w:rPr>
      </w:pPr>
    </w:p>
    <w:p w14:paraId="018B9246" w14:textId="77777777" w:rsidR="00644864" w:rsidRDefault="003F3CE2">
      <w:pPr>
        <w:pStyle w:val="ListParagraph"/>
        <w:numPr>
          <w:ilvl w:val="0"/>
          <w:numId w:val="6"/>
        </w:numPr>
        <w:tabs>
          <w:tab w:val="left" w:pos="1026"/>
        </w:tabs>
        <w:spacing w:before="1"/>
        <w:ind w:right="308" w:firstLine="0"/>
        <w:jc w:val="both"/>
        <w:rPr>
          <w:sz w:val="24"/>
        </w:rPr>
      </w:pPr>
      <w:r>
        <w:rPr>
          <w:sz w:val="24"/>
        </w:rPr>
        <w:t>A</w:t>
      </w:r>
      <w:r>
        <w:rPr>
          <w:spacing w:val="-3"/>
          <w:sz w:val="24"/>
        </w:rPr>
        <w:t xml:space="preserve"> </w:t>
      </w:r>
      <w:r>
        <w:rPr>
          <w:sz w:val="24"/>
        </w:rPr>
        <w:t>Party</w:t>
      </w:r>
      <w:r>
        <w:rPr>
          <w:spacing w:val="-8"/>
          <w:sz w:val="24"/>
        </w:rPr>
        <w:t xml:space="preserve"> </w:t>
      </w:r>
      <w:r>
        <w:rPr>
          <w:sz w:val="24"/>
        </w:rPr>
        <w:t>may</w:t>
      </w:r>
      <w:r>
        <w:rPr>
          <w:spacing w:val="-6"/>
          <w:sz w:val="24"/>
        </w:rPr>
        <w:t xml:space="preserve"> </w:t>
      </w:r>
      <w:r>
        <w:rPr>
          <w:sz w:val="24"/>
        </w:rPr>
        <w:t>apply</w:t>
      </w:r>
      <w:r>
        <w:rPr>
          <w:spacing w:val="-6"/>
          <w:sz w:val="24"/>
        </w:rPr>
        <w:t xml:space="preserve"> </w:t>
      </w:r>
      <w:r>
        <w:rPr>
          <w:sz w:val="24"/>
        </w:rPr>
        <w:t>a</w:t>
      </w:r>
      <w:r>
        <w:rPr>
          <w:spacing w:val="-4"/>
          <w:sz w:val="24"/>
        </w:rPr>
        <w:t xml:space="preserve"> </w:t>
      </w:r>
      <w:r>
        <w:rPr>
          <w:sz w:val="24"/>
        </w:rPr>
        <w:t>transitional</w:t>
      </w:r>
      <w:r>
        <w:rPr>
          <w:spacing w:val="-3"/>
          <w:sz w:val="24"/>
        </w:rPr>
        <w:t xml:space="preserve"> </w:t>
      </w:r>
      <w:r>
        <w:rPr>
          <w:sz w:val="24"/>
        </w:rPr>
        <w:t>safeguard</w:t>
      </w:r>
      <w:r>
        <w:rPr>
          <w:spacing w:val="-2"/>
          <w:sz w:val="24"/>
        </w:rPr>
        <w:t xml:space="preserve"> </w:t>
      </w:r>
      <w:r>
        <w:rPr>
          <w:sz w:val="24"/>
        </w:rPr>
        <w:t>measure</w:t>
      </w:r>
      <w:r>
        <w:rPr>
          <w:spacing w:val="-4"/>
          <w:sz w:val="24"/>
        </w:rPr>
        <w:t xml:space="preserve"> </w:t>
      </w:r>
      <w:r>
        <w:rPr>
          <w:sz w:val="24"/>
        </w:rPr>
        <w:t>described</w:t>
      </w:r>
      <w:r>
        <w:rPr>
          <w:spacing w:val="-3"/>
          <w:sz w:val="24"/>
        </w:rPr>
        <w:t xml:space="preserve"> </w:t>
      </w:r>
      <w:r>
        <w:rPr>
          <w:sz w:val="24"/>
        </w:rPr>
        <w:t>in</w:t>
      </w:r>
      <w:r>
        <w:rPr>
          <w:spacing w:val="-3"/>
          <w:sz w:val="24"/>
        </w:rPr>
        <w:t xml:space="preserve"> </w:t>
      </w:r>
      <w:r>
        <w:rPr>
          <w:sz w:val="24"/>
        </w:rPr>
        <w:t>paragraph 2, during</w:t>
      </w:r>
      <w:r>
        <w:rPr>
          <w:spacing w:val="-3"/>
          <w:sz w:val="24"/>
        </w:rPr>
        <w:t xml:space="preserve"> </w:t>
      </w:r>
      <w:r>
        <w:rPr>
          <w:sz w:val="24"/>
        </w:rPr>
        <w:t>the transition period</w:t>
      </w:r>
      <w:r>
        <w:rPr>
          <w:spacing w:val="-1"/>
          <w:sz w:val="24"/>
        </w:rPr>
        <w:t xml:space="preserve"> </w:t>
      </w:r>
      <w:r>
        <w:rPr>
          <w:sz w:val="24"/>
        </w:rPr>
        <w:t>only, if as a result of</w:t>
      </w:r>
      <w:r>
        <w:rPr>
          <w:spacing w:val="-1"/>
          <w:sz w:val="24"/>
        </w:rPr>
        <w:t xml:space="preserve"> </w:t>
      </w:r>
      <w:r>
        <w:rPr>
          <w:sz w:val="24"/>
        </w:rPr>
        <w:t>the reduction or elimination of a customs duty pursuant to this A</w:t>
      </w:r>
      <w:r>
        <w:rPr>
          <w:sz w:val="24"/>
        </w:rPr>
        <w:t>greement:</w:t>
      </w:r>
    </w:p>
    <w:p w14:paraId="627739A1" w14:textId="77777777" w:rsidR="00644864" w:rsidRDefault="00644864">
      <w:pPr>
        <w:pStyle w:val="BodyText"/>
        <w:spacing w:before="11"/>
        <w:rPr>
          <w:sz w:val="23"/>
        </w:rPr>
      </w:pPr>
    </w:p>
    <w:p w14:paraId="12EACA28" w14:textId="77777777" w:rsidR="00644864" w:rsidRDefault="003F3CE2">
      <w:pPr>
        <w:pStyle w:val="ListParagraph"/>
        <w:numPr>
          <w:ilvl w:val="1"/>
          <w:numId w:val="6"/>
        </w:numPr>
        <w:tabs>
          <w:tab w:val="left" w:pos="1746"/>
        </w:tabs>
        <w:ind w:right="303"/>
        <w:jc w:val="both"/>
        <w:rPr>
          <w:sz w:val="24"/>
        </w:rPr>
      </w:pPr>
      <w:r>
        <w:rPr>
          <w:sz w:val="24"/>
        </w:rPr>
        <w:t>an originating good of another Party, individually, is being imported into the Party’s territory in such increased quantities, in absolute terms or relative to domestic production, and under such conditions, as to cause or threaten to cause seri</w:t>
      </w:r>
      <w:r>
        <w:rPr>
          <w:sz w:val="24"/>
        </w:rPr>
        <w:t>ous injury to the domestic industry that produces a like or directly competitive</w:t>
      </w:r>
      <w:r>
        <w:rPr>
          <w:spacing w:val="80"/>
          <w:sz w:val="24"/>
        </w:rPr>
        <w:t xml:space="preserve"> </w:t>
      </w:r>
      <w:r>
        <w:rPr>
          <w:sz w:val="24"/>
        </w:rPr>
        <w:t>good; or</w:t>
      </w:r>
    </w:p>
    <w:p w14:paraId="545A185A" w14:textId="77777777" w:rsidR="00644864" w:rsidRDefault="00644864">
      <w:pPr>
        <w:pStyle w:val="BodyText"/>
        <w:spacing w:before="1"/>
      </w:pPr>
    </w:p>
    <w:p w14:paraId="1F651AE6" w14:textId="77777777" w:rsidR="00644864" w:rsidRDefault="003F3CE2">
      <w:pPr>
        <w:pStyle w:val="ListParagraph"/>
        <w:numPr>
          <w:ilvl w:val="1"/>
          <w:numId w:val="6"/>
        </w:numPr>
        <w:tabs>
          <w:tab w:val="left" w:pos="1746"/>
        </w:tabs>
        <w:ind w:right="298"/>
        <w:jc w:val="both"/>
        <w:rPr>
          <w:sz w:val="24"/>
        </w:rPr>
      </w:pPr>
      <w:r>
        <w:rPr>
          <w:sz w:val="24"/>
        </w:rPr>
        <w:t>an originating good of two or more Parties, collectively, is being imported into the Party’s territory in such increased quantities, in absolute terms or relative to</w:t>
      </w:r>
      <w:r>
        <w:rPr>
          <w:sz w:val="24"/>
        </w:rPr>
        <w:t xml:space="preserve"> domestic production, and under such conditions, as to cause or threaten to cause serious injury to the domestic</w:t>
      </w:r>
      <w:r>
        <w:rPr>
          <w:spacing w:val="-3"/>
          <w:sz w:val="24"/>
        </w:rPr>
        <w:t xml:space="preserve"> </w:t>
      </w:r>
      <w:r>
        <w:rPr>
          <w:sz w:val="24"/>
        </w:rPr>
        <w:t>industry</w:t>
      </w:r>
      <w:r>
        <w:rPr>
          <w:spacing w:val="-6"/>
          <w:sz w:val="24"/>
        </w:rPr>
        <w:t xml:space="preserve"> </w:t>
      </w:r>
      <w:r>
        <w:rPr>
          <w:sz w:val="24"/>
        </w:rPr>
        <w:t>that</w:t>
      </w:r>
      <w:r>
        <w:rPr>
          <w:spacing w:val="-3"/>
          <w:sz w:val="24"/>
        </w:rPr>
        <w:t xml:space="preserve"> </w:t>
      </w:r>
      <w:r>
        <w:rPr>
          <w:sz w:val="24"/>
        </w:rPr>
        <w:t>produces</w:t>
      </w:r>
      <w:r>
        <w:rPr>
          <w:spacing w:val="-2"/>
          <w:sz w:val="24"/>
        </w:rPr>
        <w:t xml:space="preserve"> </w:t>
      </w:r>
      <w:r>
        <w:rPr>
          <w:sz w:val="24"/>
        </w:rPr>
        <w:t>a</w:t>
      </w:r>
      <w:r>
        <w:rPr>
          <w:spacing w:val="-2"/>
          <w:sz w:val="24"/>
        </w:rPr>
        <w:t xml:space="preserve"> </w:t>
      </w:r>
      <w:r>
        <w:rPr>
          <w:sz w:val="24"/>
        </w:rPr>
        <w:t>like</w:t>
      </w:r>
      <w:r>
        <w:rPr>
          <w:spacing w:val="-3"/>
          <w:sz w:val="24"/>
        </w:rPr>
        <w:t xml:space="preserve"> </w:t>
      </w:r>
      <w:r>
        <w:rPr>
          <w:sz w:val="24"/>
        </w:rPr>
        <w:t>or</w:t>
      </w:r>
      <w:r>
        <w:rPr>
          <w:spacing w:val="-3"/>
          <w:sz w:val="24"/>
        </w:rPr>
        <w:t xml:space="preserve"> </w:t>
      </w:r>
      <w:r>
        <w:rPr>
          <w:sz w:val="24"/>
        </w:rPr>
        <w:t>directly</w:t>
      </w:r>
      <w:r>
        <w:rPr>
          <w:spacing w:val="-5"/>
          <w:sz w:val="24"/>
        </w:rPr>
        <w:t xml:space="preserve"> </w:t>
      </w:r>
      <w:r>
        <w:rPr>
          <w:sz w:val="24"/>
        </w:rPr>
        <w:t>competitive</w:t>
      </w:r>
      <w:r>
        <w:rPr>
          <w:spacing w:val="-3"/>
          <w:sz w:val="24"/>
        </w:rPr>
        <w:t xml:space="preserve"> </w:t>
      </w:r>
      <w:r>
        <w:rPr>
          <w:sz w:val="24"/>
        </w:rPr>
        <w:t>good, provided that the Party applying the transitional safeguard measure demonstrates, with respect to the imports from each such Party against which the transitional safeguard measure is applied, that imports of the originating good from each of those Pa</w:t>
      </w:r>
      <w:r>
        <w:rPr>
          <w:sz w:val="24"/>
        </w:rPr>
        <w:t>rties have increased,</w:t>
      </w:r>
      <w:r>
        <w:rPr>
          <w:spacing w:val="40"/>
          <w:sz w:val="24"/>
        </w:rPr>
        <w:t xml:space="preserve"> </w:t>
      </w:r>
      <w:r>
        <w:rPr>
          <w:sz w:val="24"/>
        </w:rPr>
        <w:t>in</w:t>
      </w:r>
      <w:r>
        <w:rPr>
          <w:spacing w:val="40"/>
          <w:sz w:val="24"/>
        </w:rPr>
        <w:t xml:space="preserve"> </w:t>
      </w:r>
      <w:r>
        <w:rPr>
          <w:sz w:val="24"/>
        </w:rPr>
        <w:t>absolute</w:t>
      </w:r>
      <w:r>
        <w:rPr>
          <w:spacing w:val="40"/>
          <w:sz w:val="24"/>
        </w:rPr>
        <w:t xml:space="preserve"> </w:t>
      </w:r>
      <w:r>
        <w:rPr>
          <w:sz w:val="24"/>
        </w:rPr>
        <w:t>terms</w:t>
      </w:r>
      <w:r>
        <w:rPr>
          <w:spacing w:val="40"/>
          <w:sz w:val="24"/>
        </w:rPr>
        <w:t xml:space="preserve"> </w:t>
      </w:r>
      <w:r>
        <w:rPr>
          <w:sz w:val="24"/>
        </w:rPr>
        <w:t>or</w:t>
      </w:r>
      <w:r>
        <w:rPr>
          <w:spacing w:val="40"/>
          <w:sz w:val="24"/>
        </w:rPr>
        <w:t xml:space="preserve"> </w:t>
      </w:r>
      <w:r>
        <w:rPr>
          <w:sz w:val="24"/>
        </w:rPr>
        <w:t>relative</w:t>
      </w:r>
      <w:r>
        <w:rPr>
          <w:spacing w:val="40"/>
          <w:sz w:val="24"/>
        </w:rPr>
        <w:t xml:space="preserve"> </w:t>
      </w:r>
      <w:r>
        <w:rPr>
          <w:sz w:val="24"/>
        </w:rPr>
        <w:t>to</w:t>
      </w:r>
      <w:r>
        <w:rPr>
          <w:spacing w:val="40"/>
          <w:sz w:val="24"/>
        </w:rPr>
        <w:t xml:space="preserve"> </w:t>
      </w:r>
      <w:r>
        <w:rPr>
          <w:sz w:val="24"/>
        </w:rPr>
        <w:t>domestic</w:t>
      </w:r>
      <w:r>
        <w:rPr>
          <w:spacing w:val="40"/>
          <w:sz w:val="24"/>
        </w:rPr>
        <w:t xml:space="preserve"> </w:t>
      </w:r>
      <w:r>
        <w:rPr>
          <w:sz w:val="24"/>
        </w:rPr>
        <w:t>production,</w:t>
      </w:r>
    </w:p>
    <w:p w14:paraId="04C5BA1B" w14:textId="77777777" w:rsidR="00644864" w:rsidRDefault="00644864">
      <w:pPr>
        <w:jc w:val="both"/>
        <w:rPr>
          <w:sz w:val="24"/>
        </w:rPr>
        <w:sectPr w:rsidR="00644864">
          <w:pgSz w:w="11910" w:h="16850"/>
          <w:pgMar w:top="1720" w:right="1680" w:bottom="1200" w:left="1680" w:header="0" w:footer="1019" w:gutter="0"/>
          <w:cols w:space="720"/>
        </w:sectPr>
      </w:pPr>
    </w:p>
    <w:p w14:paraId="30815B67" w14:textId="77777777" w:rsidR="00644864" w:rsidRDefault="003F3CE2">
      <w:pPr>
        <w:pStyle w:val="BodyText"/>
        <w:spacing w:before="69"/>
        <w:ind w:left="1745"/>
      </w:pPr>
      <w:r>
        <w:lastRenderedPageBreak/>
        <w:t>since</w:t>
      </w:r>
      <w:r>
        <w:rPr>
          <w:spacing w:val="40"/>
        </w:rPr>
        <w:t xml:space="preserve"> </w:t>
      </w:r>
      <w:r>
        <w:t>the</w:t>
      </w:r>
      <w:r>
        <w:rPr>
          <w:spacing w:val="40"/>
        </w:rPr>
        <w:t xml:space="preserve"> </w:t>
      </w:r>
      <w:r>
        <w:t>date</w:t>
      </w:r>
      <w:r>
        <w:rPr>
          <w:spacing w:val="40"/>
        </w:rPr>
        <w:t xml:space="preserve"> </w:t>
      </w:r>
      <w:r>
        <w:t>of</w:t>
      </w:r>
      <w:r>
        <w:rPr>
          <w:spacing w:val="40"/>
        </w:rPr>
        <w:t xml:space="preserve"> </w:t>
      </w:r>
      <w:r>
        <w:t>entry</w:t>
      </w:r>
      <w:r>
        <w:rPr>
          <w:spacing w:val="40"/>
        </w:rPr>
        <w:t xml:space="preserve"> </w:t>
      </w:r>
      <w:r>
        <w:t>into</w:t>
      </w:r>
      <w:r>
        <w:rPr>
          <w:spacing w:val="40"/>
        </w:rPr>
        <w:t xml:space="preserve"> </w:t>
      </w:r>
      <w:r>
        <w:t>force</w:t>
      </w:r>
      <w:r>
        <w:rPr>
          <w:spacing w:val="40"/>
        </w:rPr>
        <w:t xml:space="preserve"> </w:t>
      </w:r>
      <w:r>
        <w:t>of</w:t>
      </w:r>
      <w:r>
        <w:rPr>
          <w:spacing w:val="40"/>
        </w:rPr>
        <w:t xml:space="preserve"> </w:t>
      </w:r>
      <w:r>
        <w:t>this</w:t>
      </w:r>
      <w:r>
        <w:rPr>
          <w:spacing w:val="40"/>
        </w:rPr>
        <w:t xml:space="preserve"> </w:t>
      </w:r>
      <w:r>
        <w:t>Agreement</w:t>
      </w:r>
      <w:r>
        <w:rPr>
          <w:spacing w:val="40"/>
        </w:rPr>
        <w:t xml:space="preserve"> </w:t>
      </w:r>
      <w:r>
        <w:t>for</w:t>
      </w:r>
      <w:r>
        <w:rPr>
          <w:spacing w:val="40"/>
        </w:rPr>
        <w:t xml:space="preserve"> </w:t>
      </w:r>
      <w:r>
        <w:t>those</w:t>
      </w:r>
      <w:r>
        <w:rPr>
          <w:spacing w:val="40"/>
        </w:rPr>
        <w:t xml:space="preserve"> </w:t>
      </w:r>
      <w:r>
        <w:rPr>
          <w:spacing w:val="-2"/>
        </w:rPr>
        <w:t>Parties.</w:t>
      </w:r>
    </w:p>
    <w:p w14:paraId="6D9C3DBB" w14:textId="77777777" w:rsidR="00644864" w:rsidRDefault="00644864">
      <w:pPr>
        <w:pStyle w:val="BodyText"/>
      </w:pPr>
    </w:p>
    <w:p w14:paraId="1DF91B6F" w14:textId="77777777" w:rsidR="00644864" w:rsidRDefault="003F3CE2">
      <w:pPr>
        <w:pStyle w:val="ListParagraph"/>
        <w:numPr>
          <w:ilvl w:val="0"/>
          <w:numId w:val="6"/>
        </w:numPr>
        <w:tabs>
          <w:tab w:val="left" w:pos="1026"/>
        </w:tabs>
        <w:ind w:firstLine="0"/>
        <w:jc w:val="both"/>
        <w:rPr>
          <w:sz w:val="24"/>
        </w:rPr>
      </w:pPr>
      <w:r>
        <w:rPr>
          <w:sz w:val="24"/>
        </w:rPr>
        <w:t>If the conditions in paragraph 1 are met, the Party may, to the extent necessary to prevent or remedy serious injury and to facilitate adjustment:</w:t>
      </w:r>
    </w:p>
    <w:p w14:paraId="789E2565" w14:textId="77777777" w:rsidR="00644864" w:rsidRDefault="00644864">
      <w:pPr>
        <w:pStyle w:val="BodyText"/>
      </w:pPr>
    </w:p>
    <w:p w14:paraId="660D9D1C" w14:textId="77777777" w:rsidR="00644864" w:rsidRDefault="003F3CE2">
      <w:pPr>
        <w:pStyle w:val="ListParagraph"/>
        <w:numPr>
          <w:ilvl w:val="1"/>
          <w:numId w:val="6"/>
        </w:numPr>
        <w:tabs>
          <w:tab w:val="left" w:pos="1745"/>
          <w:tab w:val="left" w:pos="1746"/>
        </w:tabs>
        <w:rPr>
          <w:sz w:val="24"/>
        </w:rPr>
      </w:pPr>
      <w:r>
        <w:rPr>
          <w:sz w:val="24"/>
        </w:rPr>
        <w:t>suspend the further reduction of any rate of customs duty provided for under this Agreement on the good; or</w:t>
      </w:r>
    </w:p>
    <w:p w14:paraId="33511A1B" w14:textId="77777777" w:rsidR="00644864" w:rsidRDefault="00644864">
      <w:pPr>
        <w:pStyle w:val="BodyText"/>
      </w:pPr>
    </w:p>
    <w:p w14:paraId="49635CF8" w14:textId="77777777" w:rsidR="00644864" w:rsidRDefault="003F3CE2">
      <w:pPr>
        <w:pStyle w:val="ListParagraph"/>
        <w:numPr>
          <w:ilvl w:val="1"/>
          <w:numId w:val="6"/>
        </w:numPr>
        <w:tabs>
          <w:tab w:val="left" w:pos="1724"/>
          <w:tab w:val="left" w:pos="1725"/>
        </w:tabs>
        <w:ind w:left="1724" w:right="300" w:hanging="711"/>
        <w:rPr>
          <w:sz w:val="24"/>
        </w:rPr>
      </w:pPr>
      <w:r>
        <w:rPr>
          <w:sz w:val="24"/>
        </w:rPr>
        <w:t>increase</w:t>
      </w:r>
      <w:r>
        <w:rPr>
          <w:spacing w:val="40"/>
          <w:sz w:val="24"/>
        </w:rPr>
        <w:t xml:space="preserve"> </w:t>
      </w:r>
      <w:r>
        <w:rPr>
          <w:sz w:val="24"/>
        </w:rPr>
        <w:t>the</w:t>
      </w:r>
      <w:r>
        <w:rPr>
          <w:spacing w:val="40"/>
          <w:sz w:val="24"/>
        </w:rPr>
        <w:t xml:space="preserve"> </w:t>
      </w:r>
      <w:r>
        <w:rPr>
          <w:sz w:val="24"/>
        </w:rPr>
        <w:t>rate</w:t>
      </w:r>
      <w:r>
        <w:rPr>
          <w:spacing w:val="40"/>
          <w:sz w:val="24"/>
        </w:rPr>
        <w:t xml:space="preserve"> </w:t>
      </w:r>
      <w:r>
        <w:rPr>
          <w:sz w:val="24"/>
        </w:rPr>
        <w:t>of</w:t>
      </w:r>
      <w:r>
        <w:rPr>
          <w:spacing w:val="40"/>
          <w:sz w:val="24"/>
        </w:rPr>
        <w:t xml:space="preserve"> </w:t>
      </w:r>
      <w:r>
        <w:rPr>
          <w:sz w:val="24"/>
        </w:rPr>
        <w:t>customs</w:t>
      </w:r>
      <w:r>
        <w:rPr>
          <w:spacing w:val="40"/>
          <w:sz w:val="24"/>
        </w:rPr>
        <w:t xml:space="preserve"> </w:t>
      </w:r>
      <w:r>
        <w:rPr>
          <w:sz w:val="24"/>
        </w:rPr>
        <w:t>duty</w:t>
      </w:r>
      <w:r>
        <w:rPr>
          <w:spacing w:val="38"/>
          <w:sz w:val="24"/>
        </w:rPr>
        <w:t xml:space="preserve"> </w:t>
      </w:r>
      <w:r>
        <w:rPr>
          <w:sz w:val="24"/>
        </w:rPr>
        <w:t>on</w:t>
      </w:r>
      <w:r>
        <w:rPr>
          <w:spacing w:val="40"/>
          <w:sz w:val="24"/>
        </w:rPr>
        <w:t xml:space="preserve"> </w:t>
      </w:r>
      <w:r>
        <w:rPr>
          <w:sz w:val="24"/>
        </w:rPr>
        <w:t>the</w:t>
      </w:r>
      <w:r>
        <w:rPr>
          <w:spacing w:val="40"/>
          <w:sz w:val="24"/>
        </w:rPr>
        <w:t xml:space="preserve"> </w:t>
      </w:r>
      <w:r>
        <w:rPr>
          <w:sz w:val="24"/>
        </w:rPr>
        <w:t>good</w:t>
      </w:r>
      <w:r>
        <w:rPr>
          <w:spacing w:val="40"/>
          <w:sz w:val="24"/>
        </w:rPr>
        <w:t xml:space="preserve"> </w:t>
      </w:r>
      <w:r>
        <w:rPr>
          <w:sz w:val="24"/>
        </w:rPr>
        <w:t>to</w:t>
      </w:r>
      <w:r>
        <w:rPr>
          <w:spacing w:val="40"/>
          <w:sz w:val="24"/>
        </w:rPr>
        <w:t xml:space="preserve"> </w:t>
      </w:r>
      <w:r>
        <w:rPr>
          <w:sz w:val="24"/>
        </w:rPr>
        <w:t>a</w:t>
      </w:r>
      <w:r>
        <w:rPr>
          <w:spacing w:val="40"/>
          <w:sz w:val="24"/>
        </w:rPr>
        <w:t xml:space="preserve"> </w:t>
      </w:r>
      <w:r>
        <w:rPr>
          <w:sz w:val="24"/>
        </w:rPr>
        <w:t>level</w:t>
      </w:r>
      <w:r>
        <w:rPr>
          <w:spacing w:val="40"/>
          <w:sz w:val="24"/>
        </w:rPr>
        <w:t xml:space="preserve"> </w:t>
      </w:r>
      <w:r>
        <w:rPr>
          <w:sz w:val="24"/>
        </w:rPr>
        <w:t>not</w:t>
      </w:r>
      <w:r>
        <w:rPr>
          <w:spacing w:val="40"/>
          <w:sz w:val="24"/>
        </w:rPr>
        <w:t xml:space="preserve"> </w:t>
      </w:r>
      <w:r>
        <w:rPr>
          <w:sz w:val="24"/>
        </w:rPr>
        <w:t>to exceed the lesser of:</w:t>
      </w:r>
    </w:p>
    <w:p w14:paraId="03F263CC" w14:textId="77777777" w:rsidR="00644864" w:rsidRDefault="00644864">
      <w:pPr>
        <w:pStyle w:val="BodyText"/>
        <w:spacing w:before="1"/>
      </w:pPr>
    </w:p>
    <w:p w14:paraId="04EB4A73" w14:textId="77777777" w:rsidR="00644864" w:rsidRDefault="003F3CE2">
      <w:pPr>
        <w:pStyle w:val="ListParagraph"/>
        <w:numPr>
          <w:ilvl w:val="2"/>
          <w:numId w:val="6"/>
        </w:numPr>
        <w:tabs>
          <w:tab w:val="left" w:pos="2466"/>
        </w:tabs>
        <w:ind w:right="307"/>
        <w:jc w:val="both"/>
        <w:rPr>
          <w:sz w:val="24"/>
        </w:rPr>
      </w:pPr>
      <w:r>
        <w:rPr>
          <w:sz w:val="24"/>
        </w:rPr>
        <w:t>the most-</w:t>
      </w:r>
      <w:proofErr w:type="spellStart"/>
      <w:r>
        <w:rPr>
          <w:sz w:val="24"/>
        </w:rPr>
        <w:t>favoured</w:t>
      </w:r>
      <w:proofErr w:type="spellEnd"/>
      <w:r>
        <w:rPr>
          <w:sz w:val="24"/>
        </w:rPr>
        <w:t>-nation applied rate of customs duty in effect at the time the measure is applied; and</w:t>
      </w:r>
    </w:p>
    <w:p w14:paraId="5193E03D" w14:textId="77777777" w:rsidR="00644864" w:rsidRDefault="00644864">
      <w:pPr>
        <w:pStyle w:val="BodyText"/>
      </w:pPr>
    </w:p>
    <w:p w14:paraId="310E626C" w14:textId="77777777" w:rsidR="00644864" w:rsidRDefault="003F3CE2">
      <w:pPr>
        <w:pStyle w:val="ListParagraph"/>
        <w:numPr>
          <w:ilvl w:val="2"/>
          <w:numId w:val="6"/>
        </w:numPr>
        <w:tabs>
          <w:tab w:val="left" w:pos="2466"/>
        </w:tabs>
        <w:jc w:val="both"/>
        <w:rPr>
          <w:sz w:val="24"/>
        </w:rPr>
      </w:pPr>
      <w:r>
        <w:rPr>
          <w:sz w:val="24"/>
        </w:rPr>
        <w:t>the most-</w:t>
      </w:r>
      <w:proofErr w:type="spellStart"/>
      <w:r>
        <w:rPr>
          <w:sz w:val="24"/>
        </w:rPr>
        <w:t>favoured</w:t>
      </w:r>
      <w:proofErr w:type="spellEnd"/>
      <w:r>
        <w:rPr>
          <w:sz w:val="24"/>
        </w:rPr>
        <w:t>-nation applied rate of</w:t>
      </w:r>
      <w:r>
        <w:rPr>
          <w:sz w:val="24"/>
        </w:rPr>
        <w:t xml:space="preserve"> customs duty in effect on the day immediately preceding the date of entry into force of this Agreement for that Party.</w:t>
      </w:r>
    </w:p>
    <w:p w14:paraId="0FE2900B" w14:textId="77777777" w:rsidR="00644864" w:rsidRDefault="00644864">
      <w:pPr>
        <w:pStyle w:val="BodyText"/>
      </w:pPr>
    </w:p>
    <w:p w14:paraId="01BCC26D" w14:textId="77777777" w:rsidR="00644864" w:rsidRDefault="003F3CE2">
      <w:pPr>
        <w:pStyle w:val="BodyText"/>
        <w:ind w:left="305"/>
      </w:pPr>
      <w:r>
        <w:t>The Parties understand that neither tariff rate quotas nor quantitative restrictions</w:t>
      </w:r>
      <w:r>
        <w:rPr>
          <w:spacing w:val="40"/>
        </w:rPr>
        <w:t xml:space="preserve"> </w:t>
      </w:r>
      <w:r>
        <w:t>would be a permissible form of transitional safegu</w:t>
      </w:r>
      <w:r>
        <w:t>ard measure.</w:t>
      </w:r>
    </w:p>
    <w:p w14:paraId="417B8D90" w14:textId="77777777" w:rsidR="00644864" w:rsidRDefault="00644864">
      <w:pPr>
        <w:pStyle w:val="BodyText"/>
        <w:rPr>
          <w:sz w:val="26"/>
        </w:rPr>
      </w:pPr>
    </w:p>
    <w:p w14:paraId="3BF2AF79" w14:textId="77777777" w:rsidR="00644864" w:rsidRDefault="00644864">
      <w:pPr>
        <w:pStyle w:val="BodyText"/>
        <w:spacing w:before="5"/>
        <w:rPr>
          <w:sz w:val="22"/>
        </w:rPr>
      </w:pPr>
    </w:p>
    <w:p w14:paraId="68427D7C" w14:textId="77777777" w:rsidR="00644864" w:rsidRDefault="003F3CE2">
      <w:pPr>
        <w:pStyle w:val="Heading1"/>
      </w:pPr>
      <w:r>
        <w:t>Article</w:t>
      </w:r>
      <w:r>
        <w:rPr>
          <w:spacing w:val="-7"/>
        </w:rPr>
        <w:t xml:space="preserve"> </w:t>
      </w:r>
      <w:r>
        <w:t>6.4:</w:t>
      </w:r>
      <w:r>
        <w:rPr>
          <w:spacing w:val="47"/>
        </w:rPr>
        <w:t xml:space="preserve"> </w:t>
      </w:r>
      <w:r>
        <w:t>Standards</w:t>
      </w:r>
      <w:r>
        <w:rPr>
          <w:spacing w:val="-5"/>
        </w:rPr>
        <w:t xml:space="preserve"> </w:t>
      </w:r>
      <w:r>
        <w:t>for</w:t>
      </w:r>
      <w:r>
        <w:rPr>
          <w:spacing w:val="-7"/>
        </w:rPr>
        <w:t xml:space="preserve"> </w:t>
      </w:r>
      <w:r>
        <w:t>a</w:t>
      </w:r>
      <w:r>
        <w:rPr>
          <w:spacing w:val="-5"/>
        </w:rPr>
        <w:t xml:space="preserve"> </w:t>
      </w:r>
      <w:r>
        <w:t>Transitional</w:t>
      </w:r>
      <w:r>
        <w:rPr>
          <w:spacing w:val="-7"/>
        </w:rPr>
        <w:t xml:space="preserve"> </w:t>
      </w:r>
      <w:r>
        <w:t>Safeguard</w:t>
      </w:r>
      <w:r>
        <w:rPr>
          <w:spacing w:val="-5"/>
        </w:rPr>
        <w:t xml:space="preserve"> </w:t>
      </w:r>
      <w:r>
        <w:rPr>
          <w:spacing w:val="-2"/>
        </w:rPr>
        <w:t>Measure</w:t>
      </w:r>
    </w:p>
    <w:p w14:paraId="59D4F7A7" w14:textId="77777777" w:rsidR="00644864" w:rsidRDefault="00644864">
      <w:pPr>
        <w:pStyle w:val="BodyText"/>
        <w:spacing w:before="7"/>
        <w:rPr>
          <w:b/>
          <w:sz w:val="23"/>
        </w:rPr>
      </w:pPr>
    </w:p>
    <w:p w14:paraId="5A2DBA4D" w14:textId="77777777" w:rsidR="00644864" w:rsidRDefault="003F3CE2">
      <w:pPr>
        <w:pStyle w:val="ListParagraph"/>
        <w:numPr>
          <w:ilvl w:val="0"/>
          <w:numId w:val="5"/>
        </w:numPr>
        <w:tabs>
          <w:tab w:val="left" w:pos="1026"/>
        </w:tabs>
        <w:ind w:right="303" w:firstLine="0"/>
        <w:jc w:val="both"/>
        <w:rPr>
          <w:sz w:val="24"/>
        </w:rPr>
      </w:pPr>
      <w:r>
        <w:rPr>
          <w:sz w:val="24"/>
        </w:rPr>
        <w:t>A Party shall maintain a transitional safeguard measure only for</w:t>
      </w:r>
      <w:r>
        <w:rPr>
          <w:sz w:val="24"/>
        </w:rPr>
        <w:t xml:space="preserve"> such period of time as may be necessary to prevent or remedy serious injury and to facilitate adjustment.</w:t>
      </w:r>
    </w:p>
    <w:p w14:paraId="275106BF" w14:textId="77777777" w:rsidR="00644864" w:rsidRDefault="00644864">
      <w:pPr>
        <w:pStyle w:val="BodyText"/>
        <w:spacing w:before="9"/>
        <w:rPr>
          <w:sz w:val="23"/>
        </w:rPr>
      </w:pPr>
    </w:p>
    <w:p w14:paraId="6A7CA101" w14:textId="77777777" w:rsidR="00644864" w:rsidRDefault="003F3CE2">
      <w:pPr>
        <w:pStyle w:val="ListParagraph"/>
        <w:numPr>
          <w:ilvl w:val="0"/>
          <w:numId w:val="5"/>
        </w:numPr>
        <w:tabs>
          <w:tab w:val="left" w:pos="1026"/>
        </w:tabs>
        <w:ind w:right="300" w:firstLine="0"/>
        <w:jc w:val="both"/>
        <w:rPr>
          <w:sz w:val="24"/>
        </w:rPr>
      </w:pPr>
      <w:r>
        <w:rPr>
          <w:sz w:val="24"/>
        </w:rPr>
        <w:t>That period shall not exceed two years, except that the period may be extended by up to one year if the competent authority of the Party that applie</w:t>
      </w:r>
      <w:r>
        <w:rPr>
          <w:sz w:val="24"/>
        </w:rPr>
        <w:t>s the measure determines, in conformity with the procedures set out in Article 6.5 (Investigation Procedures and Transparency Requirements), that the transitional safeguard measure continues to be necessary to prevent or remedy serious injury and to facili</w:t>
      </w:r>
      <w:r>
        <w:rPr>
          <w:sz w:val="24"/>
        </w:rPr>
        <w:t>tate adjustment.</w:t>
      </w:r>
    </w:p>
    <w:p w14:paraId="4A39987A" w14:textId="77777777" w:rsidR="00644864" w:rsidRDefault="00644864">
      <w:pPr>
        <w:pStyle w:val="BodyText"/>
      </w:pPr>
    </w:p>
    <w:p w14:paraId="1E9B567D" w14:textId="77777777" w:rsidR="00644864" w:rsidRDefault="003F3CE2">
      <w:pPr>
        <w:pStyle w:val="ListParagraph"/>
        <w:numPr>
          <w:ilvl w:val="0"/>
          <w:numId w:val="5"/>
        </w:numPr>
        <w:tabs>
          <w:tab w:val="left" w:pos="1026"/>
        </w:tabs>
        <w:ind w:right="304" w:firstLine="0"/>
        <w:jc w:val="both"/>
        <w:rPr>
          <w:sz w:val="24"/>
        </w:rPr>
      </w:pPr>
      <w:r>
        <w:rPr>
          <w:sz w:val="24"/>
        </w:rPr>
        <w:t>No Party shall maintain a transitional safeguard measure beyond the expiration of the transition period.</w:t>
      </w:r>
    </w:p>
    <w:p w14:paraId="4851CEE7" w14:textId="77777777" w:rsidR="00644864" w:rsidRDefault="00644864">
      <w:pPr>
        <w:pStyle w:val="BodyText"/>
        <w:spacing w:before="1"/>
      </w:pPr>
    </w:p>
    <w:p w14:paraId="057B576D" w14:textId="77777777" w:rsidR="00644864" w:rsidRDefault="003F3CE2">
      <w:pPr>
        <w:pStyle w:val="ListParagraph"/>
        <w:numPr>
          <w:ilvl w:val="0"/>
          <w:numId w:val="5"/>
        </w:numPr>
        <w:tabs>
          <w:tab w:val="left" w:pos="1026"/>
        </w:tabs>
        <w:ind w:right="298" w:firstLine="0"/>
        <w:jc w:val="both"/>
        <w:rPr>
          <w:sz w:val="24"/>
        </w:rPr>
      </w:pPr>
      <w:r>
        <w:rPr>
          <w:sz w:val="24"/>
        </w:rPr>
        <w:t>In order to facilitate adjustment in a situation where the expected duration of a transitional safeguard measure is over one year, t</w:t>
      </w:r>
      <w:r>
        <w:rPr>
          <w:sz w:val="24"/>
        </w:rPr>
        <w:t xml:space="preserve">he Party that applies the measure shall progressively </w:t>
      </w:r>
      <w:proofErr w:type="spellStart"/>
      <w:r>
        <w:rPr>
          <w:sz w:val="24"/>
        </w:rPr>
        <w:t>liberalise</w:t>
      </w:r>
      <w:proofErr w:type="spellEnd"/>
      <w:r>
        <w:rPr>
          <w:sz w:val="24"/>
        </w:rPr>
        <w:t xml:space="preserve"> it at regular intervals during the period of </w:t>
      </w:r>
      <w:r>
        <w:rPr>
          <w:spacing w:val="-2"/>
          <w:sz w:val="24"/>
        </w:rPr>
        <w:t>application.</w:t>
      </w:r>
    </w:p>
    <w:p w14:paraId="67D5AC77" w14:textId="77777777" w:rsidR="00644864" w:rsidRDefault="00644864">
      <w:pPr>
        <w:pStyle w:val="BodyText"/>
      </w:pPr>
    </w:p>
    <w:p w14:paraId="0B463018" w14:textId="77777777" w:rsidR="00644864" w:rsidRDefault="003F3CE2">
      <w:pPr>
        <w:pStyle w:val="ListParagraph"/>
        <w:numPr>
          <w:ilvl w:val="0"/>
          <w:numId w:val="5"/>
        </w:numPr>
        <w:tabs>
          <w:tab w:val="left" w:pos="1026"/>
        </w:tabs>
        <w:ind w:right="308" w:firstLine="0"/>
        <w:jc w:val="both"/>
        <w:rPr>
          <w:sz w:val="24"/>
        </w:rPr>
      </w:pPr>
      <w:r>
        <w:rPr>
          <w:sz w:val="24"/>
        </w:rPr>
        <w:t>On the termination of a transitional safeguard measure, the Party that applied</w:t>
      </w:r>
      <w:r>
        <w:rPr>
          <w:spacing w:val="34"/>
          <w:sz w:val="24"/>
        </w:rPr>
        <w:t xml:space="preserve"> </w:t>
      </w:r>
      <w:r>
        <w:rPr>
          <w:sz w:val="24"/>
        </w:rPr>
        <w:t>the</w:t>
      </w:r>
      <w:r>
        <w:rPr>
          <w:spacing w:val="33"/>
          <w:sz w:val="24"/>
        </w:rPr>
        <w:t xml:space="preserve"> </w:t>
      </w:r>
      <w:r>
        <w:rPr>
          <w:sz w:val="24"/>
        </w:rPr>
        <w:t>measure</w:t>
      </w:r>
      <w:r>
        <w:rPr>
          <w:spacing w:val="32"/>
          <w:sz w:val="24"/>
        </w:rPr>
        <w:t xml:space="preserve"> </w:t>
      </w:r>
      <w:r>
        <w:rPr>
          <w:sz w:val="24"/>
        </w:rPr>
        <w:t>shall</w:t>
      </w:r>
      <w:r>
        <w:rPr>
          <w:spacing w:val="34"/>
          <w:sz w:val="24"/>
        </w:rPr>
        <w:t xml:space="preserve"> </w:t>
      </w:r>
      <w:r>
        <w:rPr>
          <w:sz w:val="24"/>
        </w:rPr>
        <w:t>apply</w:t>
      </w:r>
      <w:r>
        <w:rPr>
          <w:spacing w:val="28"/>
          <w:sz w:val="24"/>
        </w:rPr>
        <w:t xml:space="preserve"> </w:t>
      </w:r>
      <w:r>
        <w:rPr>
          <w:sz w:val="24"/>
        </w:rPr>
        <w:t>the</w:t>
      </w:r>
      <w:r>
        <w:rPr>
          <w:spacing w:val="35"/>
          <w:sz w:val="24"/>
        </w:rPr>
        <w:t xml:space="preserve"> </w:t>
      </w:r>
      <w:r>
        <w:rPr>
          <w:sz w:val="24"/>
        </w:rPr>
        <w:t>rate</w:t>
      </w:r>
      <w:r>
        <w:rPr>
          <w:spacing w:val="32"/>
          <w:sz w:val="24"/>
        </w:rPr>
        <w:t xml:space="preserve"> </w:t>
      </w:r>
      <w:r>
        <w:rPr>
          <w:sz w:val="24"/>
        </w:rPr>
        <w:t>of</w:t>
      </w:r>
      <w:r>
        <w:rPr>
          <w:spacing w:val="35"/>
          <w:sz w:val="24"/>
        </w:rPr>
        <w:t xml:space="preserve"> </w:t>
      </w:r>
      <w:r>
        <w:rPr>
          <w:sz w:val="24"/>
        </w:rPr>
        <w:t>customs</w:t>
      </w:r>
      <w:r>
        <w:rPr>
          <w:spacing w:val="33"/>
          <w:sz w:val="24"/>
        </w:rPr>
        <w:t xml:space="preserve"> </w:t>
      </w:r>
      <w:r>
        <w:rPr>
          <w:sz w:val="24"/>
        </w:rPr>
        <w:t>duty</w:t>
      </w:r>
      <w:r>
        <w:rPr>
          <w:spacing w:val="28"/>
          <w:sz w:val="24"/>
        </w:rPr>
        <w:t xml:space="preserve"> </w:t>
      </w:r>
      <w:r>
        <w:rPr>
          <w:sz w:val="24"/>
        </w:rPr>
        <w:t>set</w:t>
      </w:r>
      <w:r>
        <w:rPr>
          <w:spacing w:val="34"/>
          <w:sz w:val="24"/>
        </w:rPr>
        <w:t xml:space="preserve"> </w:t>
      </w:r>
      <w:r>
        <w:rPr>
          <w:sz w:val="24"/>
        </w:rPr>
        <w:t>out</w:t>
      </w:r>
      <w:r>
        <w:rPr>
          <w:spacing w:val="34"/>
          <w:sz w:val="24"/>
        </w:rPr>
        <w:t xml:space="preserve"> </w:t>
      </w:r>
      <w:r>
        <w:rPr>
          <w:sz w:val="24"/>
        </w:rPr>
        <w:t>in</w:t>
      </w:r>
      <w:r>
        <w:rPr>
          <w:spacing w:val="34"/>
          <w:sz w:val="24"/>
        </w:rPr>
        <w:t xml:space="preserve"> </w:t>
      </w:r>
      <w:r>
        <w:rPr>
          <w:sz w:val="24"/>
        </w:rPr>
        <w:t>the</w:t>
      </w:r>
      <w:r>
        <w:rPr>
          <w:spacing w:val="35"/>
          <w:sz w:val="24"/>
        </w:rPr>
        <w:t xml:space="preserve"> </w:t>
      </w:r>
      <w:r>
        <w:rPr>
          <w:sz w:val="24"/>
        </w:rPr>
        <w:t>Party’s</w:t>
      </w:r>
    </w:p>
    <w:p w14:paraId="1EAFBA8C" w14:textId="77777777" w:rsidR="00644864" w:rsidRDefault="00644864">
      <w:pPr>
        <w:jc w:val="both"/>
        <w:rPr>
          <w:sz w:val="24"/>
        </w:rPr>
        <w:sectPr w:rsidR="00644864">
          <w:pgSz w:w="11910" w:h="16850"/>
          <w:pgMar w:top="1720" w:right="1680" w:bottom="1200" w:left="1680" w:header="0" w:footer="1019" w:gutter="0"/>
          <w:cols w:space="720"/>
        </w:sectPr>
      </w:pPr>
    </w:p>
    <w:p w14:paraId="56945EAE" w14:textId="77777777" w:rsidR="00644864" w:rsidRDefault="003F3CE2">
      <w:pPr>
        <w:pStyle w:val="BodyText"/>
        <w:spacing w:before="69"/>
        <w:ind w:left="305" w:right="346"/>
      </w:pPr>
      <w:r>
        <w:lastRenderedPageBreak/>
        <w:t>Schedule to Annex 2-D (Tariff Commitments) as if that Party had never applied</w:t>
      </w:r>
      <w:r>
        <w:rPr>
          <w:spacing w:val="40"/>
        </w:rPr>
        <w:t xml:space="preserve"> </w:t>
      </w:r>
      <w:r>
        <w:t>the transitional safeguard measure.</w:t>
      </w:r>
    </w:p>
    <w:p w14:paraId="1501208A" w14:textId="77777777" w:rsidR="00644864" w:rsidRDefault="00644864">
      <w:pPr>
        <w:pStyle w:val="BodyText"/>
      </w:pPr>
    </w:p>
    <w:p w14:paraId="674A141D" w14:textId="77777777" w:rsidR="00644864" w:rsidRDefault="003F3CE2">
      <w:pPr>
        <w:pStyle w:val="ListParagraph"/>
        <w:numPr>
          <w:ilvl w:val="0"/>
          <w:numId w:val="5"/>
        </w:numPr>
        <w:tabs>
          <w:tab w:val="left" w:pos="1026"/>
        </w:tabs>
        <w:ind w:right="305" w:firstLine="0"/>
        <w:jc w:val="both"/>
        <w:rPr>
          <w:sz w:val="24"/>
        </w:rPr>
      </w:pPr>
      <w:r>
        <w:rPr>
          <w:sz w:val="24"/>
        </w:rPr>
        <w:t>No Party shall apply a transitional safeguard measure more than once on the same good.</w:t>
      </w:r>
    </w:p>
    <w:p w14:paraId="1FF28F67" w14:textId="77777777" w:rsidR="00644864" w:rsidRDefault="00644864">
      <w:pPr>
        <w:pStyle w:val="BodyText"/>
        <w:rPr>
          <w:sz w:val="26"/>
        </w:rPr>
      </w:pPr>
    </w:p>
    <w:p w14:paraId="3774275A" w14:textId="77777777" w:rsidR="00644864" w:rsidRDefault="00644864">
      <w:pPr>
        <w:pStyle w:val="BodyText"/>
        <w:spacing w:before="5"/>
        <w:rPr>
          <w:sz w:val="22"/>
        </w:rPr>
      </w:pPr>
    </w:p>
    <w:p w14:paraId="7E1685BA" w14:textId="77777777" w:rsidR="00644864" w:rsidRDefault="003F3CE2">
      <w:pPr>
        <w:pStyle w:val="Heading1"/>
      </w:pPr>
      <w:r>
        <w:t>Article</w:t>
      </w:r>
      <w:r>
        <w:rPr>
          <w:spacing w:val="-8"/>
        </w:rPr>
        <w:t xml:space="preserve"> </w:t>
      </w:r>
      <w:r>
        <w:t>6.5:</w:t>
      </w:r>
      <w:r>
        <w:rPr>
          <w:spacing w:val="46"/>
        </w:rPr>
        <w:t xml:space="preserve"> </w:t>
      </w:r>
      <w:r>
        <w:t>Investigation</w:t>
      </w:r>
      <w:r>
        <w:rPr>
          <w:spacing w:val="-6"/>
        </w:rPr>
        <w:t xml:space="preserve"> </w:t>
      </w:r>
      <w:r>
        <w:t>Procedures</w:t>
      </w:r>
      <w:r>
        <w:rPr>
          <w:spacing w:val="-7"/>
        </w:rPr>
        <w:t xml:space="preserve"> </w:t>
      </w:r>
      <w:r>
        <w:t>and</w:t>
      </w:r>
      <w:r>
        <w:rPr>
          <w:spacing w:val="-6"/>
        </w:rPr>
        <w:t xml:space="preserve"> </w:t>
      </w:r>
      <w:r>
        <w:t>Transparency</w:t>
      </w:r>
      <w:r>
        <w:rPr>
          <w:spacing w:val="-4"/>
        </w:rPr>
        <w:t xml:space="preserve"> </w:t>
      </w:r>
      <w:r>
        <w:rPr>
          <w:spacing w:val="-2"/>
        </w:rPr>
        <w:t>Requirements</w:t>
      </w:r>
    </w:p>
    <w:p w14:paraId="41152F33" w14:textId="77777777" w:rsidR="00644864" w:rsidRDefault="00644864">
      <w:pPr>
        <w:pStyle w:val="BodyText"/>
        <w:spacing w:before="6"/>
        <w:rPr>
          <w:b/>
          <w:sz w:val="23"/>
        </w:rPr>
      </w:pPr>
    </w:p>
    <w:p w14:paraId="64C09077" w14:textId="77777777" w:rsidR="00644864" w:rsidRDefault="003F3CE2">
      <w:pPr>
        <w:pStyle w:val="ListParagraph"/>
        <w:numPr>
          <w:ilvl w:val="0"/>
          <w:numId w:val="4"/>
        </w:numPr>
        <w:tabs>
          <w:tab w:val="left" w:pos="1026"/>
        </w:tabs>
        <w:spacing w:before="1"/>
        <w:ind w:right="300" w:firstLine="0"/>
        <w:jc w:val="both"/>
        <w:rPr>
          <w:sz w:val="24"/>
        </w:rPr>
      </w:pPr>
      <w:r>
        <w:rPr>
          <w:sz w:val="24"/>
        </w:rPr>
        <w:t>A Party shall apply a transitional safeguard measure only following an investigation by the Party’</w:t>
      </w:r>
      <w:r>
        <w:rPr>
          <w:sz w:val="24"/>
        </w:rPr>
        <w:t>s competent authorities in accordance with Article 3</w:t>
      </w:r>
      <w:r>
        <w:rPr>
          <w:spacing w:val="40"/>
          <w:sz w:val="24"/>
        </w:rPr>
        <w:t xml:space="preserve"> </w:t>
      </w:r>
      <w:r>
        <w:rPr>
          <w:sz w:val="24"/>
        </w:rPr>
        <w:t xml:space="preserve">and Article 4.2(c) of the Safeguards Agreement; to this end, Article 3 and Article 4.2(c) of the Safeguards Agreement are incorporated into and made part of this Agreement, </w:t>
      </w:r>
      <w:r>
        <w:rPr>
          <w:i/>
          <w:sz w:val="24"/>
        </w:rPr>
        <w:t>mutatis mutandis</w:t>
      </w:r>
      <w:r>
        <w:rPr>
          <w:sz w:val="24"/>
        </w:rPr>
        <w:t>.</w:t>
      </w:r>
    </w:p>
    <w:p w14:paraId="4A73165F" w14:textId="77777777" w:rsidR="00644864" w:rsidRDefault="00644864">
      <w:pPr>
        <w:pStyle w:val="BodyText"/>
      </w:pPr>
    </w:p>
    <w:p w14:paraId="3C2E1EFE" w14:textId="77777777" w:rsidR="00644864" w:rsidRDefault="003F3CE2">
      <w:pPr>
        <w:pStyle w:val="ListParagraph"/>
        <w:numPr>
          <w:ilvl w:val="0"/>
          <w:numId w:val="4"/>
        </w:numPr>
        <w:tabs>
          <w:tab w:val="left" w:pos="1026"/>
        </w:tabs>
        <w:ind w:right="299" w:firstLine="0"/>
        <w:jc w:val="both"/>
        <w:rPr>
          <w:sz w:val="24"/>
        </w:rPr>
      </w:pPr>
      <w:r>
        <w:rPr>
          <w:sz w:val="24"/>
        </w:rPr>
        <w:t>In the inve</w:t>
      </w:r>
      <w:r>
        <w:rPr>
          <w:sz w:val="24"/>
        </w:rPr>
        <w:t>stigation described in paragraph 1, the Party shall comply with the</w:t>
      </w:r>
      <w:r>
        <w:rPr>
          <w:spacing w:val="-3"/>
          <w:sz w:val="24"/>
        </w:rPr>
        <w:t xml:space="preserve"> </w:t>
      </w:r>
      <w:r>
        <w:rPr>
          <w:sz w:val="24"/>
        </w:rPr>
        <w:t>requirements</w:t>
      </w:r>
      <w:r>
        <w:rPr>
          <w:spacing w:val="-2"/>
          <w:sz w:val="24"/>
        </w:rPr>
        <w:t xml:space="preserve"> </w:t>
      </w:r>
      <w:r>
        <w:rPr>
          <w:sz w:val="24"/>
        </w:rPr>
        <w:t>of</w:t>
      </w:r>
      <w:r>
        <w:rPr>
          <w:spacing w:val="-3"/>
          <w:sz w:val="24"/>
        </w:rPr>
        <w:t xml:space="preserve"> </w:t>
      </w:r>
      <w:r>
        <w:rPr>
          <w:sz w:val="24"/>
        </w:rPr>
        <w:t>Article</w:t>
      </w:r>
      <w:r>
        <w:rPr>
          <w:spacing w:val="-3"/>
          <w:sz w:val="24"/>
        </w:rPr>
        <w:t xml:space="preserve"> </w:t>
      </w:r>
      <w:r>
        <w:rPr>
          <w:sz w:val="24"/>
        </w:rPr>
        <w:t>4.2(a)</w:t>
      </w:r>
      <w:r>
        <w:rPr>
          <w:spacing w:val="-3"/>
          <w:sz w:val="24"/>
        </w:rPr>
        <w:t xml:space="preserve"> </w:t>
      </w:r>
      <w:r>
        <w:rPr>
          <w:sz w:val="24"/>
        </w:rPr>
        <w:t>and Article</w:t>
      </w:r>
      <w:r>
        <w:rPr>
          <w:spacing w:val="-2"/>
          <w:sz w:val="24"/>
        </w:rPr>
        <w:t xml:space="preserve"> </w:t>
      </w:r>
      <w:r>
        <w:rPr>
          <w:sz w:val="24"/>
        </w:rPr>
        <w:t>4.2(b)</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Safeguards</w:t>
      </w:r>
      <w:r>
        <w:rPr>
          <w:spacing w:val="-3"/>
          <w:sz w:val="24"/>
        </w:rPr>
        <w:t xml:space="preserve"> </w:t>
      </w:r>
      <w:r>
        <w:rPr>
          <w:sz w:val="24"/>
        </w:rPr>
        <w:t>Agreement; to this end, Article 4.2(a) and Article 4.2(b) of the Safeguards Agreement are incorporated into and made par</w:t>
      </w:r>
      <w:r>
        <w:rPr>
          <w:sz w:val="24"/>
        </w:rPr>
        <w:t xml:space="preserve">t of this Agreement, </w:t>
      </w:r>
      <w:r>
        <w:rPr>
          <w:i/>
          <w:sz w:val="24"/>
        </w:rPr>
        <w:t>mutatis mutandis</w:t>
      </w:r>
      <w:r>
        <w:rPr>
          <w:sz w:val="24"/>
        </w:rPr>
        <w:t>.</w:t>
      </w:r>
    </w:p>
    <w:p w14:paraId="5067C001" w14:textId="77777777" w:rsidR="00644864" w:rsidRDefault="00644864">
      <w:pPr>
        <w:pStyle w:val="BodyText"/>
        <w:rPr>
          <w:sz w:val="26"/>
        </w:rPr>
      </w:pPr>
    </w:p>
    <w:p w14:paraId="373DB603" w14:textId="77777777" w:rsidR="00644864" w:rsidRDefault="00644864">
      <w:pPr>
        <w:pStyle w:val="BodyText"/>
        <w:spacing w:before="5"/>
        <w:rPr>
          <w:sz w:val="22"/>
        </w:rPr>
      </w:pPr>
    </w:p>
    <w:p w14:paraId="557C6E26" w14:textId="77777777" w:rsidR="00644864" w:rsidRDefault="003F3CE2">
      <w:pPr>
        <w:pStyle w:val="Heading1"/>
      </w:pPr>
      <w:r>
        <w:t>Article</w:t>
      </w:r>
      <w:r>
        <w:rPr>
          <w:spacing w:val="-8"/>
        </w:rPr>
        <w:t xml:space="preserve"> </w:t>
      </w:r>
      <w:r>
        <w:t>6.6:</w:t>
      </w:r>
      <w:r>
        <w:rPr>
          <w:spacing w:val="47"/>
        </w:rPr>
        <w:t xml:space="preserve"> </w:t>
      </w:r>
      <w:r>
        <w:t>Notification</w:t>
      </w:r>
      <w:r>
        <w:rPr>
          <w:spacing w:val="-5"/>
        </w:rPr>
        <w:t xml:space="preserve"> </w:t>
      </w:r>
      <w:r>
        <w:t>and</w:t>
      </w:r>
      <w:r>
        <w:rPr>
          <w:spacing w:val="-6"/>
        </w:rPr>
        <w:t xml:space="preserve"> </w:t>
      </w:r>
      <w:r>
        <w:rPr>
          <w:spacing w:val="-2"/>
        </w:rPr>
        <w:t>Consultation</w:t>
      </w:r>
    </w:p>
    <w:p w14:paraId="219A9893" w14:textId="77777777" w:rsidR="00644864" w:rsidRDefault="00644864">
      <w:pPr>
        <w:pStyle w:val="BodyText"/>
        <w:spacing w:before="7"/>
        <w:rPr>
          <w:b/>
          <w:sz w:val="23"/>
        </w:rPr>
      </w:pPr>
    </w:p>
    <w:p w14:paraId="42DC010A" w14:textId="77777777" w:rsidR="00644864" w:rsidRDefault="003F3CE2">
      <w:pPr>
        <w:pStyle w:val="ListParagraph"/>
        <w:numPr>
          <w:ilvl w:val="0"/>
          <w:numId w:val="3"/>
        </w:numPr>
        <w:tabs>
          <w:tab w:val="left" w:pos="1026"/>
        </w:tabs>
        <w:ind w:right="0" w:hanging="721"/>
        <w:jc w:val="both"/>
        <w:rPr>
          <w:sz w:val="24"/>
        </w:rPr>
      </w:pPr>
      <w:r>
        <w:rPr>
          <w:sz w:val="24"/>
        </w:rPr>
        <w:t>A</w:t>
      </w:r>
      <w:r>
        <w:rPr>
          <w:spacing w:val="-2"/>
          <w:sz w:val="24"/>
        </w:rPr>
        <w:t xml:space="preserve"> </w:t>
      </w:r>
      <w:r>
        <w:rPr>
          <w:sz w:val="24"/>
        </w:rPr>
        <w:t>Party</w:t>
      </w:r>
      <w:r>
        <w:rPr>
          <w:spacing w:val="-6"/>
          <w:sz w:val="24"/>
        </w:rPr>
        <w:t xml:space="preserve"> </w:t>
      </w:r>
      <w:r>
        <w:rPr>
          <w:sz w:val="24"/>
        </w:rPr>
        <w:t>shall</w:t>
      </w:r>
      <w:r>
        <w:rPr>
          <w:spacing w:val="-1"/>
          <w:sz w:val="24"/>
        </w:rPr>
        <w:t xml:space="preserve"> </w:t>
      </w:r>
      <w:r>
        <w:rPr>
          <w:sz w:val="24"/>
        </w:rPr>
        <w:t>promptly</w:t>
      </w:r>
      <w:r>
        <w:rPr>
          <w:spacing w:val="-7"/>
          <w:sz w:val="24"/>
        </w:rPr>
        <w:t xml:space="preserve"> </w:t>
      </w:r>
      <w:r>
        <w:rPr>
          <w:sz w:val="24"/>
        </w:rPr>
        <w:t>notify</w:t>
      </w:r>
      <w:r>
        <w:rPr>
          <w:spacing w:val="-6"/>
          <w:sz w:val="24"/>
        </w:rPr>
        <w:t xml:space="preserve"> </w:t>
      </w:r>
      <w:r>
        <w:rPr>
          <w:sz w:val="24"/>
        </w:rPr>
        <w:t>the</w:t>
      </w:r>
      <w:r>
        <w:rPr>
          <w:spacing w:val="-1"/>
          <w:sz w:val="24"/>
        </w:rPr>
        <w:t xml:space="preserve"> </w:t>
      </w:r>
      <w:r>
        <w:rPr>
          <w:sz w:val="24"/>
        </w:rPr>
        <w:t>other</w:t>
      </w:r>
      <w:r>
        <w:rPr>
          <w:spacing w:val="-1"/>
          <w:sz w:val="24"/>
        </w:rPr>
        <w:t xml:space="preserve"> </w:t>
      </w:r>
      <w:r>
        <w:rPr>
          <w:sz w:val="24"/>
        </w:rPr>
        <w:t>Parties,</w:t>
      </w:r>
      <w:r>
        <w:rPr>
          <w:spacing w:val="-2"/>
          <w:sz w:val="24"/>
        </w:rPr>
        <w:t xml:space="preserve"> </w:t>
      </w:r>
      <w:r>
        <w:rPr>
          <w:sz w:val="24"/>
        </w:rPr>
        <w:t>in</w:t>
      </w:r>
      <w:r>
        <w:rPr>
          <w:spacing w:val="1"/>
          <w:sz w:val="24"/>
        </w:rPr>
        <w:t xml:space="preserve"> </w:t>
      </w:r>
      <w:r>
        <w:rPr>
          <w:sz w:val="24"/>
        </w:rPr>
        <w:t>writing,</w:t>
      </w:r>
      <w:r>
        <w:rPr>
          <w:spacing w:val="2"/>
          <w:sz w:val="24"/>
        </w:rPr>
        <w:t xml:space="preserve"> </w:t>
      </w:r>
      <w:r>
        <w:rPr>
          <w:sz w:val="24"/>
        </w:rPr>
        <w:t>if</w:t>
      </w:r>
      <w:r>
        <w:rPr>
          <w:spacing w:val="-1"/>
          <w:sz w:val="24"/>
        </w:rPr>
        <w:t xml:space="preserve"> </w:t>
      </w:r>
      <w:r>
        <w:rPr>
          <w:spacing w:val="-5"/>
          <w:sz w:val="24"/>
        </w:rPr>
        <w:t>it:</w:t>
      </w:r>
    </w:p>
    <w:p w14:paraId="0D20BAF9" w14:textId="77777777" w:rsidR="00644864" w:rsidRDefault="00644864">
      <w:pPr>
        <w:pStyle w:val="BodyText"/>
      </w:pPr>
    </w:p>
    <w:p w14:paraId="3BB189DF" w14:textId="77777777" w:rsidR="00644864" w:rsidRDefault="003F3CE2">
      <w:pPr>
        <w:pStyle w:val="ListParagraph"/>
        <w:numPr>
          <w:ilvl w:val="1"/>
          <w:numId w:val="3"/>
        </w:numPr>
        <w:tabs>
          <w:tab w:val="left" w:pos="1745"/>
          <w:tab w:val="left" w:pos="1746"/>
        </w:tabs>
        <w:ind w:right="0"/>
        <w:rPr>
          <w:sz w:val="24"/>
        </w:rPr>
      </w:pPr>
      <w:r>
        <w:rPr>
          <w:sz w:val="24"/>
        </w:rPr>
        <w:t>initiates</w:t>
      </w:r>
      <w:r>
        <w:rPr>
          <w:spacing w:val="-6"/>
          <w:sz w:val="24"/>
        </w:rPr>
        <w:t xml:space="preserve"> </w:t>
      </w:r>
      <w:r>
        <w:rPr>
          <w:sz w:val="24"/>
        </w:rPr>
        <w:t>a</w:t>
      </w:r>
      <w:r>
        <w:rPr>
          <w:spacing w:val="-6"/>
          <w:sz w:val="24"/>
        </w:rPr>
        <w:t xml:space="preserve"> </w:t>
      </w:r>
      <w:r>
        <w:rPr>
          <w:sz w:val="24"/>
        </w:rPr>
        <w:t>transitional</w:t>
      </w:r>
      <w:r>
        <w:rPr>
          <w:spacing w:val="-6"/>
          <w:sz w:val="24"/>
        </w:rPr>
        <w:t xml:space="preserve"> </w:t>
      </w:r>
      <w:r>
        <w:rPr>
          <w:sz w:val="24"/>
        </w:rPr>
        <w:t>safeguard</w:t>
      </w:r>
      <w:r>
        <w:rPr>
          <w:spacing w:val="-6"/>
          <w:sz w:val="24"/>
        </w:rPr>
        <w:t xml:space="preserve"> </w:t>
      </w:r>
      <w:r>
        <w:rPr>
          <w:sz w:val="24"/>
        </w:rPr>
        <w:t>investigation</w:t>
      </w:r>
      <w:r>
        <w:rPr>
          <w:spacing w:val="-5"/>
          <w:sz w:val="24"/>
        </w:rPr>
        <w:t xml:space="preserve"> </w:t>
      </w:r>
      <w:r>
        <w:rPr>
          <w:sz w:val="24"/>
        </w:rPr>
        <w:t>under</w:t>
      </w:r>
      <w:r>
        <w:rPr>
          <w:spacing w:val="-6"/>
          <w:sz w:val="24"/>
        </w:rPr>
        <w:t xml:space="preserve"> </w:t>
      </w:r>
      <w:r>
        <w:rPr>
          <w:sz w:val="24"/>
        </w:rPr>
        <w:t>this</w:t>
      </w:r>
      <w:r>
        <w:rPr>
          <w:spacing w:val="-5"/>
          <w:sz w:val="24"/>
        </w:rPr>
        <w:t xml:space="preserve"> </w:t>
      </w:r>
      <w:proofErr w:type="gramStart"/>
      <w:r>
        <w:rPr>
          <w:spacing w:val="-2"/>
          <w:sz w:val="24"/>
        </w:rPr>
        <w:t>Chapter;</w:t>
      </w:r>
      <w:proofErr w:type="gramEnd"/>
    </w:p>
    <w:p w14:paraId="2502F852" w14:textId="77777777" w:rsidR="00644864" w:rsidRDefault="00644864">
      <w:pPr>
        <w:pStyle w:val="BodyText"/>
        <w:spacing w:before="9"/>
        <w:rPr>
          <w:sz w:val="23"/>
        </w:rPr>
      </w:pPr>
    </w:p>
    <w:p w14:paraId="7DFD2020" w14:textId="77777777" w:rsidR="00644864" w:rsidRDefault="003F3CE2">
      <w:pPr>
        <w:pStyle w:val="ListParagraph"/>
        <w:numPr>
          <w:ilvl w:val="1"/>
          <w:numId w:val="3"/>
        </w:numPr>
        <w:tabs>
          <w:tab w:val="left" w:pos="1746"/>
        </w:tabs>
        <w:spacing w:before="1"/>
        <w:jc w:val="both"/>
        <w:rPr>
          <w:sz w:val="24"/>
        </w:rPr>
      </w:pPr>
      <w:r>
        <w:rPr>
          <w:sz w:val="24"/>
        </w:rPr>
        <w:t>makes a finding of serious injury, or threat of serious injury,</w:t>
      </w:r>
      <w:r>
        <w:rPr>
          <w:spacing w:val="80"/>
          <w:sz w:val="24"/>
        </w:rPr>
        <w:t xml:space="preserve"> </w:t>
      </w:r>
      <w:r>
        <w:rPr>
          <w:sz w:val="24"/>
        </w:rPr>
        <w:t>caused by increased imports, as set out in Article 6.3 (Imposition</w:t>
      </w:r>
      <w:r>
        <w:rPr>
          <w:spacing w:val="80"/>
          <w:sz w:val="24"/>
        </w:rPr>
        <w:t xml:space="preserve"> </w:t>
      </w:r>
      <w:r>
        <w:rPr>
          <w:sz w:val="24"/>
        </w:rPr>
        <w:t>of a Transitional Safeguard Measure</w:t>
      </w:r>
      <w:proofErr w:type="gramStart"/>
      <w:r>
        <w:rPr>
          <w:sz w:val="24"/>
        </w:rPr>
        <w:t>);</w:t>
      </w:r>
      <w:proofErr w:type="gramEnd"/>
    </w:p>
    <w:p w14:paraId="72C6709F" w14:textId="77777777" w:rsidR="00644864" w:rsidRDefault="00644864">
      <w:pPr>
        <w:pStyle w:val="BodyText"/>
        <w:spacing w:before="11"/>
        <w:rPr>
          <w:sz w:val="23"/>
        </w:rPr>
      </w:pPr>
    </w:p>
    <w:p w14:paraId="41DB6D7C" w14:textId="77777777" w:rsidR="00644864" w:rsidRDefault="003F3CE2">
      <w:pPr>
        <w:pStyle w:val="ListParagraph"/>
        <w:numPr>
          <w:ilvl w:val="1"/>
          <w:numId w:val="3"/>
        </w:numPr>
        <w:tabs>
          <w:tab w:val="left" w:pos="1725"/>
        </w:tabs>
        <w:ind w:left="1724" w:right="306" w:hanging="699"/>
        <w:jc w:val="both"/>
        <w:rPr>
          <w:sz w:val="24"/>
        </w:rPr>
      </w:pPr>
      <w:r>
        <w:rPr>
          <w:sz w:val="24"/>
        </w:rPr>
        <w:t>takes a decision to apply or extend a transitional safeguard</w:t>
      </w:r>
      <w:r>
        <w:rPr>
          <w:spacing w:val="40"/>
          <w:sz w:val="24"/>
        </w:rPr>
        <w:t xml:space="preserve"> </w:t>
      </w:r>
      <w:r>
        <w:rPr>
          <w:sz w:val="24"/>
        </w:rPr>
        <w:t>measure; and</w:t>
      </w:r>
    </w:p>
    <w:p w14:paraId="1A041347" w14:textId="77777777" w:rsidR="00644864" w:rsidRDefault="00644864">
      <w:pPr>
        <w:pStyle w:val="BodyText"/>
      </w:pPr>
    </w:p>
    <w:p w14:paraId="29644D7B" w14:textId="77777777" w:rsidR="00644864" w:rsidRDefault="003F3CE2">
      <w:pPr>
        <w:pStyle w:val="ListParagraph"/>
        <w:numPr>
          <w:ilvl w:val="1"/>
          <w:numId w:val="3"/>
        </w:numPr>
        <w:tabs>
          <w:tab w:val="left" w:pos="1746"/>
        </w:tabs>
        <w:ind w:right="302"/>
        <w:jc w:val="both"/>
        <w:rPr>
          <w:sz w:val="24"/>
        </w:rPr>
      </w:pPr>
      <w:r>
        <w:rPr>
          <w:sz w:val="24"/>
        </w:rPr>
        <w:t>takes a dec</w:t>
      </w:r>
      <w:r>
        <w:rPr>
          <w:sz w:val="24"/>
        </w:rPr>
        <w:t>ision to modify a transitional safeguard measure previously undertaken.</w:t>
      </w:r>
    </w:p>
    <w:p w14:paraId="07FD347D" w14:textId="77777777" w:rsidR="00644864" w:rsidRDefault="00644864">
      <w:pPr>
        <w:pStyle w:val="BodyText"/>
        <w:spacing w:before="1"/>
      </w:pPr>
    </w:p>
    <w:p w14:paraId="17D359DB" w14:textId="77777777" w:rsidR="00644864" w:rsidRDefault="003F3CE2">
      <w:pPr>
        <w:pStyle w:val="ListParagraph"/>
        <w:numPr>
          <w:ilvl w:val="0"/>
          <w:numId w:val="3"/>
        </w:numPr>
        <w:tabs>
          <w:tab w:val="left" w:pos="1026"/>
        </w:tabs>
        <w:ind w:left="305" w:right="300" w:firstLine="0"/>
        <w:jc w:val="both"/>
        <w:rPr>
          <w:sz w:val="24"/>
        </w:rPr>
      </w:pPr>
      <w:r>
        <w:rPr>
          <w:sz w:val="24"/>
        </w:rPr>
        <w:t>A Party shall provide to the other Parties a copy of the public version of</w:t>
      </w:r>
      <w:r>
        <w:rPr>
          <w:spacing w:val="40"/>
          <w:sz w:val="24"/>
        </w:rPr>
        <w:t xml:space="preserve"> </w:t>
      </w:r>
      <w:r>
        <w:rPr>
          <w:sz w:val="24"/>
        </w:rPr>
        <w:t>the report of its competent authorities that is required under Article 6.5.1 (Investigation Procedures and T</w:t>
      </w:r>
      <w:r>
        <w:rPr>
          <w:sz w:val="24"/>
        </w:rPr>
        <w:t>ransparency Requirements).</w:t>
      </w:r>
    </w:p>
    <w:p w14:paraId="222AF41D" w14:textId="77777777" w:rsidR="00644864" w:rsidRDefault="00644864">
      <w:pPr>
        <w:pStyle w:val="BodyText"/>
      </w:pPr>
    </w:p>
    <w:p w14:paraId="64E3AFEF" w14:textId="77777777" w:rsidR="00644864" w:rsidRDefault="003F3CE2">
      <w:pPr>
        <w:pStyle w:val="ListParagraph"/>
        <w:numPr>
          <w:ilvl w:val="0"/>
          <w:numId w:val="3"/>
        </w:numPr>
        <w:tabs>
          <w:tab w:val="left" w:pos="1026"/>
        </w:tabs>
        <w:ind w:left="305" w:right="299" w:firstLine="0"/>
        <w:jc w:val="both"/>
        <w:rPr>
          <w:sz w:val="24"/>
        </w:rPr>
      </w:pPr>
      <w:r>
        <w:rPr>
          <w:sz w:val="24"/>
        </w:rPr>
        <w:t>When a Party makes a notification pursuant to paragraph 1(c) that it is applying or extending a transitional safeguard measure, that Party shall include in that notification:</w:t>
      </w:r>
    </w:p>
    <w:p w14:paraId="0DE154E5" w14:textId="77777777" w:rsidR="00644864" w:rsidRDefault="00644864">
      <w:pPr>
        <w:pStyle w:val="BodyText"/>
      </w:pPr>
    </w:p>
    <w:p w14:paraId="18828C57" w14:textId="77777777" w:rsidR="00644864" w:rsidRDefault="003F3CE2">
      <w:pPr>
        <w:pStyle w:val="ListParagraph"/>
        <w:numPr>
          <w:ilvl w:val="1"/>
          <w:numId w:val="3"/>
        </w:numPr>
        <w:tabs>
          <w:tab w:val="left" w:pos="1725"/>
        </w:tabs>
        <w:ind w:left="1724" w:right="296" w:hanging="699"/>
        <w:jc w:val="both"/>
        <w:rPr>
          <w:sz w:val="24"/>
        </w:rPr>
      </w:pPr>
      <w:r>
        <w:rPr>
          <w:sz w:val="24"/>
        </w:rPr>
        <w:t>evidence of serious injury, or threat of serious inj</w:t>
      </w:r>
      <w:r>
        <w:rPr>
          <w:sz w:val="24"/>
        </w:rPr>
        <w:t>ury, caused by increased imports of an originating good of another Party</w:t>
      </w:r>
      <w:r>
        <w:rPr>
          <w:spacing w:val="-3"/>
          <w:sz w:val="24"/>
        </w:rPr>
        <w:t xml:space="preserve"> </w:t>
      </w:r>
      <w:r>
        <w:rPr>
          <w:sz w:val="24"/>
        </w:rPr>
        <w:t>or Parties</w:t>
      </w:r>
    </w:p>
    <w:p w14:paraId="634EB374" w14:textId="77777777" w:rsidR="00644864" w:rsidRDefault="00644864">
      <w:pPr>
        <w:jc w:val="both"/>
        <w:rPr>
          <w:sz w:val="24"/>
        </w:rPr>
        <w:sectPr w:rsidR="00644864">
          <w:pgSz w:w="11910" w:h="16850"/>
          <w:pgMar w:top="1720" w:right="1680" w:bottom="1200" w:left="1680" w:header="0" w:footer="1019" w:gutter="0"/>
          <w:cols w:space="720"/>
        </w:sectPr>
      </w:pPr>
    </w:p>
    <w:p w14:paraId="5D475EC7" w14:textId="77777777" w:rsidR="00644864" w:rsidRDefault="003F3CE2">
      <w:pPr>
        <w:pStyle w:val="BodyText"/>
        <w:spacing w:before="69"/>
        <w:ind w:left="1724"/>
      </w:pPr>
      <w:r>
        <w:lastRenderedPageBreak/>
        <w:t>as</w:t>
      </w:r>
      <w:r>
        <w:rPr>
          <w:spacing w:val="71"/>
        </w:rPr>
        <w:t xml:space="preserve"> </w:t>
      </w:r>
      <w:r>
        <w:t>a</w:t>
      </w:r>
      <w:r>
        <w:rPr>
          <w:spacing w:val="70"/>
        </w:rPr>
        <w:t xml:space="preserve"> </w:t>
      </w:r>
      <w:r>
        <w:t>result</w:t>
      </w:r>
      <w:r>
        <w:rPr>
          <w:spacing w:val="72"/>
        </w:rPr>
        <w:t xml:space="preserve"> </w:t>
      </w:r>
      <w:r>
        <w:t>of</w:t>
      </w:r>
      <w:r>
        <w:rPr>
          <w:spacing w:val="70"/>
        </w:rPr>
        <w:t xml:space="preserve"> </w:t>
      </w:r>
      <w:r>
        <w:t>the</w:t>
      </w:r>
      <w:r>
        <w:rPr>
          <w:spacing w:val="70"/>
        </w:rPr>
        <w:t xml:space="preserve"> </w:t>
      </w:r>
      <w:r>
        <w:t>reduction</w:t>
      </w:r>
      <w:r>
        <w:rPr>
          <w:spacing w:val="71"/>
        </w:rPr>
        <w:t xml:space="preserve"> </w:t>
      </w:r>
      <w:r>
        <w:t>or</w:t>
      </w:r>
      <w:r>
        <w:rPr>
          <w:spacing w:val="70"/>
        </w:rPr>
        <w:t xml:space="preserve"> </w:t>
      </w:r>
      <w:r>
        <w:t>elimination</w:t>
      </w:r>
      <w:r>
        <w:rPr>
          <w:spacing w:val="71"/>
        </w:rPr>
        <w:t xml:space="preserve"> </w:t>
      </w:r>
      <w:r>
        <w:t>of</w:t>
      </w:r>
      <w:r>
        <w:rPr>
          <w:spacing w:val="68"/>
        </w:rPr>
        <w:t xml:space="preserve"> </w:t>
      </w:r>
      <w:r>
        <w:t>a</w:t>
      </w:r>
      <w:r>
        <w:rPr>
          <w:spacing w:val="70"/>
        </w:rPr>
        <w:t xml:space="preserve"> </w:t>
      </w:r>
      <w:r>
        <w:t>customs</w:t>
      </w:r>
      <w:r>
        <w:rPr>
          <w:spacing w:val="71"/>
        </w:rPr>
        <w:t xml:space="preserve"> </w:t>
      </w:r>
      <w:r>
        <w:t xml:space="preserve">duty pursuant to this </w:t>
      </w:r>
      <w:proofErr w:type="gramStart"/>
      <w:r>
        <w:t>Agreement;</w:t>
      </w:r>
      <w:proofErr w:type="gramEnd"/>
    </w:p>
    <w:p w14:paraId="160BD8E1" w14:textId="77777777" w:rsidR="00644864" w:rsidRDefault="00644864">
      <w:pPr>
        <w:pStyle w:val="BodyText"/>
      </w:pPr>
    </w:p>
    <w:p w14:paraId="5F8BE862" w14:textId="77777777" w:rsidR="00644864" w:rsidRDefault="003F3CE2">
      <w:pPr>
        <w:pStyle w:val="ListParagraph"/>
        <w:numPr>
          <w:ilvl w:val="1"/>
          <w:numId w:val="3"/>
        </w:numPr>
        <w:tabs>
          <w:tab w:val="left" w:pos="1725"/>
        </w:tabs>
        <w:ind w:left="1724" w:right="298" w:hanging="699"/>
        <w:jc w:val="both"/>
        <w:rPr>
          <w:sz w:val="24"/>
        </w:rPr>
      </w:pPr>
      <w:r>
        <w:rPr>
          <w:sz w:val="24"/>
        </w:rPr>
        <w:t>a</w:t>
      </w:r>
      <w:r>
        <w:rPr>
          <w:sz w:val="24"/>
        </w:rPr>
        <w:t xml:space="preserve"> precise description of the originating good subject to the transitional safeguard measure including its heading or subheading under the HS Code, on which the schedules of tariff commitments in Annex 2-D (Tariff Commitments) are </w:t>
      </w:r>
      <w:proofErr w:type="gramStart"/>
      <w:r>
        <w:rPr>
          <w:sz w:val="24"/>
        </w:rPr>
        <w:t>based;</w:t>
      </w:r>
      <w:proofErr w:type="gramEnd"/>
    </w:p>
    <w:p w14:paraId="155EDDBB" w14:textId="77777777" w:rsidR="00644864" w:rsidRDefault="00644864">
      <w:pPr>
        <w:pStyle w:val="BodyText"/>
      </w:pPr>
    </w:p>
    <w:p w14:paraId="736D1883" w14:textId="77777777" w:rsidR="00644864" w:rsidRDefault="003F3CE2">
      <w:pPr>
        <w:pStyle w:val="ListParagraph"/>
        <w:numPr>
          <w:ilvl w:val="1"/>
          <w:numId w:val="3"/>
        </w:numPr>
        <w:tabs>
          <w:tab w:val="left" w:pos="1724"/>
          <w:tab w:val="left" w:pos="1725"/>
        </w:tabs>
        <w:ind w:left="1724" w:right="0" w:hanging="700"/>
        <w:rPr>
          <w:sz w:val="24"/>
        </w:rPr>
      </w:pPr>
      <w:r>
        <w:rPr>
          <w:sz w:val="24"/>
        </w:rPr>
        <w:t>a</w:t>
      </w:r>
      <w:r>
        <w:rPr>
          <w:spacing w:val="-6"/>
          <w:sz w:val="24"/>
        </w:rPr>
        <w:t xml:space="preserve"> </w:t>
      </w:r>
      <w:r>
        <w:rPr>
          <w:sz w:val="24"/>
        </w:rPr>
        <w:t>precise</w:t>
      </w:r>
      <w:r>
        <w:rPr>
          <w:spacing w:val="-5"/>
          <w:sz w:val="24"/>
        </w:rPr>
        <w:t xml:space="preserve"> </w:t>
      </w:r>
      <w:r>
        <w:rPr>
          <w:sz w:val="24"/>
        </w:rPr>
        <w:t>descripti</w:t>
      </w:r>
      <w:r>
        <w:rPr>
          <w:sz w:val="24"/>
        </w:rPr>
        <w:t>on</w:t>
      </w:r>
      <w:r>
        <w:rPr>
          <w:spacing w:val="-4"/>
          <w:sz w:val="24"/>
        </w:rPr>
        <w:t xml:space="preserve"> </w:t>
      </w:r>
      <w:r>
        <w:rPr>
          <w:sz w:val="24"/>
        </w:rPr>
        <w:t>of</w:t>
      </w:r>
      <w:r>
        <w:rPr>
          <w:spacing w:val="-4"/>
          <w:sz w:val="24"/>
        </w:rPr>
        <w:t xml:space="preserve"> </w:t>
      </w:r>
      <w:r>
        <w:rPr>
          <w:sz w:val="24"/>
        </w:rPr>
        <w:t>the</w:t>
      </w:r>
      <w:r>
        <w:rPr>
          <w:spacing w:val="-6"/>
          <w:sz w:val="24"/>
        </w:rPr>
        <w:t xml:space="preserve"> </w:t>
      </w:r>
      <w:r>
        <w:rPr>
          <w:sz w:val="24"/>
        </w:rPr>
        <w:t>transitional</w:t>
      </w:r>
      <w:r>
        <w:rPr>
          <w:spacing w:val="-4"/>
          <w:sz w:val="24"/>
        </w:rPr>
        <w:t xml:space="preserve"> </w:t>
      </w:r>
      <w:r>
        <w:rPr>
          <w:sz w:val="24"/>
        </w:rPr>
        <w:t>safeguard</w:t>
      </w:r>
      <w:r>
        <w:rPr>
          <w:spacing w:val="-3"/>
          <w:sz w:val="24"/>
        </w:rPr>
        <w:t xml:space="preserve"> </w:t>
      </w:r>
      <w:proofErr w:type="gramStart"/>
      <w:r>
        <w:rPr>
          <w:spacing w:val="-2"/>
          <w:sz w:val="24"/>
        </w:rPr>
        <w:t>measure;</w:t>
      </w:r>
      <w:proofErr w:type="gramEnd"/>
    </w:p>
    <w:p w14:paraId="3B5241AA" w14:textId="77777777" w:rsidR="00644864" w:rsidRDefault="00644864">
      <w:pPr>
        <w:pStyle w:val="BodyText"/>
      </w:pPr>
    </w:p>
    <w:p w14:paraId="5DADFC22" w14:textId="77777777" w:rsidR="00644864" w:rsidRDefault="003F3CE2">
      <w:pPr>
        <w:pStyle w:val="ListParagraph"/>
        <w:numPr>
          <w:ilvl w:val="1"/>
          <w:numId w:val="3"/>
        </w:numPr>
        <w:tabs>
          <w:tab w:val="left" w:pos="1725"/>
        </w:tabs>
        <w:ind w:left="1724" w:right="302" w:hanging="699"/>
        <w:jc w:val="both"/>
        <w:rPr>
          <w:sz w:val="24"/>
        </w:rPr>
      </w:pPr>
      <w:r>
        <w:rPr>
          <w:sz w:val="24"/>
        </w:rPr>
        <w:t xml:space="preserve">the date of the transitional safeguard measure’s introduction, its expected duration and, if applicable, a timetable for progressive </w:t>
      </w:r>
      <w:proofErr w:type="spellStart"/>
      <w:r>
        <w:rPr>
          <w:sz w:val="24"/>
        </w:rPr>
        <w:t>liberalisation</w:t>
      </w:r>
      <w:proofErr w:type="spellEnd"/>
      <w:r>
        <w:rPr>
          <w:sz w:val="24"/>
        </w:rPr>
        <w:t xml:space="preserve"> of the measure; and</w:t>
      </w:r>
    </w:p>
    <w:p w14:paraId="76AE9B56" w14:textId="77777777" w:rsidR="00644864" w:rsidRDefault="00644864">
      <w:pPr>
        <w:pStyle w:val="BodyText"/>
        <w:spacing w:before="5"/>
        <w:rPr>
          <w:sz w:val="23"/>
        </w:rPr>
      </w:pPr>
    </w:p>
    <w:p w14:paraId="238A1D2B" w14:textId="77777777" w:rsidR="00644864" w:rsidRDefault="003F3CE2">
      <w:pPr>
        <w:pStyle w:val="ListParagraph"/>
        <w:numPr>
          <w:ilvl w:val="1"/>
          <w:numId w:val="3"/>
        </w:numPr>
        <w:tabs>
          <w:tab w:val="left" w:pos="1725"/>
        </w:tabs>
        <w:ind w:left="1724" w:hanging="699"/>
        <w:jc w:val="both"/>
        <w:rPr>
          <w:sz w:val="24"/>
        </w:rPr>
      </w:pPr>
      <w:r>
        <w:rPr>
          <w:sz w:val="24"/>
        </w:rPr>
        <w:t>in the case of an extension of the transitio</w:t>
      </w:r>
      <w:r>
        <w:rPr>
          <w:sz w:val="24"/>
        </w:rPr>
        <w:t>nal safeguard measure, evidence that the domestic industry concerned is adjusting.</w:t>
      </w:r>
    </w:p>
    <w:p w14:paraId="048DB5E5" w14:textId="77777777" w:rsidR="00644864" w:rsidRDefault="00644864">
      <w:pPr>
        <w:pStyle w:val="BodyText"/>
        <w:spacing w:before="9"/>
        <w:rPr>
          <w:sz w:val="23"/>
        </w:rPr>
      </w:pPr>
    </w:p>
    <w:p w14:paraId="4B87B94E" w14:textId="77777777" w:rsidR="00644864" w:rsidRDefault="003F3CE2">
      <w:pPr>
        <w:pStyle w:val="ListParagraph"/>
        <w:numPr>
          <w:ilvl w:val="0"/>
          <w:numId w:val="3"/>
        </w:numPr>
        <w:tabs>
          <w:tab w:val="left" w:pos="1026"/>
        </w:tabs>
        <w:ind w:left="305" w:right="299" w:firstLine="0"/>
        <w:jc w:val="both"/>
        <w:rPr>
          <w:sz w:val="24"/>
        </w:rPr>
      </w:pPr>
      <w:r>
        <w:rPr>
          <w:sz w:val="24"/>
        </w:rPr>
        <w:t xml:space="preserve">On request of a Party </w:t>
      </w:r>
      <w:proofErr w:type="gramStart"/>
      <w:r>
        <w:rPr>
          <w:sz w:val="24"/>
        </w:rPr>
        <w:t>whose</w:t>
      </w:r>
      <w:proofErr w:type="gramEnd"/>
      <w:r>
        <w:rPr>
          <w:sz w:val="24"/>
        </w:rPr>
        <w:t xml:space="preserve"> good is subject to a transitional safeguard proceeding under this Chapter, the Party that conducts that proceeding shall enter into consultation</w:t>
      </w:r>
      <w:r>
        <w:rPr>
          <w:sz w:val="24"/>
        </w:rPr>
        <w:t>s with the requesting Party to review a notification under paragraph 1 or any public notice or report that the competent investigating authority issued in connection with the proceeding.</w:t>
      </w:r>
    </w:p>
    <w:p w14:paraId="30DCB822" w14:textId="77777777" w:rsidR="00644864" w:rsidRDefault="00644864">
      <w:pPr>
        <w:pStyle w:val="BodyText"/>
        <w:rPr>
          <w:sz w:val="26"/>
        </w:rPr>
      </w:pPr>
    </w:p>
    <w:p w14:paraId="1E90BF2E" w14:textId="77777777" w:rsidR="00644864" w:rsidRDefault="00644864">
      <w:pPr>
        <w:pStyle w:val="BodyText"/>
        <w:spacing w:before="5"/>
        <w:rPr>
          <w:sz w:val="22"/>
        </w:rPr>
      </w:pPr>
    </w:p>
    <w:p w14:paraId="3202FE7C" w14:textId="77777777" w:rsidR="00644864" w:rsidRDefault="003F3CE2">
      <w:pPr>
        <w:pStyle w:val="Heading1"/>
        <w:spacing w:before="1"/>
      </w:pPr>
      <w:r>
        <w:t>Article</w:t>
      </w:r>
      <w:r>
        <w:rPr>
          <w:spacing w:val="-6"/>
        </w:rPr>
        <w:t xml:space="preserve"> </w:t>
      </w:r>
      <w:r>
        <w:t>6.7:</w:t>
      </w:r>
      <w:r>
        <w:rPr>
          <w:spacing w:val="48"/>
        </w:rPr>
        <w:t xml:space="preserve"> </w:t>
      </w:r>
      <w:r>
        <w:rPr>
          <w:spacing w:val="-2"/>
        </w:rPr>
        <w:t>Compensation</w:t>
      </w:r>
    </w:p>
    <w:p w14:paraId="37E9AC6B" w14:textId="77777777" w:rsidR="00644864" w:rsidRDefault="00644864">
      <w:pPr>
        <w:pStyle w:val="BodyText"/>
        <w:spacing w:before="6"/>
        <w:rPr>
          <w:b/>
          <w:sz w:val="23"/>
        </w:rPr>
      </w:pPr>
    </w:p>
    <w:p w14:paraId="1A8868C1" w14:textId="77777777" w:rsidR="00644864" w:rsidRDefault="003F3CE2">
      <w:pPr>
        <w:pStyle w:val="ListParagraph"/>
        <w:numPr>
          <w:ilvl w:val="0"/>
          <w:numId w:val="2"/>
        </w:numPr>
        <w:tabs>
          <w:tab w:val="left" w:pos="1026"/>
        </w:tabs>
        <w:ind w:firstLine="0"/>
        <w:jc w:val="both"/>
        <w:rPr>
          <w:sz w:val="24"/>
        </w:rPr>
      </w:pPr>
      <w:r>
        <w:rPr>
          <w:sz w:val="24"/>
        </w:rPr>
        <w:t>A</w:t>
      </w:r>
      <w:r>
        <w:rPr>
          <w:spacing w:val="-2"/>
          <w:sz w:val="24"/>
        </w:rPr>
        <w:t xml:space="preserve"> </w:t>
      </w:r>
      <w:r>
        <w:rPr>
          <w:sz w:val="24"/>
        </w:rPr>
        <w:t>Party</w:t>
      </w:r>
      <w:r>
        <w:rPr>
          <w:spacing w:val="-5"/>
          <w:sz w:val="24"/>
        </w:rPr>
        <w:t xml:space="preserve"> </w:t>
      </w:r>
      <w:r>
        <w:rPr>
          <w:sz w:val="24"/>
        </w:rPr>
        <w:t>applying</w:t>
      </w:r>
      <w:r>
        <w:rPr>
          <w:spacing w:val="-3"/>
          <w:sz w:val="24"/>
        </w:rPr>
        <w:t xml:space="preserve"> </w:t>
      </w:r>
      <w:r>
        <w:rPr>
          <w:sz w:val="24"/>
        </w:rPr>
        <w:t>a</w:t>
      </w:r>
      <w:r>
        <w:rPr>
          <w:spacing w:val="-2"/>
          <w:sz w:val="24"/>
        </w:rPr>
        <w:t xml:space="preserve"> </w:t>
      </w:r>
      <w:r>
        <w:rPr>
          <w:sz w:val="24"/>
        </w:rPr>
        <w:t>transitional</w:t>
      </w:r>
      <w:r>
        <w:rPr>
          <w:spacing w:val="-1"/>
          <w:sz w:val="24"/>
        </w:rPr>
        <w:t xml:space="preserve"> </w:t>
      </w:r>
      <w:r>
        <w:rPr>
          <w:sz w:val="24"/>
        </w:rPr>
        <w:t>safeguard</w:t>
      </w:r>
      <w:r>
        <w:rPr>
          <w:spacing w:val="-3"/>
          <w:sz w:val="24"/>
        </w:rPr>
        <w:t xml:space="preserve"> </w:t>
      </w:r>
      <w:r>
        <w:rPr>
          <w:sz w:val="24"/>
        </w:rPr>
        <w:t>measure</w:t>
      </w:r>
      <w:r>
        <w:rPr>
          <w:spacing w:val="-2"/>
          <w:sz w:val="24"/>
        </w:rPr>
        <w:t xml:space="preserve"> </w:t>
      </w:r>
      <w:r>
        <w:rPr>
          <w:sz w:val="24"/>
        </w:rPr>
        <w:t>shall,</w:t>
      </w:r>
      <w:r>
        <w:rPr>
          <w:spacing w:val="-1"/>
          <w:sz w:val="24"/>
        </w:rPr>
        <w:t xml:space="preserve"> </w:t>
      </w:r>
      <w:r>
        <w:rPr>
          <w:sz w:val="24"/>
        </w:rPr>
        <w:t>after</w:t>
      </w:r>
      <w:r>
        <w:rPr>
          <w:spacing w:val="-2"/>
          <w:sz w:val="24"/>
        </w:rPr>
        <w:t xml:space="preserve"> </w:t>
      </w:r>
      <w:r>
        <w:rPr>
          <w:sz w:val="24"/>
        </w:rPr>
        <w:t xml:space="preserve">consultations with each Party against </w:t>
      </w:r>
      <w:proofErr w:type="gramStart"/>
      <w:r>
        <w:rPr>
          <w:sz w:val="24"/>
        </w:rPr>
        <w:t>whose</w:t>
      </w:r>
      <w:proofErr w:type="gramEnd"/>
      <w:r>
        <w:rPr>
          <w:sz w:val="24"/>
        </w:rPr>
        <w:t xml:space="preserve"> good the transitional safeguard measure is applied, provide mutually agreed trade </w:t>
      </w:r>
      <w:proofErr w:type="spellStart"/>
      <w:r>
        <w:rPr>
          <w:sz w:val="24"/>
        </w:rPr>
        <w:t>liberalising</w:t>
      </w:r>
      <w:proofErr w:type="spellEnd"/>
      <w:r>
        <w:rPr>
          <w:sz w:val="24"/>
        </w:rPr>
        <w:t xml:space="preserve"> compensation in the form of concessions that have substantially equivalent trade effects or equivalent to the value o</w:t>
      </w:r>
      <w:r>
        <w:rPr>
          <w:sz w:val="24"/>
        </w:rPr>
        <w:t>f the additional duties expected to result from the transitional safeguard measure.</w:t>
      </w:r>
      <w:r>
        <w:rPr>
          <w:spacing w:val="40"/>
          <w:sz w:val="24"/>
        </w:rPr>
        <w:t xml:space="preserve"> </w:t>
      </w:r>
      <w:r>
        <w:rPr>
          <w:sz w:val="24"/>
        </w:rPr>
        <w:t>The Party shall provide an opportunity for those consultations no later than 30 days after the application of the transitional safeguard measure.</w:t>
      </w:r>
    </w:p>
    <w:p w14:paraId="7E276C75" w14:textId="77777777" w:rsidR="00644864" w:rsidRDefault="00644864">
      <w:pPr>
        <w:pStyle w:val="BodyText"/>
      </w:pPr>
    </w:p>
    <w:p w14:paraId="4978B51F" w14:textId="77777777" w:rsidR="00644864" w:rsidRDefault="003F3CE2">
      <w:pPr>
        <w:pStyle w:val="ListParagraph"/>
        <w:numPr>
          <w:ilvl w:val="0"/>
          <w:numId w:val="2"/>
        </w:numPr>
        <w:tabs>
          <w:tab w:val="left" w:pos="1026"/>
        </w:tabs>
        <w:spacing w:before="1"/>
        <w:ind w:right="302" w:firstLine="0"/>
        <w:jc w:val="both"/>
        <w:rPr>
          <w:sz w:val="24"/>
        </w:rPr>
      </w:pPr>
      <w:r>
        <w:rPr>
          <w:sz w:val="24"/>
        </w:rPr>
        <w:t>If the consultations unde</w:t>
      </w:r>
      <w:r>
        <w:rPr>
          <w:sz w:val="24"/>
        </w:rPr>
        <w:t xml:space="preserve">r paragraph 1 do not result in an agreement on trade </w:t>
      </w:r>
      <w:proofErr w:type="spellStart"/>
      <w:r>
        <w:rPr>
          <w:sz w:val="24"/>
        </w:rPr>
        <w:t>liberalising</w:t>
      </w:r>
      <w:proofErr w:type="spellEnd"/>
      <w:r>
        <w:rPr>
          <w:sz w:val="24"/>
        </w:rPr>
        <w:t xml:space="preserve"> compensation within 30 days, any Party against </w:t>
      </w:r>
      <w:proofErr w:type="gramStart"/>
      <w:r>
        <w:rPr>
          <w:sz w:val="24"/>
        </w:rPr>
        <w:t>whose</w:t>
      </w:r>
      <w:proofErr w:type="gramEnd"/>
      <w:r>
        <w:rPr>
          <w:sz w:val="24"/>
        </w:rPr>
        <w:t xml:space="preserve"> good the transitional safeguard measure is applied may suspend the application of substantially equivalent concessions to the trade of th</w:t>
      </w:r>
      <w:r>
        <w:rPr>
          <w:sz w:val="24"/>
        </w:rPr>
        <w:t>e Party applying the transitional safeguard measure.</w:t>
      </w:r>
    </w:p>
    <w:p w14:paraId="36C94067" w14:textId="77777777" w:rsidR="00644864" w:rsidRDefault="00644864">
      <w:pPr>
        <w:pStyle w:val="BodyText"/>
      </w:pPr>
    </w:p>
    <w:p w14:paraId="61B87699" w14:textId="77777777" w:rsidR="00644864" w:rsidRDefault="003F3CE2">
      <w:pPr>
        <w:pStyle w:val="ListParagraph"/>
        <w:numPr>
          <w:ilvl w:val="0"/>
          <w:numId w:val="2"/>
        </w:numPr>
        <w:tabs>
          <w:tab w:val="left" w:pos="1026"/>
        </w:tabs>
        <w:ind w:right="303" w:firstLine="0"/>
        <w:jc w:val="both"/>
        <w:rPr>
          <w:sz w:val="24"/>
        </w:rPr>
      </w:pPr>
      <w:r>
        <w:rPr>
          <w:sz w:val="24"/>
        </w:rPr>
        <w:t xml:space="preserve">A Party against </w:t>
      </w:r>
      <w:proofErr w:type="gramStart"/>
      <w:r>
        <w:rPr>
          <w:sz w:val="24"/>
        </w:rPr>
        <w:t>whose</w:t>
      </w:r>
      <w:proofErr w:type="gramEnd"/>
      <w:r>
        <w:rPr>
          <w:sz w:val="24"/>
        </w:rPr>
        <w:t xml:space="preserve"> good the transitional safeguard measure is applied shall notify the Party applying the transitional safeguard measure in writing at least 30 days before it suspends concessions in </w:t>
      </w:r>
      <w:r>
        <w:rPr>
          <w:sz w:val="24"/>
        </w:rPr>
        <w:t>accordance with paragraph 2.</w:t>
      </w:r>
    </w:p>
    <w:p w14:paraId="7CAABAD9" w14:textId="77777777" w:rsidR="00644864" w:rsidRDefault="00644864">
      <w:pPr>
        <w:pStyle w:val="BodyText"/>
      </w:pPr>
    </w:p>
    <w:p w14:paraId="3CCF0CEB" w14:textId="77777777" w:rsidR="00644864" w:rsidRDefault="003F3CE2">
      <w:pPr>
        <w:pStyle w:val="ListParagraph"/>
        <w:numPr>
          <w:ilvl w:val="0"/>
          <w:numId w:val="2"/>
        </w:numPr>
        <w:tabs>
          <w:tab w:val="left" w:pos="1026"/>
        </w:tabs>
        <w:ind w:right="305" w:firstLine="0"/>
        <w:jc w:val="both"/>
        <w:rPr>
          <w:sz w:val="24"/>
        </w:rPr>
      </w:pPr>
      <w:r>
        <w:rPr>
          <w:sz w:val="24"/>
        </w:rPr>
        <w:t>The obligation to provide compensation under paragraph 1 and the right to suspend concessions under paragraph 2 terminates on the termination of the transitional safeguard measure.</w:t>
      </w:r>
    </w:p>
    <w:p w14:paraId="6E2F7766" w14:textId="77777777" w:rsidR="00644864" w:rsidRDefault="00644864">
      <w:pPr>
        <w:jc w:val="both"/>
        <w:rPr>
          <w:sz w:val="24"/>
        </w:rPr>
        <w:sectPr w:rsidR="00644864">
          <w:pgSz w:w="11910" w:h="16850"/>
          <w:pgMar w:top="1720" w:right="1680" w:bottom="1200" w:left="1680" w:header="0" w:footer="1019" w:gutter="0"/>
          <w:cols w:space="720"/>
        </w:sectPr>
      </w:pPr>
    </w:p>
    <w:p w14:paraId="2E0470B4" w14:textId="77777777" w:rsidR="00644864" w:rsidRDefault="003F3CE2">
      <w:pPr>
        <w:pStyle w:val="Heading1"/>
        <w:spacing w:before="130" w:line="480" w:lineRule="auto"/>
        <w:ind w:right="1002" w:firstLine="1344"/>
      </w:pPr>
      <w:r>
        <w:lastRenderedPageBreak/>
        <w:t>Section</w:t>
      </w:r>
      <w:r>
        <w:rPr>
          <w:spacing w:val="-7"/>
        </w:rPr>
        <w:t xml:space="preserve"> </w:t>
      </w:r>
      <w:r>
        <w:t>B:</w:t>
      </w:r>
      <w:r>
        <w:rPr>
          <w:spacing w:val="-7"/>
        </w:rPr>
        <w:t xml:space="preserve"> </w:t>
      </w:r>
      <w:r>
        <w:t>Antidumping</w:t>
      </w:r>
      <w:r>
        <w:rPr>
          <w:spacing w:val="-7"/>
        </w:rPr>
        <w:t xml:space="preserve"> </w:t>
      </w:r>
      <w:r>
        <w:t>and</w:t>
      </w:r>
      <w:r>
        <w:rPr>
          <w:spacing w:val="-7"/>
        </w:rPr>
        <w:t xml:space="preserve"> </w:t>
      </w:r>
      <w:r>
        <w:t>Countervailing</w:t>
      </w:r>
      <w:r>
        <w:rPr>
          <w:spacing w:val="-7"/>
        </w:rPr>
        <w:t xml:space="preserve"> </w:t>
      </w:r>
      <w:r>
        <w:t>Duties Article 6.8:</w:t>
      </w:r>
      <w:r>
        <w:rPr>
          <w:spacing w:val="40"/>
        </w:rPr>
        <w:t xml:space="preserve"> </w:t>
      </w:r>
      <w:r>
        <w:t>Antidumping and Countervailing Duties</w:t>
      </w:r>
    </w:p>
    <w:p w14:paraId="7B646B8D" w14:textId="77777777" w:rsidR="00644864" w:rsidRDefault="003F3CE2">
      <w:pPr>
        <w:pStyle w:val="ListParagraph"/>
        <w:numPr>
          <w:ilvl w:val="0"/>
          <w:numId w:val="1"/>
        </w:numPr>
        <w:tabs>
          <w:tab w:val="left" w:pos="1026"/>
        </w:tabs>
        <w:ind w:firstLine="0"/>
        <w:jc w:val="both"/>
        <w:rPr>
          <w:sz w:val="24"/>
        </w:rPr>
      </w:pPr>
      <w:r>
        <w:rPr>
          <w:sz w:val="24"/>
        </w:rPr>
        <w:t>Each Party retains its rights and obligations under Article VI of GATT 1994, the AD Agreement and the SCM Agreement.</w:t>
      </w:r>
    </w:p>
    <w:p w14:paraId="567EE8F9" w14:textId="77777777" w:rsidR="00644864" w:rsidRDefault="00644864">
      <w:pPr>
        <w:pStyle w:val="BodyText"/>
        <w:spacing w:before="6"/>
        <w:rPr>
          <w:sz w:val="23"/>
        </w:rPr>
      </w:pPr>
    </w:p>
    <w:p w14:paraId="5DBC6FE6" w14:textId="77777777" w:rsidR="00644864" w:rsidRDefault="003F3CE2">
      <w:pPr>
        <w:pStyle w:val="ListParagraph"/>
        <w:numPr>
          <w:ilvl w:val="0"/>
          <w:numId w:val="1"/>
        </w:numPr>
        <w:tabs>
          <w:tab w:val="left" w:pos="1026"/>
        </w:tabs>
        <w:spacing w:before="1"/>
        <w:ind w:right="299" w:firstLine="0"/>
        <w:jc w:val="both"/>
        <w:rPr>
          <w:sz w:val="24"/>
        </w:rPr>
      </w:pPr>
      <w:r>
        <w:rPr>
          <w:sz w:val="24"/>
        </w:rPr>
        <w:t>Nothing in this Agreement shall confer any rights or impose any obligations on the Parties with regard to proceedings or measures taken pursuant</w:t>
      </w:r>
      <w:r>
        <w:rPr>
          <w:spacing w:val="40"/>
          <w:sz w:val="24"/>
        </w:rPr>
        <w:t xml:space="preserve"> </w:t>
      </w:r>
      <w:r>
        <w:rPr>
          <w:sz w:val="24"/>
        </w:rPr>
        <w:t>to Article VI of GATT 1994, the AD Agreement or the SCM Agreement.</w:t>
      </w:r>
    </w:p>
    <w:p w14:paraId="211DA36C" w14:textId="77777777" w:rsidR="00644864" w:rsidRDefault="00644864">
      <w:pPr>
        <w:pStyle w:val="BodyText"/>
        <w:spacing w:before="4"/>
        <w:rPr>
          <w:sz w:val="23"/>
        </w:rPr>
      </w:pPr>
    </w:p>
    <w:p w14:paraId="09132A0C" w14:textId="77777777" w:rsidR="00644864" w:rsidRDefault="003F3CE2">
      <w:pPr>
        <w:pStyle w:val="ListParagraph"/>
        <w:numPr>
          <w:ilvl w:val="0"/>
          <w:numId w:val="1"/>
        </w:numPr>
        <w:tabs>
          <w:tab w:val="left" w:pos="1026"/>
        </w:tabs>
        <w:ind w:right="297" w:firstLine="0"/>
        <w:jc w:val="both"/>
        <w:rPr>
          <w:sz w:val="24"/>
        </w:rPr>
      </w:pPr>
      <w:r>
        <w:rPr>
          <w:sz w:val="24"/>
        </w:rPr>
        <w:t>No Party shall have recourse to dispute set</w:t>
      </w:r>
      <w:r>
        <w:rPr>
          <w:sz w:val="24"/>
        </w:rPr>
        <w:t>tlement under Chapter 28 (Dispute Settlement) for any matter arising under this Section or Annex 6-A (Practices Relating to Antidumping and Countervailing Duty Proceedings</w:t>
      </w:r>
      <w:r>
        <w:rPr>
          <w:b/>
          <w:sz w:val="24"/>
        </w:rPr>
        <w:t>)</w:t>
      </w:r>
      <w:r>
        <w:rPr>
          <w:sz w:val="24"/>
        </w:rPr>
        <w:t>.</w:t>
      </w:r>
    </w:p>
    <w:p w14:paraId="3F40D099" w14:textId="77777777" w:rsidR="00644864" w:rsidRDefault="00644864">
      <w:pPr>
        <w:jc w:val="both"/>
        <w:rPr>
          <w:sz w:val="24"/>
        </w:rPr>
        <w:sectPr w:rsidR="00644864">
          <w:pgSz w:w="11910" w:h="16850"/>
          <w:pgMar w:top="1940" w:right="1680" w:bottom="1200" w:left="1680" w:header="0" w:footer="1019" w:gutter="0"/>
          <w:cols w:space="720"/>
        </w:sectPr>
      </w:pPr>
    </w:p>
    <w:p w14:paraId="348F46F0" w14:textId="77777777" w:rsidR="00644864" w:rsidRDefault="00644864">
      <w:pPr>
        <w:pStyle w:val="BodyText"/>
        <w:rPr>
          <w:sz w:val="20"/>
        </w:rPr>
      </w:pPr>
    </w:p>
    <w:p w14:paraId="77A1385B" w14:textId="77777777" w:rsidR="00644864" w:rsidRDefault="00644864">
      <w:pPr>
        <w:pStyle w:val="BodyText"/>
        <w:spacing w:before="6"/>
        <w:rPr>
          <w:sz w:val="22"/>
        </w:rPr>
      </w:pPr>
    </w:p>
    <w:p w14:paraId="7EFBECB9" w14:textId="77777777" w:rsidR="00644864" w:rsidRDefault="003F3CE2">
      <w:pPr>
        <w:pStyle w:val="Heading1"/>
        <w:spacing w:before="1"/>
        <w:ind w:left="557" w:right="557"/>
        <w:jc w:val="center"/>
      </w:pPr>
      <w:r>
        <w:t>Annex</w:t>
      </w:r>
      <w:r>
        <w:rPr>
          <w:spacing w:val="-6"/>
        </w:rPr>
        <w:t xml:space="preserve"> </w:t>
      </w:r>
      <w:r>
        <w:t>6-</w:t>
      </w:r>
      <w:r>
        <w:rPr>
          <w:spacing w:val="-10"/>
        </w:rPr>
        <w:t>A</w:t>
      </w:r>
    </w:p>
    <w:p w14:paraId="21B5642E" w14:textId="77777777" w:rsidR="00644864" w:rsidRDefault="00644864">
      <w:pPr>
        <w:pStyle w:val="BodyText"/>
        <w:spacing w:before="3"/>
        <w:rPr>
          <w:b/>
          <w:sz w:val="31"/>
        </w:rPr>
      </w:pPr>
    </w:p>
    <w:p w14:paraId="46D0ECA3" w14:textId="77777777" w:rsidR="00644864" w:rsidRDefault="003F3CE2">
      <w:pPr>
        <w:ind w:left="557" w:right="559"/>
        <w:jc w:val="center"/>
        <w:rPr>
          <w:b/>
          <w:sz w:val="24"/>
        </w:rPr>
      </w:pPr>
      <w:r>
        <w:rPr>
          <w:b/>
          <w:sz w:val="24"/>
        </w:rPr>
        <w:t>Practices</w:t>
      </w:r>
      <w:r>
        <w:rPr>
          <w:b/>
          <w:spacing w:val="-9"/>
          <w:sz w:val="24"/>
        </w:rPr>
        <w:t xml:space="preserve"> </w:t>
      </w:r>
      <w:r>
        <w:rPr>
          <w:b/>
          <w:sz w:val="24"/>
        </w:rPr>
        <w:t>Relating</w:t>
      </w:r>
      <w:r>
        <w:rPr>
          <w:b/>
          <w:spacing w:val="-7"/>
          <w:sz w:val="24"/>
        </w:rPr>
        <w:t xml:space="preserve"> </w:t>
      </w:r>
      <w:r>
        <w:rPr>
          <w:b/>
          <w:sz w:val="24"/>
        </w:rPr>
        <w:t>to</w:t>
      </w:r>
      <w:r>
        <w:rPr>
          <w:b/>
          <w:spacing w:val="-8"/>
          <w:sz w:val="24"/>
        </w:rPr>
        <w:t xml:space="preserve"> </w:t>
      </w:r>
      <w:r>
        <w:rPr>
          <w:b/>
          <w:sz w:val="24"/>
        </w:rPr>
        <w:t>Antidumping</w:t>
      </w:r>
      <w:r>
        <w:rPr>
          <w:b/>
          <w:spacing w:val="-9"/>
          <w:sz w:val="24"/>
        </w:rPr>
        <w:t xml:space="preserve"> </w:t>
      </w:r>
      <w:r>
        <w:rPr>
          <w:b/>
          <w:sz w:val="24"/>
        </w:rPr>
        <w:t>and</w:t>
      </w:r>
      <w:r>
        <w:rPr>
          <w:b/>
          <w:spacing w:val="-8"/>
          <w:sz w:val="24"/>
        </w:rPr>
        <w:t xml:space="preserve"> </w:t>
      </w:r>
      <w:r>
        <w:rPr>
          <w:b/>
          <w:sz w:val="24"/>
        </w:rPr>
        <w:t>Countervailing</w:t>
      </w:r>
      <w:r>
        <w:rPr>
          <w:b/>
          <w:spacing w:val="-8"/>
          <w:sz w:val="24"/>
        </w:rPr>
        <w:t xml:space="preserve"> </w:t>
      </w:r>
      <w:r>
        <w:rPr>
          <w:b/>
          <w:sz w:val="24"/>
        </w:rPr>
        <w:t>Duty</w:t>
      </w:r>
      <w:r>
        <w:rPr>
          <w:b/>
          <w:spacing w:val="-9"/>
          <w:sz w:val="24"/>
        </w:rPr>
        <w:t xml:space="preserve"> </w:t>
      </w:r>
      <w:r>
        <w:rPr>
          <w:b/>
          <w:spacing w:val="-2"/>
          <w:sz w:val="24"/>
        </w:rPr>
        <w:t>Proceedings</w:t>
      </w:r>
    </w:p>
    <w:p w14:paraId="5812FE55" w14:textId="77777777" w:rsidR="00644864" w:rsidRDefault="00644864">
      <w:pPr>
        <w:pStyle w:val="BodyText"/>
        <w:rPr>
          <w:b/>
          <w:sz w:val="26"/>
        </w:rPr>
      </w:pPr>
    </w:p>
    <w:p w14:paraId="6BB3E9E7" w14:textId="77777777" w:rsidR="00644864" w:rsidRDefault="00644864">
      <w:pPr>
        <w:pStyle w:val="BodyText"/>
        <w:rPr>
          <w:b/>
          <w:sz w:val="32"/>
        </w:rPr>
      </w:pPr>
    </w:p>
    <w:p w14:paraId="702139C0" w14:textId="77777777" w:rsidR="00644864" w:rsidRDefault="003F3CE2">
      <w:pPr>
        <w:pStyle w:val="BodyText"/>
        <w:spacing w:before="1"/>
        <w:ind w:left="305" w:right="298" w:firstLine="719"/>
        <w:jc w:val="both"/>
      </w:pPr>
      <w:r>
        <w:t xml:space="preserve">The Parties </w:t>
      </w:r>
      <w:proofErr w:type="spellStart"/>
      <w:r>
        <w:t>recognise</w:t>
      </w:r>
      <w:proofErr w:type="spellEnd"/>
      <w:r>
        <w:t>, in Article 6.8 (Antidumping and Countervailing Duties), the right of the Parties to apply trade remedy measures consistent with Article VI of GATT 1994, the AD Agreement and the SCM Agreement, and fu</w:t>
      </w:r>
      <w:r>
        <w:t xml:space="preserve">rther </w:t>
      </w:r>
      <w:proofErr w:type="spellStart"/>
      <w:r>
        <w:t>recognise</w:t>
      </w:r>
      <w:proofErr w:type="spellEnd"/>
      <w:r>
        <w:t xml:space="preserve"> the following practices</w:t>
      </w:r>
      <w:r>
        <w:rPr>
          <w:vertAlign w:val="superscript"/>
        </w:rPr>
        <w:t>1</w:t>
      </w:r>
      <w:r>
        <w:t xml:space="preserve"> as promoting the goals of transparency and due process in trade remedy proceedings:</w:t>
      </w:r>
    </w:p>
    <w:p w14:paraId="45B17E40" w14:textId="77777777" w:rsidR="00644864" w:rsidRDefault="00644864">
      <w:pPr>
        <w:pStyle w:val="BodyText"/>
      </w:pPr>
    </w:p>
    <w:p w14:paraId="45452EB2" w14:textId="77777777" w:rsidR="00644864" w:rsidRDefault="003F3CE2">
      <w:pPr>
        <w:pStyle w:val="ListParagraph"/>
        <w:numPr>
          <w:ilvl w:val="1"/>
          <w:numId w:val="1"/>
        </w:numPr>
        <w:tabs>
          <w:tab w:val="left" w:pos="1746"/>
        </w:tabs>
        <w:ind w:right="300"/>
        <w:jc w:val="both"/>
        <w:rPr>
          <w:sz w:val="24"/>
        </w:rPr>
      </w:pPr>
      <w:r>
        <w:rPr>
          <w:sz w:val="24"/>
        </w:rPr>
        <w:t>Upon receipt by a Party’s investigating authorities of a properly documented antidumping or countervailing duty application with r</w:t>
      </w:r>
      <w:r>
        <w:rPr>
          <w:sz w:val="24"/>
        </w:rPr>
        <w:t>espect to imports from another Party, and no later than seven days before initiating an investigation, the Party provides written notification of its receipt of the application to the other Party.</w:t>
      </w:r>
    </w:p>
    <w:p w14:paraId="0A1D4D84" w14:textId="77777777" w:rsidR="00644864" w:rsidRDefault="00644864">
      <w:pPr>
        <w:pStyle w:val="BodyText"/>
      </w:pPr>
    </w:p>
    <w:p w14:paraId="2133752E" w14:textId="77777777" w:rsidR="00644864" w:rsidRDefault="003F3CE2">
      <w:pPr>
        <w:pStyle w:val="ListParagraph"/>
        <w:numPr>
          <w:ilvl w:val="1"/>
          <w:numId w:val="1"/>
        </w:numPr>
        <w:tabs>
          <w:tab w:val="left" w:pos="1746"/>
        </w:tabs>
        <w:ind w:right="299"/>
        <w:jc w:val="both"/>
        <w:rPr>
          <w:sz w:val="24"/>
        </w:rPr>
      </w:pPr>
      <w:r>
        <w:rPr>
          <w:sz w:val="24"/>
        </w:rPr>
        <w:t>In any proceeding in which the investigating authorities determine to conduct an in-person verification of information that is provided by a respondent,</w:t>
      </w:r>
      <w:r>
        <w:rPr>
          <w:sz w:val="24"/>
          <w:vertAlign w:val="superscript"/>
        </w:rPr>
        <w:t>2</w:t>
      </w:r>
      <w:r>
        <w:rPr>
          <w:sz w:val="24"/>
        </w:rPr>
        <w:t xml:space="preserve"> and that is pertinent to the calculation of antidumping</w:t>
      </w:r>
      <w:r>
        <w:rPr>
          <w:spacing w:val="-5"/>
          <w:sz w:val="24"/>
        </w:rPr>
        <w:t xml:space="preserve"> </w:t>
      </w:r>
      <w:r>
        <w:rPr>
          <w:sz w:val="24"/>
        </w:rPr>
        <w:t>duty</w:t>
      </w:r>
      <w:r>
        <w:rPr>
          <w:spacing w:val="-7"/>
          <w:sz w:val="24"/>
        </w:rPr>
        <w:t xml:space="preserve"> </w:t>
      </w:r>
      <w:r>
        <w:rPr>
          <w:sz w:val="24"/>
        </w:rPr>
        <w:t>margins</w:t>
      </w:r>
      <w:r>
        <w:rPr>
          <w:spacing w:val="-2"/>
          <w:sz w:val="24"/>
        </w:rPr>
        <w:t xml:space="preserve"> </w:t>
      </w:r>
      <w:r>
        <w:rPr>
          <w:sz w:val="24"/>
        </w:rPr>
        <w:t>or</w:t>
      </w:r>
      <w:r>
        <w:rPr>
          <w:spacing w:val="-2"/>
          <w:sz w:val="24"/>
        </w:rPr>
        <w:t xml:space="preserve"> </w:t>
      </w:r>
      <w:r>
        <w:rPr>
          <w:sz w:val="24"/>
        </w:rPr>
        <w:t>the</w:t>
      </w:r>
      <w:r>
        <w:rPr>
          <w:spacing w:val="-3"/>
          <w:sz w:val="24"/>
        </w:rPr>
        <w:t xml:space="preserve"> </w:t>
      </w:r>
      <w:r>
        <w:rPr>
          <w:sz w:val="24"/>
        </w:rPr>
        <w:t>level</w:t>
      </w:r>
      <w:r>
        <w:rPr>
          <w:spacing w:val="-2"/>
          <w:sz w:val="24"/>
        </w:rPr>
        <w:t xml:space="preserve"> </w:t>
      </w:r>
      <w:r>
        <w:rPr>
          <w:sz w:val="24"/>
        </w:rPr>
        <w:t>of</w:t>
      </w:r>
      <w:r>
        <w:rPr>
          <w:spacing w:val="-1"/>
          <w:sz w:val="24"/>
        </w:rPr>
        <w:t xml:space="preserve"> </w:t>
      </w:r>
      <w:r>
        <w:rPr>
          <w:sz w:val="24"/>
        </w:rPr>
        <w:t>a</w:t>
      </w:r>
      <w:r>
        <w:rPr>
          <w:spacing w:val="-3"/>
          <w:sz w:val="24"/>
        </w:rPr>
        <w:t xml:space="preserve"> </w:t>
      </w:r>
      <w:r>
        <w:rPr>
          <w:sz w:val="24"/>
        </w:rPr>
        <w:t>countervailable</w:t>
      </w:r>
      <w:r>
        <w:rPr>
          <w:spacing w:val="-2"/>
          <w:sz w:val="24"/>
        </w:rPr>
        <w:t xml:space="preserve"> </w:t>
      </w:r>
      <w:r>
        <w:rPr>
          <w:sz w:val="24"/>
        </w:rPr>
        <w:t>subsidy, the investigating authorities promptly notify each respondent of their intent, and:</w:t>
      </w:r>
    </w:p>
    <w:p w14:paraId="4E233057" w14:textId="77777777" w:rsidR="00644864" w:rsidRDefault="00644864">
      <w:pPr>
        <w:pStyle w:val="BodyText"/>
        <w:spacing w:before="1"/>
      </w:pPr>
    </w:p>
    <w:p w14:paraId="37025026" w14:textId="77777777" w:rsidR="00644864" w:rsidRDefault="003F3CE2">
      <w:pPr>
        <w:pStyle w:val="ListParagraph"/>
        <w:numPr>
          <w:ilvl w:val="2"/>
          <w:numId w:val="1"/>
        </w:numPr>
        <w:tabs>
          <w:tab w:val="left" w:pos="2466"/>
        </w:tabs>
        <w:ind w:right="303"/>
        <w:jc w:val="both"/>
        <w:rPr>
          <w:sz w:val="24"/>
        </w:rPr>
      </w:pPr>
      <w:r>
        <w:rPr>
          <w:sz w:val="24"/>
        </w:rPr>
        <w:t xml:space="preserve">provide to each respondent at least 10 working days advance notice of the dates on which the authorities intend to conduct an in-person verification of the </w:t>
      </w:r>
      <w:proofErr w:type="gramStart"/>
      <w:r>
        <w:rPr>
          <w:sz w:val="24"/>
        </w:rPr>
        <w:t>infor</w:t>
      </w:r>
      <w:r>
        <w:rPr>
          <w:sz w:val="24"/>
        </w:rPr>
        <w:t>mation;</w:t>
      </w:r>
      <w:proofErr w:type="gramEnd"/>
    </w:p>
    <w:p w14:paraId="6EC993C6" w14:textId="77777777" w:rsidR="00644864" w:rsidRDefault="00644864">
      <w:pPr>
        <w:pStyle w:val="BodyText"/>
      </w:pPr>
    </w:p>
    <w:p w14:paraId="46370831" w14:textId="77777777" w:rsidR="00644864" w:rsidRDefault="003F3CE2">
      <w:pPr>
        <w:pStyle w:val="ListParagraph"/>
        <w:numPr>
          <w:ilvl w:val="2"/>
          <w:numId w:val="1"/>
        </w:numPr>
        <w:tabs>
          <w:tab w:val="left" w:pos="2466"/>
        </w:tabs>
        <w:ind w:right="297"/>
        <w:jc w:val="both"/>
        <w:rPr>
          <w:sz w:val="24"/>
        </w:rPr>
      </w:pPr>
      <w:r>
        <w:rPr>
          <w:sz w:val="24"/>
        </w:rPr>
        <w:t>at least five working days prior to an in-person verification, provide to the respondent a document that sets out the</w:t>
      </w:r>
      <w:r>
        <w:rPr>
          <w:spacing w:val="40"/>
          <w:sz w:val="24"/>
        </w:rPr>
        <w:t xml:space="preserve"> </w:t>
      </w:r>
      <w:r>
        <w:rPr>
          <w:sz w:val="24"/>
        </w:rPr>
        <w:t>topics the respondent should be prepared to address during the verification and that describes the types of supporting documentat</w:t>
      </w:r>
      <w:r>
        <w:rPr>
          <w:sz w:val="24"/>
        </w:rPr>
        <w:t xml:space="preserve">ion to be made available for </w:t>
      </w:r>
      <w:proofErr w:type="gramStart"/>
      <w:r>
        <w:rPr>
          <w:sz w:val="24"/>
        </w:rPr>
        <w:t>review;</w:t>
      </w:r>
      <w:proofErr w:type="gramEnd"/>
      <w:r>
        <w:rPr>
          <w:sz w:val="24"/>
        </w:rPr>
        <w:t xml:space="preserve"> and</w:t>
      </w:r>
    </w:p>
    <w:p w14:paraId="484223FB" w14:textId="77777777" w:rsidR="00644864" w:rsidRDefault="00644864">
      <w:pPr>
        <w:pStyle w:val="BodyText"/>
        <w:rPr>
          <w:sz w:val="20"/>
        </w:rPr>
      </w:pPr>
    </w:p>
    <w:p w14:paraId="2C6B2868" w14:textId="77777777" w:rsidR="00644864" w:rsidRDefault="00644864">
      <w:pPr>
        <w:pStyle w:val="BodyText"/>
        <w:rPr>
          <w:sz w:val="20"/>
        </w:rPr>
      </w:pPr>
    </w:p>
    <w:p w14:paraId="25F9D78E" w14:textId="77777777" w:rsidR="00644864" w:rsidRDefault="00644864">
      <w:pPr>
        <w:pStyle w:val="BodyText"/>
        <w:rPr>
          <w:sz w:val="20"/>
        </w:rPr>
      </w:pPr>
    </w:p>
    <w:p w14:paraId="7CCF17C8" w14:textId="77777777" w:rsidR="00644864" w:rsidRDefault="00644864">
      <w:pPr>
        <w:pStyle w:val="BodyText"/>
        <w:rPr>
          <w:sz w:val="20"/>
        </w:rPr>
      </w:pPr>
    </w:p>
    <w:p w14:paraId="2FD05283" w14:textId="77777777" w:rsidR="00644864" w:rsidRDefault="00644864">
      <w:pPr>
        <w:pStyle w:val="BodyText"/>
        <w:rPr>
          <w:sz w:val="20"/>
        </w:rPr>
      </w:pPr>
    </w:p>
    <w:p w14:paraId="65FA32FF" w14:textId="77777777" w:rsidR="00644864" w:rsidRDefault="003F3CE2">
      <w:pPr>
        <w:pStyle w:val="BodyText"/>
        <w:spacing w:before="1"/>
        <w:rPr>
          <w:sz w:val="15"/>
        </w:rPr>
      </w:pPr>
      <w:r>
        <w:pict w14:anchorId="081A674F">
          <v:rect id="docshape2" o:spid="_x0000_s2051" style="position:absolute;margin-left:99.25pt;margin-top:9.9pt;width:2in;height:.7pt;z-index:-15728640;mso-wrap-distance-left:0;mso-wrap-distance-right:0;mso-position-horizontal-relative:page" fillcolor="black" stroked="f">
            <w10:wrap type="topAndBottom" anchorx="page"/>
          </v:rect>
        </w:pict>
      </w:r>
    </w:p>
    <w:p w14:paraId="4A833E72" w14:textId="77777777" w:rsidR="00644864" w:rsidRDefault="003F3CE2">
      <w:pPr>
        <w:spacing w:before="96"/>
        <w:ind w:left="305" w:right="346"/>
        <w:rPr>
          <w:sz w:val="20"/>
        </w:rPr>
      </w:pPr>
      <w:r>
        <w:rPr>
          <w:sz w:val="20"/>
          <w:vertAlign w:val="superscript"/>
        </w:rPr>
        <w:t>1</w:t>
      </w:r>
      <w:r>
        <w:rPr>
          <w:spacing w:val="40"/>
          <w:sz w:val="20"/>
        </w:rPr>
        <w:t xml:space="preserve"> </w:t>
      </w:r>
      <w:r>
        <w:rPr>
          <w:sz w:val="20"/>
        </w:rPr>
        <w:t>The</w:t>
      </w:r>
      <w:r>
        <w:rPr>
          <w:spacing w:val="-3"/>
          <w:sz w:val="20"/>
        </w:rPr>
        <w:t xml:space="preserve"> </w:t>
      </w:r>
      <w:r>
        <w:rPr>
          <w:sz w:val="20"/>
        </w:rPr>
        <w:t>practices</w:t>
      </w:r>
      <w:r>
        <w:rPr>
          <w:spacing w:val="-3"/>
          <w:sz w:val="20"/>
        </w:rPr>
        <w:t xml:space="preserve"> </w:t>
      </w:r>
      <w:r>
        <w:rPr>
          <w:sz w:val="20"/>
        </w:rPr>
        <w:t>included in</w:t>
      </w:r>
      <w:r>
        <w:rPr>
          <w:spacing w:val="-5"/>
          <w:sz w:val="20"/>
        </w:rPr>
        <w:t xml:space="preserve"> </w:t>
      </w:r>
      <w:r>
        <w:rPr>
          <w:sz w:val="20"/>
        </w:rPr>
        <w:t>this</w:t>
      </w:r>
      <w:r>
        <w:rPr>
          <w:spacing w:val="-2"/>
          <w:sz w:val="20"/>
        </w:rPr>
        <w:t xml:space="preserve"> </w:t>
      </w:r>
      <w:r>
        <w:rPr>
          <w:sz w:val="20"/>
        </w:rPr>
        <w:t>Annex</w:t>
      </w:r>
      <w:r>
        <w:rPr>
          <w:spacing w:val="-4"/>
          <w:sz w:val="20"/>
        </w:rPr>
        <w:t xml:space="preserve"> </w:t>
      </w:r>
      <w:r>
        <w:rPr>
          <w:sz w:val="20"/>
        </w:rPr>
        <w:t>do</w:t>
      </w:r>
      <w:r>
        <w:rPr>
          <w:spacing w:val="-2"/>
          <w:sz w:val="20"/>
        </w:rPr>
        <w:t xml:space="preserve"> </w:t>
      </w:r>
      <w:r>
        <w:rPr>
          <w:sz w:val="20"/>
        </w:rPr>
        <w:t>not</w:t>
      </w:r>
      <w:r>
        <w:rPr>
          <w:spacing w:val="-4"/>
          <w:sz w:val="20"/>
        </w:rPr>
        <w:t xml:space="preserve"> </w:t>
      </w:r>
      <w:r>
        <w:rPr>
          <w:sz w:val="20"/>
        </w:rPr>
        <w:t>constitute</w:t>
      </w:r>
      <w:r>
        <w:rPr>
          <w:spacing w:val="-3"/>
          <w:sz w:val="20"/>
        </w:rPr>
        <w:t xml:space="preserve"> </w:t>
      </w:r>
      <w:r>
        <w:rPr>
          <w:sz w:val="20"/>
        </w:rPr>
        <w:t>a</w:t>
      </w:r>
      <w:r>
        <w:rPr>
          <w:spacing w:val="-3"/>
          <w:sz w:val="20"/>
        </w:rPr>
        <w:t xml:space="preserve"> </w:t>
      </w:r>
      <w:r>
        <w:rPr>
          <w:sz w:val="20"/>
        </w:rPr>
        <w:t>comprehensive</w:t>
      </w:r>
      <w:r>
        <w:rPr>
          <w:spacing w:val="-3"/>
          <w:sz w:val="20"/>
        </w:rPr>
        <w:t xml:space="preserve"> </w:t>
      </w:r>
      <w:r>
        <w:rPr>
          <w:sz w:val="20"/>
        </w:rPr>
        <w:t>list</w:t>
      </w:r>
      <w:r>
        <w:rPr>
          <w:spacing w:val="-4"/>
          <w:sz w:val="20"/>
        </w:rPr>
        <w:t xml:space="preserve"> </w:t>
      </w:r>
      <w:r>
        <w:rPr>
          <w:sz w:val="20"/>
        </w:rPr>
        <w:t>of</w:t>
      </w:r>
      <w:r>
        <w:rPr>
          <w:spacing w:val="-5"/>
          <w:sz w:val="20"/>
        </w:rPr>
        <w:t xml:space="preserve"> </w:t>
      </w:r>
      <w:r>
        <w:rPr>
          <w:sz w:val="20"/>
        </w:rPr>
        <w:t>practices</w:t>
      </w:r>
      <w:r>
        <w:rPr>
          <w:spacing w:val="-4"/>
          <w:sz w:val="20"/>
        </w:rPr>
        <w:t xml:space="preserve"> </w:t>
      </w:r>
      <w:r>
        <w:rPr>
          <w:sz w:val="20"/>
        </w:rPr>
        <w:t>relating to antidumping and countervailing duty proceedings.</w:t>
      </w:r>
      <w:r>
        <w:rPr>
          <w:spacing w:val="40"/>
          <w:sz w:val="20"/>
        </w:rPr>
        <w:t xml:space="preserve"> </w:t>
      </w:r>
      <w:r>
        <w:rPr>
          <w:sz w:val="20"/>
        </w:rPr>
        <w:t>No inference shall be drawn from the inclusion or exclusion of a particular aspect of such proceedings in this list.</w:t>
      </w:r>
    </w:p>
    <w:p w14:paraId="27FF8524" w14:textId="77777777" w:rsidR="00644864" w:rsidRDefault="00644864">
      <w:pPr>
        <w:pStyle w:val="BodyText"/>
        <w:spacing w:before="2"/>
        <w:rPr>
          <w:sz w:val="20"/>
        </w:rPr>
      </w:pPr>
    </w:p>
    <w:p w14:paraId="10A374DF" w14:textId="77777777" w:rsidR="00644864" w:rsidRDefault="003F3CE2">
      <w:pPr>
        <w:ind w:left="305" w:right="346"/>
        <w:rPr>
          <w:sz w:val="20"/>
        </w:rPr>
      </w:pPr>
      <w:r>
        <w:rPr>
          <w:sz w:val="20"/>
          <w:vertAlign w:val="superscript"/>
        </w:rPr>
        <w:t>2</w:t>
      </w:r>
      <w:r>
        <w:rPr>
          <w:spacing w:val="40"/>
          <w:sz w:val="20"/>
        </w:rPr>
        <w:t xml:space="preserve"> </w:t>
      </w:r>
      <w:r>
        <w:rPr>
          <w:sz w:val="20"/>
        </w:rPr>
        <w:t>For the purposes of this paragraph, “respondent” means a producer, manufact</w:t>
      </w:r>
      <w:r>
        <w:rPr>
          <w:sz w:val="20"/>
        </w:rPr>
        <w:t>urer, exporter, importer,</w:t>
      </w:r>
      <w:r>
        <w:rPr>
          <w:spacing w:val="-3"/>
          <w:sz w:val="20"/>
        </w:rPr>
        <w:t xml:space="preserve"> </w:t>
      </w:r>
      <w:r>
        <w:rPr>
          <w:sz w:val="20"/>
        </w:rPr>
        <w:t>and,</w:t>
      </w:r>
      <w:r>
        <w:rPr>
          <w:spacing w:val="-1"/>
          <w:sz w:val="20"/>
        </w:rPr>
        <w:t xml:space="preserve"> </w:t>
      </w:r>
      <w:r>
        <w:rPr>
          <w:sz w:val="20"/>
        </w:rPr>
        <w:t>where</w:t>
      </w:r>
      <w:r>
        <w:rPr>
          <w:spacing w:val="-3"/>
          <w:sz w:val="20"/>
        </w:rPr>
        <w:t xml:space="preserve"> </w:t>
      </w:r>
      <w:r>
        <w:rPr>
          <w:sz w:val="20"/>
        </w:rPr>
        <w:t>appropriate,</w:t>
      </w:r>
      <w:r>
        <w:rPr>
          <w:spacing w:val="-3"/>
          <w:sz w:val="20"/>
        </w:rPr>
        <w:t xml:space="preserve"> </w:t>
      </w:r>
      <w:r>
        <w:rPr>
          <w:sz w:val="20"/>
        </w:rPr>
        <w:t>a</w:t>
      </w:r>
      <w:r>
        <w:rPr>
          <w:spacing w:val="-3"/>
          <w:sz w:val="20"/>
        </w:rPr>
        <w:t xml:space="preserve"> </w:t>
      </w:r>
      <w:r>
        <w:rPr>
          <w:sz w:val="20"/>
        </w:rPr>
        <w:t>government</w:t>
      </w:r>
      <w:r>
        <w:rPr>
          <w:spacing w:val="-4"/>
          <w:sz w:val="20"/>
        </w:rPr>
        <w:t xml:space="preserve"> </w:t>
      </w:r>
      <w:r>
        <w:rPr>
          <w:sz w:val="20"/>
        </w:rPr>
        <w:t>or</w:t>
      </w:r>
      <w:r>
        <w:rPr>
          <w:spacing w:val="-3"/>
          <w:sz w:val="20"/>
        </w:rPr>
        <w:t xml:space="preserve"> </w:t>
      </w:r>
      <w:r>
        <w:rPr>
          <w:sz w:val="20"/>
        </w:rPr>
        <w:t>government</w:t>
      </w:r>
      <w:r>
        <w:rPr>
          <w:spacing w:val="-4"/>
          <w:sz w:val="20"/>
        </w:rPr>
        <w:t xml:space="preserve"> </w:t>
      </w:r>
      <w:r>
        <w:rPr>
          <w:sz w:val="20"/>
        </w:rPr>
        <w:t>entity,</w:t>
      </w:r>
      <w:r>
        <w:rPr>
          <w:spacing w:val="-3"/>
          <w:sz w:val="20"/>
        </w:rPr>
        <w:t xml:space="preserve"> </w:t>
      </w:r>
      <w:r>
        <w:rPr>
          <w:sz w:val="20"/>
        </w:rPr>
        <w:t>that</w:t>
      </w:r>
      <w:r>
        <w:rPr>
          <w:spacing w:val="-3"/>
          <w:sz w:val="20"/>
        </w:rPr>
        <w:t xml:space="preserve"> </w:t>
      </w:r>
      <w:r>
        <w:rPr>
          <w:sz w:val="20"/>
        </w:rPr>
        <w:t>is</w:t>
      </w:r>
      <w:r>
        <w:rPr>
          <w:spacing w:val="-4"/>
          <w:sz w:val="20"/>
        </w:rPr>
        <w:t xml:space="preserve"> </w:t>
      </w:r>
      <w:r>
        <w:rPr>
          <w:sz w:val="20"/>
        </w:rPr>
        <w:t>required</w:t>
      </w:r>
      <w:r>
        <w:rPr>
          <w:spacing w:val="-2"/>
          <w:sz w:val="20"/>
        </w:rPr>
        <w:t xml:space="preserve"> </w:t>
      </w:r>
      <w:r>
        <w:rPr>
          <w:sz w:val="20"/>
        </w:rPr>
        <w:t>by</w:t>
      </w:r>
      <w:r>
        <w:rPr>
          <w:spacing w:val="-7"/>
          <w:sz w:val="20"/>
        </w:rPr>
        <w:t xml:space="preserve"> </w:t>
      </w:r>
      <w:r>
        <w:rPr>
          <w:sz w:val="20"/>
        </w:rPr>
        <w:t>a</w:t>
      </w:r>
      <w:r>
        <w:rPr>
          <w:spacing w:val="-1"/>
          <w:sz w:val="20"/>
        </w:rPr>
        <w:t xml:space="preserve"> </w:t>
      </w:r>
      <w:r>
        <w:rPr>
          <w:sz w:val="20"/>
        </w:rPr>
        <w:t>Party’s investigating authorities to respond to an antidumping or countervailing duty questionnaire.</w:t>
      </w:r>
    </w:p>
    <w:p w14:paraId="69C74ABA" w14:textId="77777777" w:rsidR="00644864" w:rsidRDefault="00644864">
      <w:pPr>
        <w:rPr>
          <w:sz w:val="20"/>
        </w:rPr>
        <w:sectPr w:rsidR="00644864">
          <w:pgSz w:w="11910" w:h="16850"/>
          <w:pgMar w:top="1940" w:right="1680" w:bottom="1200" w:left="1680" w:header="0" w:footer="1019" w:gutter="0"/>
          <w:cols w:space="720"/>
        </w:sectPr>
      </w:pPr>
    </w:p>
    <w:p w14:paraId="1D8AB8DC" w14:textId="77777777" w:rsidR="00644864" w:rsidRDefault="003F3CE2">
      <w:pPr>
        <w:pStyle w:val="ListParagraph"/>
        <w:numPr>
          <w:ilvl w:val="2"/>
          <w:numId w:val="1"/>
        </w:numPr>
        <w:tabs>
          <w:tab w:val="left" w:pos="2466"/>
        </w:tabs>
        <w:spacing w:before="69"/>
        <w:jc w:val="both"/>
        <w:rPr>
          <w:sz w:val="24"/>
        </w:rPr>
      </w:pPr>
      <w:r>
        <w:rPr>
          <w:sz w:val="24"/>
        </w:rPr>
        <w:lastRenderedPageBreak/>
        <w:t>after an in-person verificatio</w:t>
      </w:r>
      <w:r>
        <w:rPr>
          <w:sz w:val="24"/>
        </w:rPr>
        <w:t>n is completed, and subject to the protection of confidential information</w:t>
      </w:r>
      <w:r>
        <w:rPr>
          <w:sz w:val="24"/>
          <w:vertAlign w:val="superscript"/>
        </w:rPr>
        <w:t>3</w:t>
      </w:r>
      <w:r>
        <w:rPr>
          <w:sz w:val="24"/>
        </w:rPr>
        <w:t>, issue a written report that describes the methods and procedures followed in carrying out the verification and the extent to which the information provided by the respondent was supported by the documents reviewed during the verification.</w:t>
      </w:r>
      <w:r>
        <w:rPr>
          <w:spacing w:val="40"/>
          <w:sz w:val="24"/>
        </w:rPr>
        <w:t xml:space="preserve"> </w:t>
      </w:r>
      <w:r>
        <w:rPr>
          <w:sz w:val="24"/>
        </w:rPr>
        <w:t>The report is m</w:t>
      </w:r>
      <w:r>
        <w:rPr>
          <w:sz w:val="24"/>
        </w:rPr>
        <w:t>ade available to all interested parties in sufficient time for the parties to defend their interests.</w:t>
      </w:r>
    </w:p>
    <w:p w14:paraId="6DE289FD" w14:textId="77777777" w:rsidR="00644864" w:rsidRDefault="00644864">
      <w:pPr>
        <w:pStyle w:val="BodyText"/>
      </w:pPr>
    </w:p>
    <w:p w14:paraId="26D4A659" w14:textId="77777777" w:rsidR="00644864" w:rsidRDefault="003F3CE2">
      <w:pPr>
        <w:pStyle w:val="ListParagraph"/>
        <w:numPr>
          <w:ilvl w:val="1"/>
          <w:numId w:val="1"/>
        </w:numPr>
        <w:tabs>
          <w:tab w:val="left" w:pos="1746"/>
        </w:tabs>
        <w:ind w:right="305"/>
        <w:jc w:val="both"/>
        <w:rPr>
          <w:sz w:val="24"/>
        </w:rPr>
      </w:pPr>
      <w:r>
        <w:rPr>
          <w:sz w:val="24"/>
        </w:rPr>
        <w:t>A Party’s investigating authorities maintain a public file for each investigation and review that contains:</w:t>
      </w:r>
    </w:p>
    <w:p w14:paraId="46FE6C7D" w14:textId="77777777" w:rsidR="00644864" w:rsidRDefault="00644864">
      <w:pPr>
        <w:pStyle w:val="BodyText"/>
        <w:spacing w:before="1"/>
      </w:pPr>
    </w:p>
    <w:p w14:paraId="2994CE2E" w14:textId="77777777" w:rsidR="00644864" w:rsidRDefault="003F3CE2">
      <w:pPr>
        <w:pStyle w:val="ListParagraph"/>
        <w:numPr>
          <w:ilvl w:val="2"/>
          <w:numId w:val="1"/>
        </w:numPr>
        <w:tabs>
          <w:tab w:val="left" w:pos="2466"/>
        </w:tabs>
        <w:ind w:right="304"/>
        <w:jc w:val="both"/>
        <w:rPr>
          <w:sz w:val="24"/>
        </w:rPr>
      </w:pPr>
      <w:r>
        <w:rPr>
          <w:sz w:val="24"/>
        </w:rPr>
        <w:t>all non-confidential documents that are</w:t>
      </w:r>
      <w:r>
        <w:rPr>
          <w:spacing w:val="-2"/>
          <w:sz w:val="24"/>
        </w:rPr>
        <w:t xml:space="preserve"> </w:t>
      </w:r>
      <w:r>
        <w:rPr>
          <w:sz w:val="24"/>
        </w:rPr>
        <w:t>part of</w:t>
      </w:r>
      <w:r>
        <w:rPr>
          <w:spacing w:val="-1"/>
          <w:sz w:val="24"/>
        </w:rPr>
        <w:t xml:space="preserve"> </w:t>
      </w:r>
      <w:r>
        <w:rPr>
          <w:sz w:val="24"/>
        </w:rPr>
        <w:t>the record</w:t>
      </w:r>
      <w:r>
        <w:rPr>
          <w:spacing w:val="-1"/>
          <w:sz w:val="24"/>
        </w:rPr>
        <w:t xml:space="preserve"> </w:t>
      </w:r>
      <w:r>
        <w:rPr>
          <w:sz w:val="24"/>
        </w:rPr>
        <w:t>of the investigation or review; and</w:t>
      </w:r>
    </w:p>
    <w:p w14:paraId="4CB67B39" w14:textId="77777777" w:rsidR="00644864" w:rsidRDefault="00644864">
      <w:pPr>
        <w:pStyle w:val="BodyText"/>
      </w:pPr>
    </w:p>
    <w:p w14:paraId="0FA2229C" w14:textId="77777777" w:rsidR="00644864" w:rsidRDefault="003F3CE2">
      <w:pPr>
        <w:pStyle w:val="ListParagraph"/>
        <w:numPr>
          <w:ilvl w:val="2"/>
          <w:numId w:val="1"/>
        </w:numPr>
        <w:tabs>
          <w:tab w:val="left" w:pos="2466"/>
        </w:tabs>
        <w:ind w:right="303"/>
        <w:jc w:val="both"/>
        <w:rPr>
          <w:sz w:val="24"/>
        </w:rPr>
      </w:pPr>
      <w:r>
        <w:rPr>
          <w:sz w:val="24"/>
        </w:rPr>
        <w:t>to the extent feasible without revealing confidenti</w:t>
      </w:r>
      <w:r>
        <w:rPr>
          <w:sz w:val="24"/>
        </w:rPr>
        <w:t>al information, non-confidential summaries of confidential information that is contained in the record of each investigation or review.</w:t>
      </w:r>
      <w:r>
        <w:rPr>
          <w:spacing w:val="40"/>
          <w:sz w:val="24"/>
        </w:rPr>
        <w:t xml:space="preserve"> </w:t>
      </w:r>
      <w:r>
        <w:rPr>
          <w:sz w:val="24"/>
        </w:rPr>
        <w:t xml:space="preserve">To the extent that individual information is not susceptible of </w:t>
      </w:r>
      <w:proofErr w:type="spellStart"/>
      <w:r>
        <w:rPr>
          <w:sz w:val="24"/>
        </w:rPr>
        <w:t>summarisation</w:t>
      </w:r>
      <w:proofErr w:type="spellEnd"/>
      <w:r>
        <w:rPr>
          <w:sz w:val="24"/>
        </w:rPr>
        <w:t>, it may be aggregated by the investigating</w:t>
      </w:r>
      <w:r>
        <w:rPr>
          <w:sz w:val="24"/>
        </w:rPr>
        <w:t xml:space="preserve"> authority.</w:t>
      </w:r>
    </w:p>
    <w:p w14:paraId="5A167989" w14:textId="77777777" w:rsidR="00644864" w:rsidRDefault="00644864">
      <w:pPr>
        <w:pStyle w:val="BodyText"/>
      </w:pPr>
    </w:p>
    <w:p w14:paraId="2B4165D2" w14:textId="77777777" w:rsidR="00644864" w:rsidRDefault="003F3CE2">
      <w:pPr>
        <w:pStyle w:val="BodyText"/>
        <w:ind w:left="1745" w:right="302"/>
        <w:jc w:val="both"/>
      </w:pPr>
      <w:r>
        <w:t>The public file and a list of all documents that are contained in the record of the investigation or review are physically available for inspection and copying during</w:t>
      </w:r>
      <w:r>
        <w:rPr>
          <w:spacing w:val="-2"/>
        </w:rPr>
        <w:t xml:space="preserve"> </w:t>
      </w:r>
      <w:r>
        <w:t>the investigating authorities’ normal business hours or electronically avail</w:t>
      </w:r>
      <w:r>
        <w:t>able for download.</w:t>
      </w:r>
      <w:r>
        <w:rPr>
          <w:vertAlign w:val="superscript"/>
        </w:rPr>
        <w:t>4</w:t>
      </w:r>
    </w:p>
    <w:p w14:paraId="06EBF618" w14:textId="77777777" w:rsidR="00644864" w:rsidRDefault="00644864">
      <w:pPr>
        <w:pStyle w:val="BodyText"/>
        <w:spacing w:before="9"/>
        <w:rPr>
          <w:sz w:val="23"/>
        </w:rPr>
      </w:pPr>
    </w:p>
    <w:p w14:paraId="254CB12A" w14:textId="77777777" w:rsidR="00644864" w:rsidRDefault="003F3CE2">
      <w:pPr>
        <w:pStyle w:val="ListParagraph"/>
        <w:numPr>
          <w:ilvl w:val="1"/>
          <w:numId w:val="1"/>
        </w:numPr>
        <w:tabs>
          <w:tab w:val="left" w:pos="1746"/>
        </w:tabs>
        <w:spacing w:before="1"/>
        <w:ind w:right="299"/>
        <w:jc w:val="both"/>
        <w:rPr>
          <w:sz w:val="24"/>
        </w:rPr>
      </w:pPr>
      <w:r>
        <w:rPr>
          <w:sz w:val="24"/>
        </w:rPr>
        <w:t>If, in an antidumping or countervailing duty action that involves imports from another Party, a Party’s investigating authorities determine that a timely response to a request for information does not comply with the request, the inves</w:t>
      </w:r>
      <w:r>
        <w:rPr>
          <w:sz w:val="24"/>
        </w:rPr>
        <w:t>tigating authorities inform</w:t>
      </w:r>
      <w:r>
        <w:rPr>
          <w:spacing w:val="40"/>
          <w:sz w:val="24"/>
        </w:rPr>
        <w:t xml:space="preserve"> </w:t>
      </w:r>
      <w:r>
        <w:rPr>
          <w:sz w:val="24"/>
        </w:rPr>
        <w:t>the interested party that submitted the response of the nature of the deficiency and, to the extent practicable in light of time limits established to complete the antidumping or countervailing duty action, provide that interest</w:t>
      </w:r>
      <w:r>
        <w:rPr>
          <w:sz w:val="24"/>
        </w:rPr>
        <w:t>ed party with an opportunity to remedy or explain the deficiency.</w:t>
      </w:r>
      <w:r>
        <w:rPr>
          <w:spacing w:val="40"/>
          <w:sz w:val="24"/>
        </w:rPr>
        <w:t xml:space="preserve"> </w:t>
      </w:r>
      <w:r>
        <w:rPr>
          <w:sz w:val="24"/>
        </w:rPr>
        <w:t xml:space="preserve">If that interested party submits further information in response to that deficiency and the investigating authorities find that the response is not satisfactory, or that the response is not </w:t>
      </w:r>
      <w:r>
        <w:rPr>
          <w:sz w:val="24"/>
        </w:rPr>
        <w:t>submitted within the applicable time limits, and if the investigating authorities disregard all or part of the original and</w:t>
      </w:r>
    </w:p>
    <w:p w14:paraId="0A3565D0" w14:textId="77777777" w:rsidR="00644864" w:rsidRDefault="003F3CE2">
      <w:pPr>
        <w:pStyle w:val="BodyText"/>
        <w:spacing w:before="4"/>
        <w:rPr>
          <w:sz w:val="16"/>
        </w:rPr>
      </w:pPr>
      <w:r>
        <w:pict w14:anchorId="77F9E4EA">
          <v:rect id="docshape4" o:spid="_x0000_s2050" style="position:absolute;margin-left:99.25pt;margin-top:10.65pt;width:2in;height:.7pt;z-index:-15728128;mso-wrap-distance-left:0;mso-wrap-distance-right:0;mso-position-horizontal-relative:page" fillcolor="black" stroked="f">
            <w10:wrap type="topAndBottom" anchorx="page"/>
          </v:rect>
        </w:pict>
      </w:r>
    </w:p>
    <w:p w14:paraId="3D8F8FF7" w14:textId="77777777" w:rsidR="00644864" w:rsidRDefault="003F3CE2">
      <w:pPr>
        <w:spacing w:before="95"/>
        <w:ind w:left="305" w:right="346"/>
        <w:rPr>
          <w:sz w:val="20"/>
        </w:rPr>
      </w:pPr>
      <w:r>
        <w:rPr>
          <w:sz w:val="20"/>
          <w:vertAlign w:val="superscript"/>
        </w:rPr>
        <w:t>3</w:t>
      </w:r>
      <w:r>
        <w:rPr>
          <w:spacing w:val="40"/>
          <w:sz w:val="20"/>
        </w:rPr>
        <w:t xml:space="preserve"> </w:t>
      </w:r>
      <w:r>
        <w:rPr>
          <w:sz w:val="20"/>
        </w:rPr>
        <w:t>For the purposes of this Annex</w:t>
      </w:r>
      <w:r>
        <w:rPr>
          <w:sz w:val="24"/>
        </w:rPr>
        <w:t>, “</w:t>
      </w:r>
      <w:r>
        <w:rPr>
          <w:sz w:val="20"/>
        </w:rPr>
        <w:t xml:space="preserve">confidential information” includes information which is provided on a confidential </w:t>
      </w:r>
      <w:proofErr w:type="gramStart"/>
      <w:r>
        <w:rPr>
          <w:sz w:val="20"/>
        </w:rPr>
        <w:t>basis</w:t>
      </w:r>
      <w:proofErr w:type="gramEnd"/>
      <w:r>
        <w:rPr>
          <w:sz w:val="20"/>
        </w:rPr>
        <w:t xml:space="preserve"> and wh</w:t>
      </w:r>
      <w:r>
        <w:rPr>
          <w:sz w:val="20"/>
        </w:rPr>
        <w:t>ich is by its nature confidential, for example, because its disclosure</w:t>
      </w:r>
      <w:r>
        <w:rPr>
          <w:spacing w:val="-1"/>
          <w:sz w:val="20"/>
        </w:rPr>
        <w:t xml:space="preserve"> </w:t>
      </w:r>
      <w:r>
        <w:rPr>
          <w:sz w:val="20"/>
        </w:rPr>
        <w:t>would</w:t>
      </w:r>
      <w:r>
        <w:rPr>
          <w:spacing w:val="-3"/>
          <w:sz w:val="20"/>
        </w:rPr>
        <w:t xml:space="preserve"> </w:t>
      </w:r>
      <w:r>
        <w:rPr>
          <w:sz w:val="20"/>
        </w:rPr>
        <w:t>be</w:t>
      </w:r>
      <w:r>
        <w:rPr>
          <w:spacing w:val="-4"/>
          <w:sz w:val="20"/>
        </w:rPr>
        <w:t xml:space="preserve"> </w:t>
      </w:r>
      <w:r>
        <w:rPr>
          <w:sz w:val="20"/>
        </w:rPr>
        <w:t>of</w:t>
      </w:r>
      <w:r>
        <w:rPr>
          <w:spacing w:val="-6"/>
          <w:sz w:val="20"/>
        </w:rPr>
        <w:t xml:space="preserve"> </w:t>
      </w:r>
      <w:r>
        <w:rPr>
          <w:sz w:val="20"/>
        </w:rPr>
        <w:t>significant</w:t>
      </w:r>
      <w:r>
        <w:rPr>
          <w:spacing w:val="-5"/>
          <w:sz w:val="20"/>
        </w:rPr>
        <w:t xml:space="preserve"> </w:t>
      </w:r>
      <w:r>
        <w:rPr>
          <w:sz w:val="20"/>
        </w:rPr>
        <w:t>competitive</w:t>
      </w:r>
      <w:r>
        <w:rPr>
          <w:spacing w:val="-4"/>
          <w:sz w:val="20"/>
        </w:rPr>
        <w:t xml:space="preserve"> </w:t>
      </w:r>
      <w:r>
        <w:rPr>
          <w:sz w:val="20"/>
        </w:rPr>
        <w:t>advantage</w:t>
      </w:r>
      <w:r>
        <w:rPr>
          <w:spacing w:val="-4"/>
          <w:sz w:val="20"/>
        </w:rPr>
        <w:t xml:space="preserve"> </w:t>
      </w:r>
      <w:r>
        <w:rPr>
          <w:sz w:val="20"/>
        </w:rPr>
        <w:t>to</w:t>
      </w:r>
      <w:r>
        <w:rPr>
          <w:spacing w:val="-3"/>
          <w:sz w:val="20"/>
        </w:rPr>
        <w:t xml:space="preserve"> </w:t>
      </w:r>
      <w:r>
        <w:rPr>
          <w:sz w:val="20"/>
        </w:rPr>
        <w:t>a</w:t>
      </w:r>
      <w:r>
        <w:rPr>
          <w:spacing w:val="-4"/>
          <w:sz w:val="20"/>
        </w:rPr>
        <w:t xml:space="preserve"> </w:t>
      </w:r>
      <w:r>
        <w:rPr>
          <w:sz w:val="20"/>
        </w:rPr>
        <w:t>competitor</w:t>
      </w:r>
      <w:r>
        <w:rPr>
          <w:spacing w:val="-4"/>
          <w:sz w:val="20"/>
        </w:rPr>
        <w:t xml:space="preserve"> </w:t>
      </w:r>
      <w:r>
        <w:rPr>
          <w:sz w:val="20"/>
        </w:rPr>
        <w:t>or</w:t>
      </w:r>
      <w:r>
        <w:rPr>
          <w:spacing w:val="-4"/>
          <w:sz w:val="20"/>
        </w:rPr>
        <w:t xml:space="preserve"> </w:t>
      </w:r>
      <w:r>
        <w:rPr>
          <w:sz w:val="20"/>
        </w:rPr>
        <w:t>because</w:t>
      </w:r>
      <w:r>
        <w:rPr>
          <w:spacing w:val="-4"/>
          <w:sz w:val="20"/>
        </w:rPr>
        <w:t xml:space="preserve"> </w:t>
      </w:r>
      <w:r>
        <w:rPr>
          <w:sz w:val="20"/>
        </w:rPr>
        <w:t>its</w:t>
      </w:r>
      <w:r>
        <w:rPr>
          <w:spacing w:val="-5"/>
          <w:sz w:val="20"/>
        </w:rPr>
        <w:t xml:space="preserve"> </w:t>
      </w:r>
      <w:r>
        <w:rPr>
          <w:sz w:val="20"/>
        </w:rPr>
        <w:t>disclosure would have a significantly adverse effect upon a person supplying the information or upon a person from whom that person acquired the information.</w:t>
      </w:r>
    </w:p>
    <w:p w14:paraId="4792C16F" w14:textId="77777777" w:rsidR="00644864" w:rsidRDefault="00644864">
      <w:pPr>
        <w:pStyle w:val="BodyText"/>
        <w:spacing w:before="1"/>
        <w:rPr>
          <w:sz w:val="20"/>
        </w:rPr>
      </w:pPr>
    </w:p>
    <w:p w14:paraId="64139CD5" w14:textId="77777777" w:rsidR="00644864" w:rsidRDefault="003F3CE2">
      <w:pPr>
        <w:ind w:left="305" w:right="346" w:firstLine="50"/>
        <w:rPr>
          <w:sz w:val="20"/>
        </w:rPr>
      </w:pPr>
      <w:r>
        <w:rPr>
          <w:sz w:val="20"/>
          <w:vertAlign w:val="superscript"/>
        </w:rPr>
        <w:t>4</w:t>
      </w:r>
      <w:r>
        <w:rPr>
          <w:spacing w:val="40"/>
          <w:sz w:val="20"/>
        </w:rPr>
        <w:t xml:space="preserve"> </w:t>
      </w:r>
      <w:r>
        <w:rPr>
          <w:sz w:val="20"/>
        </w:rPr>
        <w:t>Charges</w:t>
      </w:r>
      <w:r>
        <w:rPr>
          <w:spacing w:val="-4"/>
          <w:sz w:val="20"/>
        </w:rPr>
        <w:t xml:space="preserve"> </w:t>
      </w:r>
      <w:r>
        <w:rPr>
          <w:sz w:val="20"/>
        </w:rPr>
        <w:t>for</w:t>
      </w:r>
      <w:r>
        <w:rPr>
          <w:spacing w:val="-3"/>
          <w:sz w:val="20"/>
        </w:rPr>
        <w:t xml:space="preserve"> </w:t>
      </w:r>
      <w:r>
        <w:rPr>
          <w:sz w:val="20"/>
        </w:rPr>
        <w:t>the</w:t>
      </w:r>
      <w:r>
        <w:rPr>
          <w:spacing w:val="-3"/>
          <w:sz w:val="20"/>
        </w:rPr>
        <w:t xml:space="preserve"> </w:t>
      </w:r>
      <w:r>
        <w:rPr>
          <w:sz w:val="20"/>
        </w:rPr>
        <w:t>copies,</w:t>
      </w:r>
      <w:r>
        <w:rPr>
          <w:spacing w:val="-3"/>
          <w:sz w:val="20"/>
        </w:rPr>
        <w:t xml:space="preserve"> </w:t>
      </w:r>
      <w:r>
        <w:rPr>
          <w:sz w:val="20"/>
        </w:rPr>
        <w:t>if</w:t>
      </w:r>
      <w:r>
        <w:rPr>
          <w:spacing w:val="-5"/>
          <w:sz w:val="20"/>
        </w:rPr>
        <w:t xml:space="preserve"> </w:t>
      </w:r>
      <w:r>
        <w:rPr>
          <w:sz w:val="20"/>
        </w:rPr>
        <w:t>any,</w:t>
      </w:r>
      <w:r>
        <w:rPr>
          <w:spacing w:val="-3"/>
          <w:sz w:val="20"/>
        </w:rPr>
        <w:t xml:space="preserve"> </w:t>
      </w:r>
      <w:r>
        <w:rPr>
          <w:sz w:val="20"/>
        </w:rPr>
        <w:t>are</w:t>
      </w:r>
      <w:r>
        <w:rPr>
          <w:spacing w:val="-3"/>
          <w:sz w:val="20"/>
        </w:rPr>
        <w:t xml:space="preserve"> </w:t>
      </w:r>
      <w:r>
        <w:rPr>
          <w:sz w:val="20"/>
        </w:rPr>
        <w:t>limited</w:t>
      </w:r>
      <w:r>
        <w:rPr>
          <w:spacing w:val="-2"/>
          <w:sz w:val="20"/>
        </w:rPr>
        <w:t xml:space="preserve"> </w:t>
      </w:r>
      <w:r>
        <w:rPr>
          <w:sz w:val="20"/>
        </w:rPr>
        <w:t>in</w:t>
      </w:r>
      <w:r>
        <w:rPr>
          <w:spacing w:val="-4"/>
          <w:sz w:val="20"/>
        </w:rPr>
        <w:t xml:space="preserve"> </w:t>
      </w:r>
      <w:r>
        <w:rPr>
          <w:sz w:val="20"/>
        </w:rPr>
        <w:t>amount</w:t>
      </w:r>
      <w:r>
        <w:rPr>
          <w:spacing w:val="-4"/>
          <w:sz w:val="20"/>
        </w:rPr>
        <w:t xml:space="preserve"> </w:t>
      </w:r>
      <w:r>
        <w:rPr>
          <w:sz w:val="20"/>
        </w:rPr>
        <w:t>to</w:t>
      </w:r>
      <w:r>
        <w:rPr>
          <w:spacing w:val="-2"/>
          <w:sz w:val="20"/>
        </w:rPr>
        <w:t xml:space="preserve"> </w:t>
      </w:r>
      <w:r>
        <w:rPr>
          <w:sz w:val="20"/>
        </w:rPr>
        <w:t>the</w:t>
      </w:r>
      <w:r>
        <w:rPr>
          <w:spacing w:val="-1"/>
          <w:sz w:val="20"/>
        </w:rPr>
        <w:t xml:space="preserve"> </w:t>
      </w:r>
      <w:r>
        <w:rPr>
          <w:sz w:val="20"/>
        </w:rPr>
        <w:t>approximate</w:t>
      </w:r>
      <w:r>
        <w:rPr>
          <w:spacing w:val="-3"/>
          <w:sz w:val="20"/>
        </w:rPr>
        <w:t xml:space="preserve"> </w:t>
      </w:r>
      <w:r>
        <w:rPr>
          <w:sz w:val="20"/>
        </w:rPr>
        <w:t>cost</w:t>
      </w:r>
      <w:r>
        <w:rPr>
          <w:spacing w:val="-4"/>
          <w:sz w:val="20"/>
        </w:rPr>
        <w:t xml:space="preserve"> </w:t>
      </w:r>
      <w:r>
        <w:rPr>
          <w:sz w:val="20"/>
        </w:rPr>
        <w:t>of</w:t>
      </w:r>
      <w:r>
        <w:rPr>
          <w:spacing w:val="-5"/>
          <w:sz w:val="20"/>
        </w:rPr>
        <w:t xml:space="preserve"> </w:t>
      </w:r>
      <w:r>
        <w:rPr>
          <w:sz w:val="20"/>
        </w:rPr>
        <w:t xml:space="preserve">the services </w:t>
      </w:r>
      <w:r>
        <w:rPr>
          <w:spacing w:val="-2"/>
          <w:sz w:val="20"/>
        </w:rPr>
        <w:t>r</w:t>
      </w:r>
      <w:r>
        <w:rPr>
          <w:spacing w:val="-2"/>
          <w:sz w:val="20"/>
        </w:rPr>
        <w:t>endered.</w:t>
      </w:r>
    </w:p>
    <w:p w14:paraId="5F748B97" w14:textId="77777777" w:rsidR="00644864" w:rsidRDefault="00644864">
      <w:pPr>
        <w:rPr>
          <w:sz w:val="20"/>
        </w:rPr>
        <w:sectPr w:rsidR="00644864">
          <w:footerReference w:type="default" r:id="rId8"/>
          <w:pgSz w:w="11910" w:h="16850"/>
          <w:pgMar w:top="1720" w:right="1680" w:bottom="1200" w:left="1680" w:header="0" w:footer="1019" w:gutter="0"/>
          <w:cols w:space="720"/>
        </w:sectPr>
      </w:pPr>
    </w:p>
    <w:p w14:paraId="151C157F" w14:textId="77777777" w:rsidR="00644864" w:rsidRDefault="003F3CE2">
      <w:pPr>
        <w:pStyle w:val="BodyText"/>
        <w:spacing w:before="69"/>
        <w:ind w:left="1745" w:right="298"/>
        <w:jc w:val="both"/>
      </w:pPr>
      <w:r>
        <w:lastRenderedPageBreak/>
        <w:t>subsequent responses, the investigating</w:t>
      </w:r>
      <w:r>
        <w:t xml:space="preserve"> authorities explain in the determination or other written document the reasons for disregarding the information.</w:t>
      </w:r>
    </w:p>
    <w:p w14:paraId="7171635A" w14:textId="77777777" w:rsidR="00644864" w:rsidRDefault="00644864">
      <w:pPr>
        <w:pStyle w:val="BodyText"/>
      </w:pPr>
    </w:p>
    <w:p w14:paraId="25FD7912" w14:textId="77777777" w:rsidR="00644864" w:rsidRDefault="003F3CE2">
      <w:pPr>
        <w:pStyle w:val="ListParagraph"/>
        <w:numPr>
          <w:ilvl w:val="1"/>
          <w:numId w:val="1"/>
        </w:numPr>
        <w:tabs>
          <w:tab w:val="left" w:pos="1746"/>
        </w:tabs>
        <w:ind w:right="298"/>
        <w:jc w:val="both"/>
        <w:rPr>
          <w:sz w:val="24"/>
        </w:rPr>
      </w:pPr>
      <w:r>
        <w:rPr>
          <w:sz w:val="24"/>
        </w:rPr>
        <w:t>Before a final determination is made, the investigating authorities inform all interested</w:t>
      </w:r>
      <w:r>
        <w:rPr>
          <w:sz w:val="24"/>
        </w:rPr>
        <w:t xml:space="preserve"> parties of the essential facts that form the</w:t>
      </w:r>
      <w:r>
        <w:rPr>
          <w:spacing w:val="80"/>
          <w:sz w:val="24"/>
        </w:rPr>
        <w:t xml:space="preserve"> </w:t>
      </w:r>
      <w:r>
        <w:rPr>
          <w:sz w:val="24"/>
        </w:rPr>
        <w:t>basis of the decision whether to apply</w:t>
      </w:r>
      <w:r>
        <w:rPr>
          <w:spacing w:val="-6"/>
          <w:sz w:val="24"/>
        </w:rPr>
        <w:t xml:space="preserve"> </w:t>
      </w:r>
      <w:r>
        <w:rPr>
          <w:sz w:val="24"/>
        </w:rPr>
        <w:t>definitive measures.</w:t>
      </w:r>
      <w:r>
        <w:rPr>
          <w:spacing w:val="40"/>
          <w:sz w:val="24"/>
        </w:rPr>
        <w:t xml:space="preserve"> </w:t>
      </w:r>
      <w:r>
        <w:rPr>
          <w:sz w:val="24"/>
        </w:rPr>
        <w:t>Subject to the protection of confidential information, the investigating authorities may use any reasonable means to disclose the essential facts, whi</w:t>
      </w:r>
      <w:r>
        <w:rPr>
          <w:sz w:val="24"/>
        </w:rPr>
        <w:t xml:space="preserve">ch includes a report </w:t>
      </w:r>
      <w:proofErr w:type="spellStart"/>
      <w:r>
        <w:rPr>
          <w:sz w:val="24"/>
        </w:rPr>
        <w:t>summarising</w:t>
      </w:r>
      <w:proofErr w:type="spellEnd"/>
      <w:r>
        <w:rPr>
          <w:sz w:val="24"/>
        </w:rPr>
        <w:t xml:space="preserve"> the data in the record, a draft or preliminary determination or some combination of those reports or determinations, to provide interested parties an opportunity to respond to the disclosure of essential facts.</w:t>
      </w:r>
    </w:p>
    <w:sectPr w:rsidR="00644864">
      <w:pgSz w:w="11910" w:h="16850"/>
      <w:pgMar w:top="1720" w:right="1680" w:bottom="1200" w:left="1680" w:header="0" w:footer="10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EBB0F" w14:textId="77777777" w:rsidR="003F3CE2" w:rsidRDefault="003F3CE2">
      <w:r>
        <w:separator/>
      </w:r>
    </w:p>
  </w:endnote>
  <w:endnote w:type="continuationSeparator" w:id="0">
    <w:p w14:paraId="2866EC6F" w14:textId="77777777" w:rsidR="003F3CE2" w:rsidRDefault="003F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04C2" w14:textId="77777777" w:rsidR="00644864" w:rsidRDefault="003F3CE2">
    <w:pPr>
      <w:pStyle w:val="BodyText"/>
      <w:spacing w:line="14" w:lineRule="auto"/>
      <w:rPr>
        <w:sz w:val="20"/>
      </w:rPr>
    </w:pPr>
    <w:r>
      <w:pict w14:anchorId="7D1FB97F">
        <v:shapetype id="_x0000_t202" coordsize="21600,21600" o:spt="202" path="m,l,21600r21600,l21600,xe">
          <v:stroke joinstyle="miter"/>
          <v:path gradientshapeok="t" o:connecttype="rect"/>
        </v:shapetype>
        <v:shape id="docshape1" o:spid="_x0000_s1026" type="#_x0000_t202" style="position:absolute;margin-left:288.75pt;margin-top:780.05pt;width:21pt;height:15.3pt;z-index:-15852032;mso-position-horizontal-relative:page;mso-position-vertical-relative:page" filled="f" stroked="f">
          <v:textbox inset="0,0,0,0">
            <w:txbxContent>
              <w:p w14:paraId="66619040" w14:textId="77777777" w:rsidR="00644864" w:rsidRDefault="003F3CE2">
                <w:pPr>
                  <w:pStyle w:val="BodyText"/>
                  <w:spacing w:before="10"/>
                  <w:ind w:left="20"/>
                </w:pPr>
                <w:r>
                  <w:rPr>
                    <w:spacing w:val="-2"/>
                  </w:rPr>
                  <w:t>6-</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53E15" w14:textId="77777777" w:rsidR="00644864" w:rsidRDefault="003F3CE2">
    <w:pPr>
      <w:pStyle w:val="BodyText"/>
      <w:spacing w:line="14" w:lineRule="auto"/>
      <w:rPr>
        <w:sz w:val="20"/>
      </w:rPr>
    </w:pPr>
    <w:r>
      <w:pict w14:anchorId="451C3672">
        <v:shapetype id="_x0000_t202" coordsize="21600,21600" o:spt="202" path="m,l,21600r21600,l21600,xe">
          <v:stroke joinstyle="miter"/>
          <v:path gradientshapeok="t" o:connecttype="rect"/>
        </v:shapetype>
        <v:shape id="docshape3" o:spid="_x0000_s1025" type="#_x0000_t202" style="position:absolute;margin-left:288.75pt;margin-top:780.05pt;width:21pt;height:15.3pt;z-index:-15851520;mso-position-horizontal-relative:page;mso-position-vertical-relative:page" filled="f" stroked="f">
          <v:textbox inset="0,0,0,0">
            <w:txbxContent>
              <w:p w14:paraId="2134FD8A" w14:textId="77777777" w:rsidR="00644864" w:rsidRDefault="003F3CE2">
                <w:pPr>
                  <w:pStyle w:val="BodyText"/>
                  <w:spacing w:before="10"/>
                  <w:ind w:left="20"/>
                </w:pPr>
                <w:r>
                  <w:rPr>
                    <w:spacing w:val="-2"/>
                  </w:rPr>
                  <w:t>6-</w:t>
                </w:r>
                <w:r>
                  <w:rPr>
                    <w:spacing w:val="-10"/>
                  </w:rPr>
                  <w:fldChar w:fldCharType="begin"/>
                </w:r>
                <w:r>
                  <w:rPr>
                    <w:spacing w:val="-10"/>
                  </w:rPr>
                  <w:instrText xml:space="preserve"> PAGE </w:instrText>
                </w:r>
                <w:r>
                  <w:rPr>
                    <w:spacing w:val="-10"/>
                  </w:rPr>
                  <w:fldChar w:fldCharType="separate"/>
                </w:r>
                <w:r>
                  <w:rPr>
                    <w:spacing w:val="-10"/>
                  </w:rPr>
                  <w:t>8</w:t>
                </w:r>
                <w:r>
                  <w:rPr>
                    <w:spacing w:val="-1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F0C86" w14:textId="77777777" w:rsidR="003F3CE2" w:rsidRDefault="003F3CE2">
      <w:r>
        <w:separator/>
      </w:r>
    </w:p>
  </w:footnote>
  <w:footnote w:type="continuationSeparator" w:id="0">
    <w:p w14:paraId="2AC2F5F6" w14:textId="77777777" w:rsidR="003F3CE2" w:rsidRDefault="003F3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F0"/>
    <w:multiLevelType w:val="hybridMultilevel"/>
    <w:tmpl w:val="28743EDE"/>
    <w:lvl w:ilvl="0" w:tplc="4F20F3DE">
      <w:start w:val="1"/>
      <w:numFmt w:val="decimal"/>
      <w:lvlText w:val="%1."/>
      <w:lvlJc w:val="left"/>
      <w:pPr>
        <w:ind w:left="305"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0F08291E">
      <w:start w:val="1"/>
      <w:numFmt w:val="lowerLetter"/>
      <w:lvlText w:val="(%2)"/>
      <w:lvlJc w:val="left"/>
      <w:pPr>
        <w:ind w:left="1745" w:hanging="721"/>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2" w:tplc="ED1021E4">
      <w:start w:val="1"/>
      <w:numFmt w:val="lowerRoman"/>
      <w:lvlText w:val="(%3)"/>
      <w:lvlJc w:val="left"/>
      <w:pPr>
        <w:ind w:left="2465" w:hanging="720"/>
        <w:jc w:val="left"/>
      </w:pPr>
      <w:rPr>
        <w:rFonts w:ascii="Times New Roman" w:eastAsia="Times New Roman" w:hAnsi="Times New Roman" w:cs="Times New Roman" w:hint="default"/>
        <w:b w:val="0"/>
        <w:bCs w:val="0"/>
        <w:i w:val="0"/>
        <w:iCs w:val="0"/>
        <w:w w:val="99"/>
        <w:sz w:val="24"/>
        <w:szCs w:val="24"/>
        <w:lang w:val="en-US" w:eastAsia="en-US" w:bidi="ar-SA"/>
      </w:rPr>
    </w:lvl>
    <w:lvl w:ilvl="3" w:tplc="716CD372">
      <w:numFmt w:val="bullet"/>
      <w:lvlText w:val="•"/>
      <w:lvlJc w:val="left"/>
      <w:pPr>
        <w:ind w:left="3220" w:hanging="720"/>
      </w:pPr>
      <w:rPr>
        <w:rFonts w:hint="default"/>
        <w:lang w:val="en-US" w:eastAsia="en-US" w:bidi="ar-SA"/>
      </w:rPr>
    </w:lvl>
    <w:lvl w:ilvl="4" w:tplc="6AF48E4C">
      <w:numFmt w:val="bullet"/>
      <w:lvlText w:val="•"/>
      <w:lvlJc w:val="left"/>
      <w:pPr>
        <w:ind w:left="3981" w:hanging="720"/>
      </w:pPr>
      <w:rPr>
        <w:rFonts w:hint="default"/>
        <w:lang w:val="en-US" w:eastAsia="en-US" w:bidi="ar-SA"/>
      </w:rPr>
    </w:lvl>
    <w:lvl w:ilvl="5" w:tplc="979CA0E4">
      <w:numFmt w:val="bullet"/>
      <w:lvlText w:val="•"/>
      <w:lvlJc w:val="left"/>
      <w:pPr>
        <w:ind w:left="4742" w:hanging="720"/>
      </w:pPr>
      <w:rPr>
        <w:rFonts w:hint="default"/>
        <w:lang w:val="en-US" w:eastAsia="en-US" w:bidi="ar-SA"/>
      </w:rPr>
    </w:lvl>
    <w:lvl w:ilvl="6" w:tplc="F728440E">
      <w:numFmt w:val="bullet"/>
      <w:lvlText w:val="•"/>
      <w:lvlJc w:val="left"/>
      <w:pPr>
        <w:ind w:left="5503" w:hanging="720"/>
      </w:pPr>
      <w:rPr>
        <w:rFonts w:hint="default"/>
        <w:lang w:val="en-US" w:eastAsia="en-US" w:bidi="ar-SA"/>
      </w:rPr>
    </w:lvl>
    <w:lvl w:ilvl="7" w:tplc="4E1ACD62">
      <w:numFmt w:val="bullet"/>
      <w:lvlText w:val="•"/>
      <w:lvlJc w:val="left"/>
      <w:pPr>
        <w:ind w:left="6264" w:hanging="720"/>
      </w:pPr>
      <w:rPr>
        <w:rFonts w:hint="default"/>
        <w:lang w:val="en-US" w:eastAsia="en-US" w:bidi="ar-SA"/>
      </w:rPr>
    </w:lvl>
    <w:lvl w:ilvl="8" w:tplc="D012CDFE">
      <w:numFmt w:val="bullet"/>
      <w:lvlText w:val="•"/>
      <w:lvlJc w:val="left"/>
      <w:pPr>
        <w:ind w:left="7024" w:hanging="720"/>
      </w:pPr>
      <w:rPr>
        <w:rFonts w:hint="default"/>
        <w:lang w:val="en-US" w:eastAsia="en-US" w:bidi="ar-SA"/>
      </w:rPr>
    </w:lvl>
  </w:abstractNum>
  <w:abstractNum w:abstractNumId="1" w15:restartNumberingAfterBreak="0">
    <w:nsid w:val="06FF0825"/>
    <w:multiLevelType w:val="hybridMultilevel"/>
    <w:tmpl w:val="4686E0F0"/>
    <w:lvl w:ilvl="0" w:tplc="F4445BC4">
      <w:start w:val="1"/>
      <w:numFmt w:val="decimal"/>
      <w:lvlText w:val="%1."/>
      <w:lvlJc w:val="left"/>
      <w:pPr>
        <w:ind w:left="305"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ECFE7490">
      <w:start w:val="1"/>
      <w:numFmt w:val="lowerLetter"/>
      <w:lvlText w:val="(%2)"/>
      <w:lvlJc w:val="left"/>
      <w:pPr>
        <w:ind w:left="1745" w:hanging="721"/>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2" w:tplc="32347CC2">
      <w:numFmt w:val="bullet"/>
      <w:lvlText w:val="•"/>
      <w:lvlJc w:val="left"/>
      <w:pPr>
        <w:ind w:left="2496" w:hanging="721"/>
      </w:pPr>
      <w:rPr>
        <w:rFonts w:hint="default"/>
        <w:lang w:val="en-US" w:eastAsia="en-US" w:bidi="ar-SA"/>
      </w:rPr>
    </w:lvl>
    <w:lvl w:ilvl="3" w:tplc="B93A9F18">
      <w:numFmt w:val="bullet"/>
      <w:lvlText w:val="•"/>
      <w:lvlJc w:val="left"/>
      <w:pPr>
        <w:ind w:left="3252" w:hanging="721"/>
      </w:pPr>
      <w:rPr>
        <w:rFonts w:hint="default"/>
        <w:lang w:val="en-US" w:eastAsia="en-US" w:bidi="ar-SA"/>
      </w:rPr>
    </w:lvl>
    <w:lvl w:ilvl="4" w:tplc="FEC0A62E">
      <w:numFmt w:val="bullet"/>
      <w:lvlText w:val="•"/>
      <w:lvlJc w:val="left"/>
      <w:pPr>
        <w:ind w:left="4008" w:hanging="721"/>
      </w:pPr>
      <w:rPr>
        <w:rFonts w:hint="default"/>
        <w:lang w:val="en-US" w:eastAsia="en-US" w:bidi="ar-SA"/>
      </w:rPr>
    </w:lvl>
    <w:lvl w:ilvl="5" w:tplc="CCC8AB3C">
      <w:numFmt w:val="bullet"/>
      <w:lvlText w:val="•"/>
      <w:lvlJc w:val="left"/>
      <w:pPr>
        <w:ind w:left="4765" w:hanging="721"/>
      </w:pPr>
      <w:rPr>
        <w:rFonts w:hint="default"/>
        <w:lang w:val="en-US" w:eastAsia="en-US" w:bidi="ar-SA"/>
      </w:rPr>
    </w:lvl>
    <w:lvl w:ilvl="6" w:tplc="CE227CA2">
      <w:numFmt w:val="bullet"/>
      <w:lvlText w:val="•"/>
      <w:lvlJc w:val="left"/>
      <w:pPr>
        <w:ind w:left="5521" w:hanging="721"/>
      </w:pPr>
      <w:rPr>
        <w:rFonts w:hint="default"/>
        <w:lang w:val="en-US" w:eastAsia="en-US" w:bidi="ar-SA"/>
      </w:rPr>
    </w:lvl>
    <w:lvl w:ilvl="7" w:tplc="B18A6BF8">
      <w:numFmt w:val="bullet"/>
      <w:lvlText w:val="•"/>
      <w:lvlJc w:val="left"/>
      <w:pPr>
        <w:ind w:left="6277" w:hanging="721"/>
      </w:pPr>
      <w:rPr>
        <w:rFonts w:hint="default"/>
        <w:lang w:val="en-US" w:eastAsia="en-US" w:bidi="ar-SA"/>
      </w:rPr>
    </w:lvl>
    <w:lvl w:ilvl="8" w:tplc="9EC4729A">
      <w:numFmt w:val="bullet"/>
      <w:lvlText w:val="•"/>
      <w:lvlJc w:val="left"/>
      <w:pPr>
        <w:ind w:left="7033" w:hanging="721"/>
      </w:pPr>
      <w:rPr>
        <w:rFonts w:hint="default"/>
        <w:lang w:val="en-US" w:eastAsia="en-US" w:bidi="ar-SA"/>
      </w:rPr>
    </w:lvl>
  </w:abstractNum>
  <w:abstractNum w:abstractNumId="2" w15:restartNumberingAfterBreak="0">
    <w:nsid w:val="0EDE1B78"/>
    <w:multiLevelType w:val="hybridMultilevel"/>
    <w:tmpl w:val="23223E12"/>
    <w:lvl w:ilvl="0" w:tplc="9E6C04DE">
      <w:start w:val="1"/>
      <w:numFmt w:val="decimal"/>
      <w:lvlText w:val="%1."/>
      <w:lvlJc w:val="left"/>
      <w:pPr>
        <w:ind w:left="305"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026AE140">
      <w:start w:val="1"/>
      <w:numFmt w:val="lowerLetter"/>
      <w:lvlText w:val="(%2)"/>
      <w:lvlJc w:val="left"/>
      <w:pPr>
        <w:ind w:left="1745" w:hanging="721"/>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2" w:tplc="169A9740">
      <w:start w:val="1"/>
      <w:numFmt w:val="lowerRoman"/>
      <w:lvlText w:val="(%3)"/>
      <w:lvlJc w:val="left"/>
      <w:pPr>
        <w:ind w:left="2465" w:hanging="720"/>
        <w:jc w:val="left"/>
      </w:pPr>
      <w:rPr>
        <w:rFonts w:ascii="Times New Roman" w:eastAsia="Times New Roman" w:hAnsi="Times New Roman" w:cs="Times New Roman" w:hint="default"/>
        <w:b w:val="0"/>
        <w:bCs w:val="0"/>
        <w:i w:val="0"/>
        <w:iCs w:val="0"/>
        <w:w w:val="99"/>
        <w:sz w:val="24"/>
        <w:szCs w:val="24"/>
        <w:lang w:val="en-US" w:eastAsia="en-US" w:bidi="ar-SA"/>
      </w:rPr>
    </w:lvl>
    <w:lvl w:ilvl="3" w:tplc="E4D8F75E">
      <w:numFmt w:val="bullet"/>
      <w:lvlText w:val="•"/>
      <w:lvlJc w:val="left"/>
      <w:pPr>
        <w:ind w:left="3220" w:hanging="720"/>
      </w:pPr>
      <w:rPr>
        <w:rFonts w:hint="default"/>
        <w:lang w:val="en-US" w:eastAsia="en-US" w:bidi="ar-SA"/>
      </w:rPr>
    </w:lvl>
    <w:lvl w:ilvl="4" w:tplc="722C8226">
      <w:numFmt w:val="bullet"/>
      <w:lvlText w:val="•"/>
      <w:lvlJc w:val="left"/>
      <w:pPr>
        <w:ind w:left="3981" w:hanging="720"/>
      </w:pPr>
      <w:rPr>
        <w:rFonts w:hint="default"/>
        <w:lang w:val="en-US" w:eastAsia="en-US" w:bidi="ar-SA"/>
      </w:rPr>
    </w:lvl>
    <w:lvl w:ilvl="5" w:tplc="6CB60482">
      <w:numFmt w:val="bullet"/>
      <w:lvlText w:val="•"/>
      <w:lvlJc w:val="left"/>
      <w:pPr>
        <w:ind w:left="4742" w:hanging="720"/>
      </w:pPr>
      <w:rPr>
        <w:rFonts w:hint="default"/>
        <w:lang w:val="en-US" w:eastAsia="en-US" w:bidi="ar-SA"/>
      </w:rPr>
    </w:lvl>
    <w:lvl w:ilvl="6" w:tplc="54A0D718">
      <w:numFmt w:val="bullet"/>
      <w:lvlText w:val="•"/>
      <w:lvlJc w:val="left"/>
      <w:pPr>
        <w:ind w:left="5503" w:hanging="720"/>
      </w:pPr>
      <w:rPr>
        <w:rFonts w:hint="default"/>
        <w:lang w:val="en-US" w:eastAsia="en-US" w:bidi="ar-SA"/>
      </w:rPr>
    </w:lvl>
    <w:lvl w:ilvl="7" w:tplc="5F06E814">
      <w:numFmt w:val="bullet"/>
      <w:lvlText w:val="•"/>
      <w:lvlJc w:val="left"/>
      <w:pPr>
        <w:ind w:left="6264" w:hanging="720"/>
      </w:pPr>
      <w:rPr>
        <w:rFonts w:hint="default"/>
        <w:lang w:val="en-US" w:eastAsia="en-US" w:bidi="ar-SA"/>
      </w:rPr>
    </w:lvl>
    <w:lvl w:ilvl="8" w:tplc="0AD01F06">
      <w:numFmt w:val="bullet"/>
      <w:lvlText w:val="•"/>
      <w:lvlJc w:val="left"/>
      <w:pPr>
        <w:ind w:left="7024" w:hanging="720"/>
      </w:pPr>
      <w:rPr>
        <w:rFonts w:hint="default"/>
        <w:lang w:val="en-US" w:eastAsia="en-US" w:bidi="ar-SA"/>
      </w:rPr>
    </w:lvl>
  </w:abstractNum>
  <w:abstractNum w:abstractNumId="3" w15:restartNumberingAfterBreak="0">
    <w:nsid w:val="385A210C"/>
    <w:multiLevelType w:val="hybridMultilevel"/>
    <w:tmpl w:val="F306B9B2"/>
    <w:lvl w:ilvl="0" w:tplc="9B7ED378">
      <w:start w:val="1"/>
      <w:numFmt w:val="decimal"/>
      <w:lvlText w:val="%1."/>
      <w:lvlJc w:val="left"/>
      <w:pPr>
        <w:ind w:left="305"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584487B4">
      <w:numFmt w:val="bullet"/>
      <w:lvlText w:val="•"/>
      <w:lvlJc w:val="left"/>
      <w:pPr>
        <w:ind w:left="1124" w:hanging="720"/>
      </w:pPr>
      <w:rPr>
        <w:rFonts w:hint="default"/>
        <w:lang w:val="en-US" w:eastAsia="en-US" w:bidi="ar-SA"/>
      </w:rPr>
    </w:lvl>
    <w:lvl w:ilvl="2" w:tplc="93E2BF96">
      <w:numFmt w:val="bullet"/>
      <w:lvlText w:val="•"/>
      <w:lvlJc w:val="left"/>
      <w:pPr>
        <w:ind w:left="1949" w:hanging="720"/>
      </w:pPr>
      <w:rPr>
        <w:rFonts w:hint="default"/>
        <w:lang w:val="en-US" w:eastAsia="en-US" w:bidi="ar-SA"/>
      </w:rPr>
    </w:lvl>
    <w:lvl w:ilvl="3" w:tplc="726CF334">
      <w:numFmt w:val="bullet"/>
      <w:lvlText w:val="•"/>
      <w:lvlJc w:val="left"/>
      <w:pPr>
        <w:ind w:left="2773" w:hanging="720"/>
      </w:pPr>
      <w:rPr>
        <w:rFonts w:hint="default"/>
        <w:lang w:val="en-US" w:eastAsia="en-US" w:bidi="ar-SA"/>
      </w:rPr>
    </w:lvl>
    <w:lvl w:ilvl="4" w:tplc="B54A7FE0">
      <w:numFmt w:val="bullet"/>
      <w:lvlText w:val="•"/>
      <w:lvlJc w:val="left"/>
      <w:pPr>
        <w:ind w:left="3598" w:hanging="720"/>
      </w:pPr>
      <w:rPr>
        <w:rFonts w:hint="default"/>
        <w:lang w:val="en-US" w:eastAsia="en-US" w:bidi="ar-SA"/>
      </w:rPr>
    </w:lvl>
    <w:lvl w:ilvl="5" w:tplc="2DBA981E">
      <w:numFmt w:val="bullet"/>
      <w:lvlText w:val="•"/>
      <w:lvlJc w:val="left"/>
      <w:pPr>
        <w:ind w:left="4423" w:hanging="720"/>
      </w:pPr>
      <w:rPr>
        <w:rFonts w:hint="default"/>
        <w:lang w:val="en-US" w:eastAsia="en-US" w:bidi="ar-SA"/>
      </w:rPr>
    </w:lvl>
    <w:lvl w:ilvl="6" w:tplc="34F2780A">
      <w:numFmt w:val="bullet"/>
      <w:lvlText w:val="•"/>
      <w:lvlJc w:val="left"/>
      <w:pPr>
        <w:ind w:left="5247" w:hanging="720"/>
      </w:pPr>
      <w:rPr>
        <w:rFonts w:hint="default"/>
        <w:lang w:val="en-US" w:eastAsia="en-US" w:bidi="ar-SA"/>
      </w:rPr>
    </w:lvl>
    <w:lvl w:ilvl="7" w:tplc="8452A17E">
      <w:numFmt w:val="bullet"/>
      <w:lvlText w:val="•"/>
      <w:lvlJc w:val="left"/>
      <w:pPr>
        <w:ind w:left="6072" w:hanging="720"/>
      </w:pPr>
      <w:rPr>
        <w:rFonts w:hint="default"/>
        <w:lang w:val="en-US" w:eastAsia="en-US" w:bidi="ar-SA"/>
      </w:rPr>
    </w:lvl>
    <w:lvl w:ilvl="8" w:tplc="EF9A781E">
      <w:numFmt w:val="bullet"/>
      <w:lvlText w:val="•"/>
      <w:lvlJc w:val="left"/>
      <w:pPr>
        <w:ind w:left="6897" w:hanging="720"/>
      </w:pPr>
      <w:rPr>
        <w:rFonts w:hint="default"/>
        <w:lang w:val="en-US" w:eastAsia="en-US" w:bidi="ar-SA"/>
      </w:rPr>
    </w:lvl>
  </w:abstractNum>
  <w:abstractNum w:abstractNumId="4" w15:restartNumberingAfterBreak="0">
    <w:nsid w:val="5A1B746E"/>
    <w:multiLevelType w:val="hybridMultilevel"/>
    <w:tmpl w:val="E74CDA38"/>
    <w:lvl w:ilvl="0" w:tplc="516E3A22">
      <w:start w:val="1"/>
      <w:numFmt w:val="decimal"/>
      <w:lvlText w:val="%1."/>
      <w:lvlJc w:val="left"/>
      <w:pPr>
        <w:ind w:left="305"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7C36B30E">
      <w:numFmt w:val="bullet"/>
      <w:lvlText w:val="•"/>
      <w:lvlJc w:val="left"/>
      <w:pPr>
        <w:ind w:left="1124" w:hanging="720"/>
      </w:pPr>
      <w:rPr>
        <w:rFonts w:hint="default"/>
        <w:lang w:val="en-US" w:eastAsia="en-US" w:bidi="ar-SA"/>
      </w:rPr>
    </w:lvl>
    <w:lvl w:ilvl="2" w:tplc="CA8ACBA2">
      <w:numFmt w:val="bullet"/>
      <w:lvlText w:val="•"/>
      <w:lvlJc w:val="left"/>
      <w:pPr>
        <w:ind w:left="1949" w:hanging="720"/>
      </w:pPr>
      <w:rPr>
        <w:rFonts w:hint="default"/>
        <w:lang w:val="en-US" w:eastAsia="en-US" w:bidi="ar-SA"/>
      </w:rPr>
    </w:lvl>
    <w:lvl w:ilvl="3" w:tplc="AE28B17E">
      <w:numFmt w:val="bullet"/>
      <w:lvlText w:val="•"/>
      <w:lvlJc w:val="left"/>
      <w:pPr>
        <w:ind w:left="2773" w:hanging="720"/>
      </w:pPr>
      <w:rPr>
        <w:rFonts w:hint="default"/>
        <w:lang w:val="en-US" w:eastAsia="en-US" w:bidi="ar-SA"/>
      </w:rPr>
    </w:lvl>
    <w:lvl w:ilvl="4" w:tplc="C8285786">
      <w:numFmt w:val="bullet"/>
      <w:lvlText w:val="•"/>
      <w:lvlJc w:val="left"/>
      <w:pPr>
        <w:ind w:left="3598" w:hanging="720"/>
      </w:pPr>
      <w:rPr>
        <w:rFonts w:hint="default"/>
        <w:lang w:val="en-US" w:eastAsia="en-US" w:bidi="ar-SA"/>
      </w:rPr>
    </w:lvl>
    <w:lvl w:ilvl="5" w:tplc="0E0C42B4">
      <w:numFmt w:val="bullet"/>
      <w:lvlText w:val="•"/>
      <w:lvlJc w:val="left"/>
      <w:pPr>
        <w:ind w:left="4423" w:hanging="720"/>
      </w:pPr>
      <w:rPr>
        <w:rFonts w:hint="default"/>
        <w:lang w:val="en-US" w:eastAsia="en-US" w:bidi="ar-SA"/>
      </w:rPr>
    </w:lvl>
    <w:lvl w:ilvl="6" w:tplc="89F8972E">
      <w:numFmt w:val="bullet"/>
      <w:lvlText w:val="•"/>
      <w:lvlJc w:val="left"/>
      <w:pPr>
        <w:ind w:left="5247" w:hanging="720"/>
      </w:pPr>
      <w:rPr>
        <w:rFonts w:hint="default"/>
        <w:lang w:val="en-US" w:eastAsia="en-US" w:bidi="ar-SA"/>
      </w:rPr>
    </w:lvl>
    <w:lvl w:ilvl="7" w:tplc="37984D94">
      <w:numFmt w:val="bullet"/>
      <w:lvlText w:val="•"/>
      <w:lvlJc w:val="left"/>
      <w:pPr>
        <w:ind w:left="6072" w:hanging="720"/>
      </w:pPr>
      <w:rPr>
        <w:rFonts w:hint="default"/>
        <w:lang w:val="en-US" w:eastAsia="en-US" w:bidi="ar-SA"/>
      </w:rPr>
    </w:lvl>
    <w:lvl w:ilvl="8" w:tplc="91C0D9AA">
      <w:numFmt w:val="bullet"/>
      <w:lvlText w:val="•"/>
      <w:lvlJc w:val="left"/>
      <w:pPr>
        <w:ind w:left="6897" w:hanging="720"/>
      </w:pPr>
      <w:rPr>
        <w:rFonts w:hint="default"/>
        <w:lang w:val="en-US" w:eastAsia="en-US" w:bidi="ar-SA"/>
      </w:rPr>
    </w:lvl>
  </w:abstractNum>
  <w:abstractNum w:abstractNumId="5" w15:restartNumberingAfterBreak="0">
    <w:nsid w:val="5E540499"/>
    <w:multiLevelType w:val="hybridMultilevel"/>
    <w:tmpl w:val="05AE2878"/>
    <w:lvl w:ilvl="0" w:tplc="01A442C0">
      <w:start w:val="1"/>
      <w:numFmt w:val="decimal"/>
      <w:lvlText w:val="%1."/>
      <w:lvlJc w:val="left"/>
      <w:pPr>
        <w:ind w:left="1025"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1308861C">
      <w:start w:val="1"/>
      <w:numFmt w:val="lowerLetter"/>
      <w:lvlText w:val="(%2)"/>
      <w:lvlJc w:val="left"/>
      <w:pPr>
        <w:ind w:left="1745" w:hanging="721"/>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2" w:tplc="4DC04DD2">
      <w:numFmt w:val="bullet"/>
      <w:lvlText w:val="•"/>
      <w:lvlJc w:val="left"/>
      <w:pPr>
        <w:ind w:left="1740" w:hanging="721"/>
      </w:pPr>
      <w:rPr>
        <w:rFonts w:hint="default"/>
        <w:lang w:val="en-US" w:eastAsia="en-US" w:bidi="ar-SA"/>
      </w:rPr>
    </w:lvl>
    <w:lvl w:ilvl="3" w:tplc="F490D74A">
      <w:numFmt w:val="bullet"/>
      <w:lvlText w:val="•"/>
      <w:lvlJc w:val="left"/>
      <w:pPr>
        <w:ind w:left="2590" w:hanging="721"/>
      </w:pPr>
      <w:rPr>
        <w:rFonts w:hint="default"/>
        <w:lang w:val="en-US" w:eastAsia="en-US" w:bidi="ar-SA"/>
      </w:rPr>
    </w:lvl>
    <w:lvl w:ilvl="4" w:tplc="BE0C451E">
      <w:numFmt w:val="bullet"/>
      <w:lvlText w:val="•"/>
      <w:lvlJc w:val="left"/>
      <w:pPr>
        <w:ind w:left="3441" w:hanging="721"/>
      </w:pPr>
      <w:rPr>
        <w:rFonts w:hint="default"/>
        <w:lang w:val="en-US" w:eastAsia="en-US" w:bidi="ar-SA"/>
      </w:rPr>
    </w:lvl>
    <w:lvl w:ilvl="5" w:tplc="FA7C013A">
      <w:numFmt w:val="bullet"/>
      <w:lvlText w:val="•"/>
      <w:lvlJc w:val="left"/>
      <w:pPr>
        <w:ind w:left="4292" w:hanging="721"/>
      </w:pPr>
      <w:rPr>
        <w:rFonts w:hint="default"/>
        <w:lang w:val="en-US" w:eastAsia="en-US" w:bidi="ar-SA"/>
      </w:rPr>
    </w:lvl>
    <w:lvl w:ilvl="6" w:tplc="575A6EE8">
      <w:numFmt w:val="bullet"/>
      <w:lvlText w:val="•"/>
      <w:lvlJc w:val="left"/>
      <w:pPr>
        <w:ind w:left="5143" w:hanging="721"/>
      </w:pPr>
      <w:rPr>
        <w:rFonts w:hint="default"/>
        <w:lang w:val="en-US" w:eastAsia="en-US" w:bidi="ar-SA"/>
      </w:rPr>
    </w:lvl>
    <w:lvl w:ilvl="7" w:tplc="5412BB0C">
      <w:numFmt w:val="bullet"/>
      <w:lvlText w:val="•"/>
      <w:lvlJc w:val="left"/>
      <w:pPr>
        <w:ind w:left="5994" w:hanging="721"/>
      </w:pPr>
      <w:rPr>
        <w:rFonts w:hint="default"/>
        <w:lang w:val="en-US" w:eastAsia="en-US" w:bidi="ar-SA"/>
      </w:rPr>
    </w:lvl>
    <w:lvl w:ilvl="8" w:tplc="3B382F02">
      <w:numFmt w:val="bullet"/>
      <w:lvlText w:val="•"/>
      <w:lvlJc w:val="left"/>
      <w:pPr>
        <w:ind w:left="6844" w:hanging="721"/>
      </w:pPr>
      <w:rPr>
        <w:rFonts w:hint="default"/>
        <w:lang w:val="en-US" w:eastAsia="en-US" w:bidi="ar-SA"/>
      </w:rPr>
    </w:lvl>
  </w:abstractNum>
  <w:abstractNum w:abstractNumId="6" w15:restartNumberingAfterBreak="0">
    <w:nsid w:val="64165ADF"/>
    <w:multiLevelType w:val="hybridMultilevel"/>
    <w:tmpl w:val="DA00CD74"/>
    <w:lvl w:ilvl="0" w:tplc="98F8092C">
      <w:start w:val="1"/>
      <w:numFmt w:val="decimal"/>
      <w:lvlText w:val="%1."/>
      <w:lvlJc w:val="left"/>
      <w:pPr>
        <w:ind w:left="305"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1B20DF32">
      <w:numFmt w:val="bullet"/>
      <w:lvlText w:val="•"/>
      <w:lvlJc w:val="left"/>
      <w:pPr>
        <w:ind w:left="1124" w:hanging="720"/>
      </w:pPr>
      <w:rPr>
        <w:rFonts w:hint="default"/>
        <w:lang w:val="en-US" w:eastAsia="en-US" w:bidi="ar-SA"/>
      </w:rPr>
    </w:lvl>
    <w:lvl w:ilvl="2" w:tplc="3C9A71B8">
      <w:numFmt w:val="bullet"/>
      <w:lvlText w:val="•"/>
      <w:lvlJc w:val="left"/>
      <w:pPr>
        <w:ind w:left="1949" w:hanging="720"/>
      </w:pPr>
      <w:rPr>
        <w:rFonts w:hint="default"/>
        <w:lang w:val="en-US" w:eastAsia="en-US" w:bidi="ar-SA"/>
      </w:rPr>
    </w:lvl>
    <w:lvl w:ilvl="3" w:tplc="34FCFC02">
      <w:numFmt w:val="bullet"/>
      <w:lvlText w:val="•"/>
      <w:lvlJc w:val="left"/>
      <w:pPr>
        <w:ind w:left="2773" w:hanging="720"/>
      </w:pPr>
      <w:rPr>
        <w:rFonts w:hint="default"/>
        <w:lang w:val="en-US" w:eastAsia="en-US" w:bidi="ar-SA"/>
      </w:rPr>
    </w:lvl>
    <w:lvl w:ilvl="4" w:tplc="8768319A">
      <w:numFmt w:val="bullet"/>
      <w:lvlText w:val="•"/>
      <w:lvlJc w:val="left"/>
      <w:pPr>
        <w:ind w:left="3598" w:hanging="720"/>
      </w:pPr>
      <w:rPr>
        <w:rFonts w:hint="default"/>
        <w:lang w:val="en-US" w:eastAsia="en-US" w:bidi="ar-SA"/>
      </w:rPr>
    </w:lvl>
    <w:lvl w:ilvl="5" w:tplc="4BAA48BC">
      <w:numFmt w:val="bullet"/>
      <w:lvlText w:val="•"/>
      <w:lvlJc w:val="left"/>
      <w:pPr>
        <w:ind w:left="4423" w:hanging="720"/>
      </w:pPr>
      <w:rPr>
        <w:rFonts w:hint="default"/>
        <w:lang w:val="en-US" w:eastAsia="en-US" w:bidi="ar-SA"/>
      </w:rPr>
    </w:lvl>
    <w:lvl w:ilvl="6" w:tplc="BB4E41CC">
      <w:numFmt w:val="bullet"/>
      <w:lvlText w:val="•"/>
      <w:lvlJc w:val="left"/>
      <w:pPr>
        <w:ind w:left="5247" w:hanging="720"/>
      </w:pPr>
      <w:rPr>
        <w:rFonts w:hint="default"/>
        <w:lang w:val="en-US" w:eastAsia="en-US" w:bidi="ar-SA"/>
      </w:rPr>
    </w:lvl>
    <w:lvl w:ilvl="7" w:tplc="A4142118">
      <w:numFmt w:val="bullet"/>
      <w:lvlText w:val="•"/>
      <w:lvlJc w:val="left"/>
      <w:pPr>
        <w:ind w:left="6072" w:hanging="720"/>
      </w:pPr>
      <w:rPr>
        <w:rFonts w:hint="default"/>
        <w:lang w:val="en-US" w:eastAsia="en-US" w:bidi="ar-SA"/>
      </w:rPr>
    </w:lvl>
    <w:lvl w:ilvl="8" w:tplc="FFFC0ECC">
      <w:numFmt w:val="bullet"/>
      <w:lvlText w:val="•"/>
      <w:lvlJc w:val="left"/>
      <w:pPr>
        <w:ind w:left="6897" w:hanging="720"/>
      </w:pPr>
      <w:rPr>
        <w:rFonts w:hint="default"/>
        <w:lang w:val="en-US" w:eastAsia="en-US" w:bidi="ar-SA"/>
      </w:rPr>
    </w:lvl>
  </w:abstractNum>
  <w:num w:numId="1">
    <w:abstractNumId w:val="2"/>
  </w:num>
  <w:num w:numId="2">
    <w:abstractNumId w:val="3"/>
  </w:num>
  <w:num w:numId="3">
    <w:abstractNumId w:val="5"/>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44864"/>
    <w:rsid w:val="003F3CE2"/>
    <w:rsid w:val="00644864"/>
    <w:rsid w:val="00A061CC"/>
    <w:rsid w:val="00BE3D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821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0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05" w:right="30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E3DC1"/>
    <w:pPr>
      <w:tabs>
        <w:tab w:val="center" w:pos="4513"/>
        <w:tab w:val="right" w:pos="9026"/>
      </w:tabs>
    </w:pPr>
  </w:style>
  <w:style w:type="character" w:customStyle="1" w:styleId="HeaderChar">
    <w:name w:val="Header Char"/>
    <w:basedOn w:val="DefaultParagraphFont"/>
    <w:link w:val="Header"/>
    <w:uiPriority w:val="99"/>
    <w:rsid w:val="00BE3DC1"/>
    <w:rPr>
      <w:rFonts w:ascii="Times New Roman" w:eastAsia="Times New Roman" w:hAnsi="Times New Roman" w:cs="Times New Roman"/>
    </w:rPr>
  </w:style>
  <w:style w:type="paragraph" w:styleId="Footer">
    <w:name w:val="footer"/>
    <w:basedOn w:val="Normal"/>
    <w:link w:val="FooterChar"/>
    <w:uiPriority w:val="99"/>
    <w:unhideWhenUsed/>
    <w:rsid w:val="00BE3DC1"/>
    <w:pPr>
      <w:tabs>
        <w:tab w:val="center" w:pos="4513"/>
        <w:tab w:val="right" w:pos="9026"/>
      </w:tabs>
    </w:pPr>
  </w:style>
  <w:style w:type="character" w:customStyle="1" w:styleId="FooterChar">
    <w:name w:val="Footer Char"/>
    <w:basedOn w:val="DefaultParagraphFont"/>
    <w:link w:val="Footer"/>
    <w:uiPriority w:val="99"/>
    <w:rsid w:val="00BE3DC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2555</Words>
  <Characters>14006</Characters>
  <Application>Microsoft Office Word</Application>
  <DocSecurity>0</DocSecurity>
  <Lines>359</Lines>
  <Paragraphs>97</Paragraphs>
  <ScaleCrop>false</ScaleCrop>
  <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6 - Trade Remedies</dc:title>
  <cp:keywords/>
  <cp:lastModifiedBy/>
  <cp:revision>1</cp:revision>
  <dcterms:created xsi:type="dcterms:W3CDTF">2022-08-18T04:27:00Z</dcterms:created>
  <dcterms:modified xsi:type="dcterms:W3CDTF">2022-08-18T04:27:00Z</dcterms:modified>
  <cp:category/>
</cp:coreProperties>
</file>