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878B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6EA6DA9A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>
        <w:rPr>
          <w:rStyle w:val="Strong"/>
          <w:rFonts w:ascii="Calibri Light" w:hAnsi="Calibri Light"/>
          <w:sz w:val="25"/>
          <w:szCs w:val="25"/>
        </w:rPr>
        <w:t>4</w:t>
      </w:r>
      <w:r w:rsidR="00D046EC">
        <w:rPr>
          <w:rStyle w:val="Strong"/>
          <w:rFonts w:ascii="Calibri Light" w:hAnsi="Calibri Light"/>
          <w:sz w:val="25"/>
          <w:szCs w:val="25"/>
        </w:rPr>
        <w:t>3</w:t>
      </w:r>
      <w:r w:rsidR="00235D3C" w:rsidRPr="00235D3C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 w:rsidR="00235D3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14:paraId="121D3092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4DD16CD" w14:textId="77777777" w:rsidR="00D046EC" w:rsidRPr="00D046EC" w:rsidRDefault="00D046EC" w:rsidP="00D046EC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D046EC">
        <w:rPr>
          <w:rStyle w:val="Strong"/>
          <w:rFonts w:ascii="Calibri Light" w:hAnsi="Calibri Light"/>
          <w:sz w:val="25"/>
          <w:szCs w:val="25"/>
        </w:rPr>
        <w:t>High-level panel discussion commemorating the twenty-fifth anniversary of the Beijing Declaration and Platform for Action adopted at the Fourth World Conference on Women</w:t>
      </w:r>
    </w:p>
    <w:p w14:paraId="30C06E12" w14:textId="77777777" w:rsidR="003715A3" w:rsidRPr="00D046EC" w:rsidRDefault="003715A3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  <w:lang w:val="en-US"/>
        </w:rPr>
      </w:pPr>
    </w:p>
    <w:p w14:paraId="614B79D6" w14:textId="77777777" w:rsidR="00C536F4" w:rsidRPr="00A669C1" w:rsidRDefault="00D046EC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25 February 2020</w:t>
      </w:r>
    </w:p>
    <w:p w14:paraId="278DE3A8" w14:textId="77777777" w:rsidR="001B74E4" w:rsidRPr="00A669C1" w:rsidRDefault="001B74E4" w:rsidP="00BE60E2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p w14:paraId="09636081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4479D861" w14:textId="77777777" w:rsidR="009F47CE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16EDED4" w14:textId="77777777" w:rsidR="0055679F" w:rsidRPr="00E4237B" w:rsidRDefault="00FF5088" w:rsidP="00F306E3">
      <w:pPr>
        <w:pStyle w:val="NormalWeb"/>
        <w:tabs>
          <w:tab w:val="left" w:pos="1134"/>
        </w:tabs>
        <w:ind w:right="-45"/>
        <w:rPr>
          <w:rStyle w:val="Strong"/>
          <w:b w:val="0"/>
          <w:sz w:val="22"/>
        </w:rPr>
      </w:pPr>
      <w:r w:rsidRPr="00E4237B">
        <w:rPr>
          <w:rStyle w:val="Strong"/>
          <w:b w:val="0"/>
          <w:sz w:val="22"/>
        </w:rPr>
        <w:t xml:space="preserve">We thank the panellists for their insights </w:t>
      </w:r>
      <w:r w:rsidR="00E151B3" w:rsidRPr="00E4237B">
        <w:rPr>
          <w:rStyle w:val="Strong"/>
          <w:b w:val="0"/>
          <w:sz w:val="22"/>
        </w:rPr>
        <w:t xml:space="preserve">on </w:t>
      </w:r>
      <w:r w:rsidR="006F63AD" w:rsidRPr="00E4237B">
        <w:rPr>
          <w:rStyle w:val="Strong"/>
          <w:b w:val="0"/>
          <w:sz w:val="22"/>
        </w:rPr>
        <w:t xml:space="preserve">progress and challenges </w:t>
      </w:r>
      <w:r w:rsidR="001A2D53" w:rsidRPr="00E4237B">
        <w:rPr>
          <w:rStyle w:val="Strong"/>
          <w:b w:val="0"/>
          <w:sz w:val="22"/>
        </w:rPr>
        <w:t>in implementing</w:t>
      </w:r>
      <w:r w:rsidR="006F63AD" w:rsidRPr="00E4237B">
        <w:rPr>
          <w:rStyle w:val="Strong"/>
          <w:b w:val="0"/>
          <w:sz w:val="22"/>
        </w:rPr>
        <w:t xml:space="preserve"> the Beijing Decl</w:t>
      </w:r>
      <w:r w:rsidR="00E151B3" w:rsidRPr="00E4237B">
        <w:rPr>
          <w:rStyle w:val="Strong"/>
          <w:b w:val="0"/>
          <w:sz w:val="22"/>
        </w:rPr>
        <w:t>aration and Platform for Action</w:t>
      </w:r>
      <w:r w:rsidR="004C691C" w:rsidRPr="00E4237B">
        <w:rPr>
          <w:rStyle w:val="Strong"/>
          <w:b w:val="0"/>
          <w:sz w:val="22"/>
        </w:rPr>
        <w:t>.</w:t>
      </w:r>
    </w:p>
    <w:p w14:paraId="65671978" w14:textId="77777777" w:rsidR="00FF5088" w:rsidRPr="00E4237B" w:rsidRDefault="00FF5088" w:rsidP="00A669C1">
      <w:pPr>
        <w:pStyle w:val="NormalWeb"/>
        <w:tabs>
          <w:tab w:val="left" w:pos="1134"/>
        </w:tabs>
        <w:ind w:right="-45"/>
        <w:rPr>
          <w:rStyle w:val="Strong"/>
          <w:b w:val="0"/>
          <w:sz w:val="22"/>
        </w:rPr>
      </w:pPr>
    </w:p>
    <w:p w14:paraId="51048AB8" w14:textId="040AAA9C" w:rsidR="00E33D1C" w:rsidRPr="00E4237B" w:rsidRDefault="00E151B3" w:rsidP="004C691C">
      <w:pPr>
        <w:rPr>
          <w:sz w:val="22"/>
          <w:lang w:val="en-US"/>
        </w:rPr>
      </w:pPr>
      <w:r w:rsidRPr="00E4237B">
        <w:rPr>
          <w:sz w:val="22"/>
          <w:lang w:val="en-US"/>
        </w:rPr>
        <w:t>Violence against women</w:t>
      </w:r>
      <w:r w:rsidR="00E35B3F" w:rsidRPr="00E4237B">
        <w:rPr>
          <w:sz w:val="22"/>
          <w:lang w:val="en-US"/>
        </w:rPr>
        <w:t xml:space="preserve"> and girls</w:t>
      </w:r>
      <w:r w:rsidRPr="00E4237B">
        <w:rPr>
          <w:sz w:val="22"/>
          <w:lang w:val="en-US"/>
        </w:rPr>
        <w:t xml:space="preserve"> is one of the 12 critical areas of concern identified in the Platform for Action. </w:t>
      </w:r>
      <w:r w:rsidR="006C14C9" w:rsidRPr="00E4237B">
        <w:rPr>
          <w:sz w:val="22"/>
          <w:lang w:val="en-US"/>
        </w:rPr>
        <w:t xml:space="preserve">It is a gross violation of </w:t>
      </w:r>
      <w:r w:rsidR="00E35B3F" w:rsidRPr="00E4237B">
        <w:rPr>
          <w:sz w:val="22"/>
          <w:lang w:val="en-US"/>
        </w:rPr>
        <w:t>their</w:t>
      </w:r>
      <w:r w:rsidR="006C14C9" w:rsidRPr="00E4237B">
        <w:rPr>
          <w:sz w:val="22"/>
          <w:lang w:val="en-US"/>
        </w:rPr>
        <w:t xml:space="preserve"> human rights and has a profound and devastating impact on its victims, communities and society. </w:t>
      </w:r>
    </w:p>
    <w:p w14:paraId="21841FDC" w14:textId="77777777" w:rsidR="00E33D1C" w:rsidRPr="00E4237B" w:rsidRDefault="00E33D1C" w:rsidP="004C691C">
      <w:pPr>
        <w:rPr>
          <w:sz w:val="22"/>
          <w:lang w:val="en-US"/>
        </w:rPr>
      </w:pPr>
    </w:p>
    <w:p w14:paraId="0DE4467B" w14:textId="513EDC57" w:rsidR="004C691C" w:rsidRPr="00E4237B" w:rsidRDefault="00E151B3" w:rsidP="004C691C">
      <w:pPr>
        <w:rPr>
          <w:sz w:val="22"/>
          <w:lang w:val="en-US"/>
        </w:rPr>
      </w:pPr>
      <w:r w:rsidRPr="00E4237B">
        <w:rPr>
          <w:sz w:val="22"/>
          <w:lang w:val="en-US"/>
        </w:rPr>
        <w:t xml:space="preserve">In spite of </w:t>
      </w:r>
      <w:r w:rsidR="004C691C" w:rsidRPr="00E4237B">
        <w:rPr>
          <w:sz w:val="22"/>
          <w:lang w:val="en-US"/>
        </w:rPr>
        <w:t>efforts to combat</w:t>
      </w:r>
      <w:r w:rsidRPr="00E4237B">
        <w:rPr>
          <w:sz w:val="22"/>
          <w:lang w:val="en-US"/>
        </w:rPr>
        <w:t xml:space="preserve"> gender-based violence</w:t>
      </w:r>
      <w:r w:rsidR="001B7EFA" w:rsidRPr="00E4237B">
        <w:rPr>
          <w:sz w:val="22"/>
          <w:lang w:val="en-US"/>
        </w:rPr>
        <w:t>,</w:t>
      </w:r>
      <w:r w:rsidRPr="00E4237B">
        <w:rPr>
          <w:sz w:val="22"/>
          <w:lang w:val="en-US"/>
        </w:rPr>
        <w:t xml:space="preserve"> it remains prevalent</w:t>
      </w:r>
      <w:r w:rsidR="004C691C" w:rsidRPr="00E4237B">
        <w:rPr>
          <w:sz w:val="22"/>
          <w:lang w:val="en-US"/>
        </w:rPr>
        <w:t>, particularly within family settings</w:t>
      </w:r>
      <w:r w:rsidRPr="00E4237B">
        <w:rPr>
          <w:sz w:val="22"/>
          <w:lang w:val="en-US"/>
        </w:rPr>
        <w:t xml:space="preserve">. </w:t>
      </w:r>
      <w:r w:rsidR="004C691C" w:rsidRPr="00E4237B">
        <w:rPr>
          <w:sz w:val="22"/>
        </w:rPr>
        <w:t xml:space="preserve">Families </w:t>
      </w:r>
      <w:r w:rsidR="004C691C" w:rsidRPr="00E4237B">
        <w:rPr>
          <w:sz w:val="22"/>
          <w:lang w:val="en-US"/>
        </w:rPr>
        <w:t xml:space="preserve">play an important role in empowering individuals to </w:t>
      </w:r>
      <w:proofErr w:type="spellStart"/>
      <w:r w:rsidR="004C691C" w:rsidRPr="00E4237B">
        <w:rPr>
          <w:sz w:val="22"/>
          <w:lang w:val="en-US"/>
        </w:rPr>
        <w:t>realise</w:t>
      </w:r>
      <w:proofErr w:type="spellEnd"/>
      <w:r w:rsidR="004C691C" w:rsidRPr="00E4237B">
        <w:rPr>
          <w:sz w:val="22"/>
          <w:lang w:val="en-US"/>
        </w:rPr>
        <w:t xml:space="preserve"> their rights. However, families can fail in this role and become settings </w:t>
      </w:r>
      <w:r w:rsidR="00E33D1C" w:rsidRPr="00E4237B">
        <w:rPr>
          <w:sz w:val="22"/>
          <w:lang w:val="en-US"/>
        </w:rPr>
        <w:t xml:space="preserve">where </w:t>
      </w:r>
      <w:r w:rsidR="004C691C" w:rsidRPr="00E4237B">
        <w:rPr>
          <w:sz w:val="22"/>
          <w:lang w:val="en-US"/>
        </w:rPr>
        <w:t>gender inequalities play out.</w:t>
      </w:r>
    </w:p>
    <w:p w14:paraId="097087EC" w14:textId="77777777" w:rsidR="0032777A" w:rsidRPr="00E4237B" w:rsidRDefault="0032777A" w:rsidP="00A669C1">
      <w:pPr>
        <w:pStyle w:val="NormalWeb"/>
        <w:tabs>
          <w:tab w:val="left" w:pos="1134"/>
        </w:tabs>
        <w:ind w:right="-45"/>
        <w:rPr>
          <w:rStyle w:val="Strong"/>
          <w:b w:val="0"/>
          <w:sz w:val="22"/>
          <w:lang w:val="en-US"/>
        </w:rPr>
      </w:pPr>
    </w:p>
    <w:p w14:paraId="3D1B14CB" w14:textId="73302ABC" w:rsidR="00D03361" w:rsidRPr="00E4237B" w:rsidRDefault="009E25EB" w:rsidP="00D03361">
      <w:pPr>
        <w:pStyle w:val="NormalWeb"/>
        <w:tabs>
          <w:tab w:val="left" w:pos="1134"/>
        </w:tabs>
        <w:ind w:right="-45"/>
        <w:rPr>
          <w:bCs/>
          <w:sz w:val="22"/>
        </w:rPr>
      </w:pPr>
      <w:r w:rsidRPr="00E4237B">
        <w:rPr>
          <w:rStyle w:val="Strong"/>
          <w:b w:val="0"/>
          <w:sz w:val="22"/>
        </w:rPr>
        <w:t xml:space="preserve">The </w:t>
      </w:r>
      <w:r w:rsidR="00E44E81" w:rsidRPr="00E4237B">
        <w:rPr>
          <w:rStyle w:val="Strong"/>
          <w:b w:val="0"/>
          <w:sz w:val="22"/>
        </w:rPr>
        <w:t xml:space="preserve">Beijing </w:t>
      </w:r>
      <w:r w:rsidRPr="00E4237B">
        <w:rPr>
          <w:rStyle w:val="Strong"/>
          <w:b w:val="0"/>
          <w:sz w:val="22"/>
        </w:rPr>
        <w:t>Platform for Action</w:t>
      </w:r>
      <w:r w:rsidR="004C691C" w:rsidRPr="00E4237B">
        <w:rPr>
          <w:rStyle w:val="Strong"/>
          <w:b w:val="0"/>
          <w:sz w:val="22"/>
        </w:rPr>
        <w:t xml:space="preserve"> reflects this </w:t>
      </w:r>
      <w:r w:rsidR="00AF4A63" w:rsidRPr="00E4237B">
        <w:rPr>
          <w:rStyle w:val="Strong"/>
          <w:b w:val="0"/>
          <w:sz w:val="22"/>
        </w:rPr>
        <w:t>complexity</w:t>
      </w:r>
      <w:r w:rsidRPr="00E4237B">
        <w:rPr>
          <w:rStyle w:val="Strong"/>
          <w:b w:val="0"/>
          <w:sz w:val="22"/>
        </w:rPr>
        <w:t>: it underscores the importance of families</w:t>
      </w:r>
      <w:r w:rsidRPr="00E4237B">
        <w:rPr>
          <w:rStyle w:val="EndnoteReference"/>
          <w:bCs/>
          <w:sz w:val="22"/>
        </w:rPr>
        <w:endnoteReference w:id="1"/>
      </w:r>
      <w:r w:rsidRPr="00E4237B">
        <w:rPr>
          <w:rStyle w:val="Strong"/>
          <w:b w:val="0"/>
          <w:sz w:val="22"/>
        </w:rPr>
        <w:t xml:space="preserve"> </w:t>
      </w:r>
      <w:r w:rsidR="00E44E81" w:rsidRPr="00E4237B">
        <w:rPr>
          <w:rStyle w:val="Strong"/>
          <w:b w:val="0"/>
          <w:sz w:val="22"/>
        </w:rPr>
        <w:t>but recognises</w:t>
      </w:r>
      <w:r w:rsidRPr="00E4237B">
        <w:rPr>
          <w:rStyle w:val="Strong"/>
          <w:b w:val="0"/>
          <w:sz w:val="22"/>
        </w:rPr>
        <w:t xml:space="preserve"> </w:t>
      </w:r>
      <w:r w:rsidR="009F4BEE" w:rsidRPr="00E4237B">
        <w:rPr>
          <w:rStyle w:val="Strong"/>
          <w:b w:val="0"/>
          <w:sz w:val="22"/>
        </w:rPr>
        <w:t xml:space="preserve">that </w:t>
      </w:r>
      <w:r w:rsidR="008452FC" w:rsidRPr="00E4237B">
        <w:rPr>
          <w:rStyle w:val="Strong"/>
          <w:b w:val="0"/>
          <w:sz w:val="22"/>
        </w:rPr>
        <w:t>often</w:t>
      </w:r>
      <w:r w:rsidR="001B7EFA" w:rsidRPr="00E4237B">
        <w:rPr>
          <w:rStyle w:val="Strong"/>
          <w:b w:val="0"/>
          <w:sz w:val="22"/>
        </w:rPr>
        <w:t xml:space="preserve"> </w:t>
      </w:r>
      <w:r w:rsidRPr="00E4237B">
        <w:rPr>
          <w:rStyle w:val="Strong"/>
          <w:b w:val="0"/>
          <w:sz w:val="22"/>
        </w:rPr>
        <w:t>violence</w:t>
      </w:r>
      <w:r w:rsidR="009F4BEE" w:rsidRPr="00E4237B">
        <w:rPr>
          <w:rStyle w:val="Strong"/>
          <w:b w:val="0"/>
          <w:sz w:val="22"/>
        </w:rPr>
        <w:t xml:space="preserve"> against women and girls</w:t>
      </w:r>
      <w:r w:rsidR="00E33D1C" w:rsidRPr="00E4237B">
        <w:rPr>
          <w:rStyle w:val="Strong"/>
          <w:b w:val="0"/>
          <w:sz w:val="22"/>
        </w:rPr>
        <w:t xml:space="preserve"> </w:t>
      </w:r>
      <w:r w:rsidR="004C691C" w:rsidRPr="00E4237B">
        <w:rPr>
          <w:rStyle w:val="Strong"/>
          <w:b w:val="0"/>
          <w:sz w:val="22"/>
        </w:rPr>
        <w:t>occurs</w:t>
      </w:r>
      <w:r w:rsidR="009F4BEE" w:rsidRPr="00E4237B">
        <w:rPr>
          <w:rStyle w:val="Strong"/>
          <w:b w:val="0"/>
          <w:sz w:val="22"/>
        </w:rPr>
        <w:t xml:space="preserve"> </w:t>
      </w:r>
      <w:r w:rsidRPr="00E4237B">
        <w:rPr>
          <w:rStyle w:val="Strong"/>
          <w:b w:val="0"/>
          <w:sz w:val="22"/>
        </w:rPr>
        <w:t>within the home</w:t>
      </w:r>
      <w:r w:rsidR="004C691C" w:rsidRPr="00E4237B">
        <w:rPr>
          <w:rStyle w:val="EndnoteReference"/>
          <w:bCs/>
          <w:sz w:val="22"/>
        </w:rPr>
        <w:endnoteReference w:id="2"/>
      </w:r>
      <w:r w:rsidR="004C691C" w:rsidRPr="00E4237B">
        <w:rPr>
          <w:rStyle w:val="Strong"/>
          <w:b w:val="0"/>
          <w:sz w:val="22"/>
        </w:rPr>
        <w:t xml:space="preserve">. It </w:t>
      </w:r>
      <w:r w:rsidR="00E44E81" w:rsidRPr="00E4237B">
        <w:rPr>
          <w:rStyle w:val="Strong"/>
          <w:b w:val="0"/>
          <w:sz w:val="22"/>
        </w:rPr>
        <w:t xml:space="preserve">articulates how violence </w:t>
      </w:r>
      <w:r w:rsidR="001B7EFA" w:rsidRPr="00E4237B">
        <w:rPr>
          <w:rStyle w:val="Strong"/>
          <w:b w:val="0"/>
          <w:sz w:val="22"/>
        </w:rPr>
        <w:t>and harmful practices can force</w:t>
      </w:r>
      <w:r w:rsidR="00E33D1C" w:rsidRPr="00E4237B">
        <w:rPr>
          <w:rStyle w:val="Strong"/>
          <w:b w:val="0"/>
          <w:sz w:val="22"/>
        </w:rPr>
        <w:t xml:space="preserve"> </w:t>
      </w:r>
      <w:r w:rsidRPr="00E4237B">
        <w:rPr>
          <w:rStyle w:val="Strong"/>
          <w:b w:val="0"/>
          <w:sz w:val="22"/>
        </w:rPr>
        <w:t>women</w:t>
      </w:r>
      <w:r w:rsidR="00E35B3F" w:rsidRPr="00E4237B">
        <w:rPr>
          <w:rStyle w:val="Strong"/>
          <w:b w:val="0"/>
          <w:sz w:val="22"/>
        </w:rPr>
        <w:t xml:space="preserve"> and girls</w:t>
      </w:r>
      <w:r w:rsidRPr="00E4237B">
        <w:rPr>
          <w:rStyle w:val="Strong"/>
          <w:b w:val="0"/>
          <w:sz w:val="22"/>
        </w:rPr>
        <w:t xml:space="preserve"> into</w:t>
      </w:r>
      <w:r w:rsidR="001B7EFA" w:rsidRPr="00E4237B">
        <w:rPr>
          <w:rStyle w:val="Strong"/>
          <w:b w:val="0"/>
          <w:sz w:val="22"/>
        </w:rPr>
        <w:t xml:space="preserve"> </w:t>
      </w:r>
      <w:r w:rsidRPr="00E4237B">
        <w:rPr>
          <w:rStyle w:val="Strong"/>
          <w:b w:val="0"/>
          <w:sz w:val="22"/>
        </w:rPr>
        <w:t>subordinate position</w:t>
      </w:r>
      <w:r w:rsidR="001B7EFA" w:rsidRPr="00E4237B">
        <w:rPr>
          <w:rStyle w:val="Strong"/>
          <w:b w:val="0"/>
          <w:sz w:val="22"/>
        </w:rPr>
        <w:t>s</w:t>
      </w:r>
      <w:r w:rsidRPr="00E4237B">
        <w:rPr>
          <w:rStyle w:val="Strong"/>
          <w:b w:val="0"/>
          <w:sz w:val="22"/>
        </w:rPr>
        <w:t xml:space="preserve"> compared to men</w:t>
      </w:r>
      <w:r w:rsidR="001B7EFA" w:rsidRPr="00E4237B">
        <w:rPr>
          <w:rStyle w:val="Strong"/>
          <w:b w:val="0"/>
          <w:sz w:val="22"/>
        </w:rPr>
        <w:t xml:space="preserve"> and boys</w:t>
      </w:r>
      <w:r w:rsidRPr="00E4237B">
        <w:rPr>
          <w:rStyle w:val="EndnoteReference"/>
          <w:bCs/>
          <w:sz w:val="22"/>
        </w:rPr>
        <w:endnoteReference w:id="3"/>
      </w:r>
      <w:r w:rsidRPr="00E4237B">
        <w:rPr>
          <w:rStyle w:val="Strong"/>
          <w:b w:val="0"/>
          <w:sz w:val="22"/>
        </w:rPr>
        <w:t xml:space="preserve">. </w:t>
      </w:r>
    </w:p>
    <w:p w14:paraId="52F98217" w14:textId="77777777" w:rsidR="004C691C" w:rsidRPr="00E4237B" w:rsidRDefault="004C691C" w:rsidP="00C774F3">
      <w:pPr>
        <w:pStyle w:val="NormalWeb"/>
        <w:tabs>
          <w:tab w:val="left" w:pos="1134"/>
        </w:tabs>
        <w:ind w:right="-45"/>
        <w:rPr>
          <w:sz w:val="22"/>
          <w:lang w:val="en-US"/>
        </w:rPr>
      </w:pPr>
    </w:p>
    <w:p w14:paraId="49009E19" w14:textId="1E71B5D3" w:rsidR="00BB0526" w:rsidRPr="00E4237B" w:rsidRDefault="00B56B9B" w:rsidP="00C774F3">
      <w:pPr>
        <w:pStyle w:val="NormalWeb"/>
        <w:tabs>
          <w:tab w:val="left" w:pos="1134"/>
        </w:tabs>
        <w:ind w:right="-45"/>
        <w:rPr>
          <w:sz w:val="22"/>
          <w:lang w:val="en-US"/>
        </w:rPr>
      </w:pPr>
      <w:r w:rsidRPr="00E4237B">
        <w:rPr>
          <w:sz w:val="22"/>
          <w:lang w:val="en-US"/>
        </w:rPr>
        <w:t xml:space="preserve">Gender-based violence </w:t>
      </w:r>
      <w:r w:rsidR="00E33D1C" w:rsidRPr="00E4237B">
        <w:rPr>
          <w:sz w:val="22"/>
          <w:lang w:val="en-US"/>
        </w:rPr>
        <w:t>and harmful practices are</w:t>
      </w:r>
      <w:r w:rsidR="00D01EEB" w:rsidRPr="00E4237B">
        <w:rPr>
          <w:sz w:val="22"/>
          <w:lang w:val="en-US"/>
        </w:rPr>
        <w:t xml:space="preserve"> both </w:t>
      </w:r>
      <w:r w:rsidR="00C774F3" w:rsidRPr="00E4237B">
        <w:rPr>
          <w:sz w:val="22"/>
          <w:lang w:val="en-US"/>
        </w:rPr>
        <w:t>cause</w:t>
      </w:r>
      <w:r w:rsidR="00D01EEB" w:rsidRPr="00E4237B">
        <w:rPr>
          <w:sz w:val="22"/>
          <w:lang w:val="en-US"/>
        </w:rPr>
        <w:t>s,</w:t>
      </w:r>
      <w:r w:rsidR="00394C7A" w:rsidRPr="00E4237B">
        <w:rPr>
          <w:sz w:val="22"/>
          <w:lang w:val="en-US"/>
        </w:rPr>
        <w:t xml:space="preserve"> and </w:t>
      </w:r>
      <w:r w:rsidR="00D01EEB" w:rsidRPr="00E4237B">
        <w:rPr>
          <w:sz w:val="22"/>
          <w:lang w:val="en-US"/>
        </w:rPr>
        <w:t>products</w:t>
      </w:r>
      <w:r w:rsidRPr="00E4237B">
        <w:rPr>
          <w:sz w:val="22"/>
          <w:lang w:val="en-US"/>
        </w:rPr>
        <w:t xml:space="preserve"> of</w:t>
      </w:r>
      <w:r w:rsidR="00D01EEB" w:rsidRPr="00E4237B">
        <w:rPr>
          <w:sz w:val="22"/>
          <w:lang w:val="en-US"/>
        </w:rPr>
        <w:t>,</w:t>
      </w:r>
      <w:r w:rsidRPr="00E4237B">
        <w:rPr>
          <w:sz w:val="22"/>
          <w:lang w:val="en-US"/>
        </w:rPr>
        <w:t xml:space="preserve"> gender inequality</w:t>
      </w:r>
      <w:r w:rsidR="00C774F3" w:rsidRPr="00E4237B">
        <w:rPr>
          <w:sz w:val="22"/>
          <w:lang w:val="en-US"/>
        </w:rPr>
        <w:t>.</w:t>
      </w:r>
      <w:r w:rsidRPr="00E4237B">
        <w:rPr>
          <w:sz w:val="22"/>
          <w:lang w:val="en-US"/>
        </w:rPr>
        <w:t xml:space="preserve"> The consequences </w:t>
      </w:r>
      <w:r w:rsidR="008452FC" w:rsidRPr="00E4237B">
        <w:rPr>
          <w:sz w:val="22"/>
          <w:lang w:val="en-US"/>
        </w:rPr>
        <w:t>are</w:t>
      </w:r>
      <w:r w:rsidRPr="00E4237B">
        <w:rPr>
          <w:sz w:val="22"/>
          <w:lang w:val="en-US"/>
        </w:rPr>
        <w:t xml:space="preserve"> far reaching,</w:t>
      </w:r>
      <w:r w:rsidR="006F63AD" w:rsidRPr="00E4237B">
        <w:rPr>
          <w:sz w:val="22"/>
          <w:lang w:val="en-US"/>
        </w:rPr>
        <w:t xml:space="preserve"> </w:t>
      </w:r>
      <w:r w:rsidRPr="00E4237B">
        <w:rPr>
          <w:sz w:val="22"/>
          <w:lang w:val="en-US"/>
        </w:rPr>
        <w:t xml:space="preserve">impacting on </w:t>
      </w:r>
      <w:r w:rsidR="003C16EC" w:rsidRPr="00E4237B">
        <w:rPr>
          <w:sz w:val="22"/>
          <w:lang w:val="en-US"/>
        </w:rPr>
        <w:t xml:space="preserve">the health and wellbeing of women and their children and </w:t>
      </w:r>
      <w:r w:rsidR="0078352F" w:rsidRPr="00E4237B">
        <w:rPr>
          <w:sz w:val="22"/>
          <w:lang w:val="en-US"/>
        </w:rPr>
        <w:t>the rights to life,</w:t>
      </w:r>
      <w:r w:rsidR="00394C7A" w:rsidRPr="00E4237B">
        <w:rPr>
          <w:sz w:val="22"/>
          <w:lang w:val="en-US"/>
        </w:rPr>
        <w:t xml:space="preserve"> liberty </w:t>
      </w:r>
      <w:r w:rsidR="0078352F" w:rsidRPr="00E4237B">
        <w:rPr>
          <w:sz w:val="22"/>
          <w:lang w:val="en-US"/>
        </w:rPr>
        <w:t>and security of person, bodily autonomy, education and work.</w:t>
      </w:r>
      <w:r w:rsidR="00BB0526" w:rsidRPr="00E4237B">
        <w:rPr>
          <w:sz w:val="22"/>
          <w:lang w:val="en-US"/>
        </w:rPr>
        <w:t xml:space="preserve"> </w:t>
      </w:r>
    </w:p>
    <w:p w14:paraId="37BDF495" w14:textId="77777777" w:rsidR="00394C7A" w:rsidRPr="00E4237B" w:rsidRDefault="00394C7A" w:rsidP="00C774F3">
      <w:pPr>
        <w:pStyle w:val="NormalWeb"/>
        <w:tabs>
          <w:tab w:val="left" w:pos="1134"/>
        </w:tabs>
        <w:ind w:right="-45"/>
        <w:rPr>
          <w:sz w:val="22"/>
          <w:lang w:val="en-US"/>
        </w:rPr>
      </w:pPr>
    </w:p>
    <w:p w14:paraId="0D5CC742" w14:textId="466D6D03" w:rsidR="00394C7A" w:rsidRPr="00E4237B" w:rsidRDefault="00394C7A" w:rsidP="00394C7A">
      <w:pPr>
        <w:pStyle w:val="NormalWeb"/>
        <w:tabs>
          <w:tab w:val="left" w:pos="1134"/>
        </w:tabs>
        <w:ind w:right="-45"/>
        <w:rPr>
          <w:sz w:val="22"/>
          <w:lang w:val="en-US"/>
        </w:rPr>
      </w:pPr>
      <w:r w:rsidRPr="00E4237B">
        <w:rPr>
          <w:sz w:val="22"/>
          <w:lang w:val="en-US"/>
        </w:rPr>
        <w:t>Family violence</w:t>
      </w:r>
      <w:r w:rsidR="00E33D1C" w:rsidRPr="00E4237B">
        <w:rPr>
          <w:sz w:val="22"/>
          <w:lang w:val="en-US"/>
        </w:rPr>
        <w:t xml:space="preserve"> in all its forms,</w:t>
      </w:r>
      <w:r w:rsidRPr="00E4237B">
        <w:rPr>
          <w:sz w:val="22"/>
          <w:lang w:val="en-US"/>
        </w:rPr>
        <w:t xml:space="preserve"> is a shared problem. It is prevalent in all countries and cultures. Across the world, </w:t>
      </w:r>
      <w:r w:rsidR="008452FC" w:rsidRPr="00E4237B">
        <w:rPr>
          <w:sz w:val="22"/>
          <w:lang w:val="en-US"/>
        </w:rPr>
        <w:t xml:space="preserve">approximately </w:t>
      </w:r>
      <w:r w:rsidRPr="00E4237B">
        <w:rPr>
          <w:sz w:val="22"/>
          <w:lang w:val="en-US"/>
        </w:rPr>
        <w:t>137 women are killed by a member of their family every day</w:t>
      </w:r>
      <w:r w:rsidRPr="00E4237B">
        <w:rPr>
          <w:rStyle w:val="EndnoteReference"/>
          <w:sz w:val="22"/>
          <w:lang w:val="en-US"/>
        </w:rPr>
        <w:endnoteReference w:id="4"/>
      </w:r>
      <w:r w:rsidRPr="00E4237B">
        <w:rPr>
          <w:sz w:val="22"/>
          <w:lang w:val="en-US"/>
        </w:rPr>
        <w:t xml:space="preserve">. </w:t>
      </w:r>
    </w:p>
    <w:p w14:paraId="3B54DB43" w14:textId="77777777" w:rsidR="006F63AD" w:rsidRPr="00E4237B" w:rsidRDefault="006F63AD" w:rsidP="00402BB3">
      <w:pPr>
        <w:pStyle w:val="NormalWeb"/>
        <w:tabs>
          <w:tab w:val="left" w:pos="1134"/>
        </w:tabs>
        <w:ind w:right="-45"/>
        <w:rPr>
          <w:rStyle w:val="Strong"/>
          <w:b w:val="0"/>
          <w:sz w:val="22"/>
          <w:lang w:val="en-US"/>
        </w:rPr>
      </w:pPr>
    </w:p>
    <w:p w14:paraId="416C5A3A" w14:textId="5654EF2A" w:rsidR="0032777A" w:rsidRPr="00E4237B" w:rsidRDefault="0075599F" w:rsidP="00402BB3">
      <w:pPr>
        <w:pStyle w:val="NormalWeb"/>
        <w:tabs>
          <w:tab w:val="left" w:pos="1134"/>
        </w:tabs>
        <w:ind w:right="-45"/>
        <w:rPr>
          <w:rStyle w:val="Strong"/>
          <w:b w:val="0"/>
          <w:sz w:val="22"/>
        </w:rPr>
      </w:pPr>
      <w:r w:rsidRPr="00E4237B">
        <w:rPr>
          <w:rStyle w:val="Strong"/>
          <w:b w:val="0"/>
          <w:sz w:val="22"/>
        </w:rPr>
        <w:t xml:space="preserve">Last year, Australia entered the final phase of the </w:t>
      </w:r>
      <w:r w:rsidRPr="00E4237B">
        <w:rPr>
          <w:rStyle w:val="Strong"/>
          <w:b w:val="0"/>
          <w:i/>
          <w:sz w:val="22"/>
        </w:rPr>
        <w:t xml:space="preserve">National Plan to Reduce Violence </w:t>
      </w:r>
      <w:proofErr w:type="gramStart"/>
      <w:r w:rsidRPr="00E4237B">
        <w:rPr>
          <w:rStyle w:val="Strong"/>
          <w:b w:val="0"/>
          <w:i/>
          <w:sz w:val="22"/>
        </w:rPr>
        <w:t>Against</w:t>
      </w:r>
      <w:proofErr w:type="gramEnd"/>
      <w:r w:rsidRPr="00E4237B">
        <w:rPr>
          <w:rStyle w:val="Strong"/>
          <w:b w:val="0"/>
          <w:i/>
          <w:sz w:val="22"/>
        </w:rPr>
        <w:t xml:space="preserve"> Women and Their Children 2010-2022</w:t>
      </w:r>
      <w:r w:rsidRPr="00E4237B">
        <w:rPr>
          <w:rStyle w:val="Strong"/>
          <w:b w:val="0"/>
          <w:sz w:val="22"/>
        </w:rPr>
        <w:t>; a comprehensive plan to combat domestic, family and sexual violence through improving gender equality for all Australians.</w:t>
      </w:r>
    </w:p>
    <w:p w14:paraId="74CE4872" w14:textId="77777777" w:rsidR="00AF4A63" w:rsidRPr="00E4237B" w:rsidRDefault="00AF4A63" w:rsidP="00402BB3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Cs w:val="25"/>
        </w:rPr>
      </w:pPr>
    </w:p>
    <w:p w14:paraId="28BE3467" w14:textId="77777777" w:rsidR="00AF4A63" w:rsidRPr="00E4237B" w:rsidRDefault="00AF4A63" w:rsidP="00AF4A63">
      <w:pPr>
        <w:pStyle w:val="NormalWeb"/>
        <w:tabs>
          <w:tab w:val="left" w:pos="1134"/>
        </w:tabs>
        <w:ind w:right="-45"/>
        <w:rPr>
          <w:rStyle w:val="Strong"/>
          <w:b w:val="0"/>
          <w:bCs w:val="0"/>
          <w:sz w:val="22"/>
          <w:lang w:val="en-US"/>
        </w:rPr>
      </w:pPr>
      <w:r w:rsidRPr="00E4237B">
        <w:rPr>
          <w:sz w:val="22"/>
          <w:lang w:val="en-US"/>
        </w:rPr>
        <w:t>We ask the panel for its view on how the Beijing Declaration and Platform for Action has informe</w:t>
      </w:r>
      <w:r w:rsidR="002048FE" w:rsidRPr="00E4237B">
        <w:rPr>
          <w:sz w:val="22"/>
          <w:lang w:val="en-US"/>
        </w:rPr>
        <w:t>d responses to family violence.</w:t>
      </w:r>
      <w:r w:rsidRPr="00E4237B">
        <w:rPr>
          <w:sz w:val="22"/>
          <w:lang w:val="en-US"/>
        </w:rPr>
        <w:t xml:space="preserve"> </w:t>
      </w:r>
    </w:p>
    <w:p w14:paraId="23ED17FB" w14:textId="77777777" w:rsidR="0032777A" w:rsidRPr="00AF4A63" w:rsidRDefault="0032777A" w:rsidP="00402BB3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  <w:lang w:val="en-US"/>
        </w:rPr>
      </w:pPr>
    </w:p>
    <w:p w14:paraId="59BDB360" w14:textId="6D9D859D" w:rsidR="00FF5088" w:rsidRPr="00BE60E2" w:rsidRDefault="000E7675" w:rsidP="00A669C1">
      <w:pPr>
        <w:pStyle w:val="NormalWeb"/>
        <w:tabs>
          <w:tab w:val="left" w:pos="1134"/>
        </w:tabs>
        <w:ind w:right="-45"/>
        <w:rPr>
          <w:rStyle w:val="Strong"/>
          <w:b w:val="0"/>
          <w:i/>
          <w:lang w:val="en-US"/>
        </w:rPr>
      </w:pPr>
      <w:r>
        <w:rPr>
          <w:bCs/>
          <w:i/>
          <w:lang w:val="en-US"/>
        </w:rPr>
        <w:t>281</w:t>
      </w:r>
      <w:r w:rsidR="00015606" w:rsidRPr="00BE60E2">
        <w:rPr>
          <w:bCs/>
          <w:i/>
          <w:lang w:val="en-US"/>
        </w:rPr>
        <w:t xml:space="preserve"> </w:t>
      </w:r>
      <w:r w:rsidR="002048FE" w:rsidRPr="00BE60E2">
        <w:rPr>
          <w:bCs/>
          <w:i/>
          <w:lang w:val="en-US"/>
        </w:rPr>
        <w:t>words</w:t>
      </w:r>
    </w:p>
    <w:sectPr w:rsidR="00FF5088" w:rsidRPr="00BE60E2" w:rsidSect="007B74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134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5E6D6" w14:textId="77777777" w:rsidR="007D54CF" w:rsidRDefault="007D54CF">
      <w:r>
        <w:separator/>
      </w:r>
    </w:p>
  </w:endnote>
  <w:endnote w:type="continuationSeparator" w:id="0">
    <w:p w14:paraId="3682F477" w14:textId="77777777" w:rsidR="007D54CF" w:rsidRDefault="007D54CF">
      <w:r>
        <w:continuationSeparator/>
      </w:r>
    </w:p>
  </w:endnote>
  <w:endnote w:id="1">
    <w:p w14:paraId="2FB37AEA" w14:textId="27B993E9" w:rsidR="009E25EB" w:rsidRPr="009E25EB" w:rsidRDefault="001743BC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UDHR, article 16.3</w:t>
      </w:r>
    </w:p>
  </w:endnote>
  <w:endnote w:id="2">
    <w:p w14:paraId="137F3774" w14:textId="77777777" w:rsidR="004C691C" w:rsidRPr="004C691C" w:rsidRDefault="004C691C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>Beijing Declaration and Platform for Action, paragraph 117</w:t>
      </w:r>
    </w:p>
  </w:endnote>
  <w:endnote w:id="3">
    <w:p w14:paraId="127F2BD2" w14:textId="77777777" w:rsidR="009E25EB" w:rsidRPr="009E25EB" w:rsidRDefault="009E25EB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>Beijing Declaration and Platform for Action, paragraph 117</w:t>
      </w:r>
    </w:p>
  </w:endnote>
  <w:endnote w:id="4">
    <w:p w14:paraId="33C0C020" w14:textId="77777777" w:rsidR="00394C7A" w:rsidRPr="00C774F3" w:rsidRDefault="00394C7A" w:rsidP="00394C7A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hyperlink r:id="rId1" w:anchor="notes" w:history="1">
        <w:r>
          <w:rPr>
            <w:rStyle w:val="Hyperlink"/>
          </w:rPr>
          <w:t>https://www.unwomen.org/en/what-we-do/ending-violence-against-women/facts-and-figures#notes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380B0" w14:textId="77777777" w:rsidR="005E3DAB" w:rsidRDefault="005E3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FBE5C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09DEE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103A22" wp14:editId="2E9318F2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C30D9A6" wp14:editId="591A980F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3B84A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7291D4A2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Saconnex,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6C4DF" w14:textId="77777777" w:rsidR="007D54CF" w:rsidRDefault="007D54CF">
      <w:r>
        <w:separator/>
      </w:r>
    </w:p>
  </w:footnote>
  <w:footnote w:type="continuationSeparator" w:id="0">
    <w:p w14:paraId="5CC3077E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7A274" w14:textId="77777777" w:rsidR="005E3DAB" w:rsidRDefault="005E3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F5D73" w14:textId="4F14D752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237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B1ABC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62AD2D82" wp14:editId="28B7AE24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29A073B8" wp14:editId="0B842F1E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6AA"/>
    <w:multiLevelType w:val="hybridMultilevel"/>
    <w:tmpl w:val="DF4634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9333B"/>
    <w:multiLevelType w:val="hybridMultilevel"/>
    <w:tmpl w:val="991073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65667"/>
    <w:multiLevelType w:val="multilevel"/>
    <w:tmpl w:val="5D9A3B7C"/>
    <w:lvl w:ilvl="0">
      <w:start w:val="1"/>
      <w:numFmt w:val="bullet"/>
      <w:pStyle w:val="Bullet1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cs="Times New Roman" w:hint="default"/>
      </w:rPr>
    </w:lvl>
    <w:lvl w:ilvl="2">
      <w:start w:val="1"/>
      <w:numFmt w:val="bullet"/>
      <w:pStyle w:val="Bullet3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</w:lvl>
  </w:abstractNum>
  <w:abstractNum w:abstractNumId="4" w15:restartNumberingAfterBreak="0">
    <w:nsid w:val="6BD47CE2"/>
    <w:multiLevelType w:val="multilevel"/>
    <w:tmpl w:val="65805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1111B2"/>
    <w:multiLevelType w:val="hybridMultilevel"/>
    <w:tmpl w:val="98127A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606"/>
    <w:rsid w:val="0003255E"/>
    <w:rsid w:val="00032CBD"/>
    <w:rsid w:val="00043390"/>
    <w:rsid w:val="000535B2"/>
    <w:rsid w:val="00063926"/>
    <w:rsid w:val="0006767D"/>
    <w:rsid w:val="000733B7"/>
    <w:rsid w:val="000A0578"/>
    <w:rsid w:val="000B03C1"/>
    <w:rsid w:val="000E7675"/>
    <w:rsid w:val="000E7AD0"/>
    <w:rsid w:val="00114468"/>
    <w:rsid w:val="00143A3D"/>
    <w:rsid w:val="00154D0F"/>
    <w:rsid w:val="00167578"/>
    <w:rsid w:val="001678FF"/>
    <w:rsid w:val="001743BC"/>
    <w:rsid w:val="001A2D53"/>
    <w:rsid w:val="001B74E4"/>
    <w:rsid w:val="001B7EFA"/>
    <w:rsid w:val="001C78F9"/>
    <w:rsid w:val="001E15DC"/>
    <w:rsid w:val="001E4C81"/>
    <w:rsid w:val="002048FE"/>
    <w:rsid w:val="00235D3C"/>
    <w:rsid w:val="00292584"/>
    <w:rsid w:val="002951BE"/>
    <w:rsid w:val="002A3AFB"/>
    <w:rsid w:val="002A4718"/>
    <w:rsid w:val="002C1AA4"/>
    <w:rsid w:val="00301F51"/>
    <w:rsid w:val="00310DCA"/>
    <w:rsid w:val="00316E82"/>
    <w:rsid w:val="0032777A"/>
    <w:rsid w:val="003313B8"/>
    <w:rsid w:val="00343E42"/>
    <w:rsid w:val="00344A74"/>
    <w:rsid w:val="003715A3"/>
    <w:rsid w:val="00387CA0"/>
    <w:rsid w:val="00391787"/>
    <w:rsid w:val="00394C7A"/>
    <w:rsid w:val="0039595E"/>
    <w:rsid w:val="003C16EC"/>
    <w:rsid w:val="003D189C"/>
    <w:rsid w:val="003E1EB2"/>
    <w:rsid w:val="00402BB3"/>
    <w:rsid w:val="00410496"/>
    <w:rsid w:val="00411C3C"/>
    <w:rsid w:val="00414B26"/>
    <w:rsid w:val="004213DA"/>
    <w:rsid w:val="00430044"/>
    <w:rsid w:val="00451A21"/>
    <w:rsid w:val="004537B5"/>
    <w:rsid w:val="0047410F"/>
    <w:rsid w:val="00484B9E"/>
    <w:rsid w:val="00497C4D"/>
    <w:rsid w:val="004B50C2"/>
    <w:rsid w:val="004B6613"/>
    <w:rsid w:val="004C691C"/>
    <w:rsid w:val="004C6DF0"/>
    <w:rsid w:val="004D22D3"/>
    <w:rsid w:val="004E3664"/>
    <w:rsid w:val="004E4D28"/>
    <w:rsid w:val="004F121D"/>
    <w:rsid w:val="004F5E9E"/>
    <w:rsid w:val="00531B26"/>
    <w:rsid w:val="00536998"/>
    <w:rsid w:val="0055679F"/>
    <w:rsid w:val="00576D58"/>
    <w:rsid w:val="00585837"/>
    <w:rsid w:val="005A20B4"/>
    <w:rsid w:val="005C2428"/>
    <w:rsid w:val="005C3D38"/>
    <w:rsid w:val="005C5BE9"/>
    <w:rsid w:val="005E3DAB"/>
    <w:rsid w:val="005F5E36"/>
    <w:rsid w:val="00605B06"/>
    <w:rsid w:val="00612033"/>
    <w:rsid w:val="00614E2E"/>
    <w:rsid w:val="00630730"/>
    <w:rsid w:val="00632B78"/>
    <w:rsid w:val="006C14C9"/>
    <w:rsid w:val="006E2982"/>
    <w:rsid w:val="006F63AD"/>
    <w:rsid w:val="00710C49"/>
    <w:rsid w:val="007159D0"/>
    <w:rsid w:val="007202AA"/>
    <w:rsid w:val="007234B9"/>
    <w:rsid w:val="00723A99"/>
    <w:rsid w:val="007242C6"/>
    <w:rsid w:val="00734700"/>
    <w:rsid w:val="0075599F"/>
    <w:rsid w:val="0078352F"/>
    <w:rsid w:val="00785653"/>
    <w:rsid w:val="007956D4"/>
    <w:rsid w:val="007A1889"/>
    <w:rsid w:val="007A5627"/>
    <w:rsid w:val="007B74B6"/>
    <w:rsid w:val="007D54CF"/>
    <w:rsid w:val="007D6FDD"/>
    <w:rsid w:val="007E449C"/>
    <w:rsid w:val="007F5ADA"/>
    <w:rsid w:val="0082005D"/>
    <w:rsid w:val="00824BFB"/>
    <w:rsid w:val="008452FC"/>
    <w:rsid w:val="00867168"/>
    <w:rsid w:val="00870B00"/>
    <w:rsid w:val="00874928"/>
    <w:rsid w:val="00911D03"/>
    <w:rsid w:val="00913F38"/>
    <w:rsid w:val="009416D2"/>
    <w:rsid w:val="00952ED4"/>
    <w:rsid w:val="00983E53"/>
    <w:rsid w:val="009A1963"/>
    <w:rsid w:val="009A3726"/>
    <w:rsid w:val="009E25EB"/>
    <w:rsid w:val="009F47CE"/>
    <w:rsid w:val="009F4BEE"/>
    <w:rsid w:val="00A14383"/>
    <w:rsid w:val="00A20D5F"/>
    <w:rsid w:val="00A22D11"/>
    <w:rsid w:val="00A264E6"/>
    <w:rsid w:val="00A31AD0"/>
    <w:rsid w:val="00A3515E"/>
    <w:rsid w:val="00A35B3A"/>
    <w:rsid w:val="00A41F18"/>
    <w:rsid w:val="00A63BFB"/>
    <w:rsid w:val="00A669C1"/>
    <w:rsid w:val="00A824D3"/>
    <w:rsid w:val="00A97EE1"/>
    <w:rsid w:val="00AC12A7"/>
    <w:rsid w:val="00AF49A7"/>
    <w:rsid w:val="00AF4A63"/>
    <w:rsid w:val="00AF4B94"/>
    <w:rsid w:val="00B00D69"/>
    <w:rsid w:val="00B42192"/>
    <w:rsid w:val="00B56B9B"/>
    <w:rsid w:val="00B62778"/>
    <w:rsid w:val="00B83623"/>
    <w:rsid w:val="00B936B9"/>
    <w:rsid w:val="00BB0526"/>
    <w:rsid w:val="00BB0CBD"/>
    <w:rsid w:val="00BC6FDB"/>
    <w:rsid w:val="00BE11F8"/>
    <w:rsid w:val="00BE60E2"/>
    <w:rsid w:val="00BF4CA0"/>
    <w:rsid w:val="00C02E46"/>
    <w:rsid w:val="00C07310"/>
    <w:rsid w:val="00C17DEB"/>
    <w:rsid w:val="00C24710"/>
    <w:rsid w:val="00C24DD9"/>
    <w:rsid w:val="00C26766"/>
    <w:rsid w:val="00C372E6"/>
    <w:rsid w:val="00C50E02"/>
    <w:rsid w:val="00C536F4"/>
    <w:rsid w:val="00C5592D"/>
    <w:rsid w:val="00C55ACD"/>
    <w:rsid w:val="00C63A5F"/>
    <w:rsid w:val="00C651A7"/>
    <w:rsid w:val="00C76813"/>
    <w:rsid w:val="00C774F3"/>
    <w:rsid w:val="00C77D3F"/>
    <w:rsid w:val="00C946F3"/>
    <w:rsid w:val="00CA18F8"/>
    <w:rsid w:val="00CF2767"/>
    <w:rsid w:val="00D01EEB"/>
    <w:rsid w:val="00D03361"/>
    <w:rsid w:val="00D03DA8"/>
    <w:rsid w:val="00D046EC"/>
    <w:rsid w:val="00D07261"/>
    <w:rsid w:val="00D17D55"/>
    <w:rsid w:val="00D26088"/>
    <w:rsid w:val="00D617E3"/>
    <w:rsid w:val="00D64185"/>
    <w:rsid w:val="00D8666E"/>
    <w:rsid w:val="00D937D9"/>
    <w:rsid w:val="00DA2FF4"/>
    <w:rsid w:val="00DA56D0"/>
    <w:rsid w:val="00DD6C92"/>
    <w:rsid w:val="00DF0392"/>
    <w:rsid w:val="00E151B3"/>
    <w:rsid w:val="00E33D1C"/>
    <w:rsid w:val="00E35B3F"/>
    <w:rsid w:val="00E4237B"/>
    <w:rsid w:val="00E44E81"/>
    <w:rsid w:val="00E54E2A"/>
    <w:rsid w:val="00E63095"/>
    <w:rsid w:val="00E84AB2"/>
    <w:rsid w:val="00E9390A"/>
    <w:rsid w:val="00EA25C0"/>
    <w:rsid w:val="00EC4A6E"/>
    <w:rsid w:val="00EC7B79"/>
    <w:rsid w:val="00ED3A71"/>
    <w:rsid w:val="00EE5439"/>
    <w:rsid w:val="00EF33BC"/>
    <w:rsid w:val="00F13F88"/>
    <w:rsid w:val="00F306E3"/>
    <w:rsid w:val="00F46D07"/>
    <w:rsid w:val="00F52CA4"/>
    <w:rsid w:val="00F7561A"/>
    <w:rsid w:val="00F772D3"/>
    <w:rsid w:val="00F92A82"/>
    <w:rsid w:val="00F93327"/>
    <w:rsid w:val="00F9345F"/>
    <w:rsid w:val="00FC2B90"/>
    <w:rsid w:val="00FC4A4A"/>
    <w:rsid w:val="00FD1B7C"/>
    <w:rsid w:val="00FD24C2"/>
    <w:rsid w:val="00FF22D8"/>
    <w:rsid w:val="00FF2A08"/>
    <w:rsid w:val="00FF508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28E7C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15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A2FF4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2FF4"/>
    <w:rPr>
      <w:rFonts w:asciiTheme="minorHAnsi" w:eastAsiaTheme="minorHAnsi" w:hAnsiTheme="minorHAnsi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A2FF4"/>
    <w:rPr>
      <w:vertAlign w:val="superscript"/>
    </w:rPr>
  </w:style>
  <w:style w:type="paragraph" w:customStyle="1" w:styleId="Bullet1">
    <w:name w:val="Bullet 1"/>
    <w:basedOn w:val="Normal"/>
    <w:qFormat/>
    <w:rsid w:val="00E63095"/>
    <w:pPr>
      <w:numPr>
        <w:numId w:val="6"/>
      </w:numPr>
      <w:tabs>
        <w:tab w:val="num" w:pos="284"/>
        <w:tab w:val="left" w:pos="567"/>
      </w:tabs>
      <w:suppressAutoHyphens/>
      <w:spacing w:before="60" w:after="60" w:line="260" w:lineRule="atLeast"/>
      <w:ind w:left="284"/>
    </w:pPr>
    <w:rPr>
      <w:rFonts w:ascii="Calibri" w:eastAsiaTheme="minorHAnsi" w:hAnsi="Calibri" w:cstheme="minorBidi"/>
      <w:szCs w:val="25"/>
      <w:lang w:eastAsia="en-US"/>
    </w:rPr>
  </w:style>
  <w:style w:type="paragraph" w:customStyle="1" w:styleId="Bullet2">
    <w:name w:val="Bullet 2"/>
    <w:basedOn w:val="Bullet1"/>
    <w:qFormat/>
    <w:rsid w:val="00E63095"/>
    <w:pPr>
      <w:numPr>
        <w:ilvl w:val="1"/>
      </w:numPr>
      <w:tabs>
        <w:tab w:val="clear" w:pos="568"/>
        <w:tab w:val="clear" w:pos="2835"/>
        <w:tab w:val="left" w:pos="851"/>
      </w:tabs>
    </w:pPr>
  </w:style>
  <w:style w:type="paragraph" w:customStyle="1" w:styleId="Bullet3">
    <w:name w:val="Bullet 3"/>
    <w:basedOn w:val="Bullet2"/>
    <w:qFormat/>
    <w:rsid w:val="00E63095"/>
    <w:pPr>
      <w:numPr>
        <w:ilvl w:val="2"/>
      </w:numPr>
      <w:tabs>
        <w:tab w:val="clear" w:pos="852"/>
        <w:tab w:val="left" w:pos="1134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D046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046E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9E25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E25EB"/>
  </w:style>
  <w:style w:type="character" w:styleId="EndnoteReference">
    <w:name w:val="endnote reference"/>
    <w:basedOn w:val="DefaultParagraphFont"/>
    <w:semiHidden/>
    <w:unhideWhenUsed/>
    <w:rsid w:val="009E25EB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8452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women.org/en/what-we-do/ending-violence-against-women/facts-and-figures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99B57-4DE1-497E-A899-3D3AD36D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2020-02-29T21:59:00Z</dcterms:created>
  <dcterms:modified xsi:type="dcterms:W3CDTF">2020-02-29T21:59:00Z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aab0433c-6357-4832-9c49-b491bc87ec8b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