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F5B" w:rsidRPr="00D7613A" w:rsidRDefault="002A0F5B" w:rsidP="002A0F5B">
      <w:pPr>
        <w:spacing w:after="0" w:line="240" w:lineRule="auto"/>
        <w:jc w:val="center"/>
        <w:rPr>
          <w:rFonts w:cstheme="minorHAnsi"/>
          <w:b/>
          <w:sz w:val="28"/>
          <w:szCs w:val="28"/>
        </w:rPr>
      </w:pPr>
      <w:bookmarkStart w:id="0" w:name="_GoBack"/>
      <w:bookmarkEnd w:id="0"/>
      <w:r w:rsidRPr="00D7613A">
        <w:rPr>
          <w:rFonts w:cstheme="minorHAnsi"/>
          <w:b/>
          <w:sz w:val="28"/>
          <w:szCs w:val="28"/>
        </w:rPr>
        <w:t>Human Rights Council – 43</w:t>
      </w:r>
      <w:r w:rsidRPr="00D7613A">
        <w:rPr>
          <w:rFonts w:cstheme="minorHAnsi"/>
          <w:b/>
          <w:sz w:val="28"/>
          <w:szCs w:val="28"/>
          <w:vertAlign w:val="superscript"/>
        </w:rPr>
        <w:t>rd</w:t>
      </w:r>
      <w:r w:rsidRPr="00D7613A">
        <w:rPr>
          <w:rFonts w:cstheme="minorHAnsi"/>
          <w:b/>
          <w:sz w:val="28"/>
          <w:szCs w:val="28"/>
        </w:rPr>
        <w:t xml:space="preserve"> Session</w:t>
      </w:r>
    </w:p>
    <w:p w:rsidR="002A0F5B" w:rsidRPr="00D7613A" w:rsidRDefault="002A0F5B" w:rsidP="002A0F5B">
      <w:pPr>
        <w:spacing w:after="0" w:line="240" w:lineRule="auto"/>
        <w:jc w:val="center"/>
        <w:rPr>
          <w:rFonts w:cstheme="minorHAnsi"/>
          <w:b/>
          <w:sz w:val="28"/>
          <w:szCs w:val="28"/>
        </w:rPr>
      </w:pPr>
      <w:r w:rsidRPr="00D7613A">
        <w:rPr>
          <w:rFonts w:cstheme="minorHAnsi"/>
          <w:b/>
          <w:sz w:val="28"/>
          <w:szCs w:val="28"/>
        </w:rPr>
        <w:t>Item 2 General Debate</w:t>
      </w:r>
    </w:p>
    <w:p w:rsidR="002A0F5B" w:rsidRPr="00D7613A" w:rsidRDefault="002A0F5B" w:rsidP="002A0F5B">
      <w:pPr>
        <w:spacing w:after="0" w:line="240" w:lineRule="auto"/>
        <w:jc w:val="center"/>
        <w:rPr>
          <w:rFonts w:cstheme="minorHAnsi"/>
          <w:b/>
          <w:sz w:val="28"/>
          <w:szCs w:val="28"/>
        </w:rPr>
      </w:pPr>
      <w:r w:rsidRPr="00D7613A">
        <w:rPr>
          <w:rFonts w:cstheme="minorHAnsi"/>
          <w:b/>
          <w:sz w:val="28"/>
          <w:szCs w:val="28"/>
        </w:rPr>
        <w:t xml:space="preserve">Mountains Statement </w:t>
      </w:r>
    </w:p>
    <w:p w:rsidR="002A0F5B" w:rsidRPr="00D7613A" w:rsidRDefault="002A0F5B" w:rsidP="002A0F5B">
      <w:pPr>
        <w:spacing w:after="0" w:line="240" w:lineRule="auto"/>
        <w:rPr>
          <w:rFonts w:cstheme="minorHAnsi"/>
          <w:sz w:val="28"/>
          <w:szCs w:val="28"/>
        </w:rPr>
      </w:pPr>
    </w:p>
    <w:p w:rsidR="002A0F5B" w:rsidRDefault="002A0F5B" w:rsidP="002A0F5B">
      <w:pPr>
        <w:spacing w:after="0" w:line="240" w:lineRule="auto"/>
        <w:rPr>
          <w:rFonts w:cstheme="minorHAnsi"/>
          <w:sz w:val="28"/>
          <w:szCs w:val="28"/>
        </w:rPr>
      </w:pPr>
    </w:p>
    <w:p w:rsidR="002A0F5B" w:rsidRPr="00D7613A" w:rsidRDefault="002A0F5B" w:rsidP="002A0F5B">
      <w:pPr>
        <w:spacing w:after="0" w:line="240" w:lineRule="auto"/>
        <w:rPr>
          <w:rFonts w:cstheme="minorHAnsi"/>
          <w:sz w:val="28"/>
          <w:szCs w:val="28"/>
        </w:rPr>
      </w:pPr>
      <w:r w:rsidRPr="00D7613A">
        <w:rPr>
          <w:rFonts w:cstheme="minorHAnsi"/>
          <w:sz w:val="28"/>
          <w:szCs w:val="28"/>
        </w:rPr>
        <w:t xml:space="preserve">I have the honour to deliver this statement on behalf </w:t>
      </w:r>
      <w:proofErr w:type="gramStart"/>
      <w:r w:rsidRPr="00D7613A">
        <w:rPr>
          <w:rFonts w:cstheme="minorHAnsi"/>
          <w:sz w:val="28"/>
          <w:szCs w:val="28"/>
        </w:rPr>
        <w:t>of:</w:t>
      </w:r>
      <w:proofErr w:type="gramEnd"/>
      <w:r w:rsidRPr="00D7613A">
        <w:rPr>
          <w:rFonts w:cstheme="minorHAnsi"/>
          <w:sz w:val="28"/>
          <w:szCs w:val="28"/>
        </w:rPr>
        <w:t xml:space="preserve">  </w:t>
      </w:r>
      <w:r>
        <w:rPr>
          <w:rFonts w:cstheme="minorHAnsi"/>
          <w:sz w:val="28"/>
          <w:szCs w:val="28"/>
        </w:rPr>
        <w:t>[</w:t>
      </w:r>
      <w:r w:rsidRPr="00D7613A">
        <w:rPr>
          <w:rFonts w:cstheme="minorHAnsi"/>
          <w:sz w:val="28"/>
          <w:szCs w:val="28"/>
        </w:rPr>
        <w:t>Australia, Canada, Iceland, Liechtenstein, New Zealand, Norway and Switzerland</w:t>
      </w:r>
      <w:r>
        <w:rPr>
          <w:rFonts w:cstheme="minorHAnsi"/>
          <w:sz w:val="28"/>
          <w:szCs w:val="28"/>
        </w:rPr>
        <w:t>]</w:t>
      </w:r>
      <w:r w:rsidRPr="00D7613A">
        <w:rPr>
          <w:rFonts w:cstheme="minorHAnsi"/>
          <w:sz w:val="28"/>
          <w:szCs w:val="28"/>
        </w:rPr>
        <w:t>.</w:t>
      </w:r>
      <w:r>
        <w:rPr>
          <w:rFonts w:cstheme="minorHAnsi"/>
          <w:sz w:val="28"/>
          <w:szCs w:val="28"/>
        </w:rPr>
        <w:t xml:space="preserve">  </w:t>
      </w:r>
    </w:p>
    <w:p w:rsidR="002A0F5B" w:rsidRPr="00D7613A" w:rsidRDefault="002A0F5B" w:rsidP="002A0F5B">
      <w:pPr>
        <w:spacing w:after="0" w:line="240" w:lineRule="auto"/>
        <w:rPr>
          <w:rFonts w:cstheme="minorHAnsi"/>
          <w:sz w:val="28"/>
          <w:szCs w:val="28"/>
        </w:rPr>
      </w:pPr>
    </w:p>
    <w:p w:rsidR="002A0F5B" w:rsidRPr="00D7613A" w:rsidRDefault="002A0F5B" w:rsidP="002A0F5B">
      <w:pPr>
        <w:pStyle w:val="Body"/>
        <w:rPr>
          <w:rFonts w:asciiTheme="minorHAnsi" w:eastAsiaTheme="minorHAnsi" w:hAnsiTheme="minorHAnsi" w:cstheme="minorHAnsi"/>
          <w:color w:val="auto"/>
          <w:sz w:val="28"/>
          <w:szCs w:val="28"/>
          <w:bdr w:val="none" w:sz="0" w:space="0" w:color="auto"/>
          <w:lang w:val="en-AU" w:eastAsia="en-US"/>
        </w:rPr>
      </w:pPr>
      <w:r>
        <w:rPr>
          <w:rFonts w:asciiTheme="minorHAnsi" w:eastAsiaTheme="minorHAnsi" w:hAnsiTheme="minorHAnsi" w:cstheme="minorHAnsi"/>
          <w:color w:val="auto"/>
          <w:sz w:val="28"/>
          <w:szCs w:val="28"/>
          <w:bdr w:val="none" w:sz="0" w:space="0" w:color="auto"/>
          <w:lang w:val="en-AU" w:eastAsia="en-US"/>
        </w:rPr>
        <w:t xml:space="preserve">We </w:t>
      </w:r>
      <w:r w:rsidRPr="00D7613A">
        <w:rPr>
          <w:rFonts w:asciiTheme="minorHAnsi" w:eastAsiaTheme="minorHAnsi" w:hAnsiTheme="minorHAnsi" w:cstheme="minorHAnsi"/>
          <w:color w:val="auto"/>
          <w:sz w:val="28"/>
          <w:szCs w:val="28"/>
          <w:bdr w:val="none" w:sz="0" w:space="0" w:color="auto"/>
          <w:lang w:val="en-AU" w:eastAsia="en-US"/>
        </w:rPr>
        <w:t xml:space="preserve">reaffirm our commitment to stand up for the human rights principles enshrined in the </w:t>
      </w:r>
      <w:r>
        <w:rPr>
          <w:rFonts w:asciiTheme="minorHAnsi" w:eastAsiaTheme="minorHAnsi" w:hAnsiTheme="minorHAnsi" w:cstheme="minorHAnsi"/>
          <w:color w:val="auto"/>
          <w:sz w:val="28"/>
          <w:szCs w:val="28"/>
          <w:bdr w:val="none" w:sz="0" w:space="0" w:color="auto"/>
          <w:lang w:val="en-AU" w:eastAsia="en-US"/>
        </w:rPr>
        <w:t xml:space="preserve">Universal Declaration of Human Rights and Vienna Declaration and Program of Acton.  </w:t>
      </w:r>
    </w:p>
    <w:p w:rsidR="002A0F5B" w:rsidRPr="00D7613A" w:rsidRDefault="002A0F5B" w:rsidP="002A0F5B">
      <w:pPr>
        <w:pStyle w:val="Body"/>
        <w:rPr>
          <w:rFonts w:asciiTheme="minorHAnsi" w:eastAsiaTheme="minorHAnsi" w:hAnsiTheme="minorHAnsi" w:cstheme="minorHAnsi"/>
          <w:color w:val="auto"/>
          <w:sz w:val="28"/>
          <w:szCs w:val="28"/>
          <w:bdr w:val="none" w:sz="0" w:space="0" w:color="auto"/>
          <w:lang w:val="en-AU" w:eastAsia="en-US"/>
        </w:rPr>
      </w:pPr>
    </w:p>
    <w:p w:rsidR="002A0F5B" w:rsidRDefault="002A0F5B" w:rsidP="002A0F5B">
      <w:pPr>
        <w:pStyle w:val="Body"/>
        <w:rPr>
          <w:rFonts w:asciiTheme="minorHAnsi" w:eastAsiaTheme="minorHAnsi" w:hAnsiTheme="minorHAnsi" w:cstheme="minorHAnsi"/>
          <w:color w:val="auto"/>
          <w:sz w:val="28"/>
          <w:szCs w:val="28"/>
          <w:bdr w:val="none" w:sz="0" w:space="0" w:color="auto"/>
          <w:lang w:val="en-AU" w:eastAsia="en-US"/>
        </w:rPr>
      </w:pPr>
      <w:r>
        <w:rPr>
          <w:rFonts w:asciiTheme="minorHAnsi" w:eastAsiaTheme="minorHAnsi" w:hAnsiTheme="minorHAnsi" w:cstheme="minorHAnsi"/>
          <w:color w:val="auto"/>
          <w:sz w:val="28"/>
          <w:szCs w:val="28"/>
          <w:bdr w:val="none" w:sz="0" w:space="0" w:color="auto"/>
          <w:lang w:val="en-AU" w:eastAsia="en-US"/>
        </w:rPr>
        <w:t>We fully agree with High Commissioner Bachelet that h</w:t>
      </w:r>
      <w:r w:rsidRPr="00D7613A">
        <w:rPr>
          <w:rFonts w:asciiTheme="minorHAnsi" w:eastAsiaTheme="minorHAnsi" w:hAnsiTheme="minorHAnsi" w:cstheme="minorHAnsi"/>
          <w:color w:val="auto"/>
          <w:sz w:val="28"/>
          <w:szCs w:val="28"/>
          <w:bdr w:val="none" w:sz="0" w:space="0" w:color="auto"/>
          <w:lang w:val="en-AU" w:eastAsia="en-US"/>
        </w:rPr>
        <w:t xml:space="preserve">uman rights are the interlocking elements that build resilient and confident societies – societies able to withstand and surmount threats, peacefully resolve disputes, and facilitate sustained progress in prosperity and well-being for all their members. Every step towards greater </w:t>
      </w:r>
      <w:r>
        <w:rPr>
          <w:rFonts w:asciiTheme="minorHAnsi" w:eastAsiaTheme="minorHAnsi" w:hAnsiTheme="minorHAnsi" w:cstheme="minorHAnsi"/>
          <w:color w:val="auto"/>
          <w:sz w:val="28"/>
          <w:szCs w:val="28"/>
          <w:bdr w:val="none" w:sz="0" w:space="0" w:color="auto"/>
          <w:lang w:val="en-AU" w:eastAsia="en-US"/>
        </w:rPr>
        <w:t xml:space="preserve">respect for and </w:t>
      </w:r>
      <w:r w:rsidRPr="00D7613A">
        <w:rPr>
          <w:rFonts w:asciiTheme="minorHAnsi" w:eastAsiaTheme="minorHAnsi" w:hAnsiTheme="minorHAnsi" w:cstheme="minorHAnsi"/>
          <w:color w:val="auto"/>
          <w:sz w:val="28"/>
          <w:szCs w:val="28"/>
          <w:bdr w:val="none" w:sz="0" w:space="0" w:color="auto"/>
          <w:lang w:val="en-AU" w:eastAsia="en-US"/>
        </w:rPr>
        <w:t xml:space="preserve">implementation of human rights is an act of prevention </w:t>
      </w:r>
      <w:r w:rsidRPr="00D7613A">
        <w:rPr>
          <w:rFonts w:asciiTheme="minorHAnsi" w:eastAsiaTheme="minorHAnsi" w:hAnsiTheme="minorHAnsi" w:cstheme="minorHAnsi"/>
          <w:color w:val="auto"/>
          <w:sz w:val="28"/>
          <w:szCs w:val="28"/>
          <w:bdr w:val="none" w:sz="0" w:space="0" w:color="auto"/>
          <w:lang w:val="en-AU" w:eastAsia="en-US"/>
        </w:rPr>
        <w:softHyphen/>
        <w:t>– strengthening bonds between communities</w:t>
      </w:r>
      <w:r>
        <w:rPr>
          <w:rFonts w:asciiTheme="minorHAnsi" w:eastAsiaTheme="minorHAnsi" w:hAnsiTheme="minorHAnsi" w:cstheme="minorHAnsi"/>
          <w:color w:val="auto"/>
          <w:sz w:val="28"/>
          <w:szCs w:val="28"/>
          <w:bdr w:val="none" w:sz="0" w:space="0" w:color="auto"/>
          <w:lang w:val="en-AU" w:eastAsia="en-US"/>
        </w:rPr>
        <w:t xml:space="preserve"> and trust in Government</w:t>
      </w:r>
      <w:r w:rsidRPr="00D7613A">
        <w:rPr>
          <w:rFonts w:asciiTheme="minorHAnsi" w:eastAsiaTheme="minorHAnsi" w:hAnsiTheme="minorHAnsi" w:cstheme="minorHAnsi"/>
          <w:color w:val="auto"/>
          <w:sz w:val="28"/>
          <w:szCs w:val="28"/>
          <w:bdr w:val="none" w:sz="0" w:space="0" w:color="auto"/>
          <w:lang w:val="en-AU" w:eastAsia="en-US"/>
        </w:rPr>
        <w:t xml:space="preserve">, and reinforcing inclusive development and peace.  </w:t>
      </w:r>
      <w:r>
        <w:rPr>
          <w:rFonts w:asciiTheme="minorHAnsi" w:eastAsiaTheme="minorHAnsi" w:hAnsiTheme="minorHAnsi" w:cstheme="minorHAnsi"/>
          <w:color w:val="auto"/>
          <w:sz w:val="28"/>
          <w:szCs w:val="28"/>
          <w:bdr w:val="none" w:sz="0" w:space="0" w:color="auto"/>
          <w:lang w:val="en-AU" w:eastAsia="en-US"/>
        </w:rPr>
        <w:t xml:space="preserve">To achieve this outcome we all need to promote and respect all human rights equally.  </w:t>
      </w:r>
    </w:p>
    <w:p w:rsidR="002A0F5B" w:rsidRDefault="002A0F5B" w:rsidP="002A0F5B">
      <w:pPr>
        <w:pStyle w:val="Body"/>
        <w:rPr>
          <w:rFonts w:asciiTheme="minorHAnsi" w:eastAsiaTheme="minorHAnsi" w:hAnsiTheme="minorHAnsi" w:cstheme="minorHAnsi"/>
          <w:color w:val="auto"/>
          <w:sz w:val="28"/>
          <w:szCs w:val="28"/>
          <w:bdr w:val="none" w:sz="0" w:space="0" w:color="auto"/>
          <w:lang w:val="en-AU" w:eastAsia="en-US"/>
        </w:rPr>
      </w:pPr>
    </w:p>
    <w:p w:rsidR="002A0F5B" w:rsidRPr="00D7613A" w:rsidRDefault="002A0F5B" w:rsidP="002A0F5B">
      <w:pPr>
        <w:pStyle w:val="Body"/>
        <w:rPr>
          <w:rFonts w:asciiTheme="minorHAnsi" w:eastAsiaTheme="minorHAnsi" w:hAnsiTheme="minorHAnsi" w:cstheme="minorHAnsi"/>
          <w:color w:val="auto"/>
          <w:sz w:val="28"/>
          <w:szCs w:val="28"/>
          <w:bdr w:val="none" w:sz="0" w:space="0" w:color="auto"/>
          <w:lang w:val="en-AU" w:eastAsia="en-US"/>
        </w:rPr>
      </w:pPr>
      <w:r>
        <w:rPr>
          <w:rFonts w:asciiTheme="minorHAnsi" w:eastAsiaTheme="minorHAnsi" w:hAnsiTheme="minorHAnsi" w:cstheme="minorHAnsi"/>
          <w:color w:val="auto"/>
          <w:sz w:val="28"/>
          <w:szCs w:val="28"/>
          <w:bdr w:val="none" w:sz="0" w:space="0" w:color="auto"/>
          <w:lang w:val="en-AU" w:eastAsia="en-US"/>
        </w:rPr>
        <w:t xml:space="preserve">We fully support the Office of the High Commissioner’s prevention shift outlined in the Roadmap to 2021, and affirm the important role this Council and its mandates can play in the prevention of human rights violations and abuses around the world. </w:t>
      </w:r>
    </w:p>
    <w:p w:rsidR="002A0F5B" w:rsidRPr="00D7613A" w:rsidRDefault="002A0F5B" w:rsidP="002A0F5B">
      <w:pPr>
        <w:pStyle w:val="Body"/>
        <w:rPr>
          <w:rFonts w:asciiTheme="minorHAnsi" w:eastAsiaTheme="minorHAnsi" w:hAnsiTheme="minorHAnsi" w:cstheme="minorHAnsi"/>
          <w:color w:val="auto"/>
          <w:sz w:val="28"/>
          <w:szCs w:val="28"/>
          <w:bdr w:val="none" w:sz="0" w:space="0" w:color="auto"/>
          <w:lang w:val="en-AU" w:eastAsia="en-US"/>
        </w:rPr>
      </w:pPr>
    </w:p>
    <w:p w:rsidR="002A0F5B" w:rsidRDefault="002A0F5B" w:rsidP="002A0F5B">
      <w:pPr>
        <w:pStyle w:val="Body"/>
        <w:rPr>
          <w:rFonts w:asciiTheme="minorHAnsi" w:hAnsiTheme="minorHAnsi" w:cstheme="minorHAnsi"/>
          <w:sz w:val="28"/>
          <w:szCs w:val="28"/>
        </w:rPr>
      </w:pPr>
      <w:r w:rsidRPr="00D7613A">
        <w:rPr>
          <w:rFonts w:asciiTheme="minorHAnsi" w:hAnsiTheme="minorHAnsi" w:cstheme="minorHAnsi"/>
          <w:sz w:val="28"/>
          <w:szCs w:val="28"/>
        </w:rPr>
        <w:t xml:space="preserve">The High Commissioner for Human Rights is a key element of the international human rights system.  </w:t>
      </w:r>
      <w:r>
        <w:rPr>
          <w:rFonts w:asciiTheme="minorHAnsi" w:hAnsiTheme="minorHAnsi" w:cstheme="minorHAnsi"/>
          <w:sz w:val="28"/>
          <w:szCs w:val="28"/>
        </w:rPr>
        <w:t xml:space="preserve">The High Commissioner’s independence and </w:t>
      </w:r>
      <w:r w:rsidRPr="00D7613A">
        <w:rPr>
          <w:rFonts w:asciiTheme="minorHAnsi" w:hAnsiTheme="minorHAnsi" w:cstheme="minorHAnsi"/>
          <w:sz w:val="28"/>
          <w:szCs w:val="28"/>
        </w:rPr>
        <w:t xml:space="preserve">objectivity </w:t>
      </w:r>
      <w:r>
        <w:rPr>
          <w:rFonts w:asciiTheme="minorHAnsi" w:hAnsiTheme="minorHAnsi" w:cstheme="minorHAnsi"/>
          <w:sz w:val="28"/>
          <w:szCs w:val="28"/>
        </w:rPr>
        <w:t xml:space="preserve">warrant respect for the role and its functions.  The High Commissioner’s statements require </w:t>
      </w:r>
      <w:r w:rsidRPr="00D7613A">
        <w:rPr>
          <w:rFonts w:asciiTheme="minorHAnsi" w:hAnsiTheme="minorHAnsi" w:cstheme="minorHAnsi"/>
          <w:sz w:val="28"/>
          <w:szCs w:val="28"/>
        </w:rPr>
        <w:t xml:space="preserve">our </w:t>
      </w:r>
      <w:r>
        <w:rPr>
          <w:rFonts w:asciiTheme="minorHAnsi" w:hAnsiTheme="minorHAnsi" w:cstheme="minorHAnsi"/>
          <w:sz w:val="28"/>
          <w:szCs w:val="28"/>
        </w:rPr>
        <w:t>careful consideration</w:t>
      </w:r>
      <w:r w:rsidRPr="00D7613A">
        <w:rPr>
          <w:rFonts w:asciiTheme="minorHAnsi" w:hAnsiTheme="minorHAnsi" w:cstheme="minorHAnsi"/>
          <w:sz w:val="28"/>
          <w:szCs w:val="28"/>
        </w:rPr>
        <w:t xml:space="preserve">. </w:t>
      </w:r>
    </w:p>
    <w:p w:rsidR="002A0F5B" w:rsidRDefault="002A0F5B" w:rsidP="002A0F5B">
      <w:pPr>
        <w:pStyle w:val="Body"/>
        <w:rPr>
          <w:rFonts w:asciiTheme="minorHAnsi" w:hAnsiTheme="minorHAnsi" w:cstheme="minorHAnsi"/>
          <w:sz w:val="28"/>
          <w:szCs w:val="28"/>
        </w:rPr>
      </w:pPr>
    </w:p>
    <w:p w:rsidR="002A0F5B" w:rsidRDefault="002A0F5B" w:rsidP="002A0F5B">
      <w:pPr>
        <w:pStyle w:val="Body"/>
        <w:rPr>
          <w:rFonts w:asciiTheme="minorHAnsi" w:hAnsiTheme="minorHAnsi" w:cstheme="minorHAnsi"/>
          <w:sz w:val="28"/>
          <w:szCs w:val="28"/>
        </w:rPr>
      </w:pPr>
      <w:r w:rsidRPr="006751A8">
        <w:rPr>
          <w:rFonts w:asciiTheme="minorHAnsi" w:hAnsiTheme="minorHAnsi" w:cstheme="minorHAnsi"/>
          <w:sz w:val="28"/>
          <w:szCs w:val="28"/>
        </w:rPr>
        <w:t>We should all support the protection and promotion of all human rights, politically and financially.</w:t>
      </w:r>
      <w:r>
        <w:rPr>
          <w:rFonts w:ascii="Times New Roman" w:hAnsi="Times New Roman" w:cs="Times New Roman"/>
          <w:sz w:val="24"/>
          <w:szCs w:val="24"/>
          <w:lang w:eastAsia="nb-NO"/>
        </w:rPr>
        <w:t xml:space="preserve"> </w:t>
      </w:r>
      <w:r w:rsidRPr="00D7613A">
        <w:rPr>
          <w:rFonts w:asciiTheme="minorHAnsi" w:hAnsiTheme="minorHAnsi" w:cstheme="minorHAnsi"/>
          <w:sz w:val="28"/>
          <w:szCs w:val="28"/>
        </w:rPr>
        <w:t xml:space="preserve">We support </w:t>
      </w:r>
      <w:r>
        <w:rPr>
          <w:rFonts w:asciiTheme="minorHAnsi" w:hAnsiTheme="minorHAnsi" w:cstheme="minorHAnsi"/>
          <w:sz w:val="28"/>
          <w:szCs w:val="28"/>
        </w:rPr>
        <w:t xml:space="preserve">the High Commissioner </w:t>
      </w:r>
      <w:r w:rsidRPr="00D7613A">
        <w:rPr>
          <w:rFonts w:asciiTheme="minorHAnsi" w:hAnsiTheme="minorHAnsi" w:cstheme="minorHAnsi"/>
          <w:sz w:val="28"/>
          <w:szCs w:val="28"/>
        </w:rPr>
        <w:t xml:space="preserve">– and </w:t>
      </w:r>
      <w:r>
        <w:rPr>
          <w:rFonts w:asciiTheme="minorHAnsi" w:hAnsiTheme="minorHAnsi" w:cstheme="minorHAnsi"/>
          <w:sz w:val="28"/>
          <w:szCs w:val="28"/>
        </w:rPr>
        <w:t xml:space="preserve">the </w:t>
      </w:r>
      <w:r w:rsidRPr="00D7613A">
        <w:rPr>
          <w:rFonts w:asciiTheme="minorHAnsi" w:hAnsiTheme="minorHAnsi" w:cstheme="minorHAnsi"/>
          <w:sz w:val="28"/>
          <w:szCs w:val="28"/>
        </w:rPr>
        <w:t>Office – speaking out on difficult situations around the world</w:t>
      </w:r>
      <w:r>
        <w:rPr>
          <w:rFonts w:asciiTheme="minorHAnsi" w:hAnsiTheme="minorHAnsi" w:cstheme="minorHAnsi"/>
          <w:sz w:val="28"/>
          <w:szCs w:val="28"/>
        </w:rPr>
        <w:t xml:space="preserve">.  </w:t>
      </w:r>
      <w:proofErr w:type="gramStart"/>
      <w:r>
        <w:rPr>
          <w:rFonts w:asciiTheme="minorHAnsi" w:hAnsiTheme="minorHAnsi" w:cstheme="minorHAnsi"/>
          <w:sz w:val="28"/>
          <w:szCs w:val="28"/>
        </w:rPr>
        <w:t>And</w:t>
      </w:r>
      <w:proofErr w:type="gramEnd"/>
      <w:r>
        <w:rPr>
          <w:rFonts w:asciiTheme="minorHAnsi" w:hAnsiTheme="minorHAnsi" w:cstheme="minorHAnsi"/>
          <w:sz w:val="28"/>
          <w:szCs w:val="28"/>
        </w:rPr>
        <w:t xml:space="preserve"> we </w:t>
      </w:r>
      <w:r w:rsidRPr="00D7613A">
        <w:rPr>
          <w:rFonts w:asciiTheme="minorHAnsi" w:hAnsiTheme="minorHAnsi" w:cstheme="minorHAnsi"/>
          <w:sz w:val="28"/>
          <w:szCs w:val="28"/>
        </w:rPr>
        <w:t xml:space="preserve">condemn any </w:t>
      </w:r>
      <w:r>
        <w:rPr>
          <w:rFonts w:asciiTheme="minorHAnsi" w:hAnsiTheme="minorHAnsi" w:cstheme="minorHAnsi"/>
          <w:sz w:val="28"/>
          <w:szCs w:val="28"/>
        </w:rPr>
        <w:t xml:space="preserve">attempts to intimidate or conduct </w:t>
      </w:r>
      <w:r w:rsidRPr="00D7613A">
        <w:rPr>
          <w:rFonts w:asciiTheme="minorHAnsi" w:hAnsiTheme="minorHAnsi" w:cstheme="minorHAnsi"/>
          <w:sz w:val="28"/>
          <w:szCs w:val="28"/>
        </w:rPr>
        <w:t>reprisals against the High Commissioner</w:t>
      </w:r>
      <w:r>
        <w:rPr>
          <w:rFonts w:asciiTheme="minorHAnsi" w:hAnsiTheme="minorHAnsi" w:cstheme="minorHAnsi"/>
          <w:sz w:val="28"/>
          <w:szCs w:val="28"/>
        </w:rPr>
        <w:t xml:space="preserve">, the </w:t>
      </w:r>
      <w:r w:rsidRPr="00D7613A">
        <w:rPr>
          <w:rFonts w:asciiTheme="minorHAnsi" w:hAnsiTheme="minorHAnsi" w:cstheme="minorHAnsi"/>
          <w:sz w:val="28"/>
          <w:szCs w:val="28"/>
        </w:rPr>
        <w:t>Office</w:t>
      </w:r>
      <w:r>
        <w:rPr>
          <w:rFonts w:asciiTheme="minorHAnsi" w:hAnsiTheme="minorHAnsi" w:cstheme="minorHAnsi"/>
          <w:sz w:val="28"/>
          <w:szCs w:val="28"/>
        </w:rPr>
        <w:t>, or any of the independent mandate holder of this Council, as a result of speaking out</w:t>
      </w:r>
      <w:r w:rsidRPr="00D7613A">
        <w:rPr>
          <w:rFonts w:asciiTheme="minorHAnsi" w:hAnsiTheme="minorHAnsi" w:cstheme="minorHAnsi"/>
          <w:sz w:val="28"/>
          <w:szCs w:val="28"/>
        </w:rPr>
        <w:t xml:space="preserve">. </w:t>
      </w:r>
    </w:p>
    <w:p w:rsidR="002A0F5B" w:rsidRDefault="002A0F5B" w:rsidP="002A0F5B">
      <w:pPr>
        <w:pStyle w:val="Body"/>
        <w:rPr>
          <w:rFonts w:asciiTheme="minorHAnsi" w:hAnsiTheme="minorHAnsi" w:cstheme="minorHAnsi"/>
          <w:sz w:val="28"/>
          <w:szCs w:val="28"/>
        </w:rPr>
      </w:pPr>
    </w:p>
    <w:p w:rsidR="002A0F5B" w:rsidRPr="00D7613A" w:rsidRDefault="002A0F5B" w:rsidP="002A0F5B">
      <w:pPr>
        <w:spacing w:after="0" w:line="240" w:lineRule="auto"/>
        <w:rPr>
          <w:rFonts w:cstheme="minorHAnsi"/>
          <w:sz w:val="28"/>
          <w:szCs w:val="28"/>
        </w:rPr>
      </w:pPr>
      <w:r>
        <w:rPr>
          <w:rFonts w:cstheme="minorHAnsi"/>
          <w:sz w:val="28"/>
          <w:szCs w:val="28"/>
        </w:rPr>
        <w:t>Words:  240</w:t>
      </w:r>
    </w:p>
    <w:p w:rsidR="002A0F5B" w:rsidRPr="00D7613A" w:rsidRDefault="002A0F5B" w:rsidP="002A0F5B">
      <w:pPr>
        <w:spacing w:after="0" w:line="240" w:lineRule="auto"/>
        <w:rPr>
          <w:rFonts w:cstheme="minorHAnsi"/>
          <w:sz w:val="28"/>
          <w:szCs w:val="28"/>
        </w:rPr>
      </w:pPr>
    </w:p>
    <w:p w:rsidR="003A6695" w:rsidRDefault="001361B5"/>
    <w:sectPr w:rsidR="003A669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72" w:rsidRDefault="00C27A72" w:rsidP="00C27A72">
      <w:pPr>
        <w:spacing w:after="0" w:line="240" w:lineRule="auto"/>
      </w:pPr>
      <w:r>
        <w:separator/>
      </w:r>
    </w:p>
  </w:endnote>
  <w:endnote w:type="continuationSeparator" w:id="0">
    <w:p w:rsidR="00C27A72" w:rsidRDefault="00C27A72" w:rsidP="00C2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72" w:rsidRDefault="00C27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72" w:rsidRDefault="00C27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72" w:rsidRDefault="00C2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72" w:rsidRDefault="00C27A72" w:rsidP="00C27A72">
      <w:pPr>
        <w:spacing w:after="0" w:line="240" w:lineRule="auto"/>
      </w:pPr>
      <w:r>
        <w:separator/>
      </w:r>
    </w:p>
  </w:footnote>
  <w:footnote w:type="continuationSeparator" w:id="0">
    <w:p w:rsidR="00C27A72" w:rsidRDefault="00C27A72" w:rsidP="00C2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72" w:rsidRDefault="00C27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72" w:rsidRDefault="00C27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72" w:rsidRDefault="00C27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5B"/>
    <w:rsid w:val="000A12D6"/>
    <w:rsid w:val="001361B5"/>
    <w:rsid w:val="002A0F5B"/>
    <w:rsid w:val="005C40B1"/>
    <w:rsid w:val="006E385B"/>
    <w:rsid w:val="00C27A72"/>
    <w:rsid w:val="00ED1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2A0F5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rPr>
  </w:style>
  <w:style w:type="paragraph" w:styleId="Header">
    <w:name w:val="header"/>
    <w:basedOn w:val="Normal"/>
    <w:link w:val="HeaderChar"/>
    <w:uiPriority w:val="99"/>
    <w:unhideWhenUsed/>
    <w:rsid w:val="00C27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A72"/>
  </w:style>
  <w:style w:type="paragraph" w:styleId="Footer">
    <w:name w:val="footer"/>
    <w:basedOn w:val="Normal"/>
    <w:link w:val="FooterChar"/>
    <w:uiPriority w:val="99"/>
    <w:unhideWhenUsed/>
    <w:rsid w:val="00C27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2020-02-29T22:43:00Z</dcterms:created>
  <dcterms:modified xsi:type="dcterms:W3CDTF">2020-02-29T22:43:00Z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9c20374f-f87f-4f48-baf1-f03e737921f5</vt:lpwstr>
  </property>
  <property fmtid="{D5CDD505-2E9C-101B-9397-08002B2CF9AE}" pid="3" name="SEC">
    <vt:lpwstr>UNCLASSIFIED</vt:lpwstr>
  </property>
  <property fmtid="{D5CDD505-2E9C-101B-9397-08002B2CF9AE}" pid="4" name="DLM">
    <vt:lpwstr>No DLM</vt:lpwstr>
  </property>
</Properties>
</file>