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85340" w14:textId="1A24AF55" w:rsidR="002A3622" w:rsidRPr="005B6E58" w:rsidRDefault="002A3622" w:rsidP="002A3622">
      <w:pPr>
        <w:spacing w:after="0"/>
        <w:jc w:val="center"/>
        <w:rPr>
          <w:rFonts w:ascii="Sylfaen" w:hAnsi="Sylfaen"/>
          <w:b/>
          <w:lang w:val="en-US"/>
        </w:rPr>
      </w:pPr>
      <w:bookmarkStart w:id="0" w:name="_GoBack"/>
      <w:bookmarkEnd w:id="0"/>
      <w:proofErr w:type="gramStart"/>
      <w:r w:rsidRPr="005B6E58">
        <w:rPr>
          <w:rFonts w:ascii="Sylfaen" w:hAnsi="Sylfaen"/>
          <w:b/>
          <w:lang w:val="en-US"/>
        </w:rPr>
        <w:t>41</w:t>
      </w:r>
      <w:r w:rsidR="00687092" w:rsidRPr="00687092">
        <w:rPr>
          <w:rFonts w:ascii="Sylfaen" w:hAnsi="Sylfaen"/>
          <w:b/>
          <w:vertAlign w:val="superscript"/>
          <w:lang w:val="en-US"/>
        </w:rPr>
        <w:t>st</w:t>
      </w:r>
      <w:proofErr w:type="gramEnd"/>
      <w:r w:rsidR="00687092">
        <w:rPr>
          <w:rFonts w:ascii="Sylfaen" w:hAnsi="Sylfaen"/>
          <w:b/>
          <w:lang w:val="en-US"/>
        </w:rPr>
        <w:t xml:space="preserve"> </w:t>
      </w:r>
      <w:r w:rsidRPr="005B6E58">
        <w:rPr>
          <w:rFonts w:ascii="Sylfaen" w:hAnsi="Sylfaen"/>
          <w:b/>
          <w:lang w:val="en-US"/>
        </w:rPr>
        <w:t>Session of the Human Rights Council</w:t>
      </w:r>
    </w:p>
    <w:p w14:paraId="122E843C" w14:textId="77777777" w:rsidR="009E6EB6" w:rsidRPr="005B6E58" w:rsidRDefault="009E6EB6" w:rsidP="002A3622">
      <w:pPr>
        <w:spacing w:after="0"/>
        <w:jc w:val="center"/>
        <w:rPr>
          <w:rFonts w:ascii="Sylfaen" w:hAnsi="Sylfaen"/>
          <w:b/>
          <w:lang w:val="en-US"/>
        </w:rPr>
      </w:pPr>
      <w:r w:rsidRPr="005B6E58">
        <w:rPr>
          <w:rFonts w:ascii="Sylfaen" w:hAnsi="Sylfaen"/>
          <w:b/>
          <w:lang w:val="en-US"/>
        </w:rPr>
        <w:t xml:space="preserve">Joint Statement on </w:t>
      </w:r>
      <w:r w:rsidR="00E3213E" w:rsidRPr="005B6E58">
        <w:rPr>
          <w:rFonts w:ascii="Sylfaen" w:hAnsi="Sylfaen"/>
          <w:b/>
          <w:lang w:val="en-US"/>
        </w:rPr>
        <w:t>Accountability for the Rights of Women and Girls in Humanitarian Settings</w:t>
      </w:r>
    </w:p>
    <w:p w14:paraId="1D93BE4D" w14:textId="77777777" w:rsidR="002A3622" w:rsidRPr="005B6E58" w:rsidRDefault="002A3622" w:rsidP="002A3622">
      <w:pPr>
        <w:spacing w:after="0"/>
        <w:jc w:val="center"/>
        <w:rPr>
          <w:rFonts w:ascii="Sylfaen" w:hAnsi="Sylfaen"/>
          <w:b/>
          <w:lang w:val="en-US"/>
        </w:rPr>
      </w:pPr>
      <w:r w:rsidRPr="005B6E58">
        <w:rPr>
          <w:rFonts w:ascii="Sylfaen" w:hAnsi="Sylfaen"/>
          <w:b/>
          <w:lang w:val="en-US"/>
        </w:rPr>
        <w:t>Item 8 General Debate</w:t>
      </w:r>
    </w:p>
    <w:p w14:paraId="47F854E8" w14:textId="77777777" w:rsidR="002A3622" w:rsidRPr="005B6E58" w:rsidRDefault="002A3622" w:rsidP="002A3622">
      <w:pPr>
        <w:jc w:val="right"/>
        <w:rPr>
          <w:rFonts w:ascii="Sylfaen" w:hAnsi="Sylfaen"/>
          <w:b/>
          <w:lang w:val="en-US"/>
        </w:rPr>
      </w:pPr>
      <w:proofErr w:type="gramStart"/>
      <w:r w:rsidRPr="005B6E58">
        <w:rPr>
          <w:rFonts w:ascii="Sylfaen" w:hAnsi="Sylfaen"/>
          <w:b/>
          <w:lang w:val="en-US"/>
        </w:rPr>
        <w:t>8</w:t>
      </w:r>
      <w:r w:rsidRPr="005B6E58">
        <w:rPr>
          <w:rFonts w:ascii="Sylfaen" w:hAnsi="Sylfaen"/>
          <w:b/>
          <w:vertAlign w:val="superscript"/>
          <w:lang w:val="en-US"/>
        </w:rPr>
        <w:t>th</w:t>
      </w:r>
      <w:proofErr w:type="gramEnd"/>
      <w:r w:rsidRPr="005B6E58">
        <w:rPr>
          <w:rFonts w:ascii="Sylfaen" w:hAnsi="Sylfaen"/>
          <w:b/>
          <w:lang w:val="en-US"/>
        </w:rPr>
        <w:t xml:space="preserve"> of July, 2019</w:t>
      </w:r>
    </w:p>
    <w:p w14:paraId="1CDE2652" w14:textId="77777777" w:rsidR="00D8614E" w:rsidRPr="005B6E58" w:rsidRDefault="00597FE1" w:rsidP="005B1A33">
      <w:pPr>
        <w:jc w:val="both"/>
        <w:rPr>
          <w:rFonts w:ascii="Sylfaen" w:hAnsi="Sylfaen"/>
          <w:lang w:val="en-US"/>
        </w:rPr>
      </w:pPr>
      <w:r w:rsidRPr="005B6E58">
        <w:rPr>
          <w:rFonts w:ascii="Sylfaen" w:hAnsi="Sylfaen"/>
          <w:lang w:val="en-US"/>
        </w:rPr>
        <w:t xml:space="preserve">Thank you Mr. President, </w:t>
      </w:r>
    </w:p>
    <w:p w14:paraId="1170C9B2" w14:textId="6B879739" w:rsidR="002A3622" w:rsidRPr="005B6E58" w:rsidRDefault="002A3622" w:rsidP="005B1A33">
      <w:pPr>
        <w:jc w:val="both"/>
        <w:rPr>
          <w:rFonts w:ascii="Sylfaen" w:hAnsi="Sylfaen"/>
          <w:lang w:val="en-US"/>
        </w:rPr>
      </w:pPr>
      <w:r w:rsidRPr="005B6E58">
        <w:rPr>
          <w:rFonts w:ascii="Sylfaen" w:hAnsi="Sylfaen"/>
          <w:lang w:val="en-US"/>
        </w:rPr>
        <w:t xml:space="preserve">I have the </w:t>
      </w:r>
      <w:proofErr w:type="spellStart"/>
      <w:r w:rsidRPr="005B6E58">
        <w:rPr>
          <w:rFonts w:ascii="Sylfaen" w:hAnsi="Sylfaen"/>
          <w:lang w:val="en-US"/>
        </w:rPr>
        <w:t>honour</w:t>
      </w:r>
      <w:proofErr w:type="spellEnd"/>
      <w:r w:rsidRPr="005B6E58">
        <w:rPr>
          <w:rFonts w:ascii="Sylfaen" w:hAnsi="Sylfaen"/>
          <w:lang w:val="en-US"/>
        </w:rPr>
        <w:t xml:space="preserve"> to deliver this joint statement on behalf of </w:t>
      </w:r>
      <w:r w:rsidR="00687092">
        <w:rPr>
          <w:rFonts w:ascii="Sylfaen" w:hAnsi="Sylfaen"/>
          <w:lang w:val="en-US"/>
        </w:rPr>
        <w:t>46</w:t>
      </w:r>
      <w:r w:rsidRPr="005B6E58">
        <w:rPr>
          <w:rFonts w:ascii="Sylfaen" w:hAnsi="Sylfaen"/>
          <w:lang w:val="en-US"/>
        </w:rPr>
        <w:t xml:space="preserve"> countries.</w:t>
      </w:r>
    </w:p>
    <w:p w14:paraId="2EF66418" w14:textId="7F0C427C" w:rsidR="00D8614E" w:rsidRPr="005B6E58" w:rsidRDefault="00D8614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t xml:space="preserve">Ensuring accountability for human rights violations </w:t>
      </w:r>
      <w:r w:rsidR="00232E03" w:rsidRPr="005B6E58">
        <w:rPr>
          <w:rFonts w:ascii="Sylfaen" w:hAnsi="Sylfaen" w:cs="TradeGothic-Light"/>
          <w:lang w:val="en-US"/>
        </w:rPr>
        <w:t xml:space="preserve">and abuses </w:t>
      </w:r>
      <w:r w:rsidRPr="005B6E58">
        <w:rPr>
          <w:rFonts w:ascii="Sylfaen" w:hAnsi="Sylfaen" w:cs="TradeGothic-Light"/>
          <w:lang w:val="en-US"/>
        </w:rPr>
        <w:t>perpetrated against women and girls is central to fulfilling human rights obligations.</w:t>
      </w:r>
      <w:r w:rsidR="002A3622" w:rsidRPr="005B6E58">
        <w:rPr>
          <w:rFonts w:ascii="Sylfaen" w:hAnsi="Sylfaen" w:cs="TradeGothic-Light"/>
          <w:lang w:val="en-US"/>
        </w:rPr>
        <w:t xml:space="preserve"> </w:t>
      </w:r>
    </w:p>
    <w:p w14:paraId="3D6AA990" w14:textId="77777777" w:rsidR="00D8614E" w:rsidRPr="005B6E58" w:rsidRDefault="00D8614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3FF7BFAC" w14:textId="77777777" w:rsidR="00D8614E" w:rsidRPr="005B6E58" w:rsidRDefault="00D8614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t>Human rights accountability</w:t>
      </w:r>
      <w:r w:rsidR="0055771B" w:rsidRPr="005B6E58">
        <w:rPr>
          <w:rFonts w:ascii="Sylfaen" w:hAnsi="Sylfaen" w:cs="TradeGothic-Light"/>
          <w:lang w:val="en-US"/>
        </w:rPr>
        <w:t xml:space="preserve"> in this context</w:t>
      </w:r>
      <w:r w:rsidRPr="005B6E58">
        <w:rPr>
          <w:rFonts w:ascii="Sylfaen" w:hAnsi="Sylfaen" w:cs="TradeGothic-Light"/>
          <w:lang w:val="en-US"/>
        </w:rPr>
        <w:t xml:space="preserve"> goes beyond </w:t>
      </w:r>
      <w:r w:rsidR="00B433FA" w:rsidRPr="005B6E58">
        <w:rPr>
          <w:rFonts w:ascii="Sylfaen" w:hAnsi="Sylfaen" w:cs="TradeGothic-Light"/>
          <w:lang w:val="en-US"/>
        </w:rPr>
        <w:t>criminal</w:t>
      </w:r>
      <w:r w:rsidR="003C6549" w:rsidRPr="005B6E58">
        <w:rPr>
          <w:rFonts w:ascii="Sylfaen" w:hAnsi="Sylfaen" w:cs="TradeGothic-Light"/>
          <w:lang w:val="en-US"/>
        </w:rPr>
        <w:t xml:space="preserve"> justice</w:t>
      </w:r>
      <w:r w:rsidR="00BA3382" w:rsidRPr="005B6E58">
        <w:rPr>
          <w:rFonts w:ascii="Sylfaen" w:hAnsi="Sylfaen" w:cs="TradeGothic-Light"/>
          <w:lang w:val="en-US"/>
        </w:rPr>
        <w:t xml:space="preserve"> and includes principles of participation, transparency, empowerment, sustainability, international assistance and non-discrimination</w:t>
      </w:r>
      <w:r w:rsidR="00232E03" w:rsidRPr="005B6E58">
        <w:rPr>
          <w:rFonts w:ascii="Sylfaen" w:hAnsi="Sylfaen" w:cs="TradeGothic-Light"/>
          <w:lang w:val="en-US"/>
        </w:rPr>
        <w:t>.</w:t>
      </w:r>
      <w:r w:rsidR="003C6549" w:rsidRPr="005B6E58">
        <w:rPr>
          <w:rFonts w:ascii="Sylfaen" w:hAnsi="Sylfaen" w:cs="TradeGothic-Light"/>
          <w:lang w:val="en-US"/>
        </w:rPr>
        <w:t xml:space="preserve"> It enables a survivor-focused approach and </w:t>
      </w:r>
      <w:r w:rsidR="00037D40" w:rsidRPr="005B6E58">
        <w:rPr>
          <w:rFonts w:ascii="Sylfaen" w:hAnsi="Sylfaen" w:cs="TradeGothic-Light"/>
          <w:lang w:val="en-US"/>
        </w:rPr>
        <w:t>puts</w:t>
      </w:r>
      <w:r w:rsidR="003C6549" w:rsidRPr="005B6E58">
        <w:rPr>
          <w:rFonts w:ascii="Sylfaen" w:hAnsi="Sylfaen" w:cs="TradeGothic-Light"/>
          <w:lang w:val="en-US"/>
        </w:rPr>
        <w:t xml:space="preserve"> women and girls themselves</w:t>
      </w:r>
      <w:r w:rsidR="00037D40" w:rsidRPr="005B6E58">
        <w:rPr>
          <w:rFonts w:ascii="Sylfaen" w:hAnsi="Sylfaen" w:cs="TradeGothic-Light"/>
          <w:lang w:val="en-US"/>
        </w:rPr>
        <w:t xml:space="preserve"> at the center of all interventions</w:t>
      </w:r>
      <w:r w:rsidR="003C6549" w:rsidRPr="005B6E58">
        <w:rPr>
          <w:rFonts w:ascii="Sylfaen" w:hAnsi="Sylfaen" w:cs="TradeGothic-Light"/>
          <w:lang w:val="en-US"/>
        </w:rPr>
        <w:t xml:space="preserve">, emphasizing their agency. </w:t>
      </w:r>
    </w:p>
    <w:p w14:paraId="1E80F278" w14:textId="77777777" w:rsidR="005B1A33" w:rsidRPr="005B6E58" w:rsidRDefault="005B1A33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53E295EC" w14:textId="2F71C89E" w:rsidR="0055771B" w:rsidRPr="005B6E58" w:rsidRDefault="00A837E3" w:rsidP="0055771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t>Conflict</w:t>
      </w:r>
      <w:r w:rsidR="00E67565" w:rsidRPr="005B6E58">
        <w:rPr>
          <w:rFonts w:ascii="Sylfaen" w:hAnsi="Sylfaen" w:cs="TradeGothic-Light"/>
          <w:lang w:val="en-US"/>
        </w:rPr>
        <w:t xml:space="preserve"> </w:t>
      </w:r>
      <w:r w:rsidR="00B378EE" w:rsidRPr="005B6E58">
        <w:rPr>
          <w:rFonts w:ascii="Sylfaen" w:hAnsi="Sylfaen" w:cs="TradeGothic-Light"/>
          <w:lang w:val="en-US"/>
        </w:rPr>
        <w:t>situations</w:t>
      </w:r>
      <w:r w:rsidRPr="005B6E58">
        <w:rPr>
          <w:rFonts w:ascii="Sylfaen" w:hAnsi="Sylfaen" w:cs="TradeGothic-Light"/>
          <w:lang w:val="en-US"/>
        </w:rPr>
        <w:t xml:space="preserve"> </w:t>
      </w:r>
      <w:r w:rsidR="003E4F4F" w:rsidRPr="005B6E58">
        <w:rPr>
          <w:rFonts w:ascii="Sylfaen" w:hAnsi="Sylfaen" w:cs="TradeGothic-Light"/>
          <w:lang w:val="en-US"/>
        </w:rPr>
        <w:t xml:space="preserve">and </w:t>
      </w:r>
      <w:r w:rsidRPr="005B6E58">
        <w:rPr>
          <w:rFonts w:ascii="Sylfaen" w:hAnsi="Sylfaen" w:cs="TradeGothic-Light"/>
          <w:lang w:val="en-US"/>
        </w:rPr>
        <w:t>humanitarian emergencies have dire consequences on women and girls’ enjoyment of human rights</w:t>
      </w:r>
      <w:r w:rsidR="00EF1F73" w:rsidRPr="005B6E58">
        <w:rPr>
          <w:rFonts w:ascii="Sylfaen" w:hAnsi="Sylfaen" w:cs="TradeGothic-Light"/>
          <w:lang w:val="en-US"/>
        </w:rPr>
        <w:t>,</w:t>
      </w:r>
      <w:r w:rsidRPr="005B6E58">
        <w:rPr>
          <w:rFonts w:ascii="Sylfaen" w:hAnsi="Sylfaen" w:cs="TradeGothic-Light"/>
          <w:lang w:val="en-US"/>
        </w:rPr>
        <w:t xml:space="preserve"> exacerbat</w:t>
      </w:r>
      <w:r w:rsidR="00EF1F73" w:rsidRPr="005B6E58">
        <w:rPr>
          <w:rFonts w:ascii="Sylfaen" w:hAnsi="Sylfaen" w:cs="TradeGothic-Light"/>
          <w:lang w:val="en-US"/>
        </w:rPr>
        <w:t>ing</w:t>
      </w:r>
      <w:r w:rsidRPr="005B6E58">
        <w:rPr>
          <w:rFonts w:ascii="Sylfaen" w:hAnsi="Sylfaen" w:cs="TradeGothic-Light"/>
          <w:lang w:val="en-US"/>
        </w:rPr>
        <w:t xml:space="preserve"> pre-existing</w:t>
      </w:r>
      <w:r w:rsidR="00D31E4B" w:rsidRPr="005B6E58">
        <w:rPr>
          <w:rFonts w:ascii="Sylfaen" w:hAnsi="Sylfaen" w:cs="TradeGothic-Light"/>
          <w:lang w:val="en-US"/>
        </w:rPr>
        <w:t xml:space="preserve"> structural</w:t>
      </w:r>
      <w:r w:rsidRPr="005B6E58">
        <w:rPr>
          <w:rFonts w:ascii="Sylfaen" w:hAnsi="Sylfaen" w:cs="TradeGothic-Light"/>
          <w:lang w:val="en-US"/>
        </w:rPr>
        <w:t xml:space="preserve"> patterns of discrimination and inequalities</w:t>
      </w:r>
      <w:r w:rsidR="00B0790A" w:rsidRPr="005B6E58">
        <w:rPr>
          <w:rFonts w:ascii="Sylfaen" w:hAnsi="Sylfaen" w:cs="TradeGothic-Light"/>
          <w:lang w:val="en-US"/>
        </w:rPr>
        <w:t xml:space="preserve">, </w:t>
      </w:r>
      <w:r w:rsidR="00713555" w:rsidRPr="005B6E58">
        <w:rPr>
          <w:rFonts w:ascii="Sylfaen" w:hAnsi="Sylfaen" w:cs="TradeGothic-Light"/>
          <w:lang w:val="en-US"/>
        </w:rPr>
        <w:t>and ma</w:t>
      </w:r>
      <w:r w:rsidR="00EF1F73" w:rsidRPr="005B6E58">
        <w:rPr>
          <w:rFonts w:ascii="Sylfaen" w:hAnsi="Sylfaen" w:cs="TradeGothic-Light"/>
          <w:lang w:val="en-US"/>
        </w:rPr>
        <w:t>king</w:t>
      </w:r>
      <w:r w:rsidR="00713555" w:rsidRPr="005B6E58">
        <w:rPr>
          <w:rFonts w:ascii="Sylfaen" w:hAnsi="Sylfaen" w:cs="TradeGothic-Light"/>
          <w:lang w:val="en-US"/>
        </w:rPr>
        <w:t xml:space="preserve"> them particularly vulnerable to human rights violations </w:t>
      </w:r>
      <w:r w:rsidR="00947FBB" w:rsidRPr="005B6E58">
        <w:rPr>
          <w:rFonts w:ascii="Sylfaen" w:hAnsi="Sylfaen" w:cs="TradeGothic-Light"/>
          <w:lang w:val="en-US"/>
        </w:rPr>
        <w:t xml:space="preserve">and abuses </w:t>
      </w:r>
      <w:r w:rsidR="00713555" w:rsidRPr="005B6E58">
        <w:rPr>
          <w:rFonts w:ascii="Sylfaen" w:hAnsi="Sylfaen" w:cs="TradeGothic-Light"/>
          <w:lang w:val="en-US"/>
        </w:rPr>
        <w:t>such as, sexual and gender-based violence, human trafficking, c</w:t>
      </w:r>
      <w:r w:rsidR="002143DF" w:rsidRPr="005B6E58">
        <w:rPr>
          <w:rFonts w:ascii="Sylfaen" w:hAnsi="Sylfaen" w:cs="TradeGothic-Light"/>
          <w:lang w:val="en-US"/>
        </w:rPr>
        <w:t>hild, early and forced marriage</w:t>
      </w:r>
      <w:r w:rsidR="004204F8" w:rsidRPr="005B6E58">
        <w:rPr>
          <w:rFonts w:ascii="Sylfaen" w:hAnsi="Sylfaen" w:cs="TradeGothic-Light"/>
          <w:lang w:val="en-US"/>
        </w:rPr>
        <w:t>,</w:t>
      </w:r>
      <w:r w:rsidR="00F050C7">
        <w:rPr>
          <w:rFonts w:ascii="Sylfaen" w:hAnsi="Sylfaen" w:cs="TradeGothic-Light"/>
          <w:lang w:val="en-US"/>
        </w:rPr>
        <w:t xml:space="preserve"> </w:t>
      </w:r>
      <w:r w:rsidR="00713555" w:rsidRPr="005B6E58">
        <w:rPr>
          <w:rFonts w:ascii="Sylfaen" w:hAnsi="Sylfaen" w:cs="TradeGothic-Light"/>
          <w:lang w:val="en-US"/>
        </w:rPr>
        <w:t>forced pregnancy</w:t>
      </w:r>
      <w:r w:rsidR="004204F8" w:rsidRPr="005B6E58">
        <w:rPr>
          <w:rFonts w:ascii="Sylfaen" w:hAnsi="Sylfaen" w:cs="TradeGothic-Light"/>
          <w:lang w:val="en-US"/>
        </w:rPr>
        <w:t xml:space="preserve"> and </w:t>
      </w:r>
      <w:r w:rsidR="003C2987" w:rsidRPr="005B6E58">
        <w:rPr>
          <w:rFonts w:ascii="Sylfaen" w:hAnsi="Sylfaen" w:cs="TradeGothic-Light"/>
          <w:lang w:val="en-US"/>
        </w:rPr>
        <w:t xml:space="preserve">to </w:t>
      </w:r>
      <w:r w:rsidR="004204F8" w:rsidRPr="005B6E58">
        <w:rPr>
          <w:rFonts w:ascii="Sylfaen" w:hAnsi="Sylfaen" w:cs="TradeGothic-Light"/>
          <w:lang w:val="en-US"/>
        </w:rPr>
        <w:t>higher rates of maternal mortality and morbidity</w:t>
      </w:r>
      <w:r w:rsidR="002143DF" w:rsidRPr="005B6E58">
        <w:rPr>
          <w:rFonts w:ascii="Sylfaen" w:hAnsi="Sylfaen" w:cs="TradeGothic-Light"/>
          <w:lang w:val="en-US"/>
        </w:rPr>
        <w:t>.</w:t>
      </w:r>
      <w:r w:rsidR="00FB1296" w:rsidRPr="005B6E58">
        <w:rPr>
          <w:rFonts w:ascii="Sylfaen" w:hAnsi="Sylfaen" w:cs="TradeGothic-Light"/>
          <w:lang w:val="en-US"/>
        </w:rPr>
        <w:t xml:space="preserve"> </w:t>
      </w:r>
      <w:r w:rsidR="0055771B" w:rsidRPr="005B6E58">
        <w:rPr>
          <w:rFonts w:ascii="Sylfaen" w:hAnsi="Sylfaen" w:cs="TradeGothic-Light"/>
          <w:lang w:val="en-US"/>
        </w:rPr>
        <w:t xml:space="preserve">Women and girls with disabilities, </w:t>
      </w:r>
      <w:r w:rsidR="0055771B" w:rsidRPr="005B6E58">
        <w:rPr>
          <w:rFonts w:ascii="Sylfaen" w:hAnsi="Sylfaen"/>
          <w:lang w:val="en-US"/>
        </w:rPr>
        <w:t>indigenous women and girls, and women and girls from ethnic and religious minorities</w:t>
      </w:r>
      <w:r w:rsidR="0055771B" w:rsidRPr="005B6E58">
        <w:rPr>
          <w:rFonts w:ascii="Sylfaen" w:hAnsi="Sylfaen" w:cs="TradeGothic-Light"/>
          <w:lang w:val="en-US"/>
        </w:rPr>
        <w:t xml:space="preserve"> </w:t>
      </w:r>
      <w:proofErr w:type="gramStart"/>
      <w:r w:rsidR="0055771B" w:rsidRPr="005B6E58">
        <w:rPr>
          <w:rFonts w:ascii="Sylfaen" w:hAnsi="Sylfaen" w:cs="TradeGothic-Light"/>
          <w:lang w:val="en-US"/>
        </w:rPr>
        <w:t>are particularly exposed</w:t>
      </w:r>
      <w:proofErr w:type="gramEnd"/>
      <w:r w:rsidR="0055771B" w:rsidRPr="005B6E58">
        <w:rPr>
          <w:rFonts w:ascii="Sylfaen" w:hAnsi="Sylfaen" w:cs="TradeGothic-Light"/>
          <w:lang w:val="en-US"/>
        </w:rPr>
        <w:t xml:space="preserve"> to targeted violence, exploitation and abuse, including sexual and gender-based violence.  </w:t>
      </w:r>
    </w:p>
    <w:p w14:paraId="369E5EA5" w14:textId="77777777" w:rsidR="00A837E3" w:rsidRPr="005B6E58" w:rsidRDefault="00A837E3" w:rsidP="00CC2AE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74A1A699" w14:textId="77777777" w:rsidR="005B1A33" w:rsidRPr="005B6E58" w:rsidRDefault="005B1A33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t xml:space="preserve">Disintegrating judicial systems, multiple and intersecting forms of discrimination, and the stigma associated with sexual and gender-based violence </w:t>
      </w:r>
      <w:r w:rsidR="00A90D04" w:rsidRPr="005B6E58">
        <w:rPr>
          <w:rFonts w:ascii="Sylfaen" w:hAnsi="Sylfaen" w:cs="TradeGothic-Light"/>
          <w:lang w:val="en-US"/>
        </w:rPr>
        <w:t>as well as</w:t>
      </w:r>
      <w:r w:rsidR="00D31E4B" w:rsidRPr="005B6E58">
        <w:rPr>
          <w:rFonts w:ascii="Sylfaen" w:hAnsi="Sylfaen" w:cs="TradeGothic-Light"/>
          <w:lang w:val="en-US"/>
        </w:rPr>
        <w:t xml:space="preserve"> </w:t>
      </w:r>
      <w:r w:rsidRPr="005B6E58">
        <w:rPr>
          <w:rFonts w:ascii="Sylfaen" w:hAnsi="Sylfaen" w:cs="TradeGothic-Light"/>
          <w:lang w:val="en-US"/>
        </w:rPr>
        <w:t xml:space="preserve">with seeking access to </w:t>
      </w:r>
      <w:r w:rsidR="00C7746E" w:rsidRPr="005B6E58">
        <w:rPr>
          <w:rFonts w:ascii="Sylfaen" w:hAnsi="Sylfaen" w:cs="TradeGothic-Light"/>
          <w:lang w:val="en-US"/>
        </w:rPr>
        <w:t xml:space="preserve">quality and comprehensive </w:t>
      </w:r>
      <w:r w:rsidRPr="005B6E58">
        <w:rPr>
          <w:rFonts w:ascii="Sylfaen" w:hAnsi="Sylfaen" w:cs="TradeGothic-Light"/>
          <w:lang w:val="en-US"/>
        </w:rPr>
        <w:t xml:space="preserve">sexual and reproductive health </w:t>
      </w:r>
      <w:r w:rsidR="00C7746E" w:rsidRPr="005B6E58">
        <w:rPr>
          <w:rFonts w:ascii="Sylfaen" w:hAnsi="Sylfaen" w:cs="TradeGothic-Light"/>
          <w:lang w:val="en-US"/>
        </w:rPr>
        <w:t>information</w:t>
      </w:r>
      <w:r w:rsidRPr="005B6E58">
        <w:rPr>
          <w:rFonts w:ascii="Sylfaen" w:hAnsi="Sylfaen" w:cs="TradeGothic-Light"/>
          <w:lang w:val="en-US"/>
        </w:rPr>
        <w:t xml:space="preserve"> and services, all prevent women and girls from reporting</w:t>
      </w:r>
      <w:r w:rsidR="000C6F92" w:rsidRPr="005B6E58">
        <w:rPr>
          <w:rFonts w:ascii="Sylfaen" w:hAnsi="Sylfaen" w:cs="TradeGothic-Light"/>
          <w:lang w:val="en-US"/>
        </w:rPr>
        <w:t xml:space="preserve">, </w:t>
      </w:r>
      <w:r w:rsidRPr="005B6E58">
        <w:rPr>
          <w:rFonts w:ascii="Sylfaen" w:hAnsi="Sylfaen" w:cs="TradeGothic-Light"/>
          <w:lang w:val="en-US"/>
        </w:rPr>
        <w:t xml:space="preserve">seeking accountability and participating in decisions affecting their lives. </w:t>
      </w:r>
    </w:p>
    <w:p w14:paraId="7881206F" w14:textId="77777777" w:rsidR="005B1A33" w:rsidRPr="005B6E58" w:rsidRDefault="005B1A33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0CC62F0C" w14:textId="77777777" w:rsidR="00232E03" w:rsidRPr="005B6E58" w:rsidRDefault="00D8614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t xml:space="preserve">International human rights and political bodies have recognized that accountability requires </w:t>
      </w:r>
      <w:r w:rsidR="00C02940" w:rsidRPr="005B6E58">
        <w:rPr>
          <w:rFonts w:ascii="Sylfaen" w:hAnsi="Sylfaen" w:cs="TradeGothic-Light"/>
          <w:lang w:val="en-US"/>
        </w:rPr>
        <w:t>independent monitoring,</w:t>
      </w:r>
      <w:r w:rsidR="00B378EE" w:rsidRPr="005B6E58">
        <w:rPr>
          <w:rFonts w:ascii="Sylfaen" w:hAnsi="Sylfaen" w:cs="TradeGothic-Light"/>
          <w:lang w:val="en-US"/>
        </w:rPr>
        <w:t xml:space="preserve"> </w:t>
      </w:r>
      <w:r w:rsidR="00BA3382" w:rsidRPr="005B6E58">
        <w:rPr>
          <w:rFonts w:ascii="Sylfaen" w:hAnsi="Sylfaen" w:cs="TradeGothic-Light"/>
          <w:lang w:val="en-US"/>
        </w:rPr>
        <w:t>prompt</w:t>
      </w:r>
      <w:r w:rsidR="003E4F4F" w:rsidRPr="005B6E58">
        <w:rPr>
          <w:rFonts w:ascii="Sylfaen" w:hAnsi="Sylfaen" w:cs="TradeGothic-Light"/>
          <w:lang w:val="en-US"/>
        </w:rPr>
        <w:t xml:space="preserve"> investigation</w:t>
      </w:r>
      <w:r w:rsidR="00D31E4B" w:rsidRPr="005B6E58">
        <w:rPr>
          <w:rFonts w:ascii="Sylfaen" w:hAnsi="Sylfaen" w:cs="TradeGothic-Light"/>
          <w:lang w:val="en-US"/>
        </w:rPr>
        <w:t xml:space="preserve"> </w:t>
      </w:r>
      <w:r w:rsidRPr="005B6E58">
        <w:rPr>
          <w:rFonts w:ascii="Sylfaen" w:hAnsi="Sylfaen" w:cs="TradeGothic-Light"/>
          <w:lang w:val="en-US"/>
        </w:rPr>
        <w:t>and punishment of perpetrators as well as legal and policy shifts in order to prevent</w:t>
      </w:r>
      <w:r w:rsidR="001E5063" w:rsidRPr="005B6E58">
        <w:rPr>
          <w:rFonts w:ascii="Sylfaen" w:hAnsi="Sylfaen" w:cs="TradeGothic-Light"/>
          <w:lang w:val="en-US"/>
        </w:rPr>
        <w:t xml:space="preserve"> </w:t>
      </w:r>
      <w:r w:rsidRPr="005B6E58">
        <w:rPr>
          <w:rFonts w:ascii="Sylfaen" w:hAnsi="Sylfaen" w:cs="TradeGothic-Light"/>
          <w:lang w:val="en-US"/>
        </w:rPr>
        <w:t>future violations.</w:t>
      </w:r>
      <w:r w:rsidR="00AF2FD3" w:rsidRPr="005B6E58">
        <w:rPr>
          <w:rStyle w:val="FootnoteReference"/>
          <w:rFonts w:ascii="Sylfaen" w:hAnsi="Sylfaen" w:cs="TradeGothic-Light"/>
          <w:lang w:val="en-US"/>
        </w:rPr>
        <w:footnoteReference w:id="1"/>
      </w:r>
    </w:p>
    <w:p w14:paraId="2A07A86B" w14:textId="77777777" w:rsidR="00232E03" w:rsidRPr="005B6E58" w:rsidRDefault="00232E03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02D4C82C" w14:textId="2223320F" w:rsidR="00D8614E" w:rsidRPr="005B6E58" w:rsidRDefault="0056472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t xml:space="preserve">This should </w:t>
      </w:r>
      <w:r w:rsidR="00D8614E" w:rsidRPr="005B6E58">
        <w:rPr>
          <w:rFonts w:ascii="Sylfaen" w:hAnsi="Sylfaen" w:cs="TradeGothic-Light"/>
          <w:lang w:val="en-US"/>
        </w:rPr>
        <w:t>include the removal of legal</w:t>
      </w:r>
      <w:r w:rsidR="00C02940" w:rsidRPr="005B6E58">
        <w:rPr>
          <w:rFonts w:ascii="Sylfaen" w:hAnsi="Sylfaen" w:cs="TradeGothic-Light"/>
          <w:lang w:val="en-US"/>
        </w:rPr>
        <w:t>, structural and systemic</w:t>
      </w:r>
      <w:r w:rsidR="00D8614E" w:rsidRPr="005B6E58">
        <w:rPr>
          <w:rFonts w:ascii="Sylfaen" w:hAnsi="Sylfaen" w:cs="TradeGothic-Light"/>
          <w:lang w:val="en-US"/>
        </w:rPr>
        <w:t xml:space="preserve"> barriers</w:t>
      </w:r>
      <w:r w:rsidR="00516337" w:rsidRPr="005B6E58">
        <w:rPr>
          <w:rFonts w:ascii="Sylfaen" w:hAnsi="Sylfaen" w:cs="TradeGothic-Light"/>
          <w:lang w:val="en-US"/>
        </w:rPr>
        <w:t xml:space="preserve"> and other discriminatory measures and policies</w:t>
      </w:r>
      <w:r w:rsidR="00232E03" w:rsidRPr="005B6E58">
        <w:rPr>
          <w:rFonts w:ascii="Sylfaen" w:hAnsi="Sylfaen" w:cs="TradeGothic-Light"/>
          <w:lang w:val="en-US"/>
        </w:rPr>
        <w:t xml:space="preserve">, </w:t>
      </w:r>
      <w:r w:rsidR="00232E03" w:rsidRPr="005B6E58">
        <w:rPr>
          <w:rFonts w:ascii="Sylfaen" w:hAnsi="Sylfaen"/>
          <w:lang w:val="en-US"/>
        </w:rPr>
        <w:t>identifying and addressing the</w:t>
      </w:r>
      <w:r w:rsidR="007B230E" w:rsidRPr="005B6E58">
        <w:rPr>
          <w:rFonts w:ascii="Sylfaen" w:hAnsi="Sylfaen"/>
          <w:lang w:val="en-US"/>
        </w:rPr>
        <w:t>ir</w:t>
      </w:r>
      <w:r w:rsidR="00232E03" w:rsidRPr="005B6E58">
        <w:rPr>
          <w:rFonts w:ascii="Sylfaen" w:hAnsi="Sylfaen"/>
          <w:lang w:val="en-US"/>
        </w:rPr>
        <w:t xml:space="preserve"> disproportionate impact on women</w:t>
      </w:r>
      <w:r w:rsidR="00BA484D" w:rsidRPr="005B6E58">
        <w:rPr>
          <w:rFonts w:ascii="Sylfaen" w:hAnsi="Sylfaen"/>
          <w:lang w:val="en-US"/>
        </w:rPr>
        <w:t xml:space="preserve"> and girls</w:t>
      </w:r>
      <w:r w:rsidR="00232E03" w:rsidRPr="005B6E58">
        <w:rPr>
          <w:rFonts w:ascii="Sylfaen" w:hAnsi="Sylfaen"/>
          <w:lang w:val="en-US"/>
        </w:rPr>
        <w:t xml:space="preserve"> and </w:t>
      </w:r>
      <w:r w:rsidR="00A90D04" w:rsidRPr="005B6E58">
        <w:rPr>
          <w:rFonts w:ascii="Sylfaen" w:hAnsi="Sylfaen"/>
          <w:lang w:val="en-US"/>
        </w:rPr>
        <w:t xml:space="preserve">the </w:t>
      </w:r>
      <w:r w:rsidR="00232E03" w:rsidRPr="005B6E58">
        <w:rPr>
          <w:rFonts w:ascii="Sylfaen" w:hAnsi="Sylfaen"/>
          <w:lang w:val="en-US"/>
        </w:rPr>
        <w:t xml:space="preserve">differential impact of national state practices and immigration policies on </w:t>
      </w:r>
      <w:r w:rsidR="00047C77" w:rsidRPr="005B6E58">
        <w:rPr>
          <w:rFonts w:ascii="Sylfaen" w:hAnsi="Sylfaen"/>
          <w:lang w:val="en-US"/>
        </w:rPr>
        <w:t>them</w:t>
      </w:r>
      <w:r w:rsidR="00232E03" w:rsidRPr="005B6E58">
        <w:rPr>
          <w:rFonts w:ascii="Sylfaen" w:hAnsi="Sylfaen"/>
          <w:lang w:val="en-US"/>
        </w:rPr>
        <w:t>, particularly</w:t>
      </w:r>
      <w:r w:rsidR="00D31E4B" w:rsidRPr="005B6E58">
        <w:rPr>
          <w:rFonts w:ascii="Sylfaen" w:hAnsi="Sylfaen"/>
          <w:lang w:val="en-US"/>
        </w:rPr>
        <w:t xml:space="preserve"> </w:t>
      </w:r>
      <w:r w:rsidR="00863642" w:rsidRPr="005B6E58">
        <w:rPr>
          <w:rFonts w:ascii="Sylfaen" w:hAnsi="Sylfaen"/>
          <w:lang w:val="en-US"/>
        </w:rPr>
        <w:t xml:space="preserve">on </w:t>
      </w:r>
      <w:r w:rsidR="00BA484D" w:rsidRPr="005B6E58">
        <w:rPr>
          <w:rFonts w:ascii="Sylfaen" w:hAnsi="Sylfaen"/>
          <w:lang w:val="en-US"/>
        </w:rPr>
        <w:t>those</w:t>
      </w:r>
      <w:r w:rsidR="00232E03" w:rsidRPr="005B6E58">
        <w:rPr>
          <w:rFonts w:ascii="Sylfaen" w:hAnsi="Sylfaen"/>
          <w:lang w:val="en-US"/>
        </w:rPr>
        <w:t xml:space="preserve"> facing displacement</w:t>
      </w:r>
      <w:r w:rsidR="005D71B9" w:rsidRPr="005B6E58">
        <w:rPr>
          <w:rFonts w:ascii="Sylfaen" w:hAnsi="Sylfaen"/>
          <w:lang w:val="en-US"/>
        </w:rPr>
        <w:t xml:space="preserve">. </w:t>
      </w:r>
      <w:r w:rsidR="00232E03" w:rsidRPr="005B6E58">
        <w:rPr>
          <w:rFonts w:ascii="Sylfaen" w:hAnsi="Sylfaen"/>
          <w:lang w:val="en-US"/>
        </w:rPr>
        <w:t xml:space="preserve">This should also include </w:t>
      </w:r>
      <w:r w:rsidR="00D8614E" w:rsidRPr="005B6E58">
        <w:rPr>
          <w:rFonts w:ascii="Sylfaen" w:hAnsi="Sylfaen" w:cs="TradeGothic-Light"/>
          <w:lang w:val="en-US"/>
        </w:rPr>
        <w:t>the development and enforcement of policies and legal frameworks that respect women and girls’ right</w:t>
      </w:r>
      <w:r w:rsidR="00EA31B7" w:rsidRPr="005B6E58">
        <w:rPr>
          <w:rFonts w:ascii="Sylfaen" w:hAnsi="Sylfaen" w:cs="TradeGothic-Light"/>
          <w:lang w:val="en-US"/>
        </w:rPr>
        <w:t>s</w:t>
      </w:r>
      <w:r w:rsidR="00D8614E" w:rsidRPr="005B6E58">
        <w:rPr>
          <w:rFonts w:ascii="Sylfaen" w:hAnsi="Sylfaen" w:cs="TradeGothic-Light"/>
          <w:lang w:val="en-US"/>
        </w:rPr>
        <w:t xml:space="preserve"> to bodily autonomy</w:t>
      </w:r>
      <w:r w:rsidR="00EA31B7" w:rsidRPr="005B6E58">
        <w:rPr>
          <w:rFonts w:ascii="Sylfaen" w:hAnsi="Sylfaen" w:cs="TradeGothic-Light"/>
          <w:lang w:val="en-US"/>
        </w:rPr>
        <w:t xml:space="preserve"> and bodily integrity</w:t>
      </w:r>
      <w:r w:rsidR="00900BF9" w:rsidRPr="005B6E58">
        <w:rPr>
          <w:rFonts w:ascii="Sylfaen" w:hAnsi="Sylfaen" w:cs="TradeGothic-Light"/>
          <w:lang w:val="en-US"/>
        </w:rPr>
        <w:t>,</w:t>
      </w:r>
      <w:r w:rsidR="00D8614E" w:rsidRPr="005B6E58">
        <w:rPr>
          <w:rFonts w:ascii="Sylfaen" w:hAnsi="Sylfaen" w:cs="TradeGothic-Light"/>
          <w:lang w:val="en-US"/>
        </w:rPr>
        <w:t xml:space="preserve"> guarantee universal access to</w:t>
      </w:r>
      <w:r w:rsidR="008D4C87" w:rsidRPr="005B6E58">
        <w:rPr>
          <w:rFonts w:ascii="Sylfaen" w:hAnsi="Sylfaen" w:cs="TradeGothic-Light"/>
          <w:lang w:val="en-US"/>
        </w:rPr>
        <w:t xml:space="preserve"> education,</w:t>
      </w:r>
      <w:r w:rsidR="00D8614E" w:rsidRPr="005B6E58">
        <w:rPr>
          <w:rFonts w:ascii="Sylfaen" w:hAnsi="Sylfaen" w:cs="TradeGothic-Light"/>
          <w:lang w:val="en-US"/>
        </w:rPr>
        <w:t xml:space="preserve"> sexual and reproductive health information, care and </w:t>
      </w:r>
      <w:proofErr w:type="gramStart"/>
      <w:r w:rsidR="00D8614E" w:rsidRPr="005B6E58">
        <w:rPr>
          <w:rFonts w:ascii="Sylfaen" w:hAnsi="Sylfaen" w:cs="TradeGothic-Light"/>
          <w:lang w:val="en-US"/>
        </w:rPr>
        <w:t>services</w:t>
      </w:r>
      <w:proofErr w:type="gramEnd"/>
      <w:r w:rsidR="00D8614E" w:rsidRPr="005B6E58">
        <w:rPr>
          <w:rFonts w:ascii="Sylfaen" w:hAnsi="Sylfaen" w:cs="TradeGothic-Light"/>
          <w:lang w:val="en-US"/>
        </w:rPr>
        <w:t xml:space="preserve">, including access to safe abortion. </w:t>
      </w:r>
    </w:p>
    <w:p w14:paraId="380FF569" w14:textId="77777777" w:rsidR="00D8614E" w:rsidRPr="005B6E58" w:rsidRDefault="00D8614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5746842E" w14:textId="6E06A671" w:rsidR="0055771B" w:rsidRPr="005B6E58" w:rsidRDefault="003F1CAE" w:rsidP="0055771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  <w:r w:rsidRPr="005B6E58">
        <w:rPr>
          <w:rFonts w:ascii="Sylfaen" w:hAnsi="Sylfaen" w:cs="TradeGothic-Light"/>
          <w:lang w:val="en-US"/>
        </w:rPr>
        <w:lastRenderedPageBreak/>
        <w:t>Remedies</w:t>
      </w:r>
      <w:r w:rsidR="00D8614E" w:rsidRPr="005B6E58">
        <w:rPr>
          <w:rFonts w:ascii="Sylfaen" w:hAnsi="Sylfaen" w:cs="TradeGothic-Light"/>
          <w:lang w:val="en-US"/>
        </w:rPr>
        <w:t xml:space="preserve"> must aim to restore the rights of victims of violations and must include adequate, effective, and prompt reparation</w:t>
      </w:r>
      <w:r w:rsidRPr="005B6E58">
        <w:rPr>
          <w:rFonts w:ascii="Sylfaen" w:hAnsi="Sylfaen" w:cs="TradeGothic-Light"/>
          <w:lang w:val="en-US"/>
        </w:rPr>
        <w:t xml:space="preserve"> including guarantees of non-recurrence. </w:t>
      </w:r>
      <w:r w:rsidR="00516337" w:rsidRPr="005B6E58">
        <w:rPr>
          <w:rFonts w:ascii="Sylfaen" w:hAnsi="Sylfaen" w:cs="TradeGothic-Light"/>
          <w:lang w:val="en-US"/>
        </w:rPr>
        <w:t>A</w:t>
      </w:r>
      <w:r w:rsidR="0056472E" w:rsidRPr="005B6E58">
        <w:rPr>
          <w:rFonts w:ascii="Sylfaen" w:hAnsi="Sylfaen" w:cs="TradeGothic-Light"/>
          <w:lang w:val="en-US"/>
        </w:rPr>
        <w:t xml:space="preserve">ll mechanisms </w:t>
      </w:r>
      <w:proofErr w:type="gramStart"/>
      <w:r w:rsidR="0056472E" w:rsidRPr="005B6E58">
        <w:rPr>
          <w:rFonts w:ascii="Sylfaen" w:hAnsi="Sylfaen" w:cs="TradeGothic-Light"/>
          <w:lang w:val="en-US"/>
        </w:rPr>
        <w:t>should be informed</w:t>
      </w:r>
      <w:proofErr w:type="gramEnd"/>
      <w:r w:rsidR="0056472E" w:rsidRPr="005B6E58">
        <w:rPr>
          <w:rFonts w:ascii="Sylfaen" w:hAnsi="Sylfaen" w:cs="TradeGothic-Light"/>
          <w:lang w:val="en-US"/>
        </w:rPr>
        <w:t xml:space="preserve"> by </w:t>
      </w:r>
      <w:r w:rsidR="00D8614E" w:rsidRPr="005B6E58">
        <w:rPr>
          <w:rFonts w:ascii="Sylfaen" w:hAnsi="Sylfaen" w:cs="TradeGothic-Light"/>
          <w:lang w:val="en-US"/>
        </w:rPr>
        <w:t>effective and meaningful participation of women and girls</w:t>
      </w:r>
      <w:r w:rsidR="005B0922" w:rsidRPr="005B6E58">
        <w:rPr>
          <w:rFonts w:ascii="Sylfaen" w:hAnsi="Sylfaen" w:cs="TradeGothic-Light"/>
          <w:lang w:val="en-US"/>
        </w:rPr>
        <w:t xml:space="preserve">, in order to ensure that </w:t>
      </w:r>
      <w:r w:rsidRPr="005B6E58">
        <w:rPr>
          <w:rFonts w:ascii="Sylfaen" w:hAnsi="Sylfaen" w:cs="TradeGothic-Light"/>
          <w:lang w:val="en-US"/>
        </w:rPr>
        <w:t>they</w:t>
      </w:r>
      <w:r w:rsidR="005B0922" w:rsidRPr="005B6E58">
        <w:rPr>
          <w:rFonts w:ascii="Sylfaen" w:hAnsi="Sylfaen" w:cs="TradeGothic-Light"/>
          <w:lang w:val="en-US"/>
        </w:rPr>
        <w:t xml:space="preserve"> are gender</w:t>
      </w:r>
      <w:r w:rsidR="005537B8" w:rsidRPr="005B6E58">
        <w:rPr>
          <w:rFonts w:ascii="Sylfaen" w:hAnsi="Sylfaen" w:cs="TradeGothic-Light"/>
          <w:lang w:val="en-US"/>
        </w:rPr>
        <w:t xml:space="preserve">, </w:t>
      </w:r>
      <w:r w:rsidR="005B0922" w:rsidRPr="005B6E58">
        <w:rPr>
          <w:rFonts w:ascii="Sylfaen" w:hAnsi="Sylfaen" w:cs="TradeGothic-Light"/>
          <w:lang w:val="en-US"/>
        </w:rPr>
        <w:t>and age-sensitive</w:t>
      </w:r>
      <w:r w:rsidR="00C02940" w:rsidRPr="005B6E58">
        <w:rPr>
          <w:rFonts w:ascii="Sylfaen" w:hAnsi="Sylfaen" w:cs="TradeGothic-Light"/>
          <w:lang w:val="en-US"/>
        </w:rPr>
        <w:t xml:space="preserve">, and take into consideration </w:t>
      </w:r>
      <w:r w:rsidR="00DD49A3" w:rsidRPr="005B6E58">
        <w:rPr>
          <w:rFonts w:ascii="Sylfaen" w:hAnsi="Sylfaen"/>
          <w:lang w:val="en-US"/>
        </w:rPr>
        <w:t>multiple and intersecting forms of discrimination</w:t>
      </w:r>
      <w:r w:rsidR="00803A9F" w:rsidRPr="005B6E58">
        <w:rPr>
          <w:rFonts w:ascii="Sylfaen" w:hAnsi="Sylfaen"/>
          <w:lang w:val="en-US"/>
        </w:rPr>
        <w:t xml:space="preserve"> </w:t>
      </w:r>
      <w:r w:rsidR="0055771B" w:rsidRPr="005B6E58">
        <w:rPr>
          <w:rFonts w:ascii="Sylfaen" w:hAnsi="Sylfaen" w:cs="TradeGothic-Light"/>
          <w:lang w:val="en-US"/>
        </w:rPr>
        <w:t xml:space="preserve">and context-specific factors, that necessitate distinct responses and measures. </w:t>
      </w:r>
    </w:p>
    <w:p w14:paraId="4749AAAF" w14:textId="77777777" w:rsidR="00D8614E" w:rsidRPr="005B6E58" w:rsidRDefault="00D8614E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radeGothic-Light"/>
          <w:lang w:val="en-US"/>
        </w:rPr>
      </w:pPr>
    </w:p>
    <w:p w14:paraId="7025CA79" w14:textId="6FB384DC" w:rsidR="00597FE1" w:rsidRPr="005B6E58" w:rsidRDefault="005B1A33" w:rsidP="005B1A3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en-US"/>
        </w:rPr>
      </w:pPr>
      <w:proofErr w:type="gramStart"/>
      <w:r w:rsidRPr="005B6E58">
        <w:rPr>
          <w:rFonts w:ascii="Sylfaen" w:hAnsi="Sylfaen" w:cs="TradeGothic-Light"/>
          <w:lang w:val="en-US"/>
        </w:rPr>
        <w:t>Building on the joint statement read in March 2019 lead by Mexico and Finland on rights-based accountability and co-sponsored by 59 States, t</w:t>
      </w:r>
      <w:r w:rsidR="00597FE1" w:rsidRPr="005B6E58">
        <w:rPr>
          <w:rFonts w:ascii="Sylfaen" w:hAnsi="Sylfaen" w:cs="TradeGothic-Light"/>
          <w:lang w:val="en-US"/>
        </w:rPr>
        <w:t>he co-sponsors of this statement therefore urge the Human Rights Council</w:t>
      </w:r>
      <w:r w:rsidRPr="005B6E58">
        <w:rPr>
          <w:rFonts w:ascii="Sylfaen" w:hAnsi="Sylfaen" w:cs="TradeGothic-Light"/>
          <w:lang w:val="en-US"/>
        </w:rPr>
        <w:t xml:space="preserve"> to incorporate </w:t>
      </w:r>
      <w:r w:rsidR="002251C7" w:rsidRPr="005B6E58">
        <w:rPr>
          <w:rFonts w:ascii="Sylfaen" w:hAnsi="Sylfaen" w:cs="TradeGothic-Light"/>
          <w:lang w:val="en-US"/>
        </w:rPr>
        <w:t xml:space="preserve">and mainstream </w:t>
      </w:r>
      <w:r w:rsidRPr="005B6E58">
        <w:rPr>
          <w:rFonts w:ascii="Sylfaen" w:hAnsi="Sylfaen" w:cs="TradeGothic-Light"/>
          <w:lang w:val="en-US"/>
        </w:rPr>
        <w:t>the issue of accountability for</w:t>
      </w:r>
      <w:r w:rsidR="002251C7" w:rsidRPr="005B6E58">
        <w:rPr>
          <w:rFonts w:ascii="Sylfaen" w:hAnsi="Sylfaen" w:cs="TradeGothic-Light"/>
          <w:lang w:val="en-US"/>
        </w:rPr>
        <w:t xml:space="preserve"> human rights violations and abuses against</w:t>
      </w:r>
      <w:r w:rsidRPr="005B6E58">
        <w:rPr>
          <w:rFonts w:ascii="Sylfaen" w:hAnsi="Sylfaen" w:cs="TradeGothic-Light"/>
          <w:lang w:val="en-US"/>
        </w:rPr>
        <w:t xml:space="preserve"> women and girls</w:t>
      </w:r>
      <w:r w:rsidR="005537B8" w:rsidRPr="005B6E58">
        <w:rPr>
          <w:rFonts w:ascii="Sylfaen" w:hAnsi="Sylfaen" w:cs="TradeGothic-Light"/>
          <w:lang w:val="en-US"/>
        </w:rPr>
        <w:t xml:space="preserve"> </w:t>
      </w:r>
      <w:r w:rsidRPr="005B6E58">
        <w:rPr>
          <w:rFonts w:ascii="Sylfaen" w:hAnsi="Sylfaen" w:cs="TradeGothic-Light"/>
          <w:lang w:val="en-US"/>
        </w:rPr>
        <w:t xml:space="preserve">in humanitarian </w:t>
      </w:r>
      <w:r w:rsidR="003C2987" w:rsidRPr="005B6E58">
        <w:rPr>
          <w:rFonts w:ascii="Sylfaen" w:hAnsi="Sylfaen" w:cs="TradeGothic-Light"/>
          <w:lang w:val="en-US"/>
        </w:rPr>
        <w:t>settings</w:t>
      </w:r>
      <w:r w:rsidR="002251C7" w:rsidRPr="005B6E58">
        <w:rPr>
          <w:rFonts w:ascii="Sylfaen" w:hAnsi="Sylfaen" w:cs="TradeGothic-Light"/>
          <w:lang w:val="en-US"/>
        </w:rPr>
        <w:t xml:space="preserve"> </w:t>
      </w:r>
      <w:r w:rsidRPr="005B6E58">
        <w:rPr>
          <w:rFonts w:ascii="Sylfaen" w:hAnsi="Sylfaen" w:cs="TradeGothic-Light"/>
          <w:lang w:val="en-US"/>
        </w:rPr>
        <w:t>in its agenda and</w:t>
      </w:r>
      <w:r w:rsidR="00747D13" w:rsidRPr="005B6E58">
        <w:rPr>
          <w:rFonts w:ascii="Sylfaen" w:hAnsi="Sylfaen" w:cs="TradeGothic-Light"/>
          <w:lang w:val="en-US"/>
        </w:rPr>
        <w:t xml:space="preserve"> to address structural inequalities </w:t>
      </w:r>
      <w:r w:rsidR="00597FE1" w:rsidRPr="005B6E58">
        <w:rPr>
          <w:rFonts w:ascii="Sylfaen" w:hAnsi="Sylfaen" w:cs="TradeGothic-Light"/>
          <w:lang w:val="en-US"/>
        </w:rPr>
        <w:t>by</w:t>
      </w:r>
      <w:r w:rsidR="00D31E4B" w:rsidRPr="005B6E58">
        <w:rPr>
          <w:rFonts w:ascii="Sylfaen" w:hAnsi="Sylfaen" w:cs="TradeGothic-Light"/>
          <w:lang w:val="en-US"/>
        </w:rPr>
        <w:t xml:space="preserve"> </w:t>
      </w:r>
      <w:r w:rsidR="00597FE1" w:rsidRPr="005B6E58">
        <w:rPr>
          <w:rFonts w:ascii="Sylfaen" w:hAnsi="Sylfaen"/>
          <w:lang w:val="en-US"/>
        </w:rPr>
        <w:t xml:space="preserve">including </w:t>
      </w:r>
      <w:r w:rsidR="00CA181A" w:rsidRPr="005B6E58">
        <w:rPr>
          <w:rFonts w:ascii="Sylfaen" w:hAnsi="Sylfaen"/>
          <w:lang w:val="en-US"/>
        </w:rPr>
        <w:t>conflict gender</w:t>
      </w:r>
      <w:r w:rsidR="002251C7" w:rsidRPr="005B6E58">
        <w:rPr>
          <w:rFonts w:ascii="Sylfaen" w:hAnsi="Sylfaen"/>
          <w:lang w:val="en-US"/>
        </w:rPr>
        <w:t>,</w:t>
      </w:r>
      <w:r w:rsidR="005537B8" w:rsidRPr="005B6E58">
        <w:rPr>
          <w:rFonts w:ascii="Sylfaen" w:hAnsi="Sylfaen"/>
          <w:lang w:val="en-US"/>
        </w:rPr>
        <w:t xml:space="preserve"> </w:t>
      </w:r>
      <w:r w:rsidR="00900BF9" w:rsidRPr="005B6E58">
        <w:rPr>
          <w:rFonts w:ascii="Sylfaen" w:hAnsi="Sylfaen"/>
          <w:lang w:val="en-US"/>
        </w:rPr>
        <w:t>and age</w:t>
      </w:r>
      <w:r w:rsidR="00597FE1" w:rsidRPr="005B6E58">
        <w:rPr>
          <w:rFonts w:ascii="Sylfaen" w:hAnsi="Sylfaen"/>
          <w:lang w:val="en-US"/>
        </w:rPr>
        <w:t xml:space="preserve"> analysis in </w:t>
      </w:r>
      <w:r w:rsidRPr="005B6E58">
        <w:rPr>
          <w:rFonts w:ascii="Sylfaen" w:hAnsi="Sylfaen"/>
          <w:lang w:val="en-US"/>
        </w:rPr>
        <w:t>its</w:t>
      </w:r>
      <w:r w:rsidR="00597FE1" w:rsidRPr="005B6E58">
        <w:rPr>
          <w:rFonts w:ascii="Sylfaen" w:hAnsi="Sylfaen"/>
          <w:lang w:val="en-US"/>
        </w:rPr>
        <w:t xml:space="preserve"> work in humanitarian settings, including in the mandates of commissions of inquiry and fact-finding missions.</w:t>
      </w:r>
      <w:proofErr w:type="gramEnd"/>
    </w:p>
    <w:p w14:paraId="74D5680F" w14:textId="77777777" w:rsidR="00F63076" w:rsidRPr="005B6E58" w:rsidRDefault="00F63076" w:rsidP="005B1A33">
      <w:pPr>
        <w:jc w:val="both"/>
        <w:rPr>
          <w:rFonts w:ascii="Sylfaen" w:hAnsi="Sylfaen"/>
          <w:lang w:val="en-US"/>
        </w:rPr>
      </w:pPr>
    </w:p>
    <w:p w14:paraId="34799DE2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Albania</w:t>
      </w:r>
    </w:p>
    <w:p w14:paraId="1EA87446" w14:textId="3F816B89" w:rsidR="000949E9" w:rsidRDefault="000949E9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Australia</w:t>
      </w:r>
    </w:p>
    <w:p w14:paraId="38AAB866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Austria</w:t>
      </w:r>
    </w:p>
    <w:p w14:paraId="0870FDF8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Belgium</w:t>
      </w:r>
    </w:p>
    <w:p w14:paraId="71CBCF8F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Bulgaria</w:t>
      </w:r>
    </w:p>
    <w:p w14:paraId="32E69131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Canada</w:t>
      </w:r>
    </w:p>
    <w:p w14:paraId="525CE289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Chile</w:t>
      </w:r>
    </w:p>
    <w:p w14:paraId="506B8486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Cyprus</w:t>
      </w:r>
    </w:p>
    <w:p w14:paraId="47C7F1F4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Denmark</w:t>
      </w:r>
    </w:p>
    <w:p w14:paraId="5C99FF58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Estonia</w:t>
      </w:r>
    </w:p>
    <w:p w14:paraId="1AE5CDC7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Fiji</w:t>
      </w:r>
    </w:p>
    <w:p w14:paraId="7D1419F7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Finland</w:t>
      </w:r>
    </w:p>
    <w:p w14:paraId="07350E4C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France</w:t>
      </w:r>
    </w:p>
    <w:p w14:paraId="19722CF0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Georgia</w:t>
      </w:r>
    </w:p>
    <w:p w14:paraId="4C32B6EC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Germany</w:t>
      </w:r>
    </w:p>
    <w:p w14:paraId="50A05D5E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Greece</w:t>
      </w:r>
    </w:p>
    <w:p w14:paraId="332AACA0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Iceland</w:t>
      </w:r>
    </w:p>
    <w:p w14:paraId="072D48ED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Italy</w:t>
      </w:r>
    </w:p>
    <w:p w14:paraId="6F53548E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Japan</w:t>
      </w:r>
    </w:p>
    <w:p w14:paraId="6ADFCF15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Latvia</w:t>
      </w:r>
    </w:p>
    <w:p w14:paraId="6AD2C39C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Liechtenstein</w:t>
      </w:r>
    </w:p>
    <w:p w14:paraId="32A7193B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Lithuania</w:t>
      </w:r>
    </w:p>
    <w:p w14:paraId="4F7FB317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Luxemburg</w:t>
      </w:r>
    </w:p>
    <w:p w14:paraId="71065E35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Mexico</w:t>
      </w:r>
    </w:p>
    <w:p w14:paraId="1C5903D4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Mongolia</w:t>
      </w:r>
    </w:p>
    <w:p w14:paraId="1DF49723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Montenegro</w:t>
      </w:r>
    </w:p>
    <w:p w14:paraId="4B56D941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Netherlands</w:t>
      </w:r>
    </w:p>
    <w:p w14:paraId="5DD96DA6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New Zealand</w:t>
      </w:r>
    </w:p>
    <w:p w14:paraId="79506DBD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Norway</w:t>
      </w:r>
    </w:p>
    <w:p w14:paraId="1D8EF634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Palestine</w:t>
      </w:r>
    </w:p>
    <w:p w14:paraId="1087FD30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Peru</w:t>
      </w:r>
    </w:p>
    <w:p w14:paraId="4C08DB2D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Portugal</w:t>
      </w:r>
    </w:p>
    <w:p w14:paraId="0ACD24CB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lastRenderedPageBreak/>
        <w:t>Republic of Korea</w:t>
      </w:r>
    </w:p>
    <w:p w14:paraId="7B09323F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Republic of Moldova</w:t>
      </w:r>
    </w:p>
    <w:p w14:paraId="2AD98510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Romania</w:t>
      </w:r>
    </w:p>
    <w:p w14:paraId="75D2791F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Slovakia</w:t>
      </w:r>
    </w:p>
    <w:p w14:paraId="267D90F3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Slovenia</w:t>
      </w:r>
    </w:p>
    <w:p w14:paraId="3A2E8954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Spain</w:t>
      </w:r>
    </w:p>
    <w:p w14:paraId="26572732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Sweden</w:t>
      </w:r>
    </w:p>
    <w:p w14:paraId="78876E2B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Tunisia</w:t>
      </w:r>
    </w:p>
    <w:p w14:paraId="7E9A72FC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Turkey</w:t>
      </w:r>
    </w:p>
    <w:p w14:paraId="063A280F" w14:textId="77777777" w:rsidR="005B6E58" w:rsidRPr="00AC7660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Ukraine</w:t>
      </w:r>
    </w:p>
    <w:p w14:paraId="001F7A54" w14:textId="77777777" w:rsidR="005B6E58" w:rsidRDefault="005B6E58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AC7660">
        <w:rPr>
          <w:rFonts w:ascii="Sylfaen" w:hAnsi="Sylfaen"/>
          <w:lang w:val="en-US"/>
        </w:rPr>
        <w:t>Uruguay</w:t>
      </w:r>
    </w:p>
    <w:p w14:paraId="630732E5" w14:textId="5D47C15E" w:rsidR="000949E9" w:rsidRDefault="000949E9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Switzerland</w:t>
      </w:r>
    </w:p>
    <w:p w14:paraId="26386A03" w14:textId="24D2098B" w:rsidR="000949E9" w:rsidRDefault="000949E9" w:rsidP="00AC7660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Czech Republic</w:t>
      </w:r>
    </w:p>
    <w:p w14:paraId="28C4DD88" w14:textId="1825092A" w:rsidR="000949E9" w:rsidRPr="00AC7660" w:rsidRDefault="000949E9" w:rsidP="000949E9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lang w:val="en-US"/>
        </w:rPr>
      </w:pPr>
      <w:r w:rsidRPr="000949E9">
        <w:rPr>
          <w:rFonts w:ascii="Sylfaen" w:hAnsi="Sylfaen"/>
          <w:lang w:val="en-US"/>
        </w:rPr>
        <w:t>United Kingdom of Great Britain and Northern Ireland</w:t>
      </w:r>
    </w:p>
    <w:sectPr w:rsidR="000949E9" w:rsidRPr="00AC7660" w:rsidSect="00FB0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C545" w14:textId="77777777" w:rsidR="007A2B63" w:rsidRDefault="007A2B63" w:rsidP="00F25919">
      <w:pPr>
        <w:spacing w:after="0" w:line="240" w:lineRule="auto"/>
      </w:pPr>
      <w:r>
        <w:separator/>
      </w:r>
    </w:p>
  </w:endnote>
  <w:endnote w:type="continuationSeparator" w:id="0">
    <w:p w14:paraId="04DCC1A6" w14:textId="77777777" w:rsidR="007A2B63" w:rsidRDefault="007A2B63" w:rsidP="00F2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deGothi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B4EB" w14:textId="77777777" w:rsidR="00773EF9" w:rsidRDefault="00773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3BBC" w14:textId="77777777" w:rsidR="00773EF9" w:rsidRDefault="00773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F3651" w14:textId="77777777" w:rsidR="00773EF9" w:rsidRDefault="00773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F6B1" w14:textId="77777777" w:rsidR="007A2B63" w:rsidRDefault="007A2B63" w:rsidP="00F25919">
      <w:pPr>
        <w:spacing w:after="0" w:line="240" w:lineRule="auto"/>
      </w:pPr>
      <w:r>
        <w:separator/>
      </w:r>
    </w:p>
  </w:footnote>
  <w:footnote w:type="continuationSeparator" w:id="0">
    <w:p w14:paraId="7FAD03AC" w14:textId="77777777" w:rsidR="007A2B63" w:rsidRDefault="007A2B63" w:rsidP="00F25919">
      <w:pPr>
        <w:spacing w:after="0" w:line="240" w:lineRule="auto"/>
      </w:pPr>
      <w:r>
        <w:continuationSeparator/>
      </w:r>
    </w:p>
  </w:footnote>
  <w:footnote w:id="1">
    <w:p w14:paraId="2908C182" w14:textId="77777777" w:rsidR="00AF2FD3" w:rsidRPr="00D31E4B" w:rsidRDefault="00AF2FD3" w:rsidP="00D31E4B">
      <w:pPr>
        <w:pStyle w:val="FootnoteText"/>
        <w:rPr>
          <w:i/>
          <w:iCs/>
          <w:lang w:val="en-US"/>
        </w:rPr>
      </w:pPr>
      <w:r>
        <w:rPr>
          <w:rStyle w:val="FootnoteReference"/>
        </w:rPr>
        <w:footnoteRef/>
      </w:r>
      <w:r w:rsidRPr="00D31E4B">
        <w:rPr>
          <w:lang w:val="en-US"/>
        </w:rPr>
        <w:t xml:space="preserve"> CEDAW, General Recommendation 30, paras. 77-</w:t>
      </w:r>
      <w:r w:rsidR="00D31E4B" w:rsidRPr="00D31E4B">
        <w:rPr>
          <w:lang w:val="en-US"/>
        </w:rPr>
        <w:t xml:space="preserve">79; </w:t>
      </w:r>
      <w:r w:rsidR="00D31E4B" w:rsidRPr="00D31E4B">
        <w:rPr>
          <w:i/>
          <w:iCs/>
          <w:lang w:val="en-US"/>
        </w:rPr>
        <w:t xml:space="preserve">See generally </w:t>
      </w:r>
      <w:r w:rsidR="00D31E4B" w:rsidRPr="00D31E4B">
        <w:rPr>
          <w:lang w:val="en-US"/>
        </w:rPr>
        <w:t xml:space="preserve">United Nations General Assembly Res. 60/147, </w:t>
      </w:r>
      <w:r w:rsidR="00D31E4B" w:rsidRPr="00D31E4B">
        <w:rPr>
          <w:i/>
          <w:iCs/>
          <w:lang w:val="en-US"/>
        </w:rPr>
        <w:t>Basic</w:t>
      </w:r>
      <w:r w:rsidR="00D31E4B">
        <w:rPr>
          <w:i/>
          <w:iCs/>
          <w:lang w:val="en-US"/>
        </w:rPr>
        <w:t xml:space="preserve"> </w:t>
      </w:r>
      <w:r w:rsidR="00D31E4B" w:rsidRPr="00D31E4B">
        <w:rPr>
          <w:i/>
          <w:iCs/>
          <w:lang w:val="en-US"/>
        </w:rPr>
        <w:t>Principles and Guidelines on the Right to a Remedy and Reparation for</w:t>
      </w:r>
      <w:r w:rsidR="00D31E4B">
        <w:rPr>
          <w:i/>
          <w:iCs/>
          <w:lang w:val="en-US"/>
        </w:rPr>
        <w:t xml:space="preserve"> </w:t>
      </w:r>
      <w:r w:rsidR="00D31E4B" w:rsidRPr="00D31E4B">
        <w:rPr>
          <w:i/>
          <w:iCs/>
          <w:lang w:val="en-US"/>
        </w:rPr>
        <w:t>Victims of Gross Violations of International Human Rights Law and Serious</w:t>
      </w:r>
      <w:r w:rsidR="00D31E4B">
        <w:rPr>
          <w:i/>
          <w:iCs/>
          <w:lang w:val="en-US"/>
        </w:rPr>
        <w:t xml:space="preserve"> </w:t>
      </w:r>
      <w:r w:rsidR="00D31E4B" w:rsidRPr="00D31E4B">
        <w:rPr>
          <w:i/>
          <w:iCs/>
          <w:lang w:val="en-US"/>
        </w:rPr>
        <w:t>Violations of International Humanitarian Law</w:t>
      </w:r>
      <w:r w:rsidR="00D31E4B" w:rsidRPr="00D31E4B">
        <w:rPr>
          <w:lang w:val="en-US"/>
        </w:rPr>
        <w:t>, A/RES/60/147 (21 March</w:t>
      </w:r>
      <w:r w:rsidR="00D31E4B">
        <w:rPr>
          <w:i/>
          <w:iCs/>
          <w:lang w:val="en-US"/>
        </w:rPr>
        <w:t xml:space="preserve"> </w:t>
      </w:r>
      <w:r w:rsidR="00D31E4B" w:rsidRPr="00D31E4B">
        <w:rPr>
          <w:lang w:val="en-US"/>
        </w:rPr>
        <w:t xml:space="preserve">2006) </w:t>
      </w:r>
      <w:r w:rsidR="00D31E4B">
        <w:rPr>
          <w:lang w:val="en-US"/>
        </w:rPr>
        <w:t xml:space="preserve">para. 3 (b)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0CEED" w14:textId="77777777" w:rsidR="00773EF9" w:rsidRDefault="00773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8B22" w14:textId="77777777" w:rsidR="00773EF9" w:rsidRDefault="00773E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D7EA7" w14:textId="77777777" w:rsidR="00773EF9" w:rsidRDefault="00773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508E"/>
    <w:multiLevelType w:val="hybridMultilevel"/>
    <w:tmpl w:val="3DB008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19"/>
    <w:rsid w:val="00023718"/>
    <w:rsid w:val="00037D40"/>
    <w:rsid w:val="00047C77"/>
    <w:rsid w:val="00073074"/>
    <w:rsid w:val="000949E9"/>
    <w:rsid w:val="000A17C0"/>
    <w:rsid w:val="000C462D"/>
    <w:rsid w:val="000C6F92"/>
    <w:rsid w:val="00187A68"/>
    <w:rsid w:val="001A0255"/>
    <w:rsid w:val="001E5063"/>
    <w:rsid w:val="00201BDA"/>
    <w:rsid w:val="002143DF"/>
    <w:rsid w:val="002251C7"/>
    <w:rsid w:val="00226B90"/>
    <w:rsid w:val="00227E21"/>
    <w:rsid w:val="00231E16"/>
    <w:rsid w:val="00232E03"/>
    <w:rsid w:val="002553E1"/>
    <w:rsid w:val="002A3622"/>
    <w:rsid w:val="002B2269"/>
    <w:rsid w:val="00301A6A"/>
    <w:rsid w:val="003465CE"/>
    <w:rsid w:val="00360DF5"/>
    <w:rsid w:val="00374CC4"/>
    <w:rsid w:val="003C2987"/>
    <w:rsid w:val="003C6549"/>
    <w:rsid w:val="003E4F4F"/>
    <w:rsid w:val="003F1CAE"/>
    <w:rsid w:val="004001BA"/>
    <w:rsid w:val="00417749"/>
    <w:rsid w:val="004204F8"/>
    <w:rsid w:val="00486C4B"/>
    <w:rsid w:val="00486E96"/>
    <w:rsid w:val="004B0175"/>
    <w:rsid w:val="004C7085"/>
    <w:rsid w:val="004D6135"/>
    <w:rsid w:val="00516337"/>
    <w:rsid w:val="005363AC"/>
    <w:rsid w:val="005537B8"/>
    <w:rsid w:val="0055771B"/>
    <w:rsid w:val="00561578"/>
    <w:rsid w:val="0056472E"/>
    <w:rsid w:val="00565315"/>
    <w:rsid w:val="0059499B"/>
    <w:rsid w:val="00597FE1"/>
    <w:rsid w:val="005B0922"/>
    <w:rsid w:val="005B1A33"/>
    <w:rsid w:val="005B6E58"/>
    <w:rsid w:val="005D71B9"/>
    <w:rsid w:val="005F4BCA"/>
    <w:rsid w:val="00612891"/>
    <w:rsid w:val="00627DE5"/>
    <w:rsid w:val="0064399E"/>
    <w:rsid w:val="00687092"/>
    <w:rsid w:val="0069100B"/>
    <w:rsid w:val="006B496F"/>
    <w:rsid w:val="006C4A9F"/>
    <w:rsid w:val="006C5146"/>
    <w:rsid w:val="006E55AF"/>
    <w:rsid w:val="006E79E7"/>
    <w:rsid w:val="00713555"/>
    <w:rsid w:val="0071489B"/>
    <w:rsid w:val="00735008"/>
    <w:rsid w:val="0074382B"/>
    <w:rsid w:val="00747D13"/>
    <w:rsid w:val="00773EF9"/>
    <w:rsid w:val="00781FA1"/>
    <w:rsid w:val="007A2B63"/>
    <w:rsid w:val="007B230E"/>
    <w:rsid w:val="007C4EC3"/>
    <w:rsid w:val="00803A9F"/>
    <w:rsid w:val="0082037A"/>
    <w:rsid w:val="00825EB8"/>
    <w:rsid w:val="00837363"/>
    <w:rsid w:val="00863642"/>
    <w:rsid w:val="008D4C87"/>
    <w:rsid w:val="008E627D"/>
    <w:rsid w:val="008F77C2"/>
    <w:rsid w:val="00900BF9"/>
    <w:rsid w:val="00905F9B"/>
    <w:rsid w:val="00947FBB"/>
    <w:rsid w:val="009705CE"/>
    <w:rsid w:val="00981D32"/>
    <w:rsid w:val="009C5E45"/>
    <w:rsid w:val="009E6EB6"/>
    <w:rsid w:val="00A837E3"/>
    <w:rsid w:val="00A90D04"/>
    <w:rsid w:val="00AC7660"/>
    <w:rsid w:val="00AF2FD3"/>
    <w:rsid w:val="00B0790A"/>
    <w:rsid w:val="00B378EE"/>
    <w:rsid w:val="00B42AA2"/>
    <w:rsid w:val="00B433FA"/>
    <w:rsid w:val="00B8122C"/>
    <w:rsid w:val="00BA0F44"/>
    <w:rsid w:val="00BA3382"/>
    <w:rsid w:val="00BA484D"/>
    <w:rsid w:val="00BE35E7"/>
    <w:rsid w:val="00BE37A5"/>
    <w:rsid w:val="00BE65C1"/>
    <w:rsid w:val="00C02940"/>
    <w:rsid w:val="00C7746E"/>
    <w:rsid w:val="00C8636D"/>
    <w:rsid w:val="00CA181A"/>
    <w:rsid w:val="00CC2AE2"/>
    <w:rsid w:val="00CD7EC4"/>
    <w:rsid w:val="00CE0340"/>
    <w:rsid w:val="00D31E4B"/>
    <w:rsid w:val="00D458DB"/>
    <w:rsid w:val="00D5437F"/>
    <w:rsid w:val="00D8614E"/>
    <w:rsid w:val="00DD49A3"/>
    <w:rsid w:val="00E05ED6"/>
    <w:rsid w:val="00E3213E"/>
    <w:rsid w:val="00E510AC"/>
    <w:rsid w:val="00E533B9"/>
    <w:rsid w:val="00E61C9F"/>
    <w:rsid w:val="00E63C67"/>
    <w:rsid w:val="00E63DBF"/>
    <w:rsid w:val="00E67565"/>
    <w:rsid w:val="00EA31B7"/>
    <w:rsid w:val="00EC054F"/>
    <w:rsid w:val="00EE6E30"/>
    <w:rsid w:val="00EF1F73"/>
    <w:rsid w:val="00F050C7"/>
    <w:rsid w:val="00F25919"/>
    <w:rsid w:val="00F63076"/>
    <w:rsid w:val="00F962F4"/>
    <w:rsid w:val="00FB1296"/>
    <w:rsid w:val="00FD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BA5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E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96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F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F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F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3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622"/>
  </w:style>
  <w:style w:type="paragraph" w:styleId="Footer">
    <w:name w:val="footer"/>
    <w:basedOn w:val="Normal"/>
    <w:link w:val="FooterChar"/>
    <w:uiPriority w:val="99"/>
    <w:unhideWhenUsed/>
    <w:rsid w:val="002A3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622"/>
  </w:style>
  <w:style w:type="paragraph" w:styleId="ListParagraph">
    <w:name w:val="List Paragraph"/>
    <w:basedOn w:val="Normal"/>
    <w:uiPriority w:val="34"/>
    <w:qFormat/>
    <w:rsid w:val="00AC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E4739F255B749B533F87F4C0A9432" ma:contentTypeVersion="1" ma:contentTypeDescription="Create a new document." ma:contentTypeScope="" ma:versionID="3856c1113fd47b09bd2bc7cffb966c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7A67B5-085E-4473-8E09-A986CFB1BD7B}"/>
</file>

<file path=customXml/itemProps2.xml><?xml version="1.0" encoding="utf-8"?>
<ds:datastoreItem xmlns:ds="http://schemas.openxmlformats.org/officeDocument/2006/customXml" ds:itemID="{BBD77527-73E9-449D-9727-39550878F15D}"/>
</file>

<file path=customXml/itemProps3.xml><?xml version="1.0" encoding="utf-8"?>
<ds:datastoreItem xmlns:ds="http://schemas.openxmlformats.org/officeDocument/2006/customXml" ds:itemID="{3D49A3B6-D624-4AF0-BDE8-557EF3563F32}"/>
</file>

<file path=customXml/itemProps4.xml><?xml version="1.0" encoding="utf-8"?>
<ds:datastoreItem xmlns:ds="http://schemas.openxmlformats.org/officeDocument/2006/customXml" ds:itemID="{8506656E-E40C-4B70-8087-82899099D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2019-07-22T07:28:00Z</dcterms:created>
  <dcterms:modified xsi:type="dcterms:W3CDTF">2019-07-22T07:28:00Z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347303e2-4bcf-48ab-9fe7-9a6aad1f1ffc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0x010100CF4E4739F255B749B533F87F4C0A9432</vt:lpwstr>
  </property>
  <property fmtid="{D5CDD505-2E9C-101B-9397-08002B2CF9AE}" pid="6" name="Order">
    <vt:r8>37500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