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  <w:bookmarkStart w:id="0" w:name="_GoBack"/>
      <w:bookmarkEnd w:id="0"/>
    </w:p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  <w:r w:rsidRPr="006F4D78"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  <w:t>Human Rights Council – 40th Session</w:t>
      </w:r>
    </w:p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</w:p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  <w:r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  <w:t>Item 2: General Debate</w:t>
      </w:r>
    </w:p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</w:p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  <w:r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  <w:t xml:space="preserve">20 </w:t>
      </w:r>
      <w:r w:rsidRPr="006F4D78"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  <w:t>March 2019</w:t>
      </w:r>
    </w:p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</w:p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  <w:r w:rsidRPr="006F4D78"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  <w:t>Australian Statement</w:t>
      </w:r>
    </w:p>
    <w:p w:rsidR="006F4D78" w:rsidRPr="006F4D78" w:rsidRDefault="006F4D78" w:rsidP="006F4D78">
      <w:pPr>
        <w:tabs>
          <w:tab w:val="left" w:pos="1134"/>
        </w:tabs>
        <w:spacing w:after="0" w:line="240" w:lineRule="auto"/>
        <w:ind w:right="-45"/>
        <w:jc w:val="center"/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</w:pPr>
    </w:p>
    <w:p w:rsidR="007731C0" w:rsidRPr="00A37179" w:rsidRDefault="00A37179" w:rsidP="00A37179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  <w:r w:rsidRPr="00A37179">
        <w:rPr>
          <w:rFonts w:ascii="Calibri" w:eastAsia="Times New Roman" w:hAnsi="Calibri" w:cs="Times New Roman"/>
          <w:bCs/>
          <w:sz w:val="25"/>
          <w:szCs w:val="25"/>
          <w:lang w:eastAsia="en-AU"/>
        </w:rPr>
        <w:t>We thank the High Commissioner for her reports.</w:t>
      </w:r>
    </w:p>
    <w:p w:rsidR="00A37179" w:rsidRDefault="00A37179" w:rsidP="007731C0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</w:p>
    <w:p w:rsidR="007731C0" w:rsidRPr="007731C0" w:rsidRDefault="007731C0" w:rsidP="007731C0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Australia notes with deep concern the High Commissioner’s finding that no positive progress has been made by </w:t>
      </w:r>
      <w:r w:rsidRPr="007731C0">
        <w:rPr>
          <w:rFonts w:ascii="Calibri" w:eastAsia="Times New Roman" w:hAnsi="Calibri" w:cs="Times New Roman"/>
          <w:b/>
          <w:bCs/>
          <w:sz w:val="25"/>
          <w:szCs w:val="25"/>
          <w:lang w:eastAsia="en-AU"/>
        </w:rPr>
        <w:t>Myanmar</w:t>
      </w:r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on upholding the human rights of </w:t>
      </w:r>
      <w:proofErr w:type="spellStart"/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>Rohingya</w:t>
      </w:r>
      <w:proofErr w:type="spellEnd"/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in </w:t>
      </w:r>
      <w:proofErr w:type="spellStart"/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>Rakhine</w:t>
      </w:r>
      <w:proofErr w:type="spellEnd"/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State since </w:t>
      </w:r>
      <w:r w:rsidR="00346D23">
        <w:rPr>
          <w:rFonts w:ascii="Calibri" w:eastAsia="Times New Roman" w:hAnsi="Calibri" w:cs="Times New Roman"/>
          <w:bCs/>
          <w:sz w:val="25"/>
          <w:szCs w:val="25"/>
          <w:lang w:eastAsia="en-AU"/>
        </w:rPr>
        <w:t>the last report presented in 2016</w:t>
      </w:r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>.</w:t>
      </w:r>
    </w:p>
    <w:p w:rsidR="00062DA4" w:rsidRPr="007731C0" w:rsidRDefault="00062DA4" w:rsidP="007731C0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</w:p>
    <w:p w:rsidR="00062DA4" w:rsidRDefault="007731C0" w:rsidP="002B0495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We call on Myanmar to enable freedom of movement for the </w:t>
      </w:r>
      <w:proofErr w:type="spellStart"/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>Rohingya</w:t>
      </w:r>
      <w:proofErr w:type="spellEnd"/>
      <w:r w:rsidRPr="007731C0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people, grant them access to services, ensure credible accountability for past and present human rights violations, and cooperate fully with United Nations human rights mechanisms.</w:t>
      </w:r>
      <w:r w:rsidR="00062DA4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</w:t>
      </w:r>
      <w:r w:rsidR="00062DA4" w:rsidRPr="00457E25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It is through such measures that Myanmar can create the conditions for the voluntary, safe, dignified and sustainable return to Myanmar of displaced </w:t>
      </w:r>
      <w:proofErr w:type="spellStart"/>
      <w:r w:rsidR="00062DA4" w:rsidRPr="00457E25">
        <w:rPr>
          <w:rFonts w:ascii="Calibri" w:eastAsia="Times New Roman" w:hAnsi="Calibri" w:cs="Times New Roman"/>
          <w:bCs/>
          <w:sz w:val="25"/>
          <w:szCs w:val="25"/>
          <w:lang w:eastAsia="en-AU"/>
        </w:rPr>
        <w:t>Rohingya</w:t>
      </w:r>
      <w:proofErr w:type="spellEnd"/>
      <w:r w:rsidR="00062DA4" w:rsidRPr="00457E25">
        <w:rPr>
          <w:rFonts w:ascii="Calibri" w:eastAsia="Times New Roman" w:hAnsi="Calibri" w:cs="Times New Roman"/>
          <w:bCs/>
          <w:sz w:val="25"/>
          <w:szCs w:val="25"/>
          <w:lang w:eastAsia="en-AU"/>
        </w:rPr>
        <w:t>.</w:t>
      </w:r>
    </w:p>
    <w:p w:rsidR="00062DA4" w:rsidRDefault="00062DA4" w:rsidP="002B0495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</w:p>
    <w:p w:rsidR="002B0495" w:rsidRPr="006F4D78" w:rsidRDefault="002B0495" w:rsidP="002B0495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  <w:r w:rsidRPr="006F4D78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Australia joins concerned states in condemning actions by the </w:t>
      </w:r>
      <w:proofErr w:type="spellStart"/>
      <w:r w:rsidRPr="006F4D78">
        <w:rPr>
          <w:rFonts w:ascii="Calibri" w:eastAsia="Times New Roman" w:hAnsi="Calibri" w:cs="Times New Roman"/>
          <w:bCs/>
          <w:sz w:val="25"/>
          <w:szCs w:val="25"/>
          <w:lang w:eastAsia="en-AU"/>
        </w:rPr>
        <w:t>Maduro</w:t>
      </w:r>
      <w:proofErr w:type="spellEnd"/>
      <w:r w:rsidRPr="006F4D78">
        <w:rPr>
          <w:rFonts w:ascii="Calibri" w:eastAsia="Times New Roman" w:hAnsi="Calibri" w:cs="Times New Roman"/>
          <w:bCs/>
          <w:sz w:val="25"/>
          <w:szCs w:val="25"/>
          <w:lang w:eastAsia="en-AU"/>
        </w:rPr>
        <w:t>-regime</w:t>
      </w:r>
      <w:r w:rsidR="00382CA6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in </w:t>
      </w:r>
      <w:r w:rsidR="00382CA6">
        <w:rPr>
          <w:rFonts w:ascii="Calibri" w:eastAsia="Times New Roman" w:hAnsi="Calibri" w:cs="Times New Roman"/>
          <w:b/>
          <w:bCs/>
          <w:sz w:val="25"/>
          <w:szCs w:val="25"/>
          <w:lang w:eastAsia="en-AU"/>
        </w:rPr>
        <w:t>Venezuela</w:t>
      </w:r>
      <w:r w:rsidRPr="006F4D78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to obstruct access to humanitarian aid, threaten interim President </w:t>
      </w:r>
      <w:proofErr w:type="spellStart"/>
      <w:r w:rsidRPr="006F4D78">
        <w:rPr>
          <w:rFonts w:ascii="Calibri" w:eastAsia="Times New Roman" w:hAnsi="Calibri" w:cs="Times New Roman"/>
          <w:bCs/>
          <w:sz w:val="25"/>
          <w:szCs w:val="25"/>
          <w:lang w:eastAsia="en-AU"/>
        </w:rPr>
        <w:t>Guiadó</w:t>
      </w:r>
      <w:proofErr w:type="spellEnd"/>
      <w:r w:rsidRPr="006F4D78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and other opposition leaders, detain journalists and suppress civil protest. </w:t>
      </w:r>
    </w:p>
    <w:p w:rsidR="002B0495" w:rsidRPr="006F4D78" w:rsidRDefault="002B0495" w:rsidP="002B0495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</w:p>
    <w:p w:rsidR="002B0495" w:rsidRDefault="002B0495" w:rsidP="002B0495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  <w:r w:rsidRPr="006F4D78">
        <w:rPr>
          <w:rFonts w:ascii="Calibri" w:eastAsia="Times New Roman" w:hAnsi="Calibri" w:cs="Times New Roman"/>
          <w:bCs/>
          <w:sz w:val="25"/>
          <w:szCs w:val="25"/>
          <w:lang w:eastAsia="en-AU"/>
        </w:rPr>
        <w:t>Australia urges all parties to negotiate a peaceful settlement that will lead to democratic elections as quickly as possible and restore the rule of law and human ri</w:t>
      </w:r>
      <w:r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ghts of </w:t>
      </w:r>
      <w:r w:rsidRPr="00382CA6">
        <w:rPr>
          <w:rFonts w:ascii="Calibri" w:eastAsia="Times New Roman" w:hAnsi="Calibri" w:cs="Times New Roman"/>
          <w:bCs/>
          <w:sz w:val="25"/>
          <w:szCs w:val="25"/>
          <w:lang w:eastAsia="en-AU"/>
        </w:rPr>
        <w:t>the Venezuelan</w:t>
      </w:r>
      <w:r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people. </w:t>
      </w:r>
    </w:p>
    <w:p w:rsidR="002B0495" w:rsidRDefault="002B0495" w:rsidP="002B0495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</w:p>
    <w:p w:rsidR="002B0495" w:rsidRDefault="002B0495" w:rsidP="002B0495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  <w:r w:rsidRPr="002B0495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Australia remains deeply concerned about the deteriorating humanitarian situation </w:t>
      </w:r>
      <w:r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in </w:t>
      </w:r>
      <w:r w:rsidRPr="002B0495">
        <w:rPr>
          <w:rFonts w:ascii="Calibri" w:eastAsia="Times New Roman" w:hAnsi="Calibri" w:cs="Times New Roman"/>
          <w:b/>
          <w:bCs/>
          <w:sz w:val="25"/>
          <w:szCs w:val="25"/>
          <w:lang w:eastAsia="en-AU"/>
        </w:rPr>
        <w:t>Yemen</w:t>
      </w:r>
      <w:r w:rsidRPr="002B0495">
        <w:rPr>
          <w:rFonts w:ascii="Calibri" w:eastAsia="Times New Roman" w:hAnsi="Calibri" w:cs="Times New Roman"/>
          <w:bCs/>
          <w:sz w:val="25"/>
          <w:szCs w:val="25"/>
          <w:lang w:eastAsia="en-AU"/>
        </w:rPr>
        <w:t>.</w:t>
      </w:r>
      <w:r w:rsidR="00380396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We note the Secretary General </w:t>
      </w:r>
      <w:r w:rsidR="00971336">
        <w:rPr>
          <w:rFonts w:ascii="Calibri" w:eastAsia="Times New Roman" w:hAnsi="Calibri" w:cs="Times New Roman"/>
          <w:bCs/>
          <w:sz w:val="25"/>
          <w:szCs w:val="25"/>
          <w:lang w:eastAsia="en-AU"/>
        </w:rPr>
        <w:t>has said 24 million people in Yemen need humanitarian aid and protection.</w:t>
      </w:r>
      <w:r w:rsidRPr="002B0495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 </w:t>
      </w:r>
      <w:r w:rsidR="00427B97">
        <w:rPr>
          <w:rFonts w:ascii="Calibri" w:eastAsia="Times New Roman" w:hAnsi="Calibri" w:cs="Times New Roman"/>
          <w:bCs/>
          <w:sz w:val="25"/>
          <w:szCs w:val="25"/>
          <w:lang w:eastAsia="en-AU"/>
        </w:rPr>
        <w:t>As Australia stated in Yemen’s Universal Periodic Review in January 2019, w</w:t>
      </w:r>
      <w:r w:rsidRPr="002B0495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e welcome the ceasefire agreement reached in Stockholm, but consider that its implementation must be hastened to allow humanitarian access. </w:t>
      </w:r>
      <w:r w:rsidR="00427B97" w:rsidRPr="00427B97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We are </w:t>
      </w:r>
      <w:r w:rsidR="00427B97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also </w:t>
      </w:r>
      <w:r w:rsidR="00427B97" w:rsidRPr="00427B97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concerned about the disproportionate impact of the hostilities on women and children. </w:t>
      </w:r>
      <w:r w:rsidRPr="002B0495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Australia urges all parties to the conflict </w:t>
      </w:r>
      <w:r w:rsidR="00382CA6">
        <w:rPr>
          <w:rFonts w:ascii="Calibri" w:eastAsia="Times New Roman" w:hAnsi="Calibri" w:cs="Times New Roman"/>
          <w:bCs/>
          <w:sz w:val="25"/>
          <w:szCs w:val="25"/>
          <w:lang w:eastAsia="en-AU"/>
        </w:rPr>
        <w:t xml:space="preserve">to </w:t>
      </w:r>
      <w:r w:rsidRPr="002B0495">
        <w:rPr>
          <w:rFonts w:ascii="Calibri" w:eastAsia="Times New Roman" w:hAnsi="Calibri" w:cs="Times New Roman"/>
          <w:bCs/>
          <w:sz w:val="25"/>
          <w:szCs w:val="25"/>
          <w:lang w:eastAsia="en-AU"/>
        </w:rPr>
        <w:t>allow the UN monitoring mission to safely carry out its role. We further urge the parties to engage constructively in peace talks to reach a durable political settlement.</w:t>
      </w:r>
    </w:p>
    <w:p w:rsidR="002B0495" w:rsidRDefault="002B0495" w:rsidP="006F4D78">
      <w:pPr>
        <w:tabs>
          <w:tab w:val="left" w:pos="1134"/>
        </w:tabs>
        <w:spacing w:after="0" w:line="240" w:lineRule="auto"/>
        <w:ind w:right="-45"/>
        <w:rPr>
          <w:rFonts w:ascii="Calibri" w:eastAsia="Times New Roman" w:hAnsi="Calibri" w:cs="Times New Roman"/>
          <w:bCs/>
          <w:sz w:val="25"/>
          <w:szCs w:val="25"/>
          <w:lang w:eastAsia="en-AU"/>
        </w:rPr>
      </w:pPr>
    </w:p>
    <w:p w:rsidR="006F4D78" w:rsidRPr="006F4D78" w:rsidRDefault="00457E25" w:rsidP="006F4D78">
      <w:pPr>
        <w:tabs>
          <w:tab w:val="left" w:pos="1134"/>
        </w:tabs>
        <w:spacing w:after="0" w:line="240" w:lineRule="auto"/>
        <w:ind w:right="-45"/>
        <w:rPr>
          <w:rFonts w:ascii="Calibri Light" w:eastAsia="Times New Roman" w:hAnsi="Calibri Light" w:cs="Times New Roman"/>
          <w:bCs/>
          <w:sz w:val="25"/>
          <w:szCs w:val="25"/>
          <w:lang w:eastAsia="en-AU"/>
        </w:rPr>
      </w:pPr>
      <w:r>
        <w:rPr>
          <w:rFonts w:ascii="Calibri Light" w:eastAsia="Times New Roman" w:hAnsi="Calibri Light" w:cs="Times New Roman"/>
          <w:b/>
          <w:bCs/>
          <w:i/>
          <w:sz w:val="25"/>
          <w:szCs w:val="25"/>
          <w:lang w:eastAsia="en-AU"/>
        </w:rPr>
        <w:t>2</w:t>
      </w:r>
      <w:r w:rsidR="00427B97">
        <w:rPr>
          <w:rFonts w:ascii="Calibri Light" w:eastAsia="Times New Roman" w:hAnsi="Calibri Light" w:cs="Times New Roman"/>
          <w:b/>
          <w:bCs/>
          <w:i/>
          <w:sz w:val="25"/>
          <w:szCs w:val="25"/>
          <w:lang w:eastAsia="en-AU"/>
        </w:rPr>
        <w:t>79</w:t>
      </w:r>
      <w:r w:rsidR="00085C84" w:rsidRPr="00085C84">
        <w:rPr>
          <w:rFonts w:ascii="Calibri Light" w:eastAsia="Times New Roman" w:hAnsi="Calibri Light" w:cs="Times New Roman"/>
          <w:b/>
          <w:bCs/>
          <w:i/>
          <w:sz w:val="25"/>
          <w:szCs w:val="25"/>
          <w:lang w:eastAsia="en-AU"/>
        </w:rPr>
        <w:t xml:space="preserve"> </w:t>
      </w:r>
      <w:r w:rsidR="00085C84">
        <w:rPr>
          <w:rFonts w:ascii="Calibri Light" w:eastAsia="Times New Roman" w:hAnsi="Calibri Light" w:cs="Times New Roman"/>
          <w:b/>
          <w:bCs/>
          <w:i/>
          <w:sz w:val="25"/>
          <w:szCs w:val="25"/>
          <w:lang w:eastAsia="en-AU"/>
        </w:rPr>
        <w:t>w</w:t>
      </w:r>
      <w:r w:rsidR="006F4D78" w:rsidRPr="00085C84">
        <w:rPr>
          <w:rFonts w:ascii="Calibri Light" w:eastAsia="Times New Roman" w:hAnsi="Calibri Light" w:cs="Times New Roman"/>
          <w:b/>
          <w:bCs/>
          <w:sz w:val="25"/>
          <w:szCs w:val="25"/>
          <w:lang w:eastAsia="en-AU"/>
        </w:rPr>
        <w:t>ords</w:t>
      </w:r>
    </w:p>
    <w:p w:rsidR="00573C91" w:rsidRPr="006F4D78" w:rsidRDefault="00214E30">
      <w:pPr>
        <w:rPr>
          <w:b/>
        </w:rPr>
      </w:pPr>
    </w:p>
    <w:sectPr w:rsidR="00573C91" w:rsidRPr="006F4D78" w:rsidSect="001B7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8B" w:rsidRDefault="00E1738B">
      <w:pPr>
        <w:spacing w:after="0" w:line="240" w:lineRule="auto"/>
      </w:pPr>
      <w:r>
        <w:separator/>
      </w:r>
    </w:p>
  </w:endnote>
  <w:endnote w:type="continuationSeparator" w:id="0">
    <w:p w:rsidR="00E1738B" w:rsidRDefault="00E1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30" w:rsidRDefault="00214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85C84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085C84" w:rsidP="00FC4A4A">
    <w:pPr>
      <w:pStyle w:val="Footer"/>
      <w:tabs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AAB8F8" wp14:editId="2786EB38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99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CE6798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" strokecolor="#090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FA971C" wp14:editId="1184103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085C84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085C84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A97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085C84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085C84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8B" w:rsidRDefault="00E1738B">
      <w:pPr>
        <w:spacing w:after="0" w:line="240" w:lineRule="auto"/>
      </w:pPr>
      <w:r>
        <w:separator/>
      </w:r>
    </w:p>
  </w:footnote>
  <w:footnote w:type="continuationSeparator" w:id="0">
    <w:p w:rsidR="00E1738B" w:rsidRDefault="00E1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30" w:rsidRDefault="00214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85C8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267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85C84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3E3165" wp14:editId="52F9B6F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1FC5BD" id="Group 1" o:spid="_x0000_s1026" style="position:absolute;margin-left:282pt;margin-top:-3.95pt;width:206.65pt;height:97.15pt;z-index:251660288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EC5826" wp14:editId="15FE9BC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EA5CA" id="Rectangle 2" o:spid="_x0000_s1026" alt="Narrow horizontal" style="position:absolute;margin-left:0;margin-top:-7.5pt;width:538.65pt;height:94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78"/>
    <w:rsid w:val="00013B30"/>
    <w:rsid w:val="00062DA4"/>
    <w:rsid w:val="00082F24"/>
    <w:rsid w:val="00085C84"/>
    <w:rsid w:val="00111C23"/>
    <w:rsid w:val="001C64AB"/>
    <w:rsid w:val="00214E30"/>
    <w:rsid w:val="00217D93"/>
    <w:rsid w:val="00293555"/>
    <w:rsid w:val="002B0495"/>
    <w:rsid w:val="002E5758"/>
    <w:rsid w:val="00346D23"/>
    <w:rsid w:val="00380396"/>
    <w:rsid w:val="00382CA6"/>
    <w:rsid w:val="00427B97"/>
    <w:rsid w:val="00457E25"/>
    <w:rsid w:val="004A69FA"/>
    <w:rsid w:val="00642153"/>
    <w:rsid w:val="006B0208"/>
    <w:rsid w:val="006C12F0"/>
    <w:rsid w:val="006F4D78"/>
    <w:rsid w:val="00723C9C"/>
    <w:rsid w:val="00762E1F"/>
    <w:rsid w:val="007731C0"/>
    <w:rsid w:val="0077634E"/>
    <w:rsid w:val="007A4AAC"/>
    <w:rsid w:val="00810544"/>
    <w:rsid w:val="009608AF"/>
    <w:rsid w:val="00966D34"/>
    <w:rsid w:val="00971336"/>
    <w:rsid w:val="009A465A"/>
    <w:rsid w:val="009E789F"/>
    <w:rsid w:val="00A37179"/>
    <w:rsid w:val="00B1760E"/>
    <w:rsid w:val="00B4267C"/>
    <w:rsid w:val="00C63810"/>
    <w:rsid w:val="00D23A8F"/>
    <w:rsid w:val="00D42F93"/>
    <w:rsid w:val="00D7547D"/>
    <w:rsid w:val="00DC5B3F"/>
    <w:rsid w:val="00E1738B"/>
    <w:rsid w:val="00E24329"/>
    <w:rsid w:val="00EF1E49"/>
    <w:rsid w:val="00F20CB6"/>
    <w:rsid w:val="00F735B6"/>
    <w:rsid w:val="00F85330"/>
    <w:rsid w:val="00F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F4D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4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78"/>
  </w:style>
  <w:style w:type="paragraph" w:styleId="Footer">
    <w:name w:val="footer"/>
    <w:basedOn w:val="Normal"/>
    <w:link w:val="FooterChar"/>
    <w:uiPriority w:val="99"/>
    <w:unhideWhenUsed/>
    <w:rsid w:val="006F4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78"/>
  </w:style>
  <w:style w:type="character" w:styleId="PageNumber">
    <w:name w:val="page number"/>
    <w:basedOn w:val="DefaultParagraphFont"/>
    <w:rsid w:val="006F4D78"/>
  </w:style>
  <w:style w:type="paragraph" w:styleId="NormalWeb">
    <w:name w:val="Normal (Web)"/>
    <w:basedOn w:val="Normal"/>
    <w:uiPriority w:val="99"/>
    <w:semiHidden/>
    <w:unhideWhenUsed/>
    <w:rsid w:val="0077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EDCE5B-1E16-4DF1-A064-040F06CFD1E6}"/>
</file>

<file path=customXml/itemProps2.xml><?xml version="1.0" encoding="utf-8"?>
<ds:datastoreItem xmlns:ds="http://schemas.openxmlformats.org/officeDocument/2006/customXml" ds:itemID="{B062C284-A0AE-4374-B181-13949F34B776}"/>
</file>

<file path=customXml/itemProps3.xml><?xml version="1.0" encoding="utf-8"?>
<ds:datastoreItem xmlns:ds="http://schemas.openxmlformats.org/officeDocument/2006/customXml" ds:itemID="{9951C400-BC4C-4009-8AAC-A9977E5747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2019-03-21T00:48:00Z</dcterms:created>
  <dcterms:modified xsi:type="dcterms:W3CDTF">2019-03-21T00:48:00Z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4f5c9eba-d744-481a-8753-f02db21131ba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25900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