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8D6" w:rsidRDefault="00D3236A">
      <w:pPr>
        <w:pStyle w:val="Heading1"/>
        <w:spacing w:before="146"/>
        <w:ind w:left="3120"/>
      </w:pPr>
      <w:bookmarkStart w:id="0" w:name="_GoBack"/>
      <w:bookmarkEnd w:id="0"/>
      <w:r>
        <w:t>JOINT LEADERS’ STATEMENT ON</w:t>
      </w:r>
    </w:p>
    <w:p w:rsidR="009F68D6" w:rsidRDefault="00D3236A">
      <w:pPr>
        <w:spacing w:line="341" w:lineRule="exact"/>
        <w:ind w:left="1143"/>
        <w:rPr>
          <w:b/>
          <w:sz w:val="28"/>
        </w:rPr>
      </w:pPr>
      <w:r>
        <w:rPr>
          <w:b/>
          <w:sz w:val="28"/>
        </w:rPr>
        <w:t>THE REGIONAL COMPREHENSIVE ECONOMIC PARTNERSHIP (RCEP)</w:t>
      </w:r>
    </w:p>
    <w:p w:rsidR="009F68D6" w:rsidRDefault="00D3236A">
      <w:pPr>
        <w:spacing w:line="341" w:lineRule="exact"/>
        <w:ind w:left="2834"/>
        <w:rPr>
          <w:b/>
          <w:sz w:val="28"/>
        </w:rPr>
      </w:pPr>
      <w:r>
        <w:rPr>
          <w:b/>
          <w:sz w:val="28"/>
        </w:rPr>
        <w:t>4 November 2019, Bangkok, Thailand</w:t>
      </w:r>
    </w:p>
    <w:p w:rsidR="009F68D6" w:rsidRDefault="009F68D6">
      <w:pPr>
        <w:pStyle w:val="BodyText"/>
        <w:rPr>
          <w:b/>
          <w:sz w:val="34"/>
        </w:rPr>
      </w:pPr>
    </w:p>
    <w:p w:rsidR="009F68D6" w:rsidRDefault="00D3236A">
      <w:pPr>
        <w:pStyle w:val="BodyText"/>
        <w:spacing w:before="271"/>
        <w:ind w:left="106" w:right="117"/>
        <w:jc w:val="both"/>
      </w:pPr>
      <w:r>
        <w:t>We, the Heads of State/Government of the Member States of the Association of Southeast Asian Nations (ASEAN) and Australia, China, India, Japan, Korea, and New Zealand, gathered on 4 November 2019 in Bangkok, Thailand, on the occasion of the 3</w:t>
      </w:r>
      <w:proofErr w:type="spellStart"/>
      <w:r>
        <w:rPr>
          <w:position w:val="9"/>
          <w:sz w:val="18"/>
        </w:rPr>
        <w:t>rd</w:t>
      </w:r>
      <w:proofErr w:type="spellEnd"/>
      <w:r>
        <w:rPr>
          <w:position w:val="9"/>
          <w:sz w:val="18"/>
        </w:rPr>
        <w:t xml:space="preserve"> </w:t>
      </w:r>
      <w:r>
        <w:t>RCEP Summi</w:t>
      </w:r>
      <w:r>
        <w:t>t.</w:t>
      </w:r>
    </w:p>
    <w:p w:rsidR="009F68D6" w:rsidRDefault="009F68D6">
      <w:pPr>
        <w:pStyle w:val="BodyText"/>
        <w:spacing w:before="11"/>
        <w:rPr>
          <w:sz w:val="27"/>
        </w:rPr>
      </w:pPr>
    </w:p>
    <w:p w:rsidR="009F68D6" w:rsidRDefault="00D3236A">
      <w:pPr>
        <w:pStyle w:val="BodyText"/>
        <w:spacing w:before="1"/>
        <w:ind w:left="106" w:right="116"/>
        <w:jc w:val="both"/>
      </w:pPr>
      <w:r>
        <w:t>We</w:t>
      </w:r>
      <w:r>
        <w:rPr>
          <w:spacing w:val="-6"/>
        </w:rPr>
        <w:t xml:space="preserve"> </w:t>
      </w:r>
      <w:r>
        <w:t>recalled</w:t>
      </w:r>
      <w:r>
        <w:rPr>
          <w:spacing w:val="-5"/>
        </w:rPr>
        <w:t xml:space="preserve"> </w:t>
      </w:r>
      <w:r>
        <w:t>our</w:t>
      </w:r>
      <w:r>
        <w:rPr>
          <w:spacing w:val="-5"/>
        </w:rPr>
        <w:t xml:space="preserve"> </w:t>
      </w:r>
      <w:r>
        <w:t>Joint</w:t>
      </w:r>
      <w:r>
        <w:rPr>
          <w:spacing w:val="-6"/>
        </w:rPr>
        <w:t xml:space="preserve"> </w:t>
      </w:r>
      <w:r>
        <w:t>Declaration</w:t>
      </w:r>
      <w:r>
        <w:rPr>
          <w:spacing w:val="-5"/>
        </w:rPr>
        <w:t xml:space="preserve"> </w:t>
      </w:r>
      <w:r>
        <w:t>on</w:t>
      </w:r>
      <w:r>
        <w:rPr>
          <w:spacing w:val="-5"/>
        </w:rPr>
        <w:t xml:space="preserve"> </w:t>
      </w:r>
      <w:r>
        <w:t>the</w:t>
      </w:r>
      <w:r>
        <w:rPr>
          <w:spacing w:val="-6"/>
        </w:rPr>
        <w:t xml:space="preserve"> </w:t>
      </w:r>
      <w:r>
        <w:t>Launch</w:t>
      </w:r>
      <w:r>
        <w:rPr>
          <w:spacing w:val="-5"/>
        </w:rPr>
        <w:t xml:space="preserve"> </w:t>
      </w:r>
      <w:r>
        <w:t>of</w:t>
      </w:r>
      <w:r>
        <w:rPr>
          <w:spacing w:val="-5"/>
        </w:rPr>
        <w:t xml:space="preserve"> </w:t>
      </w:r>
      <w:r>
        <w:t>Negotiations</w:t>
      </w:r>
      <w:r>
        <w:rPr>
          <w:spacing w:val="-5"/>
        </w:rPr>
        <w:t xml:space="preserve"> </w:t>
      </w:r>
      <w:r>
        <w:t>for</w:t>
      </w:r>
      <w:r>
        <w:rPr>
          <w:spacing w:val="-6"/>
        </w:rPr>
        <w:t xml:space="preserve"> </w:t>
      </w:r>
      <w:r>
        <w:t>the</w:t>
      </w:r>
      <w:r>
        <w:rPr>
          <w:spacing w:val="-5"/>
        </w:rPr>
        <w:t xml:space="preserve"> </w:t>
      </w:r>
      <w:r>
        <w:t>RCEP</w:t>
      </w:r>
      <w:r>
        <w:rPr>
          <w:spacing w:val="-1"/>
        </w:rPr>
        <w:t xml:space="preserve"> </w:t>
      </w:r>
      <w:r>
        <w:t>issued</w:t>
      </w:r>
      <w:r>
        <w:rPr>
          <w:spacing w:val="-5"/>
        </w:rPr>
        <w:t xml:space="preserve"> </w:t>
      </w:r>
      <w:r>
        <w:t>in Phnom Penh, Cambodia, in 2012, as well as the Guiding Principles and Objectives for Negotiating the RCEP that we endorsed, in which we committed to achieve a modern,</w:t>
      </w:r>
      <w:r>
        <w:t xml:space="preserve"> comprehensive, high-quality, and mutually beneficial economic partnership agreement.</w:t>
      </w:r>
    </w:p>
    <w:p w:rsidR="009F68D6" w:rsidRDefault="009F68D6">
      <w:pPr>
        <w:pStyle w:val="BodyText"/>
        <w:spacing w:before="11"/>
        <w:rPr>
          <w:sz w:val="27"/>
        </w:rPr>
      </w:pPr>
    </w:p>
    <w:p w:rsidR="009F68D6" w:rsidRDefault="00D3236A">
      <w:pPr>
        <w:pStyle w:val="BodyText"/>
        <w:ind w:left="106" w:right="116"/>
        <w:jc w:val="both"/>
      </w:pPr>
      <w:r>
        <w:t>Against the backdrop of a fast-changing global environment, the completion of the RCEP negotiations will demonstrate our collective commitment to an open trade and inves</w:t>
      </w:r>
      <w:r>
        <w:t>tment</w:t>
      </w:r>
      <w:r>
        <w:rPr>
          <w:spacing w:val="-17"/>
        </w:rPr>
        <w:t xml:space="preserve"> </w:t>
      </w:r>
      <w:r>
        <w:t>environment</w:t>
      </w:r>
      <w:r>
        <w:rPr>
          <w:spacing w:val="-17"/>
        </w:rPr>
        <w:t xml:space="preserve"> </w:t>
      </w:r>
      <w:r>
        <w:t>across</w:t>
      </w:r>
      <w:r>
        <w:rPr>
          <w:spacing w:val="-17"/>
        </w:rPr>
        <w:t xml:space="preserve"> </w:t>
      </w:r>
      <w:r>
        <w:t>the</w:t>
      </w:r>
      <w:r>
        <w:rPr>
          <w:spacing w:val="-17"/>
        </w:rPr>
        <w:t xml:space="preserve"> </w:t>
      </w:r>
      <w:r>
        <w:t>region.</w:t>
      </w:r>
      <w:r>
        <w:rPr>
          <w:spacing w:val="-17"/>
        </w:rPr>
        <w:t xml:space="preserve"> </w:t>
      </w:r>
      <w:r>
        <w:t>We</w:t>
      </w:r>
      <w:r>
        <w:rPr>
          <w:spacing w:val="-19"/>
        </w:rPr>
        <w:t xml:space="preserve"> </w:t>
      </w:r>
      <w:r>
        <w:t>are</w:t>
      </w:r>
      <w:r>
        <w:rPr>
          <w:spacing w:val="-17"/>
        </w:rPr>
        <w:t xml:space="preserve"> </w:t>
      </w:r>
      <w:r>
        <w:t>negotiating</w:t>
      </w:r>
      <w:r>
        <w:rPr>
          <w:spacing w:val="-17"/>
        </w:rPr>
        <w:t xml:space="preserve"> </w:t>
      </w:r>
      <w:r>
        <w:t>an</w:t>
      </w:r>
      <w:r>
        <w:rPr>
          <w:spacing w:val="-16"/>
        </w:rPr>
        <w:t xml:space="preserve"> </w:t>
      </w:r>
      <w:r>
        <w:t>Agreement</w:t>
      </w:r>
      <w:r>
        <w:rPr>
          <w:spacing w:val="-17"/>
        </w:rPr>
        <w:t xml:space="preserve"> </w:t>
      </w:r>
      <w:r>
        <w:t>intended to</w:t>
      </w:r>
      <w:r>
        <w:rPr>
          <w:spacing w:val="-5"/>
        </w:rPr>
        <w:t xml:space="preserve"> </w:t>
      </w:r>
      <w:r>
        <w:t>further</w:t>
      </w:r>
      <w:r>
        <w:rPr>
          <w:spacing w:val="-5"/>
        </w:rPr>
        <w:t xml:space="preserve"> </w:t>
      </w:r>
      <w:r>
        <w:t>expand</w:t>
      </w:r>
      <w:r>
        <w:rPr>
          <w:spacing w:val="-4"/>
        </w:rPr>
        <w:t xml:space="preserve"> </w:t>
      </w:r>
      <w:r>
        <w:t>and</w:t>
      </w:r>
      <w:r>
        <w:rPr>
          <w:spacing w:val="-5"/>
        </w:rPr>
        <w:t xml:space="preserve"> </w:t>
      </w:r>
      <w:r>
        <w:t>deepen</w:t>
      </w:r>
      <w:r>
        <w:rPr>
          <w:spacing w:val="-4"/>
        </w:rPr>
        <w:t xml:space="preserve"> </w:t>
      </w:r>
      <w:r>
        <w:t>regional</w:t>
      </w:r>
      <w:r>
        <w:rPr>
          <w:spacing w:val="-6"/>
        </w:rPr>
        <w:t xml:space="preserve"> </w:t>
      </w:r>
      <w:r>
        <w:t>value</w:t>
      </w:r>
      <w:r>
        <w:rPr>
          <w:spacing w:val="-4"/>
        </w:rPr>
        <w:t xml:space="preserve"> </w:t>
      </w:r>
      <w:r>
        <w:t>chains</w:t>
      </w:r>
      <w:r>
        <w:rPr>
          <w:spacing w:val="-5"/>
        </w:rPr>
        <w:t xml:space="preserve"> </w:t>
      </w:r>
      <w:r>
        <w:t>for</w:t>
      </w:r>
      <w:r>
        <w:rPr>
          <w:spacing w:val="-5"/>
        </w:rPr>
        <w:t xml:space="preserve"> </w:t>
      </w:r>
      <w:r>
        <w:t>the</w:t>
      </w:r>
      <w:r>
        <w:rPr>
          <w:spacing w:val="-4"/>
        </w:rPr>
        <w:t xml:space="preserve"> </w:t>
      </w:r>
      <w:r>
        <w:t>benefits</w:t>
      </w:r>
      <w:r>
        <w:rPr>
          <w:spacing w:val="-5"/>
        </w:rPr>
        <w:t xml:space="preserve"> </w:t>
      </w:r>
      <w:r>
        <w:t>of</w:t>
      </w:r>
      <w:r>
        <w:rPr>
          <w:spacing w:val="-4"/>
        </w:rPr>
        <w:t xml:space="preserve"> </w:t>
      </w:r>
      <w:r>
        <w:t>our</w:t>
      </w:r>
      <w:r>
        <w:rPr>
          <w:spacing w:val="-5"/>
        </w:rPr>
        <w:t xml:space="preserve"> </w:t>
      </w:r>
      <w:r>
        <w:t>businesses, including small and medium enterprises, as well as our workers, producers, and consumers. RCEP will significantly boost the region’s future growth prospects and contribute positively to the global economy, while serving as a supporting pillar t</w:t>
      </w:r>
      <w:r>
        <w:t>o a strong multilateral trading system and promoting development in economies across the</w:t>
      </w:r>
      <w:r>
        <w:rPr>
          <w:spacing w:val="-1"/>
        </w:rPr>
        <w:t xml:space="preserve"> </w:t>
      </w:r>
      <w:r>
        <w:t>region.</w:t>
      </w:r>
    </w:p>
    <w:p w:rsidR="009F68D6" w:rsidRDefault="009F68D6">
      <w:pPr>
        <w:pStyle w:val="BodyText"/>
        <w:spacing w:before="11"/>
        <w:rPr>
          <w:sz w:val="27"/>
        </w:rPr>
      </w:pPr>
    </w:p>
    <w:p w:rsidR="009F68D6" w:rsidRDefault="00D3236A">
      <w:pPr>
        <w:pStyle w:val="BodyText"/>
        <w:spacing w:before="1" w:line="242" w:lineRule="auto"/>
        <w:ind w:left="106" w:right="119"/>
        <w:jc w:val="both"/>
      </w:pPr>
      <w:r>
        <w:t>We welcomed the report presented by Ministers on the outcomes of the RCEP negotiations, which commenced in 2013.</w:t>
      </w:r>
    </w:p>
    <w:p w:rsidR="009F68D6" w:rsidRDefault="009F68D6">
      <w:pPr>
        <w:pStyle w:val="BodyText"/>
        <w:spacing w:before="7"/>
        <w:rPr>
          <w:sz w:val="27"/>
        </w:rPr>
      </w:pPr>
    </w:p>
    <w:p w:rsidR="009F68D6" w:rsidRDefault="00D3236A">
      <w:pPr>
        <w:pStyle w:val="BodyText"/>
        <w:ind w:left="106" w:right="120"/>
        <w:jc w:val="both"/>
      </w:pPr>
      <w:r>
        <w:t>We noted 15 RCEP Participating Countries hav</w:t>
      </w:r>
      <w:r>
        <w:t>e concluded text-based negotiations for all</w:t>
      </w:r>
      <w:r>
        <w:rPr>
          <w:spacing w:val="-16"/>
        </w:rPr>
        <w:t xml:space="preserve"> </w:t>
      </w:r>
      <w:r>
        <w:t>20</w:t>
      </w:r>
      <w:r>
        <w:rPr>
          <w:spacing w:val="-14"/>
        </w:rPr>
        <w:t xml:space="preserve"> </w:t>
      </w:r>
      <w:r>
        <w:t>chapters</w:t>
      </w:r>
      <w:proofErr w:type="spellStart"/>
      <w:r>
        <w:rPr>
          <w:position w:val="9"/>
          <w:sz w:val="18"/>
        </w:rPr>
        <w:t>i</w:t>
      </w:r>
      <w:proofErr w:type="spellEnd"/>
      <w:r>
        <w:rPr>
          <w:spacing w:val="8"/>
          <w:position w:val="9"/>
          <w:sz w:val="18"/>
        </w:rPr>
        <w:t xml:space="preserve"> </w:t>
      </w:r>
      <w:r>
        <w:t>and</w:t>
      </w:r>
      <w:r>
        <w:rPr>
          <w:spacing w:val="-16"/>
        </w:rPr>
        <w:t xml:space="preserve"> </w:t>
      </w:r>
      <w:r>
        <w:t>essentially</w:t>
      </w:r>
      <w:r>
        <w:rPr>
          <w:spacing w:val="-15"/>
        </w:rPr>
        <w:t xml:space="preserve"> </w:t>
      </w:r>
      <w:r>
        <w:t>all</w:t>
      </w:r>
      <w:r>
        <w:rPr>
          <w:spacing w:val="-15"/>
        </w:rPr>
        <w:t xml:space="preserve"> </w:t>
      </w:r>
      <w:r>
        <w:t>their</w:t>
      </w:r>
      <w:r>
        <w:rPr>
          <w:spacing w:val="-15"/>
        </w:rPr>
        <w:t xml:space="preserve"> </w:t>
      </w:r>
      <w:r>
        <w:t>market</w:t>
      </w:r>
      <w:r>
        <w:rPr>
          <w:spacing w:val="-16"/>
        </w:rPr>
        <w:t xml:space="preserve"> </w:t>
      </w:r>
      <w:r>
        <w:t>access</w:t>
      </w:r>
      <w:r>
        <w:rPr>
          <w:spacing w:val="-15"/>
        </w:rPr>
        <w:t xml:space="preserve"> </w:t>
      </w:r>
      <w:r>
        <w:t>issues;</w:t>
      </w:r>
      <w:r>
        <w:rPr>
          <w:spacing w:val="-15"/>
        </w:rPr>
        <w:t xml:space="preserve"> </w:t>
      </w:r>
      <w:r>
        <w:t>and</w:t>
      </w:r>
      <w:r>
        <w:rPr>
          <w:spacing w:val="-15"/>
        </w:rPr>
        <w:t xml:space="preserve"> </w:t>
      </w:r>
      <w:r>
        <w:t>tasked</w:t>
      </w:r>
      <w:r>
        <w:rPr>
          <w:spacing w:val="-15"/>
        </w:rPr>
        <w:t xml:space="preserve"> </w:t>
      </w:r>
      <w:r>
        <w:t>legal</w:t>
      </w:r>
      <w:r>
        <w:rPr>
          <w:spacing w:val="-16"/>
        </w:rPr>
        <w:t xml:space="preserve"> </w:t>
      </w:r>
      <w:r>
        <w:t>scrubbing by them to commence for signing in</w:t>
      </w:r>
      <w:r>
        <w:rPr>
          <w:spacing w:val="-1"/>
        </w:rPr>
        <w:t xml:space="preserve"> </w:t>
      </w:r>
      <w:r>
        <w:t>2020.</w:t>
      </w:r>
    </w:p>
    <w:p w:rsidR="009F68D6" w:rsidRDefault="009F68D6">
      <w:pPr>
        <w:pStyle w:val="BodyText"/>
      </w:pPr>
    </w:p>
    <w:p w:rsidR="009F68D6" w:rsidRDefault="00D3236A">
      <w:pPr>
        <w:pStyle w:val="BodyText"/>
        <w:spacing w:before="1"/>
        <w:ind w:left="106" w:right="119"/>
        <w:jc w:val="both"/>
      </w:pPr>
      <w:r>
        <w:t>India has significant outstanding issues, which remain unresolved. All RCEP Partic</w:t>
      </w:r>
      <w:r>
        <w:t>ipating Countries will work together to resolve these outstanding issues in a mutually satisfactory way. India’s final decision will depend on satisfactory resolution of these issues.</w:t>
      </w:r>
    </w:p>
    <w:p w:rsidR="009F68D6" w:rsidRDefault="00D3236A">
      <w:pPr>
        <w:pStyle w:val="BodyText"/>
        <w:rPr>
          <w:sz w:val="23"/>
        </w:rPr>
      </w:pPr>
      <w:r>
        <w:pict>
          <v:line id="_x0000_s1028" style="position:absolute;z-index:-251659264;mso-wrap-distance-left:0;mso-wrap-distance-right:0;mso-position-horizontal-relative:page" from="239.15pt,16.55pt" to="381.05pt,16.55pt" strokeweight=".34639mm">
            <w10:wrap type="topAndBottom" anchorx="page"/>
          </v:line>
        </w:pict>
      </w:r>
    </w:p>
    <w:p w:rsidR="009F68D6" w:rsidRDefault="009F68D6">
      <w:pPr>
        <w:rPr>
          <w:sz w:val="23"/>
        </w:rPr>
        <w:sectPr w:rsidR="009F68D6">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020" w:bottom="280" w:left="1200" w:header="730" w:footer="720" w:gutter="0"/>
          <w:cols w:space="720"/>
        </w:sectPr>
      </w:pPr>
    </w:p>
    <w:p w:rsidR="009F68D6" w:rsidRDefault="00D3236A">
      <w:pPr>
        <w:pStyle w:val="BodyText"/>
        <w:spacing w:line="20" w:lineRule="exact"/>
        <w:ind w:left="98"/>
        <w:rPr>
          <w:sz w:val="2"/>
        </w:rPr>
      </w:pPr>
      <w:r>
        <w:rPr>
          <w:sz w:val="2"/>
        </w:rPr>
      </w:r>
      <w:r>
        <w:rPr>
          <w:sz w:val="2"/>
        </w:rPr>
        <w:pict>
          <v:group id="_x0000_s1026" style="width:2in;height:.75pt;mso-position-horizontal-relative:char;mso-position-vertical-relative:line" coordsize="2880,15">
            <v:line id="_x0000_s1027" style="position:absolute" from="0,7" to="2880,7" strokeweight=".72pt"/>
            <w10:wrap type="none"/>
            <w10:anchorlock/>
          </v:group>
        </w:pict>
      </w:r>
    </w:p>
    <w:p w:rsidR="009F68D6" w:rsidRDefault="00D3236A">
      <w:pPr>
        <w:spacing w:before="103"/>
        <w:ind w:left="106" w:right="147"/>
      </w:pPr>
      <w:proofErr w:type="spellStart"/>
      <w:r>
        <w:rPr>
          <w:position w:val="8"/>
          <w:sz w:val="14"/>
        </w:rPr>
        <w:t>i</w:t>
      </w:r>
      <w:proofErr w:type="spellEnd"/>
      <w:r>
        <w:rPr>
          <w:position w:val="8"/>
          <w:sz w:val="14"/>
        </w:rPr>
        <w:t xml:space="preserve"> </w:t>
      </w:r>
      <w:r>
        <w:t xml:space="preserve">Chapters on: 1) Initial Provisions and General Definitions; 2) Trade in Goods; 3) Rules of Origin, including Annex on Product Specific Rules; 4) Customs Procedures and Trade Facilitation; 5) Sanitary and </w:t>
      </w:r>
      <w:proofErr w:type="spellStart"/>
      <w:r>
        <w:t>Phytosanitary</w:t>
      </w:r>
      <w:proofErr w:type="spellEnd"/>
      <w:r>
        <w:t xml:space="preserve"> </w:t>
      </w:r>
      <w:r>
        <w:t>Measures; 6) Standards, Technical Regulations and Conformity Assessment Procedures; 7) Trade Remedies;</w:t>
      </w:r>
    </w:p>
    <w:p w:rsidR="009F68D6" w:rsidRDefault="00D3236A">
      <w:pPr>
        <w:spacing w:before="1"/>
        <w:ind w:left="106" w:right="306"/>
      </w:pPr>
      <w:r>
        <w:t>8) Trade in Services, including Annexes on Financial Services, Telecommunication Services, and Professional Services; 9) Movement of Natural Persons; 10)</w:t>
      </w:r>
      <w:r>
        <w:t xml:space="preserve"> Investment; 11) Intellectual Property; 12) Electronic Commerce; 13) Competition; 14) Small and Medium Enterprises; 15) Economic and Technical Cooperation;</w:t>
      </w:r>
    </w:p>
    <w:p w:rsidR="009F68D6" w:rsidRDefault="00D3236A">
      <w:pPr>
        <w:ind w:left="106" w:right="797"/>
      </w:pPr>
      <w:r>
        <w:t>16) Government Procurement; 17) General Provisions and Exceptions; 18) Institutional Provisions; 19)</w:t>
      </w:r>
      <w:r>
        <w:t xml:space="preserve"> Dispute Settlement; and 20) Final Provisions.</w:t>
      </w:r>
    </w:p>
    <w:sectPr w:rsidR="009F68D6">
      <w:pgSz w:w="12240" w:h="15840"/>
      <w:pgMar w:top="1440" w:right="1020" w:bottom="280" w:left="1200" w:header="73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236A">
      <w:r>
        <w:separator/>
      </w:r>
    </w:p>
  </w:endnote>
  <w:endnote w:type="continuationSeparator" w:id="0">
    <w:p w:rsidR="00000000" w:rsidRDefault="00D3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6A" w:rsidRDefault="00D32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6A" w:rsidRDefault="00D32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6A" w:rsidRDefault="00D32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236A">
      <w:r>
        <w:separator/>
      </w:r>
    </w:p>
  </w:footnote>
  <w:footnote w:type="continuationSeparator" w:id="0">
    <w:p w:rsidR="00000000" w:rsidRDefault="00D32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6A" w:rsidRDefault="00D3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8D6" w:rsidRDefault="00D3236A">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9.8pt;margin-top:35.5pt;width:26.15pt;height:14.35pt;z-index:-251658752;mso-position-horizontal-relative:page;mso-position-vertical-relative:page" filled="f" stroked="f">
          <v:textbox inset="0,0,0,0">
            <w:txbxContent>
              <w:p w:rsidR="009F68D6" w:rsidRDefault="00D3236A">
                <w:pPr>
                  <w:spacing w:before="21"/>
                  <w:ind w:left="20"/>
                  <w:rPr>
                    <w:b/>
                    <w:i/>
                    <w:sz w:val="20"/>
                  </w:rPr>
                </w:pPr>
                <w:r>
                  <w:rPr>
                    <w:b/>
                    <w:i/>
                    <w:sz w:val="20"/>
                    <w:u w:val="single"/>
                  </w:rPr>
                  <w:t>FINAL</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6A" w:rsidRDefault="00D32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F68D6"/>
    <w:rsid w:val="009F68D6"/>
    <w:rsid w:val="00D32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341" w:lineRule="exact"/>
      <w:ind w:left="114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236A"/>
    <w:pPr>
      <w:tabs>
        <w:tab w:val="center" w:pos="4513"/>
        <w:tab w:val="right" w:pos="9026"/>
      </w:tabs>
    </w:pPr>
  </w:style>
  <w:style w:type="character" w:customStyle="1" w:styleId="HeaderChar">
    <w:name w:val="Header Char"/>
    <w:basedOn w:val="DefaultParagraphFont"/>
    <w:link w:val="Header"/>
    <w:uiPriority w:val="99"/>
    <w:rsid w:val="00D3236A"/>
    <w:rPr>
      <w:rFonts w:ascii="Calibri" w:eastAsia="Calibri" w:hAnsi="Calibri" w:cs="Calibri"/>
    </w:rPr>
  </w:style>
  <w:style w:type="paragraph" w:styleId="Footer">
    <w:name w:val="footer"/>
    <w:basedOn w:val="Normal"/>
    <w:link w:val="FooterChar"/>
    <w:uiPriority w:val="99"/>
    <w:unhideWhenUsed/>
    <w:rsid w:val="00D3236A"/>
    <w:pPr>
      <w:tabs>
        <w:tab w:val="center" w:pos="4513"/>
        <w:tab w:val="right" w:pos="9026"/>
      </w:tabs>
    </w:pPr>
  </w:style>
  <w:style w:type="character" w:customStyle="1" w:styleId="FooterChar">
    <w:name w:val="Footer Char"/>
    <w:basedOn w:val="DefaultParagraphFont"/>
    <w:link w:val="Footer"/>
    <w:uiPriority w:val="99"/>
    <w:rsid w:val="00D3236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DAE152EE6EB44D8BB744A141C494AF" ma:contentTypeVersion="1" ma:contentTypeDescription="Create a new document." ma:contentTypeScope="" ma:versionID="1cd55ca8b05cd00c2aadab34d1bf3b8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49A096-6DAE-433D-8F6A-B19BE410F16A}"/>
</file>

<file path=customXml/itemProps2.xml><?xml version="1.0" encoding="utf-8"?>
<ds:datastoreItem xmlns:ds="http://schemas.openxmlformats.org/officeDocument/2006/customXml" ds:itemID="{1051E032-0761-4FD5-A3C4-0BB19F56BD7A}"/>
</file>

<file path=customXml/itemProps3.xml><?xml version="1.0" encoding="utf-8"?>
<ds:datastoreItem xmlns:ds="http://schemas.openxmlformats.org/officeDocument/2006/customXml" ds:itemID="{7B6D72DF-E988-477F-B2C4-94A7A15CA018}"/>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2019-11-04T22:39:00Z</dcterms:created>
  <dcterms:modified xsi:type="dcterms:W3CDTF">2019-11-04T22:39:00Z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e61fb9d1-0a40-44a5-9370-91f981894235</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0x0101005ADAE152EE6EB44D8BB744A141C494AF</vt:lpwstr>
  </property>
  <property fmtid="{D5CDD505-2E9C-101B-9397-08002B2CF9AE}" pid="6" name="Order">
    <vt:r8>2900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