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E1" w:rsidRDefault="00FD2A33">
      <w:pPr>
        <w:spacing w:after="160" w:line="259" w:lineRule="auto"/>
        <w:jc w:val="center"/>
        <w:rPr>
          <w:rFonts w:ascii="Calibri Light" w:eastAsia="Calibri" w:hAnsi="Calibri"/>
          <w:b/>
          <w:sz w:val="25"/>
          <w:szCs w:val="25"/>
        </w:rPr>
      </w:pPr>
      <w:bookmarkStart w:id="0" w:name="_GoBack"/>
      <w:bookmarkEnd w:id="0"/>
      <w:r>
        <w:rPr>
          <w:rFonts w:ascii="Calibri Light" w:eastAsia="Calibri" w:hAnsi="Calibri"/>
          <w:b/>
          <w:sz w:val="25"/>
          <w:szCs w:val="25"/>
        </w:rPr>
        <w:t xml:space="preserve">Human Rights Council </w:t>
      </w:r>
      <w:r>
        <w:rPr>
          <w:rFonts w:ascii="Calibri Light" w:eastAsia="Calibri" w:hAnsi="Calibri"/>
          <w:b/>
          <w:sz w:val="25"/>
          <w:szCs w:val="25"/>
        </w:rPr>
        <w:t>–</w:t>
      </w:r>
      <w:r>
        <w:rPr>
          <w:rFonts w:ascii="Calibri Light" w:eastAsia="Calibri" w:hAnsi="Calibri"/>
          <w:b/>
          <w:sz w:val="25"/>
          <w:szCs w:val="25"/>
        </w:rPr>
        <w:t xml:space="preserve"> 39th Session</w:t>
      </w:r>
    </w:p>
    <w:p w:rsidR="00B670E1" w:rsidRDefault="00FD2A33">
      <w:pPr>
        <w:spacing w:after="160" w:line="259" w:lineRule="auto"/>
        <w:jc w:val="center"/>
        <w:rPr>
          <w:rFonts w:ascii="Calibri Light" w:eastAsia="Calibri" w:hAnsi="Calibri"/>
          <w:b/>
          <w:sz w:val="25"/>
          <w:szCs w:val="25"/>
        </w:rPr>
      </w:pPr>
      <w:r>
        <w:rPr>
          <w:rFonts w:ascii="Calibri Light" w:eastAsia="Calibri" w:hAnsi="Calibri"/>
          <w:b/>
          <w:sz w:val="25"/>
          <w:szCs w:val="25"/>
        </w:rPr>
        <w:t>Interactive Dialogue with the Commission of Inquiry on Burundi</w:t>
      </w:r>
    </w:p>
    <w:p w:rsidR="00B670E1" w:rsidRDefault="00FD2A33">
      <w:pPr>
        <w:spacing w:after="160" w:line="259" w:lineRule="auto"/>
        <w:jc w:val="center"/>
        <w:rPr>
          <w:rFonts w:ascii="Calibri Light" w:eastAsia="Calibri" w:hAnsi="Calibri"/>
          <w:b/>
          <w:sz w:val="25"/>
          <w:szCs w:val="25"/>
        </w:rPr>
      </w:pPr>
      <w:r>
        <w:rPr>
          <w:rFonts w:ascii="Calibri Light" w:eastAsia="Calibri" w:hAnsi="Calibri"/>
          <w:b/>
          <w:sz w:val="25"/>
          <w:szCs w:val="25"/>
        </w:rPr>
        <w:t>17 September 2018</w:t>
      </w:r>
    </w:p>
    <w:p w:rsidR="00B670E1" w:rsidRDefault="00FD2A33">
      <w:pPr>
        <w:spacing w:after="160" w:line="259" w:lineRule="auto"/>
        <w:jc w:val="center"/>
        <w:rPr>
          <w:rFonts w:ascii="Calibri Light" w:eastAsia="Calibri" w:hAnsi="Calibri"/>
          <w:b/>
          <w:sz w:val="25"/>
          <w:szCs w:val="25"/>
        </w:rPr>
      </w:pPr>
      <w:r>
        <w:rPr>
          <w:rFonts w:ascii="Calibri Light" w:eastAsia="Calibri" w:hAnsi="Calibri"/>
          <w:b/>
          <w:sz w:val="25"/>
          <w:szCs w:val="25"/>
        </w:rPr>
        <w:t>Australian Statement</w:t>
      </w:r>
    </w:p>
    <w:p w:rsidR="00B670E1" w:rsidRDefault="00B670E1">
      <w:pPr>
        <w:tabs>
          <w:tab w:val="left" w:pos="1134"/>
        </w:tabs>
        <w:ind w:right="-45"/>
        <w:rPr>
          <w:rFonts w:ascii="Calibri Light" w:eastAsia="Calibri Light" w:hAnsi="Calibri Light"/>
          <w:sz w:val="25"/>
          <w:szCs w:val="25"/>
        </w:rPr>
      </w:pPr>
    </w:p>
    <w:p w:rsidR="00B670E1" w:rsidRDefault="00FD2A33">
      <w:pPr>
        <w:tabs>
          <w:tab w:val="left" w:pos="1134"/>
        </w:tabs>
        <w:ind w:right="-45"/>
        <w:rPr>
          <w:rFonts w:ascii="Calibri Light" w:eastAsia="Calibri Light" w:hAnsi="Calibri Light"/>
          <w:sz w:val="25"/>
          <w:szCs w:val="25"/>
        </w:rPr>
      </w:pPr>
      <w:r>
        <w:rPr>
          <w:rFonts w:ascii="Calibri Light" w:eastAsia="Calibri Light" w:hAnsi="Calibri Light"/>
          <w:sz w:val="25"/>
          <w:szCs w:val="25"/>
        </w:rPr>
        <w:t>Australia thanks the Commission of Inquiry for its report and remains deeply disappointed that Burundi has not cooperated with the Commission, particularly as it is a member of the Human Rights Council. Currently there are no independent international mechanisms in Burundi to investigate human rights violations. We ask the Government of Burundi to fully resume its engagement and cooperation with international human rights bodies to enhance the protection and promotion of human rights for all.</w:t>
      </w:r>
    </w:p>
    <w:p w:rsidR="00B670E1" w:rsidRDefault="00B670E1">
      <w:pPr>
        <w:tabs>
          <w:tab w:val="left" w:pos="1134"/>
        </w:tabs>
        <w:ind w:right="-45"/>
        <w:rPr>
          <w:rFonts w:ascii="Calibri Light" w:eastAsia="Calibri Light" w:hAnsi="Calibri Light"/>
          <w:sz w:val="25"/>
          <w:szCs w:val="25"/>
        </w:rPr>
      </w:pPr>
    </w:p>
    <w:p w:rsidR="00B670E1" w:rsidRDefault="00FD2A33">
      <w:pPr>
        <w:tabs>
          <w:tab w:val="left" w:pos="1134"/>
        </w:tabs>
        <w:ind w:right="-45"/>
        <w:rPr>
          <w:rFonts w:ascii="Calibri Light" w:eastAsia="Calibri Light" w:hAnsi="Calibri Light"/>
          <w:sz w:val="25"/>
          <w:szCs w:val="25"/>
        </w:rPr>
      </w:pPr>
      <w:r>
        <w:rPr>
          <w:rFonts w:ascii="Calibri Light" w:eastAsia="Calibri Light" w:hAnsi="Calibri Light"/>
          <w:sz w:val="25"/>
          <w:szCs w:val="25"/>
        </w:rPr>
        <w:t xml:space="preserve">Australia welcomes the announcement by </w:t>
      </w:r>
      <w:r w:rsidR="00C9780C">
        <w:rPr>
          <w:rFonts w:ascii="Calibri Light" w:eastAsia="Calibri Light" w:hAnsi="Calibri Light"/>
          <w:sz w:val="25"/>
          <w:szCs w:val="25"/>
        </w:rPr>
        <w:t>t</w:t>
      </w:r>
      <w:r>
        <w:rPr>
          <w:rFonts w:ascii="Calibri Light" w:eastAsia="Calibri Light" w:hAnsi="Calibri Light"/>
          <w:sz w:val="25"/>
          <w:szCs w:val="25"/>
        </w:rPr>
        <w:t xml:space="preserve">he President </w:t>
      </w:r>
      <w:r w:rsidR="006E201B">
        <w:rPr>
          <w:rFonts w:ascii="Calibri Light" w:eastAsia="Calibri Light" w:hAnsi="Calibri Light"/>
          <w:sz w:val="25"/>
          <w:szCs w:val="25"/>
        </w:rPr>
        <w:t>o</w:t>
      </w:r>
      <w:r>
        <w:rPr>
          <w:rFonts w:ascii="Calibri Light" w:eastAsia="Calibri Light" w:hAnsi="Calibri Light"/>
          <w:sz w:val="25"/>
          <w:szCs w:val="25"/>
        </w:rPr>
        <w:t>f Burundi that he will not seek another term in 2020. We call on the Government of Burundi to ensure the 2020 elections are fair, free, transparent, peaceful and include all political parties and the full and equal participation of women.</w:t>
      </w:r>
    </w:p>
    <w:p w:rsidR="00B670E1" w:rsidRDefault="00B670E1">
      <w:pPr>
        <w:tabs>
          <w:tab w:val="left" w:pos="1134"/>
        </w:tabs>
        <w:ind w:right="-45"/>
        <w:rPr>
          <w:rFonts w:ascii="Calibri Light" w:eastAsia="Calibri Light" w:hAnsi="Calibri Light"/>
          <w:sz w:val="25"/>
          <w:szCs w:val="25"/>
        </w:rPr>
      </w:pPr>
    </w:p>
    <w:p w:rsidR="00B670E1" w:rsidRDefault="00FD2A33">
      <w:pPr>
        <w:tabs>
          <w:tab w:val="left" w:pos="1134"/>
        </w:tabs>
        <w:ind w:right="-45"/>
        <w:rPr>
          <w:rFonts w:ascii="Calibri Light" w:eastAsia="Calibri Light" w:hAnsi="Calibri Light"/>
          <w:sz w:val="25"/>
          <w:szCs w:val="25"/>
        </w:rPr>
      </w:pPr>
      <w:r>
        <w:rPr>
          <w:rFonts w:ascii="Calibri Light" w:eastAsia="Calibri Light" w:hAnsi="Calibri Light"/>
          <w:sz w:val="25"/>
          <w:szCs w:val="25"/>
        </w:rPr>
        <w:t>Australia is gravely concerned at the findings of the Commission of Inquiry that serious human rights violations continue to be committed in Burundi within a climate of impunity.  We urge the Government to respect human rights and fundamental freedoms for all and to act urgently to bring the perpetrators of these crimes to</w:t>
      </w:r>
      <w:r w:rsidR="006E201B">
        <w:rPr>
          <w:rFonts w:ascii="Calibri Light" w:eastAsia="Calibri Light" w:hAnsi="Calibri Light"/>
          <w:sz w:val="25"/>
          <w:szCs w:val="25"/>
        </w:rPr>
        <w:t xml:space="preserve"> </w:t>
      </w:r>
      <w:r w:rsidR="00C9780C">
        <w:rPr>
          <w:rFonts w:ascii="Calibri Light" w:eastAsia="Calibri Light" w:hAnsi="Calibri Light"/>
          <w:sz w:val="25"/>
          <w:szCs w:val="25"/>
        </w:rPr>
        <w:t>justice</w:t>
      </w:r>
      <w:r>
        <w:rPr>
          <w:rFonts w:ascii="Calibri Light" w:eastAsia="Calibri Light" w:hAnsi="Calibri Light"/>
          <w:sz w:val="25"/>
          <w:szCs w:val="25"/>
        </w:rPr>
        <w:t xml:space="preserve">. </w:t>
      </w:r>
    </w:p>
    <w:p w:rsidR="00B670E1" w:rsidRDefault="00B670E1">
      <w:pPr>
        <w:tabs>
          <w:tab w:val="left" w:pos="1134"/>
        </w:tabs>
        <w:ind w:right="-45"/>
        <w:rPr>
          <w:rFonts w:ascii="Calibri Light" w:eastAsia="Calibri Light" w:hAnsi="Calibri Light"/>
          <w:sz w:val="25"/>
          <w:szCs w:val="25"/>
        </w:rPr>
      </w:pPr>
    </w:p>
    <w:p w:rsidR="00B670E1" w:rsidRDefault="00FD2A33">
      <w:pPr>
        <w:tabs>
          <w:tab w:val="left" w:pos="1134"/>
        </w:tabs>
        <w:ind w:right="-45"/>
        <w:rPr>
          <w:rFonts w:ascii="Calibri Light" w:eastAsia="Calibri Light" w:hAnsi="Calibri Light"/>
          <w:sz w:val="25"/>
          <w:szCs w:val="25"/>
        </w:rPr>
      </w:pPr>
      <w:r>
        <w:rPr>
          <w:rFonts w:ascii="Calibri Light" w:eastAsia="Calibri Light" w:hAnsi="Calibri Light"/>
          <w:sz w:val="25"/>
          <w:szCs w:val="25"/>
        </w:rPr>
        <w:t xml:space="preserve">We ask the Commission of Inquiry what practical steps the international community can take to help it continue to document human rights violations in Burundi? </w:t>
      </w:r>
    </w:p>
    <w:p w:rsidR="00B670E1" w:rsidRDefault="00B670E1">
      <w:pPr>
        <w:tabs>
          <w:tab w:val="left" w:pos="1134"/>
        </w:tabs>
        <w:ind w:right="-45"/>
        <w:rPr>
          <w:rFonts w:ascii="Calibri Light" w:eastAsia="Calibri Light" w:hAnsi="Calibri Light"/>
          <w:b/>
          <w:sz w:val="25"/>
          <w:szCs w:val="25"/>
        </w:rPr>
      </w:pPr>
    </w:p>
    <w:p w:rsidR="00B670E1" w:rsidRDefault="00FD2A33">
      <w:pPr>
        <w:tabs>
          <w:tab w:val="left" w:pos="1134"/>
        </w:tabs>
        <w:ind w:right="-45"/>
        <w:rPr>
          <w:rFonts w:ascii="Calibri Light" w:eastAsia="Calibri Light" w:hAnsi="Calibri Light"/>
          <w:sz w:val="25"/>
          <w:szCs w:val="25"/>
        </w:rPr>
      </w:pPr>
      <w:r>
        <w:rPr>
          <w:rFonts w:ascii="Calibri Light" w:eastAsia="Calibri Light" w:hAnsi="Calibri Light"/>
          <w:b/>
          <w:sz w:val="25"/>
          <w:szCs w:val="25"/>
        </w:rPr>
        <w:t>200 Words</w:t>
      </w:r>
    </w:p>
    <w:p w:rsidR="00B670E1" w:rsidRDefault="00B670E1">
      <w:pPr>
        <w:rPr>
          <w:rFonts w:eastAsia="Calibri" w:hAnsi="Calibri"/>
        </w:rPr>
      </w:pPr>
    </w:p>
    <w:sectPr w:rsidR="00B670E1">
      <w:headerReference w:type="even" r:id="rId7"/>
      <w:headerReference w:type="default" r:id="rId8"/>
      <w:footerReference w:type="even" r:id="rId9"/>
      <w:footerReference w:type="default" r:id="rId10"/>
      <w:headerReference w:type="first" r:id="rId11"/>
      <w:footerReference w:type="first" r:id="rId12"/>
      <w:pgSz w:w="11907" w:h="16840" w:code="9"/>
      <w:pgMar w:top="2552" w:right="1440" w:bottom="1440" w:left="1440" w:header="544"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7C9" w:rsidRDefault="00B677C9">
      <w:r>
        <w:separator/>
      </w:r>
    </w:p>
  </w:endnote>
  <w:endnote w:type="continuationSeparator" w:id="0">
    <w:p w:rsidR="00B677C9" w:rsidRDefault="00B6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9E" w:rsidRDefault="00F30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E1" w:rsidRDefault="00FD2A33">
    <w:pPr>
      <w:pStyle w:val="Footer"/>
      <w:rPr>
        <w:rFonts w:ascii="Arial" w:eastAsia="Arial" w:hAnsi="Arial"/>
        <w:sz w:val="16"/>
        <w:szCs w:val="16"/>
      </w:rPr>
    </w:pPr>
    <w:r>
      <w:rPr>
        <w:rFonts w:ascii="Arial" w:eastAsia="Arial" w:hAnsi="Arial"/>
        <w:sz w:val="16"/>
        <w:szCs w:val="16"/>
      </w:rPr>
      <w:tab/>
    </w:r>
    <w:r>
      <w:rPr>
        <w:rFonts w:ascii="Arial" w:eastAsia="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E1" w:rsidRDefault="00FD2A33">
    <w:pPr>
      <w:pStyle w:val="Footer"/>
      <w:tabs>
        <w:tab w:val="left" w:pos="1215"/>
      </w:tabs>
      <w:rPr>
        <w:sz w:val="24"/>
        <w:szCs w:val="24"/>
      </w:rPr>
    </w:pPr>
    <w:r>
      <w:rPr>
        <w:noProof/>
      </w:rPr>
      <mc:AlternateContent>
        <mc:Choice Requires="wps">
          <w:drawing>
            <wp:anchor distT="0" distB="0" distL="114300" distR="114300" simplePos="0" relativeHeight="251624963" behindDoc="0" locked="0" layoutInCell="1" allowOverlap="1">
              <wp:simplePos x="0" y="0"/>
              <wp:positionH relativeFrom="column">
                <wp:posOffset>-504830</wp:posOffset>
              </wp:positionH>
              <wp:positionV relativeFrom="paragraph">
                <wp:posOffset>43820</wp:posOffset>
              </wp:positionV>
              <wp:extent cx="6791325" cy="0"/>
              <wp:effectExtent l="0" t="19050" r="28575" b="19050"/>
              <wp:wrapNone/>
              <wp:docPr id="1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1960" cy="635"/>
                      </a:xfrm>
                      <a:prstGeom prst="line">
                        <a:avLst/>
                      </a:prstGeom>
                      <a:ln w="28575" cap="flat" cmpd="sng">
                        <a:solidFill>
                          <a:srgbClr val="0099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ve="http://schemas.openxmlformats.org/markup-compatibility/2006">
          <w:pict>
            <v:shape id="_x0000_s12" style="position:absolute;left:0;margin-left:-40pt;mso-position-horizontal:absolute;mso-position-horizontal-relative:text;margin-top:3pt;mso-position-vertical:absolute;mso-position-vertical-relative:text;width:534.7pt;height:0.0pt;flip:y;v-text-anchor:middle;z-index:251624963" coordsize="6791325,0" path="m,l6791325,e" strokecolor="#009900" o:allowoverlap="1" strokeweight="2.25pt" filled="f"/>
          </w:pict>
        </mc:Fallback>
      </mc:AlternateContent>
    </w:r>
    <w:r>
      <w:rPr>
        <w:noProof/>
      </w:rPr>
      <mc:AlternateContent>
        <mc:Choice Requires="wps">
          <w:drawing>
            <wp:anchor distT="0" distB="0" distL="114300" distR="114300" simplePos="0" relativeHeight="251624962" behindDoc="0" locked="0" layoutInCell="0" allowOverlap="1">
              <wp:simplePos x="0" y="0"/>
              <wp:positionH relativeFrom="margin">
                <wp:posOffset>-571505</wp:posOffset>
              </wp:positionH>
              <wp:positionV relativeFrom="paragraph">
                <wp:posOffset>-199394</wp:posOffset>
              </wp:positionV>
              <wp:extent cx="6858000" cy="495299"/>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635" cy="495934"/>
                      </a:xfrm>
                      <a:prstGeom prst="rect">
                        <a:avLst/>
                      </a:prstGeom>
                      <a:solidFill>
                        <a:prstClr val="white"/>
                      </a:solidFill>
                      <a:ln cap="flat">
                        <a:noFill/>
                      </a:ln>
                    </wps:spPr>
                    <wps:txbx>
                      <w:txbxContent>
                        <w:p w:rsidR="00B670E1" w:rsidRDefault="00FD2A33">
                          <w:pPr>
                            <w:pStyle w:val="Heading3"/>
                            <w:tabs>
                              <w:tab w:val="right" w:pos="9639"/>
                            </w:tabs>
                            <w:spacing w:after="160"/>
                            <w:rPr>
                              <w:rFonts w:ascii="Eras Medium ITC" w:eastAsia="Eras Medium ITC" w:hAnsi="Eras Medium ITC"/>
                              <w:b/>
                              <w:sz w:val="21"/>
                              <w:szCs w:val="21"/>
                            </w:rPr>
                          </w:pPr>
                          <w:r>
                            <w:rPr>
                              <w:rFonts w:ascii="Eras Medium ITC" w:eastAsia="Eras Medium ITC" w:hAnsi="Eras Medium ITC"/>
                              <w:b/>
                              <w:sz w:val="21"/>
                              <w:szCs w:val="21"/>
                            </w:rPr>
                            <w:t xml:space="preserve">           Australian Mission to the United Nations</w:t>
                          </w:r>
                          <w:r>
                            <w:rPr>
                              <w:rFonts w:ascii="Eras Medium ITC" w:eastAsia="Eras Medium ITC" w:hAnsi="Eras Medium ITC"/>
                              <w:b/>
                              <w:sz w:val="21"/>
                              <w:szCs w:val="21"/>
                            </w:rPr>
                            <w:tab/>
                          </w:r>
                          <w:r>
                            <w:rPr>
                              <w:rFonts w:ascii="Eras Medium ITC" w:eastAsia="Eras Medium ITC" w:hAnsi="Eras Medium ITC"/>
                              <w:sz w:val="18"/>
                              <w:szCs w:val="18"/>
                            </w:rPr>
                            <w:t xml:space="preserve">E-mail   UN.Geneva@dfat.gov.au </w:t>
                          </w:r>
                        </w:p>
                        <w:p w:rsidR="00B670E1" w:rsidRDefault="00FD2A33">
                          <w:pPr>
                            <w:pStyle w:val="Heading3"/>
                            <w:spacing w:after="160"/>
                            <w:jc w:val="center"/>
                            <w:rPr>
                              <w:rFonts w:ascii="Eras Medium ITC" w:eastAsia="Eras Medium ITC" w:hAnsi="Eras Medium ITC"/>
                              <w:sz w:val="18"/>
                              <w:szCs w:val="18"/>
                            </w:rPr>
                          </w:pPr>
                          <w:r>
                            <w:rPr>
                              <w:rFonts w:ascii="Eras Medium ITC" w:eastAsia="Eras Medium ITC" w:hAnsi="Eras Medium ITC"/>
                              <w:sz w:val="18"/>
                              <w:szCs w:val="18"/>
                            </w:rPr>
                            <w:t xml:space="preserve">       Chemin des Fins 2, Petit Saconnex, 1211 Geneva 19   Ph +41 22 799 9100  Fax +41 22 799 9175 www.geneva.mission.gov.au</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5.7pt;width:540pt;height:39pt;z-index:25162496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" o:allowincell="f" stroked="f">
              <v:path arrowok="t"/>
              <v:textbox>
                <w:txbxContent>
                  <w:p w:rsidR="00B670E1" w:rsidRDefault="00FD2A33">
                    <w:pPr>
                      <w:pStyle w:val="Heading3"/>
                      <w:tabs>
                        <w:tab w:val="right" w:pos="9639"/>
                      </w:tabs>
                      <w:spacing w:after="160"/>
                      <w:rPr>
                        <w:rFonts w:ascii="Eras Medium ITC" w:eastAsia="Eras Medium ITC" w:hAnsi="Eras Medium ITC"/>
                        <w:b/>
                        <w:sz w:val="21"/>
                        <w:szCs w:val="21"/>
                      </w:rPr>
                    </w:pPr>
                    <w:r>
                      <w:rPr>
                        <w:rFonts w:ascii="Eras Medium ITC" w:eastAsia="Eras Medium ITC" w:hAnsi="Eras Medium ITC"/>
                        <w:b/>
                        <w:sz w:val="21"/>
                        <w:szCs w:val="21"/>
                      </w:rPr>
                      <w:t xml:space="preserve">           Australian Mission to the United Nations</w:t>
                    </w:r>
                    <w:r>
                      <w:rPr>
                        <w:rFonts w:ascii="Eras Medium ITC" w:eastAsia="Eras Medium ITC" w:hAnsi="Eras Medium ITC"/>
                        <w:b/>
                        <w:sz w:val="21"/>
                        <w:szCs w:val="21"/>
                      </w:rPr>
                      <w:tab/>
                    </w:r>
                    <w:r>
                      <w:rPr>
                        <w:rFonts w:ascii="Eras Medium ITC" w:eastAsia="Eras Medium ITC" w:hAnsi="Eras Medium ITC"/>
                        <w:sz w:val="18"/>
                        <w:szCs w:val="18"/>
                      </w:rPr>
                      <w:t xml:space="preserve">E-mail   UN.Geneva@dfat.gov.au </w:t>
                    </w:r>
                  </w:p>
                  <w:p w:rsidR="00B670E1" w:rsidRDefault="00FD2A33">
                    <w:pPr>
                      <w:pStyle w:val="Heading3"/>
                      <w:spacing w:after="160"/>
                      <w:jc w:val="center"/>
                      <w:rPr>
                        <w:rFonts w:ascii="Eras Medium ITC" w:eastAsia="Eras Medium ITC" w:hAnsi="Eras Medium ITC"/>
                        <w:sz w:val="18"/>
                        <w:szCs w:val="18"/>
                      </w:rPr>
                    </w:pPr>
                    <w:r>
                      <w:rPr>
                        <w:rFonts w:ascii="Eras Medium ITC" w:eastAsia="Eras Medium ITC" w:hAnsi="Eras Medium ITC"/>
                        <w:sz w:val="18"/>
                        <w:szCs w:val="18"/>
                      </w:rPr>
                      <w:t xml:space="preserve">       Chemin des Fins 2, Petit Saconnex</w:t>
                    </w:r>
                    <w:r>
                      <w:rPr>
                        <w:rFonts w:ascii="Eras Medium ITC" w:eastAsia="Eras Medium ITC" w:hAnsi="Eras Medium ITC"/>
                        <w:sz w:val="18"/>
                        <w:szCs w:val="18"/>
                      </w:rPr>
                      <w:t>, 1211 Geneva 19   Ph +41 22 799 9100  Fax +41 22 799 9175 www.geneva.mission.gov.au</w:t>
                    </w:r>
                  </w:p>
                </w:txbxContent>
              </v:textbox>
              <w10:wrap anchorx="margin"/>
            </v:shape>
          </w:pict>
        </mc:Fallback>
      </mc:AlternateContent>
    </w:r>
    <w:r>
      <w:rPr>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7C9" w:rsidRDefault="00B677C9">
      <w:r>
        <w:separator/>
      </w:r>
    </w:p>
  </w:footnote>
  <w:footnote w:type="continuationSeparator" w:id="0">
    <w:p w:rsidR="00B677C9" w:rsidRDefault="00B6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9E" w:rsidRDefault="00F30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E1" w:rsidRDefault="00FD2A33">
    <w:pPr>
      <w:pStyle w:val="Header"/>
      <w:rPr>
        <w:sz w:val="24"/>
        <w:szCs w:val="24"/>
      </w:rPr>
    </w:pPr>
    <w:r>
      <w:rPr>
        <w:sz w:val="24"/>
        <w:szCs w:val="24"/>
      </w:rPr>
      <w:tab/>
    </w:r>
    <w:r>
      <w:rPr>
        <w:rStyle w:val="PageNumber"/>
        <w:sz w:val="24"/>
        <w:szCs w:val="24"/>
      </w:rPr>
      <w:t xml:space="preserve">- </w:t>
    </w:r>
    <w:r>
      <w:rPr>
        <w:rStyle w:val="PageNumber"/>
        <w:sz w:val="24"/>
        <w:szCs w:val="24"/>
      </w:rPr>
      <w:fldChar w:fldCharType="begin"/>
    </w:r>
    <w:r>
      <w:instrText>PAGE  \* MERGEFORMAT</w:instrText>
    </w:r>
    <w:r>
      <w:fldChar w:fldCharType="separate"/>
    </w:r>
    <w:r>
      <w:rPr>
        <w:rStyle w:val="PageNumber"/>
        <w:sz w:val="24"/>
        <w:szCs w:val="24"/>
      </w:rPr>
      <w:t>2</w:t>
    </w:r>
    <w:r>
      <w:rPr>
        <w:rStyle w:val="PageNumber"/>
        <w:sz w:val="24"/>
        <w:szCs w:val="24"/>
      </w:rPr>
      <w:fldChar w:fldCharType="end"/>
    </w:r>
    <w:r>
      <w:rPr>
        <w:rStyle w:val="PageNumbe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01B" w:rsidRDefault="006E201B" w:rsidP="006E201B">
    <w:pPr>
      <w:pStyle w:val="Header"/>
      <w:ind w:left="142"/>
    </w:pPr>
    <w:r>
      <w:rPr>
        <w:noProof/>
      </w:rPr>
      <mc:AlternateContent>
        <mc:Choice Requires="wpg">
          <w:drawing>
            <wp:anchor distT="0" distB="0" distL="114300" distR="114300" simplePos="0" relativeHeight="251660288" behindDoc="0" locked="0" layoutInCell="1" allowOverlap="1" wp14:anchorId="7AF5E84D" wp14:editId="46DDCD6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0767E58C"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rPr>
      <mc:AlternateContent>
        <mc:Choice Requires="wps">
          <w:drawing>
            <wp:anchor distT="0" distB="0" distL="114300" distR="114300" simplePos="0" relativeHeight="251659264" behindDoc="0" locked="0" layoutInCell="0" allowOverlap="1" wp14:anchorId="461CE25F" wp14:editId="5D253213">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53688"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p w:rsidR="00B670E1" w:rsidRPr="006E201B" w:rsidRDefault="00B670E1" w:rsidP="006E2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hybridMultilevel"/>
    <w:tmpl w:val="1F0020D3"/>
    <w:lvl w:ilvl="0" w:tplc="605E93AE">
      <w:start w:val="1"/>
      <w:numFmt w:val="bullet"/>
      <w:lvlText w:val="×"/>
      <w:lvlJc w:val="left"/>
      <w:pPr>
        <w:ind w:left="720" w:hanging="360"/>
        <w:jc w:val="both"/>
      </w:pPr>
      <w:rPr>
        <w:rFonts w:ascii="Symbol" w:eastAsia="Symbol" w:hAnsi="Symbol"/>
        <w:w w:val="100"/>
        <w:sz w:val="20"/>
        <w:szCs w:val="20"/>
        <w:shd w:val="clear" w:color="auto" w:fill="auto"/>
      </w:rPr>
    </w:lvl>
    <w:lvl w:ilvl="1" w:tplc="DD02247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383E00BE">
      <w:start w:val="1"/>
      <w:numFmt w:val="bullet"/>
      <w:lvlText w:val="§"/>
      <w:lvlJc w:val="left"/>
      <w:pPr>
        <w:ind w:left="2160" w:hanging="360"/>
        <w:jc w:val="both"/>
      </w:pPr>
      <w:rPr>
        <w:rFonts w:ascii="Wingdings" w:eastAsia="Wingdings" w:hAnsi="Wingdings"/>
        <w:w w:val="100"/>
        <w:sz w:val="20"/>
        <w:szCs w:val="20"/>
        <w:shd w:val="clear" w:color="auto" w:fill="auto"/>
      </w:rPr>
    </w:lvl>
    <w:lvl w:ilvl="3" w:tplc="B8A89DE6">
      <w:start w:val="1"/>
      <w:numFmt w:val="bullet"/>
      <w:lvlText w:val="·"/>
      <w:lvlJc w:val="left"/>
      <w:pPr>
        <w:ind w:left="2880" w:hanging="360"/>
        <w:jc w:val="both"/>
      </w:pPr>
      <w:rPr>
        <w:rFonts w:ascii="Symbol" w:eastAsia="Symbol" w:hAnsi="Symbol"/>
        <w:w w:val="100"/>
        <w:sz w:val="20"/>
        <w:szCs w:val="20"/>
        <w:shd w:val="clear" w:color="auto" w:fill="auto"/>
      </w:rPr>
    </w:lvl>
    <w:lvl w:ilvl="4" w:tplc="EA926D0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C7745B7A">
      <w:start w:val="1"/>
      <w:numFmt w:val="bullet"/>
      <w:lvlText w:val="§"/>
      <w:lvlJc w:val="left"/>
      <w:pPr>
        <w:ind w:left="4320" w:hanging="360"/>
        <w:jc w:val="both"/>
      </w:pPr>
      <w:rPr>
        <w:rFonts w:ascii="Wingdings" w:eastAsia="Wingdings" w:hAnsi="Wingdings"/>
        <w:w w:val="100"/>
        <w:sz w:val="20"/>
        <w:szCs w:val="20"/>
        <w:shd w:val="clear" w:color="auto" w:fill="auto"/>
      </w:rPr>
    </w:lvl>
    <w:lvl w:ilvl="6" w:tplc="C66A7112">
      <w:start w:val="1"/>
      <w:numFmt w:val="bullet"/>
      <w:lvlText w:val="·"/>
      <w:lvlJc w:val="left"/>
      <w:pPr>
        <w:ind w:left="5040" w:hanging="360"/>
        <w:jc w:val="both"/>
      </w:pPr>
      <w:rPr>
        <w:rFonts w:ascii="Symbol" w:eastAsia="Symbol" w:hAnsi="Symbol"/>
        <w:w w:val="100"/>
        <w:sz w:val="20"/>
        <w:szCs w:val="20"/>
        <w:shd w:val="clear" w:color="auto" w:fill="auto"/>
      </w:rPr>
    </w:lvl>
    <w:lvl w:ilvl="7" w:tplc="5BD45AB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50482ABA">
      <w:start w:val="1"/>
      <w:numFmt w:val="bullet"/>
      <w:lvlText w:val="§"/>
      <w:lvlJc w:val="left"/>
      <w:pPr>
        <w:ind w:left="6480" w:hanging="360"/>
        <w:jc w:val="both"/>
      </w:pPr>
      <w:rPr>
        <w:rFonts w:ascii="Wingdings" w:eastAsia="Wingdings" w:hAnsi="Wingdings"/>
        <w:w w:val="100"/>
        <w:sz w:val="20"/>
        <w:szCs w:val="20"/>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E1"/>
    <w:rsid w:val="006E201B"/>
    <w:rsid w:val="00B670E1"/>
    <w:rsid w:val="00B677C9"/>
    <w:rsid w:val="00C9780C"/>
    <w:rsid w:val="00F30C9E"/>
    <w:rsid w:val="00FD2A3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sz w:val="24"/>
      <w:szCs w:val="24"/>
    </w:rPr>
  </w:style>
  <w:style w:type="paragraph" w:styleId="Heading2">
    <w:name w:val="heading 2"/>
    <w:basedOn w:val="Normal"/>
    <w:next w:val="Normal"/>
    <w:link w:val="Heading2Char"/>
    <w:uiPriority w:val="8"/>
    <w:qFormat/>
    <w:pPr>
      <w:keepNext/>
      <w:outlineLvl w:val="1"/>
    </w:pPr>
    <w:rPr>
      <w:rFonts w:ascii="Copperplate Gothic Bold" w:eastAsia="Copperplate Gothic Bold" w:hAnsi="Copperplate Gothic Bold"/>
      <w:sz w:val="72"/>
      <w:szCs w:val="72"/>
    </w:rPr>
  </w:style>
  <w:style w:type="paragraph" w:styleId="Heading3">
    <w:name w:val="heading 3"/>
    <w:basedOn w:val="Normal"/>
    <w:next w:val="Normal"/>
    <w:link w:val="Heading3Char"/>
    <w:uiPriority w:val="9"/>
    <w:qFormat/>
    <w:pPr>
      <w:keepNext/>
      <w:outlineLvl w:val="2"/>
    </w:pPr>
    <w:rPr>
      <w:rFonts w:ascii="Imprint MT Shadow" w:eastAsia="Imprint MT Shadow" w:hAnsi="Imprint MT Shado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0"/>
    <w:qFormat/>
    <w:rPr>
      <w:b/>
      <w:w w:val="100"/>
      <w:sz w:val="20"/>
      <w:szCs w:val="20"/>
      <w:shd w:val="clear" w:color="auto" w:fill="auto"/>
    </w:rPr>
  </w:style>
  <w:style w:type="character" w:customStyle="1" w:styleId="Heading2Char">
    <w:name w:val="Heading 2 Char"/>
    <w:basedOn w:val="DefaultParagraphFont"/>
    <w:link w:val="Heading2"/>
    <w:rPr>
      <w:rFonts w:ascii="Copperplate Gothic Bold" w:eastAsia="Copperplate Gothic Bold" w:hAnsi="Copperplate Gothic Bold"/>
      <w:w w:val="100"/>
      <w:sz w:val="72"/>
      <w:szCs w:val="72"/>
      <w:shd w:val="clear" w:color="auto" w:fill="auto"/>
    </w:rPr>
  </w:style>
  <w:style w:type="character" w:customStyle="1" w:styleId="Heading3Char">
    <w:name w:val="Heading 3 Char"/>
    <w:basedOn w:val="DefaultParagraphFont"/>
    <w:link w:val="Heading3"/>
    <w:rPr>
      <w:rFonts w:ascii="Imprint MT Shadow" w:eastAsia="Imprint MT Shadow" w:hAnsi="Imprint MT Shadow"/>
      <w:w w:val="100"/>
      <w:sz w:val="40"/>
      <w:szCs w:val="40"/>
      <w:shd w:val="clear" w:color="auto" w:fill="auto"/>
    </w:rPr>
  </w:style>
  <w:style w:type="paragraph" w:styleId="Header">
    <w:name w:val="header"/>
    <w:basedOn w:val="Normal"/>
    <w:link w:val="HeaderChar"/>
    <w:pPr>
      <w:tabs>
        <w:tab w:val="center" w:pos="4320"/>
        <w:tab w:val="right" w:pos="8640"/>
      </w:tabs>
    </w:pPr>
    <w:rPr>
      <w:sz w:val="20"/>
      <w:szCs w:val="20"/>
    </w:rPr>
  </w:style>
  <w:style w:type="character" w:customStyle="1" w:styleId="HeaderChar">
    <w:name w:val="Header Char"/>
    <w:basedOn w:val="DefaultParagraphFont"/>
    <w:link w:val="Header"/>
    <w:rPr>
      <w:w w:val="100"/>
      <w:sz w:val="24"/>
      <w:szCs w:val="24"/>
      <w:shd w:val="clear" w:color="auto" w:fill="auto"/>
    </w:rPr>
  </w:style>
  <w:style w:type="paragraph" w:styleId="Footer">
    <w:name w:val="footer"/>
    <w:basedOn w:val="Normal"/>
    <w:link w:val="FooterChar"/>
    <w:pPr>
      <w:tabs>
        <w:tab w:val="center" w:pos="4320"/>
        <w:tab w:val="right" w:pos="8640"/>
      </w:tabs>
    </w:pPr>
    <w:rPr>
      <w:sz w:val="20"/>
      <w:szCs w:val="20"/>
    </w:rPr>
  </w:style>
  <w:style w:type="character" w:customStyle="1" w:styleId="FooterChar">
    <w:name w:val="Footer Char"/>
    <w:basedOn w:val="DefaultParagraphFont"/>
    <w:link w:val="Footer"/>
    <w:rPr>
      <w:w w:val="100"/>
      <w:sz w:val="24"/>
      <w:szCs w:val="24"/>
      <w:shd w:val="clear" w:color="auto" w:fill="auto"/>
    </w:rPr>
  </w:style>
  <w:style w:type="character" w:styleId="PageNumber">
    <w:name w:val="page number"/>
    <w:basedOn w:val="DefaultParagraphFont"/>
  </w:style>
  <w:style w:type="paragraph" w:styleId="NormalWeb">
    <w:name w:val="Normal (Web)"/>
    <w:basedOn w:val="Normal"/>
    <w:unhideWhenUsed/>
  </w:style>
  <w:style w:type="character" w:styleId="CommentReference">
    <w:name w:val="annotation reference"/>
    <w:basedOn w:val="DefaultParagraphFont"/>
    <w:rPr>
      <w:w w:val="100"/>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b/>
      <w:w w:val="100"/>
      <w:sz w:val="20"/>
      <w:szCs w:val="20"/>
      <w:shd w:val="clear" w:color="auto" w:fill="auto"/>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basedOn w:val="DefaultParagraphFont"/>
    <w:link w:val="BalloonText"/>
    <w:rPr>
      <w:rFonts w:ascii="Tahoma" w:eastAsia="Tahoma" w:hAnsi="Tahoma"/>
      <w:w w:val="100"/>
      <w:sz w:val="16"/>
      <w:szCs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DADEAF-D433-4BA7-B614-425F0D954DCB}"/>
</file>

<file path=customXml/itemProps2.xml><?xml version="1.0" encoding="utf-8"?>
<ds:datastoreItem xmlns:ds="http://schemas.openxmlformats.org/officeDocument/2006/customXml" ds:itemID="{DCEC71A9-441B-499C-8291-575038313E5D}"/>
</file>

<file path=customXml/itemProps3.xml><?xml version="1.0" encoding="utf-8"?>
<ds:datastoreItem xmlns:ds="http://schemas.openxmlformats.org/officeDocument/2006/customXml" ds:itemID="{A806F9BD-B0D1-4E7F-B188-BCB5ED8BBF26}"/>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1217</Characters>
  <Application>Microsoft Office Word</Application>
  <DocSecurity>0</DocSecurity>
  <Lines>10</Lines>
  <Paragraphs>2</Paragraphs>
  <MMClips>0</MMClip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to the Interactive Dialogue with the Commission of Inquiry on Burundi, 17 September 2018</dc:title>
  <dc:creator/>
  <cp:lastModifiedBy/>
  <cp:revision>1</cp:revision>
  <dcterms:created xsi:type="dcterms:W3CDTF">2018-09-18T00:21:00Z</dcterms:created>
  <dcterms:modified xsi:type="dcterms:W3CDTF">2018-09-18T00:21:00Z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e2748428-c149-4d35-8ff3-c8f641ebe6fe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9200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