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EE8" w:rsidRPr="00DA78C7" w:rsidRDefault="001C488F" w:rsidP="00371EE8">
      <w:pPr>
        <w:pStyle w:val="NoSpacing"/>
        <w:jc w:val="center"/>
        <w:outlineLvl w:val="0"/>
        <w:rPr>
          <w:rFonts w:ascii="Verdana" w:hAnsi="Verdana" w:cs="Tahoma"/>
          <w:b/>
          <w:bCs/>
          <w:sz w:val="24"/>
          <w:szCs w:val="24"/>
          <w:lang w:val="en-GB"/>
        </w:rPr>
      </w:pPr>
      <w:r w:rsidRPr="00DA78C7">
        <w:rPr>
          <w:rFonts w:ascii="Verdana" w:hAnsi="Verdana" w:cs="Tahoma"/>
          <w:b/>
          <w:bCs/>
          <w:sz w:val="24"/>
          <w:szCs w:val="24"/>
          <w:lang w:val="en-GB"/>
        </w:rPr>
        <w:t xml:space="preserve">Third </w:t>
      </w:r>
      <w:r w:rsidR="00E64A25" w:rsidRPr="00DA78C7">
        <w:rPr>
          <w:rFonts w:ascii="Verdana" w:hAnsi="Verdana" w:cs="Tahoma"/>
          <w:b/>
          <w:bCs/>
          <w:sz w:val="24"/>
          <w:szCs w:val="24"/>
          <w:lang w:val="en-GB"/>
        </w:rPr>
        <w:t>Narrative and Financial Progress Report to the Government of Australia</w:t>
      </w:r>
    </w:p>
    <w:p w:rsidR="00371EE8" w:rsidRPr="00DA78C7" w:rsidRDefault="00371EE8" w:rsidP="00371EE8">
      <w:pPr>
        <w:pStyle w:val="NoSpacing"/>
        <w:jc w:val="center"/>
        <w:rPr>
          <w:rFonts w:ascii="Verdana" w:hAnsi="Verdana" w:cs="Tahoma"/>
          <w:b/>
          <w:bCs/>
          <w:sz w:val="24"/>
          <w:szCs w:val="24"/>
          <w:lang w:val="en-GB"/>
        </w:rPr>
      </w:pPr>
    </w:p>
    <w:p w:rsidR="00371EE8" w:rsidRPr="00DA78C7" w:rsidRDefault="00E64A25" w:rsidP="00371EE8">
      <w:pPr>
        <w:pStyle w:val="NoSpacing"/>
        <w:jc w:val="center"/>
        <w:rPr>
          <w:rFonts w:ascii="Verdana" w:hAnsi="Verdana" w:cs="Tahoma"/>
          <w:b/>
          <w:bCs/>
          <w:sz w:val="24"/>
          <w:szCs w:val="24"/>
          <w:lang w:val="en-GB"/>
        </w:rPr>
      </w:pPr>
      <w:r w:rsidRPr="00DA78C7">
        <w:rPr>
          <w:rFonts w:ascii="Verdana" w:hAnsi="Verdana" w:cs="Tahoma"/>
          <w:b/>
          <w:bCs/>
          <w:sz w:val="24"/>
          <w:szCs w:val="24"/>
          <w:lang w:val="en-GB"/>
        </w:rPr>
        <w:t>Continuation of Humanitarian Mine Action Support for an Iraqi Humanitarian Mine Action NGO in Southern Iraq</w:t>
      </w:r>
    </w:p>
    <w:p w:rsidR="00371EE8" w:rsidRPr="00DA78C7" w:rsidRDefault="00371EE8" w:rsidP="00371EE8">
      <w:pPr>
        <w:pStyle w:val="NoSpacing"/>
        <w:jc w:val="center"/>
        <w:rPr>
          <w:rFonts w:ascii="Verdana" w:hAnsi="Verdana" w:cs="Tahoma"/>
          <w:sz w:val="20"/>
          <w:szCs w:val="20"/>
          <w:lang w:val="en-GB"/>
        </w:rPr>
      </w:pPr>
    </w:p>
    <w:p w:rsidR="00E11952" w:rsidRPr="00DA78C7" w:rsidRDefault="00E11952" w:rsidP="00371EE8">
      <w:pPr>
        <w:pStyle w:val="NoSpacing"/>
        <w:jc w:val="center"/>
        <w:rPr>
          <w:rFonts w:ascii="Verdana" w:hAnsi="Verdana" w:cs="Tahoma"/>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16"/>
      </w:tblGrid>
      <w:tr w:rsidR="00371EE8" w:rsidRPr="00DA78C7" w:rsidTr="00566E4A">
        <w:tc>
          <w:tcPr>
            <w:tcW w:w="3227" w:type="dxa"/>
          </w:tcPr>
          <w:p w:rsidR="00371EE8" w:rsidRPr="00DA78C7" w:rsidRDefault="00E64A25" w:rsidP="00371EE8">
            <w:pPr>
              <w:pStyle w:val="NoSpacing"/>
              <w:rPr>
                <w:rFonts w:ascii="Verdana" w:hAnsi="Verdana" w:cs="Tahoma"/>
                <w:sz w:val="20"/>
                <w:szCs w:val="20"/>
                <w:lang w:val="en-GB"/>
              </w:rPr>
            </w:pPr>
            <w:r w:rsidRPr="00DA78C7">
              <w:rPr>
                <w:rFonts w:ascii="Verdana" w:hAnsi="Verdana" w:cs="Tahoma"/>
                <w:sz w:val="20"/>
                <w:szCs w:val="20"/>
                <w:lang w:val="en-GB"/>
              </w:rPr>
              <w:t>Executing Agency:</w:t>
            </w:r>
          </w:p>
        </w:tc>
        <w:tc>
          <w:tcPr>
            <w:tcW w:w="6016" w:type="dxa"/>
          </w:tcPr>
          <w:p w:rsidR="00371EE8" w:rsidRPr="00DA78C7" w:rsidRDefault="00E64A25" w:rsidP="00371EE8">
            <w:pPr>
              <w:pStyle w:val="NoSpacing"/>
              <w:rPr>
                <w:rFonts w:ascii="Verdana" w:hAnsi="Verdana" w:cs="Tahoma"/>
                <w:sz w:val="20"/>
                <w:szCs w:val="20"/>
                <w:lang w:val="en-GB"/>
              </w:rPr>
            </w:pPr>
            <w:r w:rsidRPr="00DA78C7">
              <w:rPr>
                <w:rFonts w:ascii="Verdana" w:hAnsi="Verdana" w:cs="Tahoma"/>
                <w:sz w:val="20"/>
                <w:szCs w:val="20"/>
                <w:lang w:val="en-GB"/>
              </w:rPr>
              <w:t>United Nations Development Programme (UNDP)</w:t>
            </w:r>
          </w:p>
        </w:tc>
      </w:tr>
      <w:tr w:rsidR="00371EE8" w:rsidRPr="00DA78C7" w:rsidTr="00566E4A">
        <w:tc>
          <w:tcPr>
            <w:tcW w:w="3227" w:type="dxa"/>
          </w:tcPr>
          <w:p w:rsidR="00371EE8" w:rsidRPr="00DA78C7" w:rsidRDefault="00E64A25" w:rsidP="00371EE8">
            <w:pPr>
              <w:pStyle w:val="NoSpacing"/>
              <w:rPr>
                <w:rFonts w:ascii="Verdana" w:hAnsi="Verdana" w:cs="Tahoma"/>
                <w:sz w:val="20"/>
                <w:szCs w:val="20"/>
                <w:lang w:val="en-GB"/>
              </w:rPr>
            </w:pPr>
            <w:r w:rsidRPr="00DA78C7">
              <w:rPr>
                <w:rFonts w:ascii="Verdana" w:hAnsi="Verdana" w:cs="Tahoma"/>
                <w:sz w:val="20"/>
                <w:szCs w:val="20"/>
                <w:lang w:val="en-GB"/>
              </w:rPr>
              <w:t>Implementing Agency</w:t>
            </w:r>
          </w:p>
        </w:tc>
        <w:tc>
          <w:tcPr>
            <w:tcW w:w="6016" w:type="dxa"/>
          </w:tcPr>
          <w:p w:rsidR="00371EE8" w:rsidRPr="00DA78C7" w:rsidRDefault="002B6899" w:rsidP="00371EE8">
            <w:pPr>
              <w:pStyle w:val="NoSpacing"/>
              <w:rPr>
                <w:rFonts w:ascii="Verdana" w:hAnsi="Verdana" w:cs="Tahoma"/>
                <w:sz w:val="20"/>
                <w:szCs w:val="20"/>
                <w:lang w:val="en-GB"/>
              </w:rPr>
            </w:pPr>
            <w:r w:rsidRPr="00DA78C7">
              <w:rPr>
                <w:rFonts w:ascii="Verdana" w:hAnsi="Verdana" w:cs="Tahoma"/>
                <w:sz w:val="20"/>
                <w:szCs w:val="20"/>
                <w:lang w:val="en-GB"/>
              </w:rPr>
              <w:t>Danish Demining Group (</w:t>
            </w:r>
            <w:r w:rsidR="00765EA5" w:rsidRPr="00DA78C7">
              <w:rPr>
                <w:rFonts w:ascii="Verdana" w:hAnsi="Verdana" w:cs="Tahoma"/>
                <w:sz w:val="20"/>
                <w:szCs w:val="20"/>
                <w:lang w:val="en-GB"/>
              </w:rPr>
              <w:t>DDG</w:t>
            </w:r>
            <w:r w:rsidRPr="00DA78C7">
              <w:rPr>
                <w:rFonts w:ascii="Verdana" w:hAnsi="Verdana" w:cs="Tahoma"/>
                <w:sz w:val="20"/>
                <w:szCs w:val="20"/>
                <w:lang w:val="en-GB"/>
              </w:rPr>
              <w:t>)</w:t>
            </w:r>
            <w:r w:rsidR="00765EA5" w:rsidRPr="00DA78C7">
              <w:rPr>
                <w:rFonts w:ascii="Verdana" w:hAnsi="Verdana" w:cs="Tahoma"/>
                <w:sz w:val="20"/>
                <w:szCs w:val="20"/>
                <w:lang w:val="en-GB"/>
              </w:rPr>
              <w:t xml:space="preserve"> </w:t>
            </w:r>
          </w:p>
        </w:tc>
      </w:tr>
      <w:tr w:rsidR="00371EE8" w:rsidRPr="00DA78C7" w:rsidTr="00566E4A">
        <w:tc>
          <w:tcPr>
            <w:tcW w:w="3227" w:type="dxa"/>
          </w:tcPr>
          <w:p w:rsidR="00371EE8" w:rsidRPr="00DA78C7" w:rsidRDefault="00E64A25" w:rsidP="00371EE8">
            <w:pPr>
              <w:pStyle w:val="NoSpacing"/>
              <w:rPr>
                <w:rFonts w:ascii="Verdana" w:hAnsi="Verdana" w:cs="Tahoma"/>
                <w:sz w:val="20"/>
                <w:szCs w:val="20"/>
                <w:lang w:val="en-GB"/>
              </w:rPr>
            </w:pPr>
            <w:r w:rsidRPr="00DA78C7">
              <w:rPr>
                <w:rFonts w:ascii="Verdana" w:hAnsi="Verdana" w:cs="Tahoma"/>
                <w:sz w:val="20"/>
                <w:szCs w:val="20"/>
                <w:lang w:val="en-GB"/>
              </w:rPr>
              <w:t>Reporting Period</w:t>
            </w:r>
          </w:p>
        </w:tc>
        <w:tc>
          <w:tcPr>
            <w:tcW w:w="6016" w:type="dxa"/>
          </w:tcPr>
          <w:p w:rsidR="00371EE8" w:rsidRPr="00DA78C7" w:rsidRDefault="00E64A25" w:rsidP="001C488F">
            <w:pPr>
              <w:pStyle w:val="NoSpacing"/>
              <w:rPr>
                <w:rFonts w:ascii="Verdana" w:hAnsi="Verdana" w:cs="Tahoma"/>
                <w:sz w:val="20"/>
                <w:szCs w:val="20"/>
                <w:lang w:val="en-GB"/>
              </w:rPr>
            </w:pPr>
            <w:r w:rsidRPr="00DA78C7">
              <w:rPr>
                <w:rFonts w:ascii="Verdana" w:hAnsi="Verdana" w:cs="Tahoma"/>
                <w:sz w:val="20"/>
                <w:szCs w:val="20"/>
                <w:lang w:val="en-GB"/>
              </w:rPr>
              <w:t xml:space="preserve">1 </w:t>
            </w:r>
            <w:r w:rsidR="001C488F" w:rsidRPr="00DA78C7">
              <w:rPr>
                <w:rFonts w:ascii="Verdana" w:hAnsi="Verdana" w:cs="Tahoma"/>
                <w:sz w:val="20"/>
                <w:szCs w:val="20"/>
                <w:lang w:val="en-GB"/>
              </w:rPr>
              <w:t xml:space="preserve">April </w:t>
            </w:r>
            <w:r w:rsidRPr="00DA78C7">
              <w:rPr>
                <w:rFonts w:ascii="Verdana" w:hAnsi="Verdana" w:cs="Tahoma"/>
                <w:sz w:val="20"/>
                <w:szCs w:val="20"/>
                <w:lang w:val="en-GB"/>
              </w:rPr>
              <w:t>20</w:t>
            </w:r>
            <w:r w:rsidR="00765EA5" w:rsidRPr="00DA78C7">
              <w:rPr>
                <w:rFonts w:ascii="Verdana" w:hAnsi="Verdana" w:cs="Tahoma"/>
                <w:sz w:val="20"/>
                <w:szCs w:val="20"/>
                <w:lang w:val="en-GB"/>
              </w:rPr>
              <w:t>1</w:t>
            </w:r>
            <w:r w:rsidR="001C488F" w:rsidRPr="00DA78C7">
              <w:rPr>
                <w:rFonts w:ascii="Verdana" w:hAnsi="Verdana" w:cs="Tahoma"/>
                <w:sz w:val="20"/>
                <w:szCs w:val="20"/>
                <w:lang w:val="en-GB"/>
              </w:rPr>
              <w:t>1</w:t>
            </w:r>
            <w:r w:rsidR="00C5651C" w:rsidRPr="00DA78C7">
              <w:rPr>
                <w:rFonts w:ascii="Verdana" w:hAnsi="Verdana" w:cs="Tahoma"/>
                <w:sz w:val="20"/>
                <w:szCs w:val="20"/>
                <w:lang w:val="en-GB"/>
              </w:rPr>
              <w:t xml:space="preserve"> </w:t>
            </w:r>
            <w:r w:rsidR="00765EA5" w:rsidRPr="00DA78C7">
              <w:rPr>
                <w:rFonts w:ascii="Verdana" w:hAnsi="Verdana" w:cs="Tahoma"/>
                <w:sz w:val="20"/>
                <w:szCs w:val="20"/>
                <w:lang w:val="en-GB"/>
              </w:rPr>
              <w:t>–</w:t>
            </w:r>
            <w:r w:rsidRPr="00DA78C7">
              <w:rPr>
                <w:rFonts w:ascii="Verdana" w:hAnsi="Verdana" w:cs="Tahoma"/>
                <w:sz w:val="20"/>
                <w:szCs w:val="20"/>
                <w:lang w:val="en-GB"/>
              </w:rPr>
              <w:t xml:space="preserve"> </w:t>
            </w:r>
            <w:r w:rsidR="005D4B26" w:rsidRPr="00DA78C7">
              <w:rPr>
                <w:rFonts w:ascii="Verdana" w:hAnsi="Verdana" w:cs="Tahoma"/>
                <w:sz w:val="20"/>
                <w:szCs w:val="20"/>
                <w:lang w:val="en-GB"/>
              </w:rPr>
              <w:t>3</w:t>
            </w:r>
            <w:r w:rsidR="001C488F" w:rsidRPr="00DA78C7">
              <w:rPr>
                <w:rFonts w:ascii="Verdana" w:hAnsi="Verdana" w:cs="Tahoma"/>
                <w:sz w:val="20"/>
                <w:szCs w:val="20"/>
                <w:lang w:val="en-GB"/>
              </w:rPr>
              <w:t>0</w:t>
            </w:r>
            <w:r w:rsidR="005D4B26" w:rsidRPr="00DA78C7">
              <w:rPr>
                <w:rFonts w:ascii="Verdana" w:hAnsi="Verdana" w:cs="Tahoma"/>
                <w:sz w:val="20"/>
                <w:szCs w:val="20"/>
                <w:lang w:val="en-GB"/>
              </w:rPr>
              <w:t xml:space="preserve"> </w:t>
            </w:r>
            <w:r w:rsidR="001C488F" w:rsidRPr="00DA78C7">
              <w:rPr>
                <w:rFonts w:ascii="Verdana" w:hAnsi="Verdana" w:cs="Tahoma"/>
                <w:sz w:val="20"/>
                <w:szCs w:val="20"/>
                <w:lang w:val="en-GB"/>
              </w:rPr>
              <w:t xml:space="preserve">September </w:t>
            </w:r>
            <w:r w:rsidR="005D4B26" w:rsidRPr="00DA78C7">
              <w:rPr>
                <w:rFonts w:ascii="Verdana" w:hAnsi="Verdana" w:cs="Tahoma"/>
                <w:sz w:val="20"/>
                <w:szCs w:val="20"/>
                <w:lang w:val="en-GB"/>
              </w:rPr>
              <w:t>2011</w:t>
            </w:r>
          </w:p>
        </w:tc>
      </w:tr>
      <w:tr w:rsidR="00371EE8" w:rsidRPr="00DA78C7" w:rsidTr="00566E4A">
        <w:tc>
          <w:tcPr>
            <w:tcW w:w="3227" w:type="dxa"/>
          </w:tcPr>
          <w:p w:rsidR="00371EE8" w:rsidRPr="00DA78C7" w:rsidRDefault="00E64A25" w:rsidP="00371EE8">
            <w:pPr>
              <w:pStyle w:val="NoSpacing"/>
              <w:rPr>
                <w:rFonts w:ascii="Verdana" w:hAnsi="Verdana" w:cs="Tahoma"/>
                <w:sz w:val="20"/>
                <w:szCs w:val="20"/>
                <w:lang w:val="en-GB"/>
              </w:rPr>
            </w:pPr>
            <w:r w:rsidRPr="00DA78C7">
              <w:rPr>
                <w:rFonts w:ascii="Verdana" w:hAnsi="Verdana" w:cs="Tahoma"/>
                <w:sz w:val="20"/>
                <w:szCs w:val="20"/>
                <w:lang w:val="en-GB"/>
              </w:rPr>
              <w:t>Budget</w:t>
            </w:r>
          </w:p>
        </w:tc>
        <w:tc>
          <w:tcPr>
            <w:tcW w:w="6016" w:type="dxa"/>
          </w:tcPr>
          <w:p w:rsidR="00F60D21" w:rsidRPr="00DA78C7" w:rsidRDefault="00F60D21" w:rsidP="001E23B4">
            <w:pPr>
              <w:pStyle w:val="NoSpacing"/>
              <w:rPr>
                <w:rFonts w:ascii="Verdana" w:hAnsi="Verdana" w:cs="Tahoma"/>
                <w:sz w:val="20"/>
                <w:szCs w:val="20"/>
                <w:lang w:val="en-GB"/>
              </w:rPr>
            </w:pPr>
            <w:r w:rsidRPr="00DA78C7">
              <w:rPr>
                <w:rFonts w:ascii="Verdana" w:hAnsi="Verdana" w:cs="Tahoma"/>
                <w:sz w:val="20"/>
                <w:szCs w:val="20"/>
                <w:lang w:val="en-GB"/>
              </w:rPr>
              <w:t xml:space="preserve">Clearance: </w:t>
            </w:r>
            <w:r w:rsidR="001E23B4" w:rsidRPr="00DA78C7">
              <w:rPr>
                <w:rFonts w:ascii="Verdana" w:hAnsi="Verdana" w:cs="Tahoma"/>
                <w:sz w:val="20"/>
                <w:szCs w:val="20"/>
                <w:lang w:val="en-GB"/>
              </w:rPr>
              <w:t xml:space="preserve">USD </w:t>
            </w:r>
            <w:r w:rsidR="00585072" w:rsidRPr="00DA78C7">
              <w:rPr>
                <w:rFonts w:ascii="Verdana" w:hAnsi="Verdana" w:cs="Tahoma"/>
                <w:sz w:val="20"/>
                <w:szCs w:val="20"/>
                <w:lang w:val="en-GB"/>
              </w:rPr>
              <w:t>2</w:t>
            </w:r>
            <w:r w:rsidR="006A4063" w:rsidRPr="00DA78C7">
              <w:rPr>
                <w:rFonts w:ascii="Verdana" w:hAnsi="Verdana" w:cs="Tahoma"/>
                <w:sz w:val="20"/>
                <w:szCs w:val="20"/>
                <w:lang w:val="en-GB"/>
              </w:rPr>
              <w:t>,</w:t>
            </w:r>
            <w:r w:rsidR="00585072" w:rsidRPr="00DA78C7">
              <w:rPr>
                <w:rFonts w:ascii="Verdana" w:hAnsi="Verdana" w:cs="Tahoma"/>
                <w:sz w:val="20"/>
                <w:szCs w:val="20"/>
                <w:lang w:val="en-GB"/>
              </w:rPr>
              <w:t>916</w:t>
            </w:r>
            <w:r w:rsidR="006A4063" w:rsidRPr="00DA78C7">
              <w:rPr>
                <w:rFonts w:ascii="Verdana" w:hAnsi="Verdana" w:cs="Tahoma"/>
                <w:sz w:val="20"/>
                <w:szCs w:val="20"/>
                <w:lang w:val="en-GB"/>
              </w:rPr>
              <w:t>,</w:t>
            </w:r>
            <w:r w:rsidR="00585072" w:rsidRPr="00DA78C7">
              <w:rPr>
                <w:rFonts w:ascii="Verdana" w:hAnsi="Verdana" w:cs="Tahoma"/>
                <w:sz w:val="20"/>
                <w:szCs w:val="20"/>
                <w:lang w:val="en-GB"/>
              </w:rPr>
              <w:t>459</w:t>
            </w:r>
          </w:p>
          <w:p w:rsidR="001E23B4" w:rsidRPr="00DA78C7" w:rsidRDefault="00F60D21" w:rsidP="00661C4C">
            <w:pPr>
              <w:pStyle w:val="NoSpacing"/>
              <w:rPr>
                <w:rFonts w:ascii="Verdana" w:hAnsi="Verdana" w:cs="Tahoma"/>
                <w:sz w:val="20"/>
                <w:szCs w:val="20"/>
                <w:lang w:val="en-GB"/>
              </w:rPr>
            </w:pPr>
            <w:r w:rsidRPr="00DA78C7">
              <w:rPr>
                <w:rFonts w:ascii="Verdana" w:hAnsi="Verdana" w:cs="Tahoma"/>
                <w:sz w:val="20"/>
                <w:szCs w:val="20"/>
                <w:lang w:val="en-GB"/>
              </w:rPr>
              <w:t xml:space="preserve">Victim Assistance </w:t>
            </w:r>
            <w:r w:rsidR="001E23B4" w:rsidRPr="00DA78C7">
              <w:rPr>
                <w:rFonts w:ascii="Verdana" w:hAnsi="Verdana" w:cs="Tahoma"/>
                <w:sz w:val="20"/>
                <w:szCs w:val="20"/>
                <w:lang w:val="en-GB"/>
              </w:rPr>
              <w:t xml:space="preserve">USD </w:t>
            </w:r>
            <w:r w:rsidRPr="00DA78C7">
              <w:rPr>
                <w:rFonts w:ascii="Verdana" w:hAnsi="Verdana" w:cs="Tahoma"/>
                <w:sz w:val="20"/>
                <w:szCs w:val="20"/>
                <w:lang w:val="en-GB"/>
              </w:rPr>
              <w:t>933</w:t>
            </w:r>
            <w:r w:rsidR="001E23B4" w:rsidRPr="00DA78C7">
              <w:rPr>
                <w:rFonts w:ascii="Verdana" w:hAnsi="Verdana" w:cs="Tahoma"/>
                <w:sz w:val="20"/>
                <w:szCs w:val="20"/>
                <w:lang w:val="en-GB"/>
              </w:rPr>
              <w:t>,</w:t>
            </w:r>
            <w:r w:rsidRPr="00DA78C7">
              <w:rPr>
                <w:rFonts w:ascii="Verdana" w:hAnsi="Verdana" w:cs="Tahoma"/>
                <w:sz w:val="20"/>
                <w:szCs w:val="20"/>
                <w:lang w:val="en-GB"/>
              </w:rPr>
              <w:t>455</w:t>
            </w:r>
            <w:r w:rsidR="00585072" w:rsidRPr="00DA78C7">
              <w:rPr>
                <w:rFonts w:ascii="Verdana" w:hAnsi="Verdana" w:cs="Tahoma"/>
                <w:sz w:val="20"/>
                <w:szCs w:val="20"/>
                <w:lang w:val="en-GB"/>
              </w:rPr>
              <w:t xml:space="preserve"> </w:t>
            </w:r>
          </w:p>
          <w:p w:rsidR="00371EE8" w:rsidRPr="00DA78C7" w:rsidRDefault="00E64A25" w:rsidP="00661C4C">
            <w:pPr>
              <w:pStyle w:val="NoSpacing"/>
              <w:rPr>
                <w:rFonts w:ascii="Verdana" w:hAnsi="Verdana" w:cs="Tahoma"/>
                <w:sz w:val="20"/>
                <w:szCs w:val="20"/>
                <w:lang w:val="en-GB"/>
              </w:rPr>
            </w:pPr>
            <w:r w:rsidRPr="00DA78C7">
              <w:rPr>
                <w:rFonts w:ascii="Verdana" w:hAnsi="Verdana" w:cs="Tahoma"/>
                <w:sz w:val="20"/>
                <w:szCs w:val="20"/>
                <w:lang w:val="en-GB"/>
              </w:rPr>
              <w:t>(INCLUDING UNDP Programme Support Cost)</w:t>
            </w:r>
          </w:p>
        </w:tc>
      </w:tr>
      <w:tr w:rsidR="00371EE8" w:rsidRPr="00DA78C7" w:rsidTr="00566E4A">
        <w:tc>
          <w:tcPr>
            <w:tcW w:w="3227" w:type="dxa"/>
          </w:tcPr>
          <w:p w:rsidR="00371EE8" w:rsidRPr="00DA78C7" w:rsidRDefault="00E64A25" w:rsidP="00371EE8">
            <w:pPr>
              <w:pStyle w:val="NoSpacing"/>
              <w:rPr>
                <w:rFonts w:ascii="Verdana" w:hAnsi="Verdana" w:cs="Tahoma"/>
                <w:sz w:val="20"/>
                <w:szCs w:val="20"/>
                <w:lang w:val="en-GB"/>
              </w:rPr>
            </w:pPr>
            <w:r w:rsidRPr="00DA78C7">
              <w:rPr>
                <w:rFonts w:ascii="Verdana" w:hAnsi="Verdana" w:cs="Tahoma"/>
                <w:sz w:val="20"/>
                <w:szCs w:val="20"/>
                <w:lang w:val="en-GB"/>
              </w:rPr>
              <w:t>Location</w:t>
            </w:r>
          </w:p>
        </w:tc>
        <w:tc>
          <w:tcPr>
            <w:tcW w:w="6016" w:type="dxa"/>
          </w:tcPr>
          <w:p w:rsidR="00371EE8" w:rsidRPr="00DA78C7" w:rsidRDefault="00E64A25" w:rsidP="00371EE8">
            <w:pPr>
              <w:pStyle w:val="NoSpacing"/>
              <w:rPr>
                <w:rFonts w:ascii="Verdana" w:hAnsi="Verdana" w:cs="Tahoma"/>
                <w:sz w:val="20"/>
                <w:szCs w:val="20"/>
                <w:lang w:val="en-GB"/>
              </w:rPr>
            </w:pPr>
            <w:r w:rsidRPr="00DA78C7">
              <w:rPr>
                <w:rFonts w:ascii="Verdana" w:hAnsi="Verdana" w:cs="Tahoma"/>
                <w:sz w:val="20"/>
                <w:szCs w:val="20"/>
                <w:lang w:val="en-GB"/>
              </w:rPr>
              <w:t>Southern Iraq (Based in Basra)</w:t>
            </w:r>
          </w:p>
        </w:tc>
      </w:tr>
      <w:tr w:rsidR="00371EE8" w:rsidRPr="00DA78C7" w:rsidTr="00566E4A">
        <w:tc>
          <w:tcPr>
            <w:tcW w:w="3227" w:type="dxa"/>
          </w:tcPr>
          <w:p w:rsidR="00371EE8" w:rsidRPr="00DA78C7" w:rsidRDefault="00E64A25" w:rsidP="00371EE8">
            <w:pPr>
              <w:pStyle w:val="NoSpacing"/>
              <w:rPr>
                <w:rFonts w:ascii="Verdana" w:hAnsi="Verdana" w:cs="Tahoma"/>
                <w:sz w:val="20"/>
                <w:szCs w:val="20"/>
                <w:lang w:val="en-GB"/>
              </w:rPr>
            </w:pPr>
            <w:r w:rsidRPr="00DA78C7">
              <w:rPr>
                <w:rFonts w:ascii="Verdana" w:hAnsi="Verdana" w:cs="Tahoma"/>
                <w:sz w:val="20"/>
                <w:szCs w:val="20"/>
                <w:lang w:val="en-GB"/>
              </w:rPr>
              <w:t>UNDP Project Number</w:t>
            </w:r>
          </w:p>
        </w:tc>
        <w:tc>
          <w:tcPr>
            <w:tcW w:w="6016" w:type="dxa"/>
          </w:tcPr>
          <w:p w:rsidR="00371EE8" w:rsidRPr="00DA78C7" w:rsidRDefault="004654D9" w:rsidP="00661C4C">
            <w:pPr>
              <w:pStyle w:val="NoSpacing"/>
              <w:rPr>
                <w:rFonts w:ascii="Verdana" w:hAnsi="Verdana" w:cs="Tahoma"/>
                <w:sz w:val="20"/>
                <w:szCs w:val="20"/>
                <w:lang w:val="en-GB"/>
              </w:rPr>
            </w:pPr>
            <w:r w:rsidRPr="00DA78C7">
              <w:rPr>
                <w:rFonts w:ascii="Verdana" w:hAnsi="Verdana" w:cs="Tahoma"/>
                <w:sz w:val="20"/>
                <w:szCs w:val="20"/>
                <w:lang w:val="en-GB"/>
              </w:rPr>
              <w:t>Award 00060001 (</w:t>
            </w:r>
            <w:r w:rsidR="00765EA5" w:rsidRPr="00DA78C7">
              <w:rPr>
                <w:rFonts w:ascii="Verdana" w:hAnsi="Verdana" w:cs="Tahoma"/>
                <w:sz w:val="20"/>
                <w:szCs w:val="20"/>
                <w:lang w:val="en-GB"/>
              </w:rPr>
              <w:t>Project</w:t>
            </w:r>
            <w:r w:rsidRPr="00DA78C7">
              <w:rPr>
                <w:rFonts w:ascii="Verdana" w:hAnsi="Verdana" w:cs="Tahoma"/>
                <w:sz w:val="20"/>
                <w:szCs w:val="20"/>
                <w:lang w:val="en-GB"/>
              </w:rPr>
              <w:t>s</w:t>
            </w:r>
            <w:r w:rsidR="00765EA5" w:rsidRPr="00DA78C7">
              <w:rPr>
                <w:rFonts w:ascii="Verdana" w:hAnsi="Verdana" w:cs="Tahoma"/>
                <w:sz w:val="20"/>
                <w:szCs w:val="20"/>
                <w:lang w:val="en-GB"/>
              </w:rPr>
              <w:t xml:space="preserve"> 75309</w:t>
            </w:r>
            <w:r w:rsidRPr="00DA78C7">
              <w:rPr>
                <w:rFonts w:ascii="Verdana" w:hAnsi="Verdana" w:cs="Tahoma"/>
                <w:sz w:val="20"/>
                <w:szCs w:val="20"/>
                <w:lang w:val="en-GB"/>
              </w:rPr>
              <w:t xml:space="preserve"> and 75331)</w:t>
            </w:r>
          </w:p>
        </w:tc>
      </w:tr>
      <w:tr w:rsidR="00566E4A" w:rsidRPr="00DA78C7" w:rsidTr="00566E4A">
        <w:tc>
          <w:tcPr>
            <w:tcW w:w="3227" w:type="dxa"/>
          </w:tcPr>
          <w:p w:rsidR="00566E4A" w:rsidRPr="00DA78C7" w:rsidRDefault="00566E4A" w:rsidP="00566E4A">
            <w:pPr>
              <w:pStyle w:val="NoSpacing"/>
              <w:rPr>
                <w:rFonts w:ascii="Verdana" w:hAnsi="Verdana" w:cs="Tahoma"/>
                <w:sz w:val="20"/>
                <w:szCs w:val="20"/>
                <w:lang w:val="en-GB"/>
              </w:rPr>
            </w:pPr>
            <w:proofErr w:type="spellStart"/>
            <w:r w:rsidRPr="00DA78C7">
              <w:rPr>
                <w:rFonts w:ascii="Verdana" w:hAnsi="Verdana" w:cs="Tahoma"/>
                <w:sz w:val="20"/>
                <w:szCs w:val="20"/>
                <w:lang w:val="en-GB"/>
              </w:rPr>
              <w:t>AusAID</w:t>
            </w:r>
            <w:proofErr w:type="spellEnd"/>
            <w:r w:rsidRPr="00DA78C7">
              <w:rPr>
                <w:rFonts w:ascii="Verdana" w:hAnsi="Verdana" w:cs="Tahoma"/>
                <w:sz w:val="20"/>
                <w:szCs w:val="20"/>
                <w:lang w:val="en-GB"/>
              </w:rPr>
              <w:t xml:space="preserve"> agreement Number</w:t>
            </w:r>
          </w:p>
          <w:p w:rsidR="00566E4A" w:rsidRPr="00DA78C7" w:rsidRDefault="00566E4A" w:rsidP="00371EE8">
            <w:pPr>
              <w:pStyle w:val="NoSpacing"/>
              <w:rPr>
                <w:rFonts w:ascii="Verdana" w:hAnsi="Verdana" w:cs="Tahoma"/>
                <w:sz w:val="20"/>
                <w:szCs w:val="20"/>
                <w:lang w:val="en-GB"/>
              </w:rPr>
            </w:pPr>
          </w:p>
          <w:p w:rsidR="00E11952" w:rsidRPr="00DA78C7" w:rsidRDefault="00E11952" w:rsidP="00371EE8">
            <w:pPr>
              <w:pStyle w:val="NoSpacing"/>
              <w:rPr>
                <w:rFonts w:ascii="Verdana" w:hAnsi="Verdana" w:cs="Tahoma"/>
                <w:sz w:val="20"/>
                <w:szCs w:val="20"/>
                <w:lang w:val="en-GB"/>
              </w:rPr>
            </w:pPr>
          </w:p>
        </w:tc>
        <w:tc>
          <w:tcPr>
            <w:tcW w:w="6016" w:type="dxa"/>
          </w:tcPr>
          <w:p w:rsidR="00566E4A" w:rsidRPr="00DA78C7" w:rsidRDefault="00765EA5" w:rsidP="00371EE8">
            <w:pPr>
              <w:pStyle w:val="NoSpacing"/>
              <w:rPr>
                <w:rFonts w:ascii="Verdana" w:hAnsi="Verdana" w:cs="Tahoma"/>
                <w:sz w:val="20"/>
                <w:szCs w:val="20"/>
                <w:lang w:val="en-GB"/>
              </w:rPr>
            </w:pPr>
            <w:r w:rsidRPr="00DA78C7">
              <w:rPr>
                <w:rFonts w:ascii="Verdana" w:hAnsi="Verdana" w:cs="Tahoma"/>
                <w:sz w:val="20"/>
                <w:szCs w:val="20"/>
                <w:lang w:val="en-GB"/>
              </w:rPr>
              <w:t>53997</w:t>
            </w:r>
          </w:p>
        </w:tc>
      </w:tr>
    </w:tbl>
    <w:p w:rsidR="004D3C02" w:rsidRPr="00DA78C7" w:rsidRDefault="00E64A25" w:rsidP="00371EE8">
      <w:pPr>
        <w:pStyle w:val="NoSpacing"/>
        <w:numPr>
          <w:ilvl w:val="0"/>
          <w:numId w:val="1"/>
        </w:numPr>
        <w:ind w:left="284" w:hanging="284"/>
        <w:jc w:val="both"/>
        <w:rPr>
          <w:rFonts w:ascii="Verdana" w:hAnsi="Verdana" w:cs="Tahoma"/>
          <w:b/>
          <w:bCs/>
          <w:lang w:val="en-GB"/>
        </w:rPr>
      </w:pPr>
      <w:r w:rsidRPr="00DA78C7">
        <w:rPr>
          <w:rFonts w:ascii="Verdana" w:hAnsi="Verdana" w:cs="Tahoma"/>
          <w:b/>
          <w:bCs/>
          <w:lang w:val="en-GB"/>
        </w:rPr>
        <w:t xml:space="preserve">Background </w:t>
      </w:r>
      <w:bookmarkStart w:id="0" w:name="_GoBack"/>
      <w:bookmarkEnd w:id="0"/>
    </w:p>
    <w:p w:rsidR="00371EE8" w:rsidRPr="00DA78C7" w:rsidRDefault="00371EE8" w:rsidP="00CA5821">
      <w:pPr>
        <w:pStyle w:val="NoSpacing"/>
        <w:jc w:val="both"/>
        <w:rPr>
          <w:rFonts w:ascii="Verdana" w:hAnsi="Verdana" w:cs="Tahoma"/>
          <w:b/>
          <w:bCs/>
          <w:sz w:val="20"/>
          <w:szCs w:val="20"/>
          <w:lang w:val="en-GB"/>
        </w:rPr>
      </w:pPr>
    </w:p>
    <w:p w:rsidR="00580C0B" w:rsidRPr="00DA78C7" w:rsidRDefault="00580C0B" w:rsidP="00580C0B">
      <w:pPr>
        <w:jc w:val="both"/>
        <w:rPr>
          <w:rFonts w:ascii="Verdana" w:hAnsi="Verdana"/>
          <w:sz w:val="20"/>
          <w:szCs w:val="20"/>
          <w:lang w:val="en-GB"/>
        </w:rPr>
      </w:pPr>
      <w:r w:rsidRPr="00DA78C7">
        <w:rPr>
          <w:rFonts w:ascii="Verdana" w:hAnsi="Verdana"/>
          <w:sz w:val="20"/>
          <w:szCs w:val="20"/>
          <w:lang w:val="en-GB"/>
        </w:rPr>
        <w:t>Iraq is one of the most contaminated countries in the world when it comes to landmines and Explosive remnants of war (ERW). The Iraq Landmine Impact Survey conducted (2004</w:t>
      </w:r>
      <w:r w:rsidR="006F5239" w:rsidRPr="00DA78C7">
        <w:rPr>
          <w:rFonts w:ascii="Verdana" w:hAnsi="Verdana"/>
          <w:sz w:val="20"/>
          <w:szCs w:val="20"/>
          <w:lang w:val="en-GB"/>
        </w:rPr>
        <w:t xml:space="preserve"> </w:t>
      </w:r>
      <w:r w:rsidRPr="00DA78C7">
        <w:rPr>
          <w:rFonts w:ascii="Verdana" w:hAnsi="Verdana"/>
          <w:sz w:val="20"/>
          <w:szCs w:val="20"/>
          <w:lang w:val="en-GB"/>
        </w:rPr>
        <w:t>-2006) which surveyed 13 out of the 18 Iraqi Governorates)</w:t>
      </w:r>
      <w:r w:rsidR="00362049" w:rsidRPr="00DA78C7">
        <w:rPr>
          <w:rFonts w:ascii="Verdana" w:hAnsi="Verdana"/>
          <w:sz w:val="10"/>
          <w:szCs w:val="10"/>
          <w:lang w:val="en-GB"/>
        </w:rPr>
        <w:footnoteReference w:id="1"/>
      </w:r>
      <w:r w:rsidRPr="00DA78C7">
        <w:rPr>
          <w:rFonts w:ascii="Verdana" w:hAnsi="Verdana"/>
          <w:sz w:val="20"/>
          <w:szCs w:val="20"/>
          <w:lang w:val="en-GB"/>
        </w:rPr>
        <w:t xml:space="preserve"> identified 1,622 impacted communities, with 3,673 distinct landmine / explosive remnants of war suspected hazardous areas (SHA).  According to the survey, it is believed that 1,730 square </w:t>
      </w:r>
      <w:r w:rsidR="00CA5821" w:rsidRPr="00DA78C7">
        <w:rPr>
          <w:rFonts w:ascii="Verdana" w:hAnsi="Verdana"/>
          <w:sz w:val="20"/>
          <w:szCs w:val="20"/>
          <w:lang w:val="en-GB"/>
        </w:rPr>
        <w:t>kilometres</w:t>
      </w:r>
      <w:r w:rsidRPr="00DA78C7">
        <w:rPr>
          <w:rFonts w:ascii="Verdana" w:hAnsi="Verdana"/>
          <w:sz w:val="20"/>
          <w:szCs w:val="20"/>
          <w:lang w:val="en-GB"/>
        </w:rPr>
        <w:t xml:space="preserve"> of land are contaminated in Iraq, impacting the livelihoods and safety of more than 1.6 million Iraqis.  However as this survey is community-based, vast areas where no communities existed, possibly due to heavy landmine contamination, were, not surveyed.  </w:t>
      </w:r>
    </w:p>
    <w:p w:rsidR="00580C0B" w:rsidRPr="00DA78C7" w:rsidRDefault="00580C0B" w:rsidP="00AE500C">
      <w:pPr>
        <w:jc w:val="both"/>
        <w:rPr>
          <w:rFonts w:ascii="Verdana" w:hAnsi="Verdana"/>
          <w:sz w:val="20"/>
          <w:szCs w:val="20"/>
          <w:lang w:val="en-GB"/>
        </w:rPr>
      </w:pPr>
      <w:r w:rsidRPr="00DA78C7">
        <w:rPr>
          <w:rFonts w:ascii="Verdana" w:hAnsi="Verdana"/>
          <w:sz w:val="20"/>
          <w:szCs w:val="20"/>
          <w:lang w:val="en-GB"/>
        </w:rPr>
        <w:t xml:space="preserve">The first “Article 7 Transparency Report” revealed that at least 20 million anti-personnel landmines were buried in many locations </w:t>
      </w:r>
      <w:r w:rsidR="00E43032" w:rsidRPr="00DA78C7">
        <w:rPr>
          <w:rFonts w:ascii="Verdana" w:hAnsi="Verdana"/>
          <w:sz w:val="20"/>
          <w:szCs w:val="20"/>
          <w:lang w:val="en-GB"/>
        </w:rPr>
        <w:t>throughout</w:t>
      </w:r>
      <w:r w:rsidRPr="00DA78C7">
        <w:rPr>
          <w:rFonts w:ascii="Verdana" w:hAnsi="Verdana"/>
          <w:sz w:val="20"/>
          <w:szCs w:val="20"/>
          <w:lang w:val="en-GB"/>
        </w:rPr>
        <w:t xml:space="preserve"> Iraq, not counting those buried in the heavily contaminated areas in the Kurdistan Region and other parts of Iraq, where the contamination figures are unknown.  Iraq is also considered as one of the heaviest cluster munitions contaminated countries with at least 50 million cluster bomblets dropped during the 1990/91 and the 2003 conflicts, according to the Handicap International Report of May 2007</w:t>
      </w:r>
      <w:r w:rsidRPr="00DA78C7">
        <w:rPr>
          <w:rFonts w:ascii="Verdana" w:hAnsi="Verdana"/>
          <w:sz w:val="20"/>
          <w:szCs w:val="20"/>
          <w:lang w:val="en-GB"/>
        </w:rPr>
        <w:footnoteReference w:id="2"/>
      </w:r>
      <w:r w:rsidRPr="00DA78C7">
        <w:rPr>
          <w:rFonts w:ascii="Verdana" w:hAnsi="Verdana"/>
          <w:sz w:val="20"/>
          <w:szCs w:val="20"/>
          <w:lang w:val="en-GB"/>
        </w:rPr>
        <w:t xml:space="preserve">.  </w:t>
      </w:r>
    </w:p>
    <w:p w:rsidR="00580C0B" w:rsidRPr="00DA78C7" w:rsidRDefault="00580C0B" w:rsidP="00AE500C">
      <w:pPr>
        <w:jc w:val="both"/>
        <w:rPr>
          <w:rFonts w:ascii="Verdana" w:hAnsi="Verdana"/>
          <w:sz w:val="20"/>
          <w:szCs w:val="20"/>
          <w:lang w:val="en-GB"/>
        </w:rPr>
      </w:pPr>
      <w:r w:rsidRPr="00DA78C7">
        <w:rPr>
          <w:rFonts w:ascii="Verdana" w:hAnsi="Verdana"/>
          <w:sz w:val="20"/>
          <w:szCs w:val="20"/>
          <w:lang w:val="en-GB"/>
        </w:rPr>
        <w:t>Impacted communities are largely rural</w:t>
      </w:r>
      <w:r w:rsidR="00E43032" w:rsidRPr="00DA78C7">
        <w:rPr>
          <w:rFonts w:ascii="Verdana" w:hAnsi="Verdana"/>
          <w:sz w:val="20"/>
          <w:szCs w:val="20"/>
          <w:lang w:val="en-GB"/>
        </w:rPr>
        <w:t xml:space="preserve"> and</w:t>
      </w:r>
      <w:r w:rsidRPr="00DA78C7">
        <w:rPr>
          <w:rFonts w:ascii="Verdana" w:hAnsi="Verdana"/>
          <w:sz w:val="20"/>
          <w:szCs w:val="20"/>
          <w:lang w:val="en-GB"/>
        </w:rPr>
        <w:t xml:space="preserve"> agricultural, </w:t>
      </w:r>
      <w:r w:rsidR="00E43032" w:rsidRPr="00DA78C7">
        <w:rPr>
          <w:rFonts w:ascii="Verdana" w:hAnsi="Verdana"/>
          <w:sz w:val="20"/>
          <w:szCs w:val="20"/>
          <w:lang w:val="en-GB"/>
        </w:rPr>
        <w:t xml:space="preserve">thus </w:t>
      </w:r>
      <w:r w:rsidRPr="00DA78C7">
        <w:rPr>
          <w:rFonts w:ascii="Verdana" w:hAnsi="Verdana"/>
          <w:sz w:val="20"/>
          <w:szCs w:val="20"/>
          <w:lang w:val="en-GB"/>
        </w:rPr>
        <w:t xml:space="preserve">the type of resources to which landmines and UXO block access </w:t>
      </w:r>
      <w:r w:rsidR="00E43032" w:rsidRPr="00DA78C7">
        <w:rPr>
          <w:rFonts w:ascii="Verdana" w:hAnsi="Verdana"/>
          <w:sz w:val="20"/>
          <w:szCs w:val="20"/>
          <w:lang w:val="en-GB"/>
        </w:rPr>
        <w:t xml:space="preserve">to </w:t>
      </w:r>
      <w:r w:rsidRPr="00DA78C7">
        <w:rPr>
          <w:rFonts w:ascii="Verdana" w:hAnsi="Verdana"/>
          <w:sz w:val="20"/>
          <w:szCs w:val="20"/>
          <w:lang w:val="en-GB"/>
        </w:rPr>
        <w:t>are chiefly pasture</w:t>
      </w:r>
      <w:r w:rsidR="00AE500C" w:rsidRPr="00DA78C7">
        <w:rPr>
          <w:rFonts w:ascii="Verdana" w:hAnsi="Verdana"/>
          <w:sz w:val="20"/>
          <w:szCs w:val="20"/>
          <w:lang w:val="en-GB"/>
        </w:rPr>
        <w:t>, scrubland,</w:t>
      </w:r>
      <w:r w:rsidRPr="00DA78C7">
        <w:rPr>
          <w:rFonts w:ascii="Verdana" w:hAnsi="Verdana"/>
          <w:sz w:val="20"/>
          <w:szCs w:val="20"/>
          <w:lang w:val="en-GB"/>
        </w:rPr>
        <w:t xml:space="preserve"> and cropland</w:t>
      </w:r>
      <w:r w:rsidR="00E43032" w:rsidRPr="00DA78C7">
        <w:rPr>
          <w:rFonts w:ascii="Verdana" w:hAnsi="Verdana"/>
          <w:sz w:val="20"/>
          <w:szCs w:val="20"/>
          <w:lang w:val="en-GB"/>
        </w:rPr>
        <w:t xml:space="preserve">. </w:t>
      </w:r>
      <w:r w:rsidRPr="00DA78C7">
        <w:rPr>
          <w:rFonts w:ascii="Verdana" w:hAnsi="Verdana"/>
          <w:sz w:val="20"/>
          <w:szCs w:val="20"/>
          <w:lang w:val="en-GB"/>
        </w:rPr>
        <w:t xml:space="preserve"> In the South, irrigated farmland</w:t>
      </w:r>
      <w:r w:rsidR="00AE500C" w:rsidRPr="00DA78C7">
        <w:rPr>
          <w:rFonts w:ascii="Verdana" w:hAnsi="Verdana"/>
          <w:sz w:val="20"/>
          <w:szCs w:val="20"/>
          <w:lang w:val="en-GB"/>
        </w:rPr>
        <w:t>s, an important asset to the rural inhabitants</w:t>
      </w:r>
      <w:r w:rsidR="005C20C1" w:rsidRPr="00DA78C7">
        <w:rPr>
          <w:rFonts w:ascii="Verdana" w:hAnsi="Verdana"/>
          <w:sz w:val="20"/>
          <w:szCs w:val="20"/>
          <w:lang w:val="en-GB"/>
        </w:rPr>
        <w:t>,</w:t>
      </w:r>
      <w:r w:rsidR="00AE500C" w:rsidRPr="00DA78C7">
        <w:rPr>
          <w:rFonts w:ascii="Verdana" w:hAnsi="Verdana"/>
          <w:sz w:val="20"/>
          <w:szCs w:val="20"/>
          <w:lang w:val="en-GB"/>
        </w:rPr>
        <w:t xml:space="preserve"> are</w:t>
      </w:r>
      <w:r w:rsidR="00E43032" w:rsidRPr="00DA78C7">
        <w:rPr>
          <w:rFonts w:ascii="Verdana" w:hAnsi="Verdana"/>
          <w:sz w:val="20"/>
          <w:szCs w:val="20"/>
          <w:lang w:val="en-GB"/>
        </w:rPr>
        <w:t xml:space="preserve"> </w:t>
      </w:r>
      <w:r w:rsidRPr="00DA78C7">
        <w:rPr>
          <w:rFonts w:ascii="Verdana" w:hAnsi="Verdana"/>
          <w:sz w:val="20"/>
          <w:szCs w:val="20"/>
          <w:lang w:val="en-GB"/>
        </w:rPr>
        <w:t>impacted by the contamination</w:t>
      </w:r>
      <w:r w:rsidR="00AE500C" w:rsidRPr="00DA78C7">
        <w:rPr>
          <w:rFonts w:ascii="Verdana" w:hAnsi="Verdana"/>
          <w:sz w:val="20"/>
          <w:szCs w:val="20"/>
          <w:lang w:val="en-GB"/>
        </w:rPr>
        <w:t>, while</w:t>
      </w:r>
      <w:r w:rsidR="00E43032" w:rsidRPr="00DA78C7">
        <w:rPr>
          <w:rFonts w:ascii="Verdana" w:hAnsi="Verdana"/>
          <w:sz w:val="20"/>
          <w:szCs w:val="20"/>
          <w:lang w:val="en-GB"/>
        </w:rPr>
        <w:t xml:space="preserve"> in the North,</w:t>
      </w:r>
      <w:r w:rsidR="00AE500C" w:rsidRPr="00DA78C7">
        <w:rPr>
          <w:rFonts w:ascii="Verdana" w:hAnsi="Verdana"/>
          <w:sz w:val="20"/>
          <w:szCs w:val="20"/>
          <w:lang w:val="en-GB"/>
        </w:rPr>
        <w:t xml:space="preserve"> </w:t>
      </w:r>
      <w:r w:rsidR="00E43032" w:rsidRPr="00DA78C7">
        <w:rPr>
          <w:rFonts w:ascii="Verdana" w:hAnsi="Verdana"/>
          <w:sz w:val="20"/>
          <w:szCs w:val="20"/>
          <w:lang w:val="en-GB"/>
        </w:rPr>
        <w:t>n</w:t>
      </w:r>
      <w:r w:rsidRPr="00DA78C7">
        <w:rPr>
          <w:rFonts w:ascii="Verdana" w:hAnsi="Verdana"/>
          <w:sz w:val="20"/>
          <w:szCs w:val="20"/>
          <w:lang w:val="en-GB"/>
        </w:rPr>
        <w:t xml:space="preserve">on-agricultural land, primarily scrubland in which residents forage for fuel and medicinal plants, is </w:t>
      </w:r>
      <w:r w:rsidR="00AE500C" w:rsidRPr="00DA78C7">
        <w:rPr>
          <w:rFonts w:ascii="Verdana" w:hAnsi="Verdana"/>
          <w:sz w:val="20"/>
          <w:szCs w:val="20"/>
          <w:lang w:val="en-GB"/>
        </w:rPr>
        <w:t>impacted</w:t>
      </w:r>
      <w:r w:rsidRPr="00DA78C7">
        <w:rPr>
          <w:rFonts w:ascii="Verdana" w:hAnsi="Verdana"/>
          <w:sz w:val="20"/>
          <w:szCs w:val="20"/>
          <w:lang w:val="en-GB"/>
        </w:rPr>
        <w:t>. Close to 90% of contaminated land is agriculture land.</w:t>
      </w:r>
    </w:p>
    <w:p w:rsidR="00580C0B" w:rsidRPr="00DA78C7" w:rsidRDefault="00AE500C" w:rsidP="009A0BFB">
      <w:pPr>
        <w:jc w:val="both"/>
        <w:rPr>
          <w:rFonts w:ascii="Verdana" w:hAnsi="Verdana"/>
          <w:sz w:val="20"/>
          <w:szCs w:val="20"/>
          <w:lang w:val="en-GB"/>
        </w:rPr>
      </w:pPr>
      <w:r w:rsidRPr="00DA78C7">
        <w:rPr>
          <w:rFonts w:ascii="Verdana" w:hAnsi="Verdana"/>
          <w:sz w:val="20"/>
          <w:szCs w:val="20"/>
          <w:lang w:val="en-GB"/>
        </w:rPr>
        <w:t>The results of the landmine impact survey conducted in the four southern governorates</w:t>
      </w:r>
      <w:r w:rsidR="009A0BFB" w:rsidRPr="00DA78C7">
        <w:rPr>
          <w:rFonts w:ascii="Verdana" w:hAnsi="Verdana"/>
          <w:sz w:val="20"/>
          <w:szCs w:val="20"/>
          <w:lang w:val="en-GB"/>
        </w:rPr>
        <w:t xml:space="preserve">, where </w:t>
      </w:r>
      <w:r w:rsidR="00580C0B" w:rsidRPr="00DA78C7">
        <w:rPr>
          <w:rFonts w:ascii="Verdana" w:hAnsi="Verdana"/>
          <w:sz w:val="20"/>
          <w:szCs w:val="20"/>
          <w:lang w:val="en-GB"/>
        </w:rPr>
        <w:t>3189 communities were visited</w:t>
      </w:r>
      <w:r w:rsidR="009A0BFB" w:rsidRPr="00DA78C7">
        <w:rPr>
          <w:rFonts w:ascii="Verdana" w:hAnsi="Verdana"/>
          <w:sz w:val="20"/>
          <w:szCs w:val="20"/>
          <w:lang w:val="en-GB"/>
        </w:rPr>
        <w:t>,</w:t>
      </w:r>
      <w:r w:rsidR="00580C0B" w:rsidRPr="00DA78C7">
        <w:rPr>
          <w:rFonts w:ascii="Verdana" w:hAnsi="Verdana"/>
          <w:sz w:val="20"/>
          <w:szCs w:val="20"/>
          <w:lang w:val="en-GB"/>
        </w:rPr>
        <w:t xml:space="preserve"> determined that 335 </w:t>
      </w:r>
      <w:r w:rsidR="009A0BFB" w:rsidRPr="00DA78C7">
        <w:rPr>
          <w:rFonts w:ascii="Verdana" w:hAnsi="Verdana"/>
          <w:sz w:val="20"/>
          <w:szCs w:val="20"/>
          <w:lang w:val="en-GB"/>
        </w:rPr>
        <w:t xml:space="preserve">out of them were </w:t>
      </w:r>
      <w:r w:rsidR="00580C0B" w:rsidRPr="00DA78C7">
        <w:rPr>
          <w:rFonts w:ascii="Verdana" w:hAnsi="Verdana"/>
          <w:sz w:val="20"/>
          <w:szCs w:val="20"/>
          <w:lang w:val="en-GB"/>
        </w:rPr>
        <w:t>affected</w:t>
      </w:r>
      <w:r w:rsidR="009A0BFB" w:rsidRPr="00DA78C7">
        <w:rPr>
          <w:rFonts w:ascii="Verdana" w:hAnsi="Verdana"/>
          <w:sz w:val="20"/>
          <w:szCs w:val="20"/>
          <w:lang w:val="en-GB"/>
        </w:rPr>
        <w:t>.</w:t>
      </w:r>
      <w:r w:rsidR="00580C0B" w:rsidRPr="00DA78C7">
        <w:rPr>
          <w:rFonts w:ascii="Verdana" w:hAnsi="Verdana"/>
          <w:sz w:val="20"/>
          <w:szCs w:val="20"/>
          <w:lang w:val="en-GB"/>
        </w:rPr>
        <w:t xml:space="preserve"> </w:t>
      </w:r>
      <w:r w:rsidR="009A0BFB" w:rsidRPr="00DA78C7">
        <w:rPr>
          <w:rFonts w:ascii="Verdana" w:hAnsi="Verdana"/>
          <w:sz w:val="20"/>
          <w:szCs w:val="20"/>
          <w:lang w:val="en-GB"/>
        </w:rPr>
        <w:t>It also demonstrated that there is</w:t>
      </w:r>
      <w:r w:rsidR="00580C0B" w:rsidRPr="00DA78C7">
        <w:rPr>
          <w:rFonts w:ascii="Verdana" w:hAnsi="Verdana"/>
          <w:sz w:val="20"/>
          <w:szCs w:val="20"/>
          <w:lang w:val="en-GB"/>
        </w:rPr>
        <w:t xml:space="preserve"> significant contamination, especially near international </w:t>
      </w:r>
      <w:r w:rsidR="00580C0B" w:rsidRPr="00DA78C7">
        <w:rPr>
          <w:rFonts w:ascii="Verdana" w:hAnsi="Verdana"/>
          <w:sz w:val="20"/>
          <w:szCs w:val="20"/>
          <w:lang w:val="en-GB"/>
        </w:rPr>
        <w:lastRenderedPageBreak/>
        <w:t>borders</w:t>
      </w:r>
      <w:r w:rsidR="009A0BFB" w:rsidRPr="00DA78C7">
        <w:rPr>
          <w:rFonts w:ascii="Verdana" w:hAnsi="Verdana"/>
          <w:sz w:val="20"/>
          <w:szCs w:val="20"/>
          <w:lang w:val="en-GB"/>
        </w:rPr>
        <w:t xml:space="preserve"> with Iran, where many of the existing communities are abandoned and </w:t>
      </w:r>
      <w:r w:rsidR="00580C0B" w:rsidRPr="00DA78C7">
        <w:rPr>
          <w:rFonts w:ascii="Verdana" w:hAnsi="Verdana"/>
          <w:sz w:val="20"/>
          <w:szCs w:val="20"/>
          <w:lang w:val="en-GB"/>
        </w:rPr>
        <w:t xml:space="preserve">virtually uninhabited. </w:t>
      </w:r>
    </w:p>
    <w:p w:rsidR="00580C0B" w:rsidRPr="00DA78C7" w:rsidRDefault="00580C0B" w:rsidP="009A0BFB">
      <w:pPr>
        <w:jc w:val="both"/>
        <w:rPr>
          <w:rFonts w:ascii="Verdana" w:hAnsi="Verdana"/>
          <w:sz w:val="20"/>
          <w:szCs w:val="20"/>
          <w:lang w:val="en-GB"/>
        </w:rPr>
      </w:pPr>
      <w:r w:rsidRPr="00DA78C7">
        <w:rPr>
          <w:rFonts w:ascii="Verdana" w:hAnsi="Verdana"/>
          <w:sz w:val="20"/>
          <w:szCs w:val="20"/>
          <w:lang w:val="en-GB"/>
        </w:rPr>
        <w:t>The southern governorates have each experienced Iraq's last three wars in different ways. The Iran-Iraq War affected the two border governorates (</w:t>
      </w:r>
      <w:proofErr w:type="spellStart"/>
      <w:r w:rsidRPr="00DA78C7">
        <w:rPr>
          <w:rFonts w:ascii="Verdana" w:hAnsi="Verdana"/>
          <w:sz w:val="20"/>
          <w:szCs w:val="20"/>
          <w:lang w:val="en-GB"/>
        </w:rPr>
        <w:t>Basrah</w:t>
      </w:r>
      <w:proofErr w:type="spellEnd"/>
      <w:r w:rsidRPr="00DA78C7">
        <w:rPr>
          <w:rFonts w:ascii="Verdana" w:hAnsi="Verdana"/>
          <w:sz w:val="20"/>
          <w:szCs w:val="20"/>
          <w:lang w:val="en-GB"/>
        </w:rPr>
        <w:t xml:space="preserve"> and </w:t>
      </w:r>
      <w:proofErr w:type="spellStart"/>
      <w:r w:rsidRPr="00DA78C7">
        <w:rPr>
          <w:rFonts w:ascii="Verdana" w:hAnsi="Verdana"/>
          <w:sz w:val="20"/>
          <w:szCs w:val="20"/>
          <w:lang w:val="en-GB"/>
        </w:rPr>
        <w:t>Missan</w:t>
      </w:r>
      <w:proofErr w:type="spellEnd"/>
      <w:r w:rsidRPr="00DA78C7">
        <w:rPr>
          <w:rFonts w:ascii="Verdana" w:hAnsi="Verdana"/>
          <w:sz w:val="20"/>
          <w:szCs w:val="20"/>
          <w:lang w:val="en-GB"/>
        </w:rPr>
        <w:t xml:space="preserve">) the </w:t>
      </w:r>
      <w:r w:rsidR="009A0BFB" w:rsidRPr="00DA78C7">
        <w:rPr>
          <w:rFonts w:ascii="Verdana" w:hAnsi="Verdana"/>
          <w:sz w:val="20"/>
          <w:szCs w:val="20"/>
          <w:lang w:val="en-GB"/>
        </w:rPr>
        <w:t>heaviest</w:t>
      </w:r>
      <w:r w:rsidRPr="00DA78C7">
        <w:rPr>
          <w:rFonts w:ascii="Verdana" w:hAnsi="Verdana"/>
          <w:sz w:val="20"/>
          <w:szCs w:val="20"/>
          <w:lang w:val="en-GB"/>
        </w:rPr>
        <w:t>, with deep border mine fields exist</w:t>
      </w:r>
      <w:r w:rsidR="009A0BFB" w:rsidRPr="00DA78C7">
        <w:rPr>
          <w:rFonts w:ascii="Verdana" w:hAnsi="Verdana"/>
          <w:sz w:val="20"/>
          <w:szCs w:val="20"/>
          <w:lang w:val="en-GB"/>
        </w:rPr>
        <w:t>ing</w:t>
      </w:r>
      <w:r w:rsidRPr="00DA78C7">
        <w:rPr>
          <w:rFonts w:ascii="Verdana" w:hAnsi="Verdana"/>
          <w:sz w:val="20"/>
          <w:szCs w:val="20"/>
          <w:lang w:val="en-GB"/>
        </w:rPr>
        <w:t xml:space="preserve"> to this day</w:t>
      </w:r>
      <w:r w:rsidRPr="00DA78C7">
        <w:rPr>
          <w:rStyle w:val="FootnoteReference"/>
          <w:rFonts w:ascii="Verdana" w:hAnsi="Verdana"/>
          <w:szCs w:val="20"/>
          <w:lang w:val="en-GB"/>
        </w:rPr>
        <w:footnoteReference w:id="3"/>
      </w:r>
      <w:r w:rsidRPr="00DA78C7">
        <w:rPr>
          <w:rFonts w:ascii="Verdana" w:hAnsi="Verdana"/>
          <w:sz w:val="20"/>
          <w:szCs w:val="20"/>
          <w:lang w:val="en-GB"/>
        </w:rPr>
        <w:t xml:space="preserve">. This area is </w:t>
      </w:r>
      <w:r w:rsidR="009A0BFB" w:rsidRPr="00DA78C7">
        <w:rPr>
          <w:rFonts w:ascii="Verdana" w:hAnsi="Verdana"/>
          <w:sz w:val="20"/>
          <w:szCs w:val="20"/>
          <w:lang w:val="en-GB"/>
        </w:rPr>
        <w:t xml:space="preserve">now </w:t>
      </w:r>
      <w:r w:rsidRPr="00DA78C7">
        <w:rPr>
          <w:rFonts w:ascii="Verdana" w:hAnsi="Verdana"/>
          <w:sz w:val="20"/>
          <w:szCs w:val="20"/>
          <w:lang w:val="en-GB"/>
        </w:rPr>
        <w:t>heavily contaminated and largely abandoned</w:t>
      </w:r>
      <w:r w:rsidR="009A0BFB" w:rsidRPr="00DA78C7">
        <w:rPr>
          <w:rFonts w:ascii="Verdana" w:hAnsi="Verdana"/>
          <w:sz w:val="20"/>
          <w:szCs w:val="20"/>
          <w:lang w:val="en-GB"/>
        </w:rPr>
        <w:t xml:space="preserve"> where, p</w:t>
      </w:r>
      <w:r w:rsidRPr="00DA78C7">
        <w:rPr>
          <w:rFonts w:ascii="Verdana" w:hAnsi="Verdana"/>
          <w:sz w:val="20"/>
          <w:szCs w:val="20"/>
          <w:lang w:val="en-GB"/>
        </w:rPr>
        <w:t xml:space="preserve">rior to the Iran-Iraq War, it </w:t>
      </w:r>
      <w:r w:rsidR="009A0BFB" w:rsidRPr="00DA78C7">
        <w:rPr>
          <w:rFonts w:ascii="Verdana" w:hAnsi="Verdana"/>
          <w:sz w:val="20"/>
          <w:szCs w:val="20"/>
          <w:lang w:val="en-GB"/>
        </w:rPr>
        <w:t xml:space="preserve">was </w:t>
      </w:r>
      <w:r w:rsidRPr="00DA78C7">
        <w:rPr>
          <w:rFonts w:ascii="Verdana" w:hAnsi="Verdana"/>
          <w:sz w:val="20"/>
          <w:szCs w:val="20"/>
          <w:lang w:val="en-GB"/>
        </w:rPr>
        <w:t xml:space="preserve">reported that </w:t>
      </w:r>
      <w:r w:rsidR="009A0BFB" w:rsidRPr="00DA78C7">
        <w:rPr>
          <w:rFonts w:ascii="Verdana" w:hAnsi="Verdana"/>
          <w:sz w:val="20"/>
          <w:szCs w:val="20"/>
          <w:lang w:val="en-GB"/>
        </w:rPr>
        <w:t>it was probably one of</w:t>
      </w:r>
      <w:r w:rsidRPr="00DA78C7">
        <w:rPr>
          <w:rFonts w:ascii="Verdana" w:hAnsi="Verdana"/>
          <w:sz w:val="20"/>
          <w:szCs w:val="20"/>
          <w:lang w:val="en-GB"/>
        </w:rPr>
        <w:t xml:space="preserve"> the largest date palm plantation</w:t>
      </w:r>
      <w:r w:rsidR="009A0BFB" w:rsidRPr="00DA78C7">
        <w:rPr>
          <w:rFonts w:ascii="Verdana" w:hAnsi="Verdana"/>
          <w:sz w:val="20"/>
          <w:szCs w:val="20"/>
          <w:lang w:val="en-GB"/>
        </w:rPr>
        <w:t>s</w:t>
      </w:r>
      <w:r w:rsidRPr="00DA78C7">
        <w:rPr>
          <w:rFonts w:ascii="Verdana" w:hAnsi="Verdana"/>
          <w:sz w:val="20"/>
          <w:szCs w:val="20"/>
          <w:lang w:val="en-GB"/>
        </w:rPr>
        <w:t xml:space="preserve"> in the world. Much of that agricultural bounty has been destroyed, and what remains in many areas is a large mined area crisscrossed with trenches and dotted with armoured vehicle fighting positions.</w:t>
      </w:r>
    </w:p>
    <w:p w:rsidR="00580C0B" w:rsidRDefault="00580C0B" w:rsidP="00580C0B">
      <w:pPr>
        <w:jc w:val="both"/>
        <w:rPr>
          <w:rFonts w:ascii="Verdana" w:hAnsi="Verdana"/>
          <w:sz w:val="20"/>
          <w:szCs w:val="20"/>
          <w:lang w:val="en-GB"/>
        </w:rPr>
      </w:pPr>
      <w:r w:rsidRPr="00DA78C7">
        <w:rPr>
          <w:rFonts w:ascii="Verdana" w:hAnsi="Verdana"/>
          <w:sz w:val="20"/>
          <w:szCs w:val="20"/>
          <w:lang w:val="en-GB"/>
        </w:rPr>
        <w:t>It is estimated that 702,753 persons live in landmine and or UXO</w:t>
      </w:r>
      <w:r w:rsidR="009B4391" w:rsidRPr="00DA78C7">
        <w:rPr>
          <w:rFonts w:ascii="Verdana" w:hAnsi="Verdana"/>
          <w:sz w:val="20"/>
          <w:szCs w:val="20"/>
          <w:lang w:val="en-GB"/>
        </w:rPr>
        <w:t xml:space="preserve"> </w:t>
      </w:r>
      <w:r w:rsidRPr="00DA78C7">
        <w:rPr>
          <w:rFonts w:ascii="Verdana" w:hAnsi="Verdana"/>
          <w:sz w:val="20"/>
          <w:szCs w:val="20"/>
          <w:lang w:val="en-GB"/>
        </w:rPr>
        <w:t>affected communities in the south of Iraq</w:t>
      </w:r>
      <w:r w:rsidR="00326701" w:rsidRPr="00DA78C7">
        <w:rPr>
          <w:rStyle w:val="FootnoteReference"/>
          <w:rFonts w:ascii="Verdana" w:hAnsi="Verdana"/>
          <w:sz w:val="20"/>
          <w:szCs w:val="20"/>
          <w:lang w:val="en-GB"/>
        </w:rPr>
        <w:footnoteReference w:id="4"/>
      </w:r>
      <w:r w:rsidRPr="00DA78C7">
        <w:rPr>
          <w:rFonts w:ascii="Verdana" w:hAnsi="Verdana"/>
          <w:sz w:val="20"/>
          <w:szCs w:val="20"/>
          <w:lang w:val="en-GB"/>
        </w:rPr>
        <w:t xml:space="preserve">. </w:t>
      </w:r>
    </w:p>
    <w:p w:rsidR="00580C0B" w:rsidRPr="00DA78C7" w:rsidRDefault="00580C0B" w:rsidP="00CA5821">
      <w:pPr>
        <w:pStyle w:val="NoSpacing"/>
        <w:numPr>
          <w:ilvl w:val="0"/>
          <w:numId w:val="1"/>
        </w:numPr>
        <w:ind w:left="284" w:hanging="284"/>
        <w:jc w:val="both"/>
        <w:rPr>
          <w:rFonts w:ascii="Verdana" w:hAnsi="Verdana" w:cs="Tahoma"/>
          <w:b/>
          <w:bCs/>
          <w:lang w:val="en-GB"/>
        </w:rPr>
      </w:pPr>
      <w:r w:rsidRPr="00DA78C7">
        <w:rPr>
          <w:rFonts w:ascii="Verdana" w:hAnsi="Verdana" w:cs="Tahoma"/>
          <w:b/>
          <w:bCs/>
          <w:lang w:val="en-GB"/>
        </w:rPr>
        <w:t xml:space="preserve">Current Situation </w:t>
      </w:r>
    </w:p>
    <w:p w:rsidR="00CA5821" w:rsidRPr="00DA78C7" w:rsidRDefault="00CA5821" w:rsidP="00CA5821">
      <w:pPr>
        <w:pStyle w:val="NoSpacing"/>
        <w:jc w:val="both"/>
        <w:rPr>
          <w:rFonts w:ascii="Verdana" w:hAnsi="Verdana" w:cs="Tahoma"/>
          <w:b/>
          <w:bCs/>
          <w:sz w:val="20"/>
          <w:szCs w:val="20"/>
          <w:lang w:val="en-GB"/>
        </w:rPr>
      </w:pPr>
    </w:p>
    <w:p w:rsidR="003152E3" w:rsidRPr="00DA78C7" w:rsidRDefault="003152E3" w:rsidP="00374A9E">
      <w:pPr>
        <w:jc w:val="both"/>
        <w:rPr>
          <w:rFonts w:ascii="Verdana" w:hAnsi="Verdana"/>
          <w:sz w:val="20"/>
          <w:szCs w:val="20"/>
          <w:lang w:val="en-GB"/>
        </w:rPr>
      </w:pPr>
      <w:r w:rsidRPr="00DA78C7">
        <w:rPr>
          <w:rFonts w:ascii="Verdana" w:hAnsi="Verdana"/>
          <w:sz w:val="20"/>
          <w:szCs w:val="20"/>
          <w:lang w:val="en-GB"/>
        </w:rPr>
        <w:t>N</w:t>
      </w:r>
      <w:r w:rsidR="00580C0B" w:rsidRPr="00DA78C7">
        <w:rPr>
          <w:rFonts w:ascii="Verdana" w:hAnsi="Verdana"/>
          <w:sz w:val="20"/>
          <w:szCs w:val="20"/>
          <w:lang w:val="en-GB"/>
        </w:rPr>
        <w:t>ational c</w:t>
      </w:r>
      <w:r w:rsidRPr="00DA78C7">
        <w:rPr>
          <w:rFonts w:ascii="Verdana" w:hAnsi="Verdana"/>
          <w:sz w:val="20"/>
          <w:szCs w:val="20"/>
          <w:lang w:val="en-GB"/>
        </w:rPr>
        <w:t>apacities to counter this large-</w:t>
      </w:r>
      <w:r w:rsidR="00580C0B" w:rsidRPr="00DA78C7">
        <w:rPr>
          <w:rFonts w:ascii="Verdana" w:hAnsi="Verdana"/>
          <w:sz w:val="20"/>
          <w:szCs w:val="20"/>
          <w:lang w:val="en-GB"/>
        </w:rPr>
        <w:t xml:space="preserve">scale problem </w:t>
      </w:r>
      <w:r w:rsidR="00540344" w:rsidRPr="00DA78C7">
        <w:rPr>
          <w:rFonts w:ascii="Verdana" w:hAnsi="Verdana"/>
          <w:sz w:val="20"/>
          <w:szCs w:val="20"/>
          <w:lang w:val="en-GB"/>
        </w:rPr>
        <w:t>are</w:t>
      </w:r>
      <w:r w:rsidRPr="00DA78C7">
        <w:rPr>
          <w:rFonts w:ascii="Verdana" w:hAnsi="Verdana"/>
          <w:sz w:val="20"/>
          <w:szCs w:val="20"/>
          <w:lang w:val="en-GB"/>
        </w:rPr>
        <w:t xml:space="preserve"> limited, especially in humanitarian mine action. The south of Iraq currently has one humanitarian organisation working according to international Mine Action standards. </w:t>
      </w:r>
      <w:r w:rsidR="00374A9E" w:rsidRPr="00DA78C7">
        <w:rPr>
          <w:rFonts w:ascii="Verdana" w:hAnsi="Verdana"/>
          <w:sz w:val="20"/>
          <w:szCs w:val="20"/>
          <w:lang w:val="en-GB"/>
        </w:rPr>
        <w:t xml:space="preserve">The lack of trained and qualified national capacities to address this issue </w:t>
      </w:r>
      <w:r w:rsidRPr="00DA78C7">
        <w:rPr>
          <w:rFonts w:ascii="Verdana" w:hAnsi="Verdana"/>
          <w:sz w:val="20"/>
          <w:szCs w:val="20"/>
          <w:lang w:val="en-GB"/>
        </w:rPr>
        <w:t>limit</w:t>
      </w:r>
      <w:r w:rsidR="00374A9E" w:rsidRPr="00DA78C7">
        <w:rPr>
          <w:rFonts w:ascii="Verdana" w:hAnsi="Verdana"/>
          <w:sz w:val="20"/>
          <w:szCs w:val="20"/>
          <w:lang w:val="en-GB"/>
        </w:rPr>
        <w:t>s</w:t>
      </w:r>
      <w:r w:rsidR="00580C0B" w:rsidRPr="00DA78C7">
        <w:rPr>
          <w:rFonts w:ascii="Verdana" w:hAnsi="Verdana"/>
          <w:sz w:val="20"/>
          <w:szCs w:val="20"/>
          <w:lang w:val="en-GB"/>
        </w:rPr>
        <w:t xml:space="preserve"> </w:t>
      </w:r>
      <w:r w:rsidRPr="00DA78C7">
        <w:rPr>
          <w:rFonts w:ascii="Verdana" w:hAnsi="Verdana"/>
          <w:sz w:val="20"/>
          <w:szCs w:val="20"/>
          <w:lang w:val="en-GB"/>
        </w:rPr>
        <w:t>Iraq</w:t>
      </w:r>
      <w:r w:rsidR="00374A9E" w:rsidRPr="00DA78C7">
        <w:rPr>
          <w:rFonts w:ascii="Verdana" w:hAnsi="Verdana"/>
          <w:sz w:val="20"/>
          <w:szCs w:val="20"/>
          <w:lang w:val="en-GB"/>
        </w:rPr>
        <w:t>’s response to the obligations of the</w:t>
      </w:r>
      <w:r w:rsidRPr="00DA78C7">
        <w:rPr>
          <w:rFonts w:ascii="Verdana" w:hAnsi="Verdana"/>
          <w:sz w:val="20"/>
          <w:szCs w:val="20"/>
          <w:lang w:val="en-GB"/>
        </w:rPr>
        <w:t xml:space="preserve"> </w:t>
      </w:r>
      <w:r w:rsidR="00580C0B" w:rsidRPr="00DA78C7">
        <w:rPr>
          <w:rFonts w:ascii="Verdana" w:hAnsi="Verdana"/>
          <w:sz w:val="20"/>
          <w:szCs w:val="20"/>
          <w:lang w:val="en-GB"/>
        </w:rPr>
        <w:t xml:space="preserve">Anti-Personnel Mine Ban Convention </w:t>
      </w:r>
      <w:r w:rsidR="00374A9E" w:rsidRPr="00DA78C7">
        <w:rPr>
          <w:rFonts w:ascii="Verdana" w:hAnsi="Verdana"/>
          <w:sz w:val="20"/>
          <w:szCs w:val="20"/>
          <w:lang w:val="en-GB"/>
        </w:rPr>
        <w:t>of</w:t>
      </w:r>
      <w:r w:rsidR="00580C0B" w:rsidRPr="00DA78C7">
        <w:rPr>
          <w:rFonts w:ascii="Verdana" w:hAnsi="Verdana"/>
          <w:sz w:val="20"/>
          <w:szCs w:val="20"/>
          <w:lang w:val="en-GB"/>
        </w:rPr>
        <w:t xml:space="preserve"> cl</w:t>
      </w:r>
      <w:r w:rsidR="00D230B7" w:rsidRPr="00DA78C7">
        <w:rPr>
          <w:rFonts w:ascii="Verdana" w:hAnsi="Verdana"/>
          <w:sz w:val="20"/>
          <w:szCs w:val="20"/>
          <w:lang w:val="en-GB"/>
        </w:rPr>
        <w:t>ear</w:t>
      </w:r>
      <w:r w:rsidR="00374A9E" w:rsidRPr="00DA78C7">
        <w:rPr>
          <w:rFonts w:ascii="Verdana" w:hAnsi="Verdana"/>
          <w:sz w:val="20"/>
          <w:szCs w:val="20"/>
          <w:lang w:val="en-GB"/>
        </w:rPr>
        <w:t>ing</w:t>
      </w:r>
      <w:r w:rsidR="00D230B7" w:rsidRPr="00DA78C7">
        <w:rPr>
          <w:rFonts w:ascii="Verdana" w:hAnsi="Verdana"/>
          <w:sz w:val="20"/>
          <w:szCs w:val="20"/>
          <w:lang w:val="en-GB"/>
        </w:rPr>
        <w:t xml:space="preserve"> all existing mines by 2018</w:t>
      </w:r>
      <w:r w:rsidRPr="00DA78C7">
        <w:rPr>
          <w:rFonts w:ascii="Verdana" w:hAnsi="Verdana"/>
          <w:sz w:val="20"/>
          <w:szCs w:val="20"/>
          <w:lang w:val="en-GB"/>
        </w:rPr>
        <w:t>.</w:t>
      </w:r>
      <w:r w:rsidR="00D230B7" w:rsidRPr="00DA78C7">
        <w:rPr>
          <w:rFonts w:ascii="Verdana" w:hAnsi="Verdana"/>
          <w:sz w:val="20"/>
          <w:szCs w:val="20"/>
          <w:lang w:val="en-GB"/>
        </w:rPr>
        <w:t xml:space="preserve"> </w:t>
      </w:r>
      <w:r w:rsidRPr="00DA78C7">
        <w:rPr>
          <w:rFonts w:ascii="Verdana" w:hAnsi="Verdana"/>
          <w:sz w:val="20"/>
          <w:szCs w:val="20"/>
          <w:lang w:val="en-GB"/>
        </w:rPr>
        <w:t xml:space="preserve"> </w:t>
      </w:r>
    </w:p>
    <w:p w:rsidR="0042247A" w:rsidRPr="00DA78C7" w:rsidRDefault="006F5239" w:rsidP="00413145">
      <w:pPr>
        <w:jc w:val="both"/>
        <w:rPr>
          <w:rFonts w:ascii="Verdana" w:hAnsi="Verdana"/>
          <w:sz w:val="20"/>
          <w:szCs w:val="20"/>
          <w:lang w:val="en-GB"/>
        </w:rPr>
      </w:pPr>
      <w:r w:rsidRPr="00DA78C7">
        <w:rPr>
          <w:rFonts w:ascii="Verdana" w:hAnsi="Verdana"/>
          <w:sz w:val="20"/>
          <w:szCs w:val="20"/>
          <w:lang w:val="en-GB"/>
        </w:rPr>
        <w:t xml:space="preserve">As of July 2010 UNDP established a new initiative with the Danish Demining </w:t>
      </w:r>
      <w:r w:rsidR="00822073" w:rsidRPr="00DA78C7">
        <w:rPr>
          <w:rFonts w:ascii="Verdana" w:hAnsi="Verdana"/>
          <w:sz w:val="20"/>
          <w:szCs w:val="20"/>
          <w:lang w:val="en-GB"/>
        </w:rPr>
        <w:t>G</w:t>
      </w:r>
      <w:r w:rsidRPr="00DA78C7">
        <w:rPr>
          <w:rFonts w:ascii="Verdana" w:hAnsi="Verdana"/>
          <w:sz w:val="20"/>
          <w:szCs w:val="20"/>
          <w:lang w:val="en-GB"/>
        </w:rPr>
        <w:t>roup</w:t>
      </w:r>
      <w:r w:rsidR="00374A9E" w:rsidRPr="00DA78C7">
        <w:rPr>
          <w:rFonts w:ascii="Verdana" w:hAnsi="Verdana"/>
          <w:sz w:val="20"/>
          <w:szCs w:val="20"/>
          <w:lang w:val="en-GB"/>
        </w:rPr>
        <w:t xml:space="preserve"> to establish another national organisation through nationalising their existing programme</w:t>
      </w:r>
      <w:r w:rsidR="00540344" w:rsidRPr="00DA78C7">
        <w:rPr>
          <w:rFonts w:ascii="Verdana" w:hAnsi="Verdana"/>
          <w:sz w:val="20"/>
          <w:szCs w:val="20"/>
          <w:lang w:val="en-GB"/>
        </w:rPr>
        <w:t xml:space="preserve">. A </w:t>
      </w:r>
      <w:r w:rsidR="0042247A" w:rsidRPr="00DA78C7">
        <w:rPr>
          <w:rFonts w:ascii="Verdana" w:hAnsi="Verdana"/>
          <w:sz w:val="20"/>
          <w:szCs w:val="20"/>
          <w:lang w:val="en-GB"/>
        </w:rPr>
        <w:t xml:space="preserve">strategic realignment of project outputs was agreed on between the implementing partners </w:t>
      </w:r>
      <w:r w:rsidR="00540344" w:rsidRPr="00DA78C7">
        <w:rPr>
          <w:rFonts w:ascii="Verdana" w:hAnsi="Verdana"/>
          <w:sz w:val="20"/>
          <w:szCs w:val="20"/>
          <w:lang w:val="en-GB"/>
        </w:rPr>
        <w:t>and donor in a meeting in Baghdad</w:t>
      </w:r>
      <w:r w:rsidR="0042247A" w:rsidRPr="00DA78C7">
        <w:rPr>
          <w:rFonts w:ascii="Verdana" w:hAnsi="Verdana"/>
          <w:sz w:val="20"/>
          <w:szCs w:val="20"/>
          <w:lang w:val="en-GB"/>
        </w:rPr>
        <w:t xml:space="preserve"> where it was decided that DDG’s programme will be nationalised and turned into an Iraqi organisation over a 3-5 year</w:t>
      </w:r>
      <w:r w:rsidR="00E21523" w:rsidRPr="00DA78C7">
        <w:rPr>
          <w:rFonts w:ascii="Verdana" w:hAnsi="Verdana"/>
          <w:sz w:val="20"/>
          <w:szCs w:val="20"/>
          <w:lang w:val="en-GB"/>
        </w:rPr>
        <w:t xml:space="preserve"> period</w:t>
      </w:r>
      <w:r w:rsidR="00374A9E" w:rsidRPr="00DA78C7">
        <w:rPr>
          <w:rFonts w:ascii="Verdana" w:hAnsi="Verdana"/>
          <w:sz w:val="20"/>
          <w:szCs w:val="20"/>
          <w:lang w:val="en-GB"/>
        </w:rPr>
        <w:t>. This is</w:t>
      </w:r>
      <w:r w:rsidR="0042247A" w:rsidRPr="00DA78C7">
        <w:rPr>
          <w:rFonts w:ascii="Verdana" w:hAnsi="Verdana"/>
          <w:sz w:val="20"/>
          <w:szCs w:val="20"/>
          <w:lang w:val="en-GB"/>
        </w:rPr>
        <w:t xml:space="preserve"> </w:t>
      </w:r>
      <w:r w:rsidR="00E21523" w:rsidRPr="00DA78C7">
        <w:rPr>
          <w:rFonts w:ascii="Verdana" w:hAnsi="Verdana"/>
          <w:sz w:val="20"/>
          <w:szCs w:val="20"/>
          <w:lang w:val="en-GB"/>
        </w:rPr>
        <w:t xml:space="preserve">to be accompanied by a </w:t>
      </w:r>
      <w:r w:rsidR="0042247A" w:rsidRPr="00DA78C7">
        <w:rPr>
          <w:rFonts w:ascii="Verdana" w:hAnsi="Verdana"/>
          <w:sz w:val="20"/>
          <w:szCs w:val="20"/>
          <w:lang w:val="en-GB"/>
        </w:rPr>
        <w:t>pooling</w:t>
      </w:r>
      <w:r w:rsidR="00E21523" w:rsidRPr="00DA78C7">
        <w:rPr>
          <w:rFonts w:ascii="Verdana" w:hAnsi="Verdana"/>
          <w:sz w:val="20"/>
          <w:szCs w:val="20"/>
          <w:lang w:val="en-GB"/>
        </w:rPr>
        <w:t xml:space="preserve"> of</w:t>
      </w:r>
      <w:r w:rsidR="0042247A" w:rsidRPr="00DA78C7">
        <w:rPr>
          <w:rFonts w:ascii="Verdana" w:hAnsi="Verdana"/>
          <w:sz w:val="20"/>
          <w:szCs w:val="20"/>
          <w:lang w:val="en-GB"/>
        </w:rPr>
        <w:t xml:space="preserve"> resources and donor funds together to establish a sustainable Iraqi humanitarian organization that conducts humanitarian Mine Action in the south of Iraq according to the International Mine Action </w:t>
      </w:r>
      <w:r w:rsidR="00374A9E" w:rsidRPr="00DA78C7">
        <w:rPr>
          <w:rFonts w:ascii="Verdana" w:hAnsi="Verdana"/>
          <w:sz w:val="20"/>
          <w:szCs w:val="20"/>
          <w:lang w:val="en-GB"/>
        </w:rPr>
        <w:t>S</w:t>
      </w:r>
      <w:r w:rsidR="0042247A" w:rsidRPr="00DA78C7">
        <w:rPr>
          <w:rFonts w:ascii="Verdana" w:hAnsi="Verdana"/>
          <w:sz w:val="20"/>
          <w:szCs w:val="20"/>
          <w:lang w:val="en-GB"/>
        </w:rPr>
        <w:t>tandards</w:t>
      </w:r>
      <w:r w:rsidR="00374A9E" w:rsidRPr="00DA78C7">
        <w:rPr>
          <w:rFonts w:ascii="Verdana" w:hAnsi="Verdana"/>
          <w:sz w:val="20"/>
          <w:szCs w:val="20"/>
          <w:lang w:val="en-GB"/>
        </w:rPr>
        <w:t xml:space="preserve"> (IMAS)</w:t>
      </w:r>
      <w:r w:rsidR="00462C65" w:rsidRPr="00DA78C7">
        <w:rPr>
          <w:rFonts w:ascii="Verdana" w:hAnsi="Verdana"/>
          <w:sz w:val="20"/>
          <w:szCs w:val="20"/>
          <w:lang w:val="en-GB"/>
        </w:rPr>
        <w:t>,</w:t>
      </w:r>
      <w:r w:rsidR="00374A9E" w:rsidRPr="00DA78C7">
        <w:rPr>
          <w:rFonts w:ascii="Verdana" w:hAnsi="Verdana"/>
          <w:sz w:val="20"/>
          <w:szCs w:val="20"/>
          <w:lang w:val="en-GB"/>
        </w:rPr>
        <w:t xml:space="preserve"> and later once finalised</w:t>
      </w:r>
      <w:r w:rsidR="00462C65" w:rsidRPr="00DA78C7">
        <w:rPr>
          <w:rFonts w:ascii="Verdana" w:hAnsi="Verdana"/>
          <w:sz w:val="20"/>
          <w:szCs w:val="20"/>
          <w:lang w:val="en-GB"/>
        </w:rPr>
        <w:t>,</w:t>
      </w:r>
      <w:r w:rsidR="00374A9E" w:rsidRPr="00DA78C7">
        <w:rPr>
          <w:rFonts w:ascii="Verdana" w:hAnsi="Verdana"/>
          <w:sz w:val="20"/>
          <w:szCs w:val="20"/>
          <w:lang w:val="en-GB"/>
        </w:rPr>
        <w:t xml:space="preserve"> according to the National Mine Action Standards</w:t>
      </w:r>
      <w:r w:rsidR="0042247A" w:rsidRPr="00DA78C7">
        <w:rPr>
          <w:rFonts w:ascii="Verdana" w:hAnsi="Verdana"/>
          <w:sz w:val="20"/>
          <w:szCs w:val="20"/>
          <w:lang w:val="en-GB"/>
        </w:rPr>
        <w:t>.</w:t>
      </w:r>
      <w:r w:rsidR="00E21523" w:rsidRPr="00DA78C7">
        <w:rPr>
          <w:rFonts w:ascii="Verdana" w:hAnsi="Verdana"/>
          <w:sz w:val="20"/>
          <w:szCs w:val="20"/>
          <w:lang w:val="en-GB"/>
        </w:rPr>
        <w:t xml:space="preserve">  </w:t>
      </w:r>
      <w:r w:rsidR="00326701" w:rsidRPr="00DA78C7">
        <w:rPr>
          <w:rFonts w:ascii="Verdana" w:hAnsi="Verdana"/>
          <w:sz w:val="20"/>
          <w:szCs w:val="20"/>
          <w:lang w:val="en-GB"/>
        </w:rPr>
        <w:t xml:space="preserve">This initiative </w:t>
      </w:r>
      <w:r w:rsidR="00E21523" w:rsidRPr="00DA78C7">
        <w:rPr>
          <w:rFonts w:ascii="Verdana" w:hAnsi="Verdana"/>
          <w:sz w:val="20"/>
          <w:szCs w:val="20"/>
          <w:lang w:val="en-GB"/>
        </w:rPr>
        <w:t>was</w:t>
      </w:r>
      <w:r w:rsidR="00326701" w:rsidRPr="00DA78C7">
        <w:rPr>
          <w:rFonts w:ascii="Verdana" w:hAnsi="Verdana"/>
          <w:sz w:val="20"/>
          <w:szCs w:val="20"/>
          <w:lang w:val="en-GB"/>
        </w:rPr>
        <w:t xml:space="preserve"> translated through a proposal submitted by DDG </w:t>
      </w:r>
      <w:r w:rsidR="007F3336" w:rsidRPr="00DA78C7">
        <w:rPr>
          <w:rFonts w:ascii="Verdana" w:hAnsi="Verdana"/>
          <w:sz w:val="20"/>
          <w:szCs w:val="20"/>
          <w:lang w:val="en-GB"/>
        </w:rPr>
        <w:t xml:space="preserve">to </w:t>
      </w:r>
      <w:r w:rsidR="005570ED" w:rsidRPr="00DA78C7">
        <w:rPr>
          <w:rFonts w:ascii="Verdana" w:hAnsi="Verdana"/>
          <w:sz w:val="20"/>
          <w:szCs w:val="20"/>
          <w:lang w:val="en-GB"/>
        </w:rPr>
        <w:t>UNDP regarding the nationalisation of</w:t>
      </w:r>
      <w:r w:rsidR="007F3336" w:rsidRPr="00DA78C7">
        <w:rPr>
          <w:rFonts w:ascii="Verdana" w:hAnsi="Verdana"/>
          <w:sz w:val="20"/>
          <w:szCs w:val="20"/>
          <w:lang w:val="en-GB"/>
        </w:rPr>
        <w:t xml:space="preserve"> their programme</w:t>
      </w:r>
      <w:r w:rsidR="005570ED" w:rsidRPr="00DA78C7">
        <w:rPr>
          <w:rFonts w:ascii="Verdana" w:hAnsi="Verdana"/>
          <w:sz w:val="20"/>
          <w:szCs w:val="20"/>
          <w:lang w:val="en-GB"/>
        </w:rPr>
        <w:t xml:space="preserve">. Consequently a </w:t>
      </w:r>
      <w:r w:rsidR="00326701" w:rsidRPr="00DA78C7">
        <w:rPr>
          <w:rFonts w:ascii="Verdana" w:hAnsi="Verdana"/>
          <w:sz w:val="20"/>
          <w:szCs w:val="20"/>
          <w:lang w:val="en-GB"/>
        </w:rPr>
        <w:t xml:space="preserve">new project co-operation agreement (PCA) between UNDP and DDG outlining the new cooperation strategy </w:t>
      </w:r>
      <w:r w:rsidR="00E21523" w:rsidRPr="00DA78C7">
        <w:rPr>
          <w:rFonts w:ascii="Verdana" w:hAnsi="Verdana"/>
          <w:sz w:val="20"/>
          <w:szCs w:val="20"/>
          <w:lang w:val="en-GB"/>
        </w:rPr>
        <w:t>for</w:t>
      </w:r>
      <w:r w:rsidR="00326701" w:rsidRPr="00DA78C7">
        <w:rPr>
          <w:rFonts w:ascii="Verdana" w:hAnsi="Verdana"/>
          <w:sz w:val="20"/>
          <w:szCs w:val="20"/>
          <w:lang w:val="en-GB"/>
        </w:rPr>
        <w:t xml:space="preserve"> </w:t>
      </w:r>
      <w:r w:rsidR="00E21523" w:rsidRPr="00DA78C7">
        <w:rPr>
          <w:rFonts w:ascii="Verdana" w:hAnsi="Verdana"/>
          <w:sz w:val="20"/>
          <w:szCs w:val="20"/>
          <w:lang w:val="en-GB"/>
        </w:rPr>
        <w:t>continuing</w:t>
      </w:r>
      <w:r w:rsidR="00326701" w:rsidRPr="00DA78C7">
        <w:rPr>
          <w:rFonts w:ascii="Verdana" w:hAnsi="Verdana"/>
          <w:sz w:val="20"/>
          <w:szCs w:val="20"/>
          <w:lang w:val="en-GB"/>
        </w:rPr>
        <w:t xml:space="preserve"> with </w:t>
      </w:r>
      <w:r w:rsidR="007F3336" w:rsidRPr="00DA78C7">
        <w:rPr>
          <w:rFonts w:ascii="Verdana" w:hAnsi="Verdana"/>
          <w:sz w:val="20"/>
          <w:szCs w:val="20"/>
          <w:lang w:val="en-GB"/>
        </w:rPr>
        <w:t xml:space="preserve">national </w:t>
      </w:r>
      <w:r w:rsidR="00326701" w:rsidRPr="00DA78C7">
        <w:rPr>
          <w:rFonts w:ascii="Verdana" w:hAnsi="Verdana"/>
          <w:sz w:val="20"/>
          <w:szCs w:val="20"/>
          <w:lang w:val="en-GB"/>
        </w:rPr>
        <w:t>clearance capacity development</w:t>
      </w:r>
      <w:r w:rsidR="005570ED" w:rsidRPr="00DA78C7">
        <w:rPr>
          <w:rFonts w:ascii="Verdana" w:hAnsi="Verdana"/>
          <w:sz w:val="20"/>
          <w:szCs w:val="20"/>
          <w:lang w:val="en-GB"/>
        </w:rPr>
        <w:t xml:space="preserve"> was signed</w:t>
      </w:r>
      <w:r w:rsidR="0042247A" w:rsidRPr="00DA78C7">
        <w:rPr>
          <w:rFonts w:ascii="Verdana" w:hAnsi="Verdana"/>
          <w:sz w:val="20"/>
          <w:szCs w:val="20"/>
          <w:lang w:val="en-GB"/>
        </w:rPr>
        <w:t xml:space="preserve">. </w:t>
      </w:r>
      <w:r w:rsidR="00413145" w:rsidRPr="00DA78C7">
        <w:rPr>
          <w:rFonts w:ascii="Verdana" w:hAnsi="Verdana"/>
          <w:sz w:val="20"/>
          <w:szCs w:val="20"/>
          <w:lang w:val="en-GB"/>
        </w:rPr>
        <w:t>A revised project document reflecting this arrangement was duly presented to Australian Aid.</w:t>
      </w:r>
    </w:p>
    <w:p w:rsidR="00235352" w:rsidRPr="00DA78C7" w:rsidRDefault="00235352" w:rsidP="005C20C1">
      <w:pPr>
        <w:jc w:val="both"/>
        <w:rPr>
          <w:rFonts w:ascii="Verdana" w:hAnsi="Verdana"/>
          <w:sz w:val="20"/>
          <w:szCs w:val="20"/>
          <w:lang w:val="en-GB"/>
        </w:rPr>
      </w:pPr>
      <w:r w:rsidRPr="00DA78C7">
        <w:rPr>
          <w:rFonts w:ascii="Verdana" w:hAnsi="Verdana"/>
          <w:sz w:val="20"/>
          <w:szCs w:val="20"/>
          <w:lang w:val="en-GB"/>
        </w:rPr>
        <w:t xml:space="preserve">In May 2010 a </w:t>
      </w:r>
      <w:r w:rsidR="00462C65" w:rsidRPr="00DA78C7">
        <w:rPr>
          <w:rFonts w:ascii="Verdana" w:hAnsi="Verdana"/>
          <w:sz w:val="20"/>
          <w:szCs w:val="20"/>
          <w:lang w:val="en-GB"/>
        </w:rPr>
        <w:t>grant of (AUD 5,000,000) equivalent to US</w:t>
      </w:r>
      <w:r w:rsidR="005C20C1" w:rsidRPr="00DA78C7">
        <w:rPr>
          <w:rFonts w:ascii="Verdana" w:hAnsi="Verdana"/>
          <w:sz w:val="20"/>
          <w:szCs w:val="20"/>
          <w:lang w:val="en-GB"/>
        </w:rPr>
        <w:t xml:space="preserve">D </w:t>
      </w:r>
      <w:r w:rsidR="00462C65" w:rsidRPr="00DA78C7">
        <w:rPr>
          <w:rFonts w:ascii="Verdana" w:hAnsi="Verdana"/>
          <w:sz w:val="20"/>
          <w:szCs w:val="20"/>
          <w:lang w:val="en-GB"/>
        </w:rPr>
        <w:t xml:space="preserve">4,545,500 </w:t>
      </w:r>
      <w:r w:rsidRPr="00DA78C7">
        <w:rPr>
          <w:rFonts w:ascii="Verdana" w:hAnsi="Verdana"/>
          <w:sz w:val="20"/>
          <w:szCs w:val="20"/>
          <w:lang w:val="en-GB"/>
        </w:rPr>
        <w:t>(</w:t>
      </w:r>
      <w:r w:rsidR="00462C65" w:rsidRPr="00DA78C7">
        <w:rPr>
          <w:rFonts w:ascii="Verdana" w:hAnsi="Verdana"/>
          <w:sz w:val="20"/>
          <w:szCs w:val="20"/>
          <w:lang w:val="en-GB"/>
        </w:rPr>
        <w:t xml:space="preserve">grant agreement No. </w:t>
      </w:r>
      <w:r w:rsidRPr="00DA78C7">
        <w:rPr>
          <w:rFonts w:ascii="Verdana" w:hAnsi="Verdana"/>
          <w:sz w:val="20"/>
          <w:szCs w:val="20"/>
          <w:lang w:val="en-GB"/>
        </w:rPr>
        <w:t xml:space="preserve">53997) </w:t>
      </w:r>
      <w:r w:rsidR="00E74D85" w:rsidRPr="00DA78C7">
        <w:rPr>
          <w:rFonts w:ascii="Verdana" w:hAnsi="Verdana"/>
          <w:sz w:val="20"/>
          <w:szCs w:val="20"/>
          <w:lang w:val="en-GB"/>
        </w:rPr>
        <w:t xml:space="preserve">was </w:t>
      </w:r>
      <w:r w:rsidR="005C20C1" w:rsidRPr="00DA78C7">
        <w:rPr>
          <w:rFonts w:ascii="Verdana" w:hAnsi="Verdana"/>
          <w:sz w:val="20"/>
          <w:szCs w:val="20"/>
          <w:lang w:val="en-GB"/>
        </w:rPr>
        <w:t xml:space="preserve">provided </w:t>
      </w:r>
      <w:r w:rsidR="00326701" w:rsidRPr="00DA78C7">
        <w:rPr>
          <w:rFonts w:ascii="Verdana" w:hAnsi="Verdana"/>
          <w:sz w:val="20"/>
          <w:szCs w:val="20"/>
          <w:lang w:val="en-GB"/>
        </w:rPr>
        <w:t xml:space="preserve">by </w:t>
      </w:r>
      <w:r w:rsidR="00E74D85" w:rsidRPr="00DA78C7">
        <w:rPr>
          <w:rFonts w:ascii="Verdana" w:hAnsi="Verdana"/>
          <w:sz w:val="20"/>
          <w:szCs w:val="20"/>
          <w:lang w:val="en-GB"/>
        </w:rPr>
        <w:t xml:space="preserve">the Australian Agency for International </w:t>
      </w:r>
      <w:r w:rsidR="00766C67" w:rsidRPr="00DA78C7">
        <w:rPr>
          <w:rFonts w:ascii="Verdana" w:hAnsi="Verdana"/>
          <w:sz w:val="20"/>
          <w:szCs w:val="20"/>
          <w:lang w:val="en-GB"/>
        </w:rPr>
        <w:t xml:space="preserve">Development </w:t>
      </w:r>
      <w:r w:rsidRPr="00DA78C7">
        <w:rPr>
          <w:rFonts w:ascii="Verdana" w:hAnsi="Verdana"/>
          <w:sz w:val="20"/>
          <w:szCs w:val="20"/>
          <w:lang w:val="en-GB"/>
        </w:rPr>
        <w:t xml:space="preserve">for </w:t>
      </w:r>
      <w:r w:rsidR="005C20C1" w:rsidRPr="00DA78C7">
        <w:rPr>
          <w:rFonts w:ascii="Verdana" w:hAnsi="Verdana"/>
          <w:sz w:val="20"/>
          <w:szCs w:val="20"/>
          <w:lang w:val="en-GB"/>
        </w:rPr>
        <w:t>supporting the national clearance capacity development</w:t>
      </w:r>
      <w:r w:rsidRPr="00DA78C7">
        <w:rPr>
          <w:rFonts w:ascii="Verdana" w:hAnsi="Verdana"/>
          <w:sz w:val="20"/>
          <w:szCs w:val="20"/>
          <w:lang w:val="en-GB"/>
        </w:rPr>
        <w:t xml:space="preserve"> </w:t>
      </w:r>
      <w:r w:rsidR="00E74D85" w:rsidRPr="00DA78C7">
        <w:rPr>
          <w:rFonts w:ascii="Verdana" w:hAnsi="Verdana"/>
          <w:sz w:val="20"/>
          <w:szCs w:val="20"/>
          <w:lang w:val="en-GB"/>
        </w:rPr>
        <w:t>component</w:t>
      </w:r>
      <w:r w:rsidR="005570ED" w:rsidRPr="00DA78C7">
        <w:rPr>
          <w:rFonts w:ascii="Verdana" w:hAnsi="Verdana"/>
          <w:sz w:val="20"/>
          <w:szCs w:val="20"/>
          <w:lang w:val="en-GB"/>
        </w:rPr>
        <w:t>,</w:t>
      </w:r>
      <w:r w:rsidR="00E74D85" w:rsidRPr="00DA78C7">
        <w:rPr>
          <w:rFonts w:ascii="Verdana" w:hAnsi="Verdana"/>
          <w:sz w:val="20"/>
          <w:szCs w:val="20"/>
          <w:lang w:val="en-GB"/>
        </w:rPr>
        <w:t xml:space="preserve"> and </w:t>
      </w:r>
      <w:r w:rsidR="005C20C1" w:rsidRPr="00DA78C7">
        <w:rPr>
          <w:rFonts w:ascii="Verdana" w:hAnsi="Verdana"/>
          <w:sz w:val="20"/>
          <w:szCs w:val="20"/>
          <w:lang w:val="en-GB"/>
        </w:rPr>
        <w:t xml:space="preserve">for </w:t>
      </w:r>
      <w:r w:rsidR="00E74D85" w:rsidRPr="00DA78C7">
        <w:rPr>
          <w:rFonts w:ascii="Verdana" w:hAnsi="Verdana"/>
          <w:sz w:val="20"/>
          <w:szCs w:val="20"/>
          <w:lang w:val="en-GB"/>
        </w:rPr>
        <w:t>support</w:t>
      </w:r>
      <w:r w:rsidR="005C20C1" w:rsidRPr="00DA78C7">
        <w:rPr>
          <w:rFonts w:ascii="Verdana" w:hAnsi="Verdana"/>
          <w:sz w:val="20"/>
          <w:szCs w:val="20"/>
          <w:lang w:val="en-GB"/>
        </w:rPr>
        <w:t>ing</w:t>
      </w:r>
      <w:r w:rsidRPr="00DA78C7">
        <w:rPr>
          <w:rFonts w:ascii="Verdana" w:hAnsi="Verdana"/>
          <w:sz w:val="20"/>
          <w:szCs w:val="20"/>
          <w:lang w:val="en-GB"/>
        </w:rPr>
        <w:t xml:space="preserve"> Victim </w:t>
      </w:r>
      <w:r w:rsidR="00E21523" w:rsidRPr="00DA78C7">
        <w:rPr>
          <w:rFonts w:ascii="Verdana" w:hAnsi="Verdana"/>
          <w:sz w:val="20"/>
          <w:szCs w:val="20"/>
          <w:lang w:val="en-GB"/>
        </w:rPr>
        <w:t>A</w:t>
      </w:r>
      <w:r w:rsidRPr="00DA78C7">
        <w:rPr>
          <w:rFonts w:ascii="Verdana" w:hAnsi="Verdana"/>
          <w:sz w:val="20"/>
          <w:szCs w:val="20"/>
          <w:lang w:val="en-GB"/>
        </w:rPr>
        <w:t xml:space="preserve">ssistance </w:t>
      </w:r>
      <w:r w:rsidR="00326701" w:rsidRPr="00DA78C7">
        <w:rPr>
          <w:rFonts w:ascii="Verdana" w:hAnsi="Verdana"/>
          <w:sz w:val="20"/>
          <w:szCs w:val="20"/>
          <w:lang w:val="en-GB"/>
        </w:rPr>
        <w:t>development</w:t>
      </w:r>
      <w:r w:rsidRPr="00DA78C7">
        <w:rPr>
          <w:rFonts w:ascii="Verdana" w:hAnsi="Verdana"/>
          <w:sz w:val="20"/>
          <w:szCs w:val="20"/>
          <w:lang w:val="en-GB"/>
        </w:rPr>
        <w:t xml:space="preserve"> in the North of Iraq</w:t>
      </w:r>
      <w:r w:rsidR="00DB4F44" w:rsidRPr="00DA78C7">
        <w:rPr>
          <w:rFonts w:ascii="Verdana" w:hAnsi="Verdana"/>
          <w:sz w:val="20"/>
          <w:szCs w:val="20"/>
          <w:lang w:val="en-GB"/>
        </w:rPr>
        <w:t xml:space="preserve">. </w:t>
      </w:r>
      <w:r w:rsidR="00585072" w:rsidRPr="00DA78C7">
        <w:rPr>
          <w:rFonts w:ascii="Verdana" w:hAnsi="Verdana"/>
          <w:sz w:val="20"/>
          <w:szCs w:val="20"/>
          <w:lang w:val="en-GB"/>
        </w:rPr>
        <w:t xml:space="preserve">Moreover and </w:t>
      </w:r>
      <w:r w:rsidR="00661C4C" w:rsidRPr="00DA78C7">
        <w:rPr>
          <w:rFonts w:ascii="Verdana" w:hAnsi="Verdana"/>
          <w:sz w:val="20"/>
          <w:szCs w:val="20"/>
          <w:lang w:val="en-GB"/>
        </w:rPr>
        <w:t>as per instructions from UNDP f</w:t>
      </w:r>
      <w:r w:rsidRPr="00DA78C7">
        <w:rPr>
          <w:rFonts w:ascii="Verdana" w:hAnsi="Verdana"/>
          <w:sz w:val="20"/>
          <w:szCs w:val="20"/>
          <w:lang w:val="en-GB"/>
        </w:rPr>
        <w:t xml:space="preserve">inance department a new </w:t>
      </w:r>
      <w:r w:rsidR="00462C65" w:rsidRPr="00DA78C7">
        <w:rPr>
          <w:rFonts w:ascii="Verdana" w:hAnsi="Verdana"/>
          <w:sz w:val="20"/>
          <w:szCs w:val="20"/>
          <w:lang w:val="en-GB"/>
        </w:rPr>
        <w:t>award</w:t>
      </w:r>
      <w:r w:rsidR="00661C4C" w:rsidRPr="00DA78C7">
        <w:rPr>
          <w:rFonts w:ascii="Verdana" w:hAnsi="Verdana"/>
          <w:sz w:val="20"/>
          <w:szCs w:val="20"/>
          <w:lang w:val="en-GB"/>
        </w:rPr>
        <w:t xml:space="preserve"> number (60001) and two </w:t>
      </w:r>
      <w:r w:rsidRPr="00DA78C7">
        <w:rPr>
          <w:rFonts w:ascii="Verdana" w:hAnsi="Verdana"/>
          <w:sz w:val="20"/>
          <w:szCs w:val="20"/>
          <w:lang w:val="en-GB"/>
        </w:rPr>
        <w:t>project number</w:t>
      </w:r>
      <w:r w:rsidR="00661C4C" w:rsidRPr="00DA78C7">
        <w:rPr>
          <w:rFonts w:ascii="Verdana" w:hAnsi="Verdana"/>
          <w:sz w:val="20"/>
          <w:szCs w:val="20"/>
          <w:lang w:val="en-GB"/>
        </w:rPr>
        <w:t>s (UNDP No. 75309) for the Operational development component</w:t>
      </w:r>
      <w:r w:rsidR="00822073" w:rsidRPr="00DA78C7">
        <w:rPr>
          <w:rFonts w:ascii="Verdana" w:hAnsi="Verdana"/>
          <w:sz w:val="20"/>
          <w:szCs w:val="20"/>
          <w:lang w:val="en-GB"/>
        </w:rPr>
        <w:t>,</w:t>
      </w:r>
      <w:r w:rsidR="003639C6" w:rsidRPr="00DA78C7">
        <w:rPr>
          <w:rFonts w:ascii="Verdana" w:hAnsi="Verdana"/>
          <w:sz w:val="20"/>
          <w:szCs w:val="20"/>
          <w:lang w:val="en-GB"/>
        </w:rPr>
        <w:t xml:space="preserve"> and (UNDP No. 75</w:t>
      </w:r>
      <w:r w:rsidR="00661C4C" w:rsidRPr="00DA78C7">
        <w:rPr>
          <w:rFonts w:ascii="Verdana" w:hAnsi="Verdana"/>
          <w:sz w:val="20"/>
          <w:szCs w:val="20"/>
          <w:lang w:val="en-GB"/>
        </w:rPr>
        <w:t>331) for the Victim Assistance development component</w:t>
      </w:r>
      <w:r w:rsidR="00462C65" w:rsidRPr="00DA78C7">
        <w:rPr>
          <w:rFonts w:ascii="Verdana" w:hAnsi="Verdana"/>
          <w:sz w:val="20"/>
          <w:szCs w:val="20"/>
          <w:lang w:val="en-GB"/>
        </w:rPr>
        <w:t xml:space="preserve"> were established</w:t>
      </w:r>
      <w:r w:rsidR="00661C4C" w:rsidRPr="00DA78C7">
        <w:rPr>
          <w:rFonts w:ascii="Verdana" w:hAnsi="Verdana"/>
          <w:sz w:val="20"/>
          <w:szCs w:val="20"/>
          <w:lang w:val="en-GB"/>
        </w:rPr>
        <w:t>.</w:t>
      </w:r>
      <w:r w:rsidRPr="00DA78C7">
        <w:rPr>
          <w:rFonts w:ascii="Verdana" w:hAnsi="Verdana"/>
          <w:sz w:val="20"/>
          <w:szCs w:val="20"/>
          <w:lang w:val="en-GB"/>
        </w:rPr>
        <w:t xml:space="preserve"> </w:t>
      </w:r>
      <w:r w:rsidR="00661C4C" w:rsidRPr="00DA78C7">
        <w:rPr>
          <w:rFonts w:ascii="Verdana" w:hAnsi="Verdana"/>
          <w:sz w:val="20"/>
          <w:szCs w:val="20"/>
          <w:lang w:val="en-GB"/>
        </w:rPr>
        <w:t>T</w:t>
      </w:r>
      <w:r w:rsidRPr="00DA78C7">
        <w:rPr>
          <w:rFonts w:ascii="Verdana" w:hAnsi="Verdana"/>
          <w:sz w:val="20"/>
          <w:szCs w:val="20"/>
          <w:lang w:val="en-GB"/>
        </w:rPr>
        <w:t>he project document was reviewed and approved by</w:t>
      </w:r>
      <w:r w:rsidR="00462C65" w:rsidRPr="00DA78C7">
        <w:rPr>
          <w:rFonts w:ascii="Verdana" w:hAnsi="Verdana"/>
          <w:sz w:val="20"/>
          <w:szCs w:val="20"/>
          <w:lang w:val="en-GB"/>
        </w:rPr>
        <w:t xml:space="preserve"> a</w:t>
      </w:r>
      <w:r w:rsidRPr="00DA78C7">
        <w:rPr>
          <w:rFonts w:ascii="Verdana" w:hAnsi="Verdana"/>
          <w:sz w:val="20"/>
          <w:szCs w:val="20"/>
          <w:lang w:val="en-GB"/>
        </w:rPr>
        <w:t xml:space="preserve"> UNDP </w:t>
      </w:r>
      <w:r w:rsidR="00661C4C" w:rsidRPr="00DA78C7">
        <w:rPr>
          <w:rFonts w:ascii="Verdana" w:hAnsi="Verdana"/>
          <w:sz w:val="20"/>
          <w:szCs w:val="20"/>
          <w:lang w:val="en-GB"/>
        </w:rPr>
        <w:t>Local Project Appraisal Committee</w:t>
      </w:r>
      <w:r w:rsidR="00462C65" w:rsidRPr="00DA78C7">
        <w:rPr>
          <w:rFonts w:ascii="Verdana" w:hAnsi="Verdana"/>
          <w:sz w:val="20"/>
          <w:szCs w:val="20"/>
          <w:lang w:val="en-GB"/>
        </w:rPr>
        <w:t>.</w:t>
      </w:r>
      <w:r w:rsidR="00661C4C" w:rsidRPr="00DA78C7">
        <w:rPr>
          <w:rFonts w:ascii="Verdana" w:hAnsi="Verdana"/>
          <w:sz w:val="20"/>
          <w:szCs w:val="20"/>
          <w:lang w:val="en-GB"/>
        </w:rPr>
        <w:t xml:space="preserve"> </w:t>
      </w:r>
    </w:p>
    <w:p w:rsidR="00585072" w:rsidRPr="00DA78C7" w:rsidRDefault="00454475" w:rsidP="005C20C1">
      <w:pPr>
        <w:jc w:val="both"/>
        <w:rPr>
          <w:rFonts w:ascii="Verdana" w:hAnsi="Verdana"/>
          <w:sz w:val="20"/>
          <w:szCs w:val="20"/>
          <w:lang w:val="en-GB"/>
        </w:rPr>
      </w:pPr>
      <w:r w:rsidRPr="00DA78C7">
        <w:rPr>
          <w:rFonts w:ascii="Verdana" w:hAnsi="Verdana"/>
          <w:sz w:val="20"/>
          <w:szCs w:val="20"/>
          <w:lang w:val="en-GB"/>
        </w:rPr>
        <w:t>The first tra</w:t>
      </w:r>
      <w:r w:rsidR="00585072" w:rsidRPr="00DA78C7">
        <w:rPr>
          <w:rFonts w:ascii="Verdana" w:hAnsi="Verdana"/>
          <w:sz w:val="20"/>
          <w:szCs w:val="20"/>
          <w:lang w:val="en-GB"/>
        </w:rPr>
        <w:t>nch</w:t>
      </w:r>
      <w:r w:rsidRPr="00DA78C7">
        <w:rPr>
          <w:rFonts w:ascii="Verdana" w:hAnsi="Verdana"/>
          <w:sz w:val="20"/>
          <w:szCs w:val="20"/>
          <w:lang w:val="en-GB"/>
        </w:rPr>
        <w:t>e</w:t>
      </w:r>
      <w:r w:rsidR="00585072" w:rsidRPr="00DA78C7">
        <w:rPr>
          <w:rFonts w:ascii="Verdana" w:hAnsi="Verdana"/>
          <w:sz w:val="20"/>
          <w:szCs w:val="20"/>
          <w:lang w:val="en-GB"/>
        </w:rPr>
        <w:t xml:space="preserve"> (AUD 2,500,000) equivalent to US$ 2,302,025.78 was received in early May 2010 and </w:t>
      </w:r>
      <w:r w:rsidR="003A6D32" w:rsidRPr="00DA78C7">
        <w:rPr>
          <w:rFonts w:ascii="Verdana" w:hAnsi="Verdana"/>
          <w:sz w:val="20"/>
          <w:szCs w:val="20"/>
          <w:lang w:val="en-GB"/>
        </w:rPr>
        <w:t>contributed to the support of clearance operations in the south</w:t>
      </w:r>
      <w:r w:rsidR="00413145" w:rsidRPr="00DA78C7">
        <w:rPr>
          <w:rFonts w:ascii="Verdana" w:hAnsi="Verdana"/>
          <w:sz w:val="20"/>
          <w:szCs w:val="20"/>
          <w:lang w:val="en-GB"/>
        </w:rPr>
        <w:t>.</w:t>
      </w:r>
      <w:r w:rsidR="00E21523" w:rsidRPr="00DA78C7">
        <w:rPr>
          <w:rFonts w:ascii="Verdana" w:hAnsi="Verdana"/>
          <w:sz w:val="20"/>
          <w:szCs w:val="20"/>
          <w:lang w:val="en-GB"/>
        </w:rPr>
        <w:t xml:space="preserve"> </w:t>
      </w:r>
      <w:r w:rsidR="009B4391" w:rsidRPr="00DA78C7">
        <w:rPr>
          <w:rFonts w:ascii="Verdana" w:hAnsi="Verdana"/>
          <w:sz w:val="20"/>
          <w:szCs w:val="20"/>
          <w:lang w:val="en-GB"/>
        </w:rPr>
        <w:t>I</w:t>
      </w:r>
      <w:r w:rsidR="00585072" w:rsidRPr="00DA78C7">
        <w:rPr>
          <w:rFonts w:ascii="Verdana" w:hAnsi="Verdana"/>
          <w:sz w:val="20"/>
          <w:szCs w:val="20"/>
          <w:lang w:val="en-GB"/>
        </w:rPr>
        <w:t>n May 2011 the first part of the second tranche (AUD 1</w:t>
      </w:r>
      <w:r w:rsidR="00766C67" w:rsidRPr="00DA78C7">
        <w:rPr>
          <w:rFonts w:ascii="Verdana" w:hAnsi="Verdana"/>
          <w:sz w:val="20"/>
          <w:szCs w:val="20"/>
          <w:lang w:val="en-GB"/>
        </w:rPr>
        <w:t>,</w:t>
      </w:r>
      <w:r w:rsidR="00585072" w:rsidRPr="00DA78C7">
        <w:rPr>
          <w:rFonts w:ascii="Verdana" w:hAnsi="Verdana"/>
          <w:sz w:val="20"/>
          <w:szCs w:val="20"/>
          <w:lang w:val="en-GB"/>
        </w:rPr>
        <w:t>500</w:t>
      </w:r>
      <w:r w:rsidR="00766C67" w:rsidRPr="00DA78C7">
        <w:rPr>
          <w:rFonts w:ascii="Verdana" w:hAnsi="Verdana"/>
          <w:sz w:val="20"/>
          <w:szCs w:val="20"/>
          <w:lang w:val="en-GB"/>
        </w:rPr>
        <w:t>,</w:t>
      </w:r>
      <w:r w:rsidR="00585072" w:rsidRPr="00DA78C7">
        <w:rPr>
          <w:rFonts w:ascii="Verdana" w:hAnsi="Verdana"/>
          <w:sz w:val="20"/>
          <w:szCs w:val="20"/>
          <w:lang w:val="en-GB"/>
        </w:rPr>
        <w:t>000) equivalent t</w:t>
      </w:r>
      <w:r w:rsidR="00F919A5" w:rsidRPr="00DA78C7">
        <w:rPr>
          <w:rFonts w:ascii="Verdana" w:hAnsi="Verdana"/>
          <w:sz w:val="20"/>
          <w:szCs w:val="20"/>
          <w:lang w:val="en-GB"/>
        </w:rPr>
        <w:t>o USD 1,547,987.62 was received out of which, t</w:t>
      </w:r>
      <w:r w:rsidRPr="00DA78C7">
        <w:rPr>
          <w:rFonts w:ascii="Verdana" w:hAnsi="Verdana"/>
          <w:sz w:val="20"/>
          <w:szCs w:val="20"/>
          <w:lang w:val="en-GB"/>
        </w:rPr>
        <w:t>he victim assistance project received its</w:t>
      </w:r>
      <w:r w:rsidR="004F5B73" w:rsidRPr="00DA78C7">
        <w:rPr>
          <w:rFonts w:ascii="Verdana" w:hAnsi="Verdana"/>
          <w:sz w:val="20"/>
          <w:szCs w:val="20"/>
          <w:lang w:val="en-GB"/>
        </w:rPr>
        <w:t xml:space="preserve"> </w:t>
      </w:r>
      <w:r w:rsidRPr="00DA78C7">
        <w:rPr>
          <w:rFonts w:ascii="Verdana" w:hAnsi="Verdana"/>
          <w:sz w:val="20"/>
          <w:szCs w:val="20"/>
          <w:lang w:val="en-GB"/>
        </w:rPr>
        <w:t>full budget</w:t>
      </w:r>
      <w:r w:rsidR="005C20C1" w:rsidRPr="00DA78C7">
        <w:rPr>
          <w:rFonts w:ascii="Verdana" w:hAnsi="Verdana"/>
          <w:sz w:val="20"/>
          <w:szCs w:val="20"/>
          <w:lang w:val="en-GB"/>
        </w:rPr>
        <w:t xml:space="preserve"> allocation</w:t>
      </w:r>
      <w:r w:rsidRPr="00DA78C7">
        <w:rPr>
          <w:rFonts w:ascii="Verdana" w:hAnsi="Verdana"/>
          <w:sz w:val="20"/>
          <w:szCs w:val="20"/>
          <w:lang w:val="en-GB"/>
        </w:rPr>
        <w:t xml:space="preserve"> of </w:t>
      </w:r>
      <w:r w:rsidR="005C20C1" w:rsidRPr="00DA78C7">
        <w:rPr>
          <w:rFonts w:ascii="Verdana" w:hAnsi="Verdana"/>
          <w:sz w:val="20"/>
          <w:szCs w:val="20"/>
          <w:lang w:val="en-GB"/>
        </w:rPr>
        <w:t xml:space="preserve">USD </w:t>
      </w:r>
      <w:r w:rsidRPr="00DA78C7">
        <w:rPr>
          <w:rFonts w:ascii="Verdana" w:hAnsi="Verdana"/>
          <w:sz w:val="20"/>
          <w:szCs w:val="20"/>
          <w:lang w:val="en-GB"/>
        </w:rPr>
        <w:t>0.</w:t>
      </w:r>
      <w:r w:rsidR="009B4391" w:rsidRPr="00DA78C7">
        <w:rPr>
          <w:rFonts w:ascii="Verdana" w:hAnsi="Verdana"/>
          <w:sz w:val="20"/>
          <w:szCs w:val="20"/>
          <w:lang w:val="en-GB"/>
        </w:rPr>
        <w:t>933,554</w:t>
      </w:r>
      <w:r w:rsidRPr="00DA78C7">
        <w:rPr>
          <w:rFonts w:ascii="Verdana" w:hAnsi="Verdana"/>
          <w:sz w:val="20"/>
          <w:szCs w:val="20"/>
          <w:lang w:val="en-GB"/>
        </w:rPr>
        <w:t xml:space="preserve"> and the rest</w:t>
      </w:r>
      <w:r w:rsidR="00462C65" w:rsidRPr="00DA78C7">
        <w:rPr>
          <w:rFonts w:ascii="Verdana" w:hAnsi="Verdana"/>
          <w:sz w:val="20"/>
          <w:szCs w:val="20"/>
          <w:lang w:val="en-GB"/>
        </w:rPr>
        <w:t xml:space="preserve"> equal to</w:t>
      </w:r>
      <w:r w:rsidRPr="00DA78C7">
        <w:rPr>
          <w:rFonts w:ascii="Verdana" w:hAnsi="Verdana"/>
          <w:sz w:val="20"/>
          <w:szCs w:val="20"/>
          <w:lang w:val="en-GB"/>
        </w:rPr>
        <w:t xml:space="preserve"> </w:t>
      </w:r>
      <w:r w:rsidR="005C20C1" w:rsidRPr="00DA78C7">
        <w:rPr>
          <w:rFonts w:ascii="Verdana" w:hAnsi="Verdana"/>
          <w:sz w:val="20"/>
          <w:szCs w:val="20"/>
          <w:lang w:val="en-GB"/>
        </w:rPr>
        <w:t xml:space="preserve">USD </w:t>
      </w:r>
      <w:r w:rsidRPr="00DA78C7">
        <w:rPr>
          <w:rFonts w:ascii="Verdana" w:hAnsi="Verdana"/>
          <w:sz w:val="20"/>
          <w:szCs w:val="20"/>
          <w:lang w:val="en-GB"/>
        </w:rPr>
        <w:t xml:space="preserve">614,433.6 </w:t>
      </w:r>
      <w:r w:rsidR="00462C65" w:rsidRPr="00DA78C7">
        <w:rPr>
          <w:rFonts w:ascii="Verdana" w:hAnsi="Verdana"/>
          <w:sz w:val="20"/>
          <w:szCs w:val="20"/>
          <w:lang w:val="en-GB"/>
        </w:rPr>
        <w:t>was allocated</w:t>
      </w:r>
      <w:r w:rsidRPr="00DA78C7">
        <w:rPr>
          <w:rFonts w:ascii="Verdana" w:hAnsi="Verdana"/>
          <w:sz w:val="20"/>
          <w:szCs w:val="20"/>
          <w:lang w:val="en-GB"/>
        </w:rPr>
        <w:t xml:space="preserve"> to the support of clearance operations in the south</w:t>
      </w:r>
      <w:r w:rsidR="00462C65" w:rsidRPr="00DA78C7">
        <w:rPr>
          <w:rFonts w:ascii="Verdana" w:hAnsi="Verdana"/>
          <w:sz w:val="20"/>
          <w:szCs w:val="20"/>
          <w:lang w:val="en-GB"/>
        </w:rPr>
        <w:t>.</w:t>
      </w:r>
    </w:p>
    <w:p w:rsidR="00E21523" w:rsidRDefault="00E21523" w:rsidP="005C20C1">
      <w:pPr>
        <w:jc w:val="both"/>
        <w:rPr>
          <w:rFonts w:ascii="Verdana" w:hAnsi="Verdana"/>
          <w:sz w:val="20"/>
          <w:szCs w:val="20"/>
          <w:lang w:val="en-GB"/>
        </w:rPr>
      </w:pPr>
      <w:r w:rsidRPr="00DA78C7">
        <w:rPr>
          <w:rFonts w:ascii="Verdana" w:hAnsi="Verdana"/>
          <w:sz w:val="20"/>
          <w:szCs w:val="20"/>
          <w:lang w:val="en-GB"/>
        </w:rPr>
        <w:t xml:space="preserve">This is the </w:t>
      </w:r>
      <w:r w:rsidR="00454475" w:rsidRPr="00DA78C7">
        <w:rPr>
          <w:rFonts w:ascii="Verdana" w:hAnsi="Verdana"/>
          <w:sz w:val="20"/>
          <w:szCs w:val="20"/>
          <w:lang w:val="en-GB"/>
        </w:rPr>
        <w:t xml:space="preserve">third </w:t>
      </w:r>
      <w:r w:rsidRPr="00DA78C7">
        <w:rPr>
          <w:rFonts w:ascii="Verdana" w:hAnsi="Verdana"/>
          <w:sz w:val="20"/>
          <w:szCs w:val="20"/>
          <w:lang w:val="en-GB"/>
        </w:rPr>
        <w:t xml:space="preserve">project progress report on the first </w:t>
      </w:r>
      <w:r w:rsidR="00F919A5" w:rsidRPr="00DA78C7">
        <w:rPr>
          <w:rFonts w:ascii="Verdana" w:hAnsi="Verdana"/>
          <w:sz w:val="20"/>
          <w:szCs w:val="20"/>
          <w:lang w:val="en-GB"/>
        </w:rPr>
        <w:t xml:space="preserve">part of the second </w:t>
      </w:r>
      <w:r w:rsidRPr="00DA78C7">
        <w:rPr>
          <w:rFonts w:ascii="Verdana" w:hAnsi="Verdana"/>
          <w:sz w:val="20"/>
          <w:szCs w:val="20"/>
          <w:lang w:val="en-GB"/>
        </w:rPr>
        <w:t xml:space="preserve">trench of the grant for the reporting period </w:t>
      </w:r>
      <w:r w:rsidR="00A024A5" w:rsidRPr="00DA78C7">
        <w:rPr>
          <w:rFonts w:ascii="Verdana" w:hAnsi="Verdana"/>
          <w:sz w:val="20"/>
          <w:szCs w:val="20"/>
          <w:lang w:val="en-GB"/>
        </w:rPr>
        <w:t xml:space="preserve">April </w:t>
      </w:r>
      <w:r w:rsidRPr="00DA78C7">
        <w:rPr>
          <w:rFonts w:ascii="Verdana" w:hAnsi="Verdana"/>
          <w:sz w:val="20"/>
          <w:szCs w:val="20"/>
          <w:lang w:val="en-GB"/>
        </w:rPr>
        <w:t>201</w:t>
      </w:r>
      <w:r w:rsidR="00A024A5" w:rsidRPr="00DA78C7">
        <w:rPr>
          <w:rFonts w:ascii="Verdana" w:hAnsi="Verdana"/>
          <w:sz w:val="20"/>
          <w:szCs w:val="20"/>
          <w:lang w:val="en-GB"/>
        </w:rPr>
        <w:t>1</w:t>
      </w:r>
      <w:r w:rsidRPr="00DA78C7">
        <w:rPr>
          <w:rFonts w:ascii="Verdana" w:hAnsi="Verdana"/>
          <w:sz w:val="20"/>
          <w:szCs w:val="20"/>
          <w:lang w:val="en-GB"/>
        </w:rPr>
        <w:t xml:space="preserve"> to </w:t>
      </w:r>
      <w:r w:rsidR="009B4391" w:rsidRPr="00DA78C7">
        <w:rPr>
          <w:rFonts w:ascii="Verdana" w:hAnsi="Verdana"/>
          <w:sz w:val="20"/>
          <w:szCs w:val="20"/>
          <w:lang w:val="en-GB"/>
        </w:rPr>
        <w:t>September</w:t>
      </w:r>
      <w:r w:rsidR="00A024A5" w:rsidRPr="00DA78C7">
        <w:rPr>
          <w:rFonts w:ascii="Verdana" w:hAnsi="Verdana"/>
          <w:sz w:val="20"/>
          <w:szCs w:val="20"/>
          <w:lang w:val="en-GB"/>
        </w:rPr>
        <w:t xml:space="preserve"> </w:t>
      </w:r>
      <w:r w:rsidRPr="00DA78C7">
        <w:rPr>
          <w:rFonts w:ascii="Verdana" w:hAnsi="Verdana"/>
          <w:sz w:val="20"/>
          <w:szCs w:val="20"/>
          <w:lang w:val="en-GB"/>
        </w:rPr>
        <w:t xml:space="preserve">2011. </w:t>
      </w:r>
      <w:r w:rsidR="003639C6" w:rsidRPr="00DA78C7">
        <w:rPr>
          <w:rFonts w:ascii="Verdana" w:hAnsi="Verdana"/>
          <w:sz w:val="20"/>
          <w:szCs w:val="20"/>
          <w:lang w:val="en-GB"/>
        </w:rPr>
        <w:t xml:space="preserve">However, as </w:t>
      </w:r>
      <w:r w:rsidR="005C20C1" w:rsidRPr="00DA78C7">
        <w:rPr>
          <w:rFonts w:ascii="Verdana" w:hAnsi="Verdana"/>
          <w:sz w:val="20"/>
          <w:szCs w:val="20"/>
          <w:lang w:val="en-GB"/>
        </w:rPr>
        <w:t xml:space="preserve">the </w:t>
      </w:r>
      <w:r w:rsidR="003639C6" w:rsidRPr="00DA78C7">
        <w:rPr>
          <w:rFonts w:ascii="Verdana" w:hAnsi="Verdana"/>
          <w:sz w:val="20"/>
          <w:szCs w:val="20"/>
          <w:lang w:val="en-GB"/>
        </w:rPr>
        <w:t xml:space="preserve">victim assistance component </w:t>
      </w:r>
      <w:r w:rsidR="005C20C1" w:rsidRPr="00DA78C7">
        <w:rPr>
          <w:rFonts w:ascii="Verdana" w:hAnsi="Verdana"/>
          <w:sz w:val="20"/>
          <w:szCs w:val="20"/>
          <w:lang w:val="en-GB"/>
        </w:rPr>
        <w:t xml:space="preserve">only </w:t>
      </w:r>
      <w:r w:rsidR="003639C6" w:rsidRPr="00DA78C7">
        <w:rPr>
          <w:rFonts w:ascii="Verdana" w:hAnsi="Verdana"/>
          <w:sz w:val="20"/>
          <w:szCs w:val="20"/>
          <w:lang w:val="en-GB"/>
        </w:rPr>
        <w:t xml:space="preserve">started </w:t>
      </w:r>
      <w:r w:rsidR="005C20C1" w:rsidRPr="00DA78C7">
        <w:rPr>
          <w:rFonts w:ascii="Verdana" w:hAnsi="Verdana"/>
          <w:sz w:val="20"/>
          <w:szCs w:val="20"/>
          <w:lang w:val="en-GB"/>
        </w:rPr>
        <w:t xml:space="preserve">as of </w:t>
      </w:r>
      <w:r w:rsidR="003639C6" w:rsidRPr="00DA78C7">
        <w:rPr>
          <w:rFonts w:ascii="Verdana" w:hAnsi="Verdana"/>
          <w:sz w:val="20"/>
          <w:szCs w:val="20"/>
          <w:lang w:val="en-GB"/>
        </w:rPr>
        <w:t xml:space="preserve">1 July 2011, this report covers </w:t>
      </w:r>
      <w:r w:rsidR="005C20C1" w:rsidRPr="00DA78C7">
        <w:rPr>
          <w:rFonts w:ascii="Verdana" w:hAnsi="Verdana"/>
          <w:sz w:val="20"/>
          <w:szCs w:val="20"/>
          <w:lang w:val="en-GB"/>
        </w:rPr>
        <w:t xml:space="preserve">victim assistance activities carried out </w:t>
      </w:r>
      <w:r w:rsidR="00F919A5" w:rsidRPr="00DA78C7">
        <w:rPr>
          <w:rFonts w:ascii="Verdana" w:hAnsi="Verdana"/>
          <w:sz w:val="20"/>
          <w:szCs w:val="20"/>
          <w:lang w:val="en-GB"/>
        </w:rPr>
        <w:t xml:space="preserve">from </w:t>
      </w:r>
      <w:r w:rsidR="003639C6" w:rsidRPr="00DA78C7">
        <w:rPr>
          <w:rFonts w:ascii="Verdana" w:hAnsi="Verdana"/>
          <w:sz w:val="20"/>
          <w:szCs w:val="20"/>
          <w:lang w:val="en-GB"/>
        </w:rPr>
        <w:t xml:space="preserve">July </w:t>
      </w:r>
      <w:r w:rsidR="00F919A5" w:rsidRPr="00DA78C7">
        <w:rPr>
          <w:rFonts w:ascii="Verdana" w:hAnsi="Verdana"/>
          <w:sz w:val="20"/>
          <w:szCs w:val="20"/>
          <w:lang w:val="en-GB"/>
        </w:rPr>
        <w:t xml:space="preserve">to </w:t>
      </w:r>
      <w:r w:rsidR="003639C6" w:rsidRPr="00DA78C7">
        <w:rPr>
          <w:rFonts w:ascii="Verdana" w:hAnsi="Verdana"/>
          <w:sz w:val="20"/>
          <w:szCs w:val="20"/>
          <w:lang w:val="en-GB"/>
        </w:rPr>
        <w:t>September 2011.</w:t>
      </w:r>
    </w:p>
    <w:p w:rsidR="00E74D85" w:rsidRPr="00DA78C7" w:rsidRDefault="00E74D85" w:rsidP="00E74D85">
      <w:pPr>
        <w:pStyle w:val="NoSpacing"/>
        <w:numPr>
          <w:ilvl w:val="0"/>
          <w:numId w:val="1"/>
        </w:numPr>
        <w:ind w:left="284" w:hanging="284"/>
        <w:jc w:val="both"/>
        <w:rPr>
          <w:rFonts w:ascii="Verdana" w:hAnsi="Verdana" w:cs="Tahoma"/>
          <w:b/>
          <w:bCs/>
          <w:lang w:val="en-GB"/>
        </w:rPr>
      </w:pPr>
      <w:r w:rsidRPr="00DA78C7">
        <w:rPr>
          <w:rFonts w:ascii="Verdana" w:hAnsi="Verdana" w:cs="Tahoma"/>
          <w:b/>
          <w:bCs/>
          <w:lang w:val="en-GB"/>
        </w:rPr>
        <w:t xml:space="preserve">Project Strategy </w:t>
      </w:r>
    </w:p>
    <w:p w:rsidR="00E74D85" w:rsidRPr="00DA78C7" w:rsidRDefault="00E74D85" w:rsidP="00E74D85">
      <w:pPr>
        <w:pStyle w:val="NoSpacing"/>
        <w:jc w:val="both"/>
        <w:rPr>
          <w:rFonts w:ascii="Verdana" w:hAnsi="Verdana" w:cs="Tahoma"/>
          <w:b/>
          <w:bCs/>
          <w:lang w:val="en-GB"/>
        </w:rPr>
      </w:pPr>
    </w:p>
    <w:p w:rsidR="003A6D32" w:rsidRPr="00DA78C7" w:rsidRDefault="009E6871" w:rsidP="00CA5821">
      <w:pPr>
        <w:jc w:val="both"/>
        <w:rPr>
          <w:rFonts w:ascii="Verdana" w:hAnsi="Verdana"/>
          <w:b/>
          <w:sz w:val="20"/>
          <w:szCs w:val="20"/>
          <w:lang w:val="en-GB"/>
        </w:rPr>
      </w:pPr>
      <w:r w:rsidRPr="00DA78C7">
        <w:rPr>
          <w:rFonts w:ascii="Verdana" w:hAnsi="Verdana"/>
          <w:b/>
          <w:sz w:val="20"/>
          <w:szCs w:val="20"/>
          <w:lang w:val="en-GB"/>
        </w:rPr>
        <w:t>3</w:t>
      </w:r>
      <w:r w:rsidR="00CA5821" w:rsidRPr="00DA78C7">
        <w:rPr>
          <w:rFonts w:ascii="Verdana" w:hAnsi="Verdana"/>
          <w:b/>
          <w:sz w:val="20"/>
          <w:szCs w:val="20"/>
          <w:lang w:val="en-GB"/>
        </w:rPr>
        <w:t xml:space="preserve">.1 </w:t>
      </w:r>
      <w:r w:rsidRPr="00DA78C7">
        <w:rPr>
          <w:rFonts w:ascii="Verdana" w:hAnsi="Verdana"/>
          <w:b/>
          <w:sz w:val="20"/>
          <w:szCs w:val="20"/>
          <w:lang w:val="en-GB"/>
        </w:rPr>
        <w:t xml:space="preserve">project </w:t>
      </w:r>
      <w:r w:rsidR="003A6D32" w:rsidRPr="00DA78C7">
        <w:rPr>
          <w:rFonts w:ascii="Verdana" w:hAnsi="Verdana"/>
          <w:b/>
          <w:sz w:val="20"/>
          <w:szCs w:val="20"/>
          <w:lang w:val="en-GB"/>
        </w:rPr>
        <w:t>Objectives</w:t>
      </w:r>
    </w:p>
    <w:p w:rsidR="003A6D32" w:rsidRPr="00DA78C7" w:rsidRDefault="003A6D32" w:rsidP="00664C49">
      <w:pPr>
        <w:jc w:val="both"/>
        <w:rPr>
          <w:rFonts w:ascii="Verdana" w:hAnsi="Verdana"/>
          <w:bCs/>
          <w:sz w:val="20"/>
          <w:szCs w:val="20"/>
          <w:lang w:val="en-GB"/>
        </w:rPr>
      </w:pPr>
      <w:r w:rsidRPr="00DA78C7">
        <w:rPr>
          <w:rFonts w:ascii="Verdana" w:hAnsi="Verdana"/>
          <w:bCs/>
          <w:sz w:val="20"/>
          <w:szCs w:val="20"/>
          <w:lang w:val="en-GB"/>
        </w:rPr>
        <w:t xml:space="preserve">The overall objective of the project is to develop and enhance national operational capacity </w:t>
      </w:r>
      <w:r w:rsidR="00664C49" w:rsidRPr="00DA78C7">
        <w:rPr>
          <w:rFonts w:ascii="Verdana" w:hAnsi="Verdana"/>
          <w:bCs/>
          <w:sz w:val="20"/>
          <w:szCs w:val="20"/>
          <w:lang w:val="en-GB"/>
        </w:rPr>
        <w:t>for</w:t>
      </w:r>
      <w:r w:rsidRPr="00DA78C7">
        <w:rPr>
          <w:rFonts w:ascii="Verdana" w:hAnsi="Verdana"/>
          <w:bCs/>
          <w:sz w:val="20"/>
          <w:szCs w:val="20"/>
          <w:lang w:val="en-GB"/>
        </w:rPr>
        <w:t xml:space="preserve"> </w:t>
      </w:r>
      <w:r w:rsidR="00CA5821" w:rsidRPr="00DA78C7">
        <w:rPr>
          <w:rFonts w:ascii="Verdana" w:hAnsi="Verdana"/>
          <w:bCs/>
          <w:sz w:val="20"/>
          <w:szCs w:val="20"/>
          <w:lang w:val="en-GB"/>
        </w:rPr>
        <w:t>clearance;</w:t>
      </w:r>
      <w:r w:rsidRPr="00DA78C7">
        <w:rPr>
          <w:rFonts w:ascii="Verdana" w:hAnsi="Verdana"/>
          <w:bCs/>
          <w:sz w:val="20"/>
          <w:szCs w:val="20"/>
          <w:lang w:val="en-GB"/>
        </w:rPr>
        <w:t xml:space="preserve"> mine risk education/community liaison and victim assistance in Iraq. The project </w:t>
      </w:r>
      <w:r w:rsidR="00822073" w:rsidRPr="00DA78C7">
        <w:rPr>
          <w:rFonts w:ascii="Verdana" w:hAnsi="Verdana"/>
          <w:bCs/>
          <w:sz w:val="20"/>
          <w:szCs w:val="20"/>
          <w:lang w:val="en-GB"/>
        </w:rPr>
        <w:t xml:space="preserve">consists </w:t>
      </w:r>
      <w:r w:rsidRPr="00DA78C7">
        <w:rPr>
          <w:rFonts w:ascii="Verdana" w:hAnsi="Verdana"/>
          <w:bCs/>
          <w:sz w:val="20"/>
          <w:szCs w:val="20"/>
          <w:lang w:val="en-GB"/>
        </w:rPr>
        <w:t>of two distinct components; (1) clearance/mine risk education and (2) Victim Assistance.  The followings are the specific objectives for each component.</w:t>
      </w:r>
    </w:p>
    <w:p w:rsidR="003A6D32" w:rsidRPr="00DA78C7" w:rsidRDefault="003A6D32" w:rsidP="00F919A5">
      <w:pPr>
        <w:jc w:val="both"/>
        <w:rPr>
          <w:rFonts w:ascii="Verdana" w:hAnsi="Verdana"/>
          <w:bCs/>
          <w:sz w:val="20"/>
          <w:szCs w:val="20"/>
          <w:lang w:val="en-GB"/>
        </w:rPr>
      </w:pPr>
      <w:r w:rsidRPr="00DA78C7">
        <w:rPr>
          <w:rFonts w:ascii="Verdana" w:hAnsi="Verdana"/>
          <w:b/>
          <w:sz w:val="20"/>
          <w:szCs w:val="20"/>
          <w:lang w:val="en-GB"/>
        </w:rPr>
        <w:t>Explosive Remnants of War / Landmine Clearance/mine risk education:</w:t>
      </w:r>
      <w:r w:rsidRPr="00DA78C7">
        <w:rPr>
          <w:rFonts w:ascii="Verdana" w:hAnsi="Verdana"/>
          <w:bCs/>
          <w:sz w:val="20"/>
          <w:szCs w:val="20"/>
          <w:lang w:val="en-GB"/>
        </w:rPr>
        <w:t xml:space="preserve"> This component aims at </w:t>
      </w:r>
      <w:r w:rsidR="00F03671" w:rsidRPr="00DA78C7">
        <w:rPr>
          <w:rFonts w:ascii="Verdana" w:hAnsi="Verdana"/>
          <w:bCs/>
          <w:sz w:val="20"/>
          <w:szCs w:val="20"/>
          <w:lang w:val="en-GB"/>
        </w:rPr>
        <w:t xml:space="preserve">developing Iraqi </w:t>
      </w:r>
      <w:r w:rsidR="00413145" w:rsidRPr="00DA78C7">
        <w:rPr>
          <w:rFonts w:ascii="Verdana" w:hAnsi="Verdana"/>
          <w:bCs/>
          <w:sz w:val="20"/>
          <w:szCs w:val="20"/>
          <w:lang w:val="en-GB"/>
        </w:rPr>
        <w:t xml:space="preserve">national </w:t>
      </w:r>
      <w:r w:rsidR="00F03671" w:rsidRPr="00DA78C7">
        <w:rPr>
          <w:rFonts w:ascii="Verdana" w:hAnsi="Verdana"/>
          <w:bCs/>
          <w:sz w:val="20"/>
          <w:szCs w:val="20"/>
          <w:lang w:val="en-GB"/>
        </w:rPr>
        <w:t xml:space="preserve">capacity involved in clearance operations and mine risk education in order to meet the obligations under the Anti-Personnel Mine Ban Convention as well as to support rural development and </w:t>
      </w:r>
      <w:r w:rsidR="00F919A5" w:rsidRPr="00DA78C7">
        <w:rPr>
          <w:rFonts w:ascii="Verdana" w:hAnsi="Verdana"/>
          <w:bCs/>
          <w:sz w:val="20"/>
          <w:szCs w:val="20"/>
          <w:lang w:val="en-GB"/>
        </w:rPr>
        <w:t xml:space="preserve">the </w:t>
      </w:r>
      <w:r w:rsidR="00F03671" w:rsidRPr="00DA78C7">
        <w:rPr>
          <w:rFonts w:ascii="Verdana" w:hAnsi="Verdana"/>
          <w:bCs/>
          <w:sz w:val="20"/>
          <w:szCs w:val="20"/>
          <w:lang w:val="en-GB"/>
        </w:rPr>
        <w:t xml:space="preserve">creation of a safer environment for ERW/Landmine impacted communities. This </w:t>
      </w:r>
      <w:r w:rsidR="00F919A5" w:rsidRPr="00DA78C7">
        <w:rPr>
          <w:rFonts w:ascii="Verdana" w:hAnsi="Verdana"/>
          <w:bCs/>
          <w:sz w:val="20"/>
          <w:szCs w:val="20"/>
          <w:lang w:val="en-GB"/>
        </w:rPr>
        <w:t>is</w:t>
      </w:r>
      <w:r w:rsidR="00F03671" w:rsidRPr="00DA78C7">
        <w:rPr>
          <w:rFonts w:ascii="Verdana" w:hAnsi="Verdana"/>
          <w:bCs/>
          <w:sz w:val="20"/>
          <w:szCs w:val="20"/>
          <w:lang w:val="en-GB"/>
        </w:rPr>
        <w:t xml:space="preserve"> carried out jointly between UNDP and DDG by transitioning DDG’s existing establishment in Basra towards an Iraqi managed organization.</w:t>
      </w:r>
    </w:p>
    <w:p w:rsidR="003A6D32" w:rsidRPr="00DA78C7" w:rsidRDefault="003A6D32" w:rsidP="00413145">
      <w:pPr>
        <w:jc w:val="both"/>
        <w:rPr>
          <w:rFonts w:ascii="Verdana" w:hAnsi="Verdana"/>
          <w:bCs/>
          <w:sz w:val="20"/>
          <w:szCs w:val="20"/>
          <w:lang w:val="en-GB"/>
        </w:rPr>
      </w:pPr>
      <w:r w:rsidRPr="00DA78C7">
        <w:rPr>
          <w:rFonts w:ascii="Verdana" w:hAnsi="Verdana"/>
          <w:b/>
          <w:sz w:val="20"/>
          <w:szCs w:val="20"/>
          <w:lang w:val="en-GB"/>
        </w:rPr>
        <w:t>Victim Assistance</w:t>
      </w:r>
      <w:r w:rsidRPr="00DA78C7">
        <w:rPr>
          <w:rFonts w:ascii="Verdana" w:hAnsi="Verdana"/>
          <w:b/>
          <w:sz w:val="14"/>
          <w:szCs w:val="14"/>
          <w:lang w:val="en-GB"/>
        </w:rPr>
        <w:footnoteReference w:id="5"/>
      </w:r>
      <w:r w:rsidRPr="00DA78C7">
        <w:rPr>
          <w:rFonts w:ascii="Verdana" w:hAnsi="Verdana"/>
          <w:b/>
          <w:sz w:val="20"/>
          <w:szCs w:val="20"/>
          <w:lang w:val="en-GB"/>
        </w:rPr>
        <w:t>:</w:t>
      </w:r>
      <w:r w:rsidRPr="00DA78C7">
        <w:rPr>
          <w:rFonts w:ascii="Verdana" w:hAnsi="Verdana"/>
          <w:bCs/>
          <w:sz w:val="20"/>
          <w:szCs w:val="20"/>
          <w:lang w:val="en-GB"/>
        </w:rPr>
        <w:t xml:space="preserve">  This component aims at physical and socio-economic rehabilitation of people with disabilities and re-integration into their society. </w:t>
      </w:r>
      <w:r w:rsidR="00413145" w:rsidRPr="00DA78C7">
        <w:rPr>
          <w:rFonts w:ascii="Verdana" w:hAnsi="Verdana"/>
          <w:bCs/>
          <w:sz w:val="20"/>
          <w:szCs w:val="20"/>
          <w:lang w:val="en-GB"/>
        </w:rPr>
        <w:t>T</w:t>
      </w:r>
      <w:r w:rsidRPr="00DA78C7">
        <w:rPr>
          <w:rFonts w:ascii="Verdana" w:hAnsi="Verdana"/>
          <w:bCs/>
          <w:sz w:val="20"/>
          <w:szCs w:val="20"/>
          <w:lang w:val="en-GB"/>
        </w:rPr>
        <w:t>he project will focus on management capacity development of the implementing partners and support to their vocational training and income generation activities</w:t>
      </w:r>
      <w:r w:rsidR="00413145" w:rsidRPr="00DA78C7">
        <w:rPr>
          <w:rFonts w:ascii="Verdana" w:hAnsi="Verdana"/>
          <w:bCs/>
          <w:sz w:val="20"/>
          <w:szCs w:val="20"/>
          <w:lang w:val="en-GB"/>
        </w:rPr>
        <w:t xml:space="preserve"> in the three northern Governorates of Iraq</w:t>
      </w:r>
      <w:r w:rsidRPr="00DA78C7">
        <w:rPr>
          <w:rFonts w:ascii="Verdana" w:hAnsi="Verdana"/>
          <w:bCs/>
          <w:sz w:val="20"/>
          <w:szCs w:val="20"/>
          <w:lang w:val="en-GB"/>
        </w:rPr>
        <w:t xml:space="preserve">. The project will also address the needs of Victim Assistance services in central and southern Iraq. </w:t>
      </w:r>
    </w:p>
    <w:p w:rsidR="00E11952" w:rsidRPr="00DA78C7" w:rsidRDefault="00E11952" w:rsidP="00E11952">
      <w:pPr>
        <w:jc w:val="both"/>
        <w:rPr>
          <w:rFonts w:ascii="Verdana" w:hAnsi="Verdana"/>
          <w:b/>
          <w:sz w:val="20"/>
          <w:szCs w:val="20"/>
          <w:lang w:val="en-GB"/>
        </w:rPr>
      </w:pPr>
      <w:r w:rsidRPr="00DA78C7">
        <w:rPr>
          <w:rFonts w:ascii="Verdana" w:hAnsi="Verdana"/>
          <w:b/>
          <w:sz w:val="20"/>
          <w:szCs w:val="20"/>
          <w:lang w:val="en-GB"/>
        </w:rPr>
        <w:t xml:space="preserve">3.2 Target Beneficiaries </w:t>
      </w:r>
    </w:p>
    <w:p w:rsidR="00E11952" w:rsidRPr="00DA78C7" w:rsidRDefault="00E11952" w:rsidP="00E11952">
      <w:pPr>
        <w:jc w:val="both"/>
        <w:rPr>
          <w:rFonts w:ascii="Verdana" w:hAnsi="Verdana"/>
          <w:bCs/>
          <w:sz w:val="20"/>
          <w:szCs w:val="20"/>
          <w:lang w:val="en-GB"/>
        </w:rPr>
      </w:pPr>
      <w:r w:rsidRPr="00DA78C7">
        <w:rPr>
          <w:rFonts w:ascii="Verdana" w:hAnsi="Verdana"/>
          <w:bCs/>
          <w:sz w:val="20"/>
          <w:szCs w:val="20"/>
          <w:lang w:val="en-GB"/>
        </w:rPr>
        <w:t xml:space="preserve">Direct beneficiaries of this project are: </w:t>
      </w:r>
    </w:p>
    <w:p w:rsidR="00326701" w:rsidRPr="00DA78C7" w:rsidRDefault="00E11952" w:rsidP="00664C49">
      <w:pPr>
        <w:pStyle w:val="ListParagraph"/>
        <w:numPr>
          <w:ilvl w:val="0"/>
          <w:numId w:val="22"/>
        </w:numPr>
        <w:ind w:left="709" w:hanging="425"/>
        <w:jc w:val="both"/>
        <w:rPr>
          <w:rFonts w:ascii="Verdana" w:hAnsi="Verdana"/>
          <w:sz w:val="20"/>
          <w:szCs w:val="20"/>
          <w:lang w:val="en-GB"/>
        </w:rPr>
      </w:pPr>
      <w:r w:rsidRPr="00DA78C7">
        <w:rPr>
          <w:rFonts w:ascii="Verdana" w:hAnsi="Verdana"/>
          <w:sz w:val="20"/>
          <w:szCs w:val="20"/>
          <w:lang w:val="en-GB"/>
        </w:rPr>
        <w:t>Indigenous farmers and people of Basra (and other central and southern Governorate once a new organization is created) living in mine affected areas</w:t>
      </w:r>
    </w:p>
    <w:p w:rsidR="00326701" w:rsidRPr="00DA78C7" w:rsidRDefault="00E11952" w:rsidP="00664C49">
      <w:pPr>
        <w:pStyle w:val="ListParagraph"/>
        <w:numPr>
          <w:ilvl w:val="0"/>
          <w:numId w:val="22"/>
        </w:numPr>
        <w:ind w:left="709" w:hanging="425"/>
        <w:jc w:val="both"/>
        <w:rPr>
          <w:rFonts w:ascii="Verdana" w:hAnsi="Verdana"/>
          <w:sz w:val="20"/>
          <w:szCs w:val="20"/>
          <w:lang w:val="en-GB"/>
        </w:rPr>
      </w:pPr>
      <w:r w:rsidRPr="00DA78C7">
        <w:rPr>
          <w:rFonts w:ascii="Verdana" w:hAnsi="Verdana"/>
          <w:sz w:val="20"/>
          <w:szCs w:val="20"/>
          <w:lang w:val="en-GB"/>
        </w:rPr>
        <w:t>People with disabilities, including victims of landmines and explosive remnants of war</w:t>
      </w:r>
    </w:p>
    <w:p w:rsidR="00326701" w:rsidRPr="00DA78C7" w:rsidRDefault="00E11952" w:rsidP="00664C49">
      <w:pPr>
        <w:pStyle w:val="ListParagraph"/>
        <w:numPr>
          <w:ilvl w:val="0"/>
          <w:numId w:val="22"/>
        </w:numPr>
        <w:ind w:left="709" w:hanging="425"/>
        <w:jc w:val="both"/>
        <w:rPr>
          <w:rFonts w:ascii="Verdana" w:hAnsi="Verdana"/>
          <w:sz w:val="20"/>
          <w:szCs w:val="20"/>
          <w:lang w:val="en-GB"/>
        </w:rPr>
      </w:pPr>
      <w:r w:rsidRPr="00DA78C7">
        <w:rPr>
          <w:rFonts w:ascii="Verdana" w:hAnsi="Verdana"/>
          <w:sz w:val="20"/>
          <w:szCs w:val="20"/>
          <w:lang w:val="en-GB"/>
        </w:rPr>
        <w:t>Senior and middle management staff members of the NGO implementing partners to which management capacity development trainings will be delivered</w:t>
      </w:r>
    </w:p>
    <w:p w:rsidR="00E11952" w:rsidRPr="00DA78C7" w:rsidRDefault="00E11952" w:rsidP="00E11952">
      <w:pPr>
        <w:jc w:val="both"/>
        <w:rPr>
          <w:rFonts w:ascii="Verdana" w:hAnsi="Verdana"/>
          <w:sz w:val="20"/>
          <w:szCs w:val="20"/>
          <w:lang w:val="en-GB"/>
        </w:rPr>
      </w:pPr>
      <w:r w:rsidRPr="00DA78C7">
        <w:rPr>
          <w:rFonts w:ascii="Verdana" w:hAnsi="Verdana"/>
          <w:sz w:val="20"/>
          <w:szCs w:val="20"/>
          <w:lang w:val="en-GB"/>
        </w:rPr>
        <w:t xml:space="preserve">Indirect Beneficiaries include: </w:t>
      </w:r>
    </w:p>
    <w:p w:rsidR="00326701" w:rsidRPr="00DA78C7" w:rsidRDefault="00E11952" w:rsidP="00664C49">
      <w:pPr>
        <w:pStyle w:val="ListParagraph"/>
        <w:numPr>
          <w:ilvl w:val="0"/>
          <w:numId w:val="22"/>
        </w:numPr>
        <w:ind w:left="709" w:hanging="425"/>
        <w:jc w:val="both"/>
        <w:rPr>
          <w:rFonts w:ascii="Verdana" w:hAnsi="Verdana"/>
          <w:sz w:val="20"/>
          <w:szCs w:val="20"/>
          <w:lang w:val="en-GB"/>
        </w:rPr>
      </w:pPr>
      <w:r w:rsidRPr="00DA78C7">
        <w:rPr>
          <w:rFonts w:ascii="Verdana" w:hAnsi="Verdana"/>
          <w:sz w:val="20"/>
          <w:szCs w:val="20"/>
          <w:lang w:val="en-GB"/>
        </w:rPr>
        <w:t>Families of landmine survivors and other people with disabilities</w:t>
      </w:r>
    </w:p>
    <w:p w:rsidR="00E11952" w:rsidRPr="00DA78C7" w:rsidRDefault="0007091B" w:rsidP="0007091B">
      <w:pPr>
        <w:jc w:val="both"/>
        <w:rPr>
          <w:rFonts w:ascii="Verdana" w:hAnsi="Verdana"/>
          <w:b/>
          <w:bCs/>
          <w:sz w:val="20"/>
          <w:szCs w:val="20"/>
          <w:lang w:val="en-GB"/>
        </w:rPr>
      </w:pPr>
      <w:r w:rsidRPr="00DA78C7">
        <w:rPr>
          <w:rFonts w:ascii="Verdana" w:hAnsi="Verdana"/>
          <w:b/>
          <w:bCs/>
          <w:sz w:val="20"/>
          <w:szCs w:val="20"/>
          <w:lang w:val="en-GB"/>
        </w:rPr>
        <w:t>3</w:t>
      </w:r>
      <w:r w:rsidR="00E11952" w:rsidRPr="00DA78C7">
        <w:rPr>
          <w:rFonts w:ascii="Verdana" w:hAnsi="Verdana"/>
          <w:b/>
          <w:bCs/>
          <w:sz w:val="20"/>
          <w:szCs w:val="20"/>
          <w:lang w:val="en-GB"/>
        </w:rPr>
        <w:t>.</w:t>
      </w:r>
      <w:r w:rsidRPr="00DA78C7">
        <w:rPr>
          <w:rFonts w:ascii="Verdana" w:hAnsi="Verdana"/>
          <w:b/>
          <w:bCs/>
          <w:sz w:val="20"/>
          <w:szCs w:val="20"/>
          <w:lang w:val="en-GB"/>
        </w:rPr>
        <w:t xml:space="preserve">3 </w:t>
      </w:r>
      <w:r w:rsidR="00E11952" w:rsidRPr="00DA78C7">
        <w:rPr>
          <w:rFonts w:ascii="Verdana" w:hAnsi="Verdana"/>
          <w:b/>
          <w:bCs/>
          <w:sz w:val="20"/>
          <w:szCs w:val="20"/>
          <w:lang w:val="en-GB"/>
        </w:rPr>
        <w:t>Linkage to relevant strategies and MDGs</w:t>
      </w:r>
    </w:p>
    <w:p w:rsidR="00326701" w:rsidRPr="00DA78C7" w:rsidRDefault="00E11952" w:rsidP="00664C49">
      <w:pPr>
        <w:jc w:val="both"/>
        <w:rPr>
          <w:rFonts w:ascii="Verdana" w:hAnsi="Verdana"/>
          <w:sz w:val="20"/>
          <w:szCs w:val="20"/>
          <w:lang w:val="en-GB"/>
        </w:rPr>
      </w:pPr>
      <w:r w:rsidRPr="00DA78C7">
        <w:rPr>
          <w:rFonts w:ascii="Verdana" w:hAnsi="Verdana"/>
          <w:sz w:val="20"/>
          <w:szCs w:val="20"/>
          <w:lang w:val="en-GB"/>
        </w:rPr>
        <w:t>UNDP has been supporting the Directorate of Mine Action and the Ministry of Environment to prepare a 3-year Mine Action strategy</w:t>
      </w:r>
      <w:r w:rsidR="0007091B" w:rsidRPr="00DA78C7">
        <w:rPr>
          <w:rFonts w:ascii="Verdana" w:hAnsi="Verdana"/>
          <w:sz w:val="20"/>
          <w:szCs w:val="20"/>
          <w:lang w:val="en-GB"/>
        </w:rPr>
        <w:t xml:space="preserve"> which </w:t>
      </w:r>
      <w:r w:rsidRPr="00DA78C7">
        <w:rPr>
          <w:rFonts w:ascii="Verdana" w:hAnsi="Verdana"/>
          <w:sz w:val="20"/>
          <w:szCs w:val="20"/>
          <w:lang w:val="en-GB"/>
        </w:rPr>
        <w:t>contains two strategic goals for 2010-2012 as follows:</w:t>
      </w:r>
    </w:p>
    <w:p w:rsidR="00326701" w:rsidRPr="00DA78C7" w:rsidRDefault="00E11952" w:rsidP="005C20C1">
      <w:pPr>
        <w:jc w:val="both"/>
        <w:rPr>
          <w:rFonts w:ascii="Verdana" w:hAnsi="Verdana"/>
          <w:sz w:val="20"/>
          <w:szCs w:val="20"/>
          <w:lang w:val="en-GB"/>
        </w:rPr>
      </w:pPr>
      <w:r w:rsidRPr="00DA78C7">
        <w:rPr>
          <w:rFonts w:ascii="Verdana" w:hAnsi="Verdana"/>
          <w:b/>
          <w:sz w:val="20"/>
          <w:szCs w:val="20"/>
          <w:lang w:val="en-GB"/>
        </w:rPr>
        <w:t>Goal 1:</w:t>
      </w:r>
      <w:r w:rsidRPr="00DA78C7">
        <w:rPr>
          <w:rFonts w:ascii="Verdana" w:hAnsi="Verdana"/>
          <w:sz w:val="20"/>
          <w:szCs w:val="20"/>
          <w:lang w:val="en-GB"/>
        </w:rPr>
        <w:t xml:space="preserve">  Develop a functional National Mine Action Structure that will include the Ministry of Defen</w:t>
      </w:r>
      <w:r w:rsidR="000830C8" w:rsidRPr="00DA78C7">
        <w:rPr>
          <w:rFonts w:ascii="Verdana" w:hAnsi="Verdana"/>
          <w:sz w:val="20"/>
          <w:szCs w:val="20"/>
          <w:lang w:val="en-GB"/>
        </w:rPr>
        <w:t>c</w:t>
      </w:r>
      <w:r w:rsidRPr="00DA78C7">
        <w:rPr>
          <w:rFonts w:ascii="Verdana" w:hAnsi="Verdana"/>
          <w:sz w:val="20"/>
          <w:szCs w:val="20"/>
          <w:lang w:val="en-GB"/>
        </w:rPr>
        <w:t xml:space="preserve">e, Ministry of Interior, and the Ministry of Environment, supported by a firm legal basis, </w:t>
      </w:r>
      <w:r w:rsidR="005C20C1" w:rsidRPr="00DA78C7">
        <w:rPr>
          <w:rFonts w:ascii="Verdana" w:hAnsi="Verdana"/>
          <w:sz w:val="20"/>
          <w:szCs w:val="20"/>
          <w:lang w:val="en-GB"/>
        </w:rPr>
        <w:t xml:space="preserve">which is </w:t>
      </w:r>
      <w:r w:rsidRPr="00DA78C7">
        <w:rPr>
          <w:rFonts w:ascii="Verdana" w:hAnsi="Verdana"/>
          <w:sz w:val="20"/>
          <w:szCs w:val="20"/>
          <w:lang w:val="en-GB"/>
        </w:rPr>
        <w:t xml:space="preserve">capable of managing and executing an effective and efficient Iraq Mine Action Program by the year </w:t>
      </w:r>
      <w:r w:rsidR="005C20C1" w:rsidRPr="00DA78C7">
        <w:rPr>
          <w:rFonts w:ascii="Verdana" w:hAnsi="Verdana"/>
          <w:sz w:val="20"/>
          <w:szCs w:val="20"/>
          <w:lang w:val="en-GB"/>
        </w:rPr>
        <w:t>2011.</w:t>
      </w:r>
    </w:p>
    <w:p w:rsidR="00326701" w:rsidRPr="00DA78C7" w:rsidRDefault="00E11952" w:rsidP="005C20C1">
      <w:pPr>
        <w:jc w:val="both"/>
        <w:rPr>
          <w:rFonts w:ascii="Verdana" w:hAnsi="Verdana"/>
          <w:sz w:val="20"/>
          <w:szCs w:val="20"/>
          <w:lang w:val="en-GB"/>
        </w:rPr>
      </w:pPr>
      <w:r w:rsidRPr="00DA78C7">
        <w:rPr>
          <w:rFonts w:ascii="Verdana" w:hAnsi="Verdana"/>
          <w:b/>
          <w:sz w:val="20"/>
          <w:szCs w:val="20"/>
          <w:lang w:val="en-GB"/>
        </w:rPr>
        <w:t>Goal 2:</w:t>
      </w:r>
      <w:r w:rsidRPr="00DA78C7">
        <w:rPr>
          <w:rFonts w:ascii="Verdana" w:hAnsi="Verdana"/>
          <w:sz w:val="20"/>
          <w:szCs w:val="20"/>
          <w:lang w:val="en-GB"/>
        </w:rPr>
        <w:t xml:space="preserve">  Develop sufficient and appropriate operational capacity for Iraq, including </w:t>
      </w:r>
      <w:r w:rsidR="005C20C1" w:rsidRPr="00DA78C7">
        <w:rPr>
          <w:rFonts w:ascii="Verdana" w:hAnsi="Verdana"/>
          <w:sz w:val="20"/>
          <w:szCs w:val="20"/>
          <w:lang w:val="en-GB"/>
        </w:rPr>
        <w:t>Mine R</w:t>
      </w:r>
      <w:r w:rsidRPr="00DA78C7">
        <w:rPr>
          <w:rFonts w:ascii="Verdana" w:hAnsi="Verdana"/>
          <w:sz w:val="20"/>
          <w:szCs w:val="20"/>
          <w:lang w:val="en-GB"/>
        </w:rPr>
        <w:t xml:space="preserve">isk </w:t>
      </w:r>
      <w:r w:rsidR="005C20C1" w:rsidRPr="00DA78C7">
        <w:rPr>
          <w:rFonts w:ascii="Verdana" w:hAnsi="Verdana"/>
          <w:sz w:val="20"/>
          <w:szCs w:val="20"/>
          <w:lang w:val="en-GB"/>
        </w:rPr>
        <w:t>E</w:t>
      </w:r>
      <w:r w:rsidRPr="00DA78C7">
        <w:rPr>
          <w:rFonts w:ascii="Verdana" w:hAnsi="Verdana"/>
          <w:sz w:val="20"/>
          <w:szCs w:val="20"/>
          <w:lang w:val="en-GB"/>
        </w:rPr>
        <w:t xml:space="preserve">ducation </w:t>
      </w:r>
      <w:r w:rsidR="005C20C1" w:rsidRPr="00DA78C7">
        <w:rPr>
          <w:rFonts w:ascii="Verdana" w:hAnsi="Verdana"/>
          <w:sz w:val="20"/>
          <w:szCs w:val="20"/>
          <w:lang w:val="en-GB"/>
        </w:rPr>
        <w:t xml:space="preserve">(MRE) </w:t>
      </w:r>
      <w:r w:rsidRPr="00DA78C7">
        <w:rPr>
          <w:rFonts w:ascii="Verdana" w:hAnsi="Verdana"/>
          <w:sz w:val="20"/>
          <w:szCs w:val="20"/>
          <w:lang w:val="en-GB"/>
        </w:rPr>
        <w:t>and Mine Victims Assistance, in order to reduce the threat of mines and explosive remnants of war with 20% by the year 2012</w:t>
      </w:r>
      <w:r w:rsidR="005C20C1" w:rsidRPr="00DA78C7">
        <w:rPr>
          <w:rFonts w:ascii="Verdana" w:hAnsi="Verdana"/>
          <w:sz w:val="20"/>
          <w:szCs w:val="20"/>
          <w:lang w:val="en-GB"/>
        </w:rPr>
        <w:t>.</w:t>
      </w:r>
      <w:r w:rsidRPr="00DA78C7">
        <w:rPr>
          <w:rFonts w:ascii="Verdana" w:hAnsi="Verdana"/>
          <w:sz w:val="20"/>
          <w:szCs w:val="20"/>
          <w:lang w:val="en-GB"/>
        </w:rPr>
        <w:t xml:space="preserve"> </w:t>
      </w:r>
    </w:p>
    <w:p w:rsidR="005570ED" w:rsidRPr="00DA78C7" w:rsidRDefault="00E21523" w:rsidP="005570ED">
      <w:pPr>
        <w:jc w:val="both"/>
        <w:rPr>
          <w:rFonts w:ascii="Verdana" w:hAnsi="Verdana"/>
          <w:bCs/>
          <w:sz w:val="20"/>
          <w:szCs w:val="20"/>
          <w:lang w:val="en-GB"/>
        </w:rPr>
      </w:pPr>
      <w:r w:rsidRPr="00DA78C7">
        <w:rPr>
          <w:rFonts w:ascii="Verdana" w:hAnsi="Verdana"/>
          <w:bCs/>
          <w:sz w:val="20"/>
          <w:szCs w:val="20"/>
          <w:lang w:val="en-GB"/>
        </w:rPr>
        <w:t xml:space="preserve">The project will </w:t>
      </w:r>
      <w:r w:rsidR="005570ED" w:rsidRPr="00DA78C7">
        <w:rPr>
          <w:rFonts w:ascii="Verdana" w:hAnsi="Verdana"/>
          <w:bCs/>
          <w:sz w:val="20"/>
          <w:szCs w:val="20"/>
          <w:lang w:val="en-GB"/>
        </w:rPr>
        <w:t xml:space="preserve">also </w:t>
      </w:r>
      <w:r w:rsidRPr="00DA78C7">
        <w:rPr>
          <w:rFonts w:ascii="Verdana" w:hAnsi="Verdana"/>
          <w:bCs/>
          <w:sz w:val="20"/>
          <w:szCs w:val="20"/>
          <w:lang w:val="en-GB"/>
        </w:rPr>
        <w:t xml:space="preserve">contribute to the achievement of the UNDP </w:t>
      </w:r>
      <w:r w:rsidR="00907749" w:rsidRPr="00DA78C7">
        <w:rPr>
          <w:rFonts w:ascii="Verdana" w:hAnsi="Verdana"/>
          <w:bCs/>
          <w:sz w:val="20"/>
          <w:szCs w:val="20"/>
          <w:lang w:val="en-GB"/>
        </w:rPr>
        <w:t xml:space="preserve">Country programme outcomes </w:t>
      </w:r>
      <w:r w:rsidRPr="00DA78C7">
        <w:rPr>
          <w:rFonts w:ascii="Verdana" w:hAnsi="Verdana"/>
          <w:bCs/>
          <w:sz w:val="20"/>
          <w:szCs w:val="20"/>
          <w:lang w:val="en-GB"/>
        </w:rPr>
        <w:t xml:space="preserve">of </w:t>
      </w:r>
      <w:r w:rsidR="00907749" w:rsidRPr="00DA78C7">
        <w:rPr>
          <w:rFonts w:ascii="Verdana" w:hAnsi="Verdana"/>
          <w:bCs/>
          <w:sz w:val="20"/>
          <w:szCs w:val="20"/>
          <w:lang w:val="en-GB"/>
        </w:rPr>
        <w:t xml:space="preserve">“Enabling policy and frameworks for rapid economic recovery, inclusive and diversified growth and private sector development” and the Country programme output of “Regulatory and coordination mechanism established for a Government of Iraq led sustainable national mine action programme to reduce the land mine and explosive remnants of war (ERW) impact in Iraq“. </w:t>
      </w:r>
    </w:p>
    <w:p w:rsidR="00E21523" w:rsidRPr="00DA78C7" w:rsidRDefault="00907749" w:rsidP="005570ED">
      <w:pPr>
        <w:jc w:val="both"/>
        <w:rPr>
          <w:rFonts w:ascii="Verdana" w:hAnsi="Verdana"/>
          <w:bCs/>
          <w:sz w:val="20"/>
          <w:szCs w:val="20"/>
          <w:rtl/>
          <w:lang w:val="en-GB"/>
        </w:rPr>
      </w:pPr>
      <w:r w:rsidRPr="00DA78C7">
        <w:rPr>
          <w:rFonts w:ascii="Verdana" w:hAnsi="Verdana"/>
          <w:bCs/>
          <w:sz w:val="20"/>
          <w:szCs w:val="20"/>
          <w:lang w:val="en-GB"/>
        </w:rPr>
        <w:t xml:space="preserve">The project </w:t>
      </w:r>
      <w:r w:rsidR="00E21523" w:rsidRPr="00DA78C7">
        <w:rPr>
          <w:rFonts w:ascii="Verdana" w:hAnsi="Verdana"/>
          <w:bCs/>
          <w:sz w:val="20"/>
          <w:szCs w:val="20"/>
          <w:lang w:val="en-GB"/>
        </w:rPr>
        <w:t>contribute</w:t>
      </w:r>
      <w:r w:rsidR="005570ED" w:rsidRPr="00DA78C7">
        <w:rPr>
          <w:rFonts w:ascii="Verdana" w:hAnsi="Verdana"/>
          <w:bCs/>
          <w:sz w:val="20"/>
          <w:szCs w:val="20"/>
          <w:lang w:val="en-GB"/>
        </w:rPr>
        <w:t>s</w:t>
      </w:r>
      <w:r w:rsidR="00E21523" w:rsidRPr="00DA78C7">
        <w:rPr>
          <w:rFonts w:ascii="Verdana" w:hAnsi="Verdana"/>
          <w:bCs/>
          <w:sz w:val="20"/>
          <w:szCs w:val="20"/>
          <w:lang w:val="en-GB"/>
        </w:rPr>
        <w:t xml:space="preserve"> to the achievement of the Outcomes 1 and 2</w:t>
      </w:r>
      <w:r w:rsidR="00E21523" w:rsidRPr="00DA78C7">
        <w:rPr>
          <w:rFonts w:ascii="Verdana" w:hAnsi="Verdana"/>
          <w:bCs/>
          <w:sz w:val="20"/>
          <w:szCs w:val="20"/>
          <w:lang w:val="en-GB"/>
        </w:rPr>
        <w:footnoteReference w:id="6"/>
      </w:r>
      <w:r w:rsidR="00E21523" w:rsidRPr="00DA78C7">
        <w:rPr>
          <w:rFonts w:ascii="Verdana" w:hAnsi="Verdana"/>
          <w:bCs/>
          <w:sz w:val="20"/>
          <w:szCs w:val="20"/>
          <w:lang w:val="en-GB"/>
        </w:rPr>
        <w:t xml:space="preserve"> of the Mine Action Strategy for the Australian </w:t>
      </w:r>
      <w:r w:rsidR="005570ED" w:rsidRPr="00DA78C7">
        <w:rPr>
          <w:rFonts w:ascii="Verdana" w:hAnsi="Verdana"/>
          <w:bCs/>
          <w:sz w:val="20"/>
          <w:szCs w:val="20"/>
          <w:lang w:val="en-GB"/>
        </w:rPr>
        <w:t>A</w:t>
      </w:r>
      <w:r w:rsidR="00E21523" w:rsidRPr="00DA78C7">
        <w:rPr>
          <w:rFonts w:ascii="Verdana" w:hAnsi="Verdana"/>
          <w:bCs/>
          <w:sz w:val="20"/>
          <w:szCs w:val="20"/>
          <w:lang w:val="en-GB"/>
        </w:rPr>
        <w:t>id program (2010-2014) as well as the United Nations Millennium Development Goals 1, 2 and 3</w:t>
      </w:r>
      <w:r w:rsidR="00E21523" w:rsidRPr="00DA78C7">
        <w:rPr>
          <w:rFonts w:ascii="Verdana" w:hAnsi="Verdana"/>
          <w:bCs/>
          <w:sz w:val="20"/>
          <w:szCs w:val="20"/>
          <w:lang w:val="en-GB"/>
        </w:rPr>
        <w:footnoteReference w:id="7"/>
      </w:r>
      <w:r w:rsidR="00E21523" w:rsidRPr="00DA78C7">
        <w:rPr>
          <w:rFonts w:ascii="Verdana" w:hAnsi="Verdana"/>
          <w:bCs/>
          <w:sz w:val="20"/>
          <w:szCs w:val="20"/>
          <w:lang w:val="en-GB"/>
        </w:rPr>
        <w:t>.  The project will also support the implementation of the National Mine Action strategy for Iraq (2010-2012).</w:t>
      </w:r>
    </w:p>
    <w:p w:rsidR="003A6D32" w:rsidRPr="00DA78C7" w:rsidRDefault="00E11952" w:rsidP="008A37E3">
      <w:pPr>
        <w:jc w:val="both"/>
        <w:rPr>
          <w:rFonts w:ascii="Verdana" w:hAnsi="Verdana"/>
          <w:b/>
          <w:sz w:val="20"/>
          <w:szCs w:val="20"/>
          <w:lang w:val="en-GB"/>
        </w:rPr>
      </w:pPr>
      <w:r w:rsidRPr="00DA78C7">
        <w:rPr>
          <w:rFonts w:ascii="Verdana" w:hAnsi="Verdana"/>
          <w:b/>
          <w:sz w:val="20"/>
          <w:szCs w:val="20"/>
          <w:lang w:val="en-GB"/>
        </w:rPr>
        <w:t>3.</w:t>
      </w:r>
      <w:r w:rsidR="0007091B" w:rsidRPr="00DA78C7">
        <w:rPr>
          <w:rFonts w:ascii="Verdana" w:hAnsi="Verdana"/>
          <w:b/>
          <w:sz w:val="20"/>
          <w:szCs w:val="20"/>
          <w:lang w:val="en-GB"/>
        </w:rPr>
        <w:t xml:space="preserve">4 </w:t>
      </w:r>
      <w:r w:rsidR="003A6D32" w:rsidRPr="00DA78C7">
        <w:rPr>
          <w:rFonts w:ascii="Verdana" w:hAnsi="Verdana"/>
          <w:b/>
          <w:sz w:val="20"/>
          <w:szCs w:val="20"/>
          <w:lang w:val="en-GB"/>
        </w:rPr>
        <w:t xml:space="preserve">Expected Outcomes and Outputs of this project </w:t>
      </w:r>
      <w:r w:rsidRPr="00DA78C7">
        <w:rPr>
          <w:rFonts w:ascii="Verdana" w:hAnsi="Verdana"/>
          <w:b/>
          <w:sz w:val="20"/>
          <w:szCs w:val="20"/>
          <w:lang w:val="en-GB"/>
        </w:rPr>
        <w:t xml:space="preserve">envisioned at the time of drawing the project proposal </w:t>
      </w:r>
      <w:r w:rsidR="009E6871" w:rsidRPr="00DA78C7">
        <w:rPr>
          <w:rFonts w:ascii="Verdana" w:hAnsi="Verdana"/>
          <w:b/>
          <w:sz w:val="20"/>
          <w:szCs w:val="20"/>
          <w:lang w:val="en-GB"/>
        </w:rPr>
        <w:t xml:space="preserve">were as follows: </w:t>
      </w:r>
      <w:r w:rsidR="003A6D32" w:rsidRPr="00DA78C7">
        <w:rPr>
          <w:rFonts w:ascii="Verdana" w:hAnsi="Verdana"/>
          <w:b/>
          <w:sz w:val="20"/>
          <w:szCs w:val="20"/>
          <w:lang w:val="en-GB"/>
        </w:rPr>
        <w:t xml:space="preserve"> </w:t>
      </w:r>
    </w:p>
    <w:tbl>
      <w:tblPr>
        <w:tblStyle w:val="TableGrid"/>
        <w:tblW w:w="0" w:type="auto"/>
        <w:tblLayout w:type="fixed"/>
        <w:tblLook w:val="04A0" w:firstRow="1" w:lastRow="0" w:firstColumn="1" w:lastColumn="0" w:noHBand="0" w:noVBand="1"/>
      </w:tblPr>
      <w:tblGrid>
        <w:gridCol w:w="1809"/>
        <w:gridCol w:w="2268"/>
        <w:gridCol w:w="2351"/>
        <w:gridCol w:w="1254"/>
        <w:gridCol w:w="1561"/>
      </w:tblGrid>
      <w:tr w:rsidR="00DA78C7" w:rsidRPr="00DA78C7" w:rsidTr="00DE503E">
        <w:tc>
          <w:tcPr>
            <w:tcW w:w="1809" w:type="dxa"/>
          </w:tcPr>
          <w:p w:rsidR="009E6871" w:rsidRPr="00DA78C7" w:rsidRDefault="009E6871" w:rsidP="00822073">
            <w:pPr>
              <w:pStyle w:val="NoSpacing"/>
              <w:jc w:val="both"/>
              <w:rPr>
                <w:rFonts w:ascii="Verdana" w:hAnsi="Verdana" w:cs="Tahoma"/>
                <w:b/>
                <w:bCs/>
                <w:sz w:val="18"/>
                <w:szCs w:val="18"/>
                <w:lang w:val="en-GB"/>
              </w:rPr>
            </w:pPr>
            <w:r w:rsidRPr="00DA78C7">
              <w:rPr>
                <w:rFonts w:ascii="Verdana" w:hAnsi="Verdana"/>
                <w:b/>
                <w:sz w:val="18"/>
                <w:szCs w:val="18"/>
                <w:lang w:val="en-GB"/>
              </w:rPr>
              <w:t>Results</w:t>
            </w:r>
          </w:p>
        </w:tc>
        <w:tc>
          <w:tcPr>
            <w:tcW w:w="2268" w:type="dxa"/>
          </w:tcPr>
          <w:p w:rsidR="009E6871" w:rsidRPr="00DA78C7" w:rsidRDefault="009E6871" w:rsidP="00822073">
            <w:pPr>
              <w:pStyle w:val="NoSpacing"/>
              <w:jc w:val="both"/>
              <w:rPr>
                <w:rFonts w:ascii="Verdana" w:hAnsi="Verdana" w:cs="Tahoma"/>
                <w:b/>
                <w:bCs/>
                <w:sz w:val="18"/>
                <w:szCs w:val="18"/>
                <w:lang w:val="en-GB"/>
              </w:rPr>
            </w:pPr>
            <w:r w:rsidRPr="00DA78C7">
              <w:rPr>
                <w:rFonts w:ascii="Verdana" w:hAnsi="Verdana"/>
                <w:b/>
                <w:sz w:val="18"/>
                <w:szCs w:val="18"/>
                <w:lang w:val="en-GB"/>
              </w:rPr>
              <w:t>Indicators</w:t>
            </w:r>
          </w:p>
        </w:tc>
        <w:tc>
          <w:tcPr>
            <w:tcW w:w="2351" w:type="dxa"/>
          </w:tcPr>
          <w:p w:rsidR="009E6871" w:rsidRPr="00DA78C7" w:rsidRDefault="009E6871" w:rsidP="00822073">
            <w:pPr>
              <w:pStyle w:val="NoSpacing"/>
              <w:jc w:val="both"/>
              <w:rPr>
                <w:rFonts w:ascii="Verdana" w:hAnsi="Verdana" w:cs="Tahoma"/>
                <w:b/>
                <w:bCs/>
                <w:sz w:val="18"/>
                <w:szCs w:val="18"/>
                <w:lang w:val="en-GB"/>
              </w:rPr>
            </w:pPr>
            <w:r w:rsidRPr="00DA78C7">
              <w:rPr>
                <w:rFonts w:ascii="Verdana" w:hAnsi="Verdana"/>
                <w:b/>
                <w:sz w:val="18"/>
                <w:szCs w:val="18"/>
                <w:lang w:val="en-GB"/>
              </w:rPr>
              <w:t>Baseline</w:t>
            </w:r>
          </w:p>
        </w:tc>
        <w:tc>
          <w:tcPr>
            <w:tcW w:w="1254" w:type="dxa"/>
          </w:tcPr>
          <w:p w:rsidR="009E6871" w:rsidRPr="00DA78C7" w:rsidRDefault="009E6871" w:rsidP="00822073">
            <w:pPr>
              <w:pStyle w:val="NoSpacing"/>
              <w:jc w:val="both"/>
              <w:rPr>
                <w:rFonts w:ascii="Verdana" w:hAnsi="Verdana" w:cs="Tahoma"/>
                <w:b/>
                <w:bCs/>
                <w:sz w:val="18"/>
                <w:szCs w:val="18"/>
                <w:lang w:val="en-GB"/>
              </w:rPr>
            </w:pPr>
            <w:r w:rsidRPr="00DA78C7">
              <w:rPr>
                <w:rFonts w:ascii="Verdana" w:hAnsi="Verdana"/>
                <w:b/>
                <w:sz w:val="18"/>
                <w:szCs w:val="18"/>
                <w:lang w:val="en-GB"/>
              </w:rPr>
              <w:t>Target</w:t>
            </w:r>
          </w:p>
        </w:tc>
        <w:tc>
          <w:tcPr>
            <w:tcW w:w="1561" w:type="dxa"/>
          </w:tcPr>
          <w:p w:rsidR="009E6871" w:rsidRPr="00DA78C7" w:rsidRDefault="009E6871" w:rsidP="00822073">
            <w:pPr>
              <w:pStyle w:val="NoSpacing"/>
              <w:jc w:val="both"/>
              <w:rPr>
                <w:rFonts w:ascii="Verdana" w:hAnsi="Verdana" w:cs="Tahoma"/>
                <w:b/>
                <w:bCs/>
                <w:sz w:val="18"/>
                <w:szCs w:val="18"/>
                <w:lang w:val="en-GB"/>
              </w:rPr>
            </w:pPr>
            <w:r w:rsidRPr="00DA78C7">
              <w:rPr>
                <w:rFonts w:ascii="Verdana" w:hAnsi="Verdana"/>
                <w:b/>
                <w:sz w:val="18"/>
                <w:szCs w:val="18"/>
                <w:lang w:val="en-GB"/>
              </w:rPr>
              <w:t>Remarks</w:t>
            </w:r>
          </w:p>
        </w:tc>
      </w:tr>
      <w:tr w:rsidR="00DA78C7" w:rsidRPr="00DA78C7" w:rsidTr="00DE503E">
        <w:tc>
          <w:tcPr>
            <w:tcW w:w="1809" w:type="dxa"/>
          </w:tcPr>
          <w:p w:rsidR="009E6871" w:rsidRPr="00DA78C7" w:rsidRDefault="009E6871" w:rsidP="00822073">
            <w:pPr>
              <w:tabs>
                <w:tab w:val="left" w:pos="3240"/>
              </w:tabs>
              <w:rPr>
                <w:rFonts w:ascii="Verdana" w:hAnsi="Verdana"/>
                <w:b/>
                <w:i/>
                <w:sz w:val="19"/>
                <w:szCs w:val="19"/>
                <w:lang w:val="en-GB"/>
              </w:rPr>
            </w:pPr>
            <w:r w:rsidRPr="00DA78C7">
              <w:rPr>
                <w:rFonts w:ascii="Verdana" w:hAnsi="Verdana"/>
                <w:b/>
                <w:i/>
                <w:sz w:val="19"/>
                <w:szCs w:val="19"/>
                <w:lang w:val="en-GB"/>
              </w:rPr>
              <w:t>Outcome</w:t>
            </w:r>
            <w:r w:rsidRPr="00DA78C7">
              <w:rPr>
                <w:rFonts w:ascii="Verdana" w:hAnsi="Verdana"/>
                <w:sz w:val="19"/>
                <w:szCs w:val="19"/>
                <w:lang w:val="en-GB"/>
              </w:rPr>
              <w:t xml:space="preserve"> </w:t>
            </w:r>
          </w:p>
          <w:p w:rsidR="009E6871" w:rsidRPr="00DA78C7" w:rsidRDefault="009E6871" w:rsidP="00822073">
            <w:pPr>
              <w:tabs>
                <w:tab w:val="left" w:pos="3240"/>
              </w:tabs>
              <w:ind w:left="270" w:hanging="270"/>
              <w:rPr>
                <w:rFonts w:ascii="Verdana" w:hAnsi="Verdana"/>
                <w:sz w:val="19"/>
                <w:szCs w:val="19"/>
                <w:lang w:val="en-GB"/>
              </w:rPr>
            </w:pPr>
            <w:r w:rsidRPr="00DA78C7">
              <w:rPr>
                <w:rFonts w:ascii="Verdana" w:hAnsi="Verdana"/>
                <w:sz w:val="19"/>
                <w:szCs w:val="19"/>
                <w:lang w:val="en-GB"/>
              </w:rPr>
              <w:t xml:space="preserve">1. </w:t>
            </w:r>
            <w:r w:rsidRPr="00DA78C7">
              <w:rPr>
                <w:rFonts w:ascii="Verdana" w:hAnsi="Verdana"/>
                <w:sz w:val="19"/>
                <w:szCs w:val="19"/>
                <w:lang w:val="en-GB"/>
              </w:rPr>
              <w:tab/>
              <w:t xml:space="preserve">Improved progress on the obligation under the Article 5 of the APMBC  </w:t>
            </w:r>
          </w:p>
          <w:p w:rsidR="009E6871" w:rsidRPr="00DA78C7" w:rsidRDefault="009E6871" w:rsidP="00822073">
            <w:pPr>
              <w:tabs>
                <w:tab w:val="left" w:pos="3240"/>
              </w:tabs>
              <w:ind w:left="270" w:hanging="270"/>
              <w:rPr>
                <w:rFonts w:ascii="Verdana" w:hAnsi="Verdana"/>
                <w:sz w:val="19"/>
                <w:szCs w:val="19"/>
                <w:lang w:val="en-GB"/>
              </w:rPr>
            </w:pPr>
            <w:r w:rsidRPr="00DA78C7">
              <w:rPr>
                <w:rFonts w:ascii="Verdana" w:hAnsi="Verdana"/>
                <w:sz w:val="19"/>
                <w:szCs w:val="19"/>
                <w:lang w:val="en-GB"/>
              </w:rPr>
              <w:t xml:space="preserve">2. </w:t>
            </w:r>
            <w:r w:rsidRPr="00DA78C7">
              <w:rPr>
                <w:rFonts w:ascii="Verdana" w:hAnsi="Verdana"/>
                <w:sz w:val="19"/>
                <w:szCs w:val="19"/>
                <w:lang w:val="en-GB"/>
              </w:rPr>
              <w:tab/>
              <w:t>Improved quality of life for victims and communities affected by the contamination</w:t>
            </w:r>
          </w:p>
          <w:p w:rsidR="009E6871" w:rsidRPr="00DA78C7" w:rsidRDefault="009E6871" w:rsidP="00822073">
            <w:pPr>
              <w:pStyle w:val="NoSpacing"/>
              <w:jc w:val="both"/>
              <w:rPr>
                <w:rFonts w:ascii="Verdana" w:hAnsi="Verdana" w:cs="Tahoma"/>
                <w:b/>
                <w:bCs/>
                <w:sz w:val="19"/>
                <w:szCs w:val="19"/>
                <w:lang w:val="en-GB"/>
              </w:rPr>
            </w:pPr>
            <w:r w:rsidRPr="00DA78C7">
              <w:rPr>
                <w:rFonts w:ascii="Verdana" w:hAnsi="Verdana"/>
                <w:sz w:val="19"/>
                <w:szCs w:val="19"/>
                <w:lang w:val="en-GB"/>
              </w:rPr>
              <w:t>3.</w:t>
            </w:r>
            <w:r w:rsidRPr="00DA78C7">
              <w:rPr>
                <w:rFonts w:ascii="Verdana" w:hAnsi="Verdana"/>
                <w:sz w:val="19"/>
                <w:szCs w:val="19"/>
                <w:lang w:val="en-GB"/>
              </w:rPr>
              <w:tab/>
              <w:t>Improved sustainability of local Mine Action NGOs</w:t>
            </w:r>
          </w:p>
        </w:tc>
        <w:tc>
          <w:tcPr>
            <w:tcW w:w="2268" w:type="dxa"/>
          </w:tcPr>
          <w:p w:rsidR="009E6871" w:rsidRPr="00DA78C7" w:rsidRDefault="009E6871" w:rsidP="00822073">
            <w:pPr>
              <w:tabs>
                <w:tab w:val="left" w:pos="3240"/>
              </w:tabs>
              <w:rPr>
                <w:rFonts w:ascii="Verdana" w:hAnsi="Verdana"/>
                <w:sz w:val="19"/>
                <w:szCs w:val="19"/>
                <w:lang w:val="en-GB"/>
              </w:rPr>
            </w:pPr>
            <w:r w:rsidRPr="00DA78C7">
              <w:rPr>
                <w:rFonts w:ascii="Verdana" w:hAnsi="Verdana"/>
                <w:sz w:val="19"/>
                <w:szCs w:val="19"/>
                <w:lang w:val="en-GB"/>
              </w:rPr>
              <w:t xml:space="preserve">1. Percentage of contaminated land released.  </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 xml:space="preserve">2.1 Income levels of victims and affected families  </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 xml:space="preserve">2.2 Income levels of residence in the contaminated areas </w:t>
            </w:r>
          </w:p>
          <w:p w:rsidR="009E6871" w:rsidRPr="00DA78C7" w:rsidRDefault="009E6871" w:rsidP="00822073">
            <w:pPr>
              <w:pStyle w:val="NoSpacing"/>
              <w:jc w:val="both"/>
              <w:rPr>
                <w:rFonts w:ascii="Verdana" w:hAnsi="Verdana" w:cs="Tahoma"/>
                <w:b/>
                <w:bCs/>
                <w:sz w:val="19"/>
                <w:szCs w:val="19"/>
                <w:lang w:val="en-GB"/>
              </w:rPr>
            </w:pPr>
            <w:r w:rsidRPr="00DA78C7">
              <w:rPr>
                <w:rFonts w:ascii="Verdana" w:hAnsi="Verdana"/>
                <w:sz w:val="19"/>
                <w:szCs w:val="19"/>
                <w:lang w:val="en-GB"/>
              </w:rPr>
              <w:t>2.3.</w:t>
            </w:r>
            <w:r w:rsidRPr="00DA78C7">
              <w:rPr>
                <w:rFonts w:ascii="Verdana" w:hAnsi="Verdana"/>
                <w:sz w:val="19"/>
                <w:szCs w:val="19"/>
                <w:lang w:val="en-GB"/>
              </w:rPr>
              <w:tab/>
              <w:t>Percentage of annual budget of NGOs funded from others than UNDP</w:t>
            </w:r>
          </w:p>
        </w:tc>
        <w:tc>
          <w:tcPr>
            <w:tcW w:w="2351" w:type="dxa"/>
          </w:tcPr>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1. Estimated at 4% as of the end of 2008</w:t>
            </w:r>
            <w:r w:rsidRPr="00DA78C7">
              <w:rPr>
                <w:rFonts w:ascii="Verdana" w:hAnsi="Verdana"/>
                <w:sz w:val="19"/>
                <w:szCs w:val="19"/>
                <w:lang w:val="en-GB"/>
              </w:rPr>
              <w:tab/>
              <w:t>Estimated at 4% as of the end 2008</w:t>
            </w:r>
            <w:r w:rsidRPr="00DA78C7">
              <w:rPr>
                <w:rFonts w:ascii="Verdana" w:hAnsi="Verdana"/>
                <w:sz w:val="19"/>
                <w:szCs w:val="19"/>
                <w:lang w:val="en-GB"/>
              </w:rPr>
              <w:footnoteReference w:id="8"/>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 xml:space="preserve">2. </w:t>
            </w:r>
            <w:r w:rsidRPr="00DA78C7">
              <w:rPr>
                <w:rFonts w:ascii="Verdana" w:hAnsi="Verdana"/>
                <w:sz w:val="19"/>
                <w:szCs w:val="19"/>
                <w:lang w:val="en-GB"/>
              </w:rPr>
              <w:tab/>
              <w:t>To be collected by Mar 2010</w:t>
            </w:r>
          </w:p>
          <w:p w:rsidR="009E6871" w:rsidRPr="00DA78C7" w:rsidRDefault="009E6871" w:rsidP="00822073">
            <w:pPr>
              <w:pStyle w:val="NoSpacing"/>
              <w:jc w:val="both"/>
              <w:rPr>
                <w:rFonts w:ascii="Verdana" w:hAnsi="Verdana" w:cs="Tahoma"/>
                <w:b/>
                <w:bCs/>
                <w:sz w:val="19"/>
                <w:szCs w:val="19"/>
                <w:lang w:val="en-GB"/>
              </w:rPr>
            </w:pPr>
            <w:r w:rsidRPr="00DA78C7">
              <w:rPr>
                <w:rFonts w:ascii="Verdana" w:hAnsi="Verdana"/>
                <w:sz w:val="19"/>
                <w:szCs w:val="19"/>
                <w:lang w:val="en-GB"/>
              </w:rPr>
              <w:t xml:space="preserve">3. </w:t>
            </w:r>
            <w:r w:rsidRPr="00DA78C7">
              <w:rPr>
                <w:rFonts w:ascii="Verdana" w:hAnsi="Verdana"/>
                <w:sz w:val="19"/>
                <w:szCs w:val="19"/>
                <w:lang w:val="en-GB"/>
              </w:rPr>
              <w:tab/>
              <w:t>48% (KORD), 65% (DPLC and PLCD), 0% (RDO)</w:t>
            </w:r>
          </w:p>
        </w:tc>
        <w:tc>
          <w:tcPr>
            <w:tcW w:w="1254" w:type="dxa"/>
          </w:tcPr>
          <w:p w:rsidR="009E6871" w:rsidRPr="00DA78C7" w:rsidRDefault="009E6871" w:rsidP="00822073">
            <w:pPr>
              <w:tabs>
                <w:tab w:val="left" w:pos="3240"/>
              </w:tabs>
              <w:rPr>
                <w:rFonts w:ascii="Verdana" w:hAnsi="Verdana"/>
                <w:sz w:val="19"/>
                <w:szCs w:val="19"/>
                <w:lang w:val="en-GB"/>
              </w:rPr>
            </w:pPr>
            <w:r w:rsidRPr="00DA78C7">
              <w:rPr>
                <w:rFonts w:ascii="Verdana" w:hAnsi="Verdana"/>
                <w:sz w:val="19"/>
                <w:szCs w:val="19"/>
                <w:lang w:val="en-GB"/>
              </w:rPr>
              <w:t>By Feb 2015,</w:t>
            </w:r>
            <w:r w:rsidRPr="00DA78C7">
              <w:rPr>
                <w:rStyle w:val="FootnoteReference"/>
                <w:rFonts w:ascii="Verdana" w:hAnsi="Verdana"/>
                <w:sz w:val="19"/>
                <w:szCs w:val="19"/>
                <w:lang w:val="en-GB"/>
              </w:rPr>
              <w:footnoteReference w:id="9"/>
            </w:r>
          </w:p>
          <w:p w:rsidR="009E6871" w:rsidRPr="00DA78C7" w:rsidRDefault="009E6871" w:rsidP="00822073">
            <w:pPr>
              <w:tabs>
                <w:tab w:val="left" w:pos="3240"/>
              </w:tabs>
              <w:rPr>
                <w:rFonts w:ascii="Verdana" w:hAnsi="Verdana"/>
                <w:sz w:val="19"/>
                <w:szCs w:val="19"/>
                <w:lang w:val="en-GB"/>
              </w:rPr>
            </w:pPr>
            <w:r w:rsidRPr="00DA78C7">
              <w:rPr>
                <w:rFonts w:ascii="Verdana" w:hAnsi="Verdana"/>
                <w:sz w:val="19"/>
                <w:szCs w:val="19"/>
                <w:lang w:val="en-GB"/>
              </w:rPr>
              <w:t>1. To be determined by Apr 2010</w:t>
            </w:r>
          </w:p>
          <w:p w:rsidR="009E6871" w:rsidRPr="00DA78C7" w:rsidRDefault="009E6871" w:rsidP="00822073">
            <w:pPr>
              <w:tabs>
                <w:tab w:val="left" w:pos="3240"/>
              </w:tabs>
              <w:rPr>
                <w:rFonts w:ascii="Verdana" w:hAnsi="Verdana"/>
                <w:sz w:val="19"/>
                <w:szCs w:val="19"/>
                <w:lang w:val="en-GB"/>
              </w:rPr>
            </w:pPr>
            <w:r w:rsidRPr="00DA78C7">
              <w:rPr>
                <w:rFonts w:ascii="Verdana" w:hAnsi="Verdana"/>
                <w:sz w:val="19"/>
                <w:szCs w:val="19"/>
                <w:lang w:val="en-GB"/>
              </w:rPr>
              <w:t>2. Ditto</w:t>
            </w:r>
          </w:p>
          <w:p w:rsidR="009E6871" w:rsidRPr="00DA78C7" w:rsidRDefault="009E6871" w:rsidP="00822073">
            <w:pPr>
              <w:pStyle w:val="NoSpacing"/>
              <w:jc w:val="both"/>
              <w:rPr>
                <w:rFonts w:ascii="Verdana" w:hAnsi="Verdana" w:cs="Tahoma"/>
                <w:b/>
                <w:bCs/>
                <w:sz w:val="19"/>
                <w:szCs w:val="19"/>
                <w:lang w:val="en-GB"/>
              </w:rPr>
            </w:pPr>
            <w:r w:rsidRPr="00DA78C7">
              <w:rPr>
                <w:rFonts w:ascii="Verdana" w:hAnsi="Verdana"/>
                <w:sz w:val="19"/>
                <w:szCs w:val="19"/>
                <w:lang w:val="en-GB"/>
              </w:rPr>
              <w:t>4. 100%</w:t>
            </w:r>
          </w:p>
        </w:tc>
        <w:tc>
          <w:tcPr>
            <w:tcW w:w="1561" w:type="dxa"/>
          </w:tcPr>
          <w:p w:rsidR="009E6871" w:rsidRPr="00DA78C7" w:rsidRDefault="009E6871" w:rsidP="00822073">
            <w:pPr>
              <w:pStyle w:val="NoSpacing"/>
              <w:jc w:val="both"/>
              <w:rPr>
                <w:rFonts w:ascii="Verdana" w:hAnsi="Verdana" w:cs="Tahoma"/>
                <w:b/>
                <w:bCs/>
                <w:sz w:val="19"/>
                <w:szCs w:val="19"/>
                <w:lang w:val="en-GB"/>
              </w:rPr>
            </w:pPr>
            <w:r w:rsidRPr="00DA78C7">
              <w:rPr>
                <w:rFonts w:ascii="Verdana" w:hAnsi="Verdana"/>
                <w:sz w:val="19"/>
                <w:szCs w:val="19"/>
                <w:lang w:val="en-GB"/>
              </w:rPr>
              <w:t>1-5 y</w:t>
            </w:r>
            <w:r w:rsidR="004E7601" w:rsidRPr="00DA78C7">
              <w:rPr>
                <w:rFonts w:ascii="Verdana" w:hAnsi="Verdana"/>
                <w:sz w:val="19"/>
                <w:szCs w:val="19"/>
                <w:lang w:val="en-GB"/>
              </w:rPr>
              <w:t>ea</w:t>
            </w:r>
            <w:r w:rsidRPr="00DA78C7">
              <w:rPr>
                <w:rFonts w:ascii="Verdana" w:hAnsi="Verdana"/>
                <w:sz w:val="19"/>
                <w:szCs w:val="19"/>
                <w:lang w:val="en-GB"/>
              </w:rPr>
              <w:t>rs after the project. Collective responsibilities of all Mine Action actors (thus the project is contributing to the achievement but not solely responsible.)</w:t>
            </w:r>
          </w:p>
        </w:tc>
      </w:tr>
      <w:tr w:rsidR="00DA78C7" w:rsidRPr="00DA78C7" w:rsidTr="00DE503E">
        <w:tc>
          <w:tcPr>
            <w:tcW w:w="1809" w:type="dxa"/>
          </w:tcPr>
          <w:p w:rsidR="009E6871" w:rsidRPr="00DA78C7" w:rsidRDefault="009E6871" w:rsidP="00822073">
            <w:pPr>
              <w:tabs>
                <w:tab w:val="left" w:pos="3240"/>
              </w:tabs>
              <w:rPr>
                <w:rFonts w:ascii="Verdana" w:hAnsi="Verdana"/>
                <w:b/>
                <w:i/>
                <w:sz w:val="19"/>
                <w:szCs w:val="19"/>
                <w:lang w:val="en-GB"/>
              </w:rPr>
            </w:pPr>
            <w:r w:rsidRPr="00DA78C7">
              <w:rPr>
                <w:rFonts w:ascii="Verdana" w:hAnsi="Verdana"/>
                <w:b/>
                <w:i/>
                <w:sz w:val="19"/>
                <w:szCs w:val="19"/>
                <w:lang w:val="en-GB"/>
              </w:rPr>
              <w:t xml:space="preserve">Outputs </w:t>
            </w:r>
          </w:p>
          <w:p w:rsidR="009E6871" w:rsidRPr="00DA78C7" w:rsidRDefault="009E6871" w:rsidP="00822073">
            <w:pPr>
              <w:tabs>
                <w:tab w:val="left" w:pos="3240"/>
              </w:tabs>
              <w:ind w:left="270" w:hanging="270"/>
              <w:rPr>
                <w:rFonts w:ascii="Verdana" w:hAnsi="Verdana"/>
                <w:sz w:val="19"/>
                <w:szCs w:val="19"/>
                <w:lang w:val="en-GB"/>
              </w:rPr>
            </w:pPr>
            <w:r w:rsidRPr="00DA78C7">
              <w:rPr>
                <w:rFonts w:ascii="Verdana" w:hAnsi="Verdana"/>
                <w:sz w:val="19"/>
                <w:szCs w:val="19"/>
                <w:lang w:val="en-GB"/>
              </w:rPr>
              <w:t>1.</w:t>
            </w:r>
            <w:r w:rsidRPr="00DA78C7">
              <w:rPr>
                <w:rFonts w:ascii="Verdana" w:hAnsi="Verdana"/>
                <w:sz w:val="19"/>
                <w:szCs w:val="19"/>
                <w:lang w:val="en-GB"/>
              </w:rPr>
              <w:tab/>
              <w:t>Increased amount of lands cleared and socio-economic infrastructure restored in Basra and other central and southern Iraq</w:t>
            </w:r>
          </w:p>
          <w:p w:rsidR="009E6871" w:rsidRPr="00DA78C7" w:rsidRDefault="009E6871" w:rsidP="00822073">
            <w:pPr>
              <w:tabs>
                <w:tab w:val="left" w:pos="3240"/>
              </w:tabs>
              <w:ind w:left="270" w:hanging="270"/>
              <w:rPr>
                <w:rFonts w:ascii="Verdana" w:hAnsi="Verdana"/>
                <w:sz w:val="19"/>
                <w:szCs w:val="19"/>
                <w:lang w:val="en-GB"/>
              </w:rPr>
            </w:pPr>
            <w:r w:rsidRPr="00DA78C7">
              <w:rPr>
                <w:rFonts w:ascii="Verdana" w:hAnsi="Verdana"/>
                <w:sz w:val="19"/>
                <w:szCs w:val="19"/>
                <w:lang w:val="en-GB"/>
              </w:rPr>
              <w:t>2.</w:t>
            </w:r>
            <w:r w:rsidRPr="00DA78C7">
              <w:rPr>
                <w:rFonts w:ascii="Verdana" w:hAnsi="Verdana"/>
                <w:sz w:val="19"/>
                <w:szCs w:val="19"/>
                <w:lang w:val="en-GB"/>
              </w:rPr>
              <w:tab/>
              <w:t>Increased number of victims received physical and socio-economic rehabilitation services and involved in a decision-making process</w:t>
            </w:r>
          </w:p>
          <w:p w:rsidR="009E6871" w:rsidRPr="00DA78C7" w:rsidRDefault="009E6871" w:rsidP="00822073">
            <w:pPr>
              <w:pStyle w:val="NoSpacing"/>
              <w:jc w:val="both"/>
              <w:rPr>
                <w:rFonts w:ascii="Verdana" w:hAnsi="Verdana" w:cs="Tahoma"/>
                <w:b/>
                <w:bCs/>
                <w:sz w:val="19"/>
                <w:szCs w:val="19"/>
                <w:lang w:val="en-GB"/>
              </w:rPr>
            </w:pPr>
            <w:r w:rsidRPr="00DA78C7">
              <w:rPr>
                <w:rFonts w:ascii="Verdana" w:hAnsi="Verdana"/>
                <w:sz w:val="19"/>
                <w:szCs w:val="19"/>
                <w:lang w:val="en-GB"/>
              </w:rPr>
              <w:t>3.</w:t>
            </w:r>
            <w:r w:rsidRPr="00DA78C7">
              <w:rPr>
                <w:rFonts w:ascii="Verdana" w:hAnsi="Verdana"/>
                <w:sz w:val="19"/>
                <w:szCs w:val="19"/>
                <w:lang w:val="en-GB"/>
              </w:rPr>
              <w:tab/>
              <w:t>Three gender specific objectives met for both Victim Assistance and clearance components</w:t>
            </w:r>
          </w:p>
        </w:tc>
        <w:tc>
          <w:tcPr>
            <w:tcW w:w="2268" w:type="dxa"/>
          </w:tcPr>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1.1 Number of square meters of land cleared by supported NGOs</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 xml:space="preserve">1.2 Number of social and economic infrastructure (e.g. schools, health centres, roads) restored and number of people benefiting from infrastructure restoration </w:t>
            </w:r>
          </w:p>
          <w:p w:rsidR="009E6871" w:rsidRPr="00DA78C7" w:rsidRDefault="009E6871" w:rsidP="00822073">
            <w:pPr>
              <w:tabs>
                <w:tab w:val="left" w:pos="342"/>
              </w:tabs>
              <w:ind w:left="252" w:hanging="252"/>
              <w:rPr>
                <w:rFonts w:ascii="Verdana" w:hAnsi="Verdana"/>
                <w:sz w:val="19"/>
                <w:szCs w:val="19"/>
                <w:lang w:val="en-GB"/>
              </w:rPr>
            </w:pPr>
            <w:r w:rsidRPr="00DA78C7">
              <w:rPr>
                <w:rFonts w:ascii="Verdana" w:hAnsi="Verdana"/>
                <w:sz w:val="19"/>
                <w:szCs w:val="19"/>
                <w:lang w:val="en-GB"/>
              </w:rPr>
              <w:t>2.1</w:t>
            </w:r>
            <w:r w:rsidRPr="00DA78C7">
              <w:rPr>
                <w:rFonts w:ascii="Verdana" w:hAnsi="Verdana"/>
                <w:sz w:val="19"/>
                <w:szCs w:val="19"/>
                <w:lang w:val="en-GB"/>
              </w:rPr>
              <w:tab/>
              <w:t>Number of victims received vocational training and income generation projects</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2.2 Number of survivors and persons with disabilities participated in Victim Assistance related strategic planning, evaluations, project reviews</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3.1 Percentage of prioritized areas for clearance where the needs of both sex are taken into consideration</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 xml:space="preserve">3.2 Percentage of men and women who received access to the benefits of clearance </w:t>
            </w:r>
          </w:p>
          <w:p w:rsidR="009E6871" w:rsidRDefault="009E6871" w:rsidP="00822073">
            <w:pPr>
              <w:pStyle w:val="NoSpacing"/>
              <w:jc w:val="both"/>
              <w:rPr>
                <w:rFonts w:ascii="Verdana" w:hAnsi="Verdana"/>
                <w:sz w:val="19"/>
                <w:szCs w:val="19"/>
                <w:lang w:val="en-GB"/>
              </w:rPr>
            </w:pPr>
            <w:r w:rsidRPr="00DA78C7">
              <w:rPr>
                <w:rFonts w:ascii="Verdana" w:hAnsi="Verdana"/>
                <w:sz w:val="19"/>
                <w:szCs w:val="19"/>
                <w:lang w:val="en-GB"/>
              </w:rPr>
              <w:t>3.3 Percentage of men and women who obtained access to employment opportunities in Victim Assistance component</w:t>
            </w:r>
          </w:p>
          <w:p w:rsidR="00DE503E" w:rsidRPr="00DA78C7" w:rsidRDefault="00DE503E" w:rsidP="00822073">
            <w:pPr>
              <w:pStyle w:val="NoSpacing"/>
              <w:jc w:val="both"/>
              <w:rPr>
                <w:rFonts w:ascii="Verdana" w:hAnsi="Verdana" w:cs="Tahoma"/>
                <w:b/>
                <w:bCs/>
                <w:sz w:val="19"/>
                <w:szCs w:val="19"/>
                <w:lang w:val="en-GB"/>
              </w:rPr>
            </w:pPr>
          </w:p>
        </w:tc>
        <w:tc>
          <w:tcPr>
            <w:tcW w:w="2351" w:type="dxa"/>
          </w:tcPr>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1.1 Approx. 8 million square meters cleared by RDO in 2008</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1.2  To be collected by Mar 2010</w:t>
            </w:r>
          </w:p>
          <w:p w:rsidR="009E6871" w:rsidRPr="00DA78C7" w:rsidRDefault="009E6871" w:rsidP="00822073">
            <w:pPr>
              <w:tabs>
                <w:tab w:val="left" w:pos="432"/>
                <w:tab w:val="left" w:pos="3240"/>
              </w:tabs>
              <w:ind w:left="252" w:hanging="252"/>
              <w:rPr>
                <w:rFonts w:ascii="Verdana" w:hAnsi="Verdana"/>
                <w:sz w:val="19"/>
                <w:szCs w:val="19"/>
                <w:lang w:val="en-GB"/>
              </w:rPr>
            </w:pPr>
            <w:r w:rsidRPr="00DA78C7">
              <w:rPr>
                <w:rFonts w:ascii="Verdana" w:hAnsi="Verdana"/>
                <w:sz w:val="19"/>
                <w:szCs w:val="19"/>
                <w:lang w:val="en-GB"/>
              </w:rPr>
              <w:t>2.1</w:t>
            </w:r>
            <w:r w:rsidRPr="00DA78C7">
              <w:rPr>
                <w:rFonts w:ascii="Verdana" w:hAnsi="Verdana"/>
                <w:sz w:val="19"/>
                <w:szCs w:val="19"/>
                <w:lang w:val="en-GB"/>
              </w:rPr>
              <w:tab/>
              <w:t>110 in 2008</w:t>
            </w:r>
          </w:p>
          <w:p w:rsidR="009E6871" w:rsidRPr="00DA78C7" w:rsidRDefault="009E6871" w:rsidP="00822073">
            <w:pPr>
              <w:tabs>
                <w:tab w:val="left" w:pos="432"/>
                <w:tab w:val="left" w:pos="3240"/>
              </w:tabs>
              <w:ind w:left="252" w:hanging="252"/>
              <w:rPr>
                <w:rFonts w:ascii="Verdana" w:hAnsi="Verdana"/>
                <w:sz w:val="19"/>
                <w:szCs w:val="19"/>
                <w:lang w:val="en-GB"/>
              </w:rPr>
            </w:pPr>
            <w:r w:rsidRPr="00DA78C7">
              <w:rPr>
                <w:rFonts w:ascii="Verdana" w:hAnsi="Verdana"/>
                <w:sz w:val="19"/>
                <w:szCs w:val="19"/>
                <w:lang w:val="en-GB"/>
              </w:rPr>
              <w:t>2.2</w:t>
            </w:r>
            <w:r w:rsidRPr="00DA78C7">
              <w:rPr>
                <w:rFonts w:ascii="Verdana" w:hAnsi="Verdana"/>
                <w:sz w:val="19"/>
                <w:szCs w:val="19"/>
                <w:lang w:val="en-GB"/>
              </w:rPr>
              <w:tab/>
              <w:t>To be collected by Mar 2010</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3.1 To be collected by Mar 2010</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3.2 To be collected by Mar 2010</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3.2 To be collected by Mar 2010</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3.2 Ditto</w:t>
            </w:r>
          </w:p>
          <w:p w:rsidR="009E6871" w:rsidRPr="00DA78C7" w:rsidRDefault="009E6871" w:rsidP="00822073">
            <w:pPr>
              <w:pStyle w:val="NoSpacing"/>
              <w:jc w:val="both"/>
              <w:rPr>
                <w:rFonts w:ascii="Verdana" w:hAnsi="Verdana" w:cs="Tahoma"/>
                <w:b/>
                <w:bCs/>
                <w:sz w:val="19"/>
                <w:szCs w:val="19"/>
                <w:lang w:val="en-GB"/>
              </w:rPr>
            </w:pPr>
            <w:r w:rsidRPr="00DA78C7">
              <w:rPr>
                <w:rFonts w:ascii="Verdana" w:hAnsi="Verdana"/>
                <w:sz w:val="19"/>
                <w:szCs w:val="19"/>
                <w:lang w:val="en-GB"/>
              </w:rPr>
              <w:t>3.2 Ditto</w:t>
            </w:r>
          </w:p>
        </w:tc>
        <w:tc>
          <w:tcPr>
            <w:tcW w:w="1254" w:type="dxa"/>
          </w:tcPr>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1.1 24 mil square meters cleared in 24 months</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1.2 To be determined by Apr 2010</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2.1 300 in 24 months</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2.2 To be determined by Apr 2010</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3.1 To be determined by Apr 2010</w:t>
            </w:r>
          </w:p>
          <w:p w:rsidR="009E6871" w:rsidRPr="00DA78C7" w:rsidRDefault="009E6871" w:rsidP="00822073">
            <w:pPr>
              <w:tabs>
                <w:tab w:val="left" w:pos="3240"/>
              </w:tabs>
              <w:ind w:left="252" w:hanging="252"/>
              <w:rPr>
                <w:rFonts w:ascii="Verdana" w:hAnsi="Verdana"/>
                <w:sz w:val="19"/>
                <w:szCs w:val="19"/>
                <w:lang w:val="en-GB"/>
              </w:rPr>
            </w:pPr>
            <w:r w:rsidRPr="00DA78C7">
              <w:rPr>
                <w:rFonts w:ascii="Verdana" w:hAnsi="Verdana"/>
                <w:sz w:val="19"/>
                <w:szCs w:val="19"/>
                <w:lang w:val="en-GB"/>
              </w:rPr>
              <w:t>3.2  To be determined by Apr 2010</w:t>
            </w:r>
          </w:p>
          <w:p w:rsidR="009E6871" w:rsidRPr="00DA78C7" w:rsidRDefault="009E6871" w:rsidP="00822073">
            <w:pPr>
              <w:pStyle w:val="NoSpacing"/>
              <w:jc w:val="both"/>
              <w:rPr>
                <w:rFonts w:ascii="Verdana" w:hAnsi="Verdana" w:cs="Tahoma"/>
                <w:b/>
                <w:bCs/>
                <w:sz w:val="19"/>
                <w:szCs w:val="19"/>
                <w:lang w:val="en-GB"/>
              </w:rPr>
            </w:pPr>
            <w:r w:rsidRPr="00DA78C7">
              <w:rPr>
                <w:rFonts w:ascii="Verdana" w:hAnsi="Verdana"/>
                <w:sz w:val="19"/>
                <w:szCs w:val="19"/>
                <w:lang w:val="en-GB"/>
              </w:rPr>
              <w:t>3.3  To be determined by Apr 2010</w:t>
            </w:r>
          </w:p>
        </w:tc>
        <w:tc>
          <w:tcPr>
            <w:tcW w:w="1561" w:type="dxa"/>
          </w:tcPr>
          <w:p w:rsidR="009E6871" w:rsidRPr="00DA78C7" w:rsidRDefault="009E6871" w:rsidP="00822073">
            <w:pPr>
              <w:tabs>
                <w:tab w:val="left" w:pos="3240"/>
              </w:tabs>
              <w:rPr>
                <w:rFonts w:ascii="Verdana" w:hAnsi="Verdana"/>
                <w:sz w:val="19"/>
                <w:szCs w:val="19"/>
                <w:lang w:val="en-GB"/>
              </w:rPr>
            </w:pPr>
            <w:r w:rsidRPr="00DA78C7">
              <w:rPr>
                <w:rFonts w:ascii="Verdana" w:hAnsi="Verdana"/>
                <w:sz w:val="19"/>
                <w:szCs w:val="19"/>
                <w:lang w:val="en-GB"/>
              </w:rPr>
              <w:t>Project’s responsibility; thus need to be achieved by Mar 2012.</w:t>
            </w:r>
          </w:p>
          <w:p w:rsidR="009E6871" w:rsidRPr="00DA78C7" w:rsidRDefault="009E6871" w:rsidP="00822073">
            <w:pPr>
              <w:tabs>
                <w:tab w:val="left" w:pos="3240"/>
              </w:tabs>
              <w:rPr>
                <w:rFonts w:ascii="Verdana" w:hAnsi="Verdana"/>
                <w:sz w:val="19"/>
                <w:szCs w:val="19"/>
                <w:lang w:val="en-GB"/>
              </w:rPr>
            </w:pPr>
            <w:r w:rsidRPr="00DA78C7">
              <w:rPr>
                <w:rFonts w:ascii="Verdana" w:hAnsi="Verdana"/>
                <w:sz w:val="19"/>
                <w:szCs w:val="19"/>
                <w:lang w:val="en-GB"/>
              </w:rPr>
              <w:t xml:space="preserve"> </w:t>
            </w:r>
          </w:p>
          <w:p w:rsidR="009E6871" w:rsidRPr="00DA78C7" w:rsidRDefault="009E6871" w:rsidP="00822073">
            <w:pPr>
              <w:pStyle w:val="NoSpacing"/>
              <w:jc w:val="both"/>
              <w:rPr>
                <w:rFonts w:ascii="Verdana" w:hAnsi="Verdana" w:cs="Tahoma"/>
                <w:b/>
                <w:bCs/>
                <w:sz w:val="19"/>
                <w:szCs w:val="19"/>
                <w:lang w:val="en-GB"/>
              </w:rPr>
            </w:pPr>
            <w:r w:rsidRPr="00DA78C7">
              <w:rPr>
                <w:rFonts w:ascii="Verdana" w:hAnsi="Verdana"/>
                <w:sz w:val="19"/>
                <w:szCs w:val="19"/>
                <w:lang w:val="en-GB"/>
              </w:rPr>
              <w:t>As for the indicator 3.1, descriptive information needs to be given to show how the needs of female are taken into consideration.</w:t>
            </w:r>
          </w:p>
        </w:tc>
      </w:tr>
    </w:tbl>
    <w:p w:rsidR="00DE503E" w:rsidRPr="00DA78C7" w:rsidRDefault="00DE503E" w:rsidP="00413145">
      <w:pPr>
        <w:pStyle w:val="NoSpacing"/>
        <w:rPr>
          <w:rFonts w:ascii="Verdana" w:hAnsi="Verdana"/>
          <w:lang w:val="en-GB"/>
        </w:rPr>
      </w:pPr>
    </w:p>
    <w:p w:rsidR="00DE503E" w:rsidRDefault="00DE503E" w:rsidP="00F919A5">
      <w:pPr>
        <w:pStyle w:val="NoSpacing"/>
        <w:rPr>
          <w:rFonts w:ascii="Verdana" w:hAnsi="Verdana"/>
          <w:b/>
          <w:bCs/>
          <w:sz w:val="20"/>
          <w:szCs w:val="20"/>
          <w:lang w:val="en-GB"/>
        </w:rPr>
      </w:pPr>
    </w:p>
    <w:p w:rsidR="00413145" w:rsidRPr="00DA78C7" w:rsidRDefault="009E6871" w:rsidP="00F919A5">
      <w:pPr>
        <w:pStyle w:val="NoSpacing"/>
        <w:rPr>
          <w:rFonts w:ascii="Verdana" w:hAnsi="Verdana"/>
          <w:b/>
          <w:sz w:val="20"/>
          <w:szCs w:val="20"/>
          <w:lang w:val="en-GB"/>
        </w:rPr>
      </w:pPr>
      <w:r w:rsidRPr="00DA78C7">
        <w:rPr>
          <w:rFonts w:ascii="Verdana" w:hAnsi="Verdana"/>
          <w:b/>
          <w:bCs/>
          <w:sz w:val="20"/>
          <w:szCs w:val="20"/>
          <w:lang w:val="en-GB"/>
        </w:rPr>
        <w:t>3</w:t>
      </w:r>
      <w:r w:rsidR="003A6D32" w:rsidRPr="00DA78C7">
        <w:rPr>
          <w:rFonts w:ascii="Verdana" w:hAnsi="Verdana"/>
          <w:b/>
          <w:bCs/>
          <w:sz w:val="20"/>
          <w:szCs w:val="20"/>
          <w:lang w:val="en-GB"/>
        </w:rPr>
        <w:t>.</w:t>
      </w:r>
      <w:r w:rsidR="0007091B" w:rsidRPr="00DA78C7">
        <w:rPr>
          <w:rFonts w:ascii="Verdana" w:hAnsi="Verdana"/>
          <w:b/>
          <w:sz w:val="20"/>
          <w:szCs w:val="20"/>
          <w:lang w:val="en-GB"/>
        </w:rPr>
        <w:t xml:space="preserve">5 </w:t>
      </w:r>
      <w:r w:rsidR="00F919A5" w:rsidRPr="00DA78C7">
        <w:rPr>
          <w:rFonts w:ascii="Verdana" w:hAnsi="Verdana"/>
          <w:b/>
          <w:sz w:val="20"/>
          <w:szCs w:val="20"/>
          <w:lang w:val="en-GB"/>
        </w:rPr>
        <w:t>Summary of b</w:t>
      </w:r>
      <w:r w:rsidR="003A6D32" w:rsidRPr="00DA78C7">
        <w:rPr>
          <w:rFonts w:ascii="Verdana" w:hAnsi="Verdana"/>
          <w:b/>
          <w:sz w:val="20"/>
          <w:szCs w:val="20"/>
          <w:lang w:val="en-GB"/>
        </w:rPr>
        <w:t xml:space="preserve">udget </w:t>
      </w:r>
      <w:r w:rsidR="00F919A5" w:rsidRPr="00DA78C7">
        <w:rPr>
          <w:rFonts w:ascii="Verdana" w:hAnsi="Verdana"/>
          <w:b/>
          <w:sz w:val="20"/>
          <w:szCs w:val="20"/>
          <w:lang w:val="en-GB"/>
        </w:rPr>
        <w:t>b</w:t>
      </w:r>
      <w:r w:rsidR="003A6D32" w:rsidRPr="00DA78C7">
        <w:rPr>
          <w:rFonts w:ascii="Verdana" w:hAnsi="Verdana"/>
          <w:b/>
          <w:sz w:val="20"/>
          <w:szCs w:val="20"/>
          <w:lang w:val="en-GB"/>
        </w:rPr>
        <w:t xml:space="preserve">reakdown for </w:t>
      </w:r>
      <w:r w:rsidR="00F919A5" w:rsidRPr="00DA78C7">
        <w:rPr>
          <w:rFonts w:ascii="Verdana" w:hAnsi="Verdana"/>
          <w:b/>
          <w:sz w:val="20"/>
          <w:szCs w:val="20"/>
          <w:lang w:val="en-GB"/>
        </w:rPr>
        <w:t>f</w:t>
      </w:r>
      <w:r w:rsidR="003A6D32" w:rsidRPr="00DA78C7">
        <w:rPr>
          <w:rFonts w:ascii="Verdana" w:hAnsi="Verdana"/>
          <w:b/>
          <w:sz w:val="20"/>
          <w:szCs w:val="20"/>
          <w:lang w:val="en-GB"/>
        </w:rPr>
        <w:t xml:space="preserve">unding </w:t>
      </w:r>
      <w:r w:rsidR="00F919A5" w:rsidRPr="00DA78C7">
        <w:rPr>
          <w:rFonts w:ascii="Verdana" w:hAnsi="Verdana"/>
          <w:b/>
          <w:sz w:val="20"/>
          <w:szCs w:val="20"/>
          <w:lang w:val="en-GB"/>
        </w:rPr>
        <w:t>r</w:t>
      </w:r>
      <w:r w:rsidR="003A6D32" w:rsidRPr="00DA78C7">
        <w:rPr>
          <w:rFonts w:ascii="Verdana" w:hAnsi="Verdana"/>
          <w:b/>
          <w:sz w:val="20"/>
          <w:szCs w:val="20"/>
          <w:lang w:val="en-GB"/>
        </w:rPr>
        <w:t xml:space="preserve">equested </w:t>
      </w:r>
      <w:r w:rsidR="00413145" w:rsidRPr="00DA78C7">
        <w:rPr>
          <w:rFonts w:ascii="Verdana" w:hAnsi="Verdana"/>
          <w:b/>
          <w:sz w:val="20"/>
          <w:szCs w:val="20"/>
          <w:lang w:val="en-GB"/>
        </w:rPr>
        <w:t xml:space="preserve">envisioned at the time of drawing the project proposal were as follows:  </w:t>
      </w:r>
    </w:p>
    <w:p w:rsidR="00147538" w:rsidRPr="00DA78C7" w:rsidRDefault="00147538" w:rsidP="00413145">
      <w:pPr>
        <w:pStyle w:val="NoSpacing"/>
        <w:rPr>
          <w:rFonts w:ascii="Verdana" w:hAnsi="Verdana"/>
          <w:bCs/>
          <w:sz w:val="10"/>
          <w:szCs w:val="10"/>
          <w:lang w:val="en-GB"/>
        </w:rPr>
      </w:pPr>
    </w:p>
    <w:tbl>
      <w:tblPr>
        <w:tblW w:w="9105" w:type="dxa"/>
        <w:tblInd w:w="93" w:type="dxa"/>
        <w:tblLook w:val="0000" w:firstRow="0" w:lastRow="0" w:firstColumn="0" w:lastColumn="0" w:noHBand="0" w:noVBand="0"/>
      </w:tblPr>
      <w:tblGrid>
        <w:gridCol w:w="7386"/>
        <w:gridCol w:w="1719"/>
      </w:tblGrid>
      <w:tr w:rsidR="003A6D32" w:rsidRPr="00DA78C7" w:rsidTr="00F919A5">
        <w:trPr>
          <w:trHeight w:val="20"/>
        </w:trPr>
        <w:tc>
          <w:tcPr>
            <w:tcW w:w="7386" w:type="dxa"/>
            <w:tcBorders>
              <w:top w:val="double" w:sz="4" w:space="0" w:color="auto"/>
              <w:left w:val="double" w:sz="4" w:space="0" w:color="auto"/>
              <w:bottom w:val="single" w:sz="4" w:space="0" w:color="auto"/>
              <w:right w:val="single" w:sz="4" w:space="0" w:color="auto"/>
            </w:tcBorders>
            <w:shd w:val="clear" w:color="auto" w:fill="auto"/>
            <w:noWrap/>
            <w:vAlign w:val="center"/>
          </w:tcPr>
          <w:p w:rsidR="003A6D32" w:rsidRPr="00DA78C7" w:rsidRDefault="003A6D32" w:rsidP="00F919A5">
            <w:pPr>
              <w:jc w:val="center"/>
              <w:rPr>
                <w:rFonts w:ascii="Verdana" w:hAnsi="Verdana"/>
                <w:sz w:val="20"/>
                <w:szCs w:val="20"/>
                <w:lang w:val="en-GB"/>
              </w:rPr>
            </w:pPr>
            <w:r w:rsidRPr="00DA78C7">
              <w:rPr>
                <w:rFonts w:ascii="Verdana" w:hAnsi="Verdana"/>
                <w:sz w:val="20"/>
                <w:szCs w:val="20"/>
                <w:lang w:val="en-GB"/>
              </w:rPr>
              <w:t>Budget Description</w:t>
            </w:r>
          </w:p>
        </w:tc>
        <w:tc>
          <w:tcPr>
            <w:tcW w:w="1719" w:type="dxa"/>
            <w:tcBorders>
              <w:top w:val="double" w:sz="4" w:space="0" w:color="auto"/>
              <w:left w:val="nil"/>
              <w:bottom w:val="single" w:sz="4" w:space="0" w:color="auto"/>
              <w:right w:val="double" w:sz="4" w:space="0" w:color="auto"/>
            </w:tcBorders>
            <w:shd w:val="clear" w:color="auto" w:fill="auto"/>
            <w:noWrap/>
          </w:tcPr>
          <w:p w:rsidR="003A6D32" w:rsidRPr="00DA78C7" w:rsidRDefault="003A6D32" w:rsidP="00F919A5">
            <w:pPr>
              <w:tabs>
                <w:tab w:val="right" w:pos="1517"/>
              </w:tabs>
              <w:rPr>
                <w:rFonts w:ascii="Verdana" w:hAnsi="Verdana"/>
                <w:sz w:val="20"/>
                <w:szCs w:val="20"/>
                <w:lang w:val="en-GB"/>
              </w:rPr>
            </w:pPr>
            <w:r w:rsidRPr="00DA78C7">
              <w:rPr>
                <w:rFonts w:ascii="Verdana" w:hAnsi="Verdana"/>
                <w:sz w:val="20"/>
                <w:szCs w:val="20"/>
                <w:lang w:val="en-GB"/>
              </w:rPr>
              <w:t>Amount (US$)</w:t>
            </w:r>
          </w:p>
        </w:tc>
      </w:tr>
      <w:tr w:rsidR="003A6D32" w:rsidRPr="00DA78C7" w:rsidTr="00F919A5">
        <w:trPr>
          <w:trHeight w:val="480"/>
        </w:trPr>
        <w:tc>
          <w:tcPr>
            <w:tcW w:w="7386" w:type="dxa"/>
            <w:vMerge w:val="restart"/>
            <w:tcBorders>
              <w:top w:val="single" w:sz="4" w:space="0" w:color="auto"/>
              <w:left w:val="double" w:sz="4" w:space="0" w:color="auto"/>
              <w:bottom w:val="single" w:sz="4" w:space="0" w:color="auto"/>
              <w:right w:val="single" w:sz="4" w:space="0" w:color="auto"/>
            </w:tcBorders>
            <w:shd w:val="clear" w:color="auto" w:fill="auto"/>
          </w:tcPr>
          <w:p w:rsidR="003A6D32" w:rsidRPr="00DA78C7" w:rsidRDefault="003A6D32" w:rsidP="00F919A5">
            <w:pPr>
              <w:rPr>
                <w:rFonts w:ascii="Verdana" w:hAnsi="Verdana"/>
                <w:sz w:val="20"/>
                <w:szCs w:val="20"/>
                <w:lang w:val="en-GB"/>
              </w:rPr>
            </w:pPr>
            <w:r w:rsidRPr="00DA78C7">
              <w:rPr>
                <w:rFonts w:ascii="Verdana" w:hAnsi="Verdana"/>
                <w:sz w:val="20"/>
                <w:szCs w:val="20"/>
                <w:lang w:val="en-GB"/>
              </w:rPr>
              <w:t>Grants to national NGOs for Victim Assistance (staff, office and field operational costs, vocational training, income generation, capacity building and advocacy activities)</w:t>
            </w:r>
          </w:p>
        </w:tc>
        <w:tc>
          <w:tcPr>
            <w:tcW w:w="1719" w:type="dxa"/>
            <w:vMerge w:val="restart"/>
            <w:tcBorders>
              <w:top w:val="nil"/>
              <w:left w:val="single" w:sz="4" w:space="0" w:color="auto"/>
              <w:bottom w:val="single" w:sz="4" w:space="0" w:color="auto"/>
              <w:right w:val="double" w:sz="4" w:space="0" w:color="auto"/>
            </w:tcBorders>
            <w:shd w:val="clear" w:color="auto" w:fill="auto"/>
            <w:noWrap/>
          </w:tcPr>
          <w:p w:rsidR="003A6D32" w:rsidRPr="00DA78C7" w:rsidRDefault="003A6D32" w:rsidP="00F919A5">
            <w:pPr>
              <w:tabs>
                <w:tab w:val="right" w:pos="1517"/>
              </w:tabs>
              <w:rPr>
                <w:rFonts w:ascii="Verdana" w:hAnsi="Verdana"/>
                <w:sz w:val="20"/>
                <w:szCs w:val="20"/>
                <w:lang w:val="en-GB"/>
              </w:rPr>
            </w:pPr>
            <w:r w:rsidRPr="00DA78C7">
              <w:rPr>
                <w:rFonts w:ascii="Verdana" w:hAnsi="Verdana"/>
                <w:sz w:val="20"/>
                <w:szCs w:val="20"/>
                <w:lang w:val="en-GB"/>
              </w:rPr>
              <w:t>630,000</w:t>
            </w:r>
          </w:p>
        </w:tc>
      </w:tr>
      <w:tr w:rsidR="003A6D32" w:rsidRPr="00DA78C7" w:rsidTr="00F919A5">
        <w:trPr>
          <w:trHeight w:val="480"/>
        </w:trPr>
        <w:tc>
          <w:tcPr>
            <w:tcW w:w="7386" w:type="dxa"/>
            <w:vMerge/>
            <w:tcBorders>
              <w:top w:val="single" w:sz="4" w:space="0" w:color="auto"/>
              <w:left w:val="double" w:sz="4" w:space="0" w:color="auto"/>
              <w:bottom w:val="single" w:sz="4" w:space="0" w:color="auto"/>
              <w:right w:val="single" w:sz="4" w:space="0" w:color="auto"/>
            </w:tcBorders>
          </w:tcPr>
          <w:p w:rsidR="003A6D32" w:rsidRPr="00DA78C7" w:rsidRDefault="003A6D32" w:rsidP="00F919A5">
            <w:pPr>
              <w:rPr>
                <w:rFonts w:ascii="Verdana" w:hAnsi="Verdana"/>
                <w:sz w:val="20"/>
                <w:szCs w:val="20"/>
                <w:lang w:val="en-GB"/>
              </w:rPr>
            </w:pPr>
          </w:p>
        </w:tc>
        <w:tc>
          <w:tcPr>
            <w:tcW w:w="1719" w:type="dxa"/>
            <w:vMerge/>
            <w:tcBorders>
              <w:top w:val="nil"/>
              <w:left w:val="single" w:sz="4" w:space="0" w:color="auto"/>
              <w:bottom w:val="single" w:sz="4" w:space="0" w:color="auto"/>
              <w:right w:val="double" w:sz="4" w:space="0" w:color="auto"/>
            </w:tcBorders>
          </w:tcPr>
          <w:p w:rsidR="003A6D32" w:rsidRPr="00DA78C7" w:rsidRDefault="003A6D32" w:rsidP="00F919A5">
            <w:pPr>
              <w:tabs>
                <w:tab w:val="right" w:pos="1517"/>
              </w:tabs>
              <w:rPr>
                <w:rFonts w:ascii="Verdana" w:hAnsi="Verdana"/>
                <w:sz w:val="20"/>
                <w:szCs w:val="20"/>
                <w:lang w:val="en-GB"/>
              </w:rPr>
            </w:pPr>
          </w:p>
        </w:tc>
      </w:tr>
      <w:tr w:rsidR="003A6D32" w:rsidRPr="00DA78C7" w:rsidTr="00F919A5">
        <w:trPr>
          <w:trHeight w:val="20"/>
        </w:trPr>
        <w:tc>
          <w:tcPr>
            <w:tcW w:w="7386" w:type="dxa"/>
            <w:tcBorders>
              <w:top w:val="single" w:sz="4" w:space="0" w:color="auto"/>
              <w:left w:val="double" w:sz="4" w:space="0" w:color="auto"/>
              <w:bottom w:val="single" w:sz="4" w:space="0" w:color="auto"/>
              <w:right w:val="single" w:sz="4" w:space="0" w:color="auto"/>
            </w:tcBorders>
            <w:shd w:val="clear" w:color="auto" w:fill="auto"/>
            <w:noWrap/>
          </w:tcPr>
          <w:p w:rsidR="003A6D32" w:rsidRPr="00DA78C7" w:rsidRDefault="003A6D32" w:rsidP="00F919A5">
            <w:pPr>
              <w:rPr>
                <w:rFonts w:ascii="Verdana" w:hAnsi="Verdana"/>
                <w:sz w:val="20"/>
                <w:szCs w:val="20"/>
                <w:lang w:val="en-GB"/>
              </w:rPr>
            </w:pPr>
            <w:r w:rsidRPr="00DA78C7">
              <w:rPr>
                <w:rFonts w:ascii="Verdana" w:hAnsi="Verdana"/>
                <w:sz w:val="20"/>
                <w:szCs w:val="20"/>
                <w:lang w:val="en-GB"/>
              </w:rPr>
              <w:t>Grants to national NGOs for clearance/mine risk education (staff, office and field operational costs, security, capacity building and advocacy activities)</w:t>
            </w:r>
          </w:p>
        </w:tc>
        <w:tc>
          <w:tcPr>
            <w:tcW w:w="1719" w:type="dxa"/>
            <w:tcBorders>
              <w:top w:val="nil"/>
              <w:left w:val="nil"/>
              <w:bottom w:val="single" w:sz="4" w:space="0" w:color="auto"/>
              <w:right w:val="double" w:sz="4" w:space="0" w:color="auto"/>
            </w:tcBorders>
            <w:shd w:val="clear" w:color="auto" w:fill="auto"/>
            <w:noWrap/>
          </w:tcPr>
          <w:p w:rsidR="003A6D32" w:rsidRPr="00DA78C7" w:rsidRDefault="003A6D32" w:rsidP="00F919A5">
            <w:pPr>
              <w:tabs>
                <w:tab w:val="right" w:pos="1517"/>
              </w:tabs>
              <w:rPr>
                <w:rFonts w:ascii="Verdana" w:hAnsi="Verdana"/>
                <w:sz w:val="20"/>
                <w:szCs w:val="20"/>
                <w:lang w:val="en-GB"/>
              </w:rPr>
            </w:pPr>
            <w:r w:rsidRPr="00DA78C7">
              <w:rPr>
                <w:rFonts w:ascii="Verdana" w:hAnsi="Verdana"/>
                <w:sz w:val="20"/>
                <w:szCs w:val="20"/>
                <w:lang w:val="en-GB"/>
              </w:rPr>
              <w:t>2,400,000</w:t>
            </w:r>
          </w:p>
        </w:tc>
      </w:tr>
      <w:tr w:rsidR="003A6D32" w:rsidRPr="00DA78C7" w:rsidTr="00F919A5">
        <w:trPr>
          <w:trHeight w:val="20"/>
        </w:trPr>
        <w:tc>
          <w:tcPr>
            <w:tcW w:w="7386" w:type="dxa"/>
            <w:tcBorders>
              <w:top w:val="single" w:sz="4" w:space="0" w:color="auto"/>
              <w:left w:val="double" w:sz="4" w:space="0" w:color="auto"/>
              <w:bottom w:val="single" w:sz="4" w:space="0" w:color="auto"/>
              <w:right w:val="single" w:sz="4" w:space="0" w:color="auto"/>
            </w:tcBorders>
            <w:shd w:val="clear" w:color="auto" w:fill="auto"/>
            <w:noWrap/>
          </w:tcPr>
          <w:p w:rsidR="003A6D32" w:rsidRPr="00DA78C7" w:rsidRDefault="003A6D32" w:rsidP="00F919A5">
            <w:pPr>
              <w:rPr>
                <w:rFonts w:ascii="Verdana" w:hAnsi="Verdana"/>
                <w:sz w:val="20"/>
                <w:szCs w:val="20"/>
                <w:lang w:val="en-GB"/>
              </w:rPr>
            </w:pPr>
            <w:r w:rsidRPr="00DA78C7">
              <w:rPr>
                <w:rFonts w:ascii="Verdana" w:hAnsi="Verdana"/>
                <w:sz w:val="20"/>
                <w:szCs w:val="20"/>
                <w:lang w:val="en-GB"/>
              </w:rPr>
              <w:t xml:space="preserve">International monitors/advisors </w:t>
            </w:r>
          </w:p>
        </w:tc>
        <w:tc>
          <w:tcPr>
            <w:tcW w:w="1719" w:type="dxa"/>
            <w:tcBorders>
              <w:top w:val="nil"/>
              <w:left w:val="nil"/>
              <w:bottom w:val="single" w:sz="4" w:space="0" w:color="auto"/>
              <w:right w:val="double" w:sz="4" w:space="0" w:color="auto"/>
            </w:tcBorders>
            <w:shd w:val="clear" w:color="auto" w:fill="auto"/>
            <w:noWrap/>
          </w:tcPr>
          <w:p w:rsidR="003A6D32" w:rsidRPr="00DA78C7" w:rsidRDefault="003A6D32" w:rsidP="00F919A5">
            <w:pPr>
              <w:tabs>
                <w:tab w:val="right" w:pos="1517"/>
              </w:tabs>
              <w:rPr>
                <w:rFonts w:ascii="Verdana" w:hAnsi="Verdana"/>
                <w:sz w:val="20"/>
                <w:szCs w:val="20"/>
                <w:lang w:val="en-GB"/>
              </w:rPr>
            </w:pPr>
            <w:r w:rsidRPr="00DA78C7">
              <w:rPr>
                <w:rFonts w:ascii="Verdana" w:hAnsi="Verdana"/>
                <w:sz w:val="20"/>
                <w:szCs w:val="20"/>
                <w:lang w:val="en-GB"/>
              </w:rPr>
              <w:t>900,000</w:t>
            </w:r>
          </w:p>
        </w:tc>
      </w:tr>
      <w:tr w:rsidR="003A6D32" w:rsidRPr="00DA78C7" w:rsidTr="00F919A5">
        <w:trPr>
          <w:trHeight w:val="20"/>
        </w:trPr>
        <w:tc>
          <w:tcPr>
            <w:tcW w:w="7386" w:type="dxa"/>
            <w:tcBorders>
              <w:top w:val="single" w:sz="4" w:space="0" w:color="auto"/>
              <w:left w:val="double" w:sz="4" w:space="0" w:color="auto"/>
              <w:bottom w:val="single" w:sz="4" w:space="0" w:color="auto"/>
              <w:right w:val="single" w:sz="4" w:space="0" w:color="auto"/>
            </w:tcBorders>
            <w:shd w:val="clear" w:color="auto" w:fill="auto"/>
            <w:noWrap/>
          </w:tcPr>
          <w:p w:rsidR="003A6D32" w:rsidRPr="00DA78C7" w:rsidRDefault="003A6D32" w:rsidP="00F919A5">
            <w:pPr>
              <w:rPr>
                <w:rFonts w:ascii="Verdana" w:hAnsi="Verdana"/>
                <w:sz w:val="20"/>
                <w:szCs w:val="20"/>
                <w:lang w:val="en-GB"/>
              </w:rPr>
            </w:pPr>
            <w:r w:rsidRPr="00DA78C7">
              <w:rPr>
                <w:rFonts w:ascii="Verdana" w:hAnsi="Verdana"/>
                <w:sz w:val="20"/>
                <w:szCs w:val="20"/>
                <w:lang w:val="en-GB"/>
              </w:rPr>
              <w:t>UNDP project management (staff, travel, security, misc.)</w:t>
            </w:r>
          </w:p>
        </w:tc>
        <w:tc>
          <w:tcPr>
            <w:tcW w:w="1719" w:type="dxa"/>
            <w:tcBorders>
              <w:top w:val="nil"/>
              <w:left w:val="nil"/>
              <w:bottom w:val="single" w:sz="4" w:space="0" w:color="auto"/>
              <w:right w:val="double" w:sz="4" w:space="0" w:color="auto"/>
            </w:tcBorders>
            <w:shd w:val="clear" w:color="auto" w:fill="auto"/>
            <w:noWrap/>
          </w:tcPr>
          <w:p w:rsidR="003A6D32" w:rsidRPr="00DA78C7" w:rsidRDefault="003A6D32" w:rsidP="00F919A5">
            <w:pPr>
              <w:tabs>
                <w:tab w:val="right" w:pos="1517"/>
              </w:tabs>
              <w:rPr>
                <w:rFonts w:ascii="Verdana" w:hAnsi="Verdana"/>
                <w:sz w:val="20"/>
                <w:szCs w:val="20"/>
                <w:lang w:val="en-GB"/>
              </w:rPr>
            </w:pPr>
            <w:r w:rsidRPr="00DA78C7">
              <w:rPr>
                <w:rFonts w:ascii="Verdana" w:hAnsi="Verdana"/>
                <w:sz w:val="20"/>
                <w:szCs w:val="20"/>
                <w:lang w:val="en-GB"/>
              </w:rPr>
              <w:t>318,131</w:t>
            </w:r>
          </w:p>
        </w:tc>
      </w:tr>
      <w:tr w:rsidR="003A6D32" w:rsidRPr="00DA78C7" w:rsidTr="00F919A5">
        <w:trPr>
          <w:trHeight w:val="20"/>
        </w:trPr>
        <w:tc>
          <w:tcPr>
            <w:tcW w:w="7386" w:type="dxa"/>
            <w:tcBorders>
              <w:top w:val="single" w:sz="4" w:space="0" w:color="auto"/>
              <w:left w:val="double" w:sz="4" w:space="0" w:color="auto"/>
              <w:bottom w:val="single" w:sz="4" w:space="0" w:color="auto"/>
              <w:right w:val="single" w:sz="4" w:space="0" w:color="auto"/>
            </w:tcBorders>
            <w:shd w:val="clear" w:color="auto" w:fill="auto"/>
            <w:noWrap/>
          </w:tcPr>
          <w:p w:rsidR="003A6D32" w:rsidRPr="00DA78C7" w:rsidRDefault="003A6D32" w:rsidP="00F919A5">
            <w:pPr>
              <w:rPr>
                <w:rFonts w:ascii="Verdana" w:hAnsi="Verdana"/>
                <w:sz w:val="20"/>
                <w:szCs w:val="20"/>
                <w:lang w:val="en-GB"/>
              </w:rPr>
            </w:pPr>
            <w:r w:rsidRPr="00DA78C7">
              <w:rPr>
                <w:rFonts w:ascii="Verdana" w:hAnsi="Verdana"/>
                <w:sz w:val="20"/>
                <w:szCs w:val="20"/>
                <w:lang w:val="en-GB"/>
              </w:rPr>
              <w:t>Subtotal</w:t>
            </w:r>
          </w:p>
        </w:tc>
        <w:tc>
          <w:tcPr>
            <w:tcW w:w="1719" w:type="dxa"/>
            <w:tcBorders>
              <w:top w:val="nil"/>
              <w:left w:val="nil"/>
              <w:bottom w:val="single" w:sz="4" w:space="0" w:color="auto"/>
              <w:right w:val="double" w:sz="4" w:space="0" w:color="auto"/>
            </w:tcBorders>
            <w:shd w:val="clear" w:color="auto" w:fill="auto"/>
            <w:noWrap/>
          </w:tcPr>
          <w:p w:rsidR="003A6D32" w:rsidRPr="00DA78C7" w:rsidRDefault="003A6D32" w:rsidP="00F919A5">
            <w:pPr>
              <w:tabs>
                <w:tab w:val="right" w:pos="1517"/>
              </w:tabs>
              <w:rPr>
                <w:rFonts w:ascii="Verdana" w:hAnsi="Verdana"/>
                <w:sz w:val="20"/>
                <w:szCs w:val="20"/>
                <w:lang w:val="en-GB"/>
              </w:rPr>
            </w:pPr>
            <w:r w:rsidRPr="00DA78C7">
              <w:rPr>
                <w:rFonts w:ascii="Verdana" w:hAnsi="Verdana"/>
                <w:sz w:val="20"/>
                <w:szCs w:val="20"/>
                <w:lang w:val="en-GB"/>
              </w:rPr>
              <w:t>4,248,131</w:t>
            </w:r>
          </w:p>
        </w:tc>
      </w:tr>
      <w:tr w:rsidR="003A6D32" w:rsidRPr="00DA78C7" w:rsidTr="00F919A5">
        <w:trPr>
          <w:trHeight w:val="20"/>
        </w:trPr>
        <w:tc>
          <w:tcPr>
            <w:tcW w:w="7386" w:type="dxa"/>
            <w:tcBorders>
              <w:top w:val="single" w:sz="4" w:space="0" w:color="auto"/>
              <w:left w:val="double" w:sz="4" w:space="0" w:color="auto"/>
              <w:bottom w:val="single" w:sz="4" w:space="0" w:color="auto"/>
              <w:right w:val="single" w:sz="4" w:space="0" w:color="auto"/>
            </w:tcBorders>
            <w:shd w:val="clear" w:color="auto" w:fill="auto"/>
            <w:noWrap/>
          </w:tcPr>
          <w:p w:rsidR="003A6D32" w:rsidRPr="00DA78C7" w:rsidRDefault="003A6D32" w:rsidP="00F919A5">
            <w:pPr>
              <w:rPr>
                <w:rFonts w:ascii="Verdana" w:hAnsi="Verdana"/>
                <w:sz w:val="20"/>
                <w:szCs w:val="20"/>
                <w:lang w:val="en-GB"/>
              </w:rPr>
            </w:pPr>
            <w:r w:rsidRPr="00DA78C7">
              <w:rPr>
                <w:rFonts w:ascii="Verdana" w:hAnsi="Verdana"/>
                <w:sz w:val="20"/>
                <w:szCs w:val="20"/>
                <w:lang w:val="en-GB"/>
              </w:rPr>
              <w:t>Agency Support Cost (GMS 7%)</w:t>
            </w:r>
          </w:p>
        </w:tc>
        <w:tc>
          <w:tcPr>
            <w:tcW w:w="1719" w:type="dxa"/>
            <w:tcBorders>
              <w:top w:val="nil"/>
              <w:left w:val="nil"/>
              <w:bottom w:val="single" w:sz="4" w:space="0" w:color="auto"/>
              <w:right w:val="double" w:sz="4" w:space="0" w:color="auto"/>
            </w:tcBorders>
            <w:shd w:val="clear" w:color="auto" w:fill="auto"/>
            <w:noWrap/>
          </w:tcPr>
          <w:p w:rsidR="003A6D32" w:rsidRPr="00DA78C7" w:rsidRDefault="003A6D32" w:rsidP="00F919A5">
            <w:pPr>
              <w:tabs>
                <w:tab w:val="right" w:pos="1517"/>
              </w:tabs>
              <w:rPr>
                <w:rFonts w:ascii="Verdana" w:hAnsi="Verdana"/>
                <w:sz w:val="20"/>
                <w:szCs w:val="20"/>
                <w:lang w:val="en-GB"/>
              </w:rPr>
            </w:pPr>
            <w:r w:rsidRPr="00DA78C7">
              <w:rPr>
                <w:rFonts w:ascii="Verdana" w:hAnsi="Verdana"/>
                <w:sz w:val="20"/>
                <w:szCs w:val="20"/>
                <w:lang w:val="en-GB"/>
              </w:rPr>
              <w:t>297,369</w:t>
            </w:r>
          </w:p>
        </w:tc>
      </w:tr>
      <w:tr w:rsidR="003A6D32" w:rsidRPr="00DA78C7" w:rsidTr="00F919A5">
        <w:trPr>
          <w:trHeight w:val="20"/>
        </w:trPr>
        <w:tc>
          <w:tcPr>
            <w:tcW w:w="7386" w:type="dxa"/>
            <w:tcBorders>
              <w:top w:val="single" w:sz="4" w:space="0" w:color="auto"/>
              <w:left w:val="double" w:sz="4" w:space="0" w:color="auto"/>
              <w:bottom w:val="double" w:sz="4" w:space="0" w:color="auto"/>
              <w:right w:val="single" w:sz="4" w:space="0" w:color="auto"/>
            </w:tcBorders>
            <w:shd w:val="clear" w:color="auto" w:fill="auto"/>
            <w:noWrap/>
          </w:tcPr>
          <w:p w:rsidR="003A6D32" w:rsidRPr="00DA78C7" w:rsidRDefault="003A6D32" w:rsidP="00F919A5">
            <w:pPr>
              <w:rPr>
                <w:rFonts w:ascii="Verdana" w:hAnsi="Verdana"/>
                <w:sz w:val="20"/>
                <w:szCs w:val="20"/>
                <w:lang w:val="en-GB"/>
              </w:rPr>
            </w:pPr>
            <w:r w:rsidRPr="00DA78C7">
              <w:rPr>
                <w:rFonts w:ascii="Verdana" w:hAnsi="Verdana"/>
                <w:sz w:val="20"/>
                <w:szCs w:val="20"/>
                <w:lang w:val="en-GB"/>
              </w:rPr>
              <w:t>Total</w:t>
            </w:r>
          </w:p>
        </w:tc>
        <w:tc>
          <w:tcPr>
            <w:tcW w:w="1719" w:type="dxa"/>
            <w:tcBorders>
              <w:top w:val="nil"/>
              <w:left w:val="nil"/>
              <w:bottom w:val="double" w:sz="4" w:space="0" w:color="auto"/>
              <w:right w:val="double" w:sz="4" w:space="0" w:color="auto"/>
            </w:tcBorders>
            <w:shd w:val="clear" w:color="auto" w:fill="auto"/>
            <w:noWrap/>
          </w:tcPr>
          <w:p w:rsidR="003A6D32" w:rsidRPr="00DA78C7" w:rsidRDefault="003A6D32" w:rsidP="00F919A5">
            <w:pPr>
              <w:tabs>
                <w:tab w:val="right" w:pos="1517"/>
              </w:tabs>
              <w:rPr>
                <w:rFonts w:ascii="Verdana" w:hAnsi="Verdana"/>
                <w:sz w:val="20"/>
                <w:szCs w:val="20"/>
                <w:lang w:val="en-GB"/>
              </w:rPr>
            </w:pPr>
            <w:r w:rsidRPr="00DA78C7">
              <w:rPr>
                <w:rFonts w:ascii="Verdana" w:hAnsi="Verdana"/>
                <w:sz w:val="20"/>
                <w:szCs w:val="20"/>
                <w:lang w:val="en-GB"/>
              </w:rPr>
              <w:t>4,545,500</w:t>
            </w:r>
          </w:p>
        </w:tc>
      </w:tr>
    </w:tbl>
    <w:p w:rsidR="00907749" w:rsidRPr="00DA78C7" w:rsidRDefault="00907749" w:rsidP="005570ED">
      <w:pPr>
        <w:pStyle w:val="FootnoteText"/>
        <w:rPr>
          <w:rFonts w:ascii="Verdana" w:hAnsi="Verdana"/>
          <w:sz w:val="16"/>
          <w:szCs w:val="16"/>
        </w:rPr>
      </w:pPr>
      <w:r w:rsidRPr="00DA78C7">
        <w:rPr>
          <w:rFonts w:ascii="Verdana" w:hAnsi="Verdana" w:cs="Tahoma"/>
          <w:b/>
          <w:bCs/>
        </w:rPr>
        <w:t>*</w:t>
      </w:r>
      <w:r w:rsidRPr="00DA78C7">
        <w:rPr>
          <w:rFonts w:ascii="Verdana" w:hAnsi="Verdana"/>
        </w:rPr>
        <w:t xml:space="preserve"> </w:t>
      </w:r>
      <w:r w:rsidRPr="00DA78C7">
        <w:rPr>
          <w:rFonts w:ascii="Verdana" w:hAnsi="Verdana"/>
          <w:sz w:val="16"/>
          <w:szCs w:val="16"/>
        </w:rPr>
        <w:t xml:space="preserve">This budget </w:t>
      </w:r>
      <w:r w:rsidR="005570ED" w:rsidRPr="00DA78C7">
        <w:rPr>
          <w:rFonts w:ascii="Verdana" w:hAnsi="Verdana"/>
          <w:sz w:val="16"/>
          <w:szCs w:val="16"/>
        </w:rPr>
        <w:t>was</w:t>
      </w:r>
      <w:r w:rsidRPr="00DA78C7">
        <w:rPr>
          <w:rFonts w:ascii="Verdana" w:hAnsi="Verdana"/>
          <w:sz w:val="16"/>
          <w:szCs w:val="16"/>
        </w:rPr>
        <w:t xml:space="preserve"> indicative, and final figures </w:t>
      </w:r>
      <w:r w:rsidR="005570ED" w:rsidRPr="00DA78C7">
        <w:rPr>
          <w:rFonts w:ascii="Verdana" w:hAnsi="Verdana"/>
          <w:sz w:val="16"/>
          <w:szCs w:val="16"/>
        </w:rPr>
        <w:t>have been</w:t>
      </w:r>
      <w:r w:rsidRPr="00DA78C7">
        <w:rPr>
          <w:rFonts w:ascii="Verdana" w:hAnsi="Verdana"/>
          <w:sz w:val="16"/>
          <w:szCs w:val="16"/>
        </w:rPr>
        <w:t xml:space="preserve"> decided based on the actual budget required for RDO </w:t>
      </w:r>
      <w:r w:rsidR="00413145" w:rsidRPr="00DA78C7">
        <w:rPr>
          <w:rFonts w:ascii="Verdana" w:hAnsi="Verdana"/>
          <w:sz w:val="16"/>
          <w:szCs w:val="16"/>
        </w:rPr>
        <w:t xml:space="preserve">(2010) </w:t>
      </w:r>
      <w:r w:rsidRPr="00DA78C7">
        <w:rPr>
          <w:rFonts w:ascii="Verdana" w:hAnsi="Verdana"/>
          <w:sz w:val="16"/>
          <w:szCs w:val="16"/>
        </w:rPr>
        <w:t xml:space="preserve">and DDG, DPLC, PLCD, and KORD as well as actual received amount in US Dollar with then-exchange rate. </w:t>
      </w:r>
    </w:p>
    <w:p w:rsidR="0077102B" w:rsidRDefault="0077102B" w:rsidP="005570ED">
      <w:pPr>
        <w:pStyle w:val="FootnoteText"/>
        <w:rPr>
          <w:rFonts w:ascii="Verdana" w:hAnsi="Verdana"/>
          <w:sz w:val="16"/>
          <w:szCs w:val="16"/>
        </w:rPr>
      </w:pPr>
    </w:p>
    <w:p w:rsidR="00DE503E" w:rsidRPr="00DA78C7" w:rsidRDefault="00DE503E" w:rsidP="005570ED">
      <w:pPr>
        <w:pStyle w:val="FootnoteText"/>
        <w:rPr>
          <w:rFonts w:ascii="Verdana" w:hAnsi="Verdana"/>
          <w:sz w:val="16"/>
          <w:szCs w:val="16"/>
        </w:rPr>
      </w:pPr>
    </w:p>
    <w:p w:rsidR="004D3C02" w:rsidRPr="00DA78C7" w:rsidRDefault="00E64A25" w:rsidP="008A37E3">
      <w:pPr>
        <w:pStyle w:val="NoSpacing"/>
        <w:numPr>
          <w:ilvl w:val="0"/>
          <w:numId w:val="1"/>
        </w:numPr>
        <w:ind w:left="284" w:hanging="284"/>
        <w:jc w:val="both"/>
        <w:rPr>
          <w:rFonts w:ascii="Verdana" w:hAnsi="Verdana" w:cs="Tahoma"/>
          <w:b/>
          <w:bCs/>
          <w:lang w:val="en-GB"/>
        </w:rPr>
      </w:pPr>
      <w:r w:rsidRPr="00DA78C7">
        <w:rPr>
          <w:rFonts w:ascii="Verdana" w:hAnsi="Verdana" w:cs="Tahoma"/>
          <w:b/>
          <w:bCs/>
          <w:lang w:val="en-GB"/>
        </w:rPr>
        <w:t xml:space="preserve"> Achievements as of 1 </w:t>
      </w:r>
      <w:r w:rsidR="004F5B73" w:rsidRPr="00DA78C7">
        <w:rPr>
          <w:rFonts w:ascii="Verdana" w:hAnsi="Verdana" w:cs="Tahoma"/>
          <w:b/>
          <w:bCs/>
          <w:lang w:val="en-GB"/>
        </w:rPr>
        <w:t xml:space="preserve">April 2011 </w:t>
      </w:r>
      <w:r w:rsidRPr="00DA78C7">
        <w:rPr>
          <w:rFonts w:ascii="Verdana" w:hAnsi="Verdana" w:cs="Tahoma"/>
          <w:b/>
          <w:bCs/>
          <w:lang w:val="en-GB"/>
        </w:rPr>
        <w:t xml:space="preserve">to </w:t>
      </w:r>
      <w:r w:rsidR="004F5B73" w:rsidRPr="00DA78C7">
        <w:rPr>
          <w:rFonts w:ascii="Verdana" w:hAnsi="Verdana" w:cs="Tahoma"/>
          <w:b/>
          <w:bCs/>
          <w:lang w:val="en-GB"/>
        </w:rPr>
        <w:t xml:space="preserve">30 September </w:t>
      </w:r>
      <w:r w:rsidR="008A37E3" w:rsidRPr="00DA78C7">
        <w:rPr>
          <w:rFonts w:ascii="Verdana" w:hAnsi="Verdana" w:cs="Tahoma"/>
          <w:b/>
          <w:bCs/>
          <w:lang w:val="en-GB"/>
        </w:rPr>
        <w:t>2011</w:t>
      </w:r>
    </w:p>
    <w:p w:rsidR="00E11952" w:rsidRPr="00DA78C7" w:rsidRDefault="00E11952" w:rsidP="00E11952">
      <w:pPr>
        <w:pStyle w:val="NoSpacing"/>
        <w:ind w:left="284"/>
        <w:jc w:val="both"/>
        <w:rPr>
          <w:rFonts w:ascii="Verdana" w:hAnsi="Verdana" w:cs="Tahoma"/>
          <w:b/>
          <w:bCs/>
          <w:lang w:val="en-GB"/>
        </w:rPr>
      </w:pPr>
    </w:p>
    <w:p w:rsidR="007E42A1" w:rsidRPr="00DA78C7" w:rsidRDefault="00F53359" w:rsidP="007E42A1">
      <w:pPr>
        <w:pStyle w:val="ListParagraph"/>
        <w:numPr>
          <w:ilvl w:val="1"/>
          <w:numId w:val="1"/>
        </w:numPr>
        <w:ind w:left="0" w:hanging="11"/>
        <w:jc w:val="both"/>
        <w:rPr>
          <w:rFonts w:ascii="Verdana" w:hAnsi="Verdana"/>
          <w:bCs/>
          <w:sz w:val="20"/>
          <w:szCs w:val="20"/>
          <w:lang w:val="en-GB"/>
        </w:rPr>
      </w:pPr>
      <w:r w:rsidRPr="00DA78C7">
        <w:rPr>
          <w:rFonts w:ascii="Verdana" w:hAnsi="Verdana"/>
          <w:b/>
          <w:sz w:val="20"/>
          <w:szCs w:val="20"/>
          <w:lang w:val="en-GB"/>
        </w:rPr>
        <w:t xml:space="preserve">Achievements in capacity building and organisational development </w:t>
      </w:r>
    </w:p>
    <w:p w:rsidR="004E7601" w:rsidRPr="00DA78C7" w:rsidRDefault="004E7601" w:rsidP="00072811">
      <w:pPr>
        <w:pStyle w:val="NoSpacing"/>
        <w:rPr>
          <w:rFonts w:ascii="Verdana" w:hAnsi="Verdana"/>
          <w:sz w:val="20"/>
          <w:szCs w:val="20"/>
          <w:lang w:val="en-GB"/>
        </w:rPr>
      </w:pPr>
    </w:p>
    <w:p w:rsidR="009B4391" w:rsidRPr="00DA78C7" w:rsidRDefault="009B4391" w:rsidP="004E7601">
      <w:pPr>
        <w:pStyle w:val="NoSpacing"/>
        <w:rPr>
          <w:rFonts w:ascii="Verdana" w:hAnsi="Verdana"/>
          <w:sz w:val="20"/>
          <w:szCs w:val="20"/>
          <w:lang w:val="en-GB"/>
        </w:rPr>
      </w:pPr>
      <w:r w:rsidRPr="00DA78C7">
        <w:rPr>
          <w:rFonts w:ascii="Verdana" w:hAnsi="Verdana"/>
          <w:sz w:val="20"/>
          <w:szCs w:val="20"/>
          <w:lang w:val="en-GB"/>
        </w:rPr>
        <w:t xml:space="preserve">In order to develop a sustainable, quality national mine action agency, </w:t>
      </w:r>
      <w:r w:rsidR="00072811" w:rsidRPr="00DA78C7">
        <w:rPr>
          <w:rFonts w:ascii="Verdana" w:hAnsi="Verdana"/>
          <w:sz w:val="20"/>
          <w:szCs w:val="20"/>
          <w:lang w:val="en-GB"/>
        </w:rPr>
        <w:t xml:space="preserve">a </w:t>
      </w:r>
      <w:r w:rsidRPr="00DA78C7">
        <w:rPr>
          <w:rFonts w:ascii="Verdana" w:hAnsi="Verdana"/>
          <w:sz w:val="20"/>
          <w:szCs w:val="20"/>
          <w:lang w:val="en-GB"/>
        </w:rPr>
        <w:t xml:space="preserve">structured capacity building within </w:t>
      </w:r>
      <w:r w:rsidR="004E7601" w:rsidRPr="00DA78C7">
        <w:rPr>
          <w:rFonts w:ascii="Verdana" w:hAnsi="Verdana"/>
          <w:sz w:val="20"/>
          <w:szCs w:val="20"/>
          <w:lang w:val="en-GB"/>
        </w:rPr>
        <w:t>DDG</w:t>
      </w:r>
      <w:r w:rsidR="00072811" w:rsidRPr="00DA78C7">
        <w:rPr>
          <w:rFonts w:ascii="Verdana" w:hAnsi="Verdana"/>
          <w:sz w:val="20"/>
          <w:szCs w:val="20"/>
          <w:lang w:val="en-GB"/>
        </w:rPr>
        <w:t xml:space="preserve"> was undertaken</w:t>
      </w:r>
      <w:r w:rsidRPr="00DA78C7">
        <w:rPr>
          <w:rFonts w:ascii="Verdana" w:hAnsi="Verdana"/>
          <w:sz w:val="20"/>
          <w:szCs w:val="20"/>
          <w:lang w:val="en-GB"/>
        </w:rPr>
        <w:t>. The initial plan focuse</w:t>
      </w:r>
      <w:r w:rsidR="00F03671" w:rsidRPr="00DA78C7">
        <w:rPr>
          <w:rFonts w:ascii="Verdana" w:hAnsi="Verdana"/>
          <w:sz w:val="20"/>
          <w:szCs w:val="20"/>
          <w:lang w:val="en-GB"/>
        </w:rPr>
        <w:t>d</w:t>
      </w:r>
      <w:r w:rsidRPr="00DA78C7">
        <w:rPr>
          <w:rFonts w:ascii="Verdana" w:hAnsi="Verdana"/>
          <w:sz w:val="20"/>
          <w:szCs w:val="20"/>
          <w:lang w:val="en-GB"/>
        </w:rPr>
        <w:t xml:space="preserve"> on organisational management structures, processes and systems, as well as human resource management and development (recruiting new management staff, job descriptions, training, </w:t>
      </w:r>
      <w:r w:rsidR="00072811" w:rsidRPr="00DA78C7">
        <w:rPr>
          <w:rFonts w:ascii="Verdana" w:hAnsi="Verdana"/>
          <w:sz w:val="20"/>
          <w:szCs w:val="20"/>
          <w:lang w:val="en-GB"/>
        </w:rPr>
        <w:t>etc.</w:t>
      </w:r>
      <w:r w:rsidRPr="00DA78C7">
        <w:rPr>
          <w:rFonts w:ascii="Verdana" w:hAnsi="Verdana"/>
          <w:sz w:val="20"/>
          <w:szCs w:val="20"/>
          <w:lang w:val="en-GB"/>
        </w:rPr>
        <w:t xml:space="preserve">). The following has been </w:t>
      </w:r>
      <w:r w:rsidR="00072811" w:rsidRPr="00DA78C7">
        <w:rPr>
          <w:rFonts w:ascii="Verdana" w:hAnsi="Verdana"/>
          <w:sz w:val="20"/>
          <w:szCs w:val="20"/>
          <w:lang w:val="en-GB"/>
        </w:rPr>
        <w:t>undertaken</w:t>
      </w:r>
      <w:r w:rsidRPr="00DA78C7">
        <w:rPr>
          <w:rFonts w:ascii="Verdana" w:hAnsi="Verdana"/>
          <w:sz w:val="20"/>
          <w:szCs w:val="20"/>
          <w:lang w:val="en-GB"/>
        </w:rPr>
        <w:t xml:space="preserve"> </w:t>
      </w:r>
      <w:r w:rsidR="00072811" w:rsidRPr="00DA78C7">
        <w:rPr>
          <w:rFonts w:ascii="Verdana" w:hAnsi="Verdana"/>
          <w:sz w:val="20"/>
          <w:szCs w:val="20"/>
          <w:lang w:val="en-GB"/>
        </w:rPr>
        <w:t>during this reporting period</w:t>
      </w:r>
      <w:r w:rsidRPr="00DA78C7">
        <w:rPr>
          <w:rFonts w:ascii="Verdana" w:hAnsi="Verdana"/>
          <w:sz w:val="20"/>
          <w:szCs w:val="20"/>
          <w:lang w:val="en-GB"/>
        </w:rPr>
        <w:t>:</w:t>
      </w:r>
    </w:p>
    <w:p w:rsidR="00F60D21" w:rsidRPr="00DA78C7" w:rsidRDefault="00F60D21" w:rsidP="00F60D21">
      <w:pPr>
        <w:pStyle w:val="NoSpacing"/>
        <w:jc w:val="both"/>
        <w:rPr>
          <w:rFonts w:ascii="Verdana" w:hAnsi="Verdana"/>
          <w:sz w:val="20"/>
          <w:szCs w:val="20"/>
          <w:lang w:val="en-GB"/>
        </w:rPr>
      </w:pPr>
    </w:p>
    <w:p w:rsidR="009B4391" w:rsidRPr="00DA78C7" w:rsidRDefault="00072811"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 xml:space="preserve">A </w:t>
      </w:r>
      <w:r w:rsidR="009B4391" w:rsidRPr="00DA78C7">
        <w:rPr>
          <w:rFonts w:ascii="Verdana" w:hAnsi="Verdana"/>
          <w:sz w:val="20"/>
          <w:szCs w:val="20"/>
          <w:lang w:val="en-GB"/>
        </w:rPr>
        <w:t xml:space="preserve">Strategic </w:t>
      </w:r>
      <w:r w:rsidRPr="00DA78C7">
        <w:rPr>
          <w:rFonts w:ascii="Verdana" w:hAnsi="Verdana"/>
          <w:sz w:val="20"/>
          <w:szCs w:val="20"/>
          <w:lang w:val="en-GB"/>
        </w:rPr>
        <w:t>p</w:t>
      </w:r>
      <w:r w:rsidR="009B4391" w:rsidRPr="00DA78C7">
        <w:rPr>
          <w:rFonts w:ascii="Verdana" w:hAnsi="Verdana"/>
          <w:sz w:val="20"/>
          <w:szCs w:val="20"/>
          <w:lang w:val="en-GB"/>
        </w:rPr>
        <w:t xml:space="preserve">lanning </w:t>
      </w:r>
      <w:r w:rsidRPr="00DA78C7">
        <w:rPr>
          <w:rFonts w:ascii="Verdana" w:hAnsi="Verdana"/>
          <w:sz w:val="20"/>
          <w:szCs w:val="20"/>
          <w:lang w:val="en-GB"/>
        </w:rPr>
        <w:t>d</w:t>
      </w:r>
      <w:r w:rsidR="009B4391" w:rsidRPr="00DA78C7">
        <w:rPr>
          <w:rFonts w:ascii="Verdana" w:hAnsi="Verdana"/>
          <w:sz w:val="20"/>
          <w:szCs w:val="20"/>
          <w:lang w:val="en-GB"/>
        </w:rPr>
        <w:t xml:space="preserve">ocument and </w:t>
      </w:r>
      <w:r w:rsidRPr="00DA78C7">
        <w:rPr>
          <w:rFonts w:ascii="Verdana" w:hAnsi="Verdana"/>
          <w:sz w:val="20"/>
          <w:szCs w:val="20"/>
          <w:lang w:val="en-GB"/>
        </w:rPr>
        <w:t>a c</w:t>
      </w:r>
      <w:r w:rsidR="009B4391" w:rsidRPr="00DA78C7">
        <w:rPr>
          <w:rFonts w:ascii="Verdana" w:hAnsi="Verdana"/>
          <w:sz w:val="20"/>
          <w:szCs w:val="20"/>
          <w:lang w:val="en-GB"/>
        </w:rPr>
        <w:t xml:space="preserve">apacity </w:t>
      </w:r>
      <w:r w:rsidRPr="00DA78C7">
        <w:rPr>
          <w:rFonts w:ascii="Verdana" w:hAnsi="Verdana"/>
          <w:sz w:val="20"/>
          <w:szCs w:val="20"/>
          <w:lang w:val="en-GB"/>
        </w:rPr>
        <w:t>d</w:t>
      </w:r>
      <w:r w:rsidR="009B4391" w:rsidRPr="00DA78C7">
        <w:rPr>
          <w:rFonts w:ascii="Verdana" w:hAnsi="Verdana"/>
          <w:sz w:val="20"/>
          <w:szCs w:val="20"/>
          <w:lang w:val="en-GB"/>
        </w:rPr>
        <w:t xml:space="preserve">evelopment </w:t>
      </w:r>
      <w:r w:rsidRPr="00DA78C7">
        <w:rPr>
          <w:rFonts w:ascii="Verdana" w:hAnsi="Verdana"/>
          <w:sz w:val="20"/>
          <w:szCs w:val="20"/>
          <w:lang w:val="en-GB"/>
        </w:rPr>
        <w:t>plan are</w:t>
      </w:r>
      <w:r w:rsidR="009B4391" w:rsidRPr="00DA78C7">
        <w:rPr>
          <w:rFonts w:ascii="Verdana" w:hAnsi="Verdana"/>
          <w:sz w:val="20"/>
          <w:szCs w:val="20"/>
          <w:lang w:val="en-GB"/>
        </w:rPr>
        <w:t xml:space="preserve"> in the process of being developed with the </w:t>
      </w:r>
      <w:r w:rsidR="007E42A1" w:rsidRPr="00DA78C7">
        <w:rPr>
          <w:rFonts w:ascii="Verdana" w:hAnsi="Verdana"/>
          <w:sz w:val="20"/>
          <w:szCs w:val="20"/>
          <w:lang w:val="en-GB"/>
        </w:rPr>
        <w:t>nationalization</w:t>
      </w:r>
      <w:r w:rsidR="009B4391" w:rsidRPr="00DA78C7">
        <w:rPr>
          <w:rFonts w:ascii="Verdana" w:hAnsi="Verdana"/>
          <w:sz w:val="20"/>
          <w:szCs w:val="20"/>
          <w:lang w:val="en-GB"/>
        </w:rPr>
        <w:t xml:space="preserve"> of the program as an end </w:t>
      </w:r>
      <w:r w:rsidRPr="00DA78C7">
        <w:rPr>
          <w:rFonts w:ascii="Verdana" w:hAnsi="Verdana"/>
          <w:sz w:val="20"/>
          <w:szCs w:val="20"/>
          <w:lang w:val="en-GB"/>
        </w:rPr>
        <w:t>objective</w:t>
      </w:r>
      <w:r w:rsidR="009B4391" w:rsidRPr="00DA78C7">
        <w:rPr>
          <w:rFonts w:ascii="Verdana" w:hAnsi="Verdana"/>
          <w:sz w:val="20"/>
          <w:szCs w:val="20"/>
          <w:lang w:val="en-GB"/>
        </w:rPr>
        <w:t xml:space="preserve">. </w:t>
      </w:r>
    </w:p>
    <w:p w:rsidR="009B4391" w:rsidRPr="00DA78C7" w:rsidRDefault="00072811"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A d</w:t>
      </w:r>
      <w:r w:rsidR="009B4391" w:rsidRPr="00DA78C7">
        <w:rPr>
          <w:rFonts w:ascii="Verdana" w:hAnsi="Verdana"/>
          <w:sz w:val="20"/>
          <w:szCs w:val="20"/>
          <w:lang w:val="en-GB"/>
        </w:rPr>
        <w:t>etailed organisation</w:t>
      </w:r>
      <w:r w:rsidRPr="00DA78C7">
        <w:rPr>
          <w:rFonts w:ascii="Verdana" w:hAnsi="Verdana"/>
          <w:sz w:val="20"/>
          <w:szCs w:val="20"/>
          <w:lang w:val="en-GB"/>
        </w:rPr>
        <w:t>al</w:t>
      </w:r>
      <w:r w:rsidR="009B4391" w:rsidRPr="00DA78C7">
        <w:rPr>
          <w:rFonts w:ascii="Verdana" w:hAnsi="Verdana"/>
          <w:sz w:val="20"/>
          <w:szCs w:val="20"/>
          <w:lang w:val="en-GB"/>
        </w:rPr>
        <w:t xml:space="preserve"> chart</w:t>
      </w:r>
      <w:r w:rsidRPr="00DA78C7">
        <w:rPr>
          <w:rFonts w:ascii="Verdana" w:hAnsi="Verdana"/>
          <w:sz w:val="20"/>
          <w:szCs w:val="20"/>
          <w:lang w:val="en-GB"/>
        </w:rPr>
        <w:t xml:space="preserve"> is established.</w:t>
      </w:r>
    </w:p>
    <w:p w:rsidR="009B4391" w:rsidRPr="00DA78C7" w:rsidRDefault="009B4391"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National Senior Management Team is in place.</w:t>
      </w:r>
    </w:p>
    <w:p w:rsidR="009B4391" w:rsidRPr="00DA78C7" w:rsidRDefault="009B4391"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 xml:space="preserve">Human </w:t>
      </w:r>
      <w:r w:rsidR="00072811" w:rsidRPr="00DA78C7">
        <w:rPr>
          <w:rFonts w:ascii="Verdana" w:hAnsi="Verdana"/>
          <w:sz w:val="20"/>
          <w:szCs w:val="20"/>
          <w:lang w:val="en-GB"/>
        </w:rPr>
        <w:t>r</w:t>
      </w:r>
      <w:r w:rsidRPr="00DA78C7">
        <w:rPr>
          <w:rFonts w:ascii="Verdana" w:hAnsi="Verdana"/>
          <w:sz w:val="20"/>
          <w:szCs w:val="20"/>
          <w:lang w:val="en-GB"/>
        </w:rPr>
        <w:t xml:space="preserve">esources </w:t>
      </w:r>
      <w:r w:rsidR="00072811" w:rsidRPr="00DA78C7">
        <w:rPr>
          <w:rFonts w:ascii="Verdana" w:hAnsi="Verdana"/>
          <w:sz w:val="20"/>
          <w:szCs w:val="20"/>
          <w:lang w:val="en-GB"/>
        </w:rPr>
        <w:t>p</w:t>
      </w:r>
      <w:r w:rsidRPr="00DA78C7">
        <w:rPr>
          <w:rFonts w:ascii="Verdana" w:hAnsi="Verdana"/>
          <w:sz w:val="20"/>
          <w:szCs w:val="20"/>
          <w:lang w:val="en-GB"/>
        </w:rPr>
        <w:t xml:space="preserve">olicy and </w:t>
      </w:r>
      <w:r w:rsidR="00072811" w:rsidRPr="00DA78C7">
        <w:rPr>
          <w:rFonts w:ascii="Verdana" w:hAnsi="Verdana"/>
          <w:sz w:val="20"/>
          <w:szCs w:val="20"/>
          <w:lang w:val="en-GB"/>
        </w:rPr>
        <w:t>s</w:t>
      </w:r>
      <w:r w:rsidRPr="00DA78C7">
        <w:rPr>
          <w:rFonts w:ascii="Verdana" w:hAnsi="Verdana"/>
          <w:sz w:val="20"/>
          <w:szCs w:val="20"/>
          <w:lang w:val="en-GB"/>
        </w:rPr>
        <w:t xml:space="preserve">taff </w:t>
      </w:r>
      <w:r w:rsidR="00072811" w:rsidRPr="00DA78C7">
        <w:rPr>
          <w:rFonts w:ascii="Verdana" w:hAnsi="Verdana"/>
          <w:sz w:val="20"/>
          <w:szCs w:val="20"/>
          <w:lang w:val="en-GB"/>
        </w:rPr>
        <w:t>d</w:t>
      </w:r>
      <w:r w:rsidRPr="00DA78C7">
        <w:rPr>
          <w:rFonts w:ascii="Verdana" w:hAnsi="Verdana"/>
          <w:sz w:val="20"/>
          <w:szCs w:val="20"/>
          <w:lang w:val="en-GB"/>
        </w:rPr>
        <w:t xml:space="preserve">evelopment </w:t>
      </w:r>
      <w:r w:rsidR="00072811" w:rsidRPr="00DA78C7">
        <w:rPr>
          <w:rFonts w:ascii="Verdana" w:hAnsi="Verdana"/>
          <w:sz w:val="20"/>
          <w:szCs w:val="20"/>
          <w:lang w:val="en-GB"/>
        </w:rPr>
        <w:t>p</w:t>
      </w:r>
      <w:r w:rsidRPr="00DA78C7">
        <w:rPr>
          <w:rFonts w:ascii="Verdana" w:hAnsi="Verdana"/>
          <w:sz w:val="20"/>
          <w:szCs w:val="20"/>
          <w:lang w:val="en-GB"/>
        </w:rPr>
        <w:t xml:space="preserve">lan </w:t>
      </w:r>
      <w:r w:rsidR="00072811" w:rsidRPr="00DA78C7">
        <w:rPr>
          <w:rFonts w:ascii="Verdana" w:hAnsi="Verdana"/>
          <w:sz w:val="20"/>
          <w:szCs w:val="20"/>
          <w:lang w:val="en-GB"/>
        </w:rPr>
        <w:t>are in the initial stages of being</w:t>
      </w:r>
      <w:r w:rsidRPr="00DA78C7">
        <w:rPr>
          <w:rFonts w:ascii="Verdana" w:hAnsi="Verdana"/>
          <w:sz w:val="20"/>
          <w:szCs w:val="20"/>
          <w:lang w:val="en-GB"/>
        </w:rPr>
        <w:t xml:space="preserve"> developed.</w:t>
      </w:r>
    </w:p>
    <w:p w:rsidR="009B4391" w:rsidRPr="00DA78C7" w:rsidRDefault="009B4391"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 xml:space="preserve">New systems are </w:t>
      </w:r>
      <w:r w:rsidR="00072811" w:rsidRPr="00DA78C7">
        <w:rPr>
          <w:rFonts w:ascii="Verdana" w:hAnsi="Verdana"/>
          <w:sz w:val="20"/>
          <w:szCs w:val="20"/>
          <w:lang w:val="en-GB"/>
        </w:rPr>
        <w:t xml:space="preserve">in the process of </w:t>
      </w:r>
      <w:r w:rsidRPr="00DA78C7">
        <w:rPr>
          <w:rFonts w:ascii="Verdana" w:hAnsi="Verdana"/>
          <w:sz w:val="20"/>
          <w:szCs w:val="20"/>
          <w:lang w:val="en-GB"/>
        </w:rPr>
        <w:t xml:space="preserve">being developed: internal communications and meetings; coordination and planning; reporting; staff leave and discipline; assets and inventory management; </w:t>
      </w:r>
      <w:r w:rsidR="00072811" w:rsidRPr="00DA78C7">
        <w:rPr>
          <w:rFonts w:ascii="Verdana" w:hAnsi="Verdana"/>
          <w:sz w:val="20"/>
          <w:szCs w:val="20"/>
          <w:lang w:val="en-GB"/>
        </w:rPr>
        <w:t xml:space="preserve">and </w:t>
      </w:r>
      <w:r w:rsidRPr="00DA78C7">
        <w:rPr>
          <w:rFonts w:ascii="Verdana" w:hAnsi="Verdana"/>
          <w:sz w:val="20"/>
          <w:szCs w:val="20"/>
          <w:lang w:val="en-GB"/>
        </w:rPr>
        <w:t>fleet management.</w:t>
      </w:r>
    </w:p>
    <w:p w:rsidR="009B4391" w:rsidRPr="00DA78C7" w:rsidRDefault="009B4391"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Logistics, Administration and Finance departments have been restructured and streamlined.</w:t>
      </w:r>
    </w:p>
    <w:p w:rsidR="009B4391" w:rsidRPr="00DA78C7" w:rsidRDefault="009B4391"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 xml:space="preserve">National Community Liaison Manager </w:t>
      </w:r>
      <w:r w:rsidR="007E42A1" w:rsidRPr="00DA78C7">
        <w:rPr>
          <w:rFonts w:ascii="Verdana" w:hAnsi="Verdana"/>
          <w:sz w:val="20"/>
          <w:szCs w:val="20"/>
          <w:lang w:val="en-GB"/>
        </w:rPr>
        <w:t>Position</w:t>
      </w:r>
      <w:r w:rsidRPr="00DA78C7">
        <w:rPr>
          <w:rFonts w:ascii="Verdana" w:hAnsi="Verdana"/>
          <w:sz w:val="20"/>
          <w:szCs w:val="20"/>
          <w:lang w:val="en-GB"/>
        </w:rPr>
        <w:t xml:space="preserve"> was established as well as Camp Manager position.</w:t>
      </w:r>
    </w:p>
    <w:p w:rsidR="009B4391" w:rsidRPr="00DA78C7" w:rsidRDefault="009B4391"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Job descriptions for personnel have been developed.</w:t>
      </w:r>
    </w:p>
    <w:p w:rsidR="007E42A1" w:rsidRPr="00DA78C7" w:rsidRDefault="007E42A1" w:rsidP="00DE503E">
      <w:pPr>
        <w:pStyle w:val="NoSpacing"/>
        <w:spacing w:line="276" w:lineRule="auto"/>
        <w:ind w:left="360"/>
        <w:jc w:val="both"/>
        <w:rPr>
          <w:rFonts w:ascii="Verdana" w:hAnsi="Verdana"/>
          <w:sz w:val="20"/>
          <w:szCs w:val="20"/>
          <w:lang w:val="en-GB"/>
        </w:rPr>
      </w:pPr>
    </w:p>
    <w:p w:rsidR="009B4391" w:rsidRPr="00DA78C7" w:rsidRDefault="009B4391" w:rsidP="00DE503E">
      <w:pPr>
        <w:pStyle w:val="NoSpacing"/>
        <w:spacing w:line="276" w:lineRule="auto"/>
        <w:ind w:left="360"/>
        <w:jc w:val="both"/>
        <w:rPr>
          <w:rFonts w:ascii="Verdana" w:hAnsi="Verdana"/>
          <w:sz w:val="20"/>
          <w:szCs w:val="20"/>
          <w:lang w:val="en-GB"/>
        </w:rPr>
      </w:pPr>
      <w:r w:rsidRPr="00DA78C7">
        <w:rPr>
          <w:rFonts w:ascii="Verdana" w:hAnsi="Verdana"/>
          <w:sz w:val="20"/>
          <w:szCs w:val="20"/>
          <w:lang w:val="en-GB"/>
        </w:rPr>
        <w:t>The following training was undertaken:</w:t>
      </w:r>
    </w:p>
    <w:p w:rsidR="009B4391" w:rsidRPr="00DA78C7" w:rsidRDefault="009B4391"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A five-week demining training course was conducted in May-June 2011. Two demining teams of 18 persons (9 in each) were successfully trained, with 100% pass rate. The teams will be further deployed in demining tasks.</w:t>
      </w:r>
    </w:p>
    <w:p w:rsidR="009B4391" w:rsidRPr="00DA78C7" w:rsidRDefault="009B4391"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25 Members of DDG national management and supervisory staff attended a 4 week English language course at the English Training Centre, Basra during August 2011.</w:t>
      </w:r>
    </w:p>
    <w:p w:rsidR="009B4391" w:rsidRPr="00DA78C7" w:rsidRDefault="009B4391"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Refresher training of current operational staff.</w:t>
      </w:r>
    </w:p>
    <w:p w:rsidR="009B4391" w:rsidRPr="00DA78C7" w:rsidRDefault="009B4391"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On-the-job training of one new finance manager, one new finance officer and one new admin officer.</w:t>
      </w:r>
    </w:p>
    <w:p w:rsidR="00072811" w:rsidRPr="00DA78C7" w:rsidRDefault="00072811" w:rsidP="00072811">
      <w:pPr>
        <w:pStyle w:val="NoSpacing"/>
        <w:ind w:left="720"/>
        <w:jc w:val="both"/>
        <w:rPr>
          <w:rFonts w:ascii="Verdana" w:hAnsi="Verdana"/>
          <w:sz w:val="20"/>
          <w:szCs w:val="20"/>
          <w:lang w:val="en-GB"/>
        </w:rPr>
      </w:pPr>
    </w:p>
    <w:p w:rsidR="009B4391" w:rsidRPr="00DA78C7" w:rsidRDefault="00072811" w:rsidP="00072811">
      <w:pPr>
        <w:jc w:val="both"/>
        <w:rPr>
          <w:rFonts w:ascii="Verdana" w:hAnsi="Verdana"/>
          <w:bCs/>
          <w:sz w:val="20"/>
          <w:szCs w:val="20"/>
          <w:lang w:val="en-GB"/>
        </w:rPr>
      </w:pPr>
      <w:r w:rsidRPr="00DA78C7">
        <w:rPr>
          <w:rFonts w:ascii="Verdana" w:hAnsi="Verdana"/>
          <w:bCs/>
          <w:sz w:val="20"/>
          <w:szCs w:val="20"/>
          <w:lang w:val="en-GB"/>
        </w:rPr>
        <w:t>DDG</w:t>
      </w:r>
      <w:r w:rsidR="009B4391" w:rsidRPr="00DA78C7">
        <w:rPr>
          <w:rFonts w:ascii="Verdana" w:hAnsi="Verdana"/>
          <w:bCs/>
          <w:sz w:val="20"/>
          <w:szCs w:val="20"/>
          <w:lang w:val="en-GB"/>
        </w:rPr>
        <w:t xml:space="preserve"> is currently in the process of developing a comprehensive Capacity Development Plan which will cover the period 2012 to 2015. This Capacity Development Plan shall form the basis of, and be an integral part of, the DDG Iraq Strategic Planning Document for 2012 to 2015 which details the planned transition of DDG into a sustainable national Mine Action entity.</w:t>
      </w:r>
    </w:p>
    <w:p w:rsidR="009B4391" w:rsidRPr="00DA78C7" w:rsidRDefault="00072811" w:rsidP="00072811">
      <w:pPr>
        <w:jc w:val="both"/>
        <w:rPr>
          <w:rFonts w:ascii="Verdana" w:hAnsi="Verdana"/>
          <w:bCs/>
          <w:sz w:val="20"/>
          <w:szCs w:val="20"/>
          <w:lang w:val="en-GB"/>
        </w:rPr>
      </w:pPr>
      <w:r w:rsidRPr="00DA78C7">
        <w:rPr>
          <w:rFonts w:ascii="Verdana" w:hAnsi="Verdana"/>
          <w:bCs/>
          <w:sz w:val="20"/>
          <w:szCs w:val="20"/>
          <w:lang w:val="en-GB"/>
        </w:rPr>
        <w:t xml:space="preserve">The </w:t>
      </w:r>
      <w:r w:rsidR="009B4391" w:rsidRPr="00DA78C7">
        <w:rPr>
          <w:rFonts w:ascii="Verdana" w:hAnsi="Verdana"/>
          <w:bCs/>
          <w:sz w:val="20"/>
          <w:szCs w:val="20"/>
          <w:lang w:val="en-GB"/>
        </w:rPr>
        <w:t xml:space="preserve">Impact-led and community focused approach initiated in 2010 </w:t>
      </w:r>
      <w:r w:rsidRPr="00DA78C7">
        <w:rPr>
          <w:rFonts w:ascii="Verdana" w:hAnsi="Verdana"/>
          <w:bCs/>
          <w:sz w:val="20"/>
          <w:szCs w:val="20"/>
          <w:lang w:val="en-GB"/>
        </w:rPr>
        <w:t xml:space="preserve">by DDG </w:t>
      </w:r>
      <w:r w:rsidR="009B4391" w:rsidRPr="00DA78C7">
        <w:rPr>
          <w:rFonts w:ascii="Verdana" w:hAnsi="Verdana"/>
          <w:bCs/>
          <w:sz w:val="20"/>
          <w:szCs w:val="20"/>
          <w:lang w:val="en-GB"/>
        </w:rPr>
        <w:t>proved to be a success. It enabled the organization to better understand the nature of the vulnerabilities created by the presence of mines and ERW, and thus address them</w:t>
      </w:r>
      <w:r w:rsidRPr="00DA78C7">
        <w:rPr>
          <w:rFonts w:ascii="Verdana" w:hAnsi="Verdana"/>
          <w:bCs/>
          <w:sz w:val="20"/>
          <w:szCs w:val="20"/>
          <w:lang w:val="en-GB"/>
        </w:rPr>
        <w:t xml:space="preserve"> accordingly as i</w:t>
      </w:r>
      <w:r w:rsidR="009B4391" w:rsidRPr="00DA78C7">
        <w:rPr>
          <w:rFonts w:ascii="Verdana" w:hAnsi="Verdana"/>
          <w:bCs/>
          <w:sz w:val="20"/>
          <w:szCs w:val="20"/>
          <w:lang w:val="en-GB"/>
        </w:rPr>
        <w:t>t enables focusing on the most impacted communities first.</w:t>
      </w:r>
    </w:p>
    <w:p w:rsidR="00F53359" w:rsidRPr="00DA78C7" w:rsidRDefault="00F53359" w:rsidP="0047133A">
      <w:pPr>
        <w:jc w:val="both"/>
        <w:rPr>
          <w:rFonts w:ascii="Verdana" w:hAnsi="Verdana"/>
          <w:b/>
          <w:sz w:val="20"/>
          <w:szCs w:val="20"/>
          <w:lang w:val="en-GB"/>
        </w:rPr>
      </w:pPr>
      <w:r w:rsidRPr="00DA78C7">
        <w:rPr>
          <w:rFonts w:ascii="Verdana" w:hAnsi="Verdana"/>
          <w:b/>
          <w:sz w:val="20"/>
          <w:szCs w:val="20"/>
          <w:lang w:val="en-GB"/>
        </w:rPr>
        <w:t xml:space="preserve">4.2 Achievements in Clearance </w:t>
      </w:r>
      <w:r w:rsidR="0047133A" w:rsidRPr="00DA78C7">
        <w:rPr>
          <w:rFonts w:ascii="Verdana" w:hAnsi="Verdana"/>
          <w:b/>
          <w:sz w:val="20"/>
          <w:szCs w:val="20"/>
          <w:lang w:val="en-GB"/>
        </w:rPr>
        <w:t>activities during the reporting period</w:t>
      </w:r>
    </w:p>
    <w:p w:rsidR="009B4391" w:rsidRPr="00DA78C7" w:rsidRDefault="009B4391" w:rsidP="0047133A">
      <w:pPr>
        <w:jc w:val="both"/>
        <w:rPr>
          <w:rFonts w:ascii="Verdana" w:hAnsi="Verdana"/>
          <w:bCs/>
          <w:sz w:val="20"/>
          <w:szCs w:val="20"/>
          <w:lang w:val="en-GB"/>
        </w:rPr>
      </w:pPr>
      <w:r w:rsidRPr="00DA78C7">
        <w:rPr>
          <w:rFonts w:ascii="Verdana" w:hAnsi="Verdana"/>
          <w:bCs/>
          <w:sz w:val="20"/>
          <w:szCs w:val="20"/>
          <w:lang w:val="en-GB"/>
        </w:rPr>
        <w:t>DDG implemented a “tool box” approach whereby technical interventions to eliminate the physical threat (EOD, BAC, demining) were mixed with other interventions (such as Non-technical Survey, Technical survey and Marking, and Mine Risk Education) to reduce the risks it poses.</w:t>
      </w:r>
    </w:p>
    <w:p w:rsidR="009B4391" w:rsidRPr="00DA78C7" w:rsidRDefault="00162FC0" w:rsidP="00072811">
      <w:pPr>
        <w:jc w:val="both"/>
        <w:rPr>
          <w:rFonts w:ascii="Verdana" w:hAnsi="Verdana"/>
          <w:bCs/>
          <w:sz w:val="20"/>
          <w:szCs w:val="20"/>
          <w:lang w:val="en-GB"/>
        </w:rPr>
      </w:pPr>
      <w:r w:rsidRPr="00DA78C7">
        <w:rPr>
          <w:rFonts w:ascii="Verdana" w:hAnsi="Verdana"/>
          <w:bCs/>
          <w:sz w:val="20"/>
          <w:szCs w:val="20"/>
          <w:lang w:val="en-GB"/>
        </w:rPr>
        <w:t xml:space="preserve">DDG clearance teams continued to carry out survey operation were </w:t>
      </w:r>
      <w:r w:rsidR="00F03671" w:rsidRPr="00DA78C7">
        <w:rPr>
          <w:rFonts w:ascii="Verdana" w:hAnsi="Verdana"/>
          <w:bCs/>
          <w:sz w:val="20"/>
          <w:szCs w:val="20"/>
          <w:lang w:val="en-GB"/>
        </w:rPr>
        <w:t xml:space="preserve">14 </w:t>
      </w:r>
      <w:r w:rsidR="0047133A" w:rsidRPr="00DA78C7">
        <w:rPr>
          <w:rFonts w:ascii="Verdana" w:hAnsi="Verdana"/>
          <w:bCs/>
          <w:sz w:val="20"/>
          <w:szCs w:val="20"/>
          <w:lang w:val="en-GB"/>
        </w:rPr>
        <w:t xml:space="preserve">tasks were completed </w:t>
      </w:r>
      <w:r w:rsidR="00072811" w:rsidRPr="00DA78C7">
        <w:rPr>
          <w:rFonts w:ascii="Verdana" w:hAnsi="Verdana"/>
          <w:bCs/>
          <w:sz w:val="20"/>
          <w:szCs w:val="20"/>
          <w:lang w:val="en-GB"/>
        </w:rPr>
        <w:t>during the reporting period. As a result</w:t>
      </w:r>
      <w:r w:rsidR="0047133A" w:rsidRPr="00DA78C7">
        <w:rPr>
          <w:rFonts w:ascii="Verdana" w:hAnsi="Verdana"/>
          <w:bCs/>
          <w:sz w:val="20"/>
          <w:szCs w:val="20"/>
          <w:lang w:val="en-GB"/>
        </w:rPr>
        <w:t xml:space="preserve"> </w:t>
      </w:r>
      <w:r w:rsidR="004C47FF" w:rsidRPr="00DA78C7">
        <w:rPr>
          <w:rFonts w:ascii="Verdana" w:hAnsi="Verdana"/>
          <w:bCs/>
          <w:sz w:val="20"/>
          <w:szCs w:val="20"/>
          <w:lang w:val="en-GB"/>
        </w:rPr>
        <w:t xml:space="preserve">210,300 square meters of land </w:t>
      </w:r>
      <w:r w:rsidR="00072811" w:rsidRPr="00DA78C7">
        <w:rPr>
          <w:rFonts w:ascii="Verdana" w:hAnsi="Verdana"/>
          <w:bCs/>
          <w:sz w:val="20"/>
          <w:szCs w:val="20"/>
          <w:lang w:val="en-GB"/>
        </w:rPr>
        <w:t>were</w:t>
      </w:r>
      <w:r w:rsidR="004C47FF" w:rsidRPr="00DA78C7">
        <w:rPr>
          <w:rFonts w:ascii="Verdana" w:hAnsi="Verdana"/>
          <w:bCs/>
          <w:sz w:val="20"/>
          <w:szCs w:val="20"/>
          <w:lang w:val="en-GB"/>
        </w:rPr>
        <w:t xml:space="preserve"> released; </w:t>
      </w:r>
      <w:r w:rsidR="009B4391" w:rsidRPr="00DA78C7">
        <w:rPr>
          <w:rFonts w:ascii="Verdana" w:hAnsi="Verdana"/>
          <w:bCs/>
          <w:sz w:val="20"/>
          <w:szCs w:val="20"/>
          <w:lang w:val="en-GB"/>
        </w:rPr>
        <w:t xml:space="preserve">3,582,369 square meters of land </w:t>
      </w:r>
      <w:r w:rsidR="00072811" w:rsidRPr="00DA78C7">
        <w:rPr>
          <w:rFonts w:ascii="Verdana" w:hAnsi="Verdana"/>
          <w:bCs/>
          <w:sz w:val="20"/>
          <w:szCs w:val="20"/>
          <w:lang w:val="en-GB"/>
        </w:rPr>
        <w:t>were</w:t>
      </w:r>
      <w:r w:rsidR="009B4391" w:rsidRPr="00DA78C7">
        <w:rPr>
          <w:rFonts w:ascii="Verdana" w:hAnsi="Verdana"/>
          <w:bCs/>
          <w:sz w:val="20"/>
          <w:szCs w:val="20"/>
          <w:lang w:val="en-GB"/>
        </w:rPr>
        <w:t xml:space="preserve"> surveyed/marked;</w:t>
      </w:r>
      <w:r w:rsidR="007E42A1" w:rsidRPr="00DA78C7">
        <w:rPr>
          <w:rFonts w:ascii="Verdana" w:hAnsi="Verdana"/>
          <w:bCs/>
          <w:sz w:val="20"/>
          <w:szCs w:val="20"/>
          <w:lang w:val="en-GB"/>
        </w:rPr>
        <w:t xml:space="preserve"> </w:t>
      </w:r>
      <w:r w:rsidR="00F03671" w:rsidRPr="00DA78C7">
        <w:rPr>
          <w:rFonts w:ascii="Verdana" w:hAnsi="Verdana"/>
          <w:bCs/>
          <w:sz w:val="20"/>
          <w:szCs w:val="20"/>
          <w:lang w:val="en-GB"/>
        </w:rPr>
        <w:t>a</w:t>
      </w:r>
      <w:r w:rsidR="009B4391" w:rsidRPr="00DA78C7">
        <w:rPr>
          <w:rFonts w:ascii="Verdana" w:hAnsi="Verdana"/>
          <w:bCs/>
          <w:sz w:val="20"/>
          <w:szCs w:val="20"/>
          <w:lang w:val="en-GB"/>
        </w:rPr>
        <w:t xml:space="preserve"> total of 1,989,193 squar</w:t>
      </w:r>
      <w:r w:rsidR="00072811" w:rsidRPr="00DA78C7">
        <w:rPr>
          <w:rFonts w:ascii="Verdana" w:hAnsi="Verdana"/>
          <w:bCs/>
          <w:sz w:val="20"/>
          <w:szCs w:val="20"/>
          <w:lang w:val="en-GB"/>
        </w:rPr>
        <w:t>e meters were cleared (surface:</w:t>
      </w:r>
      <w:r w:rsidR="009B4391" w:rsidRPr="00DA78C7">
        <w:rPr>
          <w:rFonts w:ascii="Verdana" w:hAnsi="Verdana"/>
          <w:bCs/>
          <w:sz w:val="20"/>
          <w:szCs w:val="20"/>
          <w:lang w:val="en-GB"/>
        </w:rPr>
        <w:t>684,750 square meters and sub-sur</w:t>
      </w:r>
      <w:r w:rsidR="00F03671" w:rsidRPr="00DA78C7">
        <w:rPr>
          <w:rFonts w:ascii="Verdana" w:hAnsi="Verdana"/>
          <w:bCs/>
          <w:sz w:val="20"/>
          <w:szCs w:val="20"/>
          <w:lang w:val="en-GB"/>
        </w:rPr>
        <w:t xml:space="preserve">face:1,304,443 square meters) and; </w:t>
      </w:r>
      <w:r w:rsidR="009B4391" w:rsidRPr="00DA78C7">
        <w:rPr>
          <w:rFonts w:ascii="Verdana" w:hAnsi="Verdana"/>
          <w:bCs/>
          <w:sz w:val="20"/>
          <w:szCs w:val="20"/>
          <w:lang w:val="en-GB"/>
        </w:rPr>
        <w:t>20 anti-personnel mines, 59 anti-tank mines, 4,519 UXO and 826 sub-munitions and 2,200 small arms ammunitions were destroyed.</w:t>
      </w:r>
      <w:r w:rsidR="00F03671" w:rsidRPr="00DA78C7">
        <w:rPr>
          <w:rFonts w:ascii="Verdana" w:hAnsi="Verdana"/>
          <w:bCs/>
          <w:sz w:val="20"/>
          <w:szCs w:val="20"/>
          <w:lang w:val="en-GB"/>
        </w:rPr>
        <w:t xml:space="preserve"> </w:t>
      </w:r>
      <w:r w:rsidR="00072811" w:rsidRPr="00DA78C7">
        <w:rPr>
          <w:rFonts w:ascii="Verdana" w:hAnsi="Verdana"/>
          <w:bCs/>
          <w:sz w:val="20"/>
          <w:szCs w:val="20"/>
          <w:lang w:val="en-GB"/>
        </w:rPr>
        <w:t>Moreover</w:t>
      </w:r>
      <w:r w:rsidR="00F03671" w:rsidRPr="00DA78C7">
        <w:rPr>
          <w:rFonts w:ascii="Verdana" w:hAnsi="Verdana"/>
          <w:bCs/>
          <w:sz w:val="20"/>
          <w:szCs w:val="20"/>
          <w:lang w:val="en-GB"/>
        </w:rPr>
        <w:t xml:space="preserve">, </w:t>
      </w:r>
      <w:r w:rsidR="009B4391" w:rsidRPr="00DA78C7">
        <w:rPr>
          <w:rFonts w:ascii="Verdana" w:hAnsi="Verdana"/>
          <w:bCs/>
          <w:sz w:val="20"/>
          <w:szCs w:val="20"/>
          <w:lang w:val="en-GB"/>
        </w:rPr>
        <w:t>14 Task Completion Reports and other technical reporting w</w:t>
      </w:r>
      <w:r w:rsidR="00072811" w:rsidRPr="00DA78C7">
        <w:rPr>
          <w:rFonts w:ascii="Verdana" w:hAnsi="Verdana"/>
          <w:bCs/>
          <w:sz w:val="20"/>
          <w:szCs w:val="20"/>
          <w:lang w:val="en-GB"/>
        </w:rPr>
        <w:t>ere</w:t>
      </w:r>
      <w:r w:rsidR="009B4391" w:rsidRPr="00DA78C7">
        <w:rPr>
          <w:rFonts w:ascii="Verdana" w:hAnsi="Verdana"/>
          <w:bCs/>
          <w:sz w:val="20"/>
          <w:szCs w:val="20"/>
          <w:lang w:val="en-GB"/>
        </w:rPr>
        <w:t xml:space="preserve"> submitted to the RMAC</w:t>
      </w:r>
      <w:r w:rsidR="00072811" w:rsidRPr="00DA78C7">
        <w:rPr>
          <w:rFonts w:ascii="Verdana" w:hAnsi="Verdana"/>
          <w:bCs/>
          <w:sz w:val="20"/>
          <w:szCs w:val="20"/>
          <w:lang w:val="en-GB"/>
        </w:rPr>
        <w:t>-</w:t>
      </w:r>
      <w:r w:rsidR="009B4391" w:rsidRPr="00DA78C7">
        <w:rPr>
          <w:rFonts w:ascii="Verdana" w:hAnsi="Verdana"/>
          <w:bCs/>
          <w:sz w:val="20"/>
          <w:szCs w:val="20"/>
          <w:lang w:val="en-GB"/>
        </w:rPr>
        <w:t>S.</w:t>
      </w:r>
    </w:p>
    <w:tbl>
      <w:tblPr>
        <w:tblW w:w="49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
        <w:gridCol w:w="826"/>
        <w:gridCol w:w="852"/>
        <w:gridCol w:w="992"/>
        <w:gridCol w:w="1134"/>
        <w:gridCol w:w="992"/>
        <w:gridCol w:w="1134"/>
        <w:gridCol w:w="566"/>
        <w:gridCol w:w="428"/>
        <w:gridCol w:w="697"/>
        <w:gridCol w:w="555"/>
        <w:gridCol w:w="874"/>
        <w:gridCol w:w="27"/>
      </w:tblGrid>
      <w:tr w:rsidR="00DA78C7" w:rsidRPr="00DA78C7" w:rsidTr="0045059B">
        <w:trPr>
          <w:gridAfter w:val="1"/>
          <w:wAfter w:w="15" w:type="pct"/>
          <w:trHeight w:val="195"/>
        </w:trPr>
        <w:tc>
          <w:tcPr>
            <w:tcW w:w="4985" w:type="pct"/>
            <w:gridSpan w:val="12"/>
            <w:shd w:val="clear" w:color="auto" w:fill="auto"/>
            <w:noWrap/>
            <w:vAlign w:val="center"/>
            <w:hideMark/>
          </w:tcPr>
          <w:p w:rsidR="00F53359" w:rsidRPr="00DA78C7" w:rsidRDefault="0047133A" w:rsidP="00D9288C">
            <w:pPr>
              <w:spacing w:after="0" w:line="240" w:lineRule="auto"/>
              <w:rPr>
                <w:rFonts w:ascii="Verdana" w:eastAsia="Times New Roman" w:hAnsi="Verdana" w:cs="Times New Roman"/>
                <w:lang w:val="en-GB" w:eastAsia="en-GB"/>
              </w:rPr>
            </w:pPr>
            <w:r w:rsidRPr="00DA78C7">
              <w:rPr>
                <w:rFonts w:ascii="Verdana" w:eastAsia="Times New Roman" w:hAnsi="Verdana" w:cs="Times New Roman"/>
                <w:b/>
                <w:bCs/>
                <w:lang w:val="en-GB" w:eastAsia="en-GB"/>
              </w:rPr>
              <w:t>C</w:t>
            </w:r>
            <w:r w:rsidR="00F53359" w:rsidRPr="00DA78C7">
              <w:rPr>
                <w:rFonts w:ascii="Verdana" w:eastAsia="Times New Roman" w:hAnsi="Verdana" w:cs="Times New Roman"/>
                <w:b/>
                <w:bCs/>
                <w:lang w:val="en-GB" w:eastAsia="en-GB"/>
              </w:rPr>
              <w:t>learance statistics</w:t>
            </w:r>
            <w:r w:rsidR="00F03671" w:rsidRPr="00DA78C7">
              <w:rPr>
                <w:rFonts w:ascii="Verdana" w:eastAsia="Times New Roman" w:hAnsi="Verdana" w:cs="Times New Roman"/>
                <w:b/>
                <w:bCs/>
                <w:lang w:val="en-GB" w:eastAsia="en-GB"/>
              </w:rPr>
              <w:t xml:space="preserve"> April 2011-September  2011</w:t>
            </w:r>
          </w:p>
        </w:tc>
      </w:tr>
      <w:tr w:rsidR="00DA78C7" w:rsidRPr="00DA78C7" w:rsidTr="00DA78C7">
        <w:trPr>
          <w:gridBefore w:val="1"/>
          <w:wBefore w:w="13" w:type="pct"/>
          <w:trHeight w:val="844"/>
        </w:trPr>
        <w:tc>
          <w:tcPr>
            <w:tcW w:w="454" w:type="pct"/>
            <w:shd w:val="clear" w:color="auto" w:fill="auto"/>
            <w:hideMark/>
          </w:tcPr>
          <w:p w:rsidR="004C47FF" w:rsidRPr="00DA78C7" w:rsidRDefault="004C47FF" w:rsidP="00F957FC">
            <w:pPr>
              <w:spacing w:after="0" w:line="240" w:lineRule="auto"/>
              <w:rPr>
                <w:rFonts w:ascii="Verdana" w:eastAsia="Times New Roman" w:hAnsi="Verdana" w:cs="Times New Roman"/>
                <w:b/>
                <w:bCs/>
                <w:sz w:val="16"/>
                <w:szCs w:val="16"/>
                <w:lang w:val="en-GB" w:eastAsia="en-GB"/>
              </w:rPr>
            </w:pPr>
            <w:r w:rsidRPr="00DA78C7">
              <w:rPr>
                <w:rFonts w:ascii="Verdana" w:eastAsia="Times New Roman" w:hAnsi="Verdana" w:cs="Times New Roman"/>
                <w:b/>
                <w:bCs/>
                <w:sz w:val="16"/>
                <w:szCs w:val="16"/>
                <w:lang w:val="en-GB" w:eastAsia="en-GB"/>
              </w:rPr>
              <w:t xml:space="preserve"> Month</w:t>
            </w:r>
          </w:p>
        </w:tc>
        <w:tc>
          <w:tcPr>
            <w:tcW w:w="468" w:type="pct"/>
            <w:shd w:val="clear" w:color="auto" w:fill="auto"/>
            <w:hideMark/>
          </w:tcPr>
          <w:p w:rsidR="004C47FF" w:rsidRPr="00DA78C7" w:rsidRDefault="004C47FF" w:rsidP="00F957FC">
            <w:pPr>
              <w:spacing w:after="0" w:line="240" w:lineRule="auto"/>
              <w:rPr>
                <w:rFonts w:ascii="Verdana" w:eastAsia="Times New Roman" w:hAnsi="Verdana" w:cs="Times New Roman"/>
                <w:b/>
                <w:bCs/>
                <w:sz w:val="16"/>
                <w:szCs w:val="16"/>
                <w:lang w:val="en-GB" w:eastAsia="en-GB"/>
              </w:rPr>
            </w:pPr>
            <w:r w:rsidRPr="00DA78C7">
              <w:rPr>
                <w:rFonts w:ascii="Verdana" w:eastAsia="Times New Roman" w:hAnsi="Verdana" w:cs="Times New Roman"/>
                <w:b/>
                <w:bCs/>
                <w:sz w:val="16"/>
                <w:szCs w:val="16"/>
                <w:lang w:val="en-GB" w:eastAsia="en-GB"/>
              </w:rPr>
              <w:t>Tasks Completed (</w:t>
            </w:r>
            <w:proofErr w:type="spellStart"/>
            <w:r w:rsidRPr="00DA78C7">
              <w:rPr>
                <w:rFonts w:ascii="Verdana" w:eastAsia="Times New Roman" w:hAnsi="Verdana" w:cs="Times New Roman"/>
                <w:b/>
                <w:bCs/>
                <w:sz w:val="16"/>
                <w:szCs w:val="16"/>
                <w:lang w:val="en-GB" w:eastAsia="en-GB"/>
              </w:rPr>
              <w:t>ea</w:t>
            </w:r>
            <w:proofErr w:type="spellEnd"/>
            <w:r w:rsidRPr="00DA78C7">
              <w:rPr>
                <w:rFonts w:ascii="Verdana" w:eastAsia="Times New Roman" w:hAnsi="Verdana" w:cs="Times New Roman"/>
                <w:b/>
                <w:bCs/>
                <w:sz w:val="16"/>
                <w:szCs w:val="16"/>
                <w:lang w:val="en-GB" w:eastAsia="en-GB"/>
              </w:rPr>
              <w:t>)</w:t>
            </w:r>
          </w:p>
        </w:tc>
        <w:tc>
          <w:tcPr>
            <w:tcW w:w="545" w:type="pct"/>
          </w:tcPr>
          <w:p w:rsidR="004C47FF" w:rsidRPr="00DA78C7" w:rsidRDefault="004C47FF" w:rsidP="00F957FC">
            <w:pPr>
              <w:spacing w:after="0" w:line="240" w:lineRule="auto"/>
              <w:rPr>
                <w:rFonts w:ascii="Verdana" w:eastAsia="Times New Roman" w:hAnsi="Verdana" w:cs="Times New Roman"/>
                <w:b/>
                <w:bCs/>
                <w:sz w:val="16"/>
                <w:szCs w:val="16"/>
                <w:lang w:val="en-GB" w:eastAsia="en-GB"/>
              </w:rPr>
            </w:pPr>
            <w:r w:rsidRPr="00DA78C7">
              <w:rPr>
                <w:rFonts w:ascii="Verdana" w:eastAsia="Times New Roman" w:hAnsi="Verdana" w:cs="Times New Roman"/>
                <w:b/>
                <w:bCs/>
                <w:sz w:val="16"/>
                <w:szCs w:val="16"/>
                <w:lang w:val="en-GB" w:eastAsia="en-GB"/>
              </w:rPr>
              <w:t>Released</w:t>
            </w:r>
          </w:p>
          <w:p w:rsidR="004C47FF" w:rsidRPr="00DA78C7" w:rsidRDefault="004C47FF" w:rsidP="00F957FC">
            <w:pPr>
              <w:spacing w:after="0" w:line="240" w:lineRule="auto"/>
              <w:rPr>
                <w:rFonts w:ascii="Verdana" w:eastAsia="Times New Roman" w:hAnsi="Verdana" w:cs="Times New Roman"/>
                <w:b/>
                <w:bCs/>
                <w:sz w:val="16"/>
                <w:szCs w:val="16"/>
                <w:lang w:val="en-GB" w:eastAsia="en-GB"/>
              </w:rPr>
            </w:pPr>
            <w:r w:rsidRPr="00DA78C7">
              <w:rPr>
                <w:rFonts w:ascii="Verdana" w:eastAsia="Times New Roman" w:hAnsi="Verdana" w:cs="Times New Roman"/>
                <w:b/>
                <w:bCs/>
                <w:sz w:val="16"/>
                <w:szCs w:val="16"/>
                <w:lang w:val="en-GB" w:eastAsia="en-GB"/>
              </w:rPr>
              <w:t>M²</w:t>
            </w:r>
          </w:p>
        </w:tc>
        <w:tc>
          <w:tcPr>
            <w:tcW w:w="623" w:type="pct"/>
          </w:tcPr>
          <w:p w:rsidR="00F957FC" w:rsidRPr="00DA78C7" w:rsidRDefault="004C47FF" w:rsidP="00F957FC">
            <w:pPr>
              <w:spacing w:after="0" w:line="240" w:lineRule="auto"/>
              <w:rPr>
                <w:rFonts w:ascii="Verdana" w:eastAsia="Times New Roman" w:hAnsi="Verdana" w:cs="Times New Roman"/>
                <w:b/>
                <w:bCs/>
                <w:sz w:val="16"/>
                <w:szCs w:val="16"/>
                <w:lang w:val="en-GB" w:eastAsia="en-GB"/>
              </w:rPr>
            </w:pPr>
            <w:r w:rsidRPr="00DA78C7">
              <w:rPr>
                <w:rFonts w:ascii="Verdana" w:eastAsia="Times New Roman" w:hAnsi="Verdana" w:cs="Times New Roman"/>
                <w:b/>
                <w:bCs/>
                <w:sz w:val="16"/>
                <w:szCs w:val="16"/>
                <w:lang w:val="en-GB" w:eastAsia="en-GB"/>
              </w:rPr>
              <w:t>Surveyed</w:t>
            </w:r>
          </w:p>
          <w:p w:rsidR="004C47FF" w:rsidRPr="00DA78C7" w:rsidRDefault="004C47FF" w:rsidP="00F957FC">
            <w:pPr>
              <w:spacing w:after="0" w:line="240" w:lineRule="auto"/>
              <w:rPr>
                <w:rFonts w:ascii="Verdana" w:eastAsia="Times New Roman" w:hAnsi="Verdana" w:cs="Times New Roman"/>
                <w:b/>
                <w:bCs/>
                <w:sz w:val="16"/>
                <w:szCs w:val="16"/>
                <w:lang w:val="en-GB" w:eastAsia="en-GB"/>
              </w:rPr>
            </w:pPr>
            <w:r w:rsidRPr="00DA78C7">
              <w:rPr>
                <w:rFonts w:ascii="Verdana" w:eastAsia="Times New Roman" w:hAnsi="Verdana" w:cs="Times New Roman"/>
                <w:b/>
                <w:bCs/>
                <w:sz w:val="16"/>
                <w:szCs w:val="16"/>
                <w:lang w:val="en-GB" w:eastAsia="en-GB"/>
              </w:rPr>
              <w:t>-marked M²</w:t>
            </w:r>
          </w:p>
        </w:tc>
        <w:tc>
          <w:tcPr>
            <w:tcW w:w="545" w:type="pct"/>
          </w:tcPr>
          <w:p w:rsidR="004C47FF" w:rsidRPr="00DA78C7" w:rsidRDefault="004C47FF" w:rsidP="00F957FC">
            <w:pPr>
              <w:spacing w:after="0" w:line="240" w:lineRule="auto"/>
              <w:rPr>
                <w:rFonts w:ascii="Verdana" w:eastAsia="Times New Roman" w:hAnsi="Verdana" w:cs="Times New Roman"/>
                <w:b/>
                <w:bCs/>
                <w:sz w:val="16"/>
                <w:szCs w:val="16"/>
                <w:lang w:val="en-GB" w:eastAsia="en-GB"/>
              </w:rPr>
            </w:pPr>
            <w:r w:rsidRPr="00DA78C7">
              <w:rPr>
                <w:rFonts w:ascii="Verdana" w:eastAsia="Times New Roman" w:hAnsi="Verdana" w:cs="Times New Roman"/>
                <w:b/>
                <w:bCs/>
                <w:sz w:val="16"/>
                <w:szCs w:val="16"/>
                <w:lang w:val="en-GB" w:eastAsia="en-GB"/>
              </w:rPr>
              <w:t>Surface m²</w:t>
            </w:r>
          </w:p>
        </w:tc>
        <w:tc>
          <w:tcPr>
            <w:tcW w:w="623" w:type="pct"/>
          </w:tcPr>
          <w:p w:rsidR="004C47FF" w:rsidRPr="00DA78C7" w:rsidRDefault="004C47FF" w:rsidP="00F957FC">
            <w:pPr>
              <w:spacing w:after="0" w:line="240" w:lineRule="auto"/>
              <w:rPr>
                <w:rFonts w:ascii="Verdana" w:eastAsia="Times New Roman" w:hAnsi="Verdana" w:cs="Times New Roman"/>
                <w:b/>
                <w:bCs/>
                <w:sz w:val="16"/>
                <w:szCs w:val="16"/>
                <w:lang w:val="en-GB" w:eastAsia="en-GB"/>
              </w:rPr>
            </w:pPr>
            <w:r w:rsidRPr="00DA78C7">
              <w:rPr>
                <w:rFonts w:ascii="Verdana" w:eastAsia="Times New Roman" w:hAnsi="Verdana" w:cs="Times New Roman"/>
                <w:b/>
                <w:bCs/>
                <w:sz w:val="16"/>
                <w:szCs w:val="16"/>
                <w:lang w:val="en-GB" w:eastAsia="en-GB"/>
              </w:rPr>
              <w:t>Sub-Surface m²</w:t>
            </w:r>
          </w:p>
        </w:tc>
        <w:tc>
          <w:tcPr>
            <w:tcW w:w="311" w:type="pct"/>
          </w:tcPr>
          <w:p w:rsidR="004C47FF" w:rsidRPr="00DA78C7" w:rsidRDefault="004C47FF" w:rsidP="00F957FC">
            <w:pPr>
              <w:spacing w:after="0" w:line="240" w:lineRule="auto"/>
              <w:rPr>
                <w:rFonts w:ascii="Verdana" w:eastAsia="Times New Roman" w:hAnsi="Verdana" w:cs="Times New Roman"/>
                <w:b/>
                <w:bCs/>
                <w:sz w:val="16"/>
                <w:szCs w:val="16"/>
                <w:lang w:val="en-GB" w:eastAsia="en-GB"/>
              </w:rPr>
            </w:pPr>
            <w:r w:rsidRPr="00DA78C7">
              <w:rPr>
                <w:rFonts w:ascii="Verdana" w:eastAsia="Times New Roman" w:hAnsi="Verdana" w:cs="Times New Roman"/>
                <w:b/>
                <w:bCs/>
                <w:sz w:val="16"/>
                <w:szCs w:val="16"/>
                <w:lang w:val="en-GB" w:eastAsia="en-GB"/>
              </w:rPr>
              <w:t>AP mines (</w:t>
            </w:r>
            <w:proofErr w:type="spellStart"/>
            <w:r w:rsidRPr="00DA78C7">
              <w:rPr>
                <w:rFonts w:ascii="Verdana" w:eastAsia="Times New Roman" w:hAnsi="Verdana" w:cs="Times New Roman"/>
                <w:b/>
                <w:bCs/>
                <w:sz w:val="16"/>
                <w:szCs w:val="16"/>
                <w:lang w:val="en-GB" w:eastAsia="en-GB"/>
              </w:rPr>
              <w:t>ea</w:t>
            </w:r>
            <w:proofErr w:type="spellEnd"/>
            <w:r w:rsidRPr="00DA78C7">
              <w:rPr>
                <w:rFonts w:ascii="Verdana" w:eastAsia="Times New Roman" w:hAnsi="Verdana" w:cs="Times New Roman"/>
                <w:b/>
                <w:bCs/>
                <w:sz w:val="16"/>
                <w:szCs w:val="16"/>
                <w:lang w:val="en-GB" w:eastAsia="en-GB"/>
              </w:rPr>
              <w:t>)</w:t>
            </w:r>
          </w:p>
        </w:tc>
        <w:tc>
          <w:tcPr>
            <w:tcW w:w="235" w:type="pct"/>
          </w:tcPr>
          <w:p w:rsidR="004C47FF" w:rsidRPr="00DA78C7" w:rsidRDefault="004C47FF" w:rsidP="00F957FC">
            <w:pPr>
              <w:spacing w:after="0" w:line="240" w:lineRule="auto"/>
              <w:rPr>
                <w:rFonts w:ascii="Verdana" w:eastAsia="Times New Roman" w:hAnsi="Verdana" w:cs="Times New Roman"/>
                <w:b/>
                <w:bCs/>
                <w:sz w:val="16"/>
                <w:szCs w:val="16"/>
                <w:lang w:val="en-GB" w:eastAsia="en-GB"/>
              </w:rPr>
            </w:pPr>
            <w:r w:rsidRPr="00DA78C7">
              <w:rPr>
                <w:rFonts w:ascii="Verdana" w:eastAsia="Times New Roman" w:hAnsi="Verdana" w:cs="Times New Roman"/>
                <w:b/>
                <w:bCs/>
                <w:sz w:val="16"/>
                <w:szCs w:val="16"/>
                <w:lang w:val="en-GB" w:eastAsia="en-GB"/>
              </w:rPr>
              <w:t>AT mines (</w:t>
            </w:r>
            <w:proofErr w:type="spellStart"/>
            <w:r w:rsidRPr="00DA78C7">
              <w:rPr>
                <w:rFonts w:ascii="Verdana" w:eastAsia="Times New Roman" w:hAnsi="Verdana" w:cs="Times New Roman"/>
                <w:b/>
                <w:bCs/>
                <w:sz w:val="16"/>
                <w:szCs w:val="16"/>
                <w:lang w:val="en-GB" w:eastAsia="en-GB"/>
              </w:rPr>
              <w:t>ea</w:t>
            </w:r>
            <w:proofErr w:type="spellEnd"/>
            <w:r w:rsidRPr="00DA78C7">
              <w:rPr>
                <w:rFonts w:ascii="Verdana" w:eastAsia="Times New Roman" w:hAnsi="Verdana" w:cs="Times New Roman"/>
                <w:b/>
                <w:bCs/>
                <w:sz w:val="16"/>
                <w:szCs w:val="16"/>
                <w:lang w:val="en-GB" w:eastAsia="en-GB"/>
              </w:rPr>
              <w:t>)</w:t>
            </w:r>
          </w:p>
        </w:tc>
        <w:tc>
          <w:tcPr>
            <w:tcW w:w="383" w:type="pct"/>
          </w:tcPr>
          <w:p w:rsidR="004C47FF" w:rsidRPr="00DA78C7" w:rsidRDefault="004C47FF" w:rsidP="00F957FC">
            <w:pPr>
              <w:spacing w:after="0" w:line="240" w:lineRule="auto"/>
              <w:rPr>
                <w:rFonts w:ascii="Verdana" w:eastAsia="Times New Roman" w:hAnsi="Verdana" w:cs="Times New Roman"/>
                <w:b/>
                <w:bCs/>
                <w:sz w:val="16"/>
                <w:szCs w:val="16"/>
                <w:lang w:val="en-GB" w:eastAsia="en-GB"/>
              </w:rPr>
            </w:pPr>
            <w:r w:rsidRPr="00DA78C7">
              <w:rPr>
                <w:rFonts w:ascii="Verdana" w:eastAsia="Times New Roman" w:hAnsi="Verdana" w:cs="Times New Roman"/>
                <w:b/>
                <w:bCs/>
                <w:sz w:val="16"/>
                <w:szCs w:val="16"/>
                <w:lang w:val="en-GB" w:eastAsia="en-GB"/>
              </w:rPr>
              <w:t>UXO (</w:t>
            </w:r>
            <w:proofErr w:type="spellStart"/>
            <w:r w:rsidRPr="00DA78C7">
              <w:rPr>
                <w:rFonts w:ascii="Verdana" w:eastAsia="Times New Roman" w:hAnsi="Verdana" w:cs="Times New Roman"/>
                <w:b/>
                <w:bCs/>
                <w:sz w:val="16"/>
                <w:szCs w:val="16"/>
                <w:lang w:val="en-GB" w:eastAsia="en-GB"/>
              </w:rPr>
              <w:t>ea</w:t>
            </w:r>
            <w:proofErr w:type="spellEnd"/>
            <w:r w:rsidRPr="00DA78C7">
              <w:rPr>
                <w:rFonts w:ascii="Verdana" w:eastAsia="Times New Roman" w:hAnsi="Verdana" w:cs="Times New Roman"/>
                <w:b/>
                <w:bCs/>
                <w:sz w:val="16"/>
                <w:szCs w:val="16"/>
                <w:lang w:val="en-GB" w:eastAsia="en-GB"/>
              </w:rPr>
              <w:t>)</w:t>
            </w:r>
          </w:p>
        </w:tc>
        <w:tc>
          <w:tcPr>
            <w:tcW w:w="305" w:type="pct"/>
          </w:tcPr>
          <w:p w:rsidR="004C47FF" w:rsidRPr="00DA78C7" w:rsidRDefault="00F957FC" w:rsidP="00F957FC">
            <w:pPr>
              <w:spacing w:after="0" w:line="240" w:lineRule="auto"/>
              <w:rPr>
                <w:rFonts w:ascii="Verdana" w:eastAsia="Times New Roman" w:hAnsi="Verdana" w:cs="Times New Roman"/>
                <w:b/>
                <w:bCs/>
                <w:sz w:val="16"/>
                <w:szCs w:val="16"/>
                <w:lang w:val="en-GB" w:eastAsia="en-GB"/>
              </w:rPr>
            </w:pPr>
            <w:proofErr w:type="spellStart"/>
            <w:r w:rsidRPr="00DA78C7">
              <w:rPr>
                <w:rFonts w:ascii="Verdana" w:eastAsia="Times New Roman" w:hAnsi="Verdana" w:cs="Times New Roman"/>
                <w:b/>
                <w:bCs/>
                <w:sz w:val="16"/>
                <w:szCs w:val="16"/>
                <w:lang w:val="en-GB" w:eastAsia="en-GB"/>
              </w:rPr>
              <w:t>Sub</w:t>
            </w:r>
            <w:r w:rsidR="004C47FF" w:rsidRPr="00DA78C7">
              <w:rPr>
                <w:rFonts w:ascii="Verdana" w:eastAsia="Times New Roman" w:hAnsi="Verdana" w:cs="Times New Roman"/>
                <w:b/>
                <w:bCs/>
                <w:sz w:val="16"/>
                <w:szCs w:val="16"/>
                <w:lang w:val="en-GB" w:eastAsia="en-GB"/>
              </w:rPr>
              <w:t>munitions</w:t>
            </w:r>
            <w:proofErr w:type="spellEnd"/>
            <w:r w:rsidR="004C47FF" w:rsidRPr="00DA78C7">
              <w:rPr>
                <w:rFonts w:ascii="Verdana" w:eastAsia="Times New Roman" w:hAnsi="Verdana" w:cs="Times New Roman"/>
                <w:b/>
                <w:bCs/>
                <w:sz w:val="16"/>
                <w:szCs w:val="16"/>
                <w:lang w:val="en-GB" w:eastAsia="en-GB"/>
              </w:rPr>
              <w:t xml:space="preserve">   (</w:t>
            </w:r>
            <w:proofErr w:type="spellStart"/>
            <w:r w:rsidR="004C47FF" w:rsidRPr="00DA78C7">
              <w:rPr>
                <w:rFonts w:ascii="Verdana" w:eastAsia="Times New Roman" w:hAnsi="Verdana" w:cs="Times New Roman"/>
                <w:b/>
                <w:bCs/>
                <w:sz w:val="16"/>
                <w:szCs w:val="16"/>
                <w:lang w:val="en-GB" w:eastAsia="en-GB"/>
              </w:rPr>
              <w:t>ea</w:t>
            </w:r>
            <w:proofErr w:type="spellEnd"/>
            <w:r w:rsidR="004C47FF" w:rsidRPr="00DA78C7">
              <w:rPr>
                <w:rFonts w:ascii="Verdana" w:eastAsia="Times New Roman" w:hAnsi="Verdana" w:cs="Times New Roman"/>
                <w:b/>
                <w:bCs/>
                <w:sz w:val="16"/>
                <w:szCs w:val="16"/>
                <w:lang w:val="en-GB" w:eastAsia="en-GB"/>
              </w:rPr>
              <w:t>)</w:t>
            </w:r>
          </w:p>
        </w:tc>
        <w:tc>
          <w:tcPr>
            <w:tcW w:w="495" w:type="pct"/>
            <w:gridSpan w:val="2"/>
            <w:shd w:val="clear" w:color="auto" w:fill="auto"/>
          </w:tcPr>
          <w:p w:rsidR="004C47FF" w:rsidRPr="00DA78C7" w:rsidRDefault="00F957FC" w:rsidP="00F957FC">
            <w:pPr>
              <w:spacing w:after="0" w:line="240" w:lineRule="auto"/>
              <w:rPr>
                <w:rFonts w:ascii="Verdana" w:eastAsia="Times New Roman" w:hAnsi="Verdana" w:cs="Times New Roman"/>
                <w:b/>
                <w:bCs/>
                <w:sz w:val="16"/>
                <w:szCs w:val="16"/>
                <w:lang w:val="en-GB" w:eastAsia="en-GB"/>
              </w:rPr>
            </w:pPr>
            <w:r w:rsidRPr="00DA78C7">
              <w:rPr>
                <w:rFonts w:ascii="Verdana" w:eastAsia="Times New Roman" w:hAnsi="Verdana" w:cs="Times New Roman"/>
                <w:b/>
                <w:bCs/>
                <w:sz w:val="16"/>
                <w:szCs w:val="16"/>
                <w:lang w:val="en-GB" w:eastAsia="en-GB"/>
              </w:rPr>
              <w:t>small arms ammunitions</w:t>
            </w:r>
          </w:p>
        </w:tc>
      </w:tr>
      <w:tr w:rsidR="00DA78C7" w:rsidRPr="00DA78C7" w:rsidTr="00DA78C7">
        <w:trPr>
          <w:gridBefore w:val="1"/>
          <w:wBefore w:w="13" w:type="pct"/>
          <w:trHeight w:val="300"/>
        </w:trPr>
        <w:tc>
          <w:tcPr>
            <w:tcW w:w="454" w:type="pct"/>
            <w:shd w:val="clear" w:color="auto" w:fill="auto"/>
            <w:noWrap/>
            <w:hideMark/>
          </w:tcPr>
          <w:p w:rsidR="004C47FF" w:rsidRPr="00DA78C7" w:rsidRDefault="004C47FF" w:rsidP="00F957FC">
            <w:pPr>
              <w:spacing w:after="0" w:line="240" w:lineRule="auto"/>
              <w:rPr>
                <w:rFonts w:ascii="Verdana" w:eastAsia="Times New Roman" w:hAnsi="Verdana" w:cs="Times New Roman"/>
                <w:b/>
                <w:bCs/>
                <w:sz w:val="16"/>
                <w:szCs w:val="16"/>
                <w:lang w:val="en-GB" w:eastAsia="en-GB"/>
              </w:rPr>
            </w:pPr>
            <w:r w:rsidRPr="00DA78C7">
              <w:rPr>
                <w:rFonts w:ascii="Verdana" w:eastAsia="Times New Roman" w:hAnsi="Verdana" w:cs="Times New Roman"/>
                <w:b/>
                <w:bCs/>
                <w:sz w:val="16"/>
                <w:szCs w:val="16"/>
                <w:lang w:val="en-GB" w:eastAsia="en-GB"/>
              </w:rPr>
              <w:t>April 2011-September  2011</w:t>
            </w:r>
          </w:p>
        </w:tc>
        <w:tc>
          <w:tcPr>
            <w:tcW w:w="468" w:type="pct"/>
            <w:shd w:val="clear" w:color="auto" w:fill="auto"/>
            <w:noWrap/>
            <w:hideMark/>
          </w:tcPr>
          <w:p w:rsidR="004C47FF" w:rsidRPr="00DA78C7" w:rsidRDefault="004C47FF" w:rsidP="00F957FC">
            <w:pPr>
              <w:spacing w:after="0" w:line="240" w:lineRule="auto"/>
              <w:rPr>
                <w:rFonts w:ascii="Verdana" w:eastAsia="Times New Roman" w:hAnsi="Verdana" w:cs="Times New Roman"/>
                <w:sz w:val="16"/>
                <w:szCs w:val="16"/>
                <w:lang w:val="en-GB" w:eastAsia="en-GB"/>
              </w:rPr>
            </w:pPr>
            <w:r w:rsidRPr="00DA78C7">
              <w:rPr>
                <w:rFonts w:ascii="Verdana" w:eastAsia="Times New Roman" w:hAnsi="Verdana" w:cs="Times New Roman"/>
                <w:sz w:val="16"/>
                <w:szCs w:val="16"/>
                <w:lang w:val="en-GB" w:eastAsia="en-GB"/>
              </w:rPr>
              <w:t>14</w:t>
            </w:r>
          </w:p>
        </w:tc>
        <w:tc>
          <w:tcPr>
            <w:tcW w:w="545" w:type="pct"/>
          </w:tcPr>
          <w:p w:rsidR="004C47FF" w:rsidRPr="00DA78C7" w:rsidRDefault="004C47FF" w:rsidP="00F957FC">
            <w:pPr>
              <w:spacing w:after="0" w:line="240" w:lineRule="auto"/>
              <w:rPr>
                <w:rFonts w:ascii="Verdana" w:eastAsia="Times New Roman" w:hAnsi="Verdana" w:cs="Times New Roman"/>
                <w:sz w:val="16"/>
                <w:szCs w:val="16"/>
                <w:lang w:val="en-GB" w:eastAsia="en-GB"/>
              </w:rPr>
            </w:pPr>
            <w:r w:rsidRPr="00DA78C7">
              <w:rPr>
                <w:rFonts w:ascii="Verdana" w:eastAsia="Times New Roman" w:hAnsi="Verdana" w:cs="Times New Roman"/>
                <w:sz w:val="16"/>
                <w:szCs w:val="16"/>
                <w:lang w:val="en-GB" w:eastAsia="en-GB"/>
              </w:rPr>
              <w:t>210,300</w:t>
            </w:r>
          </w:p>
        </w:tc>
        <w:tc>
          <w:tcPr>
            <w:tcW w:w="623" w:type="pct"/>
          </w:tcPr>
          <w:p w:rsidR="004C47FF" w:rsidRPr="00DA78C7" w:rsidRDefault="004C47FF" w:rsidP="00F957FC">
            <w:pPr>
              <w:spacing w:after="0" w:line="240" w:lineRule="auto"/>
              <w:rPr>
                <w:rFonts w:ascii="Verdana" w:eastAsia="Times New Roman" w:hAnsi="Verdana" w:cs="Times New Roman"/>
                <w:sz w:val="16"/>
                <w:szCs w:val="16"/>
                <w:lang w:val="en-GB" w:eastAsia="en-GB"/>
              </w:rPr>
            </w:pPr>
            <w:r w:rsidRPr="00DA78C7">
              <w:rPr>
                <w:rFonts w:ascii="Verdana" w:eastAsia="Times New Roman" w:hAnsi="Verdana" w:cs="Times New Roman"/>
                <w:sz w:val="16"/>
                <w:szCs w:val="16"/>
                <w:lang w:val="en-GB" w:eastAsia="en-GB"/>
              </w:rPr>
              <w:t>3,582,369</w:t>
            </w:r>
          </w:p>
        </w:tc>
        <w:tc>
          <w:tcPr>
            <w:tcW w:w="545" w:type="pct"/>
          </w:tcPr>
          <w:p w:rsidR="004C47FF" w:rsidRPr="00DA78C7" w:rsidRDefault="004C47FF" w:rsidP="00F957FC">
            <w:pPr>
              <w:spacing w:after="0" w:line="240" w:lineRule="auto"/>
              <w:rPr>
                <w:rFonts w:ascii="Verdana" w:eastAsia="Times New Roman" w:hAnsi="Verdana" w:cs="Times New Roman"/>
                <w:sz w:val="16"/>
                <w:szCs w:val="16"/>
                <w:lang w:val="en-GB" w:eastAsia="en-GB"/>
              </w:rPr>
            </w:pPr>
            <w:r w:rsidRPr="00DA78C7">
              <w:rPr>
                <w:rFonts w:ascii="Verdana" w:eastAsia="Times New Roman" w:hAnsi="Verdana" w:cs="Times New Roman"/>
                <w:sz w:val="16"/>
                <w:szCs w:val="16"/>
                <w:lang w:val="en-GB" w:eastAsia="en-GB"/>
              </w:rPr>
              <w:t>684,750</w:t>
            </w:r>
          </w:p>
        </w:tc>
        <w:tc>
          <w:tcPr>
            <w:tcW w:w="623" w:type="pct"/>
          </w:tcPr>
          <w:p w:rsidR="004C47FF" w:rsidRPr="00DA78C7" w:rsidRDefault="004C47FF" w:rsidP="00F957FC">
            <w:pPr>
              <w:spacing w:after="0" w:line="240" w:lineRule="auto"/>
              <w:rPr>
                <w:rFonts w:ascii="Verdana" w:eastAsia="Times New Roman" w:hAnsi="Verdana" w:cs="Times New Roman"/>
                <w:sz w:val="16"/>
                <w:szCs w:val="16"/>
                <w:lang w:val="en-GB" w:eastAsia="en-GB"/>
              </w:rPr>
            </w:pPr>
            <w:r w:rsidRPr="00DA78C7">
              <w:rPr>
                <w:rFonts w:ascii="Verdana" w:eastAsia="Times New Roman" w:hAnsi="Verdana" w:cs="Times New Roman"/>
                <w:sz w:val="16"/>
                <w:szCs w:val="16"/>
                <w:lang w:val="en-GB" w:eastAsia="en-GB"/>
              </w:rPr>
              <w:t>1,304,443</w:t>
            </w:r>
          </w:p>
        </w:tc>
        <w:tc>
          <w:tcPr>
            <w:tcW w:w="311" w:type="pct"/>
          </w:tcPr>
          <w:p w:rsidR="004C47FF" w:rsidRPr="00DA78C7" w:rsidRDefault="004C47FF" w:rsidP="00F957FC">
            <w:pPr>
              <w:spacing w:after="0" w:line="240" w:lineRule="auto"/>
              <w:rPr>
                <w:rFonts w:ascii="Verdana" w:eastAsia="Times New Roman" w:hAnsi="Verdana" w:cs="Times New Roman"/>
                <w:sz w:val="16"/>
                <w:szCs w:val="16"/>
                <w:lang w:val="en-GB" w:eastAsia="en-GB"/>
              </w:rPr>
            </w:pPr>
            <w:r w:rsidRPr="00DA78C7">
              <w:rPr>
                <w:rFonts w:ascii="Verdana" w:eastAsia="Times New Roman" w:hAnsi="Verdana" w:cs="Times New Roman"/>
                <w:sz w:val="16"/>
                <w:szCs w:val="16"/>
                <w:lang w:val="en-GB" w:eastAsia="en-GB"/>
              </w:rPr>
              <w:t>20</w:t>
            </w:r>
          </w:p>
        </w:tc>
        <w:tc>
          <w:tcPr>
            <w:tcW w:w="235" w:type="pct"/>
          </w:tcPr>
          <w:p w:rsidR="004C47FF" w:rsidRPr="00DA78C7" w:rsidRDefault="004C47FF" w:rsidP="00F957FC">
            <w:pPr>
              <w:spacing w:after="0" w:line="240" w:lineRule="auto"/>
              <w:rPr>
                <w:rFonts w:ascii="Verdana" w:eastAsia="Times New Roman" w:hAnsi="Verdana" w:cs="Times New Roman"/>
                <w:sz w:val="16"/>
                <w:szCs w:val="16"/>
                <w:lang w:val="en-GB" w:eastAsia="en-GB"/>
              </w:rPr>
            </w:pPr>
            <w:r w:rsidRPr="00DA78C7">
              <w:rPr>
                <w:rFonts w:ascii="Verdana" w:eastAsia="Times New Roman" w:hAnsi="Verdana" w:cs="Times New Roman"/>
                <w:sz w:val="16"/>
                <w:szCs w:val="16"/>
                <w:lang w:val="en-GB" w:eastAsia="en-GB"/>
              </w:rPr>
              <w:t>59</w:t>
            </w:r>
          </w:p>
        </w:tc>
        <w:tc>
          <w:tcPr>
            <w:tcW w:w="383" w:type="pct"/>
          </w:tcPr>
          <w:p w:rsidR="004C47FF" w:rsidRPr="00DA78C7" w:rsidRDefault="004C47FF" w:rsidP="00F957FC">
            <w:pPr>
              <w:spacing w:after="0" w:line="240" w:lineRule="auto"/>
              <w:rPr>
                <w:rFonts w:ascii="Verdana" w:eastAsia="Times New Roman" w:hAnsi="Verdana" w:cs="Times New Roman"/>
                <w:sz w:val="16"/>
                <w:szCs w:val="16"/>
                <w:lang w:val="en-GB" w:eastAsia="en-GB"/>
              </w:rPr>
            </w:pPr>
            <w:r w:rsidRPr="00DA78C7">
              <w:rPr>
                <w:rFonts w:ascii="Verdana" w:eastAsia="Times New Roman" w:hAnsi="Verdana" w:cs="Times New Roman"/>
                <w:sz w:val="16"/>
                <w:szCs w:val="16"/>
                <w:lang w:val="en-GB" w:eastAsia="en-GB"/>
              </w:rPr>
              <w:t>4,519</w:t>
            </w:r>
          </w:p>
        </w:tc>
        <w:tc>
          <w:tcPr>
            <w:tcW w:w="305" w:type="pct"/>
          </w:tcPr>
          <w:p w:rsidR="004C47FF" w:rsidRPr="00DA78C7" w:rsidRDefault="004C47FF" w:rsidP="00F957FC">
            <w:pPr>
              <w:spacing w:after="0" w:line="240" w:lineRule="auto"/>
              <w:rPr>
                <w:rFonts w:ascii="Verdana" w:eastAsia="Times New Roman" w:hAnsi="Verdana" w:cs="Times New Roman"/>
                <w:sz w:val="16"/>
                <w:szCs w:val="16"/>
                <w:lang w:val="en-GB" w:eastAsia="en-GB"/>
              </w:rPr>
            </w:pPr>
            <w:r w:rsidRPr="00DA78C7">
              <w:rPr>
                <w:rFonts w:ascii="Verdana" w:eastAsia="Times New Roman" w:hAnsi="Verdana" w:cs="Times New Roman"/>
                <w:sz w:val="16"/>
                <w:szCs w:val="16"/>
                <w:lang w:val="en-GB" w:eastAsia="en-GB"/>
              </w:rPr>
              <w:t>826</w:t>
            </w:r>
          </w:p>
        </w:tc>
        <w:tc>
          <w:tcPr>
            <w:tcW w:w="495" w:type="pct"/>
            <w:gridSpan w:val="2"/>
            <w:shd w:val="clear" w:color="auto" w:fill="auto"/>
            <w:noWrap/>
          </w:tcPr>
          <w:p w:rsidR="004C47FF" w:rsidRPr="00DA78C7" w:rsidRDefault="00F957FC" w:rsidP="00F957FC">
            <w:pPr>
              <w:spacing w:after="0" w:line="240" w:lineRule="auto"/>
              <w:rPr>
                <w:rFonts w:ascii="Verdana" w:eastAsia="Times New Roman" w:hAnsi="Verdana" w:cs="Times New Roman"/>
                <w:sz w:val="16"/>
                <w:szCs w:val="16"/>
                <w:lang w:val="en-GB" w:eastAsia="en-GB"/>
              </w:rPr>
            </w:pPr>
            <w:r w:rsidRPr="00DA78C7">
              <w:rPr>
                <w:rFonts w:ascii="Verdana" w:eastAsia="Times New Roman" w:hAnsi="Verdana" w:cs="Times New Roman"/>
                <w:sz w:val="16"/>
                <w:szCs w:val="16"/>
                <w:lang w:val="en-GB" w:eastAsia="en-GB"/>
              </w:rPr>
              <w:t>2,200</w:t>
            </w:r>
          </w:p>
        </w:tc>
      </w:tr>
    </w:tbl>
    <w:p w:rsidR="00BE461A" w:rsidRPr="00DA78C7" w:rsidRDefault="00BE461A" w:rsidP="00733C80">
      <w:pPr>
        <w:jc w:val="both"/>
        <w:rPr>
          <w:rFonts w:ascii="Verdana" w:hAnsi="Verdana"/>
          <w:bCs/>
          <w:sz w:val="10"/>
          <w:szCs w:val="10"/>
          <w:lang w:val="en-GB"/>
        </w:rPr>
      </w:pPr>
    </w:p>
    <w:p w:rsidR="009B4391" w:rsidRPr="00DA78C7" w:rsidRDefault="007E42A1" w:rsidP="00A25216">
      <w:pPr>
        <w:jc w:val="both"/>
        <w:rPr>
          <w:rFonts w:ascii="Verdana" w:hAnsi="Verdana"/>
          <w:bCs/>
          <w:sz w:val="20"/>
          <w:szCs w:val="20"/>
          <w:lang w:val="en-GB"/>
        </w:rPr>
      </w:pPr>
      <w:r w:rsidRPr="00DA78C7">
        <w:rPr>
          <w:rFonts w:ascii="Verdana" w:hAnsi="Verdana"/>
          <w:bCs/>
          <w:sz w:val="20"/>
          <w:szCs w:val="20"/>
          <w:lang w:val="en-GB"/>
        </w:rPr>
        <w:t xml:space="preserve">Moreover, </w:t>
      </w:r>
      <w:r w:rsidR="009B4391" w:rsidRPr="00DA78C7">
        <w:rPr>
          <w:rFonts w:ascii="Verdana" w:hAnsi="Verdana"/>
          <w:bCs/>
          <w:sz w:val="20"/>
          <w:szCs w:val="20"/>
          <w:lang w:val="en-GB"/>
        </w:rPr>
        <w:t>DDG continued conducting rapid assessments in Al-</w:t>
      </w:r>
      <w:proofErr w:type="spellStart"/>
      <w:r w:rsidR="009B4391" w:rsidRPr="00DA78C7">
        <w:rPr>
          <w:rFonts w:ascii="Verdana" w:hAnsi="Verdana"/>
          <w:bCs/>
          <w:sz w:val="20"/>
          <w:szCs w:val="20"/>
          <w:lang w:val="en-GB"/>
        </w:rPr>
        <w:t>Zubair</w:t>
      </w:r>
      <w:proofErr w:type="spellEnd"/>
      <w:r w:rsidR="009B4391" w:rsidRPr="00DA78C7">
        <w:rPr>
          <w:rFonts w:ascii="Verdana" w:hAnsi="Verdana"/>
          <w:bCs/>
          <w:sz w:val="20"/>
          <w:szCs w:val="20"/>
          <w:lang w:val="en-GB"/>
        </w:rPr>
        <w:t xml:space="preserve"> district and extended activities to Shat-Al-Arab, Al-</w:t>
      </w:r>
      <w:proofErr w:type="spellStart"/>
      <w:r w:rsidR="009B4391" w:rsidRPr="00DA78C7">
        <w:rPr>
          <w:rFonts w:ascii="Verdana" w:hAnsi="Verdana"/>
          <w:bCs/>
          <w:sz w:val="20"/>
          <w:szCs w:val="20"/>
          <w:lang w:val="en-GB"/>
        </w:rPr>
        <w:t>Fao</w:t>
      </w:r>
      <w:proofErr w:type="spellEnd"/>
      <w:r w:rsidR="009B4391" w:rsidRPr="00DA78C7">
        <w:rPr>
          <w:rFonts w:ascii="Verdana" w:hAnsi="Verdana"/>
          <w:bCs/>
          <w:sz w:val="20"/>
          <w:szCs w:val="20"/>
          <w:lang w:val="en-GB"/>
        </w:rPr>
        <w:t xml:space="preserve"> and Abu-Al-</w:t>
      </w:r>
      <w:proofErr w:type="spellStart"/>
      <w:r w:rsidR="009B4391" w:rsidRPr="00DA78C7">
        <w:rPr>
          <w:rFonts w:ascii="Verdana" w:hAnsi="Verdana"/>
          <w:bCs/>
          <w:sz w:val="20"/>
          <w:szCs w:val="20"/>
          <w:lang w:val="en-GB"/>
        </w:rPr>
        <w:t>Khaseeb</w:t>
      </w:r>
      <w:proofErr w:type="spellEnd"/>
      <w:r w:rsidR="009B4391" w:rsidRPr="00DA78C7">
        <w:rPr>
          <w:rFonts w:ascii="Verdana" w:hAnsi="Verdana"/>
          <w:bCs/>
          <w:sz w:val="20"/>
          <w:szCs w:val="20"/>
          <w:lang w:val="en-GB"/>
        </w:rPr>
        <w:t xml:space="preserve"> districts of Basra governorate by means of the impact-led and community-focused approach, which was initiated in 2010.</w:t>
      </w:r>
    </w:p>
    <w:p w:rsidR="009B4391" w:rsidRPr="00DA78C7" w:rsidRDefault="009B4391" w:rsidP="00A25216">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Rapid assessment was conducted in all 71 villages in the Shat-Al-Arab district</w:t>
      </w:r>
      <w:r w:rsidR="005343A2" w:rsidRPr="00DA78C7">
        <w:rPr>
          <w:rFonts w:ascii="Verdana" w:hAnsi="Verdana"/>
          <w:sz w:val="20"/>
          <w:szCs w:val="20"/>
          <w:lang w:val="en-GB"/>
        </w:rPr>
        <w:t xml:space="preserve"> as follows</w:t>
      </w:r>
      <w:r w:rsidRPr="00DA78C7">
        <w:rPr>
          <w:rFonts w:ascii="Verdana" w:hAnsi="Verdana"/>
          <w:sz w:val="20"/>
          <w:szCs w:val="20"/>
          <w:lang w:val="en-GB"/>
        </w:rPr>
        <w:t xml:space="preserve">: </w:t>
      </w:r>
    </w:p>
    <w:p w:rsidR="009B4391" w:rsidRPr="00DA78C7" w:rsidRDefault="009B4391" w:rsidP="00A25216">
      <w:pPr>
        <w:pStyle w:val="NoSpacing"/>
        <w:numPr>
          <w:ilvl w:val="0"/>
          <w:numId w:val="29"/>
        </w:numPr>
        <w:spacing w:line="276" w:lineRule="auto"/>
        <w:ind w:left="1276"/>
        <w:jc w:val="both"/>
        <w:rPr>
          <w:rFonts w:ascii="Verdana" w:hAnsi="Verdana"/>
          <w:sz w:val="20"/>
          <w:szCs w:val="20"/>
          <w:lang w:val="en-GB"/>
        </w:rPr>
      </w:pPr>
      <w:r w:rsidRPr="00DA78C7">
        <w:rPr>
          <w:rFonts w:ascii="Verdana" w:hAnsi="Verdana"/>
          <w:sz w:val="20"/>
          <w:szCs w:val="20"/>
          <w:lang w:val="en-GB"/>
        </w:rPr>
        <w:t xml:space="preserve">12 Villages in </w:t>
      </w:r>
      <w:proofErr w:type="spellStart"/>
      <w:r w:rsidRPr="00DA78C7">
        <w:rPr>
          <w:rFonts w:ascii="Verdana" w:hAnsi="Verdana"/>
          <w:sz w:val="20"/>
          <w:szCs w:val="20"/>
          <w:lang w:val="en-GB"/>
        </w:rPr>
        <w:t>Utbe</w:t>
      </w:r>
      <w:proofErr w:type="spellEnd"/>
      <w:r w:rsidRPr="00DA78C7">
        <w:rPr>
          <w:rFonts w:ascii="Verdana" w:hAnsi="Verdana"/>
          <w:sz w:val="20"/>
          <w:szCs w:val="20"/>
          <w:lang w:val="en-GB"/>
        </w:rPr>
        <w:t xml:space="preserve"> sub-district – Seven villages are inhabited. Of the seven inhabited villages, one is impacted by mines and four are impacted by both mines and UXO. Of the five abandoned villages two are affected by mines and two are affected by both mines and UXO. </w:t>
      </w:r>
    </w:p>
    <w:p w:rsidR="009B4391" w:rsidRPr="00DA78C7" w:rsidRDefault="009B4391" w:rsidP="00A25216">
      <w:pPr>
        <w:pStyle w:val="NoSpacing"/>
        <w:numPr>
          <w:ilvl w:val="0"/>
          <w:numId w:val="29"/>
        </w:numPr>
        <w:spacing w:line="276" w:lineRule="auto"/>
        <w:ind w:left="1276"/>
        <w:jc w:val="both"/>
        <w:rPr>
          <w:rFonts w:ascii="Verdana" w:hAnsi="Verdana"/>
          <w:sz w:val="20"/>
          <w:szCs w:val="20"/>
          <w:lang w:val="en-GB"/>
        </w:rPr>
      </w:pPr>
      <w:r w:rsidRPr="00DA78C7">
        <w:rPr>
          <w:rFonts w:ascii="Verdana" w:hAnsi="Verdana"/>
          <w:sz w:val="20"/>
          <w:szCs w:val="20"/>
          <w:lang w:val="en-GB"/>
        </w:rPr>
        <w:t>22 Villages in Al-</w:t>
      </w:r>
      <w:proofErr w:type="spellStart"/>
      <w:r w:rsidRPr="00DA78C7">
        <w:rPr>
          <w:rFonts w:ascii="Verdana" w:hAnsi="Verdana"/>
          <w:sz w:val="20"/>
          <w:szCs w:val="20"/>
          <w:lang w:val="en-GB"/>
        </w:rPr>
        <w:t>Nashwa</w:t>
      </w:r>
      <w:proofErr w:type="spellEnd"/>
      <w:r w:rsidRPr="00DA78C7">
        <w:rPr>
          <w:rFonts w:ascii="Verdana" w:hAnsi="Verdana"/>
          <w:sz w:val="20"/>
          <w:szCs w:val="20"/>
          <w:lang w:val="en-GB"/>
        </w:rPr>
        <w:t xml:space="preserve"> sub-district – All 22 villages are inhabited. Of these, ten are impacted by mines, and 2 villages are contaminated with both mines and UXO.</w:t>
      </w:r>
    </w:p>
    <w:p w:rsidR="009B4391" w:rsidRDefault="009B4391" w:rsidP="00A25216">
      <w:pPr>
        <w:pStyle w:val="NoSpacing"/>
        <w:numPr>
          <w:ilvl w:val="0"/>
          <w:numId w:val="29"/>
        </w:numPr>
        <w:spacing w:line="276" w:lineRule="auto"/>
        <w:ind w:left="1276"/>
        <w:jc w:val="both"/>
        <w:rPr>
          <w:rFonts w:ascii="Verdana" w:hAnsi="Verdana"/>
          <w:sz w:val="20"/>
          <w:szCs w:val="20"/>
          <w:lang w:val="en-GB"/>
        </w:rPr>
      </w:pPr>
      <w:r w:rsidRPr="00DA78C7">
        <w:rPr>
          <w:rFonts w:ascii="Verdana" w:hAnsi="Verdana"/>
          <w:sz w:val="20"/>
          <w:szCs w:val="20"/>
          <w:lang w:val="en-GB"/>
        </w:rPr>
        <w:t>37 Villages in Al-</w:t>
      </w:r>
      <w:proofErr w:type="spellStart"/>
      <w:r w:rsidRPr="00DA78C7">
        <w:rPr>
          <w:rFonts w:ascii="Verdana" w:hAnsi="Verdana"/>
          <w:sz w:val="20"/>
          <w:szCs w:val="20"/>
          <w:lang w:val="en-GB"/>
        </w:rPr>
        <w:t>Markaz</w:t>
      </w:r>
      <w:proofErr w:type="spellEnd"/>
      <w:r w:rsidRPr="00DA78C7">
        <w:rPr>
          <w:rFonts w:ascii="Verdana" w:hAnsi="Verdana"/>
          <w:sz w:val="20"/>
          <w:szCs w:val="20"/>
          <w:lang w:val="en-GB"/>
        </w:rPr>
        <w:t xml:space="preserve"> and Shat-Al-Arab centre. The levels of mine/UXO contamination here is rather low with only four villages contaminated by UXO (no mines).</w:t>
      </w:r>
    </w:p>
    <w:p w:rsidR="00DE503E" w:rsidRPr="00DA78C7" w:rsidRDefault="00DE503E" w:rsidP="00DE503E">
      <w:pPr>
        <w:pStyle w:val="NoSpacing"/>
        <w:spacing w:line="276" w:lineRule="auto"/>
        <w:ind w:left="1276"/>
        <w:jc w:val="both"/>
        <w:rPr>
          <w:rFonts w:ascii="Verdana" w:hAnsi="Verdana"/>
          <w:sz w:val="20"/>
          <w:szCs w:val="20"/>
          <w:lang w:val="en-GB"/>
        </w:rPr>
      </w:pPr>
    </w:p>
    <w:p w:rsidR="009B4391" w:rsidRDefault="009B4391" w:rsidP="00A25216">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In the period of March-May 2011 the C</w:t>
      </w:r>
      <w:r w:rsidR="005343A2" w:rsidRPr="00DA78C7">
        <w:rPr>
          <w:rFonts w:ascii="Verdana" w:hAnsi="Verdana"/>
          <w:sz w:val="20"/>
          <w:szCs w:val="20"/>
          <w:lang w:val="en-GB"/>
        </w:rPr>
        <w:t>learance</w:t>
      </w:r>
      <w:r w:rsidRPr="00DA78C7">
        <w:rPr>
          <w:rFonts w:ascii="Verdana" w:hAnsi="Verdana"/>
          <w:sz w:val="20"/>
          <w:szCs w:val="20"/>
          <w:lang w:val="en-GB"/>
        </w:rPr>
        <w:t xml:space="preserve"> teams conducted rapid assessments in Al-</w:t>
      </w:r>
      <w:proofErr w:type="spellStart"/>
      <w:r w:rsidRPr="00DA78C7">
        <w:rPr>
          <w:rFonts w:ascii="Verdana" w:hAnsi="Verdana"/>
          <w:sz w:val="20"/>
          <w:szCs w:val="20"/>
          <w:lang w:val="en-GB"/>
        </w:rPr>
        <w:t>Fao</w:t>
      </w:r>
      <w:proofErr w:type="spellEnd"/>
      <w:r w:rsidRPr="00DA78C7">
        <w:rPr>
          <w:rFonts w:ascii="Verdana" w:hAnsi="Verdana"/>
          <w:sz w:val="20"/>
          <w:szCs w:val="20"/>
          <w:lang w:val="en-GB"/>
        </w:rPr>
        <w:t xml:space="preserve"> district. The level of contamination (UXO) is rather low there compared to Shat-Al-Arab district. Out of total of 107 villages visited in Al-</w:t>
      </w:r>
      <w:proofErr w:type="spellStart"/>
      <w:r w:rsidRPr="00DA78C7">
        <w:rPr>
          <w:rFonts w:ascii="Verdana" w:hAnsi="Verdana"/>
          <w:sz w:val="20"/>
          <w:szCs w:val="20"/>
          <w:lang w:val="en-GB"/>
        </w:rPr>
        <w:t>Fao</w:t>
      </w:r>
      <w:proofErr w:type="spellEnd"/>
      <w:r w:rsidRPr="00DA78C7">
        <w:rPr>
          <w:rFonts w:ascii="Verdana" w:hAnsi="Verdana"/>
          <w:sz w:val="20"/>
          <w:szCs w:val="20"/>
          <w:lang w:val="en-GB"/>
        </w:rPr>
        <w:t xml:space="preserve"> district, 47 were reported to be contaminated with UXO. However, a majority of these were identified as medium priority for clearance as they did not pose an immediate threat or major economic blockages to the communities. All reported items were marked and communities educated on the marking system.</w:t>
      </w:r>
    </w:p>
    <w:p w:rsidR="00DE503E" w:rsidRPr="00DA78C7" w:rsidRDefault="00DE503E" w:rsidP="00DE503E">
      <w:pPr>
        <w:pStyle w:val="NoSpacing"/>
        <w:spacing w:line="276" w:lineRule="auto"/>
        <w:ind w:left="720"/>
        <w:jc w:val="both"/>
        <w:rPr>
          <w:rFonts w:ascii="Verdana" w:hAnsi="Verdana"/>
          <w:sz w:val="20"/>
          <w:szCs w:val="20"/>
          <w:lang w:val="en-GB"/>
        </w:rPr>
      </w:pPr>
    </w:p>
    <w:p w:rsidR="00DE503E" w:rsidRDefault="009B4391"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Rapid assessments were done in 17 villages in Abu-Al-</w:t>
      </w:r>
      <w:proofErr w:type="spellStart"/>
      <w:r w:rsidRPr="00DA78C7">
        <w:rPr>
          <w:rFonts w:ascii="Verdana" w:hAnsi="Verdana"/>
          <w:sz w:val="20"/>
          <w:szCs w:val="20"/>
          <w:lang w:val="en-GB"/>
        </w:rPr>
        <w:t>Khaseeb</w:t>
      </w:r>
      <w:proofErr w:type="spellEnd"/>
      <w:r w:rsidRPr="00DA78C7">
        <w:rPr>
          <w:rFonts w:ascii="Verdana" w:hAnsi="Verdana"/>
          <w:sz w:val="20"/>
          <w:szCs w:val="20"/>
          <w:lang w:val="en-GB"/>
        </w:rPr>
        <w:t xml:space="preserve"> district. Out of a total of 17 villages, eleven were reported as contaminated with UXO. However, the level of contamination is rather low. In most cases single UXO were reported with low impact on communities. All villages were identified as medium priority for clearance. All reported items were marked and communities educated on the marking system. </w:t>
      </w:r>
    </w:p>
    <w:p w:rsidR="00DE503E" w:rsidRPr="00DE503E" w:rsidRDefault="00DE503E" w:rsidP="00DE503E">
      <w:pPr>
        <w:pStyle w:val="NoSpacing"/>
        <w:spacing w:line="276" w:lineRule="auto"/>
        <w:jc w:val="both"/>
        <w:rPr>
          <w:rFonts w:ascii="Verdana" w:hAnsi="Verdana"/>
          <w:sz w:val="20"/>
          <w:szCs w:val="20"/>
          <w:lang w:val="en-GB"/>
        </w:rPr>
      </w:pPr>
    </w:p>
    <w:p w:rsidR="009B4391" w:rsidRDefault="009B4391" w:rsidP="00A25216">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 xml:space="preserve">A total of 128 reports were submitted to GIS for further prioritisation. Eight reports were classified as highest </w:t>
      </w:r>
      <w:r w:rsidR="005343A2" w:rsidRPr="00DA78C7">
        <w:rPr>
          <w:rFonts w:ascii="Verdana" w:hAnsi="Verdana"/>
          <w:sz w:val="20"/>
          <w:szCs w:val="20"/>
          <w:lang w:val="en-GB"/>
        </w:rPr>
        <w:t>priority;</w:t>
      </w:r>
      <w:r w:rsidRPr="00DA78C7">
        <w:rPr>
          <w:rFonts w:ascii="Verdana" w:hAnsi="Verdana"/>
          <w:sz w:val="20"/>
          <w:szCs w:val="20"/>
          <w:lang w:val="en-GB"/>
        </w:rPr>
        <w:t xml:space="preserve"> seven were of high priority, 107 as medium and six as low priority. </w:t>
      </w:r>
    </w:p>
    <w:p w:rsidR="00DE503E" w:rsidRPr="00DA78C7" w:rsidRDefault="00DE503E" w:rsidP="00DE503E">
      <w:pPr>
        <w:pStyle w:val="NoSpacing"/>
        <w:spacing w:line="276" w:lineRule="auto"/>
        <w:jc w:val="both"/>
        <w:rPr>
          <w:rFonts w:ascii="Verdana" w:hAnsi="Verdana"/>
          <w:sz w:val="20"/>
          <w:szCs w:val="20"/>
          <w:lang w:val="en-GB"/>
        </w:rPr>
      </w:pPr>
    </w:p>
    <w:p w:rsidR="009B4391" w:rsidRDefault="009B4391" w:rsidP="00A25216">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D</w:t>
      </w:r>
      <w:r w:rsidR="005343A2" w:rsidRPr="00DA78C7">
        <w:rPr>
          <w:rFonts w:ascii="Verdana" w:hAnsi="Verdana"/>
          <w:sz w:val="20"/>
          <w:szCs w:val="20"/>
          <w:lang w:val="en-GB"/>
        </w:rPr>
        <w:t xml:space="preserve">anger </w:t>
      </w:r>
      <w:r w:rsidRPr="00DA78C7">
        <w:rPr>
          <w:rFonts w:ascii="Verdana" w:hAnsi="Verdana"/>
          <w:sz w:val="20"/>
          <w:szCs w:val="20"/>
          <w:lang w:val="en-GB"/>
        </w:rPr>
        <w:t>A</w:t>
      </w:r>
      <w:r w:rsidR="005343A2" w:rsidRPr="00DA78C7">
        <w:rPr>
          <w:rFonts w:ascii="Verdana" w:hAnsi="Verdana"/>
          <w:sz w:val="20"/>
          <w:szCs w:val="20"/>
          <w:lang w:val="en-GB"/>
        </w:rPr>
        <w:t>rea Reports (DAR) from</w:t>
      </w:r>
      <w:r w:rsidRPr="00DA78C7">
        <w:rPr>
          <w:rFonts w:ascii="Verdana" w:hAnsi="Verdana"/>
          <w:sz w:val="20"/>
          <w:szCs w:val="20"/>
          <w:lang w:val="en-GB"/>
        </w:rPr>
        <w:t xml:space="preserve"> the existing database </w:t>
      </w:r>
      <w:proofErr w:type="gramStart"/>
      <w:r w:rsidRPr="00DA78C7">
        <w:rPr>
          <w:rFonts w:ascii="Verdana" w:hAnsi="Verdana"/>
          <w:sz w:val="20"/>
          <w:szCs w:val="20"/>
          <w:lang w:val="en-GB"/>
        </w:rPr>
        <w:t>were</w:t>
      </w:r>
      <w:proofErr w:type="gramEnd"/>
      <w:r w:rsidRPr="00DA78C7">
        <w:rPr>
          <w:rFonts w:ascii="Verdana" w:hAnsi="Verdana"/>
          <w:sz w:val="20"/>
          <w:szCs w:val="20"/>
          <w:lang w:val="en-GB"/>
        </w:rPr>
        <w:t xml:space="preserve"> re-assessed and tasks prioritised. As a result, one task was prioritised as highest priority, five as high priority, 107 medium and 13 as low priority.</w:t>
      </w:r>
    </w:p>
    <w:p w:rsidR="00DE503E" w:rsidRPr="00DA78C7" w:rsidRDefault="00DE503E" w:rsidP="00DE503E">
      <w:pPr>
        <w:pStyle w:val="NoSpacing"/>
        <w:spacing w:line="276" w:lineRule="auto"/>
        <w:jc w:val="both"/>
        <w:rPr>
          <w:rFonts w:ascii="Verdana" w:hAnsi="Verdana"/>
          <w:sz w:val="20"/>
          <w:szCs w:val="20"/>
          <w:lang w:val="en-GB"/>
        </w:rPr>
      </w:pPr>
    </w:p>
    <w:p w:rsidR="009B4391" w:rsidRPr="00DA78C7" w:rsidRDefault="009B4391" w:rsidP="00A25216">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E</w:t>
      </w:r>
      <w:r w:rsidR="005343A2" w:rsidRPr="00DA78C7">
        <w:rPr>
          <w:rFonts w:ascii="Verdana" w:hAnsi="Verdana"/>
          <w:sz w:val="20"/>
          <w:szCs w:val="20"/>
          <w:lang w:val="en-GB"/>
        </w:rPr>
        <w:t xml:space="preserve">xplosive </w:t>
      </w:r>
      <w:r w:rsidRPr="00DA78C7">
        <w:rPr>
          <w:rFonts w:ascii="Verdana" w:hAnsi="Verdana"/>
          <w:sz w:val="20"/>
          <w:szCs w:val="20"/>
          <w:lang w:val="en-GB"/>
        </w:rPr>
        <w:t>O</w:t>
      </w:r>
      <w:r w:rsidR="005343A2" w:rsidRPr="00DA78C7">
        <w:rPr>
          <w:rFonts w:ascii="Verdana" w:hAnsi="Verdana"/>
          <w:sz w:val="20"/>
          <w:szCs w:val="20"/>
          <w:lang w:val="en-GB"/>
        </w:rPr>
        <w:t xml:space="preserve">rdnance </w:t>
      </w:r>
      <w:r w:rsidRPr="00DA78C7">
        <w:rPr>
          <w:rFonts w:ascii="Verdana" w:hAnsi="Verdana"/>
          <w:sz w:val="20"/>
          <w:szCs w:val="20"/>
          <w:lang w:val="en-GB"/>
        </w:rPr>
        <w:t>D</w:t>
      </w:r>
      <w:r w:rsidR="005343A2" w:rsidRPr="00DA78C7">
        <w:rPr>
          <w:rFonts w:ascii="Verdana" w:hAnsi="Verdana"/>
          <w:sz w:val="20"/>
          <w:szCs w:val="20"/>
          <w:lang w:val="en-GB"/>
        </w:rPr>
        <w:t>isposal</w:t>
      </w:r>
      <w:r w:rsidRPr="00DA78C7">
        <w:rPr>
          <w:rFonts w:ascii="Verdana" w:hAnsi="Verdana"/>
          <w:sz w:val="20"/>
          <w:szCs w:val="20"/>
          <w:lang w:val="en-GB"/>
        </w:rPr>
        <w:t>/B</w:t>
      </w:r>
      <w:r w:rsidR="005343A2" w:rsidRPr="00DA78C7">
        <w:rPr>
          <w:rFonts w:ascii="Verdana" w:hAnsi="Verdana"/>
          <w:sz w:val="20"/>
          <w:szCs w:val="20"/>
          <w:lang w:val="en-GB"/>
        </w:rPr>
        <w:t xml:space="preserve">attle </w:t>
      </w:r>
      <w:r w:rsidRPr="00DA78C7">
        <w:rPr>
          <w:rFonts w:ascii="Verdana" w:hAnsi="Verdana"/>
          <w:sz w:val="20"/>
          <w:szCs w:val="20"/>
          <w:lang w:val="en-GB"/>
        </w:rPr>
        <w:t>A</w:t>
      </w:r>
      <w:r w:rsidR="005343A2" w:rsidRPr="00DA78C7">
        <w:rPr>
          <w:rFonts w:ascii="Verdana" w:hAnsi="Verdana"/>
          <w:sz w:val="20"/>
          <w:szCs w:val="20"/>
          <w:lang w:val="en-GB"/>
        </w:rPr>
        <w:t>rea Clearance (EOD/BAC) and</w:t>
      </w:r>
      <w:r w:rsidRPr="00DA78C7">
        <w:rPr>
          <w:rFonts w:ascii="Verdana" w:hAnsi="Verdana"/>
          <w:sz w:val="20"/>
          <w:szCs w:val="20"/>
          <w:lang w:val="en-GB"/>
        </w:rPr>
        <w:t xml:space="preserve"> C</w:t>
      </w:r>
      <w:r w:rsidR="005343A2" w:rsidRPr="00DA78C7">
        <w:rPr>
          <w:rFonts w:ascii="Verdana" w:hAnsi="Verdana"/>
          <w:sz w:val="20"/>
          <w:szCs w:val="20"/>
          <w:lang w:val="en-GB"/>
        </w:rPr>
        <w:t>lear</w:t>
      </w:r>
      <w:r w:rsidR="008B311E" w:rsidRPr="00DA78C7">
        <w:rPr>
          <w:rFonts w:ascii="Verdana" w:hAnsi="Verdana"/>
          <w:sz w:val="20"/>
          <w:szCs w:val="20"/>
          <w:lang w:val="en-GB"/>
        </w:rPr>
        <w:t>a</w:t>
      </w:r>
      <w:r w:rsidR="005343A2" w:rsidRPr="00DA78C7">
        <w:rPr>
          <w:rFonts w:ascii="Verdana" w:hAnsi="Verdana"/>
          <w:sz w:val="20"/>
          <w:szCs w:val="20"/>
          <w:lang w:val="en-GB"/>
        </w:rPr>
        <w:t>nce</w:t>
      </w:r>
      <w:r w:rsidRPr="00DA78C7">
        <w:rPr>
          <w:rFonts w:ascii="Verdana" w:hAnsi="Verdana"/>
          <w:sz w:val="20"/>
          <w:szCs w:val="20"/>
          <w:lang w:val="en-GB"/>
        </w:rPr>
        <w:t xml:space="preserve"> teams continued risk-reducing interventions in selected communities/farms. This included clearance of ERW, marking and MRE, as required and prioritised.</w:t>
      </w:r>
    </w:p>
    <w:p w:rsidR="009B4391" w:rsidRDefault="009B4391" w:rsidP="00A25216">
      <w:pPr>
        <w:pStyle w:val="NoSpacing"/>
        <w:spacing w:line="276" w:lineRule="auto"/>
        <w:ind w:left="720"/>
        <w:jc w:val="both"/>
        <w:rPr>
          <w:rFonts w:ascii="Verdana" w:hAnsi="Verdana"/>
          <w:sz w:val="20"/>
          <w:szCs w:val="20"/>
          <w:lang w:val="en-GB"/>
        </w:rPr>
      </w:pPr>
    </w:p>
    <w:p w:rsidR="0042247A" w:rsidRPr="00DA78C7" w:rsidRDefault="0047133A" w:rsidP="00733C80">
      <w:pPr>
        <w:jc w:val="both"/>
        <w:rPr>
          <w:rFonts w:ascii="Verdana" w:hAnsi="Verdana"/>
          <w:b/>
          <w:sz w:val="20"/>
          <w:szCs w:val="20"/>
          <w:lang w:val="en-GB"/>
        </w:rPr>
      </w:pPr>
      <w:r w:rsidRPr="00DA78C7">
        <w:rPr>
          <w:rFonts w:ascii="Verdana" w:hAnsi="Verdana"/>
          <w:b/>
          <w:sz w:val="20"/>
          <w:szCs w:val="20"/>
          <w:lang w:val="en-GB"/>
        </w:rPr>
        <w:t xml:space="preserve">4.3 Achievements in </w:t>
      </w:r>
      <w:r w:rsidR="0042247A" w:rsidRPr="00DA78C7">
        <w:rPr>
          <w:rFonts w:ascii="Verdana" w:hAnsi="Verdana"/>
          <w:b/>
          <w:sz w:val="20"/>
          <w:szCs w:val="20"/>
          <w:lang w:val="en-GB"/>
        </w:rPr>
        <w:t xml:space="preserve">Mine Risk </w:t>
      </w:r>
      <w:r w:rsidRPr="00DA78C7">
        <w:rPr>
          <w:rFonts w:ascii="Verdana" w:hAnsi="Verdana"/>
          <w:b/>
          <w:sz w:val="20"/>
          <w:szCs w:val="20"/>
          <w:lang w:val="en-GB"/>
        </w:rPr>
        <w:t>Awareness</w:t>
      </w:r>
      <w:r w:rsidR="0042247A" w:rsidRPr="00DA78C7">
        <w:rPr>
          <w:rFonts w:ascii="Verdana" w:hAnsi="Verdana"/>
          <w:b/>
          <w:sz w:val="20"/>
          <w:szCs w:val="20"/>
          <w:lang w:val="en-GB"/>
        </w:rPr>
        <w:t xml:space="preserve"> activities during the reporting period</w:t>
      </w:r>
    </w:p>
    <w:p w:rsidR="009B4391" w:rsidRPr="00DA78C7" w:rsidRDefault="00D2678E" w:rsidP="005D5630">
      <w:pPr>
        <w:jc w:val="both"/>
        <w:rPr>
          <w:rFonts w:ascii="Verdana" w:hAnsi="Verdana"/>
          <w:bCs/>
          <w:sz w:val="20"/>
          <w:szCs w:val="20"/>
          <w:lang w:val="en-GB"/>
        </w:rPr>
      </w:pPr>
      <w:r w:rsidRPr="00DA78C7">
        <w:rPr>
          <w:rFonts w:ascii="Verdana" w:hAnsi="Verdana"/>
          <w:bCs/>
          <w:sz w:val="20"/>
          <w:szCs w:val="20"/>
          <w:lang w:val="en-GB"/>
        </w:rPr>
        <w:t xml:space="preserve">DDG clearance teams also conduct MRE and community liaison activities where </w:t>
      </w:r>
      <w:r w:rsidR="008A37E3" w:rsidRPr="00DA78C7">
        <w:rPr>
          <w:rFonts w:ascii="Verdana" w:hAnsi="Verdana"/>
          <w:bCs/>
          <w:sz w:val="20"/>
          <w:szCs w:val="20"/>
          <w:lang w:val="en-GB"/>
        </w:rPr>
        <w:t>2006 people</w:t>
      </w:r>
      <w:r w:rsidR="00515058" w:rsidRPr="00DA78C7">
        <w:rPr>
          <w:rFonts w:ascii="Verdana" w:hAnsi="Verdana"/>
          <w:bCs/>
          <w:sz w:val="20"/>
          <w:szCs w:val="20"/>
          <w:lang w:val="en-GB"/>
        </w:rPr>
        <w:t xml:space="preserve"> receive</w:t>
      </w:r>
      <w:r w:rsidR="005D5630" w:rsidRPr="00DA78C7">
        <w:rPr>
          <w:rFonts w:ascii="Verdana" w:hAnsi="Verdana"/>
          <w:bCs/>
          <w:sz w:val="20"/>
          <w:szCs w:val="20"/>
          <w:lang w:val="en-GB"/>
        </w:rPr>
        <w:t>d instructions and material on m</w:t>
      </w:r>
      <w:r w:rsidR="00515058" w:rsidRPr="00DA78C7">
        <w:rPr>
          <w:rFonts w:ascii="Verdana" w:hAnsi="Verdana"/>
          <w:bCs/>
          <w:sz w:val="20"/>
          <w:szCs w:val="20"/>
          <w:lang w:val="en-GB"/>
        </w:rPr>
        <w:t xml:space="preserve">ine risk awareness and safe </w:t>
      </w:r>
      <w:r w:rsidR="007E42A1" w:rsidRPr="00DA78C7">
        <w:rPr>
          <w:rFonts w:ascii="Verdana" w:hAnsi="Verdana"/>
          <w:bCs/>
          <w:sz w:val="20"/>
          <w:szCs w:val="20"/>
          <w:lang w:val="en-GB"/>
        </w:rPr>
        <w:t>behaviours</w:t>
      </w:r>
      <w:r w:rsidR="005D5630" w:rsidRPr="00DA78C7">
        <w:rPr>
          <w:rFonts w:ascii="Verdana" w:hAnsi="Verdana"/>
          <w:bCs/>
          <w:sz w:val="20"/>
          <w:szCs w:val="20"/>
          <w:lang w:val="en-GB"/>
        </w:rPr>
        <w:t>, and where MRE s</w:t>
      </w:r>
      <w:r w:rsidR="009B4391" w:rsidRPr="00DA78C7">
        <w:rPr>
          <w:rFonts w:ascii="Verdana" w:hAnsi="Verdana"/>
          <w:bCs/>
          <w:sz w:val="20"/>
          <w:szCs w:val="20"/>
          <w:lang w:val="en-GB"/>
        </w:rPr>
        <w:t xml:space="preserve">essions were conducted for (547 men, 369 women, 665 boys and 425 girls). </w:t>
      </w:r>
    </w:p>
    <w:tbl>
      <w:tblPr>
        <w:tblW w:w="4530" w:type="pct"/>
        <w:tblInd w:w="337" w:type="dxa"/>
        <w:tblLayout w:type="fixed"/>
        <w:tblLook w:val="04A0" w:firstRow="1" w:lastRow="0" w:firstColumn="1" w:lastColumn="0" w:noHBand="0" w:noVBand="1"/>
      </w:tblPr>
      <w:tblGrid>
        <w:gridCol w:w="1615"/>
        <w:gridCol w:w="1417"/>
        <w:gridCol w:w="1561"/>
        <w:gridCol w:w="1415"/>
        <w:gridCol w:w="1134"/>
        <w:gridCol w:w="1224"/>
        <w:gridCol w:w="8"/>
      </w:tblGrid>
      <w:tr w:rsidR="00DE503E" w:rsidRPr="00DA78C7" w:rsidTr="00DE503E">
        <w:trPr>
          <w:gridAfter w:val="1"/>
          <w:wAfter w:w="5" w:type="pct"/>
          <w:trHeight w:val="383"/>
        </w:trPr>
        <w:tc>
          <w:tcPr>
            <w:tcW w:w="4995"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37E3" w:rsidRPr="00DA78C7" w:rsidRDefault="008A37E3" w:rsidP="005D5630">
            <w:pPr>
              <w:jc w:val="both"/>
              <w:rPr>
                <w:rFonts w:ascii="Verdana" w:hAnsi="Verdana"/>
                <w:bCs/>
                <w:sz w:val="20"/>
                <w:szCs w:val="20"/>
                <w:lang w:val="en-GB"/>
              </w:rPr>
            </w:pPr>
            <w:r w:rsidRPr="00DA78C7">
              <w:rPr>
                <w:rFonts w:ascii="Verdana" w:hAnsi="Verdana"/>
                <w:bCs/>
                <w:sz w:val="20"/>
                <w:szCs w:val="20"/>
                <w:lang w:val="en-GB"/>
              </w:rPr>
              <w:t>April 2011-September  2011</w:t>
            </w:r>
          </w:p>
        </w:tc>
      </w:tr>
      <w:tr w:rsidR="00DE503E" w:rsidRPr="00DA78C7" w:rsidTr="00F957FC">
        <w:trPr>
          <w:trHeight w:val="840"/>
        </w:trPr>
        <w:tc>
          <w:tcPr>
            <w:tcW w:w="964" w:type="pct"/>
            <w:tcBorders>
              <w:top w:val="single" w:sz="4" w:space="0" w:color="auto"/>
              <w:left w:val="single" w:sz="4" w:space="0" w:color="auto"/>
              <w:bottom w:val="single" w:sz="8" w:space="0" w:color="auto"/>
              <w:right w:val="single" w:sz="4" w:space="0" w:color="auto"/>
            </w:tcBorders>
            <w:shd w:val="clear" w:color="auto" w:fill="auto"/>
            <w:hideMark/>
          </w:tcPr>
          <w:p w:rsidR="005D5630" w:rsidRPr="00DE503E" w:rsidRDefault="005D5630" w:rsidP="00515058">
            <w:pPr>
              <w:spacing w:after="0" w:line="240" w:lineRule="auto"/>
              <w:ind w:right="460"/>
              <w:jc w:val="center"/>
              <w:rPr>
                <w:rFonts w:ascii="Verdana" w:eastAsia="Times New Roman" w:hAnsi="Verdana" w:cs="Times New Roman"/>
                <w:b/>
                <w:bCs/>
                <w:sz w:val="16"/>
                <w:szCs w:val="16"/>
                <w:lang w:val="en-GB" w:eastAsia="en-GB"/>
              </w:rPr>
            </w:pPr>
            <w:r w:rsidRPr="00DE503E">
              <w:rPr>
                <w:rFonts w:ascii="Verdana" w:eastAsia="Times New Roman" w:hAnsi="Verdana" w:cs="Times New Roman"/>
                <w:b/>
                <w:bCs/>
                <w:sz w:val="16"/>
                <w:szCs w:val="16"/>
                <w:lang w:val="en-GB" w:eastAsia="en-GB"/>
              </w:rPr>
              <w:t>Period</w:t>
            </w:r>
          </w:p>
        </w:tc>
        <w:tc>
          <w:tcPr>
            <w:tcW w:w="846" w:type="pct"/>
            <w:tcBorders>
              <w:top w:val="single" w:sz="4" w:space="0" w:color="auto"/>
              <w:left w:val="nil"/>
              <w:bottom w:val="single" w:sz="8" w:space="0" w:color="auto"/>
              <w:right w:val="single" w:sz="4" w:space="0" w:color="auto"/>
            </w:tcBorders>
            <w:shd w:val="clear" w:color="auto" w:fill="auto"/>
            <w:hideMark/>
          </w:tcPr>
          <w:p w:rsidR="005D5630" w:rsidRPr="00DE503E" w:rsidRDefault="005D5630" w:rsidP="0047133A">
            <w:pPr>
              <w:spacing w:after="0" w:line="240" w:lineRule="auto"/>
              <w:jc w:val="center"/>
              <w:rPr>
                <w:rFonts w:ascii="Verdana" w:eastAsia="Times New Roman" w:hAnsi="Verdana" w:cs="Times New Roman"/>
                <w:b/>
                <w:bCs/>
                <w:sz w:val="16"/>
                <w:szCs w:val="16"/>
                <w:lang w:val="en-GB" w:eastAsia="en-GB"/>
              </w:rPr>
            </w:pPr>
            <w:r w:rsidRPr="00DE503E">
              <w:rPr>
                <w:rFonts w:ascii="Verdana" w:eastAsia="Times New Roman" w:hAnsi="Verdana" w:cs="Times New Roman"/>
                <w:b/>
                <w:bCs/>
                <w:sz w:val="16"/>
                <w:szCs w:val="16"/>
                <w:lang w:val="en-GB" w:eastAsia="en-GB"/>
              </w:rPr>
              <w:t xml:space="preserve">Numbers of men covered by MRE </w:t>
            </w:r>
          </w:p>
        </w:tc>
        <w:tc>
          <w:tcPr>
            <w:tcW w:w="932" w:type="pct"/>
            <w:tcBorders>
              <w:top w:val="single" w:sz="4" w:space="0" w:color="auto"/>
              <w:left w:val="nil"/>
              <w:bottom w:val="single" w:sz="8" w:space="0" w:color="auto"/>
              <w:right w:val="single" w:sz="4" w:space="0" w:color="auto"/>
            </w:tcBorders>
            <w:shd w:val="clear" w:color="auto" w:fill="auto"/>
            <w:hideMark/>
          </w:tcPr>
          <w:p w:rsidR="005D5630" w:rsidRPr="00DE503E" w:rsidRDefault="005D5630" w:rsidP="0047133A">
            <w:pPr>
              <w:spacing w:after="0" w:line="240" w:lineRule="auto"/>
              <w:jc w:val="center"/>
              <w:rPr>
                <w:rFonts w:ascii="Verdana" w:eastAsia="Times New Roman" w:hAnsi="Verdana" w:cs="Times New Roman"/>
                <w:b/>
                <w:bCs/>
                <w:sz w:val="16"/>
                <w:szCs w:val="16"/>
                <w:lang w:val="en-GB" w:eastAsia="en-GB"/>
              </w:rPr>
            </w:pPr>
            <w:r w:rsidRPr="00DE503E">
              <w:rPr>
                <w:rFonts w:ascii="Verdana" w:eastAsia="Times New Roman" w:hAnsi="Verdana" w:cs="Times New Roman"/>
                <w:b/>
                <w:bCs/>
                <w:sz w:val="16"/>
                <w:szCs w:val="16"/>
                <w:lang w:val="en-GB" w:eastAsia="en-GB"/>
              </w:rPr>
              <w:t xml:space="preserve">Numbers of women covered by MRE </w:t>
            </w:r>
          </w:p>
        </w:tc>
        <w:tc>
          <w:tcPr>
            <w:tcW w:w="845" w:type="pct"/>
            <w:tcBorders>
              <w:top w:val="single" w:sz="4" w:space="0" w:color="auto"/>
              <w:left w:val="nil"/>
              <w:bottom w:val="single" w:sz="8" w:space="0" w:color="auto"/>
              <w:right w:val="single" w:sz="4" w:space="0" w:color="auto"/>
            </w:tcBorders>
            <w:shd w:val="clear" w:color="auto" w:fill="auto"/>
            <w:hideMark/>
          </w:tcPr>
          <w:p w:rsidR="005D5630" w:rsidRPr="00DE503E" w:rsidRDefault="005D5630" w:rsidP="0047133A">
            <w:pPr>
              <w:spacing w:after="0" w:line="240" w:lineRule="auto"/>
              <w:jc w:val="center"/>
              <w:rPr>
                <w:rFonts w:ascii="Verdana" w:eastAsia="Times New Roman" w:hAnsi="Verdana" w:cs="Times New Roman"/>
                <w:b/>
                <w:bCs/>
                <w:sz w:val="16"/>
                <w:szCs w:val="16"/>
                <w:lang w:val="en-GB" w:eastAsia="en-GB"/>
              </w:rPr>
            </w:pPr>
            <w:r w:rsidRPr="00DE503E">
              <w:rPr>
                <w:rFonts w:ascii="Verdana" w:eastAsia="Times New Roman" w:hAnsi="Verdana" w:cs="Times New Roman"/>
                <w:b/>
                <w:bCs/>
                <w:sz w:val="16"/>
                <w:szCs w:val="16"/>
                <w:lang w:val="en-GB" w:eastAsia="en-GB"/>
              </w:rPr>
              <w:t xml:space="preserve">Numbers of boys covered by MRE </w:t>
            </w:r>
          </w:p>
        </w:tc>
        <w:tc>
          <w:tcPr>
            <w:tcW w:w="677" w:type="pct"/>
            <w:tcBorders>
              <w:top w:val="single" w:sz="4" w:space="0" w:color="auto"/>
              <w:left w:val="nil"/>
              <w:bottom w:val="single" w:sz="8" w:space="0" w:color="auto"/>
              <w:right w:val="single" w:sz="4" w:space="0" w:color="auto"/>
            </w:tcBorders>
            <w:shd w:val="clear" w:color="auto" w:fill="auto"/>
            <w:hideMark/>
          </w:tcPr>
          <w:p w:rsidR="005D5630" w:rsidRPr="00DE503E" w:rsidRDefault="005D5630" w:rsidP="0047133A">
            <w:pPr>
              <w:spacing w:after="0" w:line="240" w:lineRule="auto"/>
              <w:jc w:val="center"/>
              <w:rPr>
                <w:rFonts w:ascii="Verdana" w:eastAsia="Times New Roman" w:hAnsi="Verdana" w:cs="Times New Roman"/>
                <w:b/>
                <w:bCs/>
                <w:sz w:val="16"/>
                <w:szCs w:val="16"/>
                <w:lang w:val="en-GB" w:eastAsia="en-GB"/>
              </w:rPr>
            </w:pPr>
            <w:r w:rsidRPr="00DE503E">
              <w:rPr>
                <w:rFonts w:ascii="Verdana" w:eastAsia="Times New Roman" w:hAnsi="Verdana" w:cs="Times New Roman"/>
                <w:b/>
                <w:bCs/>
                <w:sz w:val="16"/>
                <w:szCs w:val="16"/>
                <w:lang w:val="en-GB" w:eastAsia="en-GB"/>
              </w:rPr>
              <w:t xml:space="preserve">Numbers of girls covered by MRE </w:t>
            </w:r>
          </w:p>
        </w:tc>
        <w:tc>
          <w:tcPr>
            <w:tcW w:w="736" w:type="pct"/>
            <w:gridSpan w:val="2"/>
            <w:tcBorders>
              <w:top w:val="single" w:sz="4" w:space="0" w:color="auto"/>
              <w:left w:val="nil"/>
              <w:bottom w:val="single" w:sz="8" w:space="0" w:color="auto"/>
              <w:right w:val="single" w:sz="4" w:space="0" w:color="auto"/>
            </w:tcBorders>
            <w:shd w:val="clear" w:color="auto" w:fill="auto"/>
            <w:hideMark/>
          </w:tcPr>
          <w:p w:rsidR="005D5630" w:rsidRPr="00DE503E" w:rsidRDefault="005D5630" w:rsidP="0047133A">
            <w:pPr>
              <w:spacing w:after="0" w:line="240" w:lineRule="auto"/>
              <w:jc w:val="center"/>
              <w:rPr>
                <w:rFonts w:ascii="Verdana" w:eastAsia="Times New Roman" w:hAnsi="Verdana" w:cs="Times New Roman"/>
                <w:b/>
                <w:bCs/>
                <w:sz w:val="16"/>
                <w:szCs w:val="16"/>
                <w:lang w:val="en-GB" w:eastAsia="en-GB"/>
              </w:rPr>
            </w:pPr>
            <w:r w:rsidRPr="00DE503E">
              <w:rPr>
                <w:rFonts w:ascii="Verdana" w:eastAsia="Times New Roman" w:hAnsi="Verdana" w:cs="Times New Roman"/>
                <w:b/>
                <w:bCs/>
                <w:sz w:val="16"/>
                <w:szCs w:val="16"/>
                <w:lang w:val="en-GB" w:eastAsia="en-GB"/>
              </w:rPr>
              <w:t>Total number of people that received MRE</w:t>
            </w:r>
          </w:p>
        </w:tc>
      </w:tr>
      <w:tr w:rsidR="005D5630" w:rsidRPr="00DA78C7" w:rsidTr="00F957FC">
        <w:trPr>
          <w:trHeight w:val="300"/>
        </w:trPr>
        <w:tc>
          <w:tcPr>
            <w:tcW w:w="964" w:type="pct"/>
            <w:tcBorders>
              <w:top w:val="nil"/>
              <w:left w:val="single" w:sz="4" w:space="0" w:color="auto"/>
              <w:bottom w:val="single" w:sz="4" w:space="0" w:color="auto"/>
              <w:right w:val="single" w:sz="4" w:space="0" w:color="auto"/>
            </w:tcBorders>
            <w:shd w:val="clear" w:color="auto" w:fill="auto"/>
            <w:noWrap/>
            <w:vAlign w:val="bottom"/>
            <w:hideMark/>
          </w:tcPr>
          <w:p w:rsidR="005D5630" w:rsidRPr="00DE503E" w:rsidRDefault="005D5630" w:rsidP="0047133A">
            <w:pPr>
              <w:spacing w:after="0" w:line="240" w:lineRule="auto"/>
              <w:jc w:val="center"/>
              <w:rPr>
                <w:rFonts w:ascii="Verdana" w:eastAsia="Times New Roman" w:hAnsi="Verdana" w:cs="Times New Roman"/>
                <w:b/>
                <w:bCs/>
                <w:sz w:val="16"/>
                <w:szCs w:val="16"/>
                <w:lang w:val="en-GB" w:eastAsia="en-GB"/>
              </w:rPr>
            </w:pPr>
            <w:r w:rsidRPr="00DE503E">
              <w:rPr>
                <w:rFonts w:ascii="Verdana" w:eastAsia="Times New Roman" w:hAnsi="Verdana" w:cs="Times New Roman"/>
                <w:b/>
                <w:bCs/>
                <w:sz w:val="16"/>
                <w:szCs w:val="16"/>
                <w:lang w:val="en-GB" w:eastAsia="en-GB"/>
              </w:rPr>
              <w:t>April 2011-September  2011</w:t>
            </w:r>
          </w:p>
        </w:tc>
        <w:tc>
          <w:tcPr>
            <w:tcW w:w="846" w:type="pct"/>
            <w:tcBorders>
              <w:top w:val="nil"/>
              <w:left w:val="nil"/>
              <w:bottom w:val="single" w:sz="4" w:space="0" w:color="auto"/>
              <w:right w:val="single" w:sz="4" w:space="0" w:color="auto"/>
            </w:tcBorders>
            <w:shd w:val="clear" w:color="auto" w:fill="auto"/>
            <w:noWrap/>
            <w:hideMark/>
          </w:tcPr>
          <w:p w:rsidR="005D5630" w:rsidRPr="00DE503E" w:rsidRDefault="005D5630" w:rsidP="008A37E3">
            <w:pPr>
              <w:spacing w:after="0" w:line="240" w:lineRule="auto"/>
              <w:jc w:val="center"/>
              <w:rPr>
                <w:rFonts w:ascii="Verdana" w:eastAsia="Times New Roman" w:hAnsi="Verdana" w:cs="Times New Roman"/>
                <w:b/>
                <w:bCs/>
                <w:sz w:val="16"/>
                <w:szCs w:val="16"/>
                <w:lang w:val="en-GB" w:eastAsia="en-GB"/>
              </w:rPr>
            </w:pPr>
            <w:r w:rsidRPr="00DE503E">
              <w:rPr>
                <w:rFonts w:ascii="Verdana" w:eastAsia="Times New Roman" w:hAnsi="Verdana" w:cs="Times New Roman"/>
                <w:b/>
                <w:bCs/>
                <w:sz w:val="16"/>
                <w:szCs w:val="16"/>
                <w:lang w:val="en-GB" w:eastAsia="en-GB"/>
              </w:rPr>
              <w:t>547</w:t>
            </w:r>
          </w:p>
        </w:tc>
        <w:tc>
          <w:tcPr>
            <w:tcW w:w="932" w:type="pct"/>
            <w:tcBorders>
              <w:top w:val="nil"/>
              <w:left w:val="nil"/>
              <w:bottom w:val="single" w:sz="4" w:space="0" w:color="auto"/>
              <w:right w:val="single" w:sz="4" w:space="0" w:color="auto"/>
            </w:tcBorders>
            <w:shd w:val="clear" w:color="auto" w:fill="auto"/>
            <w:noWrap/>
            <w:hideMark/>
          </w:tcPr>
          <w:p w:rsidR="005D5630" w:rsidRPr="00DE503E" w:rsidRDefault="005D5630" w:rsidP="0047133A">
            <w:pPr>
              <w:spacing w:after="0" w:line="240" w:lineRule="auto"/>
              <w:jc w:val="center"/>
              <w:rPr>
                <w:rFonts w:ascii="Verdana" w:eastAsia="Times New Roman" w:hAnsi="Verdana" w:cs="Times New Roman"/>
                <w:b/>
                <w:bCs/>
                <w:sz w:val="16"/>
                <w:szCs w:val="16"/>
                <w:lang w:val="en-GB" w:eastAsia="en-GB"/>
              </w:rPr>
            </w:pPr>
            <w:r w:rsidRPr="00DE503E">
              <w:rPr>
                <w:rFonts w:ascii="Verdana" w:eastAsia="Times New Roman" w:hAnsi="Verdana" w:cs="Times New Roman"/>
                <w:b/>
                <w:bCs/>
                <w:sz w:val="16"/>
                <w:szCs w:val="16"/>
                <w:lang w:val="en-GB" w:eastAsia="en-GB"/>
              </w:rPr>
              <w:t>369</w:t>
            </w:r>
          </w:p>
        </w:tc>
        <w:tc>
          <w:tcPr>
            <w:tcW w:w="845" w:type="pct"/>
            <w:tcBorders>
              <w:top w:val="nil"/>
              <w:left w:val="nil"/>
              <w:bottom w:val="single" w:sz="4" w:space="0" w:color="auto"/>
              <w:right w:val="single" w:sz="4" w:space="0" w:color="auto"/>
            </w:tcBorders>
            <w:shd w:val="clear" w:color="auto" w:fill="auto"/>
            <w:noWrap/>
            <w:hideMark/>
          </w:tcPr>
          <w:p w:rsidR="005D5630" w:rsidRPr="00DE503E" w:rsidRDefault="005D5630" w:rsidP="0047133A">
            <w:pPr>
              <w:spacing w:after="0" w:line="240" w:lineRule="auto"/>
              <w:jc w:val="center"/>
              <w:rPr>
                <w:rFonts w:ascii="Verdana" w:eastAsia="Times New Roman" w:hAnsi="Verdana" w:cs="Times New Roman"/>
                <w:b/>
                <w:bCs/>
                <w:sz w:val="16"/>
                <w:szCs w:val="16"/>
                <w:lang w:val="en-GB" w:eastAsia="en-GB"/>
              </w:rPr>
            </w:pPr>
            <w:r w:rsidRPr="00DE503E">
              <w:rPr>
                <w:rFonts w:ascii="Verdana" w:eastAsia="Times New Roman" w:hAnsi="Verdana" w:cs="Times New Roman"/>
                <w:b/>
                <w:bCs/>
                <w:sz w:val="16"/>
                <w:szCs w:val="16"/>
                <w:lang w:val="en-GB" w:eastAsia="en-GB"/>
              </w:rPr>
              <w:t>665</w:t>
            </w:r>
          </w:p>
        </w:tc>
        <w:tc>
          <w:tcPr>
            <w:tcW w:w="677" w:type="pct"/>
            <w:tcBorders>
              <w:top w:val="nil"/>
              <w:left w:val="nil"/>
              <w:bottom w:val="single" w:sz="4" w:space="0" w:color="auto"/>
              <w:right w:val="single" w:sz="4" w:space="0" w:color="auto"/>
            </w:tcBorders>
            <w:shd w:val="clear" w:color="auto" w:fill="auto"/>
            <w:noWrap/>
            <w:hideMark/>
          </w:tcPr>
          <w:p w:rsidR="005D5630" w:rsidRPr="00DE503E" w:rsidRDefault="005D5630" w:rsidP="0047133A">
            <w:pPr>
              <w:spacing w:after="0" w:line="240" w:lineRule="auto"/>
              <w:jc w:val="center"/>
              <w:rPr>
                <w:rFonts w:ascii="Verdana" w:eastAsia="Times New Roman" w:hAnsi="Verdana" w:cs="Times New Roman"/>
                <w:b/>
                <w:bCs/>
                <w:sz w:val="16"/>
                <w:szCs w:val="16"/>
                <w:lang w:val="en-GB" w:eastAsia="en-GB"/>
              </w:rPr>
            </w:pPr>
            <w:r w:rsidRPr="00DE503E">
              <w:rPr>
                <w:rFonts w:ascii="Verdana" w:eastAsia="Times New Roman" w:hAnsi="Verdana" w:cs="Times New Roman"/>
                <w:b/>
                <w:bCs/>
                <w:sz w:val="16"/>
                <w:szCs w:val="16"/>
                <w:lang w:val="en-GB" w:eastAsia="en-GB"/>
              </w:rPr>
              <w:t>425</w:t>
            </w:r>
          </w:p>
        </w:tc>
        <w:tc>
          <w:tcPr>
            <w:tcW w:w="736" w:type="pct"/>
            <w:gridSpan w:val="2"/>
            <w:tcBorders>
              <w:top w:val="nil"/>
              <w:left w:val="nil"/>
              <w:bottom w:val="single" w:sz="4" w:space="0" w:color="auto"/>
              <w:right w:val="single" w:sz="4" w:space="0" w:color="auto"/>
            </w:tcBorders>
            <w:shd w:val="clear" w:color="auto" w:fill="auto"/>
            <w:noWrap/>
            <w:hideMark/>
          </w:tcPr>
          <w:p w:rsidR="005D5630" w:rsidRPr="00DE503E" w:rsidRDefault="005D5630" w:rsidP="0047133A">
            <w:pPr>
              <w:spacing w:after="0" w:line="240" w:lineRule="auto"/>
              <w:jc w:val="center"/>
              <w:rPr>
                <w:rFonts w:ascii="Verdana" w:eastAsia="Times New Roman" w:hAnsi="Verdana" w:cs="Times New Roman"/>
                <w:b/>
                <w:bCs/>
                <w:sz w:val="16"/>
                <w:szCs w:val="16"/>
                <w:lang w:val="en-GB" w:eastAsia="en-GB"/>
              </w:rPr>
            </w:pPr>
            <w:r w:rsidRPr="00DE503E">
              <w:rPr>
                <w:rFonts w:ascii="Verdana" w:eastAsia="Times New Roman" w:hAnsi="Verdana" w:cs="Times New Roman"/>
                <w:b/>
                <w:bCs/>
                <w:sz w:val="16"/>
                <w:szCs w:val="16"/>
                <w:lang w:val="en-GB" w:eastAsia="en-GB"/>
              </w:rPr>
              <w:t>2151</w:t>
            </w:r>
          </w:p>
        </w:tc>
      </w:tr>
    </w:tbl>
    <w:p w:rsidR="00F072FA" w:rsidRPr="00DA78C7" w:rsidRDefault="00F072FA" w:rsidP="00D9288C">
      <w:pPr>
        <w:pStyle w:val="NoSpacing"/>
        <w:jc w:val="both"/>
        <w:rPr>
          <w:rFonts w:ascii="Verdana" w:hAnsi="Verdana" w:cs="Tahoma"/>
          <w:b/>
          <w:bCs/>
          <w:sz w:val="20"/>
          <w:szCs w:val="20"/>
          <w:lang w:val="en-GB"/>
        </w:rPr>
      </w:pPr>
    </w:p>
    <w:p w:rsidR="00F072FA" w:rsidRPr="00DA78C7" w:rsidRDefault="00F072FA" w:rsidP="00D847CF">
      <w:pPr>
        <w:jc w:val="both"/>
        <w:rPr>
          <w:rFonts w:ascii="Verdana" w:hAnsi="Verdana"/>
          <w:b/>
          <w:sz w:val="20"/>
          <w:szCs w:val="20"/>
          <w:lang w:val="en-GB"/>
        </w:rPr>
      </w:pPr>
      <w:r w:rsidRPr="00DA78C7">
        <w:rPr>
          <w:rFonts w:ascii="Verdana" w:hAnsi="Verdana"/>
          <w:b/>
          <w:sz w:val="20"/>
          <w:szCs w:val="20"/>
          <w:lang w:val="en-GB"/>
        </w:rPr>
        <w:t xml:space="preserve">4.4 </w:t>
      </w:r>
      <w:r w:rsidR="00AE7460" w:rsidRPr="00DA78C7">
        <w:rPr>
          <w:rFonts w:ascii="Verdana" w:hAnsi="Verdana"/>
          <w:b/>
          <w:sz w:val="20"/>
          <w:szCs w:val="20"/>
          <w:lang w:val="en-GB"/>
        </w:rPr>
        <w:t>Activities/</w:t>
      </w:r>
      <w:r w:rsidRPr="00DA78C7">
        <w:rPr>
          <w:rFonts w:ascii="Verdana" w:hAnsi="Verdana"/>
          <w:b/>
          <w:sz w:val="20"/>
          <w:szCs w:val="20"/>
          <w:lang w:val="en-GB"/>
        </w:rPr>
        <w:t>Achievements in Victim Assistance component during July – September 2011</w:t>
      </w:r>
    </w:p>
    <w:p w:rsidR="00F072FA" w:rsidRPr="00DA78C7" w:rsidRDefault="00F072FA" w:rsidP="00D9288C">
      <w:pPr>
        <w:pStyle w:val="NoSpacing"/>
        <w:jc w:val="both"/>
        <w:rPr>
          <w:rFonts w:ascii="Verdana" w:hAnsi="Verdana" w:cs="Tahoma"/>
          <w:b/>
          <w:bCs/>
          <w:sz w:val="20"/>
          <w:szCs w:val="20"/>
          <w:lang w:val="en-GB"/>
        </w:rPr>
      </w:pPr>
    </w:p>
    <w:p w:rsidR="00700387" w:rsidRDefault="005670D4"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 xml:space="preserve">Under new </w:t>
      </w:r>
      <w:r w:rsidR="00E97D7C" w:rsidRPr="00DA78C7">
        <w:rPr>
          <w:rFonts w:ascii="Verdana" w:hAnsi="Verdana"/>
          <w:sz w:val="20"/>
          <w:szCs w:val="20"/>
          <w:lang w:val="en-GB"/>
        </w:rPr>
        <w:t>P</w:t>
      </w:r>
      <w:r w:rsidRPr="00DA78C7">
        <w:rPr>
          <w:rFonts w:ascii="Verdana" w:hAnsi="Verdana"/>
          <w:sz w:val="20"/>
          <w:szCs w:val="20"/>
          <w:lang w:val="en-GB"/>
        </w:rPr>
        <w:t xml:space="preserve">roject Cooperation </w:t>
      </w:r>
      <w:r w:rsidR="00E97D7C" w:rsidRPr="00DA78C7">
        <w:rPr>
          <w:rFonts w:ascii="Verdana" w:hAnsi="Verdana"/>
          <w:sz w:val="20"/>
          <w:szCs w:val="20"/>
          <w:lang w:val="en-GB"/>
        </w:rPr>
        <w:t>A</w:t>
      </w:r>
      <w:r w:rsidRPr="00DA78C7">
        <w:rPr>
          <w:rFonts w:ascii="Verdana" w:hAnsi="Verdana"/>
          <w:sz w:val="20"/>
          <w:szCs w:val="20"/>
          <w:lang w:val="en-GB"/>
        </w:rPr>
        <w:t xml:space="preserve">greements (PCAs) with </w:t>
      </w:r>
      <w:r w:rsidR="005343A2" w:rsidRPr="00DA78C7">
        <w:rPr>
          <w:rFonts w:ascii="Verdana" w:hAnsi="Verdana"/>
          <w:sz w:val="20"/>
          <w:szCs w:val="20"/>
          <w:lang w:val="en-GB"/>
        </w:rPr>
        <w:t>UNDP</w:t>
      </w:r>
      <w:r w:rsidRPr="00DA78C7">
        <w:rPr>
          <w:rFonts w:ascii="Verdana" w:hAnsi="Verdana"/>
          <w:sz w:val="20"/>
          <w:szCs w:val="20"/>
          <w:lang w:val="en-GB"/>
        </w:rPr>
        <w:t xml:space="preserve">’s </w:t>
      </w:r>
      <w:r w:rsidR="004E7601" w:rsidRPr="00DA78C7">
        <w:rPr>
          <w:rFonts w:ascii="Verdana" w:hAnsi="Verdana"/>
          <w:sz w:val="20"/>
          <w:szCs w:val="20"/>
          <w:lang w:val="en-GB"/>
        </w:rPr>
        <w:t xml:space="preserve">NGO </w:t>
      </w:r>
      <w:r w:rsidRPr="00DA78C7">
        <w:rPr>
          <w:rFonts w:ascii="Verdana" w:hAnsi="Verdana"/>
          <w:sz w:val="20"/>
          <w:szCs w:val="20"/>
          <w:lang w:val="en-GB"/>
        </w:rPr>
        <w:t>implementing partners KORD, DPLC</w:t>
      </w:r>
      <w:r w:rsidR="00E97D7C" w:rsidRPr="00DA78C7">
        <w:rPr>
          <w:rFonts w:ascii="Verdana" w:hAnsi="Verdana"/>
          <w:sz w:val="20"/>
          <w:szCs w:val="20"/>
          <w:lang w:val="en-GB"/>
        </w:rPr>
        <w:t>,</w:t>
      </w:r>
      <w:r w:rsidRPr="00DA78C7">
        <w:rPr>
          <w:rFonts w:ascii="Verdana" w:hAnsi="Verdana"/>
          <w:sz w:val="20"/>
          <w:szCs w:val="20"/>
          <w:lang w:val="en-GB"/>
        </w:rPr>
        <w:t xml:space="preserve"> and PLCD</w:t>
      </w:r>
      <w:r w:rsidR="00E97D7C" w:rsidRPr="00DA78C7">
        <w:rPr>
          <w:rFonts w:ascii="Verdana" w:hAnsi="Verdana"/>
          <w:sz w:val="20"/>
          <w:szCs w:val="20"/>
          <w:lang w:val="en-GB"/>
        </w:rPr>
        <w:t>, UNDP</w:t>
      </w:r>
      <w:r w:rsidRPr="00DA78C7">
        <w:rPr>
          <w:rFonts w:ascii="Verdana" w:hAnsi="Verdana"/>
          <w:sz w:val="20"/>
          <w:szCs w:val="20"/>
          <w:lang w:val="en-GB"/>
        </w:rPr>
        <w:t xml:space="preserve"> </w:t>
      </w:r>
      <w:r w:rsidR="006C5AA5" w:rsidRPr="00DA78C7">
        <w:rPr>
          <w:rFonts w:ascii="Verdana" w:hAnsi="Verdana"/>
          <w:sz w:val="20"/>
          <w:szCs w:val="20"/>
          <w:lang w:val="en-GB"/>
        </w:rPr>
        <w:t>continued the regular</w:t>
      </w:r>
      <w:r w:rsidR="007E41EA" w:rsidRPr="00DA78C7">
        <w:rPr>
          <w:rFonts w:ascii="Verdana" w:hAnsi="Verdana"/>
          <w:sz w:val="20"/>
          <w:szCs w:val="20"/>
          <w:lang w:val="en-GB"/>
        </w:rPr>
        <w:t xml:space="preserve"> monitoring and follow-up of implementation </w:t>
      </w:r>
      <w:r w:rsidR="00E97D7C" w:rsidRPr="00DA78C7">
        <w:rPr>
          <w:rFonts w:ascii="Verdana" w:hAnsi="Verdana"/>
          <w:sz w:val="20"/>
          <w:szCs w:val="20"/>
          <w:lang w:val="en-GB"/>
        </w:rPr>
        <w:t xml:space="preserve">of the </w:t>
      </w:r>
      <w:r w:rsidR="007E41EA" w:rsidRPr="00DA78C7">
        <w:rPr>
          <w:rFonts w:ascii="Verdana" w:hAnsi="Verdana"/>
          <w:sz w:val="20"/>
          <w:szCs w:val="20"/>
          <w:lang w:val="en-GB"/>
        </w:rPr>
        <w:t xml:space="preserve"> Victim Assistance project activities </w:t>
      </w:r>
      <w:r w:rsidR="005343A2" w:rsidRPr="00DA78C7">
        <w:rPr>
          <w:rFonts w:ascii="Verdana" w:hAnsi="Verdana"/>
          <w:sz w:val="20"/>
          <w:szCs w:val="20"/>
          <w:lang w:val="en-GB"/>
        </w:rPr>
        <w:t>as</w:t>
      </w:r>
      <w:r w:rsidR="007E41EA" w:rsidRPr="00DA78C7">
        <w:rPr>
          <w:rFonts w:ascii="Verdana" w:hAnsi="Verdana"/>
          <w:sz w:val="20"/>
          <w:szCs w:val="20"/>
          <w:lang w:val="en-GB"/>
        </w:rPr>
        <w:t xml:space="preserve"> well as </w:t>
      </w:r>
      <w:r w:rsidR="006C5AA5" w:rsidRPr="00DA78C7">
        <w:rPr>
          <w:rFonts w:ascii="Verdana" w:hAnsi="Verdana"/>
          <w:sz w:val="20"/>
          <w:szCs w:val="20"/>
          <w:lang w:val="en-GB"/>
        </w:rPr>
        <w:t xml:space="preserve">providing </w:t>
      </w:r>
      <w:r w:rsidR="007E41EA" w:rsidRPr="00DA78C7">
        <w:rPr>
          <w:rFonts w:ascii="Verdana" w:hAnsi="Verdana"/>
          <w:sz w:val="20"/>
          <w:szCs w:val="20"/>
          <w:lang w:val="en-GB"/>
        </w:rPr>
        <w:t>technical advisory</w:t>
      </w:r>
      <w:r w:rsidR="006C5AA5" w:rsidRPr="00DA78C7">
        <w:rPr>
          <w:rFonts w:ascii="Verdana" w:hAnsi="Verdana"/>
          <w:sz w:val="20"/>
          <w:szCs w:val="20"/>
          <w:lang w:val="en-GB"/>
        </w:rPr>
        <w:t xml:space="preserve"> support to </w:t>
      </w:r>
      <w:r w:rsidR="007E41EA" w:rsidRPr="00DA78C7">
        <w:rPr>
          <w:rFonts w:ascii="Verdana" w:hAnsi="Verdana"/>
          <w:sz w:val="20"/>
          <w:szCs w:val="20"/>
          <w:lang w:val="en-GB"/>
        </w:rPr>
        <w:t xml:space="preserve">government counterparts and </w:t>
      </w:r>
      <w:r w:rsidR="004E7601" w:rsidRPr="00DA78C7">
        <w:rPr>
          <w:rFonts w:ascii="Verdana" w:hAnsi="Verdana"/>
          <w:sz w:val="20"/>
          <w:szCs w:val="20"/>
          <w:lang w:val="en-GB"/>
        </w:rPr>
        <w:t xml:space="preserve">the </w:t>
      </w:r>
      <w:r w:rsidR="007E41EA" w:rsidRPr="00DA78C7">
        <w:rPr>
          <w:rFonts w:ascii="Verdana" w:hAnsi="Verdana"/>
          <w:sz w:val="20"/>
          <w:szCs w:val="20"/>
          <w:lang w:val="en-GB"/>
        </w:rPr>
        <w:t>NGOs on Victim Assistance issues</w:t>
      </w:r>
      <w:r w:rsidR="00E97D7C" w:rsidRPr="00DA78C7">
        <w:rPr>
          <w:rFonts w:ascii="Verdana" w:hAnsi="Verdana"/>
          <w:sz w:val="20"/>
          <w:szCs w:val="20"/>
          <w:lang w:val="en-GB"/>
        </w:rPr>
        <w:t xml:space="preserve"> in the three northern governorates of Iraq (the Kurdistan Regional Government)</w:t>
      </w:r>
      <w:r w:rsidR="007E41EA" w:rsidRPr="00DA78C7">
        <w:rPr>
          <w:rFonts w:ascii="Verdana" w:hAnsi="Verdana"/>
          <w:sz w:val="20"/>
          <w:szCs w:val="20"/>
          <w:lang w:val="en-GB"/>
        </w:rPr>
        <w:t xml:space="preserve">. </w:t>
      </w:r>
    </w:p>
    <w:p w:rsidR="00DE503E" w:rsidRPr="00DA78C7" w:rsidRDefault="00DE503E" w:rsidP="00DE503E">
      <w:pPr>
        <w:pStyle w:val="NoSpacing"/>
        <w:spacing w:line="276" w:lineRule="auto"/>
        <w:ind w:left="720"/>
        <w:jc w:val="both"/>
        <w:rPr>
          <w:rFonts w:ascii="Verdana" w:hAnsi="Verdana"/>
          <w:sz w:val="20"/>
          <w:szCs w:val="20"/>
          <w:lang w:val="en-GB"/>
        </w:rPr>
      </w:pPr>
    </w:p>
    <w:p w:rsidR="00AE7460" w:rsidRDefault="00AE7460"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0ver 1,2</w:t>
      </w:r>
      <w:r w:rsidR="00630D77" w:rsidRPr="00DA78C7">
        <w:rPr>
          <w:rFonts w:ascii="Verdana" w:hAnsi="Verdana"/>
          <w:sz w:val="20"/>
          <w:szCs w:val="20"/>
          <w:lang w:val="en-GB"/>
        </w:rPr>
        <w:t>81</w:t>
      </w:r>
      <w:r w:rsidRPr="00DA78C7">
        <w:rPr>
          <w:rFonts w:ascii="Verdana" w:hAnsi="Verdana"/>
          <w:sz w:val="20"/>
          <w:szCs w:val="20"/>
          <w:lang w:val="en-GB"/>
        </w:rPr>
        <w:t xml:space="preserve"> </w:t>
      </w:r>
      <w:r w:rsidR="004E7601" w:rsidRPr="00DA78C7">
        <w:rPr>
          <w:rFonts w:ascii="Verdana" w:hAnsi="Verdana"/>
          <w:sz w:val="20"/>
          <w:szCs w:val="20"/>
          <w:lang w:val="en-GB"/>
        </w:rPr>
        <w:t xml:space="preserve">Persons with Disabilities (PwD) </w:t>
      </w:r>
      <w:r w:rsidRPr="00DA78C7">
        <w:rPr>
          <w:rFonts w:ascii="Verdana" w:hAnsi="Verdana"/>
          <w:sz w:val="20"/>
          <w:szCs w:val="20"/>
          <w:lang w:val="en-GB"/>
        </w:rPr>
        <w:t xml:space="preserve">received </w:t>
      </w:r>
      <w:proofErr w:type="spellStart"/>
      <w:r w:rsidRPr="00DA78C7">
        <w:rPr>
          <w:rFonts w:ascii="Verdana" w:hAnsi="Verdana"/>
          <w:sz w:val="20"/>
          <w:szCs w:val="20"/>
          <w:lang w:val="en-GB"/>
        </w:rPr>
        <w:t>ortho</w:t>
      </w:r>
      <w:proofErr w:type="spellEnd"/>
      <w:r w:rsidRPr="00DA78C7">
        <w:rPr>
          <w:rFonts w:ascii="Verdana" w:hAnsi="Verdana"/>
          <w:sz w:val="20"/>
          <w:szCs w:val="20"/>
          <w:lang w:val="en-GB"/>
        </w:rPr>
        <w:t>-prosthetic devices, maintenance to devices, Physiotherapy services, walking aids, rehabilitation and voca</w:t>
      </w:r>
      <w:r w:rsidR="00CA24F6" w:rsidRPr="00DA78C7">
        <w:rPr>
          <w:rFonts w:ascii="Verdana" w:hAnsi="Verdana"/>
          <w:sz w:val="20"/>
          <w:szCs w:val="20"/>
          <w:lang w:val="en-GB"/>
        </w:rPr>
        <w:t>tional training</w:t>
      </w:r>
      <w:r w:rsidR="00A25216" w:rsidRPr="00DA78C7">
        <w:rPr>
          <w:rFonts w:ascii="Verdana" w:hAnsi="Verdana"/>
          <w:sz w:val="20"/>
          <w:szCs w:val="20"/>
          <w:lang w:val="en-GB"/>
        </w:rPr>
        <w:t> services</w:t>
      </w:r>
      <w:r w:rsidR="00CA24F6" w:rsidRPr="00DA78C7">
        <w:rPr>
          <w:rFonts w:ascii="Verdana" w:hAnsi="Verdana"/>
          <w:sz w:val="20"/>
          <w:szCs w:val="20"/>
          <w:lang w:val="en-GB"/>
        </w:rPr>
        <w:t>. Moreover</w:t>
      </w:r>
      <w:r w:rsidR="004E7601" w:rsidRPr="00DA78C7">
        <w:rPr>
          <w:rFonts w:ascii="Verdana" w:hAnsi="Verdana"/>
          <w:sz w:val="20"/>
          <w:szCs w:val="20"/>
          <w:lang w:val="en-GB"/>
        </w:rPr>
        <w:t>,</w:t>
      </w:r>
      <w:r w:rsidR="00CA24F6" w:rsidRPr="00DA78C7">
        <w:rPr>
          <w:rFonts w:ascii="Verdana" w:hAnsi="Verdana"/>
          <w:sz w:val="20"/>
          <w:szCs w:val="20"/>
          <w:lang w:val="en-GB"/>
        </w:rPr>
        <w:t xml:space="preserve"> </w:t>
      </w:r>
      <w:r w:rsidR="00DA78C7" w:rsidRPr="00DA78C7">
        <w:rPr>
          <w:rFonts w:ascii="Verdana" w:hAnsi="Verdana"/>
          <w:sz w:val="20"/>
          <w:szCs w:val="20"/>
          <w:lang w:val="en-GB"/>
        </w:rPr>
        <w:t>36 PwD</w:t>
      </w:r>
      <w:r w:rsidRPr="00DA78C7">
        <w:rPr>
          <w:rFonts w:ascii="Verdana" w:hAnsi="Verdana"/>
          <w:sz w:val="20"/>
          <w:szCs w:val="20"/>
          <w:lang w:val="en-GB"/>
        </w:rPr>
        <w:t xml:space="preserve"> </w:t>
      </w:r>
      <w:r w:rsidR="004E7601" w:rsidRPr="00DA78C7">
        <w:rPr>
          <w:rFonts w:ascii="Verdana" w:hAnsi="Verdana"/>
          <w:sz w:val="20"/>
          <w:szCs w:val="20"/>
          <w:lang w:val="en-GB"/>
        </w:rPr>
        <w:t xml:space="preserve">were </w:t>
      </w:r>
      <w:r w:rsidRPr="00DA78C7">
        <w:rPr>
          <w:rFonts w:ascii="Verdana" w:hAnsi="Verdana"/>
          <w:sz w:val="20"/>
          <w:szCs w:val="20"/>
          <w:lang w:val="en-GB"/>
        </w:rPr>
        <w:t>provided with income generation project</w:t>
      </w:r>
      <w:r w:rsidR="00B42C6B" w:rsidRPr="00DA78C7">
        <w:rPr>
          <w:rFonts w:ascii="Verdana" w:hAnsi="Verdana"/>
          <w:sz w:val="20"/>
          <w:szCs w:val="20"/>
          <w:lang w:val="en-GB"/>
        </w:rPr>
        <w:t>s</w:t>
      </w:r>
      <w:r w:rsidR="004E7601" w:rsidRPr="00DA78C7">
        <w:rPr>
          <w:rFonts w:ascii="Verdana" w:hAnsi="Verdana"/>
          <w:sz w:val="20"/>
          <w:szCs w:val="20"/>
          <w:lang w:val="en-GB"/>
        </w:rPr>
        <w:t>.</w:t>
      </w:r>
    </w:p>
    <w:p w:rsidR="00DE503E" w:rsidRPr="00DA78C7" w:rsidRDefault="00DE503E" w:rsidP="00DE503E">
      <w:pPr>
        <w:pStyle w:val="NoSpacing"/>
        <w:spacing w:line="276" w:lineRule="auto"/>
        <w:jc w:val="both"/>
        <w:rPr>
          <w:rFonts w:ascii="Verdana" w:hAnsi="Verdana"/>
          <w:sz w:val="20"/>
          <w:szCs w:val="20"/>
          <w:lang w:val="en-GB"/>
        </w:rPr>
      </w:pPr>
    </w:p>
    <w:p w:rsidR="00B42C6B" w:rsidRDefault="00AE7460"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 xml:space="preserve">65% of DPLC and PLCD budgets </w:t>
      </w:r>
      <w:r w:rsidR="004E7601" w:rsidRPr="00DA78C7">
        <w:rPr>
          <w:rFonts w:ascii="Verdana" w:hAnsi="Verdana"/>
          <w:sz w:val="20"/>
          <w:szCs w:val="20"/>
          <w:lang w:val="en-GB"/>
        </w:rPr>
        <w:t xml:space="preserve">are now </w:t>
      </w:r>
      <w:r w:rsidRPr="00DA78C7">
        <w:rPr>
          <w:rFonts w:ascii="Verdana" w:hAnsi="Verdana"/>
          <w:sz w:val="20"/>
          <w:szCs w:val="20"/>
          <w:lang w:val="en-GB"/>
        </w:rPr>
        <w:t xml:space="preserve">covered by </w:t>
      </w:r>
      <w:proofErr w:type="spellStart"/>
      <w:r w:rsidRPr="00DA78C7">
        <w:rPr>
          <w:rFonts w:ascii="Verdana" w:hAnsi="Verdana"/>
          <w:sz w:val="20"/>
          <w:szCs w:val="20"/>
          <w:lang w:val="en-GB"/>
        </w:rPr>
        <w:t>MoH</w:t>
      </w:r>
      <w:proofErr w:type="spellEnd"/>
      <w:r w:rsidRPr="00DA78C7">
        <w:rPr>
          <w:rFonts w:ascii="Verdana" w:hAnsi="Verdana"/>
          <w:sz w:val="20"/>
          <w:szCs w:val="20"/>
          <w:lang w:val="en-GB"/>
        </w:rPr>
        <w:t>-KRG</w:t>
      </w:r>
      <w:r w:rsidR="00CA24F6" w:rsidRPr="00DA78C7">
        <w:rPr>
          <w:rFonts w:ascii="Verdana" w:hAnsi="Verdana"/>
          <w:sz w:val="20"/>
          <w:szCs w:val="20"/>
          <w:lang w:val="en-GB"/>
        </w:rPr>
        <w:t xml:space="preserve">, and </w:t>
      </w:r>
      <w:r w:rsidRPr="00DA78C7">
        <w:rPr>
          <w:rFonts w:ascii="Verdana" w:hAnsi="Verdana"/>
          <w:sz w:val="20"/>
          <w:szCs w:val="20"/>
          <w:lang w:val="en-GB"/>
        </w:rPr>
        <w:t xml:space="preserve">60% of KORD budget </w:t>
      </w:r>
      <w:r w:rsidR="004E7601" w:rsidRPr="00DA78C7">
        <w:rPr>
          <w:rFonts w:ascii="Verdana" w:hAnsi="Verdana"/>
          <w:sz w:val="20"/>
          <w:szCs w:val="20"/>
          <w:lang w:val="en-GB"/>
        </w:rPr>
        <w:t xml:space="preserve">is </w:t>
      </w:r>
      <w:r w:rsidRPr="00DA78C7">
        <w:rPr>
          <w:rFonts w:ascii="Verdana" w:hAnsi="Verdana"/>
          <w:sz w:val="20"/>
          <w:szCs w:val="20"/>
          <w:lang w:val="en-GB"/>
        </w:rPr>
        <w:t xml:space="preserve">covered by General Directorate for Mine Action – </w:t>
      </w:r>
      <w:proofErr w:type="spellStart"/>
      <w:r w:rsidRPr="00DA78C7">
        <w:rPr>
          <w:rFonts w:ascii="Verdana" w:hAnsi="Verdana"/>
          <w:sz w:val="20"/>
          <w:szCs w:val="20"/>
          <w:lang w:val="en-GB"/>
        </w:rPr>
        <w:t>Sulaimaniyah</w:t>
      </w:r>
      <w:proofErr w:type="spellEnd"/>
      <w:r w:rsidRPr="00DA78C7">
        <w:rPr>
          <w:rFonts w:ascii="Verdana" w:hAnsi="Verdana"/>
          <w:sz w:val="20"/>
          <w:szCs w:val="20"/>
          <w:lang w:val="en-GB"/>
        </w:rPr>
        <w:t xml:space="preserve"> (GDMA) and international donors</w:t>
      </w:r>
      <w:r w:rsidR="004E7601" w:rsidRPr="00DA78C7">
        <w:rPr>
          <w:rFonts w:ascii="Verdana" w:hAnsi="Verdana"/>
          <w:sz w:val="20"/>
          <w:szCs w:val="20"/>
          <w:lang w:val="en-GB"/>
        </w:rPr>
        <w:t>.</w:t>
      </w:r>
      <w:r w:rsidRPr="00DA78C7">
        <w:rPr>
          <w:rFonts w:ascii="Verdana" w:hAnsi="Verdana"/>
          <w:sz w:val="20"/>
          <w:szCs w:val="20"/>
          <w:lang w:val="en-GB"/>
        </w:rPr>
        <w:t xml:space="preserve"> </w:t>
      </w:r>
    </w:p>
    <w:p w:rsidR="00DE503E" w:rsidRPr="00DA78C7" w:rsidRDefault="00DE503E" w:rsidP="00DE503E">
      <w:pPr>
        <w:pStyle w:val="NoSpacing"/>
        <w:spacing w:line="276" w:lineRule="auto"/>
        <w:jc w:val="both"/>
        <w:rPr>
          <w:rFonts w:ascii="Verdana" w:hAnsi="Verdana"/>
          <w:sz w:val="20"/>
          <w:szCs w:val="20"/>
          <w:lang w:val="en-GB"/>
        </w:rPr>
      </w:pPr>
    </w:p>
    <w:p w:rsidR="00AE7460" w:rsidRDefault="00330F5F"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T</w:t>
      </w:r>
      <w:r w:rsidR="00AE7460" w:rsidRPr="00DA78C7">
        <w:rPr>
          <w:rFonts w:ascii="Verdana" w:hAnsi="Verdana"/>
          <w:sz w:val="20"/>
          <w:szCs w:val="20"/>
          <w:lang w:val="en-GB"/>
        </w:rPr>
        <w:t xml:space="preserve">he project </w:t>
      </w:r>
      <w:r w:rsidR="00D62074" w:rsidRPr="00DA78C7">
        <w:rPr>
          <w:rFonts w:ascii="Verdana" w:hAnsi="Verdana"/>
          <w:sz w:val="20"/>
          <w:szCs w:val="20"/>
          <w:lang w:val="en-GB"/>
        </w:rPr>
        <w:t xml:space="preserve">addressed and </w:t>
      </w:r>
      <w:r w:rsidR="00AE7460" w:rsidRPr="00DA78C7">
        <w:rPr>
          <w:rFonts w:ascii="Verdana" w:hAnsi="Verdana"/>
          <w:sz w:val="20"/>
          <w:szCs w:val="20"/>
          <w:lang w:val="en-GB"/>
        </w:rPr>
        <w:t xml:space="preserve">will address gender based needs in physical and socio-economic rehabilitation, and promotes equal access and services for all men, women, boys and girls. </w:t>
      </w:r>
      <w:r w:rsidRPr="00DA78C7">
        <w:rPr>
          <w:rFonts w:ascii="Verdana" w:hAnsi="Verdana"/>
          <w:sz w:val="20"/>
          <w:szCs w:val="20"/>
          <w:lang w:val="en-GB"/>
        </w:rPr>
        <w:t>From 1,281</w:t>
      </w:r>
      <w:r w:rsidR="00AE7460" w:rsidRPr="00DA78C7">
        <w:rPr>
          <w:rFonts w:ascii="Verdana" w:hAnsi="Verdana"/>
          <w:sz w:val="20"/>
          <w:szCs w:val="20"/>
          <w:lang w:val="en-GB"/>
        </w:rPr>
        <w:t xml:space="preserve"> </w:t>
      </w:r>
      <w:r w:rsidRPr="00DA78C7">
        <w:rPr>
          <w:rFonts w:ascii="Verdana" w:hAnsi="Verdana"/>
          <w:sz w:val="20"/>
          <w:szCs w:val="20"/>
          <w:lang w:val="en-GB"/>
        </w:rPr>
        <w:t xml:space="preserve">PwD received services (over 300 </w:t>
      </w:r>
      <w:r w:rsidR="00AE7460" w:rsidRPr="00DA78C7">
        <w:rPr>
          <w:rFonts w:ascii="Verdana" w:hAnsi="Verdana"/>
          <w:sz w:val="20"/>
          <w:szCs w:val="20"/>
          <w:lang w:val="en-GB"/>
        </w:rPr>
        <w:t>PwD were women and girls)</w:t>
      </w:r>
      <w:r w:rsidR="00C31DD5" w:rsidRPr="00DA78C7">
        <w:rPr>
          <w:rFonts w:ascii="Verdana" w:hAnsi="Verdana"/>
          <w:sz w:val="20"/>
          <w:szCs w:val="20"/>
          <w:lang w:val="en-GB"/>
        </w:rPr>
        <w:t>.</w:t>
      </w:r>
    </w:p>
    <w:p w:rsidR="00DE503E" w:rsidRPr="00DA78C7" w:rsidRDefault="00DE503E" w:rsidP="00DE503E">
      <w:pPr>
        <w:pStyle w:val="NoSpacing"/>
        <w:spacing w:line="276" w:lineRule="auto"/>
        <w:jc w:val="both"/>
        <w:rPr>
          <w:rFonts w:ascii="Verdana" w:hAnsi="Verdana"/>
          <w:sz w:val="20"/>
          <w:szCs w:val="20"/>
          <w:lang w:val="en-GB"/>
        </w:rPr>
      </w:pPr>
    </w:p>
    <w:p w:rsidR="00C31DD5" w:rsidRDefault="00C31DD5" w:rsidP="00DE503E">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 xml:space="preserve">UNDP together with Ministry of Environment, held the Second National Victim Assistance work shop under the slogan “Victims of Mines are Debts from Previous Wars” in Erbil at </w:t>
      </w:r>
      <w:proofErr w:type="spellStart"/>
      <w:r w:rsidRPr="00DA78C7">
        <w:rPr>
          <w:rFonts w:ascii="Verdana" w:hAnsi="Verdana"/>
          <w:sz w:val="20"/>
          <w:szCs w:val="20"/>
          <w:lang w:val="en-GB"/>
        </w:rPr>
        <w:t>Shahid-Sa’ad</w:t>
      </w:r>
      <w:proofErr w:type="spellEnd"/>
      <w:r w:rsidRPr="00DA78C7">
        <w:rPr>
          <w:rFonts w:ascii="Verdana" w:hAnsi="Verdana"/>
          <w:sz w:val="20"/>
          <w:szCs w:val="20"/>
          <w:lang w:val="en-GB"/>
        </w:rPr>
        <w:t xml:space="preserve"> Convention Centre from 26 to 29 September 2011. The workshop was arranged by the Ministry of Environment with the support of UNDP, which provided the content and logistical arrangements. The workshop had over 120 participants from various Iraqi ministries, in addition to the project’s donor</w:t>
      </w:r>
      <w:r w:rsidRPr="00DA78C7">
        <w:rPr>
          <w:rStyle w:val="FootnoteReference"/>
          <w:rFonts w:ascii="Verdana" w:hAnsi="Verdana"/>
          <w:sz w:val="20"/>
          <w:szCs w:val="20"/>
          <w:lang w:val="en-GB"/>
        </w:rPr>
        <w:footnoteReference w:id="10"/>
      </w:r>
      <w:r w:rsidRPr="00DA78C7">
        <w:rPr>
          <w:rFonts w:ascii="Verdana" w:hAnsi="Verdana"/>
          <w:sz w:val="20"/>
          <w:szCs w:val="20"/>
          <w:lang w:val="en-GB"/>
        </w:rPr>
        <w:t xml:space="preserve">. During the event, groups of participants discussed the following six thematic areas of victim assistance; Emergency and Continuing Medical Care; Physical Rehabilitation; Psychosocial/Psychological and peer support; Social and economic inclusion “including Community Based Rehabilitation (CBR)”; Data collection and; Legislation and Policy.  The working group conclusions and recommendations were presented to the GOI and other victim assistance service providers with the purpose of </w:t>
      </w:r>
      <w:r w:rsidR="004E7601" w:rsidRPr="00DA78C7">
        <w:rPr>
          <w:rFonts w:ascii="Verdana" w:hAnsi="Verdana"/>
          <w:sz w:val="20"/>
          <w:szCs w:val="20"/>
          <w:lang w:val="en-GB"/>
        </w:rPr>
        <w:t>utilising them in the</w:t>
      </w:r>
      <w:r w:rsidRPr="00DA78C7">
        <w:rPr>
          <w:rFonts w:ascii="Verdana" w:hAnsi="Verdana"/>
          <w:sz w:val="20"/>
          <w:szCs w:val="20"/>
          <w:lang w:val="en-GB"/>
        </w:rPr>
        <w:t xml:space="preserve"> preparation of action plans for each theme.</w:t>
      </w:r>
    </w:p>
    <w:p w:rsidR="00DE503E" w:rsidRPr="00DA78C7" w:rsidRDefault="00DE503E" w:rsidP="00DE503E">
      <w:pPr>
        <w:pStyle w:val="NoSpacing"/>
        <w:jc w:val="both"/>
        <w:rPr>
          <w:rFonts w:ascii="Verdana" w:hAnsi="Verdana"/>
          <w:sz w:val="20"/>
          <w:szCs w:val="20"/>
          <w:lang w:val="en-GB"/>
        </w:rPr>
      </w:pPr>
    </w:p>
    <w:p w:rsidR="00E11952" w:rsidRPr="00DA78C7" w:rsidRDefault="00EC4110" w:rsidP="00D9288C">
      <w:pPr>
        <w:pStyle w:val="NoSpacing"/>
        <w:jc w:val="both"/>
        <w:rPr>
          <w:rFonts w:ascii="Verdana" w:hAnsi="Verdana" w:cs="Tahoma"/>
          <w:b/>
          <w:bCs/>
          <w:sz w:val="20"/>
          <w:szCs w:val="20"/>
          <w:lang w:val="en-GB"/>
        </w:rPr>
      </w:pPr>
      <w:r w:rsidRPr="00DA78C7">
        <w:rPr>
          <w:rFonts w:ascii="Verdana" w:hAnsi="Verdana" w:cs="Tahoma"/>
          <w:b/>
          <w:bCs/>
          <w:sz w:val="20"/>
          <w:szCs w:val="20"/>
          <w:lang w:val="en-GB"/>
        </w:rPr>
        <w:t>4.</w:t>
      </w:r>
      <w:r w:rsidR="00F072FA" w:rsidRPr="00DA78C7">
        <w:rPr>
          <w:rFonts w:ascii="Verdana" w:hAnsi="Verdana" w:cs="Tahoma"/>
          <w:b/>
          <w:bCs/>
          <w:sz w:val="20"/>
          <w:szCs w:val="20"/>
          <w:lang w:val="en-GB"/>
        </w:rPr>
        <w:t>5</w:t>
      </w:r>
      <w:r w:rsidRPr="00DA78C7">
        <w:rPr>
          <w:rFonts w:ascii="Verdana" w:hAnsi="Verdana" w:cs="Tahoma"/>
          <w:b/>
          <w:bCs/>
          <w:sz w:val="20"/>
          <w:szCs w:val="20"/>
          <w:lang w:val="en-GB"/>
        </w:rPr>
        <w:t xml:space="preserve"> Achievements</w:t>
      </w:r>
      <w:r w:rsidR="00E11952" w:rsidRPr="00DA78C7">
        <w:rPr>
          <w:rFonts w:ascii="Verdana" w:hAnsi="Verdana" w:cs="Tahoma"/>
          <w:b/>
          <w:bCs/>
          <w:sz w:val="20"/>
          <w:szCs w:val="20"/>
          <w:lang w:val="en-GB"/>
        </w:rPr>
        <w:t xml:space="preserve"> against expected outcomes </w:t>
      </w:r>
    </w:p>
    <w:p w:rsidR="00283D1C" w:rsidRPr="00DA78C7" w:rsidRDefault="00283D1C" w:rsidP="00E11952">
      <w:pPr>
        <w:pStyle w:val="NoSpacing"/>
        <w:jc w:val="both"/>
        <w:rPr>
          <w:rFonts w:ascii="Verdana" w:hAnsi="Verdana" w:cs="Tahoma"/>
          <w:b/>
          <w:bCs/>
          <w:sz w:val="20"/>
          <w:szCs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558"/>
        <w:gridCol w:w="2412"/>
        <w:gridCol w:w="1479"/>
      </w:tblGrid>
      <w:tr w:rsidR="002F5B49" w:rsidRPr="00DA78C7" w:rsidTr="002B7021">
        <w:trPr>
          <w:trHeight w:val="841"/>
        </w:trPr>
        <w:tc>
          <w:tcPr>
            <w:tcW w:w="2052" w:type="pct"/>
            <w:tcBorders>
              <w:top w:val="single" w:sz="4" w:space="0" w:color="000000"/>
              <w:left w:val="single" w:sz="4" w:space="0" w:color="000000"/>
              <w:bottom w:val="double" w:sz="4" w:space="0" w:color="auto"/>
              <w:right w:val="single" w:sz="4" w:space="0" w:color="000000"/>
            </w:tcBorders>
          </w:tcPr>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EXPECTED  OUTPUTS</w:t>
            </w:r>
          </w:p>
          <w:p w:rsidR="002F5B49" w:rsidRPr="00DA78C7" w:rsidRDefault="002F5B49" w:rsidP="00147538">
            <w:pPr>
              <w:tabs>
                <w:tab w:val="left" w:pos="3240"/>
              </w:tabs>
              <w:rPr>
                <w:rFonts w:ascii="Verdana" w:hAnsi="Verdana"/>
                <w:sz w:val="20"/>
                <w:szCs w:val="20"/>
                <w:lang w:val="en-GB"/>
              </w:rPr>
            </w:pPr>
            <w:r w:rsidRPr="00DA78C7">
              <w:rPr>
                <w:rFonts w:ascii="Verdana" w:hAnsi="Verdana"/>
                <w:sz w:val="20"/>
                <w:szCs w:val="20"/>
                <w:lang w:val="en-GB"/>
              </w:rPr>
              <w:t>And baseline, indicators including annual targets</w:t>
            </w:r>
          </w:p>
        </w:tc>
        <w:tc>
          <w:tcPr>
            <w:tcW w:w="843" w:type="pct"/>
            <w:tcBorders>
              <w:top w:val="single" w:sz="4" w:space="0" w:color="000000"/>
              <w:left w:val="single" w:sz="4" w:space="0" w:color="000000"/>
              <w:bottom w:val="double" w:sz="4" w:space="0" w:color="auto"/>
              <w:right w:val="single" w:sz="4" w:space="0" w:color="000000"/>
            </w:tcBorders>
          </w:tcPr>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PLANNED ACTIVITIES</w:t>
            </w:r>
          </w:p>
          <w:p w:rsidR="002F5B49" w:rsidRPr="00DA78C7" w:rsidRDefault="002F5B49" w:rsidP="00147538">
            <w:pPr>
              <w:tabs>
                <w:tab w:val="left" w:pos="3240"/>
              </w:tabs>
              <w:rPr>
                <w:rFonts w:ascii="Verdana" w:hAnsi="Verdana"/>
                <w:sz w:val="20"/>
                <w:szCs w:val="20"/>
                <w:lang w:val="en-GB"/>
              </w:rPr>
            </w:pPr>
            <w:r w:rsidRPr="00DA78C7">
              <w:rPr>
                <w:rFonts w:ascii="Verdana" w:hAnsi="Verdana"/>
                <w:sz w:val="20"/>
                <w:szCs w:val="20"/>
                <w:lang w:val="en-GB"/>
              </w:rPr>
              <w:t>List activity results and associated actions</w:t>
            </w:r>
          </w:p>
        </w:tc>
        <w:tc>
          <w:tcPr>
            <w:tcW w:w="1305" w:type="pct"/>
            <w:tcBorders>
              <w:top w:val="single" w:sz="4" w:space="0" w:color="000000"/>
              <w:left w:val="single" w:sz="4" w:space="0" w:color="000000"/>
              <w:bottom w:val="double" w:sz="4" w:space="0" w:color="auto"/>
              <w:right w:val="single" w:sz="4" w:space="0" w:color="000000"/>
            </w:tcBorders>
          </w:tcPr>
          <w:p w:rsidR="002F5B49" w:rsidRPr="00DA78C7" w:rsidRDefault="002F5B49" w:rsidP="00147538">
            <w:pPr>
              <w:tabs>
                <w:tab w:val="left" w:pos="3240"/>
              </w:tabs>
              <w:rPr>
                <w:rFonts w:ascii="Verdana" w:hAnsi="Verdana"/>
                <w:sz w:val="20"/>
                <w:szCs w:val="20"/>
                <w:lang w:val="en-GB"/>
              </w:rPr>
            </w:pPr>
            <w:r w:rsidRPr="00DA78C7">
              <w:rPr>
                <w:rFonts w:ascii="Verdana" w:hAnsi="Verdana"/>
                <w:sz w:val="20"/>
                <w:szCs w:val="20"/>
                <w:lang w:val="en-GB"/>
              </w:rPr>
              <w:t>Achieved results</w:t>
            </w:r>
          </w:p>
        </w:tc>
        <w:tc>
          <w:tcPr>
            <w:tcW w:w="801" w:type="pct"/>
            <w:tcBorders>
              <w:top w:val="single" w:sz="4" w:space="0" w:color="000000"/>
              <w:left w:val="single" w:sz="4" w:space="0" w:color="000000"/>
              <w:bottom w:val="double" w:sz="4" w:space="0" w:color="auto"/>
              <w:right w:val="single" w:sz="4" w:space="0" w:color="000000"/>
            </w:tcBorders>
          </w:tcPr>
          <w:p w:rsidR="002F5B49" w:rsidRPr="00DA78C7" w:rsidRDefault="002F5B49" w:rsidP="00147538">
            <w:pPr>
              <w:tabs>
                <w:tab w:val="left" w:pos="3240"/>
              </w:tabs>
              <w:rPr>
                <w:rFonts w:ascii="Verdana" w:hAnsi="Verdana"/>
                <w:sz w:val="20"/>
                <w:szCs w:val="20"/>
                <w:lang w:val="en-GB"/>
              </w:rPr>
            </w:pPr>
            <w:r w:rsidRPr="00DA78C7">
              <w:rPr>
                <w:rFonts w:ascii="Verdana" w:hAnsi="Verdana"/>
                <w:sz w:val="20"/>
                <w:szCs w:val="20"/>
                <w:lang w:val="en-GB"/>
              </w:rPr>
              <w:t xml:space="preserve">Remarks </w:t>
            </w:r>
          </w:p>
        </w:tc>
      </w:tr>
      <w:tr w:rsidR="002F5B49" w:rsidRPr="00DA78C7" w:rsidTr="002B7021">
        <w:trPr>
          <w:trHeight w:val="2805"/>
        </w:trPr>
        <w:tc>
          <w:tcPr>
            <w:tcW w:w="2052" w:type="pct"/>
            <w:tcBorders>
              <w:bottom w:val="double" w:sz="4" w:space="0" w:color="auto"/>
            </w:tcBorders>
          </w:tcPr>
          <w:p w:rsidR="002F5B49" w:rsidRPr="00DA78C7" w:rsidRDefault="002F5B49" w:rsidP="00147538">
            <w:pPr>
              <w:pStyle w:val="NoSpacing"/>
              <w:rPr>
                <w:rFonts w:ascii="Verdana" w:hAnsi="Verdana"/>
                <w:sz w:val="20"/>
                <w:szCs w:val="20"/>
                <w:u w:val="single"/>
                <w:lang w:val="en-GB"/>
              </w:rPr>
            </w:pPr>
            <w:r w:rsidRPr="00DA78C7">
              <w:rPr>
                <w:rFonts w:ascii="Verdana" w:hAnsi="Verdana"/>
                <w:sz w:val="20"/>
                <w:szCs w:val="20"/>
                <w:u w:val="single"/>
                <w:lang w:val="en-GB"/>
              </w:rPr>
              <w:t>Output 1 project (57309)</w:t>
            </w:r>
          </w:p>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1.Increased amount of lands cleared and socio-economic infrastructure restored in Basra and other central and southern Iraq</w:t>
            </w:r>
          </w:p>
          <w:p w:rsidR="002F5B49" w:rsidRPr="00DA78C7" w:rsidRDefault="002F5B49" w:rsidP="00147538">
            <w:pPr>
              <w:pStyle w:val="NoSpacing"/>
              <w:rPr>
                <w:rFonts w:ascii="Verdana" w:hAnsi="Verdana"/>
                <w:sz w:val="20"/>
                <w:szCs w:val="20"/>
                <w:lang w:val="en-GB"/>
              </w:rPr>
            </w:pPr>
          </w:p>
          <w:p w:rsidR="002F5B49" w:rsidRPr="00DA78C7" w:rsidRDefault="002F5B49" w:rsidP="00147538">
            <w:pPr>
              <w:pStyle w:val="NoSpacing"/>
              <w:rPr>
                <w:rFonts w:ascii="Verdana" w:hAnsi="Verdana"/>
                <w:sz w:val="20"/>
                <w:szCs w:val="20"/>
                <w:u w:val="single"/>
                <w:lang w:val="en-GB"/>
              </w:rPr>
            </w:pPr>
            <w:r w:rsidRPr="00DA78C7">
              <w:rPr>
                <w:rFonts w:ascii="Verdana" w:hAnsi="Verdana"/>
                <w:sz w:val="20"/>
                <w:szCs w:val="20"/>
                <w:u w:val="single"/>
                <w:lang w:val="en-GB"/>
              </w:rPr>
              <w:t>Indicators</w:t>
            </w:r>
          </w:p>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1.1 Number of square meters of land cleared by supported NGOs</w:t>
            </w:r>
          </w:p>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1.2 Number of social and economic infrastructure (e.g. schools, health centres, roads) restored and number of people benefiting from infrastructure restoration</w:t>
            </w:r>
          </w:p>
          <w:p w:rsidR="002F5B49" w:rsidRPr="00DA78C7" w:rsidRDefault="002F5B49" w:rsidP="00147538">
            <w:pPr>
              <w:pStyle w:val="NoSpacing"/>
              <w:rPr>
                <w:rFonts w:ascii="Verdana" w:hAnsi="Verdana"/>
                <w:sz w:val="20"/>
                <w:szCs w:val="20"/>
                <w:lang w:val="en-GB"/>
              </w:rPr>
            </w:pPr>
          </w:p>
          <w:p w:rsidR="002F5B49" w:rsidRPr="00DA78C7" w:rsidRDefault="002F5B49" w:rsidP="00147538">
            <w:pPr>
              <w:pStyle w:val="NoSpacing"/>
              <w:rPr>
                <w:rFonts w:ascii="Verdana" w:hAnsi="Verdana"/>
                <w:sz w:val="20"/>
                <w:szCs w:val="20"/>
                <w:u w:val="single"/>
                <w:lang w:val="en-GB"/>
              </w:rPr>
            </w:pPr>
            <w:r w:rsidRPr="00DA78C7">
              <w:rPr>
                <w:rFonts w:ascii="Verdana" w:hAnsi="Verdana"/>
                <w:sz w:val="20"/>
                <w:szCs w:val="20"/>
                <w:u w:val="single"/>
                <w:lang w:val="en-GB"/>
              </w:rPr>
              <w:t xml:space="preserve">Baseline : </w:t>
            </w:r>
          </w:p>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1.1 Approx. 8 million square meters cleared by RDO in 2008</w:t>
            </w:r>
          </w:p>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1.2  To be collected by June 2010</w:t>
            </w:r>
          </w:p>
          <w:p w:rsidR="002F5B49" w:rsidRPr="00DA78C7" w:rsidRDefault="002F5B49" w:rsidP="00147538">
            <w:pPr>
              <w:pStyle w:val="NoSpacing"/>
              <w:rPr>
                <w:rFonts w:ascii="Verdana" w:hAnsi="Verdana"/>
                <w:sz w:val="20"/>
                <w:szCs w:val="20"/>
                <w:lang w:val="en-GB"/>
              </w:rPr>
            </w:pPr>
          </w:p>
          <w:p w:rsidR="002F5B49" w:rsidRPr="00DA78C7" w:rsidRDefault="002F5B49" w:rsidP="00147538">
            <w:pPr>
              <w:pStyle w:val="NoSpacing"/>
              <w:rPr>
                <w:rFonts w:ascii="Verdana" w:hAnsi="Verdana"/>
                <w:sz w:val="20"/>
                <w:szCs w:val="20"/>
                <w:u w:val="single"/>
                <w:lang w:val="en-GB"/>
              </w:rPr>
            </w:pPr>
            <w:r w:rsidRPr="00DA78C7">
              <w:rPr>
                <w:rFonts w:ascii="Verdana" w:hAnsi="Verdana"/>
                <w:sz w:val="20"/>
                <w:szCs w:val="20"/>
                <w:u w:val="single"/>
                <w:lang w:val="en-GB"/>
              </w:rPr>
              <w:t>Target</w:t>
            </w:r>
          </w:p>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1.1 24 mil square meters cleared in 24 months</w:t>
            </w:r>
          </w:p>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1.2 To be determined by June 2010</w:t>
            </w:r>
          </w:p>
        </w:tc>
        <w:tc>
          <w:tcPr>
            <w:tcW w:w="843" w:type="pct"/>
            <w:tcBorders>
              <w:bottom w:val="double" w:sz="4" w:space="0" w:color="auto"/>
            </w:tcBorders>
          </w:tcPr>
          <w:p w:rsidR="002F5B49" w:rsidRPr="00DA78C7" w:rsidRDefault="002F5B49" w:rsidP="002B7021">
            <w:pPr>
              <w:pStyle w:val="NoSpacing"/>
              <w:rPr>
                <w:rFonts w:ascii="Verdana" w:hAnsi="Verdana"/>
                <w:sz w:val="20"/>
                <w:szCs w:val="20"/>
                <w:lang w:val="en-GB"/>
              </w:rPr>
            </w:pPr>
            <w:r w:rsidRPr="00DA78C7">
              <w:rPr>
                <w:rFonts w:ascii="Verdana" w:hAnsi="Verdana"/>
                <w:sz w:val="20"/>
                <w:szCs w:val="20"/>
                <w:lang w:val="en-GB"/>
              </w:rPr>
              <w:t xml:space="preserve">Provide </w:t>
            </w:r>
            <w:r w:rsidR="002B7021" w:rsidRPr="00DA78C7">
              <w:rPr>
                <w:rFonts w:ascii="Verdana" w:hAnsi="Verdana"/>
                <w:sz w:val="20"/>
                <w:szCs w:val="20"/>
                <w:lang w:val="en-GB"/>
              </w:rPr>
              <w:t>international NGO</w:t>
            </w:r>
            <w:r w:rsidRPr="00DA78C7">
              <w:rPr>
                <w:rFonts w:ascii="Verdana" w:hAnsi="Verdana"/>
                <w:sz w:val="20"/>
                <w:szCs w:val="20"/>
                <w:lang w:val="en-GB"/>
              </w:rPr>
              <w:t xml:space="preserve"> in Basra with grants to conduct survey and clearance activities </w:t>
            </w:r>
          </w:p>
        </w:tc>
        <w:tc>
          <w:tcPr>
            <w:tcW w:w="1305" w:type="pct"/>
            <w:tcBorders>
              <w:bottom w:val="double" w:sz="4" w:space="0" w:color="auto"/>
            </w:tcBorders>
          </w:tcPr>
          <w:p w:rsidR="004E7601" w:rsidRPr="00DA78C7" w:rsidRDefault="004E7601" w:rsidP="00DA78C7">
            <w:pPr>
              <w:pStyle w:val="NoSpacing"/>
              <w:ind w:left="269"/>
              <w:rPr>
                <w:rFonts w:ascii="Verdana" w:eastAsia="Times New Roman" w:hAnsi="Verdana" w:cs="Times New Roman"/>
                <w:sz w:val="20"/>
                <w:szCs w:val="20"/>
                <w:lang w:val="en-GB" w:eastAsia="en-GB"/>
              </w:rPr>
            </w:pPr>
          </w:p>
          <w:p w:rsidR="004E7601" w:rsidRPr="00DA78C7" w:rsidRDefault="004E7601" w:rsidP="00DA78C7">
            <w:pPr>
              <w:pStyle w:val="NoSpacing"/>
              <w:ind w:left="269"/>
              <w:rPr>
                <w:rFonts w:ascii="Verdana" w:eastAsia="Times New Roman" w:hAnsi="Verdana" w:cs="Times New Roman"/>
                <w:sz w:val="20"/>
                <w:szCs w:val="20"/>
                <w:lang w:val="en-GB" w:eastAsia="en-GB"/>
              </w:rPr>
            </w:pPr>
          </w:p>
          <w:p w:rsidR="002F5B49" w:rsidRPr="00DA78C7" w:rsidRDefault="002F5B49" w:rsidP="00DA78C7">
            <w:pPr>
              <w:pStyle w:val="NoSpacing"/>
              <w:numPr>
                <w:ilvl w:val="0"/>
                <w:numId w:val="22"/>
              </w:numPr>
              <w:ind w:left="269" w:hanging="234"/>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3,389,759 sq</w:t>
            </w:r>
            <w:r w:rsidR="002B7021" w:rsidRPr="00DA78C7">
              <w:rPr>
                <w:rFonts w:ascii="Verdana" w:eastAsia="Times New Roman" w:hAnsi="Verdana" w:cs="Times New Roman"/>
                <w:sz w:val="20"/>
                <w:szCs w:val="20"/>
                <w:lang w:val="en-GB" w:eastAsia="en-GB"/>
              </w:rPr>
              <w:t>uare meter of land were cleared</w:t>
            </w:r>
          </w:p>
          <w:p w:rsidR="00B42C40" w:rsidRPr="00DA78C7" w:rsidRDefault="002F5B49" w:rsidP="00DA78C7">
            <w:pPr>
              <w:pStyle w:val="NoSpacing"/>
              <w:numPr>
                <w:ilvl w:val="0"/>
                <w:numId w:val="22"/>
              </w:numPr>
              <w:ind w:left="269" w:hanging="234"/>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210,300 squa</w:t>
            </w:r>
            <w:r w:rsidR="002B7021" w:rsidRPr="00DA78C7">
              <w:rPr>
                <w:rFonts w:ascii="Verdana" w:eastAsia="Times New Roman" w:hAnsi="Verdana" w:cs="Times New Roman"/>
                <w:sz w:val="20"/>
                <w:szCs w:val="20"/>
                <w:lang w:val="en-GB" w:eastAsia="en-GB"/>
              </w:rPr>
              <w:t>re meters of land was released</w:t>
            </w:r>
          </w:p>
          <w:p w:rsidR="002F5B49" w:rsidRPr="00DA78C7" w:rsidRDefault="002F5B49" w:rsidP="00DA78C7">
            <w:pPr>
              <w:pStyle w:val="NoSpacing"/>
              <w:numPr>
                <w:ilvl w:val="0"/>
                <w:numId w:val="22"/>
              </w:numPr>
              <w:ind w:left="269" w:hanging="234"/>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3,58</w:t>
            </w:r>
            <w:r w:rsidR="002B7021" w:rsidRPr="00DA78C7">
              <w:rPr>
                <w:rFonts w:ascii="Verdana" w:eastAsia="Times New Roman" w:hAnsi="Verdana" w:cs="Times New Roman"/>
                <w:sz w:val="20"/>
                <w:szCs w:val="20"/>
                <w:lang w:val="en-GB" w:eastAsia="en-GB"/>
              </w:rPr>
              <w:t xml:space="preserve">2,369 square meters of land were </w:t>
            </w:r>
            <w:r w:rsidRPr="00DA78C7">
              <w:rPr>
                <w:rFonts w:ascii="Verdana" w:eastAsia="Times New Roman" w:hAnsi="Verdana" w:cs="Times New Roman"/>
                <w:sz w:val="20"/>
                <w:szCs w:val="20"/>
                <w:lang w:val="en-GB" w:eastAsia="en-GB"/>
              </w:rPr>
              <w:t>surveyed</w:t>
            </w:r>
            <w:r w:rsidR="004E7601" w:rsidRPr="00DA78C7">
              <w:rPr>
                <w:rFonts w:ascii="Verdana" w:eastAsia="Times New Roman" w:hAnsi="Verdana" w:cs="Times New Roman"/>
                <w:sz w:val="20"/>
                <w:szCs w:val="20"/>
                <w:lang w:val="en-GB" w:eastAsia="en-GB"/>
              </w:rPr>
              <w:t xml:space="preserve"> </w:t>
            </w:r>
            <w:r w:rsidRPr="00DA78C7">
              <w:rPr>
                <w:rFonts w:ascii="Verdana" w:eastAsia="Times New Roman" w:hAnsi="Verdana" w:cs="Times New Roman"/>
                <w:sz w:val="20"/>
                <w:szCs w:val="20"/>
                <w:lang w:val="en-GB" w:eastAsia="en-GB"/>
              </w:rPr>
              <w:t>/</w:t>
            </w:r>
            <w:r w:rsidR="004E7601" w:rsidRPr="00DA78C7">
              <w:rPr>
                <w:rFonts w:ascii="Verdana" w:eastAsia="Times New Roman" w:hAnsi="Verdana" w:cs="Times New Roman"/>
                <w:sz w:val="20"/>
                <w:szCs w:val="20"/>
                <w:lang w:val="en-GB" w:eastAsia="en-GB"/>
              </w:rPr>
              <w:t xml:space="preserve"> </w:t>
            </w:r>
            <w:r w:rsidRPr="00DA78C7">
              <w:rPr>
                <w:rFonts w:ascii="Verdana" w:eastAsia="Times New Roman" w:hAnsi="Verdana" w:cs="Times New Roman"/>
                <w:sz w:val="20"/>
                <w:szCs w:val="20"/>
                <w:lang w:val="en-GB" w:eastAsia="en-GB"/>
              </w:rPr>
              <w:t>marked</w:t>
            </w:r>
            <w:r w:rsidR="004E7601" w:rsidRPr="00DA78C7">
              <w:rPr>
                <w:rFonts w:ascii="Verdana" w:eastAsia="Times New Roman" w:hAnsi="Verdana" w:cs="Times New Roman"/>
                <w:sz w:val="20"/>
                <w:szCs w:val="20"/>
                <w:lang w:val="en-GB" w:eastAsia="en-GB"/>
              </w:rPr>
              <w:t>.</w:t>
            </w:r>
          </w:p>
        </w:tc>
        <w:tc>
          <w:tcPr>
            <w:tcW w:w="801" w:type="pct"/>
            <w:tcBorders>
              <w:bottom w:val="double" w:sz="4" w:space="0" w:color="auto"/>
            </w:tcBorders>
          </w:tcPr>
          <w:p w:rsidR="002F5B49" w:rsidRPr="00DA78C7" w:rsidRDefault="002F5B49" w:rsidP="00147538">
            <w:pPr>
              <w:tabs>
                <w:tab w:val="left" w:pos="3240"/>
              </w:tabs>
              <w:ind w:left="252" w:hanging="252"/>
              <w:rPr>
                <w:rFonts w:ascii="Verdana" w:hAnsi="Verdana"/>
                <w:sz w:val="21"/>
                <w:szCs w:val="21"/>
                <w:lang w:val="en-GB"/>
              </w:rPr>
            </w:pPr>
          </w:p>
        </w:tc>
      </w:tr>
      <w:tr w:rsidR="002F5B49" w:rsidRPr="00DA78C7" w:rsidTr="002B7021">
        <w:trPr>
          <w:trHeight w:val="2947"/>
        </w:trPr>
        <w:tc>
          <w:tcPr>
            <w:tcW w:w="2052" w:type="pct"/>
            <w:tcBorders>
              <w:top w:val="double" w:sz="4" w:space="0" w:color="auto"/>
              <w:bottom w:val="double" w:sz="4" w:space="0" w:color="auto"/>
            </w:tcBorders>
          </w:tcPr>
          <w:p w:rsidR="002F5B49" w:rsidRPr="00DA78C7" w:rsidRDefault="002F5B49" w:rsidP="00147538">
            <w:pPr>
              <w:pStyle w:val="NoSpacing"/>
              <w:rPr>
                <w:rFonts w:ascii="Verdana" w:hAnsi="Verdana"/>
                <w:sz w:val="20"/>
                <w:szCs w:val="20"/>
                <w:u w:val="single"/>
                <w:lang w:val="en-GB"/>
              </w:rPr>
            </w:pPr>
            <w:r w:rsidRPr="00DA78C7">
              <w:rPr>
                <w:rFonts w:ascii="Verdana" w:hAnsi="Verdana"/>
                <w:sz w:val="20"/>
                <w:szCs w:val="20"/>
                <w:u w:val="single"/>
                <w:lang w:val="en-GB"/>
              </w:rPr>
              <w:t>Output 2 Project  (75331)</w:t>
            </w:r>
          </w:p>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2.</w:t>
            </w:r>
            <w:r w:rsidR="00F957FC" w:rsidRPr="00DA78C7">
              <w:rPr>
                <w:rFonts w:ascii="Verdana" w:hAnsi="Verdana"/>
                <w:sz w:val="20"/>
                <w:szCs w:val="20"/>
                <w:lang w:val="en-GB"/>
              </w:rPr>
              <w:t xml:space="preserve"> </w:t>
            </w:r>
            <w:r w:rsidRPr="00DA78C7">
              <w:rPr>
                <w:rFonts w:ascii="Verdana" w:hAnsi="Verdana"/>
                <w:sz w:val="20"/>
                <w:szCs w:val="20"/>
                <w:lang w:val="en-GB"/>
              </w:rPr>
              <w:t>Increased number of victims received physical and socio-economic rehabilitation services and involved in a decision-making process</w:t>
            </w:r>
          </w:p>
          <w:p w:rsidR="002F5B49" w:rsidRPr="00DA78C7" w:rsidRDefault="002F5B49" w:rsidP="00147538">
            <w:pPr>
              <w:pStyle w:val="NoSpacing"/>
              <w:rPr>
                <w:rFonts w:ascii="Verdana" w:hAnsi="Verdana"/>
                <w:sz w:val="10"/>
                <w:szCs w:val="10"/>
                <w:lang w:val="en-GB"/>
              </w:rPr>
            </w:pPr>
          </w:p>
          <w:p w:rsidR="002F5B49" w:rsidRPr="00DA78C7" w:rsidRDefault="002F5B49" w:rsidP="00147538">
            <w:pPr>
              <w:pStyle w:val="NoSpacing"/>
              <w:rPr>
                <w:rFonts w:ascii="Verdana" w:hAnsi="Verdana"/>
                <w:sz w:val="20"/>
                <w:szCs w:val="20"/>
                <w:u w:val="single"/>
                <w:lang w:val="en-GB"/>
              </w:rPr>
            </w:pPr>
            <w:r w:rsidRPr="00DA78C7">
              <w:rPr>
                <w:rFonts w:ascii="Verdana" w:hAnsi="Verdana"/>
                <w:sz w:val="20"/>
                <w:szCs w:val="20"/>
                <w:u w:val="single"/>
                <w:lang w:val="en-GB"/>
              </w:rPr>
              <w:t xml:space="preserve">Indicators </w:t>
            </w:r>
          </w:p>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2.1</w:t>
            </w:r>
            <w:r w:rsidR="00F957FC" w:rsidRPr="00DA78C7">
              <w:rPr>
                <w:rFonts w:ascii="Verdana" w:hAnsi="Verdana"/>
                <w:sz w:val="20"/>
                <w:szCs w:val="20"/>
                <w:lang w:val="en-GB"/>
              </w:rPr>
              <w:t xml:space="preserve"> </w:t>
            </w:r>
            <w:r w:rsidRPr="00DA78C7">
              <w:rPr>
                <w:rFonts w:ascii="Verdana" w:hAnsi="Verdana"/>
                <w:sz w:val="20"/>
                <w:szCs w:val="20"/>
                <w:lang w:val="en-GB"/>
              </w:rPr>
              <w:t>Number of victims received vocational training and income generation projects</w:t>
            </w:r>
          </w:p>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2.2 Number of survivors and persons with disabilities participated in Victim Assistance related strategic planning, evaluations, project reviews</w:t>
            </w:r>
          </w:p>
          <w:p w:rsidR="002F5B49" w:rsidRPr="00DA78C7" w:rsidRDefault="002F5B49" w:rsidP="00147538">
            <w:pPr>
              <w:pStyle w:val="NoSpacing"/>
              <w:rPr>
                <w:rFonts w:ascii="Verdana" w:hAnsi="Verdana"/>
                <w:sz w:val="10"/>
                <w:szCs w:val="10"/>
                <w:lang w:val="en-GB"/>
              </w:rPr>
            </w:pPr>
          </w:p>
          <w:p w:rsidR="002F5B49" w:rsidRPr="00DA78C7" w:rsidRDefault="002F5B49" w:rsidP="00147538">
            <w:pPr>
              <w:pStyle w:val="NoSpacing"/>
              <w:rPr>
                <w:rFonts w:ascii="Verdana" w:hAnsi="Verdana"/>
                <w:sz w:val="20"/>
                <w:szCs w:val="20"/>
                <w:lang w:val="en-GB"/>
              </w:rPr>
            </w:pPr>
          </w:p>
        </w:tc>
        <w:tc>
          <w:tcPr>
            <w:tcW w:w="843" w:type="pct"/>
            <w:tcBorders>
              <w:top w:val="double" w:sz="4" w:space="0" w:color="auto"/>
              <w:bottom w:val="double" w:sz="4" w:space="0" w:color="auto"/>
            </w:tcBorders>
          </w:tcPr>
          <w:p w:rsidR="002F5B49" w:rsidRPr="00DA78C7" w:rsidRDefault="002F5B49" w:rsidP="00147538">
            <w:pPr>
              <w:pStyle w:val="NoSpacing"/>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 xml:space="preserve">Provision of physical rehabilitation and socio-economic rehabilitation and reintegration services to PwDs, including mine/UXO victims </w:t>
            </w:r>
          </w:p>
        </w:tc>
        <w:tc>
          <w:tcPr>
            <w:tcW w:w="1305" w:type="pct"/>
            <w:tcBorders>
              <w:top w:val="double" w:sz="4" w:space="0" w:color="auto"/>
              <w:bottom w:val="double" w:sz="4" w:space="0" w:color="auto"/>
            </w:tcBorders>
          </w:tcPr>
          <w:p w:rsidR="002B7021" w:rsidRPr="00DA78C7" w:rsidRDefault="002F5B49" w:rsidP="00147538">
            <w:pPr>
              <w:pStyle w:val="NoSpacing"/>
              <w:numPr>
                <w:ilvl w:val="0"/>
                <w:numId w:val="22"/>
              </w:numPr>
              <w:ind w:left="269" w:hanging="234"/>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1,2</w:t>
            </w:r>
            <w:r w:rsidR="00630D77" w:rsidRPr="00DA78C7">
              <w:rPr>
                <w:rFonts w:ascii="Verdana" w:eastAsia="Times New Roman" w:hAnsi="Verdana" w:cs="Times New Roman"/>
                <w:sz w:val="20"/>
                <w:szCs w:val="20"/>
                <w:lang w:val="en-GB" w:eastAsia="en-GB"/>
              </w:rPr>
              <w:t>81</w:t>
            </w:r>
            <w:r w:rsidRPr="00DA78C7">
              <w:rPr>
                <w:rFonts w:ascii="Verdana" w:eastAsia="Times New Roman" w:hAnsi="Verdana" w:cs="Times New Roman"/>
                <w:sz w:val="20"/>
                <w:szCs w:val="20"/>
                <w:lang w:val="en-GB" w:eastAsia="en-GB"/>
              </w:rPr>
              <w:t xml:space="preserve"> PwD received </w:t>
            </w:r>
            <w:proofErr w:type="spellStart"/>
            <w:r w:rsidRPr="00DA78C7">
              <w:rPr>
                <w:rFonts w:ascii="Verdana" w:eastAsia="Times New Roman" w:hAnsi="Verdana" w:cs="Times New Roman"/>
                <w:sz w:val="20"/>
                <w:szCs w:val="20"/>
                <w:lang w:val="en-GB" w:eastAsia="en-GB"/>
              </w:rPr>
              <w:t>ortho</w:t>
            </w:r>
            <w:proofErr w:type="spellEnd"/>
            <w:r w:rsidRPr="00DA78C7">
              <w:rPr>
                <w:rFonts w:ascii="Verdana" w:eastAsia="Times New Roman" w:hAnsi="Verdana" w:cs="Times New Roman"/>
                <w:sz w:val="20"/>
                <w:szCs w:val="20"/>
                <w:lang w:val="en-GB" w:eastAsia="en-GB"/>
              </w:rPr>
              <w:t>-prosthetic devices, maintenance to devices, Physiotherapy services, walking aids, rehabilitation a</w:t>
            </w:r>
            <w:r w:rsidR="002B7021" w:rsidRPr="00DA78C7">
              <w:rPr>
                <w:rFonts w:ascii="Verdana" w:eastAsia="Times New Roman" w:hAnsi="Verdana" w:cs="Times New Roman"/>
                <w:sz w:val="20"/>
                <w:szCs w:val="20"/>
                <w:lang w:val="en-GB" w:eastAsia="en-GB"/>
              </w:rPr>
              <w:t>nd vocational training services</w:t>
            </w:r>
          </w:p>
          <w:p w:rsidR="002F5B49" w:rsidRPr="00DA78C7" w:rsidRDefault="002F5B49" w:rsidP="002B7021">
            <w:pPr>
              <w:pStyle w:val="NoSpacing"/>
              <w:ind w:left="269"/>
              <w:rPr>
                <w:rFonts w:ascii="Verdana" w:eastAsia="Times New Roman" w:hAnsi="Verdana" w:cs="Times New Roman"/>
                <w:sz w:val="10"/>
                <w:szCs w:val="10"/>
                <w:lang w:val="en-GB" w:eastAsia="en-GB"/>
              </w:rPr>
            </w:pPr>
          </w:p>
          <w:p w:rsidR="002F5B49" w:rsidRPr="00DA78C7" w:rsidRDefault="002F5B49" w:rsidP="00147538">
            <w:pPr>
              <w:pStyle w:val="NoSpacing"/>
              <w:numPr>
                <w:ilvl w:val="0"/>
                <w:numId w:val="22"/>
              </w:numPr>
              <w:ind w:left="269" w:hanging="234"/>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36  PwD provided with income generation projects</w:t>
            </w:r>
          </w:p>
          <w:p w:rsidR="002B7021" w:rsidRPr="00DA78C7" w:rsidRDefault="002B7021" w:rsidP="002B7021">
            <w:pPr>
              <w:pStyle w:val="NoSpacing"/>
              <w:rPr>
                <w:rFonts w:ascii="Verdana" w:eastAsia="Times New Roman" w:hAnsi="Verdana" w:cs="Times New Roman"/>
                <w:sz w:val="10"/>
                <w:szCs w:val="10"/>
                <w:lang w:val="en-GB" w:eastAsia="en-GB"/>
              </w:rPr>
            </w:pPr>
          </w:p>
          <w:p w:rsidR="002F5B49" w:rsidRPr="00DA78C7" w:rsidRDefault="002F5B49" w:rsidP="00147538">
            <w:pPr>
              <w:pStyle w:val="NoSpacing"/>
              <w:numPr>
                <w:ilvl w:val="0"/>
                <w:numId w:val="22"/>
              </w:numPr>
              <w:ind w:left="269" w:hanging="234"/>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 xml:space="preserve">7 mine survivors/PwDs participated in the National VA workshop </w:t>
            </w:r>
          </w:p>
        </w:tc>
        <w:tc>
          <w:tcPr>
            <w:tcW w:w="801" w:type="pct"/>
            <w:tcBorders>
              <w:top w:val="double" w:sz="4" w:space="0" w:color="auto"/>
              <w:bottom w:val="double" w:sz="4" w:space="0" w:color="auto"/>
            </w:tcBorders>
          </w:tcPr>
          <w:p w:rsidR="002F5B49" w:rsidRPr="00DA78C7" w:rsidRDefault="002F5B49" w:rsidP="00147538">
            <w:pPr>
              <w:tabs>
                <w:tab w:val="left" w:pos="432"/>
                <w:tab w:val="left" w:pos="3240"/>
              </w:tabs>
              <w:ind w:left="252" w:hanging="252"/>
              <w:rPr>
                <w:rFonts w:ascii="Verdana" w:hAnsi="Verdana"/>
                <w:sz w:val="21"/>
                <w:szCs w:val="21"/>
                <w:lang w:val="en-GB"/>
              </w:rPr>
            </w:pPr>
          </w:p>
        </w:tc>
      </w:tr>
      <w:tr w:rsidR="002F5B49" w:rsidRPr="00DA78C7" w:rsidTr="002B7021">
        <w:trPr>
          <w:trHeight w:val="2522"/>
        </w:trPr>
        <w:tc>
          <w:tcPr>
            <w:tcW w:w="2052" w:type="pct"/>
            <w:tcBorders>
              <w:top w:val="double" w:sz="4" w:space="0" w:color="auto"/>
            </w:tcBorders>
          </w:tcPr>
          <w:p w:rsidR="002F5B49" w:rsidRPr="00DA78C7" w:rsidRDefault="002F5B49" w:rsidP="00147538">
            <w:pPr>
              <w:pStyle w:val="NoSpacing"/>
              <w:rPr>
                <w:rFonts w:ascii="Verdana" w:hAnsi="Verdana"/>
                <w:sz w:val="20"/>
                <w:szCs w:val="20"/>
                <w:u w:val="single"/>
                <w:lang w:val="en-GB"/>
              </w:rPr>
            </w:pPr>
            <w:r w:rsidRPr="00DA78C7">
              <w:rPr>
                <w:rFonts w:ascii="Verdana" w:hAnsi="Verdana"/>
                <w:sz w:val="20"/>
                <w:szCs w:val="20"/>
                <w:u w:val="single"/>
                <w:lang w:val="en-GB"/>
              </w:rPr>
              <w:t xml:space="preserve">Output  3 </w:t>
            </w:r>
          </w:p>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3 Three gender specific objectives met for both Victim Assistance and clearance components</w:t>
            </w:r>
          </w:p>
          <w:p w:rsidR="002F5B49" w:rsidRPr="00DA78C7" w:rsidRDefault="002F5B49" w:rsidP="00147538">
            <w:pPr>
              <w:pStyle w:val="NoSpacing"/>
              <w:rPr>
                <w:rFonts w:ascii="Verdana" w:hAnsi="Verdana"/>
                <w:sz w:val="10"/>
                <w:szCs w:val="10"/>
                <w:lang w:val="en-GB"/>
              </w:rPr>
            </w:pPr>
          </w:p>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I</w:t>
            </w:r>
            <w:r w:rsidRPr="00DA78C7">
              <w:rPr>
                <w:rFonts w:ascii="Verdana" w:hAnsi="Verdana"/>
                <w:sz w:val="20"/>
                <w:szCs w:val="20"/>
                <w:u w:val="single"/>
                <w:lang w:val="en-GB"/>
              </w:rPr>
              <w:t>ndicators</w:t>
            </w:r>
            <w:r w:rsidRPr="00DA78C7">
              <w:rPr>
                <w:rFonts w:ascii="Verdana" w:hAnsi="Verdana"/>
                <w:sz w:val="20"/>
                <w:szCs w:val="20"/>
                <w:lang w:val="en-GB"/>
              </w:rPr>
              <w:t xml:space="preserve"> </w:t>
            </w:r>
          </w:p>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3.1 Percentage of prioritized areas for clearance where the needs of both sex are taken into consideration</w:t>
            </w:r>
          </w:p>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 xml:space="preserve">3.2 Percentage of men and women who received access to the benefits of clearance </w:t>
            </w:r>
          </w:p>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3.3 Percentage of men and women who obtained access to employment opportunities in Victim Assistance component</w:t>
            </w:r>
          </w:p>
          <w:p w:rsidR="002F5B49" w:rsidRPr="00DA78C7" w:rsidRDefault="002F5B49" w:rsidP="00147538">
            <w:pPr>
              <w:pStyle w:val="NoSpacing"/>
              <w:rPr>
                <w:rFonts w:ascii="Verdana" w:hAnsi="Verdana"/>
                <w:sz w:val="10"/>
                <w:szCs w:val="10"/>
                <w:lang w:val="en-GB"/>
              </w:rPr>
            </w:pPr>
          </w:p>
          <w:p w:rsidR="002F5B49" w:rsidRPr="00DA78C7" w:rsidRDefault="002F5B49" w:rsidP="00147538">
            <w:pPr>
              <w:pStyle w:val="NoSpacing"/>
              <w:rPr>
                <w:rFonts w:ascii="Verdana" w:hAnsi="Verdana"/>
                <w:sz w:val="20"/>
                <w:szCs w:val="20"/>
                <w:lang w:val="en-GB"/>
              </w:rPr>
            </w:pPr>
          </w:p>
        </w:tc>
        <w:tc>
          <w:tcPr>
            <w:tcW w:w="843" w:type="pct"/>
            <w:tcBorders>
              <w:top w:val="double" w:sz="4" w:space="0" w:color="auto"/>
            </w:tcBorders>
          </w:tcPr>
          <w:p w:rsidR="002F5B49" w:rsidRPr="00DA78C7" w:rsidRDefault="002F5B49" w:rsidP="00147538">
            <w:pPr>
              <w:pStyle w:val="NoSpacing"/>
              <w:rPr>
                <w:rFonts w:ascii="Verdana" w:hAnsi="Verdana"/>
                <w:sz w:val="20"/>
                <w:szCs w:val="20"/>
                <w:lang w:val="en-GB"/>
              </w:rPr>
            </w:pPr>
            <w:r w:rsidRPr="00DA78C7">
              <w:rPr>
                <w:rFonts w:ascii="Verdana" w:hAnsi="Verdana"/>
                <w:sz w:val="20"/>
                <w:szCs w:val="20"/>
                <w:lang w:val="en-GB"/>
              </w:rPr>
              <w:t xml:space="preserve">Gender de segregated data to be collected. </w:t>
            </w:r>
          </w:p>
        </w:tc>
        <w:tc>
          <w:tcPr>
            <w:tcW w:w="1305" w:type="pct"/>
            <w:tcBorders>
              <w:top w:val="double" w:sz="4" w:space="0" w:color="auto"/>
            </w:tcBorders>
          </w:tcPr>
          <w:p w:rsidR="002F5B49" w:rsidRPr="00DA78C7" w:rsidRDefault="002F5B49" w:rsidP="00147538">
            <w:pPr>
              <w:pStyle w:val="NoSpacing"/>
              <w:numPr>
                <w:ilvl w:val="0"/>
                <w:numId w:val="22"/>
              </w:numPr>
              <w:ind w:left="269" w:hanging="234"/>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 xml:space="preserve">Assessment conducted in </w:t>
            </w:r>
            <w:r w:rsidR="00630D77" w:rsidRPr="00DA78C7">
              <w:rPr>
                <w:rFonts w:ascii="Verdana" w:eastAsia="Times New Roman" w:hAnsi="Verdana" w:cs="Times New Roman"/>
                <w:sz w:val="20"/>
                <w:szCs w:val="20"/>
                <w:lang w:val="en-GB" w:eastAsia="en-GB"/>
              </w:rPr>
              <w:t xml:space="preserve">Basra and </w:t>
            </w:r>
            <w:proofErr w:type="spellStart"/>
            <w:r w:rsidR="00630D77" w:rsidRPr="00DA78C7">
              <w:rPr>
                <w:rFonts w:ascii="Verdana" w:eastAsia="Times New Roman" w:hAnsi="Verdana" w:cs="Times New Roman"/>
                <w:sz w:val="20"/>
                <w:szCs w:val="20"/>
                <w:lang w:val="en-GB" w:eastAsia="en-GB"/>
              </w:rPr>
              <w:t>Missan</w:t>
            </w:r>
            <w:proofErr w:type="spellEnd"/>
            <w:r w:rsidR="00630D77" w:rsidRPr="00DA78C7">
              <w:rPr>
                <w:rFonts w:ascii="Verdana" w:eastAsia="Times New Roman" w:hAnsi="Verdana" w:cs="Times New Roman"/>
                <w:sz w:val="20"/>
                <w:szCs w:val="20"/>
                <w:lang w:val="en-GB" w:eastAsia="en-GB"/>
              </w:rPr>
              <w:t xml:space="preserve"> </w:t>
            </w:r>
            <w:r w:rsidRPr="00DA78C7">
              <w:rPr>
                <w:rFonts w:ascii="Verdana" w:eastAsia="Times New Roman" w:hAnsi="Verdana" w:cs="Times New Roman"/>
                <w:sz w:val="20"/>
                <w:szCs w:val="20"/>
                <w:lang w:val="en-GB" w:eastAsia="en-GB"/>
              </w:rPr>
              <w:t>on availability of service provision to Mine victim survivor in gender sensitive vocational training/income generating opportunities.</w:t>
            </w:r>
          </w:p>
          <w:p w:rsidR="002B7021" w:rsidRPr="00DA78C7" w:rsidRDefault="002B7021" w:rsidP="002B7021">
            <w:pPr>
              <w:pStyle w:val="NoSpacing"/>
              <w:ind w:left="35"/>
              <w:rPr>
                <w:rFonts w:ascii="Verdana" w:eastAsia="Times New Roman" w:hAnsi="Verdana" w:cs="Times New Roman"/>
                <w:sz w:val="10"/>
                <w:szCs w:val="10"/>
                <w:lang w:val="en-GB" w:eastAsia="en-GB"/>
              </w:rPr>
            </w:pPr>
          </w:p>
          <w:p w:rsidR="002B7021" w:rsidRPr="00DA78C7" w:rsidRDefault="002F5B49" w:rsidP="002B7021">
            <w:pPr>
              <w:pStyle w:val="NoSpacing"/>
              <w:numPr>
                <w:ilvl w:val="0"/>
                <w:numId w:val="22"/>
              </w:numPr>
              <w:ind w:left="269" w:hanging="234"/>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Prioritisation Model in clearance developed in coordination with RMAC and clearance NGOs that considers women headed households as a priority for service provision.</w:t>
            </w:r>
          </w:p>
          <w:p w:rsidR="002B7021" w:rsidRPr="00DA78C7" w:rsidRDefault="002B7021" w:rsidP="002B7021">
            <w:pPr>
              <w:pStyle w:val="NoSpacing"/>
              <w:rPr>
                <w:rFonts w:ascii="Verdana" w:eastAsia="Times New Roman" w:hAnsi="Verdana" w:cs="Times New Roman"/>
                <w:sz w:val="10"/>
                <w:szCs w:val="10"/>
                <w:lang w:val="en-GB" w:eastAsia="en-GB"/>
              </w:rPr>
            </w:pPr>
          </w:p>
          <w:p w:rsidR="002F5B49" w:rsidRPr="00DA78C7" w:rsidRDefault="002F5B49" w:rsidP="00147538">
            <w:pPr>
              <w:pStyle w:val="NoSpacing"/>
              <w:numPr>
                <w:ilvl w:val="0"/>
                <w:numId w:val="22"/>
              </w:numPr>
              <w:ind w:left="269" w:hanging="234"/>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From 1,281 PwD received services (over 300 PwD were women and girls)</w:t>
            </w:r>
          </w:p>
          <w:p w:rsidR="008B7ACA" w:rsidRPr="00DA78C7" w:rsidRDefault="008B7ACA" w:rsidP="008B7ACA">
            <w:pPr>
              <w:pStyle w:val="NoSpacing"/>
              <w:rPr>
                <w:rFonts w:ascii="Verdana" w:eastAsia="Times New Roman" w:hAnsi="Verdana" w:cs="Times New Roman"/>
                <w:sz w:val="20"/>
                <w:szCs w:val="20"/>
                <w:lang w:val="en-GB" w:eastAsia="en-GB"/>
              </w:rPr>
            </w:pPr>
          </w:p>
        </w:tc>
        <w:tc>
          <w:tcPr>
            <w:tcW w:w="801" w:type="pct"/>
            <w:tcBorders>
              <w:top w:val="double" w:sz="4" w:space="0" w:color="auto"/>
            </w:tcBorders>
          </w:tcPr>
          <w:p w:rsidR="002F5B49" w:rsidRPr="00DA78C7" w:rsidRDefault="002F5B49" w:rsidP="00147538">
            <w:pPr>
              <w:tabs>
                <w:tab w:val="left" w:pos="3240"/>
              </w:tabs>
              <w:ind w:left="252" w:hanging="252"/>
              <w:rPr>
                <w:rFonts w:ascii="Verdana" w:hAnsi="Verdana"/>
                <w:sz w:val="21"/>
                <w:szCs w:val="21"/>
                <w:lang w:val="en-GB"/>
              </w:rPr>
            </w:pPr>
          </w:p>
        </w:tc>
      </w:tr>
    </w:tbl>
    <w:p w:rsidR="00AD3A06" w:rsidRPr="00DA78C7" w:rsidRDefault="00AD3A06" w:rsidP="00E11952">
      <w:pPr>
        <w:pStyle w:val="NoSpacing"/>
        <w:jc w:val="both"/>
        <w:rPr>
          <w:rFonts w:ascii="Verdana" w:hAnsi="Verdana" w:cs="Tahoma"/>
          <w:b/>
          <w:bCs/>
          <w:sz w:val="20"/>
          <w:szCs w:val="20"/>
          <w:lang w:val="en-GB"/>
        </w:rPr>
      </w:pPr>
    </w:p>
    <w:p w:rsidR="002B7021" w:rsidRPr="00DA78C7" w:rsidRDefault="002B7021" w:rsidP="00E11952">
      <w:pPr>
        <w:pStyle w:val="NoSpacing"/>
        <w:jc w:val="both"/>
        <w:rPr>
          <w:rFonts w:ascii="Verdana" w:hAnsi="Verdana" w:cs="Tahoma"/>
          <w:b/>
          <w:bCs/>
          <w:sz w:val="20"/>
          <w:szCs w:val="20"/>
          <w:lang w:val="en-GB"/>
        </w:rPr>
      </w:pPr>
    </w:p>
    <w:p w:rsidR="00371EE8" w:rsidRPr="00DA78C7" w:rsidRDefault="00E64A25" w:rsidP="00C514D5">
      <w:pPr>
        <w:pStyle w:val="NoSpacing"/>
        <w:numPr>
          <w:ilvl w:val="0"/>
          <w:numId w:val="1"/>
        </w:numPr>
        <w:ind w:left="284" w:hanging="284"/>
        <w:jc w:val="both"/>
        <w:rPr>
          <w:rFonts w:ascii="Verdana" w:hAnsi="Verdana" w:cs="Tahoma"/>
          <w:b/>
          <w:bCs/>
          <w:lang w:val="en-GB"/>
        </w:rPr>
      </w:pPr>
      <w:r w:rsidRPr="00DA78C7">
        <w:rPr>
          <w:rFonts w:ascii="Verdana" w:hAnsi="Verdana" w:cs="Tahoma"/>
          <w:b/>
          <w:bCs/>
          <w:lang w:val="en-GB"/>
        </w:rPr>
        <w:t xml:space="preserve">Constraints and Challenges </w:t>
      </w:r>
    </w:p>
    <w:p w:rsidR="00371EE8" w:rsidRPr="00DA78C7" w:rsidRDefault="00371EE8" w:rsidP="00371EE8">
      <w:pPr>
        <w:pStyle w:val="NoSpacing"/>
        <w:rPr>
          <w:rFonts w:ascii="Verdana" w:eastAsiaTheme="minorHAnsi" w:hAnsi="Verdana" w:cs="Tahoma"/>
          <w:sz w:val="23"/>
          <w:szCs w:val="23"/>
          <w:lang w:val="en-GB"/>
        </w:rPr>
      </w:pPr>
    </w:p>
    <w:p w:rsidR="009E6871" w:rsidRPr="00DA78C7" w:rsidRDefault="00D9288C" w:rsidP="00D9288C">
      <w:pPr>
        <w:jc w:val="both"/>
        <w:rPr>
          <w:rFonts w:ascii="Verdana" w:hAnsi="Verdana"/>
          <w:b/>
          <w:sz w:val="20"/>
          <w:szCs w:val="20"/>
          <w:lang w:val="en-GB"/>
        </w:rPr>
      </w:pPr>
      <w:r w:rsidRPr="00DA78C7">
        <w:rPr>
          <w:rFonts w:ascii="Verdana" w:hAnsi="Verdana"/>
          <w:b/>
          <w:sz w:val="20"/>
          <w:szCs w:val="20"/>
          <w:lang w:val="en-GB"/>
        </w:rPr>
        <w:t xml:space="preserve">5.1 </w:t>
      </w:r>
      <w:r w:rsidR="009E6871" w:rsidRPr="00DA78C7">
        <w:rPr>
          <w:rFonts w:ascii="Verdana" w:hAnsi="Verdana"/>
          <w:b/>
          <w:sz w:val="20"/>
          <w:szCs w:val="20"/>
          <w:lang w:val="en-GB"/>
        </w:rPr>
        <w:t>Lessons Learned</w:t>
      </w:r>
      <w:r w:rsidR="004338CF" w:rsidRPr="00DA78C7">
        <w:rPr>
          <w:rFonts w:ascii="Verdana" w:hAnsi="Verdana"/>
          <w:b/>
          <w:sz w:val="20"/>
          <w:szCs w:val="20"/>
          <w:lang w:val="en-GB"/>
        </w:rPr>
        <w:t xml:space="preserve"> in Clear</w:t>
      </w:r>
      <w:r w:rsidR="002B7021" w:rsidRPr="00DA78C7">
        <w:rPr>
          <w:rFonts w:ascii="Verdana" w:hAnsi="Verdana"/>
          <w:b/>
          <w:sz w:val="20"/>
          <w:szCs w:val="20"/>
          <w:lang w:val="en-GB"/>
        </w:rPr>
        <w:t>a</w:t>
      </w:r>
      <w:r w:rsidR="004338CF" w:rsidRPr="00DA78C7">
        <w:rPr>
          <w:rFonts w:ascii="Verdana" w:hAnsi="Verdana"/>
          <w:b/>
          <w:sz w:val="20"/>
          <w:szCs w:val="20"/>
          <w:lang w:val="en-GB"/>
        </w:rPr>
        <w:t>nce</w:t>
      </w:r>
      <w:r w:rsidR="009E6871" w:rsidRPr="00DA78C7">
        <w:rPr>
          <w:rFonts w:ascii="Verdana" w:hAnsi="Verdana"/>
          <w:b/>
          <w:sz w:val="20"/>
          <w:szCs w:val="20"/>
          <w:lang w:val="en-GB"/>
        </w:rPr>
        <w:t>:</w:t>
      </w:r>
    </w:p>
    <w:p w:rsidR="005D5630" w:rsidRDefault="005D5630" w:rsidP="008B7ACA">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 xml:space="preserve">DDG’s operations were constrained by the limited availability of the </w:t>
      </w:r>
      <w:r w:rsidR="008B7ACA" w:rsidRPr="00DA78C7">
        <w:rPr>
          <w:rFonts w:ascii="Verdana" w:hAnsi="Verdana"/>
          <w:sz w:val="20"/>
          <w:szCs w:val="20"/>
          <w:lang w:val="en-GB"/>
        </w:rPr>
        <w:t>l</w:t>
      </w:r>
      <w:r w:rsidRPr="00DA78C7">
        <w:rPr>
          <w:rFonts w:ascii="Verdana" w:hAnsi="Verdana"/>
          <w:sz w:val="20"/>
          <w:szCs w:val="20"/>
          <w:lang w:val="en-GB"/>
        </w:rPr>
        <w:t xml:space="preserve">iaison </w:t>
      </w:r>
      <w:r w:rsidR="008B7ACA" w:rsidRPr="00DA78C7">
        <w:rPr>
          <w:rFonts w:ascii="Verdana" w:hAnsi="Verdana"/>
          <w:sz w:val="20"/>
          <w:szCs w:val="20"/>
          <w:lang w:val="en-GB"/>
        </w:rPr>
        <w:t xml:space="preserve">officers </w:t>
      </w:r>
      <w:r w:rsidRPr="00DA78C7">
        <w:rPr>
          <w:rFonts w:ascii="Verdana" w:hAnsi="Verdana"/>
          <w:sz w:val="20"/>
          <w:szCs w:val="20"/>
          <w:lang w:val="en-GB"/>
        </w:rPr>
        <w:t xml:space="preserve">required by </w:t>
      </w:r>
      <w:r w:rsidR="004338CF" w:rsidRPr="00DA78C7">
        <w:rPr>
          <w:rFonts w:ascii="Verdana" w:hAnsi="Verdana"/>
          <w:sz w:val="20"/>
          <w:szCs w:val="20"/>
          <w:lang w:val="en-GB"/>
        </w:rPr>
        <w:t>Ministry of Defence</w:t>
      </w:r>
      <w:r w:rsidRPr="00DA78C7">
        <w:rPr>
          <w:rFonts w:ascii="Verdana" w:hAnsi="Verdana"/>
          <w:sz w:val="20"/>
          <w:szCs w:val="20"/>
          <w:lang w:val="en-GB"/>
        </w:rPr>
        <w:t xml:space="preserve"> during the conducting of demolitions</w:t>
      </w:r>
      <w:r w:rsidR="00AD3A06" w:rsidRPr="00DA78C7">
        <w:rPr>
          <w:rFonts w:ascii="Verdana" w:hAnsi="Verdana"/>
          <w:sz w:val="20"/>
          <w:szCs w:val="20"/>
          <w:lang w:val="en-GB"/>
        </w:rPr>
        <w:t xml:space="preserve"> during this reporting period</w:t>
      </w:r>
      <w:r w:rsidRPr="00DA78C7">
        <w:rPr>
          <w:rFonts w:ascii="Verdana" w:hAnsi="Verdana"/>
          <w:sz w:val="20"/>
          <w:szCs w:val="20"/>
          <w:lang w:val="en-GB"/>
        </w:rPr>
        <w:t xml:space="preserve">. However, as DDG </w:t>
      </w:r>
      <w:r w:rsidR="004338CF" w:rsidRPr="00DA78C7">
        <w:rPr>
          <w:rFonts w:ascii="Verdana" w:hAnsi="Verdana"/>
          <w:sz w:val="20"/>
          <w:szCs w:val="20"/>
          <w:lang w:val="en-GB"/>
        </w:rPr>
        <w:t>was successful in building relationships</w:t>
      </w:r>
      <w:r w:rsidRPr="00DA78C7">
        <w:rPr>
          <w:rFonts w:ascii="Verdana" w:hAnsi="Verdana"/>
          <w:sz w:val="20"/>
          <w:szCs w:val="20"/>
          <w:lang w:val="en-GB"/>
        </w:rPr>
        <w:t xml:space="preserve"> di</w:t>
      </w:r>
      <w:r w:rsidR="004338CF" w:rsidRPr="00DA78C7">
        <w:rPr>
          <w:rFonts w:ascii="Verdana" w:hAnsi="Verdana"/>
          <w:sz w:val="20"/>
          <w:szCs w:val="20"/>
          <w:lang w:val="en-GB"/>
        </w:rPr>
        <w:t>rectly with the 14th Division</w:t>
      </w:r>
      <w:r w:rsidR="008B7ACA" w:rsidRPr="00DA78C7">
        <w:rPr>
          <w:rFonts w:ascii="Verdana" w:hAnsi="Verdana"/>
          <w:sz w:val="20"/>
          <w:szCs w:val="20"/>
          <w:lang w:val="en-GB"/>
        </w:rPr>
        <w:t xml:space="preserve"> of the Iraqi Army,</w:t>
      </w:r>
      <w:r w:rsidR="004338CF" w:rsidRPr="00DA78C7">
        <w:rPr>
          <w:rFonts w:ascii="Verdana" w:hAnsi="Verdana"/>
          <w:sz w:val="20"/>
          <w:szCs w:val="20"/>
          <w:lang w:val="en-GB"/>
        </w:rPr>
        <w:t xml:space="preserve"> the availability of liaison officers</w:t>
      </w:r>
      <w:r w:rsidRPr="00DA78C7">
        <w:rPr>
          <w:rFonts w:ascii="Verdana" w:hAnsi="Verdana"/>
          <w:sz w:val="20"/>
          <w:szCs w:val="20"/>
          <w:lang w:val="en-GB"/>
        </w:rPr>
        <w:t xml:space="preserve"> improved, and by September DDG was able to complete explosive demolitions on several sites a day</w:t>
      </w:r>
      <w:r w:rsidR="004338CF" w:rsidRPr="00DA78C7">
        <w:rPr>
          <w:rFonts w:ascii="Verdana" w:hAnsi="Verdana"/>
          <w:sz w:val="20"/>
          <w:szCs w:val="20"/>
          <w:lang w:val="en-GB"/>
        </w:rPr>
        <w:t>,</w:t>
      </w:r>
      <w:r w:rsidRPr="00DA78C7">
        <w:rPr>
          <w:rFonts w:ascii="Verdana" w:hAnsi="Verdana"/>
          <w:sz w:val="20"/>
          <w:szCs w:val="20"/>
          <w:lang w:val="en-GB"/>
        </w:rPr>
        <w:t xml:space="preserve"> 2-3 times a week. Nonetheless, should DDG expand operations in the future, the current </w:t>
      </w:r>
      <w:r w:rsidR="004338CF" w:rsidRPr="00DA78C7">
        <w:rPr>
          <w:rFonts w:ascii="Verdana" w:hAnsi="Verdana"/>
          <w:sz w:val="20"/>
          <w:szCs w:val="20"/>
          <w:lang w:val="en-GB"/>
        </w:rPr>
        <w:t>liaison officers system could hamper DDG’s</w:t>
      </w:r>
      <w:r w:rsidRPr="00DA78C7">
        <w:rPr>
          <w:rFonts w:ascii="Verdana" w:hAnsi="Verdana"/>
          <w:sz w:val="20"/>
          <w:szCs w:val="20"/>
          <w:lang w:val="en-GB"/>
        </w:rPr>
        <w:t xml:space="preserve"> operational performance.</w:t>
      </w:r>
    </w:p>
    <w:p w:rsidR="00DE503E" w:rsidRPr="00DA78C7" w:rsidRDefault="00DE503E" w:rsidP="00DE503E">
      <w:pPr>
        <w:pStyle w:val="NoSpacing"/>
        <w:spacing w:line="276" w:lineRule="auto"/>
        <w:ind w:left="720"/>
        <w:jc w:val="both"/>
        <w:rPr>
          <w:rFonts w:ascii="Verdana" w:hAnsi="Verdana"/>
          <w:sz w:val="20"/>
          <w:szCs w:val="20"/>
          <w:lang w:val="en-GB"/>
        </w:rPr>
      </w:pPr>
    </w:p>
    <w:p w:rsidR="005D5630" w:rsidRDefault="005D5630" w:rsidP="00194CC7">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 xml:space="preserve">The limited </w:t>
      </w:r>
      <w:r w:rsidR="00A568F9" w:rsidRPr="00DA78C7">
        <w:rPr>
          <w:rFonts w:ascii="Verdana" w:hAnsi="Verdana"/>
          <w:sz w:val="20"/>
          <w:szCs w:val="20"/>
          <w:lang w:val="en-GB"/>
        </w:rPr>
        <w:t>planning and coordination capacity</w:t>
      </w:r>
      <w:r w:rsidRPr="00DA78C7">
        <w:rPr>
          <w:rFonts w:ascii="Verdana" w:hAnsi="Verdana"/>
          <w:sz w:val="20"/>
          <w:szCs w:val="20"/>
          <w:lang w:val="en-GB"/>
        </w:rPr>
        <w:t xml:space="preserve"> of RMAC-S </w:t>
      </w:r>
      <w:r w:rsidR="00A568F9" w:rsidRPr="00DA78C7">
        <w:rPr>
          <w:rFonts w:ascii="Verdana" w:hAnsi="Verdana"/>
          <w:sz w:val="20"/>
          <w:szCs w:val="20"/>
          <w:lang w:val="en-GB"/>
        </w:rPr>
        <w:t>create</w:t>
      </w:r>
      <w:r w:rsidR="00B42C40" w:rsidRPr="00DA78C7">
        <w:rPr>
          <w:rFonts w:ascii="Verdana" w:hAnsi="Verdana"/>
          <w:sz w:val="20"/>
          <w:szCs w:val="20"/>
          <w:lang w:val="en-GB"/>
        </w:rPr>
        <w:t>d</w:t>
      </w:r>
      <w:r w:rsidR="00A568F9" w:rsidRPr="00DA78C7">
        <w:rPr>
          <w:rFonts w:ascii="Verdana" w:hAnsi="Verdana"/>
          <w:sz w:val="20"/>
          <w:szCs w:val="20"/>
          <w:lang w:val="en-GB"/>
        </w:rPr>
        <w:t xml:space="preserve"> ambiguity between DDG and RMAC-S. </w:t>
      </w:r>
      <w:r w:rsidR="00B42C40" w:rsidRPr="00DA78C7">
        <w:rPr>
          <w:rFonts w:ascii="Verdana" w:hAnsi="Verdana"/>
          <w:sz w:val="20"/>
          <w:szCs w:val="20"/>
          <w:lang w:val="en-GB"/>
        </w:rPr>
        <w:t xml:space="preserve">Therefore </w:t>
      </w:r>
      <w:r w:rsidR="00A568F9" w:rsidRPr="00DA78C7">
        <w:rPr>
          <w:rFonts w:ascii="Verdana" w:hAnsi="Verdana"/>
          <w:sz w:val="20"/>
          <w:szCs w:val="20"/>
          <w:lang w:val="en-GB"/>
        </w:rPr>
        <w:t xml:space="preserve">DDG </w:t>
      </w:r>
      <w:r w:rsidR="00B42C40" w:rsidRPr="00DA78C7">
        <w:rPr>
          <w:rFonts w:ascii="Verdana" w:hAnsi="Verdana"/>
          <w:sz w:val="20"/>
          <w:szCs w:val="20"/>
          <w:lang w:val="en-GB"/>
        </w:rPr>
        <w:t xml:space="preserve">decided to </w:t>
      </w:r>
      <w:r w:rsidR="00A568F9" w:rsidRPr="00DA78C7">
        <w:rPr>
          <w:rFonts w:ascii="Verdana" w:hAnsi="Verdana"/>
          <w:sz w:val="20"/>
          <w:szCs w:val="20"/>
          <w:lang w:val="en-GB"/>
        </w:rPr>
        <w:t xml:space="preserve">approach RMAC-S </w:t>
      </w:r>
      <w:r w:rsidR="008B7ACA" w:rsidRPr="00DA78C7">
        <w:rPr>
          <w:rFonts w:ascii="Verdana" w:hAnsi="Verdana"/>
          <w:sz w:val="20"/>
          <w:szCs w:val="20"/>
          <w:lang w:val="en-GB"/>
        </w:rPr>
        <w:t xml:space="preserve">and the improved dialogue </w:t>
      </w:r>
      <w:r w:rsidR="00A568F9" w:rsidRPr="00DA78C7">
        <w:rPr>
          <w:rFonts w:ascii="Verdana" w:hAnsi="Verdana"/>
          <w:sz w:val="20"/>
          <w:szCs w:val="20"/>
          <w:lang w:val="en-GB"/>
        </w:rPr>
        <w:t xml:space="preserve">led to a better understanding of </w:t>
      </w:r>
      <w:r w:rsidRPr="00DA78C7">
        <w:rPr>
          <w:rFonts w:ascii="Verdana" w:hAnsi="Verdana"/>
          <w:sz w:val="20"/>
          <w:szCs w:val="20"/>
          <w:lang w:val="en-GB"/>
        </w:rPr>
        <w:t>DDG’s new operating concept</w:t>
      </w:r>
      <w:r w:rsidR="00A568F9" w:rsidRPr="00DA78C7">
        <w:rPr>
          <w:rFonts w:ascii="Verdana" w:hAnsi="Verdana"/>
          <w:sz w:val="20"/>
          <w:szCs w:val="20"/>
          <w:lang w:val="en-GB"/>
        </w:rPr>
        <w:t xml:space="preserve"> and </w:t>
      </w:r>
      <w:r w:rsidRPr="00DA78C7">
        <w:rPr>
          <w:rFonts w:ascii="Verdana" w:hAnsi="Verdana"/>
          <w:sz w:val="20"/>
          <w:szCs w:val="20"/>
          <w:lang w:val="en-GB"/>
        </w:rPr>
        <w:t xml:space="preserve">revealed the desire of RMAC-S to tie the organisation more closely into broader governorate development priorities. </w:t>
      </w:r>
      <w:r w:rsidR="00B42C40" w:rsidRPr="00DA78C7">
        <w:rPr>
          <w:rFonts w:ascii="Verdana" w:hAnsi="Verdana"/>
          <w:sz w:val="20"/>
          <w:szCs w:val="20"/>
          <w:lang w:val="en-GB"/>
        </w:rPr>
        <w:t>However, d</w:t>
      </w:r>
      <w:r w:rsidRPr="00DA78C7">
        <w:rPr>
          <w:rFonts w:ascii="Verdana" w:hAnsi="Verdana"/>
          <w:sz w:val="20"/>
          <w:szCs w:val="20"/>
          <w:lang w:val="en-GB"/>
        </w:rPr>
        <w:t>espite offers of assistance,</w:t>
      </w:r>
      <w:r w:rsidR="00B42C40" w:rsidRPr="00DA78C7">
        <w:rPr>
          <w:rFonts w:ascii="Verdana" w:hAnsi="Verdana"/>
          <w:sz w:val="20"/>
          <w:szCs w:val="20"/>
          <w:lang w:val="en-GB"/>
        </w:rPr>
        <w:t xml:space="preserve"> provision </w:t>
      </w:r>
      <w:r w:rsidR="00DE503E" w:rsidRPr="00DA78C7">
        <w:rPr>
          <w:rFonts w:ascii="Verdana" w:hAnsi="Verdana"/>
          <w:sz w:val="20"/>
          <w:szCs w:val="20"/>
          <w:lang w:val="en-GB"/>
        </w:rPr>
        <w:t>of information</w:t>
      </w:r>
      <w:r w:rsidRPr="00DA78C7">
        <w:rPr>
          <w:rFonts w:ascii="Verdana" w:hAnsi="Verdana"/>
          <w:sz w:val="20"/>
          <w:szCs w:val="20"/>
          <w:lang w:val="en-GB"/>
        </w:rPr>
        <w:t xml:space="preserve"> and facilitation of meetings </w:t>
      </w:r>
      <w:r w:rsidR="00B42C40" w:rsidRPr="00DA78C7">
        <w:rPr>
          <w:rFonts w:ascii="Verdana" w:hAnsi="Verdana"/>
          <w:sz w:val="20"/>
          <w:szCs w:val="20"/>
          <w:lang w:val="en-GB"/>
        </w:rPr>
        <w:t>the tie in was</w:t>
      </w:r>
      <w:r w:rsidRPr="00DA78C7">
        <w:rPr>
          <w:rFonts w:ascii="Verdana" w:hAnsi="Verdana"/>
          <w:sz w:val="20"/>
          <w:szCs w:val="20"/>
          <w:lang w:val="en-GB"/>
        </w:rPr>
        <w:t xml:space="preserve"> not always realised due to limited resources,</w:t>
      </w:r>
      <w:r w:rsidR="00FC32D3" w:rsidRPr="00DA78C7">
        <w:rPr>
          <w:rFonts w:ascii="Verdana" w:hAnsi="Verdana"/>
          <w:sz w:val="20"/>
          <w:szCs w:val="20"/>
          <w:lang w:val="en-GB"/>
        </w:rPr>
        <w:t xml:space="preserve"> nevertheless</w:t>
      </w:r>
      <w:r w:rsidRPr="00DA78C7">
        <w:rPr>
          <w:rFonts w:ascii="Verdana" w:hAnsi="Verdana"/>
          <w:sz w:val="20"/>
          <w:szCs w:val="20"/>
          <w:lang w:val="en-GB"/>
        </w:rPr>
        <w:t xml:space="preserve"> DDG still maintains a</w:t>
      </w:r>
      <w:r w:rsidR="00A568F9" w:rsidRPr="00DA78C7">
        <w:rPr>
          <w:rFonts w:ascii="Verdana" w:hAnsi="Verdana"/>
          <w:sz w:val="20"/>
          <w:szCs w:val="20"/>
          <w:lang w:val="en-GB"/>
        </w:rPr>
        <w:t xml:space="preserve"> good</w:t>
      </w:r>
      <w:r w:rsidRPr="00DA78C7">
        <w:rPr>
          <w:rFonts w:ascii="Verdana" w:hAnsi="Verdana"/>
          <w:sz w:val="20"/>
          <w:szCs w:val="20"/>
          <w:lang w:val="en-GB"/>
        </w:rPr>
        <w:t xml:space="preserve"> </w:t>
      </w:r>
      <w:r w:rsidR="00A568F9" w:rsidRPr="00DA78C7">
        <w:rPr>
          <w:rFonts w:ascii="Verdana" w:hAnsi="Verdana"/>
          <w:sz w:val="20"/>
          <w:szCs w:val="20"/>
          <w:lang w:val="en-GB"/>
        </w:rPr>
        <w:t xml:space="preserve">rapport </w:t>
      </w:r>
      <w:r w:rsidRPr="00DA78C7">
        <w:rPr>
          <w:rFonts w:ascii="Verdana" w:hAnsi="Verdana"/>
          <w:sz w:val="20"/>
          <w:szCs w:val="20"/>
          <w:lang w:val="en-GB"/>
        </w:rPr>
        <w:t xml:space="preserve">with RMAC-S. </w:t>
      </w:r>
    </w:p>
    <w:p w:rsidR="00DE503E" w:rsidRPr="00DA78C7" w:rsidRDefault="00DE503E" w:rsidP="00DE503E">
      <w:pPr>
        <w:pStyle w:val="NoSpacing"/>
        <w:spacing w:line="276" w:lineRule="auto"/>
        <w:jc w:val="both"/>
        <w:rPr>
          <w:rFonts w:ascii="Verdana" w:hAnsi="Verdana"/>
          <w:sz w:val="20"/>
          <w:szCs w:val="20"/>
          <w:lang w:val="en-GB"/>
        </w:rPr>
      </w:pPr>
    </w:p>
    <w:p w:rsidR="005D5630" w:rsidRDefault="005D5630" w:rsidP="005426FB">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High turnover of national staff due to more attractive salaries offered by commercial operators. This has been negated to a lesser degree by an unofficial agreement with the commercial operators supported by RMAC-S. Review of the salary structure contributed to the retention of staff.</w:t>
      </w:r>
    </w:p>
    <w:p w:rsidR="00DE503E" w:rsidRPr="00DA78C7" w:rsidRDefault="00DE503E" w:rsidP="00DE503E">
      <w:pPr>
        <w:pStyle w:val="NoSpacing"/>
        <w:spacing w:line="276" w:lineRule="auto"/>
        <w:jc w:val="both"/>
        <w:rPr>
          <w:rFonts w:ascii="Verdana" w:hAnsi="Verdana"/>
          <w:sz w:val="20"/>
          <w:szCs w:val="20"/>
          <w:lang w:val="en-GB"/>
        </w:rPr>
      </w:pPr>
    </w:p>
    <w:p w:rsidR="005D5630" w:rsidRPr="00DA78C7" w:rsidRDefault="005D5630" w:rsidP="005426FB">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The establishment of village volunteer networks has proved to be unfeasible within the most mine and ERW affected districts of Al-</w:t>
      </w:r>
      <w:proofErr w:type="spellStart"/>
      <w:r w:rsidRPr="00DA78C7">
        <w:rPr>
          <w:rFonts w:ascii="Verdana" w:hAnsi="Verdana"/>
          <w:sz w:val="20"/>
          <w:szCs w:val="20"/>
          <w:lang w:val="en-GB"/>
        </w:rPr>
        <w:t>Zubair</w:t>
      </w:r>
      <w:proofErr w:type="spellEnd"/>
      <w:r w:rsidRPr="00DA78C7">
        <w:rPr>
          <w:rFonts w:ascii="Verdana" w:hAnsi="Verdana"/>
          <w:sz w:val="20"/>
          <w:szCs w:val="20"/>
          <w:lang w:val="en-GB"/>
        </w:rPr>
        <w:t xml:space="preserve"> and Shat-Al-Arab. The reasons for this are:</w:t>
      </w:r>
    </w:p>
    <w:p w:rsidR="005D5630" w:rsidRPr="00DA78C7" w:rsidRDefault="005D5630" w:rsidP="004338CF">
      <w:pPr>
        <w:pStyle w:val="NoSpacing"/>
        <w:numPr>
          <w:ilvl w:val="0"/>
          <w:numId w:val="30"/>
        </w:numPr>
        <w:spacing w:line="276" w:lineRule="auto"/>
        <w:ind w:left="1560"/>
        <w:jc w:val="both"/>
        <w:rPr>
          <w:rFonts w:ascii="Verdana" w:hAnsi="Verdana"/>
          <w:sz w:val="20"/>
          <w:szCs w:val="20"/>
          <w:lang w:val="en-GB"/>
        </w:rPr>
      </w:pPr>
      <w:r w:rsidRPr="00DA78C7">
        <w:rPr>
          <w:rFonts w:ascii="Verdana" w:hAnsi="Verdana"/>
          <w:sz w:val="20"/>
          <w:szCs w:val="20"/>
          <w:lang w:val="en-GB"/>
        </w:rPr>
        <w:t>The majority of communities in Al-</w:t>
      </w:r>
      <w:proofErr w:type="spellStart"/>
      <w:r w:rsidRPr="00DA78C7">
        <w:rPr>
          <w:rFonts w:ascii="Verdana" w:hAnsi="Verdana"/>
          <w:sz w:val="20"/>
          <w:szCs w:val="20"/>
          <w:lang w:val="en-GB"/>
        </w:rPr>
        <w:t>Zubair</w:t>
      </w:r>
      <w:proofErr w:type="spellEnd"/>
      <w:r w:rsidRPr="00DA78C7">
        <w:rPr>
          <w:rFonts w:ascii="Verdana" w:hAnsi="Verdana"/>
          <w:sz w:val="20"/>
          <w:szCs w:val="20"/>
          <w:lang w:val="en-GB"/>
        </w:rPr>
        <w:t xml:space="preserve"> district consist of separate farms that are widely dispersed and isolated from each other;</w:t>
      </w:r>
    </w:p>
    <w:p w:rsidR="008A14C1" w:rsidRPr="00DA78C7" w:rsidRDefault="005D5630" w:rsidP="004338CF">
      <w:pPr>
        <w:pStyle w:val="NoSpacing"/>
        <w:numPr>
          <w:ilvl w:val="0"/>
          <w:numId w:val="30"/>
        </w:numPr>
        <w:spacing w:line="276" w:lineRule="auto"/>
        <w:ind w:left="1560"/>
        <w:jc w:val="both"/>
        <w:rPr>
          <w:rFonts w:ascii="Verdana" w:hAnsi="Verdana"/>
          <w:sz w:val="20"/>
          <w:szCs w:val="20"/>
          <w:lang w:val="en-GB"/>
        </w:rPr>
      </w:pPr>
      <w:r w:rsidRPr="00DA78C7">
        <w:rPr>
          <w:rFonts w:ascii="Verdana" w:hAnsi="Verdana"/>
          <w:sz w:val="20"/>
          <w:szCs w:val="20"/>
          <w:lang w:val="en-GB"/>
        </w:rPr>
        <w:t xml:space="preserve">The majority of mine/ERW impacted villages in Shat-Al-Arab district remain abandoned. </w:t>
      </w:r>
      <w:r w:rsidR="00D9288C" w:rsidRPr="00DA78C7">
        <w:rPr>
          <w:rFonts w:ascii="Verdana" w:hAnsi="Verdana"/>
          <w:sz w:val="20"/>
          <w:szCs w:val="20"/>
          <w:lang w:val="en-GB"/>
        </w:rPr>
        <w:t xml:space="preserve">The political and organisational context </w:t>
      </w:r>
      <w:r w:rsidR="00702F17" w:rsidRPr="00DA78C7">
        <w:rPr>
          <w:rFonts w:ascii="Verdana" w:hAnsi="Verdana"/>
          <w:sz w:val="20"/>
          <w:szCs w:val="20"/>
          <w:lang w:val="en-GB"/>
        </w:rPr>
        <w:t xml:space="preserve">for Iraq Mine Action </w:t>
      </w:r>
      <w:r w:rsidR="00D9288C" w:rsidRPr="00DA78C7">
        <w:rPr>
          <w:rFonts w:ascii="Verdana" w:hAnsi="Verdana"/>
          <w:sz w:val="20"/>
          <w:szCs w:val="20"/>
          <w:lang w:val="en-GB"/>
        </w:rPr>
        <w:t>is at best fluid and</w:t>
      </w:r>
      <w:r w:rsidR="00702F17" w:rsidRPr="00DA78C7">
        <w:rPr>
          <w:rFonts w:ascii="Verdana" w:hAnsi="Verdana"/>
          <w:sz w:val="20"/>
          <w:szCs w:val="20"/>
          <w:lang w:val="en-GB"/>
        </w:rPr>
        <w:t xml:space="preserve"> uncertain</w:t>
      </w:r>
      <w:r w:rsidR="00CC6C1D" w:rsidRPr="00DA78C7">
        <w:rPr>
          <w:rFonts w:ascii="Verdana" w:hAnsi="Verdana"/>
          <w:sz w:val="20"/>
          <w:szCs w:val="20"/>
          <w:lang w:val="en-GB"/>
        </w:rPr>
        <w:t>.</w:t>
      </w:r>
      <w:r w:rsidR="00702F17" w:rsidRPr="00DA78C7">
        <w:rPr>
          <w:rFonts w:ascii="Verdana" w:hAnsi="Verdana"/>
          <w:sz w:val="20"/>
          <w:szCs w:val="20"/>
          <w:lang w:val="en-GB"/>
        </w:rPr>
        <w:t xml:space="preserve"> </w:t>
      </w:r>
      <w:r w:rsidR="00CC6C1D" w:rsidRPr="00DA78C7">
        <w:rPr>
          <w:rFonts w:ascii="Verdana" w:hAnsi="Verdana"/>
          <w:sz w:val="20"/>
          <w:szCs w:val="20"/>
          <w:lang w:val="en-GB"/>
        </w:rPr>
        <w:t>I</w:t>
      </w:r>
      <w:r w:rsidR="00702F17" w:rsidRPr="00DA78C7">
        <w:rPr>
          <w:rFonts w:ascii="Verdana" w:hAnsi="Verdana"/>
          <w:sz w:val="20"/>
          <w:szCs w:val="20"/>
          <w:lang w:val="en-GB"/>
        </w:rPr>
        <w:t xml:space="preserve">mplementing organisations </w:t>
      </w:r>
      <w:r w:rsidR="00CC6C1D" w:rsidRPr="00DA78C7">
        <w:rPr>
          <w:rFonts w:ascii="Verdana" w:hAnsi="Verdana"/>
          <w:sz w:val="20"/>
          <w:szCs w:val="20"/>
          <w:lang w:val="en-GB"/>
        </w:rPr>
        <w:t xml:space="preserve">working under these circumstances </w:t>
      </w:r>
      <w:r w:rsidR="00702F17" w:rsidRPr="00DA78C7">
        <w:rPr>
          <w:rFonts w:ascii="Verdana" w:hAnsi="Verdana"/>
          <w:sz w:val="20"/>
          <w:szCs w:val="20"/>
          <w:lang w:val="en-GB"/>
        </w:rPr>
        <w:t xml:space="preserve">have to have the ability to </w:t>
      </w:r>
      <w:r w:rsidR="00CC6C1D" w:rsidRPr="00DA78C7">
        <w:rPr>
          <w:rFonts w:ascii="Verdana" w:hAnsi="Verdana"/>
          <w:sz w:val="20"/>
          <w:szCs w:val="20"/>
          <w:lang w:val="en-GB"/>
        </w:rPr>
        <w:t xml:space="preserve">quickly </w:t>
      </w:r>
      <w:r w:rsidR="00702F17" w:rsidRPr="00DA78C7">
        <w:rPr>
          <w:rFonts w:ascii="Verdana" w:hAnsi="Verdana"/>
          <w:sz w:val="20"/>
          <w:szCs w:val="20"/>
          <w:lang w:val="en-GB"/>
        </w:rPr>
        <w:t xml:space="preserve">adapt to the changing circumstances and demands of the environment </w:t>
      </w:r>
      <w:r w:rsidR="00CC6C1D" w:rsidRPr="00DA78C7">
        <w:rPr>
          <w:rFonts w:ascii="Verdana" w:hAnsi="Verdana"/>
          <w:sz w:val="20"/>
          <w:szCs w:val="20"/>
          <w:lang w:val="en-GB"/>
        </w:rPr>
        <w:t xml:space="preserve">they are operating in. </w:t>
      </w:r>
      <w:r w:rsidR="008A14C1" w:rsidRPr="00DA78C7">
        <w:rPr>
          <w:rFonts w:ascii="Verdana" w:hAnsi="Verdana"/>
          <w:sz w:val="20"/>
          <w:szCs w:val="20"/>
          <w:lang w:val="en-GB"/>
        </w:rPr>
        <w:t>Consequently implementing partners and donors need to find methods for ensuring this adaptability.</w:t>
      </w:r>
    </w:p>
    <w:p w:rsidR="004338CF" w:rsidRDefault="004338CF" w:rsidP="002B7021">
      <w:pPr>
        <w:pStyle w:val="NoSpacing"/>
        <w:spacing w:line="276" w:lineRule="auto"/>
        <w:jc w:val="both"/>
        <w:rPr>
          <w:rFonts w:ascii="Verdana" w:hAnsi="Verdana"/>
          <w:sz w:val="20"/>
          <w:szCs w:val="20"/>
          <w:lang w:val="en-GB"/>
        </w:rPr>
      </w:pPr>
    </w:p>
    <w:p w:rsidR="00DE503E" w:rsidRPr="00DA78C7" w:rsidRDefault="00DE503E" w:rsidP="002B7021">
      <w:pPr>
        <w:pStyle w:val="NoSpacing"/>
        <w:spacing w:line="276" w:lineRule="auto"/>
        <w:jc w:val="both"/>
        <w:rPr>
          <w:rFonts w:ascii="Verdana" w:hAnsi="Verdana"/>
          <w:sz w:val="20"/>
          <w:szCs w:val="20"/>
          <w:lang w:val="en-GB"/>
        </w:rPr>
      </w:pPr>
    </w:p>
    <w:p w:rsidR="004338CF" w:rsidRPr="00DA78C7" w:rsidRDefault="004338CF" w:rsidP="002B7021">
      <w:pPr>
        <w:jc w:val="both"/>
        <w:rPr>
          <w:rFonts w:ascii="Verdana" w:hAnsi="Verdana"/>
          <w:b/>
          <w:sz w:val="20"/>
          <w:szCs w:val="20"/>
          <w:lang w:val="en-GB"/>
        </w:rPr>
      </w:pPr>
      <w:r w:rsidRPr="00DA78C7">
        <w:rPr>
          <w:rFonts w:ascii="Verdana" w:hAnsi="Verdana"/>
          <w:b/>
          <w:sz w:val="20"/>
          <w:szCs w:val="20"/>
          <w:lang w:val="en-GB"/>
        </w:rPr>
        <w:t>5.2 Lessons Learned in Victim Assistance:</w:t>
      </w:r>
    </w:p>
    <w:p w:rsidR="00F60D21" w:rsidRDefault="00E33647" w:rsidP="004338CF">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 xml:space="preserve">Due to </w:t>
      </w:r>
      <w:r w:rsidR="00194CC7" w:rsidRPr="00DA78C7">
        <w:rPr>
          <w:rFonts w:ascii="Verdana" w:hAnsi="Verdana"/>
          <w:sz w:val="20"/>
          <w:szCs w:val="20"/>
          <w:lang w:val="en-GB"/>
        </w:rPr>
        <w:t xml:space="preserve">the </w:t>
      </w:r>
      <w:r w:rsidR="00912483" w:rsidRPr="00DA78C7">
        <w:rPr>
          <w:rFonts w:ascii="Verdana" w:hAnsi="Verdana"/>
          <w:sz w:val="20"/>
          <w:szCs w:val="20"/>
          <w:lang w:val="en-GB"/>
        </w:rPr>
        <w:t>absence of</w:t>
      </w:r>
      <w:r w:rsidRPr="00DA78C7">
        <w:rPr>
          <w:rFonts w:ascii="Verdana" w:hAnsi="Verdana"/>
          <w:sz w:val="20"/>
          <w:szCs w:val="20"/>
          <w:lang w:val="en-GB"/>
        </w:rPr>
        <w:t xml:space="preserve"> a reliable </w:t>
      </w:r>
      <w:r w:rsidR="00194CC7" w:rsidRPr="00DA78C7">
        <w:rPr>
          <w:rFonts w:ascii="Verdana" w:hAnsi="Verdana"/>
          <w:sz w:val="20"/>
          <w:szCs w:val="20"/>
          <w:lang w:val="en-GB"/>
        </w:rPr>
        <w:t>b</w:t>
      </w:r>
      <w:r w:rsidRPr="00DA78C7">
        <w:rPr>
          <w:rFonts w:ascii="Verdana" w:hAnsi="Verdana"/>
          <w:sz w:val="20"/>
          <w:szCs w:val="20"/>
          <w:lang w:val="en-GB"/>
        </w:rPr>
        <w:t>anking system</w:t>
      </w:r>
      <w:r w:rsidR="004338CF" w:rsidRPr="00DA78C7">
        <w:rPr>
          <w:rFonts w:ascii="Verdana" w:hAnsi="Verdana"/>
          <w:sz w:val="20"/>
          <w:szCs w:val="20"/>
          <w:lang w:val="en-GB"/>
        </w:rPr>
        <w:t xml:space="preserve"> where organisation</w:t>
      </w:r>
      <w:r w:rsidR="00214CF6" w:rsidRPr="00DA78C7">
        <w:rPr>
          <w:rFonts w:ascii="Verdana" w:hAnsi="Verdana"/>
          <w:sz w:val="20"/>
          <w:szCs w:val="20"/>
          <w:lang w:val="en-GB"/>
        </w:rPr>
        <w:t>s</w:t>
      </w:r>
      <w:r w:rsidR="004338CF" w:rsidRPr="00DA78C7">
        <w:rPr>
          <w:rFonts w:ascii="Verdana" w:hAnsi="Verdana"/>
          <w:sz w:val="20"/>
          <w:szCs w:val="20"/>
          <w:lang w:val="en-GB"/>
        </w:rPr>
        <w:t xml:space="preserve"> can </w:t>
      </w:r>
      <w:r w:rsidR="00912483" w:rsidRPr="00DA78C7">
        <w:rPr>
          <w:rFonts w:ascii="Verdana" w:hAnsi="Verdana"/>
          <w:sz w:val="20"/>
          <w:szCs w:val="20"/>
          <w:lang w:val="en-GB"/>
        </w:rPr>
        <w:t>establish their own bank</w:t>
      </w:r>
      <w:r w:rsidR="004338CF" w:rsidRPr="00DA78C7">
        <w:rPr>
          <w:rFonts w:ascii="Verdana" w:hAnsi="Verdana"/>
          <w:sz w:val="20"/>
          <w:szCs w:val="20"/>
          <w:lang w:val="en-GB"/>
        </w:rPr>
        <w:t xml:space="preserve"> account</w:t>
      </w:r>
      <w:r w:rsidR="00214CF6" w:rsidRPr="00DA78C7">
        <w:rPr>
          <w:rFonts w:ascii="Verdana" w:hAnsi="Verdana"/>
          <w:sz w:val="20"/>
          <w:szCs w:val="20"/>
          <w:lang w:val="en-GB"/>
        </w:rPr>
        <w:t>s</w:t>
      </w:r>
      <w:r w:rsidR="004338CF" w:rsidRPr="00DA78C7">
        <w:rPr>
          <w:rFonts w:ascii="Verdana" w:hAnsi="Verdana"/>
          <w:sz w:val="20"/>
          <w:szCs w:val="20"/>
          <w:lang w:val="en-GB"/>
        </w:rPr>
        <w:t xml:space="preserve">, </w:t>
      </w:r>
      <w:r w:rsidRPr="00DA78C7">
        <w:rPr>
          <w:rFonts w:ascii="Verdana" w:hAnsi="Verdana"/>
          <w:sz w:val="20"/>
          <w:szCs w:val="20"/>
          <w:lang w:val="en-GB"/>
        </w:rPr>
        <w:t xml:space="preserve">UNDP contracted a cash transfer company to ease and accelerate payments to the NGOs, until </w:t>
      </w:r>
      <w:r w:rsidR="00214CF6" w:rsidRPr="00DA78C7">
        <w:rPr>
          <w:rFonts w:ascii="Verdana" w:hAnsi="Verdana"/>
          <w:sz w:val="20"/>
          <w:szCs w:val="20"/>
          <w:lang w:val="en-GB"/>
        </w:rPr>
        <w:t xml:space="preserve">such a time when the </w:t>
      </w:r>
      <w:r w:rsidRPr="00DA78C7">
        <w:rPr>
          <w:rFonts w:ascii="Verdana" w:hAnsi="Verdana"/>
          <w:sz w:val="20"/>
          <w:szCs w:val="20"/>
          <w:lang w:val="en-GB"/>
        </w:rPr>
        <w:t xml:space="preserve">NGOs </w:t>
      </w:r>
      <w:r w:rsidR="00194CC7" w:rsidRPr="00DA78C7">
        <w:rPr>
          <w:rFonts w:ascii="Verdana" w:hAnsi="Verdana"/>
          <w:sz w:val="20"/>
          <w:szCs w:val="20"/>
          <w:lang w:val="en-GB"/>
        </w:rPr>
        <w:t>can confirm</w:t>
      </w:r>
      <w:r w:rsidRPr="00DA78C7">
        <w:rPr>
          <w:rFonts w:ascii="Verdana" w:hAnsi="Verdana"/>
          <w:sz w:val="20"/>
          <w:szCs w:val="20"/>
          <w:lang w:val="en-GB"/>
        </w:rPr>
        <w:t xml:space="preserve"> availability of their proper/reliable Bank/Bank account. </w:t>
      </w:r>
    </w:p>
    <w:p w:rsidR="00DE503E" w:rsidRPr="00DA78C7" w:rsidRDefault="00DE503E" w:rsidP="00DE503E">
      <w:pPr>
        <w:pStyle w:val="NoSpacing"/>
        <w:spacing w:line="276" w:lineRule="auto"/>
        <w:ind w:left="720"/>
        <w:jc w:val="both"/>
        <w:rPr>
          <w:rFonts w:ascii="Verdana" w:hAnsi="Verdana"/>
          <w:sz w:val="20"/>
          <w:szCs w:val="20"/>
          <w:lang w:val="en-GB"/>
        </w:rPr>
      </w:pPr>
    </w:p>
    <w:p w:rsidR="00262A6E" w:rsidRDefault="00262A6E" w:rsidP="008415D3">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The UNDP supported activities are vital and actively contribut</w:t>
      </w:r>
      <w:r w:rsidR="00912483" w:rsidRPr="00DA78C7">
        <w:rPr>
          <w:rFonts w:ascii="Verdana" w:hAnsi="Verdana"/>
          <w:sz w:val="20"/>
          <w:szCs w:val="20"/>
          <w:lang w:val="en-GB"/>
        </w:rPr>
        <w:t>e</w:t>
      </w:r>
      <w:r w:rsidRPr="00DA78C7">
        <w:rPr>
          <w:rFonts w:ascii="Verdana" w:hAnsi="Verdana"/>
          <w:sz w:val="20"/>
          <w:szCs w:val="20"/>
          <w:lang w:val="en-GB"/>
        </w:rPr>
        <w:t xml:space="preserve"> to changing </w:t>
      </w:r>
      <w:r w:rsidR="00912483" w:rsidRPr="00DA78C7">
        <w:rPr>
          <w:rFonts w:ascii="Verdana" w:hAnsi="Verdana"/>
          <w:sz w:val="20"/>
          <w:szCs w:val="20"/>
          <w:lang w:val="en-GB"/>
        </w:rPr>
        <w:t xml:space="preserve">the </w:t>
      </w:r>
      <w:r w:rsidRPr="00DA78C7">
        <w:rPr>
          <w:rFonts w:ascii="Verdana" w:hAnsi="Verdana"/>
          <w:sz w:val="20"/>
          <w:szCs w:val="20"/>
          <w:lang w:val="en-GB"/>
        </w:rPr>
        <w:t xml:space="preserve">lives of hundreds of vulnerable people (mine victims). However the project supported only a small </w:t>
      </w:r>
      <w:r w:rsidR="00194CC7" w:rsidRPr="00DA78C7">
        <w:rPr>
          <w:rFonts w:ascii="Verdana" w:hAnsi="Verdana"/>
          <w:sz w:val="20"/>
          <w:szCs w:val="20"/>
          <w:lang w:val="en-GB"/>
        </w:rPr>
        <w:t xml:space="preserve">number out </w:t>
      </w:r>
      <w:r w:rsidRPr="00DA78C7">
        <w:rPr>
          <w:rFonts w:ascii="Verdana" w:hAnsi="Verdana"/>
          <w:sz w:val="20"/>
          <w:szCs w:val="20"/>
          <w:lang w:val="en-GB"/>
        </w:rPr>
        <w:t>of</w:t>
      </w:r>
      <w:r w:rsidR="00194CC7" w:rsidRPr="00DA78C7">
        <w:rPr>
          <w:rFonts w:ascii="Verdana" w:hAnsi="Verdana"/>
          <w:sz w:val="20"/>
          <w:szCs w:val="20"/>
          <w:lang w:val="en-GB"/>
        </w:rPr>
        <w:t xml:space="preserve"> the</w:t>
      </w:r>
      <w:r w:rsidRPr="00DA78C7">
        <w:rPr>
          <w:rFonts w:ascii="Verdana" w:hAnsi="Verdana"/>
          <w:sz w:val="20"/>
          <w:szCs w:val="20"/>
          <w:lang w:val="en-GB"/>
        </w:rPr>
        <w:t xml:space="preserve"> total mine victims requiring socio-economic reintegration</w:t>
      </w:r>
      <w:r w:rsidR="002675F7" w:rsidRPr="00DA78C7">
        <w:rPr>
          <w:rFonts w:ascii="Verdana" w:hAnsi="Verdana"/>
          <w:sz w:val="20"/>
          <w:szCs w:val="20"/>
          <w:lang w:val="en-GB"/>
        </w:rPr>
        <w:t xml:space="preserve"> </w:t>
      </w:r>
      <w:r w:rsidR="008415D3" w:rsidRPr="00DA78C7">
        <w:rPr>
          <w:rFonts w:ascii="Verdana" w:hAnsi="Verdana"/>
          <w:sz w:val="20"/>
          <w:szCs w:val="20"/>
          <w:lang w:val="en-GB"/>
        </w:rPr>
        <w:t>while the</w:t>
      </w:r>
      <w:r w:rsidR="002675F7" w:rsidRPr="00DA78C7">
        <w:rPr>
          <w:rFonts w:ascii="Verdana" w:hAnsi="Verdana"/>
          <w:sz w:val="20"/>
          <w:szCs w:val="20"/>
          <w:lang w:val="en-GB"/>
        </w:rPr>
        <w:t xml:space="preserve"> n</w:t>
      </w:r>
      <w:r w:rsidRPr="00DA78C7">
        <w:rPr>
          <w:rFonts w:ascii="Verdana" w:hAnsi="Verdana"/>
          <w:sz w:val="20"/>
          <w:szCs w:val="20"/>
          <w:lang w:val="en-GB"/>
        </w:rPr>
        <w:t xml:space="preserve">umber and </w:t>
      </w:r>
      <w:r w:rsidR="002675F7" w:rsidRPr="00DA78C7">
        <w:rPr>
          <w:rFonts w:ascii="Verdana" w:hAnsi="Verdana"/>
          <w:sz w:val="20"/>
          <w:szCs w:val="20"/>
          <w:lang w:val="en-GB"/>
        </w:rPr>
        <w:t xml:space="preserve">the </w:t>
      </w:r>
      <w:r w:rsidRPr="00DA78C7">
        <w:rPr>
          <w:rFonts w:ascii="Verdana" w:hAnsi="Verdana"/>
          <w:sz w:val="20"/>
          <w:szCs w:val="20"/>
          <w:lang w:val="en-GB"/>
        </w:rPr>
        <w:t xml:space="preserve">needs of </w:t>
      </w:r>
      <w:r w:rsidR="002675F7" w:rsidRPr="00DA78C7">
        <w:rPr>
          <w:rFonts w:ascii="Verdana" w:hAnsi="Verdana"/>
          <w:sz w:val="20"/>
          <w:szCs w:val="20"/>
          <w:lang w:val="en-GB"/>
        </w:rPr>
        <w:t xml:space="preserve">the </w:t>
      </w:r>
      <w:r w:rsidRPr="00DA78C7">
        <w:rPr>
          <w:rFonts w:ascii="Verdana" w:hAnsi="Verdana"/>
          <w:sz w:val="20"/>
          <w:szCs w:val="20"/>
          <w:lang w:val="en-GB"/>
        </w:rPr>
        <w:t xml:space="preserve">victims </w:t>
      </w:r>
      <w:r w:rsidR="008415D3" w:rsidRPr="00DA78C7">
        <w:rPr>
          <w:rFonts w:ascii="Verdana" w:hAnsi="Verdana"/>
          <w:sz w:val="20"/>
          <w:szCs w:val="20"/>
          <w:lang w:val="en-GB"/>
        </w:rPr>
        <w:t xml:space="preserve">is </w:t>
      </w:r>
      <w:r w:rsidRPr="00DA78C7">
        <w:rPr>
          <w:rFonts w:ascii="Verdana" w:hAnsi="Verdana"/>
          <w:sz w:val="20"/>
          <w:szCs w:val="20"/>
          <w:lang w:val="en-GB"/>
        </w:rPr>
        <w:t>much greater</w:t>
      </w:r>
      <w:r w:rsidR="008415D3" w:rsidRPr="00DA78C7">
        <w:rPr>
          <w:rFonts w:ascii="Verdana" w:hAnsi="Verdana"/>
          <w:sz w:val="20"/>
          <w:szCs w:val="20"/>
          <w:lang w:val="en-GB"/>
        </w:rPr>
        <w:t>.</w:t>
      </w:r>
      <w:r w:rsidRPr="00DA78C7">
        <w:rPr>
          <w:rFonts w:ascii="Verdana" w:hAnsi="Verdana"/>
          <w:sz w:val="20"/>
          <w:szCs w:val="20"/>
          <w:lang w:val="en-GB"/>
        </w:rPr>
        <w:t xml:space="preserve"> </w:t>
      </w:r>
    </w:p>
    <w:p w:rsidR="00DE503E" w:rsidRPr="00DA78C7" w:rsidRDefault="00DE503E" w:rsidP="00DE503E">
      <w:pPr>
        <w:pStyle w:val="NoSpacing"/>
        <w:spacing w:line="276" w:lineRule="auto"/>
        <w:jc w:val="both"/>
        <w:rPr>
          <w:rFonts w:ascii="Verdana" w:hAnsi="Verdana"/>
          <w:sz w:val="20"/>
          <w:szCs w:val="20"/>
          <w:lang w:val="en-GB"/>
        </w:rPr>
      </w:pPr>
    </w:p>
    <w:p w:rsidR="00262A6E" w:rsidRDefault="00262A6E" w:rsidP="008415D3">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 xml:space="preserve">It is vital for UNDP, together with the </w:t>
      </w:r>
      <w:r w:rsidR="004338CF" w:rsidRPr="00DA78C7">
        <w:rPr>
          <w:rFonts w:ascii="Verdana" w:hAnsi="Verdana"/>
          <w:sz w:val="20"/>
          <w:szCs w:val="20"/>
          <w:lang w:val="en-GB"/>
        </w:rPr>
        <w:t>organisation</w:t>
      </w:r>
      <w:r w:rsidRPr="00DA78C7">
        <w:rPr>
          <w:rFonts w:ascii="Verdana" w:hAnsi="Verdana"/>
          <w:sz w:val="20"/>
          <w:szCs w:val="20"/>
          <w:lang w:val="en-GB"/>
        </w:rPr>
        <w:t>s/</w:t>
      </w:r>
      <w:r w:rsidR="004338CF" w:rsidRPr="00DA78C7">
        <w:rPr>
          <w:rFonts w:ascii="Verdana" w:hAnsi="Verdana"/>
          <w:sz w:val="20"/>
          <w:szCs w:val="20"/>
          <w:lang w:val="en-GB"/>
        </w:rPr>
        <w:t>centres</w:t>
      </w:r>
      <w:r w:rsidRPr="00DA78C7">
        <w:rPr>
          <w:rFonts w:ascii="Verdana" w:hAnsi="Verdana"/>
          <w:sz w:val="20"/>
          <w:szCs w:val="20"/>
          <w:lang w:val="en-GB"/>
        </w:rPr>
        <w:t xml:space="preserve">, to try to convince </w:t>
      </w:r>
      <w:r w:rsidR="008415D3" w:rsidRPr="00DA78C7">
        <w:rPr>
          <w:rFonts w:ascii="Verdana" w:hAnsi="Verdana"/>
          <w:sz w:val="20"/>
          <w:szCs w:val="20"/>
          <w:lang w:val="en-GB"/>
        </w:rPr>
        <w:t xml:space="preserve">the </w:t>
      </w:r>
      <w:r w:rsidRPr="00DA78C7">
        <w:rPr>
          <w:rFonts w:ascii="Verdana" w:hAnsi="Verdana"/>
          <w:sz w:val="20"/>
          <w:szCs w:val="20"/>
          <w:lang w:val="en-GB"/>
        </w:rPr>
        <w:t xml:space="preserve">government to take over </w:t>
      </w:r>
      <w:r w:rsidR="008415D3" w:rsidRPr="00DA78C7">
        <w:rPr>
          <w:rFonts w:ascii="Verdana" w:hAnsi="Verdana"/>
          <w:sz w:val="20"/>
          <w:szCs w:val="20"/>
          <w:lang w:val="en-GB"/>
        </w:rPr>
        <w:t xml:space="preserve">the </w:t>
      </w:r>
      <w:r w:rsidRPr="00DA78C7">
        <w:rPr>
          <w:rFonts w:ascii="Verdana" w:hAnsi="Verdana"/>
          <w:sz w:val="20"/>
          <w:szCs w:val="20"/>
          <w:lang w:val="en-GB"/>
        </w:rPr>
        <w:t xml:space="preserve">full scope of the services provided by the </w:t>
      </w:r>
      <w:r w:rsidR="008415D3" w:rsidRPr="00DA78C7">
        <w:rPr>
          <w:rFonts w:ascii="Verdana" w:hAnsi="Verdana"/>
          <w:sz w:val="20"/>
          <w:szCs w:val="20"/>
          <w:lang w:val="en-GB"/>
        </w:rPr>
        <w:t>centres;</w:t>
      </w:r>
      <w:r w:rsidRPr="00DA78C7">
        <w:rPr>
          <w:rFonts w:ascii="Verdana" w:hAnsi="Verdana"/>
          <w:sz w:val="20"/>
          <w:szCs w:val="20"/>
          <w:lang w:val="en-GB"/>
        </w:rPr>
        <w:t xml:space="preserve"> </w:t>
      </w:r>
      <w:r w:rsidR="008415D3" w:rsidRPr="00DA78C7">
        <w:rPr>
          <w:rFonts w:ascii="Verdana" w:hAnsi="Verdana"/>
          <w:sz w:val="20"/>
          <w:szCs w:val="20"/>
          <w:lang w:val="en-GB"/>
        </w:rPr>
        <w:t xml:space="preserve">meanwhile </w:t>
      </w:r>
      <w:r w:rsidRPr="00DA78C7">
        <w:rPr>
          <w:rFonts w:ascii="Verdana" w:hAnsi="Verdana"/>
          <w:sz w:val="20"/>
          <w:szCs w:val="20"/>
          <w:lang w:val="en-GB"/>
        </w:rPr>
        <w:t>UNDP still needs to try t</w:t>
      </w:r>
      <w:r w:rsidR="008415D3" w:rsidRPr="00DA78C7">
        <w:rPr>
          <w:rFonts w:ascii="Verdana" w:hAnsi="Verdana"/>
          <w:sz w:val="20"/>
          <w:szCs w:val="20"/>
          <w:lang w:val="en-GB"/>
        </w:rPr>
        <w:t xml:space="preserve">o raise funds </w:t>
      </w:r>
      <w:r w:rsidRPr="00DA78C7">
        <w:rPr>
          <w:rFonts w:ascii="Verdana" w:hAnsi="Verdana"/>
          <w:sz w:val="20"/>
          <w:szCs w:val="20"/>
          <w:lang w:val="en-GB"/>
        </w:rPr>
        <w:t xml:space="preserve">for the centers to cover the gaps until the government </w:t>
      </w:r>
      <w:r w:rsidR="008415D3" w:rsidRPr="00DA78C7">
        <w:rPr>
          <w:rFonts w:ascii="Verdana" w:hAnsi="Verdana"/>
          <w:sz w:val="20"/>
          <w:szCs w:val="20"/>
          <w:lang w:val="en-GB"/>
        </w:rPr>
        <w:t xml:space="preserve">is </w:t>
      </w:r>
      <w:r w:rsidRPr="00DA78C7">
        <w:rPr>
          <w:rFonts w:ascii="Verdana" w:hAnsi="Verdana"/>
          <w:sz w:val="20"/>
          <w:szCs w:val="20"/>
          <w:lang w:val="en-GB"/>
        </w:rPr>
        <w:t>totally able to cover all their requirements.</w:t>
      </w:r>
    </w:p>
    <w:p w:rsidR="00DE503E" w:rsidRPr="00DA78C7" w:rsidRDefault="00DE503E" w:rsidP="00DE503E">
      <w:pPr>
        <w:pStyle w:val="NoSpacing"/>
        <w:spacing w:line="276" w:lineRule="auto"/>
        <w:jc w:val="both"/>
        <w:rPr>
          <w:rFonts w:ascii="Verdana" w:hAnsi="Verdana"/>
          <w:sz w:val="20"/>
          <w:szCs w:val="20"/>
          <w:lang w:val="en-GB"/>
        </w:rPr>
      </w:pPr>
    </w:p>
    <w:p w:rsidR="00262A6E" w:rsidRPr="00DA78C7" w:rsidRDefault="00262A6E" w:rsidP="00172F79">
      <w:pPr>
        <w:pStyle w:val="NoSpacing"/>
        <w:numPr>
          <w:ilvl w:val="0"/>
          <w:numId w:val="26"/>
        </w:numPr>
        <w:spacing w:line="276" w:lineRule="auto"/>
        <w:jc w:val="both"/>
        <w:rPr>
          <w:rFonts w:ascii="Verdana" w:hAnsi="Verdana"/>
          <w:sz w:val="20"/>
          <w:szCs w:val="20"/>
          <w:lang w:val="en-GB"/>
        </w:rPr>
      </w:pPr>
      <w:r w:rsidRPr="00DA78C7">
        <w:rPr>
          <w:rFonts w:ascii="Verdana" w:hAnsi="Verdana"/>
          <w:sz w:val="20"/>
          <w:szCs w:val="20"/>
          <w:lang w:val="en-GB"/>
        </w:rPr>
        <w:t xml:space="preserve">Establishing </w:t>
      </w:r>
      <w:r w:rsidR="00172F79" w:rsidRPr="00DA78C7">
        <w:rPr>
          <w:rFonts w:ascii="Verdana" w:hAnsi="Verdana"/>
          <w:sz w:val="20"/>
          <w:szCs w:val="20"/>
          <w:lang w:val="en-GB"/>
        </w:rPr>
        <w:t xml:space="preserve">cost sharing </w:t>
      </w:r>
      <w:r w:rsidRPr="00DA78C7">
        <w:rPr>
          <w:rFonts w:ascii="Verdana" w:hAnsi="Verdana"/>
          <w:sz w:val="20"/>
          <w:szCs w:val="20"/>
          <w:lang w:val="en-GB"/>
        </w:rPr>
        <w:t xml:space="preserve">income generation projects </w:t>
      </w:r>
      <w:r w:rsidR="00172F79" w:rsidRPr="00DA78C7">
        <w:rPr>
          <w:rFonts w:ascii="Verdana" w:hAnsi="Verdana"/>
          <w:sz w:val="20"/>
          <w:szCs w:val="20"/>
          <w:lang w:val="en-GB"/>
        </w:rPr>
        <w:t>for</w:t>
      </w:r>
      <w:r w:rsidRPr="00DA78C7">
        <w:rPr>
          <w:rFonts w:ascii="Verdana" w:hAnsi="Verdana"/>
          <w:sz w:val="20"/>
          <w:szCs w:val="20"/>
          <w:lang w:val="en-GB"/>
        </w:rPr>
        <w:t xml:space="preserve"> </w:t>
      </w:r>
      <w:r w:rsidR="00172F79" w:rsidRPr="00DA78C7">
        <w:rPr>
          <w:rFonts w:ascii="Verdana" w:hAnsi="Verdana"/>
          <w:sz w:val="20"/>
          <w:szCs w:val="20"/>
          <w:lang w:val="en-GB"/>
        </w:rPr>
        <w:t xml:space="preserve">landmine victims and </w:t>
      </w:r>
      <w:r w:rsidRPr="00DA78C7">
        <w:rPr>
          <w:rFonts w:ascii="Verdana" w:hAnsi="Verdana"/>
          <w:sz w:val="20"/>
          <w:szCs w:val="20"/>
          <w:lang w:val="en-GB"/>
        </w:rPr>
        <w:t>PwD is much more effective and efficient compare</w:t>
      </w:r>
      <w:r w:rsidR="008415D3" w:rsidRPr="00DA78C7">
        <w:rPr>
          <w:rFonts w:ascii="Verdana" w:hAnsi="Verdana"/>
          <w:sz w:val="20"/>
          <w:szCs w:val="20"/>
          <w:lang w:val="en-GB"/>
        </w:rPr>
        <w:t>d</w:t>
      </w:r>
      <w:r w:rsidRPr="00DA78C7">
        <w:rPr>
          <w:rFonts w:ascii="Verdana" w:hAnsi="Verdana"/>
          <w:sz w:val="20"/>
          <w:szCs w:val="20"/>
          <w:lang w:val="en-GB"/>
        </w:rPr>
        <w:t xml:space="preserve"> to providing vocational training and establishing cooperative workshops</w:t>
      </w:r>
      <w:r w:rsidR="00172F79" w:rsidRPr="00DA78C7">
        <w:rPr>
          <w:rFonts w:ascii="Verdana" w:hAnsi="Verdana"/>
          <w:sz w:val="20"/>
          <w:szCs w:val="20"/>
          <w:lang w:val="en-GB"/>
        </w:rPr>
        <w:t>, as t</w:t>
      </w:r>
      <w:r w:rsidRPr="00DA78C7">
        <w:rPr>
          <w:rFonts w:ascii="Verdana" w:hAnsi="Verdana"/>
          <w:sz w:val="20"/>
          <w:szCs w:val="20"/>
          <w:lang w:val="en-GB"/>
        </w:rPr>
        <w:t xml:space="preserve">he </w:t>
      </w:r>
      <w:r w:rsidR="00172F79" w:rsidRPr="00DA78C7">
        <w:rPr>
          <w:rFonts w:ascii="Verdana" w:hAnsi="Verdana"/>
          <w:sz w:val="20"/>
          <w:szCs w:val="20"/>
          <w:lang w:val="en-GB"/>
        </w:rPr>
        <w:t>latter</w:t>
      </w:r>
      <w:r w:rsidRPr="00DA78C7">
        <w:rPr>
          <w:rFonts w:ascii="Verdana" w:hAnsi="Verdana"/>
          <w:sz w:val="20"/>
          <w:szCs w:val="20"/>
          <w:lang w:val="en-GB"/>
        </w:rPr>
        <w:t xml:space="preserve"> is more costly and</w:t>
      </w:r>
      <w:r w:rsidR="00172F79" w:rsidRPr="00DA78C7">
        <w:rPr>
          <w:rFonts w:ascii="Verdana" w:hAnsi="Verdana"/>
          <w:sz w:val="20"/>
          <w:szCs w:val="20"/>
          <w:lang w:val="en-GB"/>
        </w:rPr>
        <w:t xml:space="preserve"> has a greater possibility for </w:t>
      </w:r>
      <w:r w:rsidRPr="00DA78C7">
        <w:rPr>
          <w:rFonts w:ascii="Verdana" w:hAnsi="Verdana"/>
          <w:sz w:val="20"/>
          <w:szCs w:val="20"/>
          <w:lang w:val="en-GB"/>
        </w:rPr>
        <w:t xml:space="preserve"> failure.</w:t>
      </w:r>
    </w:p>
    <w:p w:rsidR="00A25216" w:rsidRPr="00DA78C7" w:rsidRDefault="00A25216" w:rsidP="00A25216">
      <w:pPr>
        <w:pStyle w:val="NoSpacing"/>
        <w:spacing w:line="276" w:lineRule="auto"/>
        <w:ind w:left="720"/>
        <w:jc w:val="both"/>
        <w:rPr>
          <w:rFonts w:ascii="Verdana" w:hAnsi="Verdana"/>
          <w:sz w:val="20"/>
          <w:szCs w:val="20"/>
          <w:lang w:val="en-GB"/>
        </w:rPr>
      </w:pPr>
    </w:p>
    <w:p w:rsidR="002B7021" w:rsidRDefault="002B7021" w:rsidP="00A25216">
      <w:pPr>
        <w:pStyle w:val="NoSpacing"/>
        <w:spacing w:line="276" w:lineRule="auto"/>
        <w:ind w:left="720"/>
        <w:jc w:val="both"/>
        <w:rPr>
          <w:rFonts w:ascii="Verdana" w:hAnsi="Verdana"/>
          <w:sz w:val="20"/>
          <w:szCs w:val="20"/>
          <w:lang w:val="en-GB"/>
        </w:rPr>
      </w:pPr>
    </w:p>
    <w:p w:rsidR="00DE503E" w:rsidRDefault="00DE503E" w:rsidP="00A25216">
      <w:pPr>
        <w:pStyle w:val="NoSpacing"/>
        <w:spacing w:line="276" w:lineRule="auto"/>
        <w:ind w:left="720"/>
        <w:jc w:val="both"/>
        <w:rPr>
          <w:rFonts w:ascii="Verdana" w:hAnsi="Verdana"/>
          <w:sz w:val="20"/>
          <w:szCs w:val="20"/>
          <w:lang w:val="en-GB"/>
        </w:rPr>
      </w:pPr>
    </w:p>
    <w:p w:rsidR="00DE503E" w:rsidRDefault="00DE503E" w:rsidP="00A25216">
      <w:pPr>
        <w:pStyle w:val="NoSpacing"/>
        <w:spacing w:line="276" w:lineRule="auto"/>
        <w:ind w:left="720"/>
        <w:jc w:val="both"/>
        <w:rPr>
          <w:rFonts w:ascii="Verdana" w:hAnsi="Verdana"/>
          <w:sz w:val="20"/>
          <w:szCs w:val="20"/>
          <w:lang w:val="en-GB"/>
        </w:rPr>
      </w:pPr>
    </w:p>
    <w:p w:rsidR="00DE503E" w:rsidRDefault="00DE503E" w:rsidP="00A25216">
      <w:pPr>
        <w:pStyle w:val="NoSpacing"/>
        <w:spacing w:line="276" w:lineRule="auto"/>
        <w:ind w:left="720"/>
        <w:jc w:val="both"/>
        <w:rPr>
          <w:rFonts w:ascii="Verdana" w:hAnsi="Verdana"/>
          <w:sz w:val="20"/>
          <w:szCs w:val="20"/>
          <w:lang w:val="en-GB"/>
        </w:rPr>
      </w:pPr>
    </w:p>
    <w:p w:rsidR="00DE503E" w:rsidRDefault="00DE503E" w:rsidP="00A25216">
      <w:pPr>
        <w:pStyle w:val="NoSpacing"/>
        <w:spacing w:line="276" w:lineRule="auto"/>
        <w:ind w:left="720"/>
        <w:jc w:val="both"/>
        <w:rPr>
          <w:rFonts w:ascii="Verdana" w:hAnsi="Verdana"/>
          <w:sz w:val="20"/>
          <w:szCs w:val="20"/>
          <w:lang w:val="en-GB"/>
        </w:rPr>
      </w:pPr>
    </w:p>
    <w:p w:rsidR="00DE503E" w:rsidRDefault="00DE503E" w:rsidP="00A25216">
      <w:pPr>
        <w:pStyle w:val="NoSpacing"/>
        <w:spacing w:line="276" w:lineRule="auto"/>
        <w:ind w:left="720"/>
        <w:jc w:val="both"/>
        <w:rPr>
          <w:rFonts w:ascii="Verdana" w:hAnsi="Verdana"/>
          <w:sz w:val="20"/>
          <w:szCs w:val="20"/>
          <w:lang w:val="en-GB"/>
        </w:rPr>
      </w:pPr>
    </w:p>
    <w:p w:rsidR="00DE503E" w:rsidRDefault="00DE503E" w:rsidP="00A25216">
      <w:pPr>
        <w:pStyle w:val="NoSpacing"/>
        <w:spacing w:line="276" w:lineRule="auto"/>
        <w:ind w:left="720"/>
        <w:jc w:val="both"/>
        <w:rPr>
          <w:rFonts w:ascii="Verdana" w:hAnsi="Verdana"/>
          <w:sz w:val="20"/>
          <w:szCs w:val="20"/>
          <w:lang w:val="en-GB"/>
        </w:rPr>
      </w:pPr>
    </w:p>
    <w:p w:rsidR="00DE503E" w:rsidRPr="00DA78C7" w:rsidRDefault="00DE503E" w:rsidP="00A25216">
      <w:pPr>
        <w:pStyle w:val="NoSpacing"/>
        <w:spacing w:line="276" w:lineRule="auto"/>
        <w:ind w:left="720"/>
        <w:jc w:val="both"/>
        <w:rPr>
          <w:rFonts w:ascii="Verdana" w:hAnsi="Verdana"/>
          <w:sz w:val="20"/>
          <w:szCs w:val="20"/>
          <w:lang w:val="en-GB"/>
        </w:rPr>
      </w:pPr>
    </w:p>
    <w:p w:rsidR="004D3C02" w:rsidRPr="00DA78C7" w:rsidRDefault="00E64A25" w:rsidP="007A1C44">
      <w:pPr>
        <w:pStyle w:val="NoSpacing"/>
        <w:numPr>
          <w:ilvl w:val="0"/>
          <w:numId w:val="1"/>
        </w:numPr>
        <w:ind w:left="284" w:hanging="284"/>
        <w:jc w:val="both"/>
        <w:rPr>
          <w:rFonts w:ascii="Verdana" w:hAnsi="Verdana" w:cs="Tahoma"/>
          <w:b/>
          <w:bCs/>
          <w:lang w:val="en-GB"/>
        </w:rPr>
      </w:pPr>
      <w:r w:rsidRPr="00DA78C7">
        <w:rPr>
          <w:rFonts w:ascii="Verdana" w:hAnsi="Verdana" w:cs="Tahoma"/>
          <w:b/>
          <w:bCs/>
          <w:lang w:val="en-GB"/>
        </w:rPr>
        <w:t xml:space="preserve">Financial Report </w:t>
      </w:r>
    </w:p>
    <w:p w:rsidR="008F6D59" w:rsidRPr="00DA78C7" w:rsidRDefault="008F6D59" w:rsidP="008F6D59">
      <w:pPr>
        <w:pStyle w:val="NoSpacing"/>
        <w:ind w:left="284"/>
        <w:jc w:val="both"/>
        <w:rPr>
          <w:rFonts w:ascii="Verdana" w:hAnsi="Verdana" w:cs="Tahoma"/>
          <w:b/>
          <w:bCs/>
          <w:sz w:val="10"/>
          <w:szCs w:val="10"/>
          <w:lang w:val="en-GB"/>
        </w:rPr>
      </w:pPr>
    </w:p>
    <w:p w:rsidR="008F6D59" w:rsidRPr="00DA78C7" w:rsidRDefault="008F6D59" w:rsidP="002B7021">
      <w:pPr>
        <w:pStyle w:val="NoSpacing"/>
        <w:numPr>
          <w:ilvl w:val="1"/>
          <w:numId w:val="1"/>
        </w:numPr>
        <w:jc w:val="both"/>
        <w:rPr>
          <w:rFonts w:ascii="Verdana" w:hAnsi="Verdana" w:cs="Tahoma"/>
          <w:b/>
          <w:bCs/>
          <w:lang w:val="en-GB"/>
        </w:rPr>
      </w:pPr>
      <w:r w:rsidRPr="00DA78C7">
        <w:rPr>
          <w:rFonts w:ascii="Verdana" w:hAnsi="Verdana" w:cs="Tahoma"/>
          <w:b/>
          <w:bCs/>
          <w:lang w:val="en-GB"/>
        </w:rPr>
        <w:t>Summary of</w:t>
      </w:r>
      <w:r w:rsidR="005D5630" w:rsidRPr="00DA78C7">
        <w:rPr>
          <w:rFonts w:ascii="Verdana" w:hAnsi="Verdana" w:cs="Tahoma"/>
          <w:b/>
          <w:bCs/>
          <w:lang w:val="en-GB"/>
        </w:rPr>
        <w:t xml:space="preserve"> Revised </w:t>
      </w:r>
      <w:r w:rsidRPr="00DA78C7">
        <w:rPr>
          <w:rFonts w:ascii="Verdana" w:hAnsi="Verdana" w:cs="Tahoma"/>
          <w:b/>
          <w:bCs/>
          <w:lang w:val="en-GB"/>
        </w:rPr>
        <w:t xml:space="preserve">Budget Breakdown: </w:t>
      </w:r>
    </w:p>
    <w:p w:rsidR="00AF0D6C" w:rsidRPr="00DA78C7" w:rsidRDefault="00AF0D6C" w:rsidP="00AF0D6C">
      <w:pPr>
        <w:pStyle w:val="NoSpacing"/>
        <w:jc w:val="both"/>
        <w:rPr>
          <w:rFonts w:ascii="Verdana" w:hAnsi="Verdana" w:cs="Tahoma"/>
          <w:b/>
          <w:bCs/>
          <w:sz w:val="10"/>
          <w:szCs w:val="10"/>
          <w:lang w:val="en-GB"/>
        </w:rPr>
      </w:pPr>
    </w:p>
    <w:tbl>
      <w:tblPr>
        <w:tblW w:w="8946" w:type="dxa"/>
        <w:tblInd w:w="93" w:type="dxa"/>
        <w:tblLook w:val="04A0" w:firstRow="1" w:lastRow="0" w:firstColumn="1" w:lastColumn="0" w:noHBand="0" w:noVBand="1"/>
      </w:tblPr>
      <w:tblGrid>
        <w:gridCol w:w="7386"/>
        <w:gridCol w:w="1560"/>
      </w:tblGrid>
      <w:tr w:rsidR="006A4063" w:rsidRPr="00DA78C7" w:rsidTr="00F957FC">
        <w:trPr>
          <w:trHeight w:val="330"/>
        </w:trPr>
        <w:tc>
          <w:tcPr>
            <w:tcW w:w="7386" w:type="dxa"/>
            <w:tcBorders>
              <w:top w:val="double" w:sz="6" w:space="0" w:color="auto"/>
              <w:left w:val="double" w:sz="6" w:space="0" w:color="auto"/>
              <w:bottom w:val="single" w:sz="8" w:space="0" w:color="000000"/>
              <w:right w:val="single" w:sz="8" w:space="0" w:color="000000"/>
            </w:tcBorders>
            <w:shd w:val="clear" w:color="000000" w:fill="F2DBDB"/>
            <w:hideMark/>
          </w:tcPr>
          <w:p w:rsidR="006A4063" w:rsidRPr="00DA78C7" w:rsidRDefault="006A4063" w:rsidP="006A4063">
            <w:pPr>
              <w:spacing w:after="0" w:line="240" w:lineRule="auto"/>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Total Budget Description</w:t>
            </w:r>
          </w:p>
        </w:tc>
        <w:tc>
          <w:tcPr>
            <w:tcW w:w="1560" w:type="dxa"/>
            <w:tcBorders>
              <w:top w:val="double" w:sz="6" w:space="0" w:color="auto"/>
              <w:left w:val="nil"/>
              <w:bottom w:val="single" w:sz="8" w:space="0" w:color="000000"/>
              <w:right w:val="double" w:sz="6" w:space="0" w:color="auto"/>
            </w:tcBorders>
            <w:shd w:val="clear" w:color="000000" w:fill="F2DBDB"/>
            <w:noWrap/>
            <w:hideMark/>
          </w:tcPr>
          <w:p w:rsidR="006A4063" w:rsidRPr="00DA78C7" w:rsidRDefault="006A4063" w:rsidP="006A4063">
            <w:pPr>
              <w:spacing w:after="0" w:line="240" w:lineRule="auto"/>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Amount (US$)</w:t>
            </w:r>
          </w:p>
        </w:tc>
      </w:tr>
      <w:tr w:rsidR="006A4063" w:rsidRPr="00DA78C7" w:rsidTr="0045059B">
        <w:trPr>
          <w:trHeight w:val="838"/>
        </w:trPr>
        <w:tc>
          <w:tcPr>
            <w:tcW w:w="7386" w:type="dxa"/>
            <w:tcBorders>
              <w:top w:val="nil"/>
              <w:left w:val="double" w:sz="6" w:space="0" w:color="auto"/>
              <w:bottom w:val="single" w:sz="8" w:space="0" w:color="000000"/>
              <w:right w:val="single" w:sz="8" w:space="0" w:color="000000"/>
            </w:tcBorders>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Grants to national NGOs for Victim Assistance (staff, office and field operational costs, vocational training, income generation, capacity building and advocacy activities)</w:t>
            </w:r>
          </w:p>
        </w:tc>
        <w:tc>
          <w:tcPr>
            <w:tcW w:w="1560" w:type="dxa"/>
            <w:tcBorders>
              <w:top w:val="nil"/>
              <w:left w:val="nil"/>
              <w:bottom w:val="single" w:sz="8" w:space="0" w:color="000000"/>
              <w:right w:val="double" w:sz="6" w:space="0" w:color="auto"/>
            </w:tcBorders>
            <w:shd w:val="clear" w:color="auto" w:fill="auto"/>
            <w:noWrap/>
            <w:hideMark/>
          </w:tcPr>
          <w:p w:rsidR="006A4063" w:rsidRPr="00DA78C7" w:rsidRDefault="006A4063" w:rsidP="006A4063">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670,000</w:t>
            </w:r>
          </w:p>
        </w:tc>
      </w:tr>
      <w:tr w:rsidR="006A4063" w:rsidRPr="00DA78C7" w:rsidTr="0045059B">
        <w:trPr>
          <w:trHeight w:val="836"/>
        </w:trPr>
        <w:tc>
          <w:tcPr>
            <w:tcW w:w="7386" w:type="dxa"/>
            <w:tcBorders>
              <w:top w:val="nil"/>
              <w:left w:val="double" w:sz="6" w:space="0" w:color="auto"/>
              <w:bottom w:val="single" w:sz="8" w:space="0" w:color="000000"/>
              <w:right w:val="single" w:sz="8" w:space="0" w:color="000000"/>
            </w:tcBorders>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Grants to national NGOs for clearance/mine risk education (staff, office and field operational costs, security, capacity building and advocacy activities)</w:t>
            </w:r>
          </w:p>
        </w:tc>
        <w:tc>
          <w:tcPr>
            <w:tcW w:w="1560" w:type="dxa"/>
            <w:tcBorders>
              <w:top w:val="nil"/>
              <w:left w:val="nil"/>
              <w:bottom w:val="single" w:sz="8" w:space="0" w:color="000000"/>
              <w:right w:val="double" w:sz="6" w:space="0" w:color="auto"/>
            </w:tcBorders>
            <w:shd w:val="clear" w:color="auto" w:fill="auto"/>
            <w:noWrap/>
            <w:hideMark/>
          </w:tcPr>
          <w:p w:rsidR="006A4063" w:rsidRPr="00DA78C7" w:rsidRDefault="006A4063" w:rsidP="006A4063">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2,883,500</w:t>
            </w:r>
          </w:p>
        </w:tc>
      </w:tr>
      <w:tr w:rsidR="006A4063" w:rsidRPr="00DA78C7" w:rsidTr="00F957FC">
        <w:trPr>
          <w:trHeight w:val="315"/>
        </w:trPr>
        <w:tc>
          <w:tcPr>
            <w:tcW w:w="7386" w:type="dxa"/>
            <w:tcBorders>
              <w:top w:val="nil"/>
              <w:left w:val="double" w:sz="6" w:space="0" w:color="auto"/>
              <w:bottom w:val="single" w:sz="8" w:space="0" w:color="000000"/>
              <w:right w:val="single" w:sz="8" w:space="0" w:color="000000"/>
            </w:tcBorders>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International monitors/advisors</w:t>
            </w:r>
          </w:p>
        </w:tc>
        <w:tc>
          <w:tcPr>
            <w:tcW w:w="1560" w:type="dxa"/>
            <w:tcBorders>
              <w:top w:val="nil"/>
              <w:left w:val="nil"/>
              <w:bottom w:val="single" w:sz="8" w:space="0" w:color="000000"/>
              <w:right w:val="double" w:sz="6" w:space="0" w:color="auto"/>
            </w:tcBorders>
            <w:shd w:val="clear" w:color="auto" w:fill="auto"/>
            <w:noWrap/>
            <w:hideMark/>
          </w:tcPr>
          <w:p w:rsidR="006A4063" w:rsidRPr="00DA78C7" w:rsidRDefault="006A4063" w:rsidP="006A4063">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0</w:t>
            </w:r>
          </w:p>
        </w:tc>
      </w:tr>
      <w:tr w:rsidR="006A4063" w:rsidRPr="00DA78C7" w:rsidTr="00F957FC">
        <w:trPr>
          <w:trHeight w:val="525"/>
        </w:trPr>
        <w:tc>
          <w:tcPr>
            <w:tcW w:w="7386" w:type="dxa"/>
            <w:tcBorders>
              <w:top w:val="nil"/>
              <w:left w:val="double" w:sz="6" w:space="0" w:color="auto"/>
              <w:bottom w:val="single" w:sz="8" w:space="0" w:color="000000"/>
              <w:right w:val="single" w:sz="8" w:space="0" w:color="000000"/>
            </w:tcBorders>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UNDP project management (staff, travel, security, misc.)</w:t>
            </w:r>
          </w:p>
        </w:tc>
        <w:tc>
          <w:tcPr>
            <w:tcW w:w="1560" w:type="dxa"/>
            <w:tcBorders>
              <w:top w:val="nil"/>
              <w:left w:val="nil"/>
              <w:bottom w:val="single" w:sz="8" w:space="0" w:color="000000"/>
              <w:right w:val="double" w:sz="6" w:space="0" w:color="auto"/>
            </w:tcBorders>
            <w:shd w:val="clear" w:color="auto" w:fill="auto"/>
            <w:noWrap/>
            <w:hideMark/>
          </w:tcPr>
          <w:p w:rsidR="006A4063" w:rsidRPr="00DA78C7" w:rsidRDefault="006A4063" w:rsidP="006A4063">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694,631</w:t>
            </w:r>
          </w:p>
        </w:tc>
      </w:tr>
      <w:tr w:rsidR="006A4063" w:rsidRPr="00DA78C7" w:rsidTr="00F957FC">
        <w:trPr>
          <w:trHeight w:val="315"/>
        </w:trPr>
        <w:tc>
          <w:tcPr>
            <w:tcW w:w="7386" w:type="dxa"/>
            <w:tcBorders>
              <w:top w:val="nil"/>
              <w:left w:val="double" w:sz="6" w:space="0" w:color="auto"/>
              <w:bottom w:val="single" w:sz="8" w:space="0" w:color="000000"/>
              <w:right w:val="single" w:sz="8" w:space="0" w:color="000000"/>
            </w:tcBorders>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Subtotal</w:t>
            </w:r>
          </w:p>
        </w:tc>
        <w:tc>
          <w:tcPr>
            <w:tcW w:w="1560" w:type="dxa"/>
            <w:tcBorders>
              <w:top w:val="nil"/>
              <w:left w:val="nil"/>
              <w:bottom w:val="single" w:sz="8" w:space="0" w:color="000000"/>
              <w:right w:val="double" w:sz="6" w:space="0" w:color="auto"/>
            </w:tcBorders>
            <w:shd w:val="clear" w:color="auto" w:fill="auto"/>
            <w:noWrap/>
            <w:hideMark/>
          </w:tcPr>
          <w:p w:rsidR="006A4063" w:rsidRPr="00DA78C7" w:rsidRDefault="006A4063" w:rsidP="006A4063">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4,248,131</w:t>
            </w:r>
          </w:p>
        </w:tc>
      </w:tr>
      <w:tr w:rsidR="006A4063" w:rsidRPr="00DA78C7" w:rsidTr="00F957FC">
        <w:trPr>
          <w:trHeight w:val="315"/>
        </w:trPr>
        <w:tc>
          <w:tcPr>
            <w:tcW w:w="7386" w:type="dxa"/>
            <w:tcBorders>
              <w:top w:val="nil"/>
              <w:left w:val="double" w:sz="6" w:space="0" w:color="auto"/>
              <w:bottom w:val="single" w:sz="8" w:space="0" w:color="000000"/>
              <w:right w:val="single" w:sz="8" w:space="0" w:color="000000"/>
            </w:tcBorders>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Agency Support Cost (GMS 7%)</w:t>
            </w:r>
          </w:p>
        </w:tc>
        <w:tc>
          <w:tcPr>
            <w:tcW w:w="1560" w:type="dxa"/>
            <w:tcBorders>
              <w:top w:val="nil"/>
              <w:left w:val="nil"/>
              <w:bottom w:val="single" w:sz="8" w:space="0" w:color="000000"/>
              <w:right w:val="double" w:sz="6" w:space="0" w:color="auto"/>
            </w:tcBorders>
            <w:shd w:val="clear" w:color="auto" w:fill="auto"/>
            <w:noWrap/>
            <w:hideMark/>
          </w:tcPr>
          <w:p w:rsidR="006A4063" w:rsidRPr="00DA78C7" w:rsidRDefault="006A4063" w:rsidP="006A4063">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297,369</w:t>
            </w:r>
          </w:p>
        </w:tc>
      </w:tr>
      <w:tr w:rsidR="006A4063" w:rsidRPr="00DA78C7" w:rsidTr="00F957FC">
        <w:trPr>
          <w:trHeight w:val="315"/>
        </w:trPr>
        <w:tc>
          <w:tcPr>
            <w:tcW w:w="7386" w:type="dxa"/>
            <w:tcBorders>
              <w:top w:val="nil"/>
              <w:left w:val="double" w:sz="6" w:space="0" w:color="auto"/>
              <w:bottom w:val="double" w:sz="6" w:space="0" w:color="auto"/>
              <w:right w:val="single" w:sz="8" w:space="0" w:color="000000"/>
            </w:tcBorders>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Total</w:t>
            </w:r>
          </w:p>
        </w:tc>
        <w:tc>
          <w:tcPr>
            <w:tcW w:w="1560" w:type="dxa"/>
            <w:tcBorders>
              <w:top w:val="nil"/>
              <w:left w:val="nil"/>
              <w:bottom w:val="double" w:sz="6" w:space="0" w:color="auto"/>
              <w:right w:val="double" w:sz="6" w:space="0" w:color="auto"/>
            </w:tcBorders>
            <w:shd w:val="clear" w:color="auto" w:fill="auto"/>
            <w:noWrap/>
            <w:hideMark/>
          </w:tcPr>
          <w:p w:rsidR="006A4063" w:rsidRPr="00DA78C7" w:rsidRDefault="006A4063" w:rsidP="006A4063">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4,545,500</w:t>
            </w:r>
          </w:p>
        </w:tc>
      </w:tr>
    </w:tbl>
    <w:p w:rsidR="00036B3D" w:rsidRPr="00DA78C7" w:rsidRDefault="00036B3D" w:rsidP="00F363AF">
      <w:pPr>
        <w:pStyle w:val="NoSpacing"/>
        <w:jc w:val="both"/>
        <w:rPr>
          <w:rFonts w:ascii="Verdana" w:hAnsi="Verdana" w:cs="Tahoma"/>
          <w:sz w:val="10"/>
          <w:szCs w:val="10"/>
          <w:lang w:val="en-GB"/>
        </w:rPr>
      </w:pPr>
    </w:p>
    <w:p w:rsidR="002B7021" w:rsidRPr="00DA78C7" w:rsidRDefault="002B7021" w:rsidP="00F363AF">
      <w:pPr>
        <w:pStyle w:val="NoSpacing"/>
        <w:jc w:val="both"/>
        <w:rPr>
          <w:rFonts w:ascii="Verdana" w:hAnsi="Verdana" w:cs="Tahoma"/>
          <w:sz w:val="10"/>
          <w:szCs w:val="10"/>
          <w:lang w:val="en-GB"/>
        </w:rPr>
      </w:pPr>
    </w:p>
    <w:p w:rsidR="0099317D" w:rsidRPr="00DA78C7" w:rsidRDefault="00A120DD" w:rsidP="002B7021">
      <w:pPr>
        <w:pStyle w:val="NoSpacing"/>
        <w:numPr>
          <w:ilvl w:val="1"/>
          <w:numId w:val="1"/>
        </w:numPr>
        <w:jc w:val="both"/>
        <w:rPr>
          <w:rFonts w:ascii="Verdana" w:hAnsi="Verdana" w:cs="Tahoma"/>
          <w:b/>
          <w:bCs/>
          <w:lang w:val="en-GB"/>
        </w:rPr>
      </w:pPr>
      <w:r w:rsidRPr="00DA78C7">
        <w:rPr>
          <w:rFonts w:ascii="Verdana" w:hAnsi="Verdana" w:cs="Tahoma"/>
          <w:b/>
          <w:bCs/>
          <w:lang w:val="en-GB"/>
        </w:rPr>
        <w:t>Division</w:t>
      </w:r>
      <w:r w:rsidR="0021745A" w:rsidRPr="00DA78C7">
        <w:rPr>
          <w:rFonts w:ascii="Verdana" w:hAnsi="Verdana" w:cs="Tahoma"/>
          <w:b/>
          <w:bCs/>
          <w:lang w:val="en-GB"/>
        </w:rPr>
        <w:t xml:space="preserve"> of total </w:t>
      </w:r>
      <w:r w:rsidR="005D5630" w:rsidRPr="00DA78C7">
        <w:rPr>
          <w:rFonts w:ascii="Verdana" w:hAnsi="Verdana" w:cs="Tahoma"/>
          <w:b/>
          <w:bCs/>
          <w:lang w:val="en-GB"/>
        </w:rPr>
        <w:t xml:space="preserve">revised </w:t>
      </w:r>
      <w:r w:rsidR="0021745A" w:rsidRPr="00DA78C7">
        <w:rPr>
          <w:rFonts w:ascii="Verdana" w:hAnsi="Verdana" w:cs="Tahoma"/>
          <w:b/>
          <w:bCs/>
          <w:lang w:val="en-GB"/>
        </w:rPr>
        <w:t xml:space="preserve">budget over the 2 outputs: </w:t>
      </w:r>
    </w:p>
    <w:p w:rsidR="002B7021" w:rsidRPr="00DA78C7" w:rsidRDefault="002B7021" w:rsidP="002B7021">
      <w:pPr>
        <w:pStyle w:val="NoSpacing"/>
        <w:jc w:val="both"/>
        <w:rPr>
          <w:rFonts w:ascii="Verdana" w:hAnsi="Verdana" w:cs="Tahoma"/>
          <w:b/>
          <w:bCs/>
          <w:sz w:val="10"/>
          <w:szCs w:val="10"/>
          <w:lang w:val="en-GB"/>
        </w:rPr>
      </w:pPr>
    </w:p>
    <w:tbl>
      <w:tblPr>
        <w:tblW w:w="8954" w:type="dxa"/>
        <w:tblInd w:w="85" w:type="dxa"/>
        <w:tblLook w:val="04A0" w:firstRow="1" w:lastRow="0" w:firstColumn="1" w:lastColumn="0" w:noHBand="0" w:noVBand="1"/>
      </w:tblPr>
      <w:tblGrid>
        <w:gridCol w:w="7394"/>
        <w:gridCol w:w="1560"/>
      </w:tblGrid>
      <w:tr w:rsidR="006A4063" w:rsidRPr="00DA78C7" w:rsidTr="006D0E87">
        <w:trPr>
          <w:trHeight w:val="945"/>
        </w:trPr>
        <w:tc>
          <w:tcPr>
            <w:tcW w:w="7394" w:type="dxa"/>
            <w:tcBorders>
              <w:top w:val="double" w:sz="6" w:space="0" w:color="auto"/>
              <w:left w:val="double" w:sz="6" w:space="0" w:color="auto"/>
              <w:bottom w:val="single" w:sz="8" w:space="0" w:color="000000"/>
              <w:right w:val="single" w:sz="8" w:space="0" w:color="000000"/>
            </w:tcBorders>
            <w:shd w:val="clear" w:color="000000" w:fill="D6E3BC"/>
            <w:hideMark/>
          </w:tcPr>
          <w:p w:rsidR="006A4063" w:rsidRPr="00DA78C7" w:rsidRDefault="006A4063" w:rsidP="006A4063">
            <w:pPr>
              <w:spacing w:after="0" w:line="240" w:lineRule="auto"/>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1.</w:t>
            </w:r>
            <w:r w:rsidRPr="00DA78C7">
              <w:rPr>
                <w:rFonts w:ascii="Verdana" w:eastAsia="Times New Roman" w:hAnsi="Verdana" w:cs="Times New Roman"/>
                <w:b/>
                <w:bCs/>
                <w:sz w:val="14"/>
                <w:szCs w:val="14"/>
                <w:lang w:val="en-GB" w:eastAsia="en-GB"/>
              </w:rPr>
              <w:t xml:space="preserve">    </w:t>
            </w:r>
            <w:r w:rsidRPr="00DA78C7">
              <w:rPr>
                <w:rFonts w:ascii="Verdana" w:eastAsia="Times New Roman" w:hAnsi="Verdana" w:cs="Times New Roman"/>
                <w:b/>
                <w:bCs/>
                <w:sz w:val="20"/>
                <w:szCs w:val="20"/>
                <w:lang w:val="en-GB" w:eastAsia="en-GB"/>
              </w:rPr>
              <w:t>Budget Description for output 1 / project 75309</w:t>
            </w:r>
          </w:p>
        </w:tc>
        <w:tc>
          <w:tcPr>
            <w:tcW w:w="1560" w:type="dxa"/>
            <w:tcBorders>
              <w:top w:val="double" w:sz="6" w:space="0" w:color="auto"/>
              <w:left w:val="nil"/>
              <w:bottom w:val="single" w:sz="8" w:space="0" w:color="000000"/>
              <w:right w:val="double" w:sz="6" w:space="0" w:color="auto"/>
            </w:tcBorders>
            <w:shd w:val="clear" w:color="000000" w:fill="D6E3BC"/>
            <w:hideMark/>
          </w:tcPr>
          <w:p w:rsidR="006A4063" w:rsidRPr="00DA78C7" w:rsidRDefault="006A4063" w:rsidP="006A4063">
            <w:pPr>
              <w:spacing w:after="0" w:line="240" w:lineRule="auto"/>
              <w:jc w:val="center"/>
              <w:rPr>
                <w:rFonts w:ascii="Verdana" w:eastAsia="Times New Roman" w:hAnsi="Verdana" w:cs="Times New Roman"/>
                <w:b/>
                <w:bCs/>
                <w:sz w:val="18"/>
                <w:szCs w:val="18"/>
                <w:lang w:val="en-GB" w:eastAsia="en-GB"/>
              </w:rPr>
            </w:pPr>
            <w:r w:rsidRPr="00DA78C7">
              <w:rPr>
                <w:rFonts w:ascii="Verdana" w:eastAsia="Times New Roman" w:hAnsi="Verdana" w:cs="Times New Roman"/>
                <w:b/>
                <w:bCs/>
                <w:sz w:val="18"/>
                <w:szCs w:val="18"/>
                <w:lang w:val="en-GB" w:eastAsia="en-GB"/>
              </w:rPr>
              <w:t xml:space="preserve">Budget Amount (US$) as per </w:t>
            </w:r>
            <w:r w:rsidR="005D5630" w:rsidRPr="00DA78C7">
              <w:rPr>
                <w:rFonts w:ascii="Verdana" w:eastAsia="Times New Roman" w:hAnsi="Verdana" w:cs="Times New Roman"/>
                <w:b/>
                <w:bCs/>
                <w:sz w:val="18"/>
                <w:szCs w:val="18"/>
                <w:lang w:val="en-GB" w:eastAsia="en-GB"/>
              </w:rPr>
              <w:t xml:space="preserve">revised </w:t>
            </w:r>
            <w:proofErr w:type="spellStart"/>
            <w:r w:rsidRPr="00DA78C7">
              <w:rPr>
                <w:rFonts w:ascii="Verdana" w:eastAsia="Times New Roman" w:hAnsi="Verdana" w:cs="Times New Roman"/>
                <w:b/>
                <w:bCs/>
                <w:sz w:val="18"/>
                <w:szCs w:val="18"/>
                <w:lang w:val="en-GB" w:eastAsia="en-GB"/>
              </w:rPr>
              <w:t>prodoc</w:t>
            </w:r>
            <w:proofErr w:type="spellEnd"/>
          </w:p>
        </w:tc>
      </w:tr>
      <w:tr w:rsidR="006A4063" w:rsidRPr="00DA78C7" w:rsidTr="006D0E87">
        <w:trPr>
          <w:trHeight w:val="778"/>
        </w:trPr>
        <w:tc>
          <w:tcPr>
            <w:tcW w:w="7394" w:type="dxa"/>
            <w:tcBorders>
              <w:top w:val="nil"/>
              <w:left w:val="double" w:sz="6" w:space="0" w:color="auto"/>
              <w:bottom w:val="single" w:sz="8" w:space="0" w:color="000000"/>
              <w:right w:val="single" w:sz="8" w:space="0" w:color="000000"/>
            </w:tcBorders>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Grants to national NGOs for clearance/mine risk education (staff, office and field operational costs, security, capacity building and advocacy activities)</w:t>
            </w:r>
          </w:p>
        </w:tc>
        <w:tc>
          <w:tcPr>
            <w:tcW w:w="1560" w:type="dxa"/>
            <w:tcBorders>
              <w:top w:val="nil"/>
              <w:left w:val="nil"/>
              <w:bottom w:val="single" w:sz="8" w:space="0" w:color="000000"/>
              <w:right w:val="double" w:sz="6" w:space="0" w:color="auto"/>
            </w:tcBorders>
            <w:shd w:val="clear" w:color="auto" w:fill="auto"/>
            <w:noWrap/>
            <w:hideMark/>
          </w:tcPr>
          <w:p w:rsidR="006A4063" w:rsidRPr="00DA78C7" w:rsidRDefault="006A4063" w:rsidP="006A4063">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2,883,500</w:t>
            </w:r>
          </w:p>
        </w:tc>
      </w:tr>
      <w:tr w:rsidR="006A4063" w:rsidRPr="00DA78C7" w:rsidTr="006D0E87">
        <w:trPr>
          <w:trHeight w:val="315"/>
        </w:trPr>
        <w:tc>
          <w:tcPr>
            <w:tcW w:w="7394" w:type="dxa"/>
            <w:tcBorders>
              <w:top w:val="nil"/>
              <w:left w:val="double" w:sz="6" w:space="0" w:color="auto"/>
              <w:bottom w:val="single" w:sz="8" w:space="0" w:color="000000"/>
              <w:right w:val="single" w:sz="8" w:space="0" w:color="000000"/>
            </w:tcBorders>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International monitors/advisors</w:t>
            </w:r>
          </w:p>
        </w:tc>
        <w:tc>
          <w:tcPr>
            <w:tcW w:w="1560" w:type="dxa"/>
            <w:tcBorders>
              <w:top w:val="nil"/>
              <w:left w:val="nil"/>
              <w:bottom w:val="single" w:sz="8" w:space="0" w:color="000000"/>
              <w:right w:val="double" w:sz="6" w:space="0" w:color="auto"/>
            </w:tcBorders>
            <w:shd w:val="clear" w:color="auto" w:fill="auto"/>
            <w:noWrap/>
            <w:hideMark/>
          </w:tcPr>
          <w:p w:rsidR="006A4063" w:rsidRPr="00DA78C7" w:rsidRDefault="006A4063" w:rsidP="006A4063">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0</w:t>
            </w:r>
          </w:p>
        </w:tc>
      </w:tr>
      <w:tr w:rsidR="006A4063" w:rsidRPr="00DA78C7" w:rsidTr="006D0E87">
        <w:trPr>
          <w:trHeight w:val="525"/>
        </w:trPr>
        <w:tc>
          <w:tcPr>
            <w:tcW w:w="7394" w:type="dxa"/>
            <w:tcBorders>
              <w:top w:val="nil"/>
              <w:left w:val="double" w:sz="6" w:space="0" w:color="auto"/>
              <w:bottom w:val="single" w:sz="8" w:space="0" w:color="000000"/>
              <w:right w:val="single" w:sz="8" w:space="0" w:color="000000"/>
            </w:tcBorders>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UNDP project management (staff, travel, security, misc.)</w:t>
            </w:r>
          </w:p>
        </w:tc>
        <w:tc>
          <w:tcPr>
            <w:tcW w:w="1560" w:type="dxa"/>
            <w:tcBorders>
              <w:top w:val="nil"/>
              <w:left w:val="nil"/>
              <w:bottom w:val="single" w:sz="8" w:space="0" w:color="000000"/>
              <w:right w:val="double" w:sz="6" w:space="0" w:color="auto"/>
            </w:tcBorders>
            <w:shd w:val="clear" w:color="auto" w:fill="auto"/>
            <w:noWrap/>
            <w:hideMark/>
          </w:tcPr>
          <w:p w:rsidR="006A4063" w:rsidRPr="00DA78C7" w:rsidRDefault="006A4063" w:rsidP="006A4063">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492,150</w:t>
            </w:r>
          </w:p>
        </w:tc>
      </w:tr>
      <w:tr w:rsidR="006A4063" w:rsidRPr="00DA78C7" w:rsidTr="006D0E87">
        <w:trPr>
          <w:trHeight w:val="315"/>
        </w:trPr>
        <w:tc>
          <w:tcPr>
            <w:tcW w:w="7394" w:type="dxa"/>
            <w:tcBorders>
              <w:top w:val="nil"/>
              <w:left w:val="double" w:sz="6" w:space="0" w:color="auto"/>
              <w:bottom w:val="single" w:sz="8" w:space="0" w:color="000000"/>
              <w:right w:val="single" w:sz="8" w:space="0" w:color="000000"/>
            </w:tcBorders>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Subtotal</w:t>
            </w:r>
          </w:p>
        </w:tc>
        <w:tc>
          <w:tcPr>
            <w:tcW w:w="1560" w:type="dxa"/>
            <w:tcBorders>
              <w:top w:val="nil"/>
              <w:left w:val="nil"/>
              <w:bottom w:val="single" w:sz="8" w:space="0" w:color="000000"/>
              <w:right w:val="double" w:sz="6" w:space="0" w:color="auto"/>
            </w:tcBorders>
            <w:shd w:val="clear" w:color="auto" w:fill="auto"/>
            <w:noWrap/>
            <w:hideMark/>
          </w:tcPr>
          <w:p w:rsidR="006A4063" w:rsidRPr="00DA78C7" w:rsidRDefault="006A4063" w:rsidP="006A4063">
            <w:pPr>
              <w:spacing w:after="0" w:line="240" w:lineRule="auto"/>
              <w:jc w:val="center"/>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3,375,650</w:t>
            </w:r>
          </w:p>
        </w:tc>
      </w:tr>
      <w:tr w:rsidR="006A4063" w:rsidRPr="00DA78C7" w:rsidTr="006D0E87">
        <w:trPr>
          <w:trHeight w:val="315"/>
        </w:trPr>
        <w:tc>
          <w:tcPr>
            <w:tcW w:w="7394" w:type="dxa"/>
            <w:tcBorders>
              <w:top w:val="nil"/>
              <w:left w:val="double" w:sz="6" w:space="0" w:color="auto"/>
              <w:bottom w:val="single" w:sz="8" w:space="0" w:color="000000"/>
              <w:right w:val="single" w:sz="8" w:space="0" w:color="000000"/>
            </w:tcBorders>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Agency Support Cost (GMS 7%)</w:t>
            </w:r>
          </w:p>
        </w:tc>
        <w:tc>
          <w:tcPr>
            <w:tcW w:w="1560" w:type="dxa"/>
            <w:tcBorders>
              <w:top w:val="nil"/>
              <w:left w:val="nil"/>
              <w:bottom w:val="single" w:sz="8" w:space="0" w:color="000000"/>
              <w:right w:val="double" w:sz="6" w:space="0" w:color="auto"/>
            </w:tcBorders>
            <w:shd w:val="clear" w:color="auto" w:fill="auto"/>
            <w:noWrap/>
            <w:hideMark/>
          </w:tcPr>
          <w:p w:rsidR="006A4063" w:rsidRPr="00DA78C7" w:rsidRDefault="006A4063" w:rsidP="006A4063">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236,296</w:t>
            </w:r>
          </w:p>
        </w:tc>
      </w:tr>
      <w:tr w:rsidR="006A4063" w:rsidRPr="00DA78C7" w:rsidTr="006D0E87">
        <w:trPr>
          <w:trHeight w:val="315"/>
        </w:trPr>
        <w:tc>
          <w:tcPr>
            <w:tcW w:w="7394" w:type="dxa"/>
            <w:tcBorders>
              <w:top w:val="nil"/>
              <w:left w:val="double" w:sz="6" w:space="0" w:color="auto"/>
              <w:bottom w:val="double" w:sz="6" w:space="0" w:color="auto"/>
              <w:right w:val="single" w:sz="8" w:space="0" w:color="000000"/>
            </w:tcBorders>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Total</w:t>
            </w:r>
          </w:p>
        </w:tc>
        <w:tc>
          <w:tcPr>
            <w:tcW w:w="1560" w:type="dxa"/>
            <w:tcBorders>
              <w:top w:val="nil"/>
              <w:left w:val="nil"/>
              <w:bottom w:val="double" w:sz="6" w:space="0" w:color="auto"/>
              <w:right w:val="double" w:sz="6" w:space="0" w:color="auto"/>
            </w:tcBorders>
            <w:shd w:val="clear" w:color="auto" w:fill="auto"/>
            <w:noWrap/>
            <w:hideMark/>
          </w:tcPr>
          <w:p w:rsidR="006A4063" w:rsidRPr="00DA78C7" w:rsidRDefault="006A4063" w:rsidP="006A4063">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3,611,946</w:t>
            </w:r>
          </w:p>
        </w:tc>
      </w:tr>
    </w:tbl>
    <w:p w:rsidR="006A4063" w:rsidRPr="00DA78C7" w:rsidRDefault="006A4063" w:rsidP="002B7021">
      <w:pPr>
        <w:pStyle w:val="NoSpacing"/>
        <w:rPr>
          <w:rFonts w:ascii="Verdana" w:hAnsi="Verdana"/>
          <w:sz w:val="10"/>
          <w:szCs w:val="10"/>
          <w:lang w:val="en-GB"/>
        </w:rPr>
      </w:pPr>
    </w:p>
    <w:tbl>
      <w:tblPr>
        <w:tblW w:w="8954" w:type="dxa"/>
        <w:tblInd w:w="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394"/>
        <w:gridCol w:w="1560"/>
      </w:tblGrid>
      <w:tr w:rsidR="006A4063" w:rsidRPr="00DA78C7" w:rsidTr="002B7021">
        <w:trPr>
          <w:trHeight w:val="540"/>
        </w:trPr>
        <w:tc>
          <w:tcPr>
            <w:tcW w:w="7394" w:type="dxa"/>
            <w:shd w:val="clear" w:color="000000" w:fill="DBE5F1"/>
            <w:hideMark/>
          </w:tcPr>
          <w:p w:rsidR="006A4063" w:rsidRPr="00DA78C7" w:rsidRDefault="006A4063" w:rsidP="006A4063">
            <w:pPr>
              <w:spacing w:after="0" w:line="240" w:lineRule="auto"/>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2.</w:t>
            </w:r>
            <w:r w:rsidRPr="00DA78C7">
              <w:rPr>
                <w:rFonts w:ascii="Verdana" w:eastAsia="Times New Roman" w:hAnsi="Verdana" w:cs="Times New Roman"/>
                <w:b/>
                <w:bCs/>
                <w:sz w:val="14"/>
                <w:szCs w:val="14"/>
                <w:lang w:val="en-GB" w:eastAsia="en-GB"/>
              </w:rPr>
              <w:t xml:space="preserve"> </w:t>
            </w:r>
            <w:r w:rsidRPr="00DA78C7">
              <w:rPr>
                <w:rFonts w:ascii="Verdana" w:eastAsia="Times New Roman" w:hAnsi="Verdana" w:cs="Times New Roman"/>
                <w:b/>
                <w:bCs/>
                <w:sz w:val="20"/>
                <w:szCs w:val="20"/>
                <w:lang w:val="en-GB" w:eastAsia="en-GB"/>
              </w:rPr>
              <w:t>Budget Description for output 2 /project 75331</w:t>
            </w:r>
          </w:p>
        </w:tc>
        <w:tc>
          <w:tcPr>
            <w:tcW w:w="1560" w:type="dxa"/>
            <w:shd w:val="clear" w:color="000000" w:fill="DBE5F1"/>
            <w:hideMark/>
          </w:tcPr>
          <w:p w:rsidR="006A4063" w:rsidRPr="00DA78C7" w:rsidRDefault="006A4063" w:rsidP="0045059B">
            <w:pPr>
              <w:spacing w:after="0" w:line="240" w:lineRule="auto"/>
              <w:jc w:val="center"/>
              <w:rPr>
                <w:rFonts w:ascii="Verdana" w:eastAsia="Times New Roman" w:hAnsi="Verdana" w:cs="Times New Roman"/>
                <w:b/>
                <w:bCs/>
                <w:sz w:val="18"/>
                <w:szCs w:val="18"/>
                <w:lang w:val="en-GB" w:eastAsia="en-GB"/>
              </w:rPr>
            </w:pPr>
            <w:r w:rsidRPr="00DA78C7">
              <w:rPr>
                <w:rFonts w:ascii="Verdana" w:eastAsia="Times New Roman" w:hAnsi="Verdana" w:cs="Times New Roman"/>
                <w:b/>
                <w:bCs/>
                <w:sz w:val="18"/>
                <w:szCs w:val="18"/>
                <w:lang w:val="en-GB" w:eastAsia="en-GB"/>
              </w:rPr>
              <w:t xml:space="preserve">Budget Amount (US$) as per </w:t>
            </w:r>
            <w:r w:rsidR="005D5630" w:rsidRPr="00DA78C7">
              <w:rPr>
                <w:rFonts w:ascii="Verdana" w:eastAsia="Times New Roman" w:hAnsi="Verdana" w:cs="Times New Roman"/>
                <w:b/>
                <w:bCs/>
                <w:sz w:val="18"/>
                <w:szCs w:val="18"/>
                <w:lang w:val="en-GB" w:eastAsia="en-GB"/>
              </w:rPr>
              <w:t xml:space="preserve">revised </w:t>
            </w:r>
            <w:proofErr w:type="spellStart"/>
            <w:r w:rsidRPr="00DA78C7">
              <w:rPr>
                <w:rFonts w:ascii="Verdana" w:eastAsia="Times New Roman" w:hAnsi="Verdana" w:cs="Times New Roman"/>
                <w:b/>
                <w:bCs/>
                <w:sz w:val="18"/>
                <w:szCs w:val="18"/>
                <w:lang w:val="en-GB" w:eastAsia="en-GB"/>
              </w:rPr>
              <w:t>prodoc</w:t>
            </w:r>
            <w:proofErr w:type="spellEnd"/>
          </w:p>
        </w:tc>
      </w:tr>
      <w:tr w:rsidR="006A4063" w:rsidRPr="00DA78C7" w:rsidTr="002B7021">
        <w:trPr>
          <w:trHeight w:val="1035"/>
        </w:trPr>
        <w:tc>
          <w:tcPr>
            <w:tcW w:w="7394" w:type="dxa"/>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Grants to national NGOs for Victim Assistance (staff, office and field operational costs, vocational training, income generation, capacity building and advocacy activities)</w:t>
            </w:r>
          </w:p>
        </w:tc>
        <w:tc>
          <w:tcPr>
            <w:tcW w:w="1560" w:type="dxa"/>
            <w:shd w:val="clear" w:color="auto" w:fill="auto"/>
            <w:noWrap/>
            <w:hideMark/>
          </w:tcPr>
          <w:p w:rsidR="006A4063" w:rsidRPr="00DA78C7" w:rsidRDefault="006A4063" w:rsidP="006A4063">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670,000</w:t>
            </w:r>
          </w:p>
        </w:tc>
      </w:tr>
      <w:tr w:rsidR="006A4063" w:rsidRPr="00DA78C7" w:rsidTr="002B7021">
        <w:trPr>
          <w:trHeight w:val="315"/>
        </w:trPr>
        <w:tc>
          <w:tcPr>
            <w:tcW w:w="7394" w:type="dxa"/>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Total UNDP cost</w:t>
            </w:r>
          </w:p>
        </w:tc>
        <w:tc>
          <w:tcPr>
            <w:tcW w:w="1560" w:type="dxa"/>
            <w:shd w:val="clear" w:color="auto" w:fill="auto"/>
            <w:noWrap/>
            <w:hideMark/>
          </w:tcPr>
          <w:p w:rsidR="006A4063" w:rsidRPr="00DA78C7" w:rsidRDefault="006A4063" w:rsidP="006A4063">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202,480.37</w:t>
            </w:r>
          </w:p>
        </w:tc>
      </w:tr>
      <w:tr w:rsidR="006A4063" w:rsidRPr="00DA78C7" w:rsidTr="002B7021">
        <w:trPr>
          <w:trHeight w:val="315"/>
        </w:trPr>
        <w:tc>
          <w:tcPr>
            <w:tcW w:w="7394" w:type="dxa"/>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 xml:space="preserve">Subtotal </w:t>
            </w:r>
          </w:p>
        </w:tc>
        <w:tc>
          <w:tcPr>
            <w:tcW w:w="1560" w:type="dxa"/>
            <w:shd w:val="clear" w:color="auto" w:fill="auto"/>
            <w:noWrap/>
            <w:hideMark/>
          </w:tcPr>
          <w:p w:rsidR="006A4063" w:rsidRPr="00DA78C7" w:rsidRDefault="006A4063" w:rsidP="006A4063">
            <w:pPr>
              <w:spacing w:after="0" w:line="240" w:lineRule="auto"/>
              <w:jc w:val="center"/>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872,480.37</w:t>
            </w:r>
          </w:p>
        </w:tc>
      </w:tr>
      <w:tr w:rsidR="006A4063" w:rsidRPr="00DA78C7" w:rsidTr="002B7021">
        <w:trPr>
          <w:trHeight w:val="315"/>
        </w:trPr>
        <w:tc>
          <w:tcPr>
            <w:tcW w:w="7394" w:type="dxa"/>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Agency Support cost (GMS 7%)</w:t>
            </w:r>
          </w:p>
        </w:tc>
        <w:tc>
          <w:tcPr>
            <w:tcW w:w="1560" w:type="dxa"/>
            <w:shd w:val="clear" w:color="auto" w:fill="auto"/>
            <w:noWrap/>
            <w:hideMark/>
          </w:tcPr>
          <w:p w:rsidR="006A4063" w:rsidRPr="00DA78C7" w:rsidRDefault="006A4063" w:rsidP="006A4063">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61,073.63</w:t>
            </w:r>
          </w:p>
        </w:tc>
      </w:tr>
      <w:tr w:rsidR="006A4063" w:rsidRPr="00DA78C7" w:rsidTr="002B7021">
        <w:trPr>
          <w:trHeight w:val="315"/>
        </w:trPr>
        <w:tc>
          <w:tcPr>
            <w:tcW w:w="7394" w:type="dxa"/>
            <w:shd w:val="clear" w:color="auto" w:fill="auto"/>
            <w:hideMark/>
          </w:tcPr>
          <w:p w:rsidR="006A4063" w:rsidRPr="00DA78C7" w:rsidRDefault="006A4063" w:rsidP="006A4063">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 </w:t>
            </w:r>
          </w:p>
        </w:tc>
        <w:tc>
          <w:tcPr>
            <w:tcW w:w="1560" w:type="dxa"/>
            <w:shd w:val="clear" w:color="auto" w:fill="auto"/>
            <w:noWrap/>
            <w:hideMark/>
          </w:tcPr>
          <w:p w:rsidR="006A4063" w:rsidRPr="00DA78C7" w:rsidRDefault="006A4063" w:rsidP="006A4063">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933,554.00</w:t>
            </w:r>
          </w:p>
        </w:tc>
      </w:tr>
    </w:tbl>
    <w:p w:rsidR="006D0E87" w:rsidRPr="00DA78C7" w:rsidRDefault="006D0E87" w:rsidP="0099317D">
      <w:pPr>
        <w:jc w:val="both"/>
        <w:rPr>
          <w:rFonts w:ascii="Verdana" w:hAnsi="Verdana"/>
          <w:b/>
          <w:sz w:val="20"/>
          <w:szCs w:val="20"/>
          <w:lang w:val="en-GB"/>
        </w:rPr>
      </w:pPr>
    </w:p>
    <w:p w:rsidR="00AF0D6C" w:rsidRPr="00DA78C7" w:rsidRDefault="00AF0D6C" w:rsidP="0099317D">
      <w:pPr>
        <w:jc w:val="both"/>
        <w:rPr>
          <w:rFonts w:ascii="Verdana" w:hAnsi="Verdana"/>
          <w:b/>
          <w:sz w:val="20"/>
          <w:szCs w:val="20"/>
          <w:lang w:val="en-GB"/>
        </w:rPr>
      </w:pPr>
    </w:p>
    <w:p w:rsidR="0099317D" w:rsidRPr="00DA78C7" w:rsidRDefault="0099317D" w:rsidP="0099317D">
      <w:pPr>
        <w:jc w:val="both"/>
        <w:rPr>
          <w:rFonts w:ascii="Verdana" w:hAnsi="Verdana"/>
          <w:b/>
          <w:sz w:val="20"/>
          <w:szCs w:val="20"/>
          <w:lang w:val="en-GB"/>
        </w:rPr>
      </w:pPr>
      <w:r w:rsidRPr="00DA78C7">
        <w:rPr>
          <w:rFonts w:ascii="Verdana" w:hAnsi="Verdana"/>
          <w:b/>
          <w:sz w:val="20"/>
          <w:szCs w:val="20"/>
          <w:lang w:val="en-GB"/>
        </w:rPr>
        <w:t>6.3 Actual budget</w:t>
      </w:r>
      <w:r w:rsidR="004338CF" w:rsidRPr="00DA78C7">
        <w:rPr>
          <w:rFonts w:ascii="Verdana" w:hAnsi="Verdana"/>
          <w:b/>
          <w:sz w:val="20"/>
          <w:szCs w:val="20"/>
          <w:lang w:val="en-GB"/>
        </w:rPr>
        <w:t xml:space="preserve"> (as per the revised project document) against</w:t>
      </w:r>
      <w:r w:rsidRPr="00DA78C7">
        <w:rPr>
          <w:rFonts w:ascii="Verdana" w:hAnsi="Verdana"/>
          <w:b/>
          <w:sz w:val="20"/>
          <w:szCs w:val="20"/>
          <w:lang w:val="en-GB"/>
        </w:rPr>
        <w:t xml:space="preserve"> expenditure:</w:t>
      </w:r>
    </w:p>
    <w:p w:rsidR="006D0E87" w:rsidRPr="00DA78C7" w:rsidRDefault="00F60D21" w:rsidP="006D0E87">
      <w:pPr>
        <w:jc w:val="both"/>
        <w:rPr>
          <w:rFonts w:ascii="Verdana" w:hAnsi="Verdana"/>
          <w:bCs/>
          <w:sz w:val="20"/>
          <w:szCs w:val="20"/>
          <w:lang w:val="en-GB"/>
        </w:rPr>
      </w:pPr>
      <w:r w:rsidRPr="00DA78C7">
        <w:rPr>
          <w:rFonts w:ascii="Verdana" w:hAnsi="Verdana"/>
          <w:bCs/>
          <w:sz w:val="20"/>
          <w:szCs w:val="20"/>
          <w:lang w:val="en-GB"/>
        </w:rPr>
        <w:t>T</w:t>
      </w:r>
      <w:r w:rsidR="0021745A" w:rsidRPr="00DA78C7">
        <w:rPr>
          <w:rFonts w:ascii="Verdana" w:hAnsi="Verdana"/>
          <w:bCs/>
          <w:sz w:val="20"/>
          <w:szCs w:val="20"/>
          <w:lang w:val="en-GB"/>
        </w:rPr>
        <w:t xml:space="preserve">he </w:t>
      </w:r>
      <w:r w:rsidR="008F6D59" w:rsidRPr="00DA78C7">
        <w:rPr>
          <w:rFonts w:ascii="Verdana" w:hAnsi="Verdana"/>
          <w:bCs/>
          <w:sz w:val="20"/>
          <w:szCs w:val="20"/>
          <w:lang w:val="en-GB"/>
        </w:rPr>
        <w:t xml:space="preserve">first trench of the grant </w:t>
      </w:r>
      <w:r w:rsidRPr="00DA78C7">
        <w:rPr>
          <w:rFonts w:ascii="Verdana" w:hAnsi="Verdana"/>
          <w:bCs/>
          <w:sz w:val="20"/>
          <w:szCs w:val="20"/>
          <w:lang w:val="en-GB"/>
        </w:rPr>
        <w:t xml:space="preserve">and the first part of the second </w:t>
      </w:r>
      <w:r w:rsidR="006D0E87" w:rsidRPr="00DA78C7">
        <w:rPr>
          <w:rFonts w:ascii="Verdana" w:hAnsi="Verdana"/>
          <w:bCs/>
          <w:sz w:val="20"/>
          <w:szCs w:val="20"/>
          <w:lang w:val="en-GB"/>
        </w:rPr>
        <w:t>tranche</w:t>
      </w:r>
      <w:r w:rsidRPr="00DA78C7">
        <w:rPr>
          <w:rFonts w:ascii="Verdana" w:hAnsi="Verdana"/>
          <w:bCs/>
          <w:sz w:val="20"/>
          <w:szCs w:val="20"/>
          <w:lang w:val="en-GB"/>
        </w:rPr>
        <w:t xml:space="preserve"> </w:t>
      </w:r>
      <w:r w:rsidR="002F5B49" w:rsidRPr="00DA78C7">
        <w:rPr>
          <w:rFonts w:ascii="Verdana" w:hAnsi="Verdana"/>
          <w:bCs/>
          <w:sz w:val="20"/>
          <w:szCs w:val="20"/>
          <w:lang w:val="en-GB"/>
        </w:rPr>
        <w:t>US$</w:t>
      </w:r>
      <w:r w:rsidRPr="00DA78C7">
        <w:rPr>
          <w:rFonts w:ascii="Verdana" w:hAnsi="Verdana"/>
          <w:bCs/>
          <w:sz w:val="20"/>
          <w:szCs w:val="20"/>
          <w:lang w:val="en-GB"/>
        </w:rPr>
        <w:t xml:space="preserve">2,916,459 </w:t>
      </w:r>
      <w:r w:rsidR="008F6D59" w:rsidRPr="00DA78C7">
        <w:rPr>
          <w:rFonts w:ascii="Verdana" w:hAnsi="Verdana"/>
          <w:bCs/>
          <w:sz w:val="20"/>
          <w:szCs w:val="20"/>
          <w:lang w:val="en-GB"/>
        </w:rPr>
        <w:t xml:space="preserve">provided by the Government of Australia, was utilised </w:t>
      </w:r>
      <w:r w:rsidR="0021745A" w:rsidRPr="00DA78C7">
        <w:rPr>
          <w:rFonts w:ascii="Verdana" w:hAnsi="Verdana"/>
          <w:bCs/>
          <w:sz w:val="20"/>
          <w:szCs w:val="20"/>
          <w:lang w:val="en-GB"/>
        </w:rPr>
        <w:t xml:space="preserve">for clearance capacity development (output 1) </w:t>
      </w:r>
      <w:r w:rsidR="008F6D59" w:rsidRPr="00DA78C7">
        <w:rPr>
          <w:rFonts w:ascii="Verdana" w:hAnsi="Verdana"/>
          <w:bCs/>
          <w:sz w:val="20"/>
          <w:szCs w:val="20"/>
          <w:lang w:val="en-GB"/>
        </w:rPr>
        <w:t xml:space="preserve">as </w:t>
      </w:r>
      <w:r w:rsidR="0021745A" w:rsidRPr="00DA78C7">
        <w:rPr>
          <w:rFonts w:ascii="Verdana" w:hAnsi="Verdana"/>
          <w:bCs/>
          <w:sz w:val="20"/>
          <w:szCs w:val="20"/>
          <w:lang w:val="en-GB"/>
        </w:rPr>
        <w:t>follows</w:t>
      </w:r>
      <w:r w:rsidR="008F6D59" w:rsidRPr="00DA78C7">
        <w:rPr>
          <w:rFonts w:ascii="Verdana" w:hAnsi="Verdana"/>
          <w:bCs/>
          <w:sz w:val="20"/>
          <w:szCs w:val="20"/>
          <w:lang w:val="en-GB"/>
        </w:rPr>
        <w:t xml:space="preserve">: </w:t>
      </w:r>
    </w:p>
    <w:tbl>
      <w:tblPr>
        <w:tblW w:w="9640" w:type="dxa"/>
        <w:tblInd w:w="93"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ook w:val="04A0" w:firstRow="1" w:lastRow="0" w:firstColumn="1" w:lastColumn="0" w:noHBand="0" w:noVBand="1"/>
      </w:tblPr>
      <w:tblGrid>
        <w:gridCol w:w="2953"/>
        <w:gridCol w:w="1620"/>
        <w:gridCol w:w="1713"/>
        <w:gridCol w:w="1713"/>
        <w:gridCol w:w="1641"/>
      </w:tblGrid>
      <w:tr w:rsidR="0077102B" w:rsidRPr="00DA78C7" w:rsidTr="00AF0D6C">
        <w:trPr>
          <w:trHeight w:val="1290"/>
        </w:trPr>
        <w:tc>
          <w:tcPr>
            <w:tcW w:w="3460" w:type="dxa"/>
            <w:shd w:val="clear" w:color="000000" w:fill="D6E3BC"/>
            <w:hideMark/>
          </w:tcPr>
          <w:p w:rsidR="0077102B" w:rsidRPr="00DA78C7" w:rsidRDefault="0077102B" w:rsidP="0077102B">
            <w:pPr>
              <w:spacing w:after="0" w:line="240" w:lineRule="auto"/>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 xml:space="preserve">Budget Description for </w:t>
            </w:r>
            <w:r w:rsidR="004338CF" w:rsidRPr="00DA78C7">
              <w:rPr>
                <w:rFonts w:ascii="Verdana" w:eastAsia="Times New Roman" w:hAnsi="Verdana" w:cs="Times New Roman"/>
                <w:b/>
                <w:bCs/>
                <w:sz w:val="20"/>
                <w:szCs w:val="20"/>
                <w:lang w:val="en-GB" w:eastAsia="en-GB"/>
              </w:rPr>
              <w:t xml:space="preserve">output 1 </w:t>
            </w:r>
            <w:r w:rsidRPr="00DA78C7">
              <w:rPr>
                <w:rFonts w:ascii="Verdana" w:eastAsia="Times New Roman" w:hAnsi="Verdana" w:cs="Times New Roman"/>
                <w:b/>
                <w:bCs/>
                <w:sz w:val="20"/>
                <w:szCs w:val="20"/>
                <w:lang w:val="en-GB" w:eastAsia="en-GB"/>
              </w:rPr>
              <w:t>project 75309 June 2010 to Sept 2011</w:t>
            </w:r>
          </w:p>
        </w:tc>
        <w:tc>
          <w:tcPr>
            <w:tcW w:w="1620" w:type="dxa"/>
            <w:shd w:val="clear" w:color="000000" w:fill="D6E3BC"/>
            <w:hideMark/>
          </w:tcPr>
          <w:p w:rsidR="0077102B" w:rsidRPr="00DA78C7" w:rsidRDefault="0077102B" w:rsidP="0077102B">
            <w:pPr>
              <w:spacing w:after="0" w:line="240" w:lineRule="auto"/>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 xml:space="preserve">budget as per revised </w:t>
            </w:r>
            <w:proofErr w:type="spellStart"/>
            <w:r w:rsidRPr="00DA78C7">
              <w:rPr>
                <w:rFonts w:ascii="Verdana" w:eastAsia="Times New Roman" w:hAnsi="Verdana" w:cs="Times New Roman"/>
                <w:b/>
                <w:bCs/>
                <w:sz w:val="20"/>
                <w:szCs w:val="20"/>
                <w:lang w:val="en-GB" w:eastAsia="en-GB"/>
              </w:rPr>
              <w:t>prodoc</w:t>
            </w:r>
            <w:proofErr w:type="spellEnd"/>
          </w:p>
        </w:tc>
        <w:tc>
          <w:tcPr>
            <w:tcW w:w="1540" w:type="dxa"/>
            <w:shd w:val="clear" w:color="000000" w:fill="D6E3BC"/>
            <w:hideMark/>
          </w:tcPr>
          <w:p w:rsidR="0077102B" w:rsidRPr="00DA78C7" w:rsidRDefault="0077102B" w:rsidP="0077102B">
            <w:pPr>
              <w:spacing w:after="0" w:line="240" w:lineRule="auto"/>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actual budget as per received grants</w:t>
            </w:r>
          </w:p>
        </w:tc>
        <w:tc>
          <w:tcPr>
            <w:tcW w:w="1540" w:type="dxa"/>
            <w:shd w:val="clear" w:color="000000" w:fill="D6E3BC"/>
            <w:hideMark/>
          </w:tcPr>
          <w:p w:rsidR="0077102B" w:rsidRPr="00DA78C7" w:rsidRDefault="0077102B" w:rsidP="0077102B">
            <w:pPr>
              <w:spacing w:after="0" w:line="240" w:lineRule="auto"/>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 xml:space="preserve">total </w:t>
            </w:r>
            <w:r w:rsidR="005D5630" w:rsidRPr="00DA78C7">
              <w:rPr>
                <w:rFonts w:ascii="Verdana" w:eastAsia="Times New Roman" w:hAnsi="Verdana" w:cs="Times New Roman"/>
                <w:b/>
                <w:bCs/>
                <w:sz w:val="20"/>
                <w:szCs w:val="20"/>
                <w:lang w:val="en-GB" w:eastAsia="en-GB"/>
              </w:rPr>
              <w:t>expenditure</w:t>
            </w:r>
            <w:r w:rsidRPr="00DA78C7">
              <w:rPr>
                <w:rFonts w:ascii="Verdana" w:eastAsia="Times New Roman" w:hAnsi="Verdana" w:cs="Times New Roman"/>
                <w:b/>
                <w:bCs/>
                <w:sz w:val="20"/>
                <w:szCs w:val="20"/>
                <w:lang w:val="en-GB" w:eastAsia="en-GB"/>
              </w:rPr>
              <w:t xml:space="preserve"> </w:t>
            </w:r>
            <w:r w:rsidR="00F60D21" w:rsidRPr="00DA78C7">
              <w:rPr>
                <w:rFonts w:ascii="Verdana" w:eastAsia="Times New Roman" w:hAnsi="Verdana" w:cs="Times New Roman"/>
                <w:b/>
                <w:bCs/>
                <w:sz w:val="20"/>
                <w:szCs w:val="20"/>
                <w:lang w:val="en-GB" w:eastAsia="en-GB"/>
              </w:rPr>
              <w:t>until</w:t>
            </w:r>
            <w:r w:rsidRPr="00DA78C7">
              <w:rPr>
                <w:rFonts w:ascii="Verdana" w:eastAsia="Times New Roman" w:hAnsi="Verdana" w:cs="Times New Roman"/>
                <w:b/>
                <w:bCs/>
                <w:sz w:val="20"/>
                <w:szCs w:val="20"/>
                <w:lang w:val="en-GB" w:eastAsia="en-GB"/>
              </w:rPr>
              <w:t xml:space="preserve"> September 2011</w:t>
            </w:r>
          </w:p>
        </w:tc>
        <w:tc>
          <w:tcPr>
            <w:tcW w:w="1480" w:type="dxa"/>
            <w:shd w:val="clear" w:color="000000" w:fill="D6E3BC"/>
            <w:hideMark/>
          </w:tcPr>
          <w:p w:rsidR="0077102B" w:rsidRPr="00DA78C7" w:rsidRDefault="0077102B" w:rsidP="0077102B">
            <w:pPr>
              <w:spacing w:after="0" w:line="240" w:lineRule="auto"/>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 xml:space="preserve">Balance </w:t>
            </w:r>
          </w:p>
        </w:tc>
      </w:tr>
      <w:tr w:rsidR="0077102B" w:rsidRPr="00DA78C7" w:rsidTr="00AF0D6C">
        <w:trPr>
          <w:trHeight w:val="1545"/>
        </w:trPr>
        <w:tc>
          <w:tcPr>
            <w:tcW w:w="3460" w:type="dxa"/>
            <w:shd w:val="clear" w:color="auto" w:fill="auto"/>
            <w:hideMark/>
          </w:tcPr>
          <w:p w:rsidR="0077102B" w:rsidRPr="00DA78C7" w:rsidRDefault="0077102B" w:rsidP="0077102B">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Grants to national NGOs for clearance/mine risk education (staff, office and field operational costs, security, capacity building and advocacy activities)</w:t>
            </w:r>
          </w:p>
        </w:tc>
        <w:tc>
          <w:tcPr>
            <w:tcW w:w="1620" w:type="dxa"/>
            <w:shd w:val="clear" w:color="auto" w:fill="auto"/>
            <w:noWrap/>
            <w:hideMark/>
          </w:tcPr>
          <w:p w:rsidR="0077102B" w:rsidRPr="00DA78C7" w:rsidRDefault="0077102B" w:rsidP="0077102B">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2,883,500</w:t>
            </w:r>
          </w:p>
        </w:tc>
        <w:tc>
          <w:tcPr>
            <w:tcW w:w="1540" w:type="dxa"/>
            <w:shd w:val="clear" w:color="auto" w:fill="auto"/>
            <w:noWrap/>
            <w:hideMark/>
          </w:tcPr>
          <w:p w:rsidR="0077102B" w:rsidRPr="00DA78C7" w:rsidRDefault="0077102B" w:rsidP="0077102B">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2,355,962.36</w:t>
            </w:r>
          </w:p>
        </w:tc>
        <w:tc>
          <w:tcPr>
            <w:tcW w:w="1540" w:type="dxa"/>
            <w:shd w:val="clear" w:color="auto" w:fill="auto"/>
            <w:noWrap/>
            <w:hideMark/>
          </w:tcPr>
          <w:p w:rsidR="0077102B" w:rsidRPr="00DA78C7" w:rsidRDefault="0077102B" w:rsidP="0077102B">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1,734,460.06</w:t>
            </w:r>
          </w:p>
        </w:tc>
        <w:tc>
          <w:tcPr>
            <w:tcW w:w="1480" w:type="dxa"/>
            <w:shd w:val="clear" w:color="auto" w:fill="auto"/>
            <w:noWrap/>
            <w:hideMark/>
          </w:tcPr>
          <w:p w:rsidR="0077102B" w:rsidRPr="00DA78C7" w:rsidRDefault="0077102B" w:rsidP="0077102B">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621,502.30</w:t>
            </w:r>
          </w:p>
        </w:tc>
      </w:tr>
      <w:tr w:rsidR="0077102B" w:rsidRPr="00DA78C7" w:rsidTr="00AF0D6C">
        <w:trPr>
          <w:trHeight w:val="525"/>
        </w:trPr>
        <w:tc>
          <w:tcPr>
            <w:tcW w:w="3460" w:type="dxa"/>
            <w:shd w:val="clear" w:color="auto" w:fill="auto"/>
            <w:hideMark/>
          </w:tcPr>
          <w:p w:rsidR="0077102B" w:rsidRPr="00DA78C7" w:rsidRDefault="0077102B" w:rsidP="0077102B">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UNDP project management (staff, travel, security, misc.)</w:t>
            </w:r>
          </w:p>
        </w:tc>
        <w:tc>
          <w:tcPr>
            <w:tcW w:w="1620" w:type="dxa"/>
            <w:shd w:val="clear" w:color="auto" w:fill="auto"/>
            <w:noWrap/>
            <w:hideMark/>
          </w:tcPr>
          <w:p w:rsidR="0077102B" w:rsidRPr="00DA78C7" w:rsidRDefault="0077102B" w:rsidP="0077102B">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492,150</w:t>
            </w:r>
          </w:p>
        </w:tc>
        <w:tc>
          <w:tcPr>
            <w:tcW w:w="1540" w:type="dxa"/>
            <w:shd w:val="clear" w:color="auto" w:fill="auto"/>
            <w:noWrap/>
            <w:hideMark/>
          </w:tcPr>
          <w:p w:rsidR="0077102B" w:rsidRPr="00DA78C7" w:rsidRDefault="0077102B" w:rsidP="0077102B">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280,614.00</w:t>
            </w:r>
          </w:p>
        </w:tc>
        <w:tc>
          <w:tcPr>
            <w:tcW w:w="1540" w:type="dxa"/>
            <w:shd w:val="clear" w:color="auto" w:fill="auto"/>
            <w:noWrap/>
            <w:hideMark/>
          </w:tcPr>
          <w:p w:rsidR="0077102B" w:rsidRPr="00DA78C7" w:rsidRDefault="0077102B" w:rsidP="00786E88">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210,629.</w:t>
            </w:r>
            <w:r w:rsidR="00786E88" w:rsidRPr="00DA78C7">
              <w:rPr>
                <w:rFonts w:ascii="Verdana" w:eastAsia="Times New Roman" w:hAnsi="Verdana" w:cs="Times New Roman"/>
                <w:sz w:val="20"/>
                <w:szCs w:val="20"/>
                <w:lang w:val="en-GB" w:eastAsia="en-GB"/>
              </w:rPr>
              <w:t>22</w:t>
            </w:r>
          </w:p>
          <w:p w:rsidR="00786E88" w:rsidRPr="00DA78C7" w:rsidRDefault="00786E88" w:rsidP="00786E88">
            <w:pPr>
              <w:spacing w:after="0" w:line="240" w:lineRule="auto"/>
              <w:jc w:val="right"/>
              <w:rPr>
                <w:rFonts w:ascii="Verdana" w:eastAsia="Times New Roman" w:hAnsi="Verdana" w:cs="Times New Roman"/>
                <w:sz w:val="20"/>
                <w:szCs w:val="20"/>
                <w:lang w:val="en-GB" w:eastAsia="en-GB"/>
              </w:rPr>
            </w:pPr>
          </w:p>
        </w:tc>
        <w:tc>
          <w:tcPr>
            <w:tcW w:w="1480" w:type="dxa"/>
            <w:shd w:val="clear" w:color="auto" w:fill="auto"/>
            <w:noWrap/>
            <w:hideMark/>
          </w:tcPr>
          <w:p w:rsidR="0077102B" w:rsidRPr="00DA78C7" w:rsidRDefault="0077102B" w:rsidP="0077102B">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69,984.20</w:t>
            </w:r>
          </w:p>
        </w:tc>
      </w:tr>
      <w:tr w:rsidR="0077102B" w:rsidRPr="00DA78C7" w:rsidTr="00AF0D6C">
        <w:trPr>
          <w:trHeight w:val="315"/>
        </w:trPr>
        <w:tc>
          <w:tcPr>
            <w:tcW w:w="3460" w:type="dxa"/>
            <w:shd w:val="clear" w:color="000000" w:fill="D6E3BC"/>
            <w:hideMark/>
          </w:tcPr>
          <w:p w:rsidR="0077102B" w:rsidRPr="00DA78C7" w:rsidRDefault="0077102B" w:rsidP="0077102B">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Subtotal</w:t>
            </w:r>
          </w:p>
        </w:tc>
        <w:tc>
          <w:tcPr>
            <w:tcW w:w="1620" w:type="dxa"/>
            <w:shd w:val="clear" w:color="auto" w:fill="D6E3BC" w:themeFill="accent3" w:themeFillTint="66"/>
            <w:noWrap/>
            <w:hideMark/>
          </w:tcPr>
          <w:p w:rsidR="0077102B" w:rsidRPr="00DA78C7" w:rsidRDefault="0077102B" w:rsidP="0077102B">
            <w:pPr>
              <w:spacing w:after="0" w:line="240" w:lineRule="auto"/>
              <w:jc w:val="center"/>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3,375,650</w:t>
            </w:r>
          </w:p>
        </w:tc>
        <w:tc>
          <w:tcPr>
            <w:tcW w:w="1540" w:type="dxa"/>
            <w:shd w:val="clear" w:color="000000" w:fill="D6E3BC"/>
            <w:noWrap/>
            <w:hideMark/>
          </w:tcPr>
          <w:p w:rsidR="0077102B" w:rsidRPr="00DA78C7" w:rsidRDefault="0077102B" w:rsidP="0077102B">
            <w:pPr>
              <w:spacing w:after="0" w:line="240" w:lineRule="auto"/>
              <w:jc w:val="right"/>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2,636,576.36</w:t>
            </w:r>
          </w:p>
        </w:tc>
        <w:tc>
          <w:tcPr>
            <w:tcW w:w="1540" w:type="dxa"/>
            <w:shd w:val="clear" w:color="000000" w:fill="D6E3BC"/>
            <w:noWrap/>
            <w:hideMark/>
          </w:tcPr>
          <w:p w:rsidR="0077102B" w:rsidRPr="00DA78C7" w:rsidRDefault="0077102B" w:rsidP="00786E88">
            <w:pPr>
              <w:spacing w:after="0" w:line="240" w:lineRule="auto"/>
              <w:jc w:val="right"/>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1,945,089.</w:t>
            </w:r>
            <w:r w:rsidR="00786E88" w:rsidRPr="00DA78C7">
              <w:rPr>
                <w:rFonts w:ascii="Verdana" w:eastAsia="Times New Roman" w:hAnsi="Verdana" w:cs="Times New Roman"/>
                <w:b/>
                <w:bCs/>
                <w:sz w:val="20"/>
                <w:szCs w:val="20"/>
                <w:lang w:val="en-GB" w:eastAsia="en-GB"/>
              </w:rPr>
              <w:t>28</w:t>
            </w:r>
          </w:p>
        </w:tc>
        <w:tc>
          <w:tcPr>
            <w:tcW w:w="1480" w:type="dxa"/>
            <w:shd w:val="clear" w:color="000000" w:fill="D6E3BC"/>
            <w:noWrap/>
            <w:hideMark/>
          </w:tcPr>
          <w:p w:rsidR="00786E88" w:rsidRPr="00DA78C7" w:rsidRDefault="0077102B" w:rsidP="00786E88">
            <w:pPr>
              <w:spacing w:after="0" w:line="240" w:lineRule="auto"/>
              <w:jc w:val="right"/>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691,486</w:t>
            </w:r>
            <w:r w:rsidR="00786E88" w:rsidRPr="00DA78C7">
              <w:rPr>
                <w:rFonts w:ascii="Verdana" w:eastAsia="Times New Roman" w:hAnsi="Verdana" w:cs="Times New Roman"/>
                <w:b/>
                <w:bCs/>
                <w:sz w:val="20"/>
                <w:szCs w:val="20"/>
                <w:lang w:val="en-GB" w:eastAsia="en-GB"/>
              </w:rPr>
              <w:t>7.08</w:t>
            </w:r>
          </w:p>
        </w:tc>
      </w:tr>
      <w:tr w:rsidR="0077102B" w:rsidRPr="00DA78C7" w:rsidTr="00AF0D6C">
        <w:trPr>
          <w:trHeight w:val="315"/>
        </w:trPr>
        <w:tc>
          <w:tcPr>
            <w:tcW w:w="3460" w:type="dxa"/>
            <w:shd w:val="clear" w:color="auto" w:fill="auto"/>
            <w:hideMark/>
          </w:tcPr>
          <w:p w:rsidR="0077102B" w:rsidRPr="00DA78C7" w:rsidRDefault="0077102B" w:rsidP="0077102B">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Agency Support Cost (GMS 7%)</w:t>
            </w:r>
          </w:p>
        </w:tc>
        <w:tc>
          <w:tcPr>
            <w:tcW w:w="1620" w:type="dxa"/>
            <w:shd w:val="clear" w:color="auto" w:fill="auto"/>
            <w:noWrap/>
            <w:hideMark/>
          </w:tcPr>
          <w:p w:rsidR="0077102B" w:rsidRPr="00DA78C7" w:rsidRDefault="0077102B" w:rsidP="0077102B">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236,296</w:t>
            </w:r>
          </w:p>
        </w:tc>
        <w:tc>
          <w:tcPr>
            <w:tcW w:w="1540" w:type="dxa"/>
            <w:shd w:val="clear" w:color="auto" w:fill="auto"/>
            <w:noWrap/>
            <w:hideMark/>
          </w:tcPr>
          <w:p w:rsidR="0077102B" w:rsidRPr="00DA78C7" w:rsidRDefault="0077102B" w:rsidP="0077102B">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184,560.35</w:t>
            </w:r>
          </w:p>
        </w:tc>
        <w:tc>
          <w:tcPr>
            <w:tcW w:w="1540" w:type="dxa"/>
            <w:shd w:val="clear" w:color="auto" w:fill="auto"/>
            <w:noWrap/>
            <w:hideMark/>
          </w:tcPr>
          <w:p w:rsidR="00786E88" w:rsidRPr="00DA78C7" w:rsidRDefault="00786E88" w:rsidP="00786E88">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134321.76</w:t>
            </w:r>
          </w:p>
        </w:tc>
        <w:tc>
          <w:tcPr>
            <w:tcW w:w="1480" w:type="dxa"/>
            <w:shd w:val="clear" w:color="auto" w:fill="auto"/>
            <w:noWrap/>
            <w:hideMark/>
          </w:tcPr>
          <w:p w:rsidR="00786E88" w:rsidRPr="00DA78C7" w:rsidRDefault="00786E88" w:rsidP="00786E88">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50238.59</w:t>
            </w:r>
          </w:p>
        </w:tc>
      </w:tr>
      <w:tr w:rsidR="0077102B" w:rsidRPr="00DA78C7" w:rsidTr="00AF0D6C">
        <w:trPr>
          <w:trHeight w:val="315"/>
        </w:trPr>
        <w:tc>
          <w:tcPr>
            <w:tcW w:w="3460" w:type="dxa"/>
            <w:shd w:val="clear" w:color="auto" w:fill="auto"/>
            <w:hideMark/>
          </w:tcPr>
          <w:p w:rsidR="0077102B" w:rsidRPr="00DA78C7" w:rsidRDefault="0077102B" w:rsidP="0077102B">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Unbudgeted</w:t>
            </w:r>
          </w:p>
        </w:tc>
        <w:tc>
          <w:tcPr>
            <w:tcW w:w="1620" w:type="dxa"/>
            <w:shd w:val="clear" w:color="auto" w:fill="auto"/>
            <w:noWrap/>
            <w:hideMark/>
          </w:tcPr>
          <w:p w:rsidR="0077102B" w:rsidRPr="00DA78C7" w:rsidRDefault="0077102B" w:rsidP="0077102B">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0</w:t>
            </w:r>
          </w:p>
        </w:tc>
        <w:tc>
          <w:tcPr>
            <w:tcW w:w="1540" w:type="dxa"/>
            <w:shd w:val="clear" w:color="auto" w:fill="auto"/>
            <w:noWrap/>
            <w:hideMark/>
          </w:tcPr>
          <w:p w:rsidR="0077102B" w:rsidRPr="00DA78C7" w:rsidRDefault="0077102B" w:rsidP="0077102B">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95,322.67</w:t>
            </w:r>
          </w:p>
        </w:tc>
        <w:tc>
          <w:tcPr>
            <w:tcW w:w="1540" w:type="dxa"/>
            <w:shd w:val="clear" w:color="auto" w:fill="auto"/>
            <w:noWrap/>
            <w:hideMark/>
          </w:tcPr>
          <w:p w:rsidR="0077102B" w:rsidRPr="00DA78C7" w:rsidRDefault="0077102B" w:rsidP="0077102B">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0.00</w:t>
            </w:r>
          </w:p>
        </w:tc>
        <w:tc>
          <w:tcPr>
            <w:tcW w:w="1480" w:type="dxa"/>
            <w:shd w:val="clear" w:color="auto" w:fill="auto"/>
            <w:noWrap/>
            <w:hideMark/>
          </w:tcPr>
          <w:p w:rsidR="0077102B" w:rsidRPr="00DA78C7" w:rsidRDefault="0077102B" w:rsidP="0077102B">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95,322.67</w:t>
            </w:r>
          </w:p>
        </w:tc>
      </w:tr>
      <w:tr w:rsidR="0077102B" w:rsidRPr="00DA78C7" w:rsidTr="00AF0D6C">
        <w:trPr>
          <w:trHeight w:val="315"/>
        </w:trPr>
        <w:tc>
          <w:tcPr>
            <w:tcW w:w="3460" w:type="dxa"/>
            <w:shd w:val="clear" w:color="000000" w:fill="D6E3BC"/>
            <w:hideMark/>
          </w:tcPr>
          <w:p w:rsidR="0077102B" w:rsidRPr="00DA78C7" w:rsidRDefault="0077102B" w:rsidP="0077102B">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Total</w:t>
            </w:r>
          </w:p>
        </w:tc>
        <w:tc>
          <w:tcPr>
            <w:tcW w:w="1620" w:type="dxa"/>
            <w:shd w:val="clear" w:color="000000" w:fill="D6E3BC"/>
            <w:noWrap/>
            <w:hideMark/>
          </w:tcPr>
          <w:p w:rsidR="0077102B" w:rsidRPr="00DA78C7" w:rsidRDefault="0077102B" w:rsidP="0077102B">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3,611,946</w:t>
            </w:r>
          </w:p>
        </w:tc>
        <w:tc>
          <w:tcPr>
            <w:tcW w:w="1540" w:type="dxa"/>
            <w:shd w:val="clear" w:color="000000" w:fill="D6E3BC"/>
            <w:noWrap/>
            <w:hideMark/>
          </w:tcPr>
          <w:p w:rsidR="0077102B" w:rsidRPr="00DA78C7" w:rsidRDefault="0077102B" w:rsidP="0077102B">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2,916,459.38</w:t>
            </w:r>
          </w:p>
        </w:tc>
        <w:tc>
          <w:tcPr>
            <w:tcW w:w="1540" w:type="dxa"/>
            <w:shd w:val="clear" w:color="000000" w:fill="D6E3BC"/>
            <w:noWrap/>
            <w:hideMark/>
          </w:tcPr>
          <w:p w:rsidR="0077102B" w:rsidRPr="00DA78C7" w:rsidRDefault="0077102B" w:rsidP="00786E88">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2,074,4</w:t>
            </w:r>
            <w:r w:rsidR="00786E88" w:rsidRPr="00DA78C7">
              <w:rPr>
                <w:rFonts w:ascii="Verdana" w:eastAsia="Times New Roman" w:hAnsi="Verdana" w:cs="Times New Roman"/>
                <w:sz w:val="20"/>
                <w:szCs w:val="20"/>
                <w:lang w:val="en-GB" w:eastAsia="en-GB"/>
              </w:rPr>
              <w:t>11</w:t>
            </w:r>
            <w:r w:rsidRPr="00DA78C7">
              <w:rPr>
                <w:rFonts w:ascii="Verdana" w:eastAsia="Times New Roman" w:hAnsi="Verdana" w:cs="Times New Roman"/>
                <w:sz w:val="20"/>
                <w:szCs w:val="20"/>
                <w:lang w:val="en-GB" w:eastAsia="en-GB"/>
              </w:rPr>
              <w:t>.</w:t>
            </w:r>
            <w:r w:rsidR="00786E88" w:rsidRPr="00DA78C7">
              <w:rPr>
                <w:rFonts w:ascii="Verdana" w:eastAsia="Times New Roman" w:hAnsi="Verdana" w:cs="Times New Roman"/>
                <w:sz w:val="20"/>
                <w:szCs w:val="20"/>
                <w:lang w:val="en-GB" w:eastAsia="en-GB"/>
              </w:rPr>
              <w:t>04</w:t>
            </w:r>
          </w:p>
        </w:tc>
        <w:tc>
          <w:tcPr>
            <w:tcW w:w="1480" w:type="dxa"/>
            <w:shd w:val="clear" w:color="000000" w:fill="D6E3BC"/>
            <w:noWrap/>
            <w:hideMark/>
          </w:tcPr>
          <w:p w:rsidR="0077102B" w:rsidRPr="00DA78C7" w:rsidRDefault="00C1698E" w:rsidP="0077102B">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837</w:t>
            </w:r>
            <w:r w:rsidR="00172F79" w:rsidRPr="00DA78C7">
              <w:rPr>
                <w:rFonts w:ascii="Verdana" w:eastAsia="Times New Roman" w:hAnsi="Verdana" w:cs="Times New Roman"/>
                <w:sz w:val="20"/>
                <w:szCs w:val="20"/>
                <w:lang w:val="en-GB" w:eastAsia="en-GB"/>
              </w:rPr>
              <w:t>,</w:t>
            </w:r>
            <w:r w:rsidRPr="00DA78C7">
              <w:rPr>
                <w:rFonts w:ascii="Verdana" w:eastAsia="Times New Roman" w:hAnsi="Verdana" w:cs="Times New Roman"/>
                <w:sz w:val="20"/>
                <w:szCs w:val="20"/>
                <w:lang w:val="en-GB" w:eastAsia="en-GB"/>
              </w:rPr>
              <w:t>048.34</w:t>
            </w:r>
          </w:p>
          <w:p w:rsidR="00C1698E" w:rsidRPr="00DA78C7" w:rsidRDefault="00C1698E" w:rsidP="0077102B">
            <w:pPr>
              <w:spacing w:after="0" w:line="240" w:lineRule="auto"/>
              <w:jc w:val="right"/>
              <w:rPr>
                <w:rFonts w:ascii="Verdana" w:eastAsia="Times New Roman" w:hAnsi="Verdana" w:cs="Times New Roman"/>
                <w:sz w:val="20"/>
                <w:szCs w:val="20"/>
                <w:lang w:val="en-GB" w:eastAsia="en-GB"/>
              </w:rPr>
            </w:pPr>
          </w:p>
        </w:tc>
      </w:tr>
    </w:tbl>
    <w:p w:rsidR="006A4063" w:rsidRPr="00DA78C7" w:rsidRDefault="00A25216" w:rsidP="001E23B4">
      <w:pPr>
        <w:pStyle w:val="NoSpacing"/>
        <w:jc w:val="both"/>
        <w:rPr>
          <w:rFonts w:ascii="Verdana" w:hAnsi="Verdana" w:cs="Tahoma"/>
          <w:sz w:val="16"/>
          <w:szCs w:val="16"/>
          <w:lang w:val="en-GB"/>
        </w:rPr>
      </w:pPr>
      <w:r w:rsidRPr="00DA78C7">
        <w:rPr>
          <w:rFonts w:ascii="Verdana" w:hAnsi="Verdana" w:cs="Tahoma"/>
          <w:sz w:val="16"/>
          <w:szCs w:val="16"/>
          <w:lang w:val="en-GB"/>
        </w:rPr>
        <w:t>*</w:t>
      </w:r>
      <w:r w:rsidR="006A4063" w:rsidRPr="00DA78C7">
        <w:rPr>
          <w:rFonts w:ascii="Verdana" w:hAnsi="Verdana" w:cs="Tahoma"/>
          <w:sz w:val="16"/>
          <w:szCs w:val="16"/>
          <w:lang w:val="en-GB"/>
        </w:rPr>
        <w:t>These figures are from June 2010 to September 201</w:t>
      </w:r>
      <w:r w:rsidR="005D5630" w:rsidRPr="00DA78C7">
        <w:rPr>
          <w:rFonts w:ascii="Verdana" w:hAnsi="Verdana" w:cs="Tahoma"/>
          <w:sz w:val="16"/>
          <w:szCs w:val="16"/>
          <w:lang w:val="en-GB"/>
        </w:rPr>
        <w:t>1</w:t>
      </w:r>
    </w:p>
    <w:p w:rsidR="00F60D21" w:rsidRPr="00DA78C7" w:rsidRDefault="00F60D21" w:rsidP="0064715B">
      <w:pPr>
        <w:pStyle w:val="NoSpacing"/>
        <w:jc w:val="both"/>
        <w:rPr>
          <w:rFonts w:ascii="Verdana" w:hAnsi="Verdana" w:cs="Tahoma"/>
          <w:lang w:val="en-GB"/>
        </w:rPr>
      </w:pPr>
    </w:p>
    <w:p w:rsidR="0077102B" w:rsidRPr="00DA78C7" w:rsidRDefault="00F60D21" w:rsidP="002F5B49">
      <w:pPr>
        <w:jc w:val="both"/>
        <w:rPr>
          <w:rFonts w:ascii="Verdana" w:hAnsi="Verdana"/>
          <w:bCs/>
          <w:sz w:val="20"/>
          <w:szCs w:val="20"/>
          <w:lang w:val="en-GB"/>
        </w:rPr>
      </w:pPr>
      <w:r w:rsidRPr="00DA78C7">
        <w:rPr>
          <w:rFonts w:ascii="Verdana" w:hAnsi="Verdana"/>
          <w:bCs/>
          <w:sz w:val="20"/>
          <w:szCs w:val="20"/>
          <w:lang w:val="en-GB"/>
        </w:rPr>
        <w:t>As it has been agreed to start implementing output 2 in the second half of 2011</w:t>
      </w:r>
      <w:r w:rsidR="004338CF" w:rsidRPr="00DA78C7">
        <w:rPr>
          <w:rFonts w:ascii="Verdana" w:hAnsi="Verdana"/>
          <w:bCs/>
          <w:sz w:val="20"/>
          <w:szCs w:val="20"/>
          <w:lang w:val="en-GB"/>
        </w:rPr>
        <w:t xml:space="preserve"> </w:t>
      </w:r>
      <w:r w:rsidR="00AF0D6C" w:rsidRPr="00DA78C7">
        <w:rPr>
          <w:rFonts w:ascii="Verdana" w:hAnsi="Verdana"/>
          <w:bCs/>
          <w:sz w:val="20"/>
          <w:szCs w:val="20"/>
          <w:lang w:val="en-GB"/>
        </w:rPr>
        <w:t>therefore</w:t>
      </w:r>
      <w:r w:rsidR="001E23B4" w:rsidRPr="00DA78C7">
        <w:rPr>
          <w:rFonts w:ascii="Verdana" w:hAnsi="Verdana"/>
          <w:bCs/>
          <w:sz w:val="20"/>
          <w:szCs w:val="20"/>
          <w:lang w:val="en-GB"/>
        </w:rPr>
        <w:t xml:space="preserve"> the below is the expenditure as follows: </w:t>
      </w:r>
    </w:p>
    <w:tbl>
      <w:tblPr>
        <w:tblW w:w="9662" w:type="dxa"/>
        <w:tblInd w:w="85" w:type="dxa"/>
        <w:tblBorders>
          <w:top w:val="double" w:sz="6" w:space="0" w:color="auto"/>
          <w:left w:val="double" w:sz="6" w:space="0" w:color="auto"/>
          <w:bottom w:val="double" w:sz="6" w:space="0" w:color="auto"/>
          <w:right w:val="double" w:sz="6" w:space="0" w:color="auto"/>
          <w:insideH w:val="single" w:sz="8" w:space="0" w:color="000000"/>
          <w:insideV w:val="single" w:sz="8" w:space="0" w:color="000000"/>
        </w:tblBorders>
        <w:tblLook w:val="04A0" w:firstRow="1" w:lastRow="0" w:firstColumn="1" w:lastColumn="0" w:noHBand="0" w:noVBand="1"/>
      </w:tblPr>
      <w:tblGrid>
        <w:gridCol w:w="3139"/>
        <w:gridCol w:w="1562"/>
        <w:gridCol w:w="1648"/>
        <w:gridCol w:w="1754"/>
        <w:gridCol w:w="1559"/>
      </w:tblGrid>
      <w:tr w:rsidR="002F5B49" w:rsidRPr="00DA78C7" w:rsidTr="00AF0D6C">
        <w:trPr>
          <w:trHeight w:val="1536"/>
        </w:trPr>
        <w:tc>
          <w:tcPr>
            <w:tcW w:w="3139" w:type="dxa"/>
            <w:shd w:val="clear" w:color="000000" w:fill="DBE5F1"/>
            <w:hideMark/>
          </w:tcPr>
          <w:p w:rsidR="002F5B49" w:rsidRPr="00DA78C7" w:rsidRDefault="002F5B49" w:rsidP="00147538">
            <w:pPr>
              <w:spacing w:after="0" w:line="240" w:lineRule="auto"/>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2.</w:t>
            </w:r>
            <w:r w:rsidR="006D0E87" w:rsidRPr="00DA78C7">
              <w:rPr>
                <w:rFonts w:ascii="Verdana" w:eastAsia="Times New Roman" w:hAnsi="Verdana" w:cs="Times New Roman"/>
                <w:b/>
                <w:bCs/>
                <w:sz w:val="20"/>
                <w:szCs w:val="20"/>
                <w:lang w:val="en-GB" w:eastAsia="en-GB"/>
              </w:rPr>
              <w:t xml:space="preserve"> </w:t>
            </w:r>
            <w:r w:rsidRPr="00DA78C7">
              <w:rPr>
                <w:rFonts w:ascii="Verdana" w:eastAsia="Times New Roman" w:hAnsi="Verdana" w:cs="Times New Roman"/>
                <w:b/>
                <w:bCs/>
                <w:sz w:val="20"/>
                <w:szCs w:val="20"/>
                <w:lang w:val="en-GB" w:eastAsia="en-GB"/>
              </w:rPr>
              <w:t>Budget Description for output 2 /project 75331</w:t>
            </w:r>
          </w:p>
        </w:tc>
        <w:tc>
          <w:tcPr>
            <w:tcW w:w="1562" w:type="dxa"/>
            <w:shd w:val="clear" w:color="000000" w:fill="DBE5F1"/>
            <w:hideMark/>
          </w:tcPr>
          <w:p w:rsidR="002F5B49" w:rsidRPr="00DA78C7" w:rsidRDefault="002F5B49" w:rsidP="00147538">
            <w:pPr>
              <w:spacing w:after="0" w:line="240" w:lineRule="auto"/>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 xml:space="preserve">Budget Amount (US$) as per revised </w:t>
            </w:r>
            <w:proofErr w:type="spellStart"/>
            <w:r w:rsidRPr="00DA78C7">
              <w:rPr>
                <w:rFonts w:ascii="Verdana" w:eastAsia="Times New Roman" w:hAnsi="Verdana" w:cs="Times New Roman"/>
                <w:b/>
                <w:bCs/>
                <w:sz w:val="20"/>
                <w:szCs w:val="20"/>
                <w:lang w:val="en-GB" w:eastAsia="en-GB"/>
              </w:rPr>
              <w:t>prodoc</w:t>
            </w:r>
            <w:proofErr w:type="spellEnd"/>
          </w:p>
        </w:tc>
        <w:tc>
          <w:tcPr>
            <w:tcW w:w="1648" w:type="dxa"/>
            <w:shd w:val="clear" w:color="000000" w:fill="DBE5F1"/>
          </w:tcPr>
          <w:p w:rsidR="002F5B49" w:rsidRPr="00DA78C7" w:rsidRDefault="002F5B49" w:rsidP="00147538">
            <w:pPr>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actual budget as per received grants</w:t>
            </w:r>
          </w:p>
        </w:tc>
        <w:tc>
          <w:tcPr>
            <w:tcW w:w="1754" w:type="dxa"/>
            <w:shd w:val="clear" w:color="000000" w:fill="DBE5F1"/>
          </w:tcPr>
          <w:p w:rsidR="002F5B49" w:rsidRPr="00DA78C7" w:rsidRDefault="002F5B49" w:rsidP="00147538">
            <w:pPr>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total expenditure until September 2011</w:t>
            </w:r>
          </w:p>
        </w:tc>
        <w:tc>
          <w:tcPr>
            <w:tcW w:w="1559" w:type="dxa"/>
            <w:shd w:val="clear" w:color="000000" w:fill="DBE5F1"/>
          </w:tcPr>
          <w:p w:rsidR="002F5B49" w:rsidRPr="00DA78C7" w:rsidRDefault="002F5B49" w:rsidP="00147538">
            <w:pPr>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 xml:space="preserve">Balance </w:t>
            </w:r>
          </w:p>
        </w:tc>
      </w:tr>
      <w:tr w:rsidR="002F5B49" w:rsidRPr="00DA78C7" w:rsidTr="00AF0D6C">
        <w:trPr>
          <w:trHeight w:val="1035"/>
        </w:trPr>
        <w:tc>
          <w:tcPr>
            <w:tcW w:w="3139" w:type="dxa"/>
            <w:shd w:val="clear" w:color="auto" w:fill="auto"/>
            <w:hideMark/>
          </w:tcPr>
          <w:p w:rsidR="002F5B49" w:rsidRPr="00DA78C7" w:rsidRDefault="002F5B49" w:rsidP="00147538">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Grants to national NGOs for Victim Assistance (staff, office and field operational costs, vocational training, income generation, capacity building and advocacy activities)</w:t>
            </w:r>
          </w:p>
        </w:tc>
        <w:tc>
          <w:tcPr>
            <w:tcW w:w="1562" w:type="dxa"/>
            <w:shd w:val="clear" w:color="auto" w:fill="auto"/>
            <w:noWrap/>
            <w:hideMark/>
          </w:tcPr>
          <w:p w:rsidR="002F5B49" w:rsidRPr="00DA78C7" w:rsidRDefault="002F5B49" w:rsidP="00147538">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670,000</w:t>
            </w:r>
          </w:p>
        </w:tc>
        <w:tc>
          <w:tcPr>
            <w:tcW w:w="1648" w:type="dxa"/>
          </w:tcPr>
          <w:p w:rsidR="002F5B49" w:rsidRPr="00DA78C7" w:rsidRDefault="002F5B49" w:rsidP="00147538">
            <w:pPr>
              <w:rPr>
                <w:rFonts w:ascii="Verdana" w:hAnsi="Verdana"/>
              </w:rPr>
            </w:pPr>
            <w:r w:rsidRPr="00DA78C7">
              <w:rPr>
                <w:rFonts w:ascii="Verdana" w:hAnsi="Verdana"/>
              </w:rPr>
              <w:t>670,000</w:t>
            </w:r>
          </w:p>
        </w:tc>
        <w:tc>
          <w:tcPr>
            <w:tcW w:w="1754" w:type="dxa"/>
          </w:tcPr>
          <w:p w:rsidR="002F5B49" w:rsidRPr="00DA78C7" w:rsidRDefault="002F5B49" w:rsidP="00147538">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192,723</w:t>
            </w:r>
          </w:p>
        </w:tc>
        <w:tc>
          <w:tcPr>
            <w:tcW w:w="1559" w:type="dxa"/>
          </w:tcPr>
          <w:p w:rsidR="002F5B49" w:rsidRPr="00DA78C7" w:rsidRDefault="0045059B" w:rsidP="00147538">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477,277</w:t>
            </w:r>
          </w:p>
        </w:tc>
      </w:tr>
      <w:tr w:rsidR="002F5B49" w:rsidRPr="00DA78C7" w:rsidTr="00AF0D6C">
        <w:trPr>
          <w:trHeight w:val="315"/>
        </w:trPr>
        <w:tc>
          <w:tcPr>
            <w:tcW w:w="3139" w:type="dxa"/>
            <w:shd w:val="clear" w:color="auto" w:fill="auto"/>
            <w:hideMark/>
          </w:tcPr>
          <w:p w:rsidR="002F5B49" w:rsidRPr="00DA78C7" w:rsidRDefault="002F5B49" w:rsidP="00147538">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Total UNDP cost</w:t>
            </w:r>
          </w:p>
        </w:tc>
        <w:tc>
          <w:tcPr>
            <w:tcW w:w="1562" w:type="dxa"/>
            <w:shd w:val="clear" w:color="auto" w:fill="auto"/>
            <w:noWrap/>
            <w:hideMark/>
          </w:tcPr>
          <w:p w:rsidR="002F5B49" w:rsidRPr="00DA78C7" w:rsidRDefault="002F5B49" w:rsidP="00147538">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202,480.37</w:t>
            </w:r>
          </w:p>
        </w:tc>
        <w:tc>
          <w:tcPr>
            <w:tcW w:w="1648" w:type="dxa"/>
          </w:tcPr>
          <w:p w:rsidR="002F5B49" w:rsidRPr="00DA78C7" w:rsidRDefault="002F5B49" w:rsidP="00147538">
            <w:pPr>
              <w:rPr>
                <w:rFonts w:ascii="Verdana" w:hAnsi="Verdana"/>
              </w:rPr>
            </w:pPr>
            <w:r w:rsidRPr="00DA78C7">
              <w:rPr>
                <w:rFonts w:ascii="Verdana" w:hAnsi="Verdana"/>
              </w:rPr>
              <w:t>202,480.37</w:t>
            </w:r>
          </w:p>
        </w:tc>
        <w:tc>
          <w:tcPr>
            <w:tcW w:w="1754" w:type="dxa"/>
          </w:tcPr>
          <w:p w:rsidR="002F5B49" w:rsidRPr="00DA78C7" w:rsidRDefault="00F37536" w:rsidP="00F37536">
            <w:pPr>
              <w:spacing w:after="0" w:line="240" w:lineRule="auto"/>
              <w:jc w:val="right"/>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17,638.73</w:t>
            </w:r>
          </w:p>
        </w:tc>
        <w:tc>
          <w:tcPr>
            <w:tcW w:w="1559" w:type="dxa"/>
          </w:tcPr>
          <w:p w:rsidR="002F5B49" w:rsidRPr="00DA78C7" w:rsidRDefault="00F37536" w:rsidP="00147538">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184,841.64</w:t>
            </w:r>
          </w:p>
        </w:tc>
      </w:tr>
      <w:tr w:rsidR="002F5B49" w:rsidRPr="00DA78C7" w:rsidTr="00AF0D6C">
        <w:trPr>
          <w:trHeight w:val="315"/>
        </w:trPr>
        <w:tc>
          <w:tcPr>
            <w:tcW w:w="3139" w:type="dxa"/>
            <w:shd w:val="clear" w:color="auto" w:fill="DBE5F1" w:themeFill="accent1" w:themeFillTint="33"/>
            <w:hideMark/>
          </w:tcPr>
          <w:p w:rsidR="002F5B49" w:rsidRPr="00DA78C7" w:rsidRDefault="002F5B49" w:rsidP="00147538">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 xml:space="preserve">Subtotal </w:t>
            </w:r>
          </w:p>
        </w:tc>
        <w:tc>
          <w:tcPr>
            <w:tcW w:w="1562" w:type="dxa"/>
            <w:shd w:val="clear" w:color="auto" w:fill="DBE5F1" w:themeFill="accent1" w:themeFillTint="33"/>
            <w:noWrap/>
            <w:hideMark/>
          </w:tcPr>
          <w:p w:rsidR="002F5B49" w:rsidRPr="00DA78C7" w:rsidRDefault="002F5B49" w:rsidP="00147538">
            <w:pPr>
              <w:spacing w:after="0" w:line="240" w:lineRule="auto"/>
              <w:jc w:val="center"/>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872,480.37</w:t>
            </w:r>
          </w:p>
        </w:tc>
        <w:tc>
          <w:tcPr>
            <w:tcW w:w="1648" w:type="dxa"/>
            <w:shd w:val="clear" w:color="auto" w:fill="DBE5F1" w:themeFill="accent1" w:themeFillTint="33"/>
          </w:tcPr>
          <w:p w:rsidR="002F5B49" w:rsidRPr="00DA78C7" w:rsidRDefault="002F5B49" w:rsidP="00147538">
            <w:pPr>
              <w:rPr>
                <w:rFonts w:ascii="Verdana" w:hAnsi="Verdana"/>
              </w:rPr>
            </w:pPr>
            <w:r w:rsidRPr="00DA78C7">
              <w:rPr>
                <w:rFonts w:ascii="Verdana" w:hAnsi="Verdana"/>
              </w:rPr>
              <w:t>872,480.37</w:t>
            </w:r>
          </w:p>
        </w:tc>
        <w:tc>
          <w:tcPr>
            <w:tcW w:w="1754" w:type="dxa"/>
            <w:shd w:val="clear" w:color="auto" w:fill="DBE5F1" w:themeFill="accent1" w:themeFillTint="33"/>
          </w:tcPr>
          <w:p w:rsidR="002F5B49" w:rsidRPr="00DA78C7" w:rsidRDefault="00F37536" w:rsidP="00147538">
            <w:pPr>
              <w:spacing w:after="0" w:line="240" w:lineRule="auto"/>
              <w:jc w:val="center"/>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210,361.73</w:t>
            </w:r>
          </w:p>
        </w:tc>
        <w:tc>
          <w:tcPr>
            <w:tcW w:w="1559" w:type="dxa"/>
            <w:shd w:val="clear" w:color="auto" w:fill="DBE5F1" w:themeFill="accent1" w:themeFillTint="33"/>
          </w:tcPr>
          <w:p w:rsidR="002F5B49" w:rsidRPr="00DA78C7" w:rsidRDefault="00F37536" w:rsidP="00147538">
            <w:pPr>
              <w:spacing w:after="0" w:line="240" w:lineRule="auto"/>
              <w:jc w:val="center"/>
              <w:rPr>
                <w:rFonts w:ascii="Verdana" w:eastAsia="Times New Roman" w:hAnsi="Verdana" w:cs="Times New Roman"/>
                <w:b/>
                <w:bCs/>
                <w:sz w:val="20"/>
                <w:szCs w:val="20"/>
                <w:lang w:val="en-GB" w:eastAsia="en-GB"/>
              </w:rPr>
            </w:pPr>
            <w:r w:rsidRPr="00DA78C7">
              <w:rPr>
                <w:rFonts w:ascii="Verdana" w:eastAsia="Times New Roman" w:hAnsi="Verdana" w:cs="Times New Roman"/>
                <w:b/>
                <w:bCs/>
                <w:sz w:val="20"/>
                <w:szCs w:val="20"/>
                <w:lang w:val="en-GB" w:eastAsia="en-GB"/>
              </w:rPr>
              <w:t>662,118.64</w:t>
            </w:r>
          </w:p>
        </w:tc>
      </w:tr>
      <w:tr w:rsidR="002F5B49" w:rsidRPr="00DA78C7" w:rsidTr="00AF0D6C">
        <w:trPr>
          <w:trHeight w:val="315"/>
        </w:trPr>
        <w:tc>
          <w:tcPr>
            <w:tcW w:w="3139" w:type="dxa"/>
            <w:shd w:val="clear" w:color="auto" w:fill="auto"/>
            <w:hideMark/>
          </w:tcPr>
          <w:p w:rsidR="002F5B49" w:rsidRPr="00DA78C7" w:rsidRDefault="002F5B49" w:rsidP="00147538">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Agency Support cost (GMS 7%)</w:t>
            </w:r>
          </w:p>
        </w:tc>
        <w:tc>
          <w:tcPr>
            <w:tcW w:w="1562" w:type="dxa"/>
            <w:shd w:val="clear" w:color="auto" w:fill="auto"/>
            <w:noWrap/>
            <w:hideMark/>
          </w:tcPr>
          <w:p w:rsidR="002F5B49" w:rsidRPr="00DA78C7" w:rsidRDefault="002F5B49" w:rsidP="00147538">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61,073.63</w:t>
            </w:r>
          </w:p>
        </w:tc>
        <w:tc>
          <w:tcPr>
            <w:tcW w:w="1648" w:type="dxa"/>
          </w:tcPr>
          <w:p w:rsidR="002F5B49" w:rsidRPr="00DA78C7" w:rsidRDefault="002F5B49" w:rsidP="00147538">
            <w:pPr>
              <w:rPr>
                <w:rFonts w:ascii="Verdana" w:hAnsi="Verdana"/>
              </w:rPr>
            </w:pPr>
            <w:r w:rsidRPr="00DA78C7">
              <w:rPr>
                <w:rFonts w:ascii="Verdana" w:hAnsi="Verdana"/>
              </w:rPr>
              <w:t>61,073.63</w:t>
            </w:r>
          </w:p>
        </w:tc>
        <w:tc>
          <w:tcPr>
            <w:tcW w:w="1754" w:type="dxa"/>
          </w:tcPr>
          <w:p w:rsidR="002F5B49" w:rsidRPr="00DA78C7" w:rsidRDefault="00F37536" w:rsidP="00147538">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14,723.32</w:t>
            </w:r>
          </w:p>
        </w:tc>
        <w:tc>
          <w:tcPr>
            <w:tcW w:w="1559" w:type="dxa"/>
          </w:tcPr>
          <w:p w:rsidR="002F5B49" w:rsidRPr="00DA78C7" w:rsidRDefault="00950693" w:rsidP="00147538">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46,384.31</w:t>
            </w:r>
          </w:p>
        </w:tc>
      </w:tr>
      <w:tr w:rsidR="002F5B49" w:rsidRPr="00DA78C7" w:rsidTr="00AF0D6C">
        <w:trPr>
          <w:trHeight w:val="315"/>
        </w:trPr>
        <w:tc>
          <w:tcPr>
            <w:tcW w:w="3139" w:type="dxa"/>
            <w:shd w:val="clear" w:color="auto" w:fill="DBE5F1" w:themeFill="accent1" w:themeFillTint="33"/>
            <w:hideMark/>
          </w:tcPr>
          <w:p w:rsidR="002F5B49" w:rsidRPr="00DA78C7" w:rsidRDefault="002F5B49" w:rsidP="00147538">
            <w:pPr>
              <w:spacing w:after="0" w:line="240" w:lineRule="auto"/>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 xml:space="preserve">Total </w:t>
            </w:r>
          </w:p>
        </w:tc>
        <w:tc>
          <w:tcPr>
            <w:tcW w:w="1562" w:type="dxa"/>
            <w:shd w:val="clear" w:color="auto" w:fill="DBE5F1" w:themeFill="accent1" w:themeFillTint="33"/>
            <w:noWrap/>
            <w:hideMark/>
          </w:tcPr>
          <w:p w:rsidR="002F5B49" w:rsidRPr="00DA78C7" w:rsidRDefault="002F5B49" w:rsidP="00147538">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933,554.00</w:t>
            </w:r>
          </w:p>
        </w:tc>
        <w:tc>
          <w:tcPr>
            <w:tcW w:w="1648" w:type="dxa"/>
            <w:shd w:val="clear" w:color="auto" w:fill="DBE5F1" w:themeFill="accent1" w:themeFillTint="33"/>
          </w:tcPr>
          <w:p w:rsidR="002F5B49" w:rsidRPr="00DA78C7" w:rsidRDefault="002F5B49" w:rsidP="00147538">
            <w:pPr>
              <w:rPr>
                <w:rFonts w:ascii="Verdana" w:hAnsi="Verdana"/>
              </w:rPr>
            </w:pPr>
            <w:r w:rsidRPr="00DA78C7">
              <w:rPr>
                <w:rFonts w:ascii="Verdana" w:hAnsi="Verdana"/>
              </w:rPr>
              <w:t>933,554.00</w:t>
            </w:r>
          </w:p>
        </w:tc>
        <w:tc>
          <w:tcPr>
            <w:tcW w:w="1754" w:type="dxa"/>
            <w:shd w:val="clear" w:color="auto" w:fill="DBE5F1" w:themeFill="accent1" w:themeFillTint="33"/>
          </w:tcPr>
          <w:p w:rsidR="002F5B49" w:rsidRPr="00DA78C7" w:rsidRDefault="00F37536" w:rsidP="00147538">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b/>
                <w:sz w:val="20"/>
                <w:szCs w:val="20"/>
                <w:lang w:val="en-GB" w:eastAsia="en-GB"/>
              </w:rPr>
              <w:t>225,087.05</w:t>
            </w:r>
          </w:p>
        </w:tc>
        <w:tc>
          <w:tcPr>
            <w:tcW w:w="1559" w:type="dxa"/>
            <w:shd w:val="clear" w:color="auto" w:fill="DBE5F1" w:themeFill="accent1" w:themeFillTint="33"/>
          </w:tcPr>
          <w:p w:rsidR="002F5B49" w:rsidRPr="00DA78C7" w:rsidRDefault="00950693" w:rsidP="00147538">
            <w:pPr>
              <w:spacing w:after="0" w:line="240" w:lineRule="auto"/>
              <w:jc w:val="center"/>
              <w:rPr>
                <w:rFonts w:ascii="Verdana" w:eastAsia="Times New Roman" w:hAnsi="Verdana" w:cs="Times New Roman"/>
                <w:sz w:val="20"/>
                <w:szCs w:val="20"/>
                <w:lang w:val="en-GB" w:eastAsia="en-GB"/>
              </w:rPr>
            </w:pPr>
            <w:r w:rsidRPr="00DA78C7">
              <w:rPr>
                <w:rFonts w:ascii="Verdana" w:eastAsia="Times New Roman" w:hAnsi="Verdana" w:cs="Times New Roman"/>
                <w:sz w:val="20"/>
                <w:szCs w:val="20"/>
                <w:lang w:val="en-GB" w:eastAsia="en-GB"/>
              </w:rPr>
              <w:t>708,466.95</w:t>
            </w:r>
          </w:p>
        </w:tc>
      </w:tr>
    </w:tbl>
    <w:p w:rsidR="002F5B49" w:rsidRPr="00DA78C7" w:rsidRDefault="002F5B49" w:rsidP="002F5B49">
      <w:pPr>
        <w:jc w:val="both"/>
        <w:rPr>
          <w:rFonts w:ascii="Verdana" w:hAnsi="Verdana"/>
          <w:bCs/>
          <w:sz w:val="20"/>
          <w:szCs w:val="20"/>
          <w:lang w:val="en-GB"/>
        </w:rPr>
      </w:pPr>
    </w:p>
    <w:p w:rsidR="004D3C02" w:rsidRPr="00DA78C7" w:rsidRDefault="00E64A25" w:rsidP="007A1C44">
      <w:pPr>
        <w:pStyle w:val="NoSpacing"/>
        <w:numPr>
          <w:ilvl w:val="0"/>
          <w:numId w:val="1"/>
        </w:numPr>
        <w:ind w:left="284" w:hanging="284"/>
        <w:jc w:val="both"/>
        <w:rPr>
          <w:rFonts w:ascii="Verdana" w:hAnsi="Verdana" w:cs="Tahoma"/>
          <w:b/>
          <w:bCs/>
          <w:lang w:val="en-GB"/>
        </w:rPr>
      </w:pPr>
      <w:r w:rsidRPr="00DA78C7">
        <w:rPr>
          <w:rFonts w:ascii="Verdana" w:hAnsi="Verdana" w:cs="Tahoma"/>
          <w:b/>
          <w:bCs/>
          <w:lang w:val="en-GB"/>
        </w:rPr>
        <w:t xml:space="preserve">Future Planning </w:t>
      </w:r>
    </w:p>
    <w:p w:rsidR="00371EE8" w:rsidRPr="00DA78C7" w:rsidRDefault="00371EE8" w:rsidP="00371EE8">
      <w:pPr>
        <w:pStyle w:val="NoSpacing"/>
        <w:rPr>
          <w:rFonts w:ascii="Verdana" w:hAnsi="Verdana"/>
          <w:sz w:val="24"/>
          <w:szCs w:val="24"/>
          <w:lang w:val="en-GB"/>
        </w:rPr>
      </w:pPr>
    </w:p>
    <w:p w:rsidR="00E80AE4" w:rsidRPr="00DA78C7" w:rsidRDefault="00CC6C1D" w:rsidP="008A14C1">
      <w:pPr>
        <w:jc w:val="both"/>
        <w:rPr>
          <w:rFonts w:ascii="Verdana" w:hAnsi="Verdana"/>
          <w:bCs/>
          <w:sz w:val="20"/>
          <w:szCs w:val="20"/>
          <w:lang w:val="en-GB"/>
        </w:rPr>
      </w:pPr>
      <w:r w:rsidRPr="00DA78C7">
        <w:rPr>
          <w:rFonts w:ascii="Verdana" w:hAnsi="Verdana"/>
          <w:bCs/>
          <w:sz w:val="20"/>
          <w:szCs w:val="20"/>
          <w:lang w:val="en-GB"/>
        </w:rPr>
        <w:t xml:space="preserve">UNDP will continue to support DDG in its efforts to nationalise the programme and to </w:t>
      </w:r>
      <w:r w:rsidR="00EA4907" w:rsidRPr="00DA78C7">
        <w:rPr>
          <w:rFonts w:ascii="Verdana" w:hAnsi="Verdana"/>
          <w:bCs/>
          <w:sz w:val="20"/>
          <w:szCs w:val="20"/>
          <w:lang w:val="en-GB"/>
        </w:rPr>
        <w:t xml:space="preserve">support the </w:t>
      </w:r>
      <w:r w:rsidR="007A5A2A" w:rsidRPr="00DA78C7">
        <w:rPr>
          <w:rFonts w:ascii="Verdana" w:hAnsi="Verdana"/>
          <w:bCs/>
          <w:sz w:val="20"/>
          <w:szCs w:val="20"/>
          <w:lang w:val="en-GB"/>
        </w:rPr>
        <w:t xml:space="preserve">subsequent </w:t>
      </w:r>
      <w:r w:rsidR="008A14C1" w:rsidRPr="00DA78C7">
        <w:rPr>
          <w:rFonts w:ascii="Verdana" w:hAnsi="Verdana"/>
          <w:bCs/>
          <w:sz w:val="20"/>
          <w:szCs w:val="20"/>
          <w:lang w:val="en-GB"/>
        </w:rPr>
        <w:t>emergence</w:t>
      </w:r>
      <w:r w:rsidR="00EA4907" w:rsidRPr="00DA78C7">
        <w:rPr>
          <w:rFonts w:ascii="Verdana" w:hAnsi="Verdana"/>
          <w:bCs/>
          <w:sz w:val="20"/>
          <w:szCs w:val="20"/>
          <w:lang w:val="en-GB"/>
        </w:rPr>
        <w:t xml:space="preserve"> of </w:t>
      </w:r>
      <w:r w:rsidR="008A14C1" w:rsidRPr="00DA78C7">
        <w:rPr>
          <w:rFonts w:ascii="Verdana" w:hAnsi="Verdana"/>
          <w:bCs/>
          <w:sz w:val="20"/>
          <w:szCs w:val="20"/>
          <w:lang w:val="en-GB"/>
        </w:rPr>
        <w:t>a</w:t>
      </w:r>
      <w:r w:rsidR="00EA4907" w:rsidRPr="00DA78C7">
        <w:rPr>
          <w:rFonts w:ascii="Verdana" w:hAnsi="Verdana"/>
          <w:bCs/>
          <w:sz w:val="20"/>
          <w:szCs w:val="20"/>
          <w:lang w:val="en-GB"/>
        </w:rPr>
        <w:t xml:space="preserve"> </w:t>
      </w:r>
      <w:r w:rsidR="007A5A2A" w:rsidRPr="00DA78C7">
        <w:rPr>
          <w:rFonts w:ascii="Verdana" w:hAnsi="Verdana"/>
          <w:bCs/>
          <w:sz w:val="20"/>
          <w:szCs w:val="20"/>
          <w:lang w:val="en-GB"/>
        </w:rPr>
        <w:t xml:space="preserve">national </w:t>
      </w:r>
      <w:r w:rsidR="008A14C1" w:rsidRPr="00DA78C7">
        <w:rPr>
          <w:rFonts w:ascii="Verdana" w:hAnsi="Verdana"/>
          <w:bCs/>
          <w:sz w:val="20"/>
          <w:szCs w:val="20"/>
          <w:lang w:val="en-GB"/>
        </w:rPr>
        <w:t xml:space="preserve">humanitarian </w:t>
      </w:r>
      <w:r w:rsidR="007A5A2A" w:rsidRPr="00DA78C7">
        <w:rPr>
          <w:rFonts w:ascii="Verdana" w:hAnsi="Verdana"/>
          <w:bCs/>
          <w:sz w:val="20"/>
          <w:szCs w:val="20"/>
          <w:lang w:val="en-GB"/>
        </w:rPr>
        <w:t>Mine Action programme in the south of Iraq</w:t>
      </w:r>
      <w:r w:rsidR="008A14C1" w:rsidRPr="00DA78C7">
        <w:rPr>
          <w:rFonts w:ascii="Verdana" w:hAnsi="Verdana"/>
          <w:bCs/>
          <w:sz w:val="20"/>
          <w:szCs w:val="20"/>
          <w:lang w:val="en-GB"/>
        </w:rPr>
        <w:t>.</w:t>
      </w:r>
      <w:r w:rsidR="007A5A2A" w:rsidRPr="00DA78C7">
        <w:rPr>
          <w:rFonts w:ascii="Verdana" w:hAnsi="Verdana"/>
          <w:bCs/>
          <w:sz w:val="20"/>
          <w:szCs w:val="20"/>
          <w:lang w:val="en-GB"/>
        </w:rPr>
        <w:t xml:space="preserve"> </w:t>
      </w:r>
    </w:p>
    <w:p w:rsidR="007A5A2A" w:rsidRPr="00DA78C7" w:rsidRDefault="007A5A2A" w:rsidP="00E80AE4">
      <w:pPr>
        <w:jc w:val="both"/>
        <w:rPr>
          <w:rFonts w:ascii="Verdana" w:hAnsi="Verdana"/>
          <w:bCs/>
          <w:sz w:val="20"/>
          <w:szCs w:val="20"/>
          <w:lang w:val="en-GB"/>
        </w:rPr>
      </w:pPr>
      <w:r w:rsidRPr="00DA78C7">
        <w:rPr>
          <w:rFonts w:ascii="Verdana" w:hAnsi="Verdana"/>
          <w:bCs/>
          <w:sz w:val="20"/>
          <w:szCs w:val="20"/>
          <w:lang w:val="en-GB"/>
        </w:rPr>
        <w:t>UNDP will also continue to support DDG</w:t>
      </w:r>
      <w:r w:rsidR="00E80AE4" w:rsidRPr="00DA78C7">
        <w:rPr>
          <w:rFonts w:ascii="Verdana" w:hAnsi="Verdana"/>
          <w:bCs/>
          <w:sz w:val="20"/>
          <w:szCs w:val="20"/>
          <w:lang w:val="en-GB"/>
        </w:rPr>
        <w:t xml:space="preserve">s </w:t>
      </w:r>
      <w:r w:rsidRPr="00DA78C7">
        <w:rPr>
          <w:rFonts w:ascii="Verdana" w:hAnsi="Verdana"/>
          <w:bCs/>
          <w:sz w:val="20"/>
          <w:szCs w:val="20"/>
          <w:lang w:val="en-GB"/>
        </w:rPr>
        <w:t xml:space="preserve">operations </w:t>
      </w:r>
      <w:r w:rsidR="00E80AE4" w:rsidRPr="00DA78C7">
        <w:rPr>
          <w:rFonts w:ascii="Verdana" w:hAnsi="Verdana"/>
          <w:bCs/>
          <w:sz w:val="20"/>
          <w:szCs w:val="20"/>
          <w:lang w:val="en-GB"/>
        </w:rPr>
        <w:t>to</w:t>
      </w:r>
      <w:r w:rsidRPr="00DA78C7">
        <w:rPr>
          <w:rFonts w:ascii="Verdana" w:hAnsi="Verdana"/>
          <w:bCs/>
          <w:sz w:val="20"/>
          <w:szCs w:val="20"/>
          <w:lang w:val="en-GB"/>
        </w:rPr>
        <w:t xml:space="preserve"> </w:t>
      </w:r>
      <w:r w:rsidR="00E80AE4" w:rsidRPr="00DA78C7">
        <w:rPr>
          <w:rFonts w:ascii="Verdana" w:hAnsi="Verdana"/>
          <w:bCs/>
          <w:sz w:val="20"/>
          <w:szCs w:val="20"/>
          <w:lang w:val="en-GB"/>
        </w:rPr>
        <w:t>r</w:t>
      </w:r>
      <w:r w:rsidRPr="00DA78C7">
        <w:rPr>
          <w:rFonts w:ascii="Verdana" w:hAnsi="Verdana"/>
          <w:bCs/>
          <w:sz w:val="20"/>
          <w:szCs w:val="20"/>
          <w:lang w:val="en-GB"/>
        </w:rPr>
        <w:t xml:space="preserve">educe risks associated with the threat of landmines and other explosive remnants of war (ERW) </w:t>
      </w:r>
      <w:r w:rsidR="00E80AE4" w:rsidRPr="00DA78C7">
        <w:rPr>
          <w:rFonts w:ascii="Verdana" w:hAnsi="Verdana"/>
          <w:bCs/>
          <w:sz w:val="20"/>
          <w:szCs w:val="20"/>
          <w:lang w:val="en-GB"/>
        </w:rPr>
        <w:t xml:space="preserve">especially </w:t>
      </w:r>
      <w:r w:rsidRPr="00DA78C7">
        <w:rPr>
          <w:rFonts w:ascii="Verdana" w:hAnsi="Verdana"/>
          <w:bCs/>
          <w:sz w:val="20"/>
          <w:szCs w:val="20"/>
          <w:lang w:val="en-GB"/>
        </w:rPr>
        <w:t xml:space="preserve">in the poorest, most affected communities </w:t>
      </w:r>
      <w:r w:rsidR="00E80AE4" w:rsidRPr="00DA78C7">
        <w:rPr>
          <w:rFonts w:ascii="Verdana" w:hAnsi="Verdana"/>
          <w:bCs/>
          <w:sz w:val="20"/>
          <w:szCs w:val="20"/>
          <w:lang w:val="en-GB"/>
        </w:rPr>
        <w:t>in</w:t>
      </w:r>
      <w:r w:rsidRPr="00DA78C7">
        <w:rPr>
          <w:rFonts w:ascii="Verdana" w:hAnsi="Verdana"/>
          <w:bCs/>
          <w:sz w:val="20"/>
          <w:szCs w:val="20"/>
          <w:lang w:val="en-GB"/>
        </w:rPr>
        <w:t xml:space="preserve"> southern Iraq in order to enhance community safety, </w:t>
      </w:r>
      <w:r w:rsidR="00E80AE4" w:rsidRPr="00DA78C7">
        <w:rPr>
          <w:rFonts w:ascii="Verdana" w:hAnsi="Verdana"/>
          <w:bCs/>
          <w:sz w:val="20"/>
          <w:szCs w:val="20"/>
          <w:lang w:val="en-GB"/>
        </w:rPr>
        <w:t>i</w:t>
      </w:r>
      <w:r w:rsidRPr="00DA78C7">
        <w:rPr>
          <w:rFonts w:ascii="Verdana" w:hAnsi="Verdana"/>
          <w:bCs/>
          <w:sz w:val="20"/>
          <w:szCs w:val="20"/>
          <w:lang w:val="en-GB"/>
        </w:rPr>
        <w:t xml:space="preserve">mprove access to livelihoods, allow renewed economic activity and development, and enable the wider enjoyment of basic human rights. </w:t>
      </w:r>
    </w:p>
    <w:p w:rsidR="008A14C1" w:rsidRPr="00DA78C7" w:rsidRDefault="000F530C" w:rsidP="00A25216">
      <w:pPr>
        <w:jc w:val="both"/>
        <w:rPr>
          <w:rFonts w:ascii="Verdana" w:eastAsia="Times New Roman" w:hAnsi="Verdana" w:cs="Arial"/>
          <w:bCs/>
          <w:sz w:val="20"/>
          <w:szCs w:val="20"/>
          <w:lang w:val="en-GB"/>
        </w:rPr>
      </w:pPr>
      <w:r w:rsidRPr="00DA78C7">
        <w:rPr>
          <w:rFonts w:ascii="Verdana" w:hAnsi="Verdana"/>
          <w:bCs/>
          <w:sz w:val="20"/>
          <w:szCs w:val="20"/>
          <w:lang w:val="en-GB"/>
        </w:rPr>
        <w:t xml:space="preserve">In light of the needed support for clearance tasks and Quality Control and Quality Assurance tasks </w:t>
      </w:r>
      <w:r w:rsidR="008A14C1" w:rsidRPr="00DA78C7">
        <w:rPr>
          <w:rFonts w:ascii="Verdana" w:hAnsi="Verdana"/>
          <w:bCs/>
          <w:sz w:val="20"/>
          <w:szCs w:val="20"/>
          <w:lang w:val="en-GB"/>
        </w:rPr>
        <w:t xml:space="preserve">requested by the government </w:t>
      </w:r>
      <w:r w:rsidRPr="00DA78C7">
        <w:rPr>
          <w:rFonts w:ascii="Verdana" w:hAnsi="Verdana"/>
          <w:bCs/>
          <w:sz w:val="20"/>
          <w:szCs w:val="20"/>
          <w:lang w:val="en-GB"/>
        </w:rPr>
        <w:t xml:space="preserve">from both UNDP and DDG, </w:t>
      </w:r>
      <w:r w:rsidR="008A14C1" w:rsidRPr="00DA78C7">
        <w:rPr>
          <w:rFonts w:ascii="Verdana" w:hAnsi="Verdana"/>
          <w:bCs/>
          <w:sz w:val="20"/>
          <w:szCs w:val="20"/>
          <w:lang w:val="en-GB"/>
        </w:rPr>
        <w:t xml:space="preserve">and in order to guarantee the flexibility to meet urgent and emerging needs, a forum for sharing information on developing issues </w:t>
      </w:r>
      <w:r w:rsidR="00A25216" w:rsidRPr="00DA78C7">
        <w:rPr>
          <w:rFonts w:ascii="Verdana" w:hAnsi="Verdana"/>
          <w:bCs/>
          <w:sz w:val="20"/>
          <w:szCs w:val="20"/>
          <w:lang w:val="en-GB"/>
        </w:rPr>
        <w:t>was</w:t>
      </w:r>
      <w:r w:rsidR="008A14C1" w:rsidRPr="00DA78C7">
        <w:rPr>
          <w:rFonts w:ascii="Verdana" w:hAnsi="Verdana"/>
          <w:bCs/>
          <w:sz w:val="20"/>
          <w:szCs w:val="20"/>
          <w:lang w:val="en-GB"/>
        </w:rPr>
        <w:t xml:space="preserve"> established </w:t>
      </w:r>
      <w:r w:rsidR="00A25216" w:rsidRPr="00DA78C7">
        <w:rPr>
          <w:rFonts w:ascii="Verdana" w:hAnsi="Verdana"/>
          <w:bCs/>
          <w:sz w:val="20"/>
          <w:szCs w:val="20"/>
          <w:lang w:val="en-GB"/>
        </w:rPr>
        <w:t xml:space="preserve">in the form of a project board composed of </w:t>
      </w:r>
      <w:r w:rsidR="008A14C1" w:rsidRPr="00DA78C7">
        <w:rPr>
          <w:rFonts w:ascii="Verdana" w:hAnsi="Verdana"/>
          <w:bCs/>
          <w:sz w:val="20"/>
          <w:szCs w:val="20"/>
          <w:lang w:val="en-GB"/>
        </w:rPr>
        <w:t xml:space="preserve">the parties involved in the implementation of this project in order to provide guidance on the best way forward and recommendations for the running of the project and its components in light of quickly changing circumstances. </w:t>
      </w:r>
      <w:r w:rsidR="008A14C1" w:rsidRPr="00DA78C7">
        <w:rPr>
          <w:rFonts w:ascii="Verdana" w:eastAsia="Times New Roman" w:hAnsi="Verdana" w:cs="Arial"/>
          <w:bCs/>
          <w:sz w:val="20"/>
          <w:szCs w:val="20"/>
          <w:lang w:val="en-GB"/>
        </w:rPr>
        <w:t xml:space="preserve"> </w:t>
      </w:r>
      <w:r w:rsidR="00A25216" w:rsidRPr="00DA78C7">
        <w:rPr>
          <w:rFonts w:ascii="Verdana" w:eastAsia="Times New Roman" w:hAnsi="Verdana" w:cs="Arial"/>
          <w:bCs/>
          <w:sz w:val="20"/>
          <w:szCs w:val="20"/>
          <w:lang w:val="en-GB"/>
        </w:rPr>
        <w:t>The project board has met for the first time in Baghdad in June 2011, and will meet again in Erbil in October 2011.</w:t>
      </w:r>
    </w:p>
    <w:p w:rsidR="005D5630" w:rsidRPr="00DA78C7" w:rsidRDefault="005D5630" w:rsidP="00172F79">
      <w:pPr>
        <w:jc w:val="both"/>
        <w:rPr>
          <w:rFonts w:ascii="Verdana" w:hAnsi="Verdana"/>
          <w:bCs/>
          <w:sz w:val="20"/>
          <w:szCs w:val="20"/>
          <w:lang w:val="en-GB"/>
        </w:rPr>
      </w:pPr>
      <w:r w:rsidRPr="00DA78C7">
        <w:rPr>
          <w:rFonts w:ascii="Verdana" w:hAnsi="Verdana"/>
          <w:bCs/>
          <w:sz w:val="20"/>
          <w:szCs w:val="20"/>
          <w:lang w:val="en-GB"/>
        </w:rPr>
        <w:t xml:space="preserve">DDG will continue to implement, and refine the impact-led and community focused approach initiated in 2010, which proved to be a success. DDG’s unique Impact Monitoring tool has enabled the organization to better understand the nature of the vulnerabilities created by the presence of mines and ERW, and thus address them. While threat reduction - the physical destruction of identified items in the most high-risk communities - is optimal, resource constraints makes the overall impact sub-optimal. Even focusing on the most impacted communities first, many high and medium impacted communities will not be reached in the medium term. Locally negotiated solutions may be required whereby some contaminated areas are cleared, and others are marked and left until later - to alleviate the impact of the most significant economic blockages. </w:t>
      </w:r>
      <w:r w:rsidRPr="00DA78C7">
        <w:rPr>
          <w:rFonts w:ascii="Verdana" w:hAnsi="Verdana"/>
          <w:bCs/>
          <w:sz w:val="20"/>
          <w:szCs w:val="20"/>
          <w:lang w:val="en-GB"/>
        </w:rPr>
        <w:tab/>
      </w:r>
    </w:p>
    <w:p w:rsidR="005426FB" w:rsidRPr="00DA78C7" w:rsidRDefault="00A25216" w:rsidP="00A25216">
      <w:pPr>
        <w:jc w:val="both"/>
        <w:rPr>
          <w:rFonts w:ascii="Verdana" w:hAnsi="Verdana"/>
          <w:sz w:val="20"/>
          <w:szCs w:val="20"/>
          <w:lang w:val="en-GB"/>
        </w:rPr>
      </w:pPr>
      <w:r w:rsidRPr="00DA78C7">
        <w:rPr>
          <w:rFonts w:ascii="Verdana" w:hAnsi="Verdana"/>
          <w:bCs/>
          <w:sz w:val="20"/>
          <w:szCs w:val="20"/>
          <w:lang w:val="en-GB"/>
        </w:rPr>
        <w:t xml:space="preserve">UNDP will continue to provide advice to </w:t>
      </w:r>
      <w:r w:rsidR="005426FB" w:rsidRPr="00DA78C7">
        <w:rPr>
          <w:rFonts w:ascii="Verdana" w:hAnsi="Verdana"/>
          <w:sz w:val="20"/>
          <w:szCs w:val="20"/>
          <w:lang w:val="en-GB"/>
        </w:rPr>
        <w:t xml:space="preserve">Victim Assistance counterparts for providing future support to DMA in conducting field survey for registration of Persons with Disabilities (PwD) and provision of victim assistance services. </w:t>
      </w:r>
    </w:p>
    <w:p w:rsidR="00451158" w:rsidRPr="00DA78C7" w:rsidRDefault="00C514D5" w:rsidP="00C514D5">
      <w:pPr>
        <w:rPr>
          <w:rFonts w:ascii="Verdana" w:hAnsi="Verdana"/>
          <w:b/>
          <w:bCs/>
          <w:lang w:val="en-GB"/>
        </w:rPr>
      </w:pPr>
      <w:r w:rsidRPr="00DA78C7">
        <w:rPr>
          <w:rFonts w:ascii="Verdana" w:hAnsi="Verdana"/>
          <w:b/>
          <w:bCs/>
          <w:lang w:val="en-GB"/>
        </w:rPr>
        <w:t>8</w:t>
      </w:r>
      <w:r w:rsidR="00451158" w:rsidRPr="00DA78C7">
        <w:rPr>
          <w:rFonts w:ascii="Verdana" w:hAnsi="Verdana"/>
          <w:b/>
          <w:bCs/>
          <w:lang w:val="en-GB"/>
        </w:rPr>
        <w:t xml:space="preserve">. </w:t>
      </w:r>
      <w:r w:rsidRPr="00DA78C7">
        <w:rPr>
          <w:rFonts w:ascii="Verdana" w:hAnsi="Verdana"/>
          <w:b/>
          <w:bCs/>
          <w:lang w:val="en-GB"/>
        </w:rPr>
        <w:t>Next step</w:t>
      </w:r>
      <w:r w:rsidR="00451158" w:rsidRPr="00DA78C7">
        <w:rPr>
          <w:rFonts w:ascii="Verdana" w:hAnsi="Verdana"/>
          <w:b/>
          <w:bCs/>
          <w:lang w:val="en-GB"/>
        </w:rPr>
        <w:t xml:space="preserve">  </w:t>
      </w:r>
    </w:p>
    <w:p w:rsidR="00F84CDC" w:rsidRPr="00DA78C7" w:rsidRDefault="00E80AE4" w:rsidP="00172F79">
      <w:pPr>
        <w:jc w:val="both"/>
        <w:rPr>
          <w:rFonts w:ascii="Verdana" w:hAnsi="Verdana"/>
          <w:bCs/>
          <w:sz w:val="20"/>
          <w:szCs w:val="20"/>
          <w:lang w:val="en-GB"/>
        </w:rPr>
      </w:pPr>
      <w:r w:rsidRPr="00DA78C7">
        <w:rPr>
          <w:rFonts w:ascii="Verdana" w:hAnsi="Verdana"/>
          <w:bCs/>
          <w:sz w:val="20"/>
          <w:szCs w:val="20"/>
          <w:lang w:val="en-GB"/>
        </w:rPr>
        <w:t>The</w:t>
      </w:r>
      <w:r w:rsidR="00C514D5" w:rsidRPr="00DA78C7">
        <w:rPr>
          <w:rFonts w:ascii="Verdana" w:hAnsi="Verdana"/>
          <w:bCs/>
          <w:sz w:val="20"/>
          <w:szCs w:val="20"/>
          <w:lang w:val="en-GB"/>
        </w:rPr>
        <w:t xml:space="preserve"> </w:t>
      </w:r>
      <w:r w:rsidR="00524BFF" w:rsidRPr="00DA78C7">
        <w:rPr>
          <w:rFonts w:ascii="Verdana" w:hAnsi="Verdana"/>
          <w:bCs/>
          <w:sz w:val="20"/>
          <w:szCs w:val="20"/>
          <w:lang w:val="en-GB"/>
        </w:rPr>
        <w:t xml:space="preserve">first trench of the </w:t>
      </w:r>
      <w:r w:rsidR="00C514D5" w:rsidRPr="00DA78C7">
        <w:rPr>
          <w:rFonts w:ascii="Verdana" w:hAnsi="Verdana"/>
          <w:bCs/>
          <w:sz w:val="20"/>
          <w:szCs w:val="20"/>
          <w:lang w:val="en-GB"/>
        </w:rPr>
        <w:t>grant</w:t>
      </w:r>
      <w:r w:rsidR="005D5630" w:rsidRPr="00DA78C7">
        <w:rPr>
          <w:rFonts w:ascii="Verdana" w:hAnsi="Verdana"/>
          <w:bCs/>
          <w:sz w:val="20"/>
          <w:szCs w:val="20"/>
          <w:lang w:val="en-GB"/>
        </w:rPr>
        <w:t xml:space="preserve"> and the first part of the second trench </w:t>
      </w:r>
      <w:r w:rsidR="00C514D5" w:rsidRPr="00DA78C7">
        <w:rPr>
          <w:rFonts w:ascii="Verdana" w:hAnsi="Verdana"/>
          <w:bCs/>
          <w:sz w:val="20"/>
          <w:szCs w:val="20"/>
          <w:lang w:val="en-GB"/>
        </w:rPr>
        <w:t xml:space="preserve">allocated for clearance </w:t>
      </w:r>
      <w:r w:rsidR="000F530C" w:rsidRPr="00DA78C7">
        <w:rPr>
          <w:rFonts w:ascii="Verdana" w:hAnsi="Verdana"/>
          <w:bCs/>
          <w:sz w:val="20"/>
          <w:szCs w:val="20"/>
          <w:lang w:val="en-GB"/>
        </w:rPr>
        <w:t xml:space="preserve">operations </w:t>
      </w:r>
      <w:r w:rsidR="00745CC8" w:rsidRPr="00DA78C7">
        <w:rPr>
          <w:rFonts w:ascii="Verdana" w:hAnsi="Verdana"/>
          <w:bCs/>
          <w:sz w:val="20"/>
          <w:szCs w:val="20"/>
          <w:lang w:val="en-GB"/>
        </w:rPr>
        <w:t xml:space="preserve">are </w:t>
      </w:r>
      <w:r w:rsidR="00A25216" w:rsidRPr="00DA78C7">
        <w:rPr>
          <w:rFonts w:ascii="Verdana" w:hAnsi="Verdana"/>
          <w:bCs/>
          <w:sz w:val="20"/>
          <w:szCs w:val="20"/>
          <w:lang w:val="en-GB"/>
        </w:rPr>
        <w:t>ne</w:t>
      </w:r>
      <w:r w:rsidR="00745CC8" w:rsidRPr="00DA78C7">
        <w:rPr>
          <w:rFonts w:ascii="Verdana" w:hAnsi="Verdana"/>
          <w:bCs/>
          <w:sz w:val="20"/>
          <w:szCs w:val="20"/>
          <w:lang w:val="en-GB"/>
        </w:rPr>
        <w:t>arly</w:t>
      </w:r>
      <w:r w:rsidR="000F530C" w:rsidRPr="00DA78C7">
        <w:rPr>
          <w:rFonts w:ascii="Verdana" w:hAnsi="Verdana"/>
          <w:bCs/>
          <w:sz w:val="20"/>
          <w:szCs w:val="20"/>
          <w:lang w:val="en-GB"/>
        </w:rPr>
        <w:t xml:space="preserve"> fully </w:t>
      </w:r>
      <w:r w:rsidR="00E53E50" w:rsidRPr="00DA78C7">
        <w:rPr>
          <w:rFonts w:ascii="Verdana" w:hAnsi="Verdana"/>
          <w:bCs/>
          <w:sz w:val="20"/>
          <w:szCs w:val="20"/>
          <w:lang w:val="en-GB"/>
        </w:rPr>
        <w:t>spent</w:t>
      </w:r>
      <w:r w:rsidR="000F530C" w:rsidRPr="00DA78C7">
        <w:rPr>
          <w:rFonts w:ascii="Verdana" w:hAnsi="Verdana"/>
          <w:bCs/>
          <w:sz w:val="20"/>
          <w:szCs w:val="20"/>
          <w:lang w:val="en-GB"/>
        </w:rPr>
        <w:t xml:space="preserve"> by the end of </w:t>
      </w:r>
      <w:r w:rsidR="00A25216" w:rsidRPr="00DA78C7">
        <w:rPr>
          <w:rFonts w:ascii="Verdana" w:hAnsi="Verdana"/>
          <w:bCs/>
          <w:sz w:val="20"/>
          <w:szCs w:val="20"/>
          <w:lang w:val="en-GB"/>
        </w:rPr>
        <w:t>2011</w:t>
      </w:r>
      <w:r w:rsidR="000F530C" w:rsidRPr="00DA78C7">
        <w:rPr>
          <w:rFonts w:ascii="Verdana" w:hAnsi="Verdana"/>
          <w:bCs/>
          <w:sz w:val="20"/>
          <w:szCs w:val="20"/>
          <w:lang w:val="en-GB"/>
        </w:rPr>
        <w:t xml:space="preserve">, therefore </w:t>
      </w:r>
      <w:r w:rsidR="00524BFF" w:rsidRPr="00DA78C7">
        <w:rPr>
          <w:rFonts w:ascii="Verdana" w:hAnsi="Verdana"/>
          <w:bCs/>
          <w:sz w:val="20"/>
          <w:szCs w:val="20"/>
          <w:lang w:val="en-GB"/>
        </w:rPr>
        <w:t xml:space="preserve">UNDP would like to request the transfer of the second trench </w:t>
      </w:r>
      <w:r w:rsidR="008A14C1" w:rsidRPr="00DA78C7">
        <w:rPr>
          <w:rFonts w:ascii="Verdana" w:hAnsi="Verdana"/>
          <w:bCs/>
          <w:sz w:val="20"/>
          <w:szCs w:val="20"/>
          <w:lang w:val="en-GB"/>
        </w:rPr>
        <w:t xml:space="preserve">of </w:t>
      </w:r>
      <w:r w:rsidR="00745CC8" w:rsidRPr="00DA78C7">
        <w:rPr>
          <w:rFonts w:ascii="Verdana" w:hAnsi="Verdana"/>
          <w:bCs/>
          <w:sz w:val="20"/>
          <w:szCs w:val="20"/>
          <w:lang w:val="en-GB"/>
        </w:rPr>
        <w:t>800,000</w:t>
      </w:r>
      <w:r w:rsidR="000F530C" w:rsidRPr="00DA78C7">
        <w:rPr>
          <w:rFonts w:ascii="Verdana" w:hAnsi="Verdana"/>
          <w:bCs/>
          <w:sz w:val="20"/>
          <w:szCs w:val="20"/>
          <w:lang w:val="en-GB"/>
        </w:rPr>
        <w:t xml:space="preserve"> million Australian dollars </w:t>
      </w:r>
      <w:r w:rsidR="00172F79" w:rsidRPr="00DA78C7">
        <w:rPr>
          <w:rFonts w:ascii="Verdana" w:hAnsi="Verdana"/>
          <w:bCs/>
          <w:sz w:val="20"/>
          <w:szCs w:val="20"/>
          <w:lang w:val="en-GB"/>
        </w:rPr>
        <w:t xml:space="preserve">and, if possible, the remaining third tranche of AUD 200,000 </w:t>
      </w:r>
      <w:r w:rsidR="00524BFF" w:rsidRPr="00DA78C7">
        <w:rPr>
          <w:rFonts w:ascii="Verdana" w:hAnsi="Verdana"/>
          <w:bCs/>
          <w:sz w:val="20"/>
          <w:szCs w:val="20"/>
          <w:lang w:val="en-GB"/>
        </w:rPr>
        <w:t xml:space="preserve">to be provided to </w:t>
      </w:r>
      <w:r w:rsidR="008A14C1" w:rsidRPr="00DA78C7">
        <w:rPr>
          <w:rFonts w:ascii="Verdana" w:hAnsi="Verdana"/>
          <w:bCs/>
          <w:sz w:val="20"/>
          <w:szCs w:val="20"/>
          <w:lang w:val="en-GB"/>
        </w:rPr>
        <w:t>c</w:t>
      </w:r>
      <w:r w:rsidR="000F530C" w:rsidRPr="00DA78C7">
        <w:rPr>
          <w:rFonts w:ascii="Verdana" w:hAnsi="Verdana"/>
          <w:bCs/>
          <w:sz w:val="20"/>
          <w:szCs w:val="20"/>
          <w:lang w:val="en-GB"/>
        </w:rPr>
        <w:t>learance capacity development till December 201</w:t>
      </w:r>
      <w:r w:rsidR="00745CC8" w:rsidRPr="00DA78C7">
        <w:rPr>
          <w:rFonts w:ascii="Verdana" w:hAnsi="Verdana"/>
          <w:bCs/>
          <w:sz w:val="20"/>
          <w:szCs w:val="20"/>
          <w:lang w:val="en-GB"/>
        </w:rPr>
        <w:t>2</w:t>
      </w:r>
      <w:r w:rsidR="000F530C" w:rsidRPr="00DA78C7">
        <w:rPr>
          <w:rFonts w:ascii="Verdana" w:hAnsi="Verdana"/>
          <w:bCs/>
          <w:sz w:val="20"/>
          <w:szCs w:val="20"/>
          <w:lang w:val="en-GB"/>
        </w:rPr>
        <w:t xml:space="preserve">. </w:t>
      </w:r>
    </w:p>
    <w:p w:rsidR="00C1698E" w:rsidRPr="00DA78C7" w:rsidRDefault="00C1698E" w:rsidP="00DA78C7">
      <w:pPr>
        <w:jc w:val="both"/>
        <w:rPr>
          <w:rFonts w:ascii="Verdana" w:hAnsi="Verdana"/>
          <w:sz w:val="20"/>
          <w:szCs w:val="20"/>
          <w:lang w:val="en-GB"/>
        </w:rPr>
      </w:pPr>
      <w:r w:rsidRPr="00DA78C7">
        <w:rPr>
          <w:rFonts w:ascii="Verdana" w:hAnsi="Verdana"/>
          <w:bCs/>
          <w:sz w:val="20"/>
          <w:szCs w:val="20"/>
          <w:lang w:val="en-GB"/>
        </w:rPr>
        <w:t>Consequently</w:t>
      </w:r>
      <w:r w:rsidR="00DA78C7" w:rsidRPr="00DA78C7">
        <w:rPr>
          <w:rFonts w:ascii="Verdana" w:hAnsi="Verdana"/>
          <w:bCs/>
          <w:sz w:val="20"/>
          <w:szCs w:val="20"/>
          <w:lang w:val="en-GB"/>
        </w:rPr>
        <w:t>,</w:t>
      </w:r>
      <w:r w:rsidRPr="00DA78C7">
        <w:rPr>
          <w:rFonts w:ascii="Verdana" w:hAnsi="Verdana"/>
          <w:bCs/>
          <w:sz w:val="20"/>
          <w:szCs w:val="20"/>
          <w:lang w:val="en-GB"/>
        </w:rPr>
        <w:t xml:space="preserve"> </w:t>
      </w:r>
      <w:r w:rsidR="00DA78C7" w:rsidRPr="00DA78C7">
        <w:rPr>
          <w:rFonts w:ascii="Verdana" w:hAnsi="Verdana"/>
          <w:bCs/>
          <w:sz w:val="20"/>
          <w:szCs w:val="20"/>
          <w:lang w:val="en-GB"/>
        </w:rPr>
        <w:t xml:space="preserve">since </w:t>
      </w:r>
      <w:r w:rsidRPr="00DA78C7">
        <w:rPr>
          <w:rFonts w:ascii="Verdana" w:hAnsi="Verdana"/>
          <w:bCs/>
          <w:sz w:val="20"/>
          <w:szCs w:val="20"/>
          <w:lang w:val="en-GB"/>
        </w:rPr>
        <w:t xml:space="preserve">the end date of the </w:t>
      </w:r>
      <w:r w:rsidR="00F45F41" w:rsidRPr="00DA78C7">
        <w:rPr>
          <w:rFonts w:ascii="Verdana" w:hAnsi="Verdana"/>
          <w:bCs/>
          <w:sz w:val="20"/>
          <w:szCs w:val="20"/>
          <w:lang w:val="en-GB"/>
        </w:rPr>
        <w:t xml:space="preserve">current </w:t>
      </w:r>
      <w:r w:rsidRPr="00DA78C7">
        <w:rPr>
          <w:rFonts w:ascii="Verdana" w:hAnsi="Verdana"/>
          <w:bCs/>
          <w:sz w:val="20"/>
          <w:szCs w:val="20"/>
          <w:lang w:val="en-GB"/>
        </w:rPr>
        <w:t xml:space="preserve">grant is 31 March 2012, </w:t>
      </w:r>
      <w:r w:rsidR="00F45F41" w:rsidRPr="00DA78C7">
        <w:rPr>
          <w:rFonts w:ascii="Verdana" w:hAnsi="Verdana"/>
          <w:bCs/>
          <w:sz w:val="20"/>
          <w:szCs w:val="20"/>
          <w:lang w:val="en-GB"/>
        </w:rPr>
        <w:t xml:space="preserve">and in order to fully utilise the coming tranches of the grant and to align the duration of the grant and the project with some project management commitments for 2012, </w:t>
      </w:r>
      <w:r w:rsidR="00A4570F" w:rsidRPr="00DA78C7">
        <w:rPr>
          <w:rFonts w:ascii="Verdana" w:hAnsi="Verdana"/>
          <w:bCs/>
          <w:sz w:val="20"/>
          <w:szCs w:val="20"/>
          <w:lang w:val="en-GB"/>
        </w:rPr>
        <w:t xml:space="preserve">UNDP would like to ask for a </w:t>
      </w:r>
      <w:r w:rsidR="00F45F41" w:rsidRPr="00DA78C7">
        <w:rPr>
          <w:rFonts w:ascii="Verdana" w:hAnsi="Verdana"/>
          <w:bCs/>
          <w:sz w:val="20"/>
          <w:szCs w:val="20"/>
          <w:lang w:val="en-GB"/>
        </w:rPr>
        <w:t>no-</w:t>
      </w:r>
      <w:r w:rsidR="00A4570F" w:rsidRPr="00DA78C7">
        <w:rPr>
          <w:rFonts w:ascii="Verdana" w:hAnsi="Verdana"/>
          <w:bCs/>
          <w:sz w:val="20"/>
          <w:szCs w:val="20"/>
          <w:lang w:val="en-GB"/>
        </w:rPr>
        <w:t xml:space="preserve">cost extension to the duration of the </w:t>
      </w:r>
      <w:r w:rsidR="00F45F41" w:rsidRPr="00DA78C7">
        <w:rPr>
          <w:rFonts w:ascii="Verdana" w:hAnsi="Verdana"/>
          <w:bCs/>
          <w:sz w:val="20"/>
          <w:szCs w:val="20"/>
          <w:lang w:val="en-GB"/>
        </w:rPr>
        <w:t xml:space="preserve">grant until </w:t>
      </w:r>
      <w:r w:rsidR="00A4570F" w:rsidRPr="00DA78C7">
        <w:rPr>
          <w:rFonts w:ascii="Verdana" w:hAnsi="Verdana"/>
          <w:bCs/>
          <w:sz w:val="20"/>
          <w:szCs w:val="20"/>
          <w:lang w:val="en-GB"/>
        </w:rPr>
        <w:t>3</w:t>
      </w:r>
      <w:r w:rsidR="00912483" w:rsidRPr="00DA78C7">
        <w:rPr>
          <w:rFonts w:ascii="Verdana" w:hAnsi="Verdana"/>
          <w:bCs/>
          <w:sz w:val="20"/>
          <w:szCs w:val="20"/>
          <w:lang w:val="en-GB"/>
        </w:rPr>
        <w:t>1</w:t>
      </w:r>
      <w:r w:rsidR="00A4570F" w:rsidRPr="00DA78C7">
        <w:rPr>
          <w:rFonts w:ascii="Verdana" w:hAnsi="Verdana"/>
          <w:bCs/>
          <w:sz w:val="20"/>
          <w:szCs w:val="20"/>
          <w:lang w:val="en-GB"/>
        </w:rPr>
        <w:t xml:space="preserve"> </w:t>
      </w:r>
      <w:r w:rsidR="00912483" w:rsidRPr="00DA78C7">
        <w:rPr>
          <w:rFonts w:ascii="Verdana" w:hAnsi="Verdana"/>
          <w:bCs/>
          <w:sz w:val="20"/>
          <w:szCs w:val="20"/>
          <w:lang w:val="en-GB"/>
        </w:rPr>
        <w:t xml:space="preserve">December </w:t>
      </w:r>
      <w:r w:rsidR="00A4570F" w:rsidRPr="00DA78C7">
        <w:rPr>
          <w:rFonts w:ascii="Verdana" w:hAnsi="Verdana"/>
          <w:bCs/>
          <w:sz w:val="20"/>
          <w:szCs w:val="20"/>
          <w:lang w:val="en-GB"/>
        </w:rPr>
        <w:t>2012</w:t>
      </w:r>
      <w:r w:rsidR="00DA78C7" w:rsidRPr="00DA78C7">
        <w:rPr>
          <w:rFonts w:ascii="Verdana" w:hAnsi="Verdana"/>
          <w:bCs/>
          <w:sz w:val="20"/>
          <w:szCs w:val="20"/>
          <w:lang w:val="en-GB"/>
        </w:rPr>
        <w:t>.</w:t>
      </w:r>
      <w:r w:rsidR="00F45F41" w:rsidRPr="00DA78C7">
        <w:rPr>
          <w:rFonts w:ascii="Verdana" w:hAnsi="Verdana"/>
          <w:bCs/>
          <w:sz w:val="20"/>
          <w:szCs w:val="20"/>
          <w:lang w:val="en-GB"/>
        </w:rPr>
        <w:t xml:space="preserve">  </w:t>
      </w:r>
    </w:p>
    <w:p w:rsidR="00424594" w:rsidRPr="00DA78C7" w:rsidRDefault="00424594">
      <w:pPr>
        <w:rPr>
          <w:rFonts w:ascii="Verdana" w:hAnsi="Verdana"/>
          <w:sz w:val="20"/>
          <w:szCs w:val="20"/>
          <w:lang w:val="en-GB"/>
        </w:rPr>
      </w:pPr>
    </w:p>
    <w:sectPr w:rsidR="00424594" w:rsidRPr="00DA78C7" w:rsidSect="00925B32">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63" w:rsidRDefault="00916F63" w:rsidP="00371EE8">
      <w:pPr>
        <w:spacing w:after="0" w:line="240" w:lineRule="auto"/>
      </w:pPr>
      <w:r>
        <w:separator/>
      </w:r>
    </w:p>
  </w:endnote>
  <w:endnote w:type="continuationSeparator" w:id="0">
    <w:p w:rsidR="00916F63" w:rsidRDefault="00916F63" w:rsidP="0037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32" w:rsidRDefault="00E430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32" w:rsidRDefault="00E430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32" w:rsidRDefault="00E43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63" w:rsidRDefault="00916F63" w:rsidP="00371EE8">
      <w:pPr>
        <w:spacing w:after="0" w:line="240" w:lineRule="auto"/>
      </w:pPr>
      <w:r>
        <w:separator/>
      </w:r>
    </w:p>
  </w:footnote>
  <w:footnote w:type="continuationSeparator" w:id="0">
    <w:p w:rsidR="00916F63" w:rsidRDefault="00916F63" w:rsidP="00371EE8">
      <w:pPr>
        <w:spacing w:after="0" w:line="240" w:lineRule="auto"/>
      </w:pPr>
      <w:r>
        <w:continuationSeparator/>
      </w:r>
    </w:p>
  </w:footnote>
  <w:footnote w:id="1">
    <w:p w:rsidR="00E43032" w:rsidRPr="009B06A8" w:rsidRDefault="00E43032" w:rsidP="00580C0B">
      <w:pPr>
        <w:pStyle w:val="FootnoteText"/>
        <w:rPr>
          <w:rFonts w:ascii="Arial" w:hAnsi="Arial" w:cs="Arial"/>
          <w:sz w:val="16"/>
          <w:szCs w:val="16"/>
        </w:rPr>
      </w:pPr>
      <w:r w:rsidRPr="009B06A8">
        <w:rPr>
          <w:rStyle w:val="FootnoteReference"/>
          <w:rFonts w:eastAsiaTheme="minorEastAsia" w:cs="Arial"/>
        </w:rPr>
        <w:footnoteRef/>
      </w:r>
      <w:r w:rsidRPr="009B06A8">
        <w:rPr>
          <w:rFonts w:ascii="Arial" w:hAnsi="Arial" w:cs="Arial"/>
          <w:sz w:val="16"/>
          <w:szCs w:val="16"/>
        </w:rPr>
        <w:t xml:space="preserve"> http://www.uniraq.org/documents/Iraq_Landmine_Impact_Survey_Final_Report,_iMMAP,_09_07.pdf</w:t>
      </w:r>
    </w:p>
  </w:footnote>
  <w:footnote w:id="2">
    <w:p w:rsidR="00E43032" w:rsidRPr="009B06A8" w:rsidRDefault="00E43032" w:rsidP="00580C0B">
      <w:pPr>
        <w:pStyle w:val="FootnoteText"/>
        <w:rPr>
          <w:rFonts w:ascii="Arial" w:hAnsi="Arial" w:cs="Arial"/>
          <w:sz w:val="16"/>
          <w:szCs w:val="16"/>
        </w:rPr>
      </w:pPr>
      <w:r w:rsidRPr="009B06A8">
        <w:rPr>
          <w:rStyle w:val="FootnoteReference"/>
          <w:rFonts w:eastAsiaTheme="minorEastAsia" w:cs="Arial"/>
        </w:rPr>
        <w:footnoteRef/>
      </w:r>
      <w:r w:rsidRPr="009B06A8">
        <w:rPr>
          <w:rFonts w:ascii="Arial" w:hAnsi="Arial" w:cs="Arial"/>
          <w:sz w:val="16"/>
          <w:szCs w:val="16"/>
        </w:rPr>
        <w:t xml:space="preserve"> </w:t>
      </w:r>
      <w:hyperlink r:id="rId1" w:history="1">
        <w:r w:rsidRPr="009B06A8">
          <w:rPr>
            <w:rStyle w:val="Hyperlink"/>
            <w:rFonts w:ascii="Arial" w:hAnsi="Arial" w:cs="Arial"/>
            <w:sz w:val="16"/>
            <w:szCs w:val="16"/>
          </w:rPr>
          <w:t>http://en.handicapinternational.be/downloads/files/25843/</w:t>
        </w:r>
      </w:hyperlink>
    </w:p>
    <w:p w:rsidR="00E43032" w:rsidRPr="009B06A8" w:rsidRDefault="00E43032" w:rsidP="00580C0B">
      <w:pPr>
        <w:pStyle w:val="FootnoteText"/>
        <w:rPr>
          <w:rFonts w:ascii="Arial" w:hAnsi="Arial" w:cs="Arial"/>
          <w:sz w:val="16"/>
          <w:szCs w:val="16"/>
        </w:rPr>
      </w:pPr>
    </w:p>
  </w:footnote>
  <w:footnote w:id="3">
    <w:p w:rsidR="00E43032" w:rsidRDefault="00E43032" w:rsidP="00580C0B">
      <w:pPr>
        <w:pStyle w:val="FootnoteText"/>
      </w:pPr>
      <w:r w:rsidRPr="00350608">
        <w:rPr>
          <w:rFonts w:cs="Arial"/>
          <w:sz w:val="16"/>
          <w:szCs w:val="16"/>
        </w:rPr>
        <w:footnoteRef/>
      </w:r>
      <w:r w:rsidRPr="00350608">
        <w:rPr>
          <w:rFonts w:ascii="Arial" w:hAnsi="Arial" w:cs="Arial"/>
          <w:sz w:val="16"/>
          <w:szCs w:val="16"/>
        </w:rPr>
        <w:t xml:space="preserve"> According to the ILIS</w:t>
      </w:r>
    </w:p>
  </w:footnote>
  <w:footnote w:id="4">
    <w:p w:rsidR="00E43032" w:rsidRPr="009B06A8" w:rsidRDefault="00E43032" w:rsidP="00326701">
      <w:pPr>
        <w:pStyle w:val="FootnoteText"/>
        <w:rPr>
          <w:rFonts w:ascii="Arial" w:hAnsi="Arial" w:cs="Arial"/>
          <w:sz w:val="16"/>
          <w:szCs w:val="16"/>
        </w:rPr>
      </w:pPr>
      <w:r>
        <w:rPr>
          <w:rStyle w:val="FootnoteReference"/>
        </w:rPr>
        <w:footnoteRef/>
      </w:r>
      <w:r>
        <w:t xml:space="preserve"> </w:t>
      </w:r>
      <w:r w:rsidRPr="009B06A8">
        <w:rPr>
          <w:rFonts w:ascii="Arial" w:hAnsi="Arial" w:cs="Arial"/>
          <w:sz w:val="16"/>
          <w:szCs w:val="16"/>
        </w:rPr>
        <w:t xml:space="preserve"> http://www.uniraq.org/documents/Iraq_Landmine_Impact_Survey_Final_Report,_iMMAP,_09_07.pdf</w:t>
      </w:r>
    </w:p>
    <w:p w:rsidR="00E43032" w:rsidRPr="00326701" w:rsidRDefault="00E43032">
      <w:pPr>
        <w:pStyle w:val="FootnoteText"/>
        <w:rPr>
          <w:lang w:val="en-US"/>
        </w:rPr>
      </w:pPr>
    </w:p>
  </w:footnote>
  <w:footnote w:id="5">
    <w:p w:rsidR="00E43032" w:rsidRPr="00DA78C7" w:rsidRDefault="00E43032" w:rsidP="009E6871">
      <w:pPr>
        <w:pStyle w:val="FootnoteText"/>
        <w:rPr>
          <w:rFonts w:ascii="Verdana" w:hAnsi="Verdana"/>
          <w:color w:val="008000"/>
          <w:sz w:val="16"/>
          <w:szCs w:val="16"/>
        </w:rPr>
      </w:pPr>
      <w:r w:rsidRPr="00DA78C7">
        <w:rPr>
          <w:rStyle w:val="FootnoteReference"/>
          <w:rFonts w:ascii="Verdana" w:hAnsi="Verdana"/>
          <w:sz w:val="16"/>
          <w:szCs w:val="16"/>
        </w:rPr>
        <w:footnoteRef/>
      </w:r>
      <w:r w:rsidRPr="00DA78C7">
        <w:rPr>
          <w:rFonts w:ascii="Verdana" w:hAnsi="Verdana"/>
          <w:sz w:val="16"/>
          <w:szCs w:val="16"/>
        </w:rPr>
        <w:t xml:space="preserve"> A grant of US$1.7 million from </w:t>
      </w:r>
      <w:proofErr w:type="spellStart"/>
      <w:r w:rsidRPr="00DA78C7">
        <w:rPr>
          <w:rFonts w:ascii="Verdana" w:hAnsi="Verdana"/>
          <w:sz w:val="16"/>
          <w:szCs w:val="16"/>
        </w:rPr>
        <w:t>AusAID</w:t>
      </w:r>
      <w:proofErr w:type="spellEnd"/>
      <w:r w:rsidRPr="00DA78C7">
        <w:rPr>
          <w:rFonts w:ascii="Verdana" w:hAnsi="Verdana"/>
          <w:sz w:val="16"/>
          <w:szCs w:val="16"/>
        </w:rPr>
        <w:t xml:space="preserve"> for on-going Victim Assistance project is available up to June 2011.  Thus, the proposed project for Victim Assistance activities will be funded from this grant starting from July 2011.  </w:t>
      </w:r>
    </w:p>
  </w:footnote>
  <w:footnote w:id="6">
    <w:p w:rsidR="00E43032" w:rsidRPr="005570ED" w:rsidRDefault="00E43032" w:rsidP="00E21523">
      <w:pPr>
        <w:pStyle w:val="FootnoteText"/>
        <w:rPr>
          <w:sz w:val="16"/>
          <w:szCs w:val="16"/>
        </w:rPr>
      </w:pPr>
      <w:r>
        <w:rPr>
          <w:rStyle w:val="FootnoteReference"/>
        </w:rPr>
        <w:footnoteRef/>
      </w:r>
      <w:r>
        <w:t xml:space="preserve"> </w:t>
      </w:r>
      <w:r w:rsidRPr="005570ED">
        <w:rPr>
          <w:sz w:val="16"/>
          <w:szCs w:val="16"/>
        </w:rPr>
        <w:t>Outcome 1: Improved quality of life for victims of landmines, cluster munitions and other explosive remnants of war; Outcome 2: Reduced number of deaths and injuries from landmines, cluster munitions and other explosive remnants of war.</w:t>
      </w:r>
    </w:p>
  </w:footnote>
  <w:footnote w:id="7">
    <w:p w:rsidR="00E43032" w:rsidRPr="005570ED" w:rsidRDefault="00E43032" w:rsidP="00E21523">
      <w:pPr>
        <w:pStyle w:val="FootnoteText"/>
        <w:rPr>
          <w:sz w:val="16"/>
          <w:szCs w:val="16"/>
        </w:rPr>
      </w:pPr>
      <w:r w:rsidRPr="005570ED">
        <w:rPr>
          <w:rStyle w:val="FootnoteReference"/>
          <w:sz w:val="16"/>
          <w:szCs w:val="16"/>
        </w:rPr>
        <w:footnoteRef/>
      </w:r>
      <w:r w:rsidRPr="005570ED">
        <w:rPr>
          <w:sz w:val="16"/>
          <w:szCs w:val="16"/>
        </w:rPr>
        <w:t xml:space="preserve"> MDG 1: Eradicate extreme poverty and hunger; MDG 2: Achieve universal primary education; MDG 3: Promote gender equality and empower women </w:t>
      </w:r>
    </w:p>
  </w:footnote>
  <w:footnote w:id="8">
    <w:p w:rsidR="00E43032" w:rsidRPr="005570ED" w:rsidRDefault="00E43032" w:rsidP="009E6871">
      <w:pPr>
        <w:pStyle w:val="FootnoteText"/>
        <w:rPr>
          <w:sz w:val="16"/>
          <w:szCs w:val="16"/>
        </w:rPr>
      </w:pPr>
      <w:r w:rsidRPr="005570ED">
        <w:rPr>
          <w:rStyle w:val="FootnoteReference"/>
          <w:sz w:val="16"/>
          <w:szCs w:val="16"/>
        </w:rPr>
        <w:footnoteRef/>
      </w:r>
      <w:r w:rsidRPr="005570ED">
        <w:rPr>
          <w:sz w:val="16"/>
          <w:szCs w:val="16"/>
        </w:rPr>
        <w:t xml:space="preserve"> To be verified by April 2010 based on the Annual Article 7 Report, and based on the baseline, target will be determined.</w:t>
      </w:r>
    </w:p>
  </w:footnote>
  <w:footnote w:id="9">
    <w:p w:rsidR="00E43032" w:rsidRPr="005570ED" w:rsidRDefault="00E43032" w:rsidP="009E6871">
      <w:pPr>
        <w:pStyle w:val="FootnoteText"/>
        <w:rPr>
          <w:sz w:val="16"/>
          <w:szCs w:val="16"/>
        </w:rPr>
      </w:pPr>
      <w:r w:rsidRPr="005570ED">
        <w:rPr>
          <w:rStyle w:val="FootnoteReference"/>
          <w:sz w:val="16"/>
          <w:szCs w:val="16"/>
        </w:rPr>
        <w:footnoteRef/>
      </w:r>
      <w:r w:rsidRPr="005570ED">
        <w:rPr>
          <w:sz w:val="16"/>
          <w:szCs w:val="16"/>
        </w:rPr>
        <w:t xml:space="preserve"> Three years before the deadline of Feb 2018 to complete the obligation under the Article 5 of the Anti-Personnel Mine Ban Convention (APMBC)</w:t>
      </w:r>
    </w:p>
  </w:footnote>
  <w:footnote w:id="10">
    <w:p w:rsidR="00C31DD5" w:rsidRPr="003118E8" w:rsidRDefault="00C31DD5" w:rsidP="00C31DD5">
      <w:pPr>
        <w:pStyle w:val="FootnoteText"/>
        <w:rPr>
          <w:lang w:val="en-US"/>
        </w:rPr>
      </w:pPr>
      <w:r>
        <w:rPr>
          <w:rStyle w:val="FootnoteReference"/>
        </w:rPr>
        <w:footnoteRef/>
      </w:r>
      <w:r>
        <w:t xml:space="preserve"> </w:t>
      </w:r>
      <w:r w:rsidRPr="003118E8">
        <w:rPr>
          <w:sz w:val="16"/>
          <w:szCs w:val="16"/>
        </w:rPr>
        <w:t>Ministry Health, Ministry of Labour and Social Affairs, Ministry of Planning, Ministry of Education, Ministry of Defence, Iraqi Kurdistan Mine Action Agency, UNDP, UNICEF, WHO and several national and international NGOs and agencies.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32" w:rsidRDefault="00E43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32" w:rsidRDefault="00E430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32" w:rsidRDefault="00E43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2E1"/>
    <w:multiLevelType w:val="hybridMultilevel"/>
    <w:tmpl w:val="D17AE854"/>
    <w:lvl w:ilvl="0" w:tplc="04090001">
      <w:start w:val="1"/>
      <w:numFmt w:val="bullet"/>
      <w:lvlText w:val=""/>
      <w:lvlJc w:val="left"/>
      <w:pPr>
        <w:ind w:left="720" w:hanging="360"/>
      </w:pPr>
      <w:rPr>
        <w:rFonts w:ascii="Symbol" w:hAnsi="Symbol" w:hint="default"/>
      </w:rPr>
    </w:lvl>
    <w:lvl w:ilvl="1" w:tplc="9556ADBA">
      <w:numFmt w:val="bullet"/>
      <w:lvlText w:val="-"/>
      <w:lvlJc w:val="left"/>
      <w:pPr>
        <w:ind w:left="1800" w:hanging="720"/>
      </w:pPr>
      <w:rPr>
        <w:rFonts w:ascii="Verdana" w:eastAsiaTheme="minorEastAsia"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55948"/>
    <w:multiLevelType w:val="hybridMultilevel"/>
    <w:tmpl w:val="B6989A4A"/>
    <w:lvl w:ilvl="0" w:tplc="EB025D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073BB"/>
    <w:multiLevelType w:val="hybridMultilevel"/>
    <w:tmpl w:val="4A50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3215C"/>
    <w:multiLevelType w:val="hybridMultilevel"/>
    <w:tmpl w:val="F57A0094"/>
    <w:lvl w:ilvl="0" w:tplc="C3AA063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27230E3"/>
    <w:multiLevelType w:val="multilevel"/>
    <w:tmpl w:val="71A09A3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nsid w:val="29CD580E"/>
    <w:multiLevelType w:val="hybridMultilevel"/>
    <w:tmpl w:val="B5065396"/>
    <w:lvl w:ilvl="0" w:tplc="512C950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744F3C"/>
    <w:multiLevelType w:val="hybridMultilevel"/>
    <w:tmpl w:val="57086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C447428"/>
    <w:multiLevelType w:val="hybridMultilevel"/>
    <w:tmpl w:val="C4547FFA"/>
    <w:lvl w:ilvl="0" w:tplc="512C950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E24476"/>
    <w:multiLevelType w:val="hybridMultilevel"/>
    <w:tmpl w:val="03FE78C2"/>
    <w:lvl w:ilvl="0" w:tplc="FA2C1432">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D85CE0"/>
    <w:multiLevelType w:val="hybridMultilevel"/>
    <w:tmpl w:val="B16633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D51111"/>
    <w:multiLevelType w:val="hybridMultilevel"/>
    <w:tmpl w:val="DC0A1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73467D"/>
    <w:multiLevelType w:val="hybridMultilevel"/>
    <w:tmpl w:val="B598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446E57"/>
    <w:multiLevelType w:val="hybridMultilevel"/>
    <w:tmpl w:val="978085A8"/>
    <w:lvl w:ilvl="0" w:tplc="C3AA06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EA4110"/>
    <w:multiLevelType w:val="hybridMultilevel"/>
    <w:tmpl w:val="4860F402"/>
    <w:lvl w:ilvl="0" w:tplc="512C950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D935EC"/>
    <w:multiLevelType w:val="multilevel"/>
    <w:tmpl w:val="D82A47F6"/>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36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72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400" w:hanging="1080"/>
      </w:pPr>
      <w:rPr>
        <w:rFonts w:cs="Times New Roman" w:hint="default"/>
      </w:rPr>
    </w:lvl>
    <w:lvl w:ilvl="7">
      <w:start w:val="1"/>
      <w:numFmt w:val="decimal"/>
      <w:isLgl/>
      <w:lvlText w:val="%1.%2.%3.%4.%5.%6.%7.%8"/>
      <w:lvlJc w:val="left"/>
      <w:pPr>
        <w:ind w:left="6120" w:hanging="1080"/>
      </w:pPr>
      <w:rPr>
        <w:rFonts w:cs="Times New Roman" w:hint="default"/>
      </w:rPr>
    </w:lvl>
    <w:lvl w:ilvl="8">
      <w:start w:val="1"/>
      <w:numFmt w:val="decimal"/>
      <w:isLgl/>
      <w:lvlText w:val="%1.%2.%3.%4.%5.%6.%7.%8.%9"/>
      <w:lvlJc w:val="left"/>
      <w:pPr>
        <w:ind w:left="7200" w:hanging="1440"/>
      </w:pPr>
      <w:rPr>
        <w:rFonts w:cs="Times New Roman" w:hint="default"/>
      </w:rPr>
    </w:lvl>
  </w:abstractNum>
  <w:abstractNum w:abstractNumId="15">
    <w:nsid w:val="532745A0"/>
    <w:multiLevelType w:val="hybridMultilevel"/>
    <w:tmpl w:val="D8AE4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39F4FF5"/>
    <w:multiLevelType w:val="hybridMultilevel"/>
    <w:tmpl w:val="D2140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BE11D8"/>
    <w:multiLevelType w:val="multilevel"/>
    <w:tmpl w:val="9D1603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989198D"/>
    <w:multiLevelType w:val="hybridMultilevel"/>
    <w:tmpl w:val="C928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92256B"/>
    <w:multiLevelType w:val="hybridMultilevel"/>
    <w:tmpl w:val="7620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AB51AB"/>
    <w:multiLevelType w:val="hybridMultilevel"/>
    <w:tmpl w:val="DDEC259C"/>
    <w:lvl w:ilvl="0" w:tplc="512C950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3D1D81"/>
    <w:multiLevelType w:val="hybridMultilevel"/>
    <w:tmpl w:val="03BCB654"/>
    <w:lvl w:ilvl="0" w:tplc="EB025D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063BD1"/>
    <w:multiLevelType w:val="hybridMultilevel"/>
    <w:tmpl w:val="0F38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7017F1"/>
    <w:multiLevelType w:val="hybridMultilevel"/>
    <w:tmpl w:val="5F26B8D0"/>
    <w:lvl w:ilvl="0" w:tplc="512C950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84391F"/>
    <w:multiLevelType w:val="hybridMultilevel"/>
    <w:tmpl w:val="0416FB9C"/>
    <w:lvl w:ilvl="0" w:tplc="13B0AF10">
      <w:start w:val="1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18"/>
  </w:num>
  <w:num w:numId="5">
    <w:abstractNumId w:val="7"/>
  </w:num>
  <w:num w:numId="6">
    <w:abstractNumId w:val="20"/>
  </w:num>
  <w:num w:numId="7">
    <w:abstractNumId w:val="16"/>
  </w:num>
  <w:num w:numId="8">
    <w:abstractNumId w:val="13"/>
  </w:num>
  <w:num w:numId="9">
    <w:abstractNumId w:val="5"/>
  </w:num>
  <w:num w:numId="10">
    <w:abstractNumId w:val="23"/>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
  </w:num>
  <w:num w:numId="22">
    <w:abstractNumId w:val="6"/>
  </w:num>
  <w:num w:numId="23">
    <w:abstractNumId w:val="14"/>
  </w:num>
  <w:num w:numId="24">
    <w:abstractNumId w:val="24"/>
  </w:num>
  <w:num w:numId="25">
    <w:abstractNumId w:val="0"/>
  </w:num>
  <w:num w:numId="26">
    <w:abstractNumId w:val="22"/>
  </w:num>
  <w:num w:numId="27">
    <w:abstractNumId w:val="8"/>
  </w:num>
  <w:num w:numId="28">
    <w:abstractNumId w:val="24"/>
  </w:num>
  <w:num w:numId="29">
    <w:abstractNumId w:val="1"/>
  </w:num>
  <w:num w:numId="30">
    <w:abstractNumId w:val="21"/>
  </w:num>
  <w:num w:numId="31">
    <w:abstractNumId w:val="11"/>
  </w:num>
  <w:num w:numId="32">
    <w:abstractNumId w:val="2"/>
  </w:num>
  <w:num w:numId="33">
    <w:abstractNumId w:val="19"/>
  </w:num>
  <w:num w:numId="3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02"/>
    <w:rsid w:val="00011E16"/>
    <w:rsid w:val="000171A2"/>
    <w:rsid w:val="00025AA7"/>
    <w:rsid w:val="00031F81"/>
    <w:rsid w:val="00033FB4"/>
    <w:rsid w:val="00036B3D"/>
    <w:rsid w:val="00065B9C"/>
    <w:rsid w:val="0007091B"/>
    <w:rsid w:val="00072811"/>
    <w:rsid w:val="00074002"/>
    <w:rsid w:val="000830C8"/>
    <w:rsid w:val="000B218F"/>
    <w:rsid w:val="000F2049"/>
    <w:rsid w:val="000F530C"/>
    <w:rsid w:val="001010B7"/>
    <w:rsid w:val="00117042"/>
    <w:rsid w:val="00132C23"/>
    <w:rsid w:val="00135324"/>
    <w:rsid w:val="001434C7"/>
    <w:rsid w:val="00147538"/>
    <w:rsid w:val="00157101"/>
    <w:rsid w:val="00162FC0"/>
    <w:rsid w:val="00172F79"/>
    <w:rsid w:val="00174F02"/>
    <w:rsid w:val="00190DD4"/>
    <w:rsid w:val="00194CC7"/>
    <w:rsid w:val="001A5D14"/>
    <w:rsid w:val="001B16E2"/>
    <w:rsid w:val="001B5EBD"/>
    <w:rsid w:val="001C488F"/>
    <w:rsid w:val="001D5549"/>
    <w:rsid w:val="001E1C9D"/>
    <w:rsid w:val="001E23B4"/>
    <w:rsid w:val="0021482C"/>
    <w:rsid w:val="00214CF6"/>
    <w:rsid w:val="0021745A"/>
    <w:rsid w:val="002243B4"/>
    <w:rsid w:val="00235352"/>
    <w:rsid w:val="00235B70"/>
    <w:rsid w:val="0024766F"/>
    <w:rsid w:val="00262A6E"/>
    <w:rsid w:val="00263E89"/>
    <w:rsid w:val="002675F7"/>
    <w:rsid w:val="00272835"/>
    <w:rsid w:val="00283D1C"/>
    <w:rsid w:val="002842A6"/>
    <w:rsid w:val="002B50FC"/>
    <w:rsid w:val="002B6899"/>
    <w:rsid w:val="002B7021"/>
    <w:rsid w:val="002D368D"/>
    <w:rsid w:val="002F4167"/>
    <w:rsid w:val="002F5B49"/>
    <w:rsid w:val="002F7706"/>
    <w:rsid w:val="003118E8"/>
    <w:rsid w:val="00312625"/>
    <w:rsid w:val="003152E3"/>
    <w:rsid w:val="00326701"/>
    <w:rsid w:val="00330F5F"/>
    <w:rsid w:val="00362049"/>
    <w:rsid w:val="003639C6"/>
    <w:rsid w:val="00371EE8"/>
    <w:rsid w:val="00374A9E"/>
    <w:rsid w:val="00374ADD"/>
    <w:rsid w:val="00387719"/>
    <w:rsid w:val="003A50C5"/>
    <w:rsid w:val="003A6D32"/>
    <w:rsid w:val="003C02C1"/>
    <w:rsid w:val="003C14C0"/>
    <w:rsid w:val="003C5306"/>
    <w:rsid w:val="003C79D2"/>
    <w:rsid w:val="003F198A"/>
    <w:rsid w:val="00413145"/>
    <w:rsid w:val="00417814"/>
    <w:rsid w:val="0042247A"/>
    <w:rsid w:val="00424594"/>
    <w:rsid w:val="004338CF"/>
    <w:rsid w:val="004458A9"/>
    <w:rsid w:val="0045059B"/>
    <w:rsid w:val="00451158"/>
    <w:rsid w:val="00454475"/>
    <w:rsid w:val="00462C65"/>
    <w:rsid w:val="004654D9"/>
    <w:rsid w:val="0047133A"/>
    <w:rsid w:val="00491456"/>
    <w:rsid w:val="00492CE3"/>
    <w:rsid w:val="0049484B"/>
    <w:rsid w:val="004A1234"/>
    <w:rsid w:val="004A53F0"/>
    <w:rsid w:val="004B274F"/>
    <w:rsid w:val="004C362E"/>
    <w:rsid w:val="004C3920"/>
    <w:rsid w:val="004C47FF"/>
    <w:rsid w:val="004D3C02"/>
    <w:rsid w:val="004E7601"/>
    <w:rsid w:val="004F5B73"/>
    <w:rsid w:val="004F5C64"/>
    <w:rsid w:val="004F6DD2"/>
    <w:rsid w:val="0050158F"/>
    <w:rsid w:val="00515058"/>
    <w:rsid w:val="005219B3"/>
    <w:rsid w:val="00524BFF"/>
    <w:rsid w:val="00532B59"/>
    <w:rsid w:val="005343A2"/>
    <w:rsid w:val="00540344"/>
    <w:rsid w:val="005426FB"/>
    <w:rsid w:val="00544F94"/>
    <w:rsid w:val="005526DE"/>
    <w:rsid w:val="005570ED"/>
    <w:rsid w:val="00565A94"/>
    <w:rsid w:val="00566E4A"/>
    <w:rsid w:val="005670D4"/>
    <w:rsid w:val="00580C0B"/>
    <w:rsid w:val="00585072"/>
    <w:rsid w:val="005A0561"/>
    <w:rsid w:val="005B0F18"/>
    <w:rsid w:val="005B3F5E"/>
    <w:rsid w:val="005B74A8"/>
    <w:rsid w:val="005C20C1"/>
    <w:rsid w:val="005D4B26"/>
    <w:rsid w:val="005D5630"/>
    <w:rsid w:val="005F35F5"/>
    <w:rsid w:val="005F58B9"/>
    <w:rsid w:val="005F6718"/>
    <w:rsid w:val="00611EED"/>
    <w:rsid w:val="00630D77"/>
    <w:rsid w:val="00631009"/>
    <w:rsid w:val="0064715B"/>
    <w:rsid w:val="0065704F"/>
    <w:rsid w:val="00661C4C"/>
    <w:rsid w:val="00664C49"/>
    <w:rsid w:val="00686C60"/>
    <w:rsid w:val="00690B95"/>
    <w:rsid w:val="006A4063"/>
    <w:rsid w:val="006A7358"/>
    <w:rsid w:val="006B5936"/>
    <w:rsid w:val="006B7B10"/>
    <w:rsid w:val="006C5AA5"/>
    <w:rsid w:val="006D0E87"/>
    <w:rsid w:val="006E0870"/>
    <w:rsid w:val="006E25A6"/>
    <w:rsid w:val="006F5239"/>
    <w:rsid w:val="00700387"/>
    <w:rsid w:val="00702F17"/>
    <w:rsid w:val="00705E5D"/>
    <w:rsid w:val="00706BE4"/>
    <w:rsid w:val="0073151B"/>
    <w:rsid w:val="00733C80"/>
    <w:rsid w:val="0073643F"/>
    <w:rsid w:val="007366E8"/>
    <w:rsid w:val="00741A8A"/>
    <w:rsid w:val="0074207F"/>
    <w:rsid w:val="00745CC8"/>
    <w:rsid w:val="00765EA5"/>
    <w:rsid w:val="00766C67"/>
    <w:rsid w:val="0077102B"/>
    <w:rsid w:val="00775DED"/>
    <w:rsid w:val="00786E88"/>
    <w:rsid w:val="00787AC8"/>
    <w:rsid w:val="00795027"/>
    <w:rsid w:val="007A1C44"/>
    <w:rsid w:val="007A5A2A"/>
    <w:rsid w:val="007A6218"/>
    <w:rsid w:val="007E41EA"/>
    <w:rsid w:val="007E42A1"/>
    <w:rsid w:val="007E7109"/>
    <w:rsid w:val="007F08D6"/>
    <w:rsid w:val="007F3336"/>
    <w:rsid w:val="007F4212"/>
    <w:rsid w:val="00806A67"/>
    <w:rsid w:val="00810FBE"/>
    <w:rsid w:val="00820C3F"/>
    <w:rsid w:val="00822073"/>
    <w:rsid w:val="00833549"/>
    <w:rsid w:val="0083383B"/>
    <w:rsid w:val="008415D3"/>
    <w:rsid w:val="00852A8E"/>
    <w:rsid w:val="00855A4C"/>
    <w:rsid w:val="00877DB1"/>
    <w:rsid w:val="008A14C1"/>
    <w:rsid w:val="008A37E3"/>
    <w:rsid w:val="008B08AB"/>
    <w:rsid w:val="008B311E"/>
    <w:rsid w:val="008B7ACA"/>
    <w:rsid w:val="008C60DE"/>
    <w:rsid w:val="008C62F2"/>
    <w:rsid w:val="008C63E8"/>
    <w:rsid w:val="008F2303"/>
    <w:rsid w:val="008F5EDA"/>
    <w:rsid w:val="008F6D59"/>
    <w:rsid w:val="00905CDB"/>
    <w:rsid w:val="00907749"/>
    <w:rsid w:val="00912483"/>
    <w:rsid w:val="00912B78"/>
    <w:rsid w:val="00916F63"/>
    <w:rsid w:val="00922B05"/>
    <w:rsid w:val="00925B32"/>
    <w:rsid w:val="00950693"/>
    <w:rsid w:val="00965CCD"/>
    <w:rsid w:val="0099317D"/>
    <w:rsid w:val="009A0BFB"/>
    <w:rsid w:val="009A2452"/>
    <w:rsid w:val="009B4391"/>
    <w:rsid w:val="009B64A5"/>
    <w:rsid w:val="009D2031"/>
    <w:rsid w:val="009E6871"/>
    <w:rsid w:val="00A024A5"/>
    <w:rsid w:val="00A034EF"/>
    <w:rsid w:val="00A07507"/>
    <w:rsid w:val="00A10D46"/>
    <w:rsid w:val="00A120DD"/>
    <w:rsid w:val="00A20D4A"/>
    <w:rsid w:val="00A25216"/>
    <w:rsid w:val="00A33FEA"/>
    <w:rsid w:val="00A37A8A"/>
    <w:rsid w:val="00A44976"/>
    <w:rsid w:val="00A4570F"/>
    <w:rsid w:val="00A568F9"/>
    <w:rsid w:val="00A603C0"/>
    <w:rsid w:val="00A61604"/>
    <w:rsid w:val="00A6342F"/>
    <w:rsid w:val="00A72A81"/>
    <w:rsid w:val="00A74B69"/>
    <w:rsid w:val="00AB650C"/>
    <w:rsid w:val="00AD3A06"/>
    <w:rsid w:val="00AE2444"/>
    <w:rsid w:val="00AE500C"/>
    <w:rsid w:val="00AE7460"/>
    <w:rsid w:val="00AE7A65"/>
    <w:rsid w:val="00AF0D6C"/>
    <w:rsid w:val="00AF15AF"/>
    <w:rsid w:val="00AF1F4D"/>
    <w:rsid w:val="00AF3C8A"/>
    <w:rsid w:val="00B06F93"/>
    <w:rsid w:val="00B07B2F"/>
    <w:rsid w:val="00B17E29"/>
    <w:rsid w:val="00B21D54"/>
    <w:rsid w:val="00B266A6"/>
    <w:rsid w:val="00B27AEE"/>
    <w:rsid w:val="00B42C40"/>
    <w:rsid w:val="00B42C6B"/>
    <w:rsid w:val="00B64AB9"/>
    <w:rsid w:val="00B711F8"/>
    <w:rsid w:val="00B774EC"/>
    <w:rsid w:val="00B87FB5"/>
    <w:rsid w:val="00B95D68"/>
    <w:rsid w:val="00BA2C6C"/>
    <w:rsid w:val="00BA3495"/>
    <w:rsid w:val="00BA3C22"/>
    <w:rsid w:val="00BD688B"/>
    <w:rsid w:val="00BE05F4"/>
    <w:rsid w:val="00BE461A"/>
    <w:rsid w:val="00C04AA1"/>
    <w:rsid w:val="00C1698E"/>
    <w:rsid w:val="00C17923"/>
    <w:rsid w:val="00C31DD5"/>
    <w:rsid w:val="00C3300D"/>
    <w:rsid w:val="00C34E6C"/>
    <w:rsid w:val="00C514D5"/>
    <w:rsid w:val="00C5651C"/>
    <w:rsid w:val="00C81D99"/>
    <w:rsid w:val="00C8223A"/>
    <w:rsid w:val="00C83E1D"/>
    <w:rsid w:val="00C96813"/>
    <w:rsid w:val="00C96BF0"/>
    <w:rsid w:val="00C97449"/>
    <w:rsid w:val="00CA24F6"/>
    <w:rsid w:val="00CA5821"/>
    <w:rsid w:val="00CC010E"/>
    <w:rsid w:val="00CC6C1D"/>
    <w:rsid w:val="00CF707D"/>
    <w:rsid w:val="00D21C1E"/>
    <w:rsid w:val="00D230B7"/>
    <w:rsid w:val="00D2678E"/>
    <w:rsid w:val="00D358F0"/>
    <w:rsid w:val="00D531C4"/>
    <w:rsid w:val="00D62074"/>
    <w:rsid w:val="00D772AF"/>
    <w:rsid w:val="00D847CF"/>
    <w:rsid w:val="00D84F18"/>
    <w:rsid w:val="00D92662"/>
    <w:rsid w:val="00D9288C"/>
    <w:rsid w:val="00DA78C7"/>
    <w:rsid w:val="00DB3D18"/>
    <w:rsid w:val="00DB4680"/>
    <w:rsid w:val="00DB4F44"/>
    <w:rsid w:val="00DD1886"/>
    <w:rsid w:val="00DD2698"/>
    <w:rsid w:val="00DE503E"/>
    <w:rsid w:val="00DE6643"/>
    <w:rsid w:val="00E11952"/>
    <w:rsid w:val="00E12061"/>
    <w:rsid w:val="00E170FE"/>
    <w:rsid w:val="00E21523"/>
    <w:rsid w:val="00E24ED2"/>
    <w:rsid w:val="00E26E00"/>
    <w:rsid w:val="00E33647"/>
    <w:rsid w:val="00E374D5"/>
    <w:rsid w:val="00E40948"/>
    <w:rsid w:val="00E43032"/>
    <w:rsid w:val="00E455C5"/>
    <w:rsid w:val="00E53E50"/>
    <w:rsid w:val="00E64A25"/>
    <w:rsid w:val="00E715FC"/>
    <w:rsid w:val="00E74D85"/>
    <w:rsid w:val="00E80AE4"/>
    <w:rsid w:val="00E97D7C"/>
    <w:rsid w:val="00EA4907"/>
    <w:rsid w:val="00EC0EED"/>
    <w:rsid w:val="00EC4110"/>
    <w:rsid w:val="00ED64E0"/>
    <w:rsid w:val="00EE386E"/>
    <w:rsid w:val="00EF1897"/>
    <w:rsid w:val="00F03671"/>
    <w:rsid w:val="00F072FA"/>
    <w:rsid w:val="00F13932"/>
    <w:rsid w:val="00F331E9"/>
    <w:rsid w:val="00F363AF"/>
    <w:rsid w:val="00F37536"/>
    <w:rsid w:val="00F45281"/>
    <w:rsid w:val="00F45F41"/>
    <w:rsid w:val="00F53359"/>
    <w:rsid w:val="00F60D21"/>
    <w:rsid w:val="00F65851"/>
    <w:rsid w:val="00F72389"/>
    <w:rsid w:val="00F76354"/>
    <w:rsid w:val="00F770A2"/>
    <w:rsid w:val="00F84CDC"/>
    <w:rsid w:val="00F919A5"/>
    <w:rsid w:val="00F957FC"/>
    <w:rsid w:val="00FA046F"/>
    <w:rsid w:val="00FA4C9B"/>
    <w:rsid w:val="00FB7C99"/>
    <w:rsid w:val="00FC32D3"/>
    <w:rsid w:val="00FE4F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C02"/>
    <w:rPr>
      <w:rFonts w:eastAsiaTheme="minorEastAsia"/>
    </w:rPr>
  </w:style>
  <w:style w:type="paragraph" w:styleId="Heading1">
    <w:name w:val="heading 1"/>
    <w:basedOn w:val="Normal"/>
    <w:next w:val="Normal"/>
    <w:link w:val="Heading1Char"/>
    <w:qFormat/>
    <w:rsid w:val="0093473F"/>
    <w:pPr>
      <w:keepNext/>
      <w:spacing w:after="0" w:line="240" w:lineRule="auto"/>
      <w:ind w:left="4320"/>
      <w:jc w:val="both"/>
      <w:outlineLvl w:val="0"/>
    </w:pPr>
    <w:rPr>
      <w:rFonts w:ascii="Arial" w:eastAsia="Times New Roman" w:hAnsi="Arial" w:cs="Arial"/>
      <w:b/>
      <w:bCs/>
      <w:sz w:val="20"/>
      <w:szCs w:val="20"/>
      <w:lang w:val="en-GB"/>
    </w:rPr>
  </w:style>
  <w:style w:type="paragraph" w:styleId="Heading2">
    <w:name w:val="heading 2"/>
    <w:basedOn w:val="Normal"/>
    <w:next w:val="Normal"/>
    <w:link w:val="Heading2Char"/>
    <w:qFormat/>
    <w:rsid w:val="0093473F"/>
    <w:pPr>
      <w:keepNext/>
      <w:spacing w:after="0" w:line="240" w:lineRule="auto"/>
      <w:outlineLvl w:val="1"/>
    </w:pPr>
    <w:rPr>
      <w:rFonts w:ascii="Times New Roman" w:eastAsia="Times New Roman" w:hAnsi="Times New Roman" w:cs="Times New Roman"/>
      <w:b/>
      <w:bCs/>
      <w:sz w:val="2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C02"/>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5">
    <w:name w:val="CM5"/>
    <w:basedOn w:val="Default"/>
    <w:next w:val="Default"/>
    <w:uiPriority w:val="99"/>
    <w:rsid w:val="004D3C02"/>
    <w:rPr>
      <w:color w:val="auto"/>
    </w:rPr>
  </w:style>
  <w:style w:type="paragraph" w:customStyle="1" w:styleId="CM6">
    <w:name w:val="CM6"/>
    <w:basedOn w:val="Default"/>
    <w:next w:val="Default"/>
    <w:uiPriority w:val="99"/>
    <w:rsid w:val="004D3C02"/>
    <w:rPr>
      <w:color w:val="auto"/>
    </w:rPr>
  </w:style>
  <w:style w:type="paragraph" w:customStyle="1" w:styleId="CM2">
    <w:name w:val="CM2"/>
    <w:basedOn w:val="Default"/>
    <w:next w:val="Default"/>
    <w:uiPriority w:val="99"/>
    <w:rsid w:val="004D3C02"/>
    <w:pPr>
      <w:spacing w:line="253" w:lineRule="atLeast"/>
    </w:pPr>
    <w:rPr>
      <w:color w:val="auto"/>
    </w:rPr>
  </w:style>
  <w:style w:type="paragraph" w:customStyle="1" w:styleId="CM3">
    <w:name w:val="CM3"/>
    <w:basedOn w:val="Default"/>
    <w:next w:val="Default"/>
    <w:uiPriority w:val="99"/>
    <w:rsid w:val="004D3C02"/>
    <w:pPr>
      <w:spacing w:line="253" w:lineRule="atLeast"/>
    </w:pPr>
    <w:rPr>
      <w:color w:val="auto"/>
    </w:rPr>
  </w:style>
  <w:style w:type="paragraph" w:styleId="NoSpacing">
    <w:name w:val="No Spacing"/>
    <w:link w:val="NoSpacingChar"/>
    <w:uiPriority w:val="1"/>
    <w:qFormat/>
    <w:rsid w:val="004D3C02"/>
    <w:pPr>
      <w:spacing w:after="0" w:line="240" w:lineRule="auto"/>
    </w:pPr>
    <w:rPr>
      <w:rFonts w:eastAsiaTheme="minorEastAsia"/>
    </w:rPr>
  </w:style>
  <w:style w:type="table" w:styleId="TableGrid">
    <w:name w:val="Table Grid"/>
    <w:basedOn w:val="TableNormal"/>
    <w:uiPriority w:val="59"/>
    <w:rsid w:val="004D3C02"/>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4D3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C02"/>
    <w:rPr>
      <w:rFonts w:ascii="Tahoma" w:eastAsiaTheme="minorEastAsia" w:hAnsi="Tahoma" w:cs="Tahoma"/>
      <w:sz w:val="16"/>
      <w:szCs w:val="16"/>
    </w:rPr>
  </w:style>
  <w:style w:type="paragraph" w:styleId="ListParagraph">
    <w:name w:val="List Paragraph"/>
    <w:basedOn w:val="Normal"/>
    <w:uiPriority w:val="34"/>
    <w:qFormat/>
    <w:rsid w:val="00CB4A81"/>
    <w:pPr>
      <w:ind w:left="720"/>
      <w:contextualSpacing/>
    </w:pPr>
  </w:style>
  <w:style w:type="character" w:customStyle="1" w:styleId="Heading1Char">
    <w:name w:val="Heading 1 Char"/>
    <w:basedOn w:val="DefaultParagraphFont"/>
    <w:link w:val="Heading1"/>
    <w:rsid w:val="0093473F"/>
    <w:rPr>
      <w:rFonts w:ascii="Arial" w:eastAsia="Times New Roman" w:hAnsi="Arial" w:cs="Arial"/>
      <w:b/>
      <w:bCs/>
      <w:sz w:val="20"/>
      <w:szCs w:val="20"/>
      <w:lang w:val="en-GB"/>
    </w:rPr>
  </w:style>
  <w:style w:type="character" w:customStyle="1" w:styleId="Heading2Char">
    <w:name w:val="Heading 2 Char"/>
    <w:basedOn w:val="DefaultParagraphFont"/>
    <w:link w:val="Heading2"/>
    <w:rsid w:val="0093473F"/>
    <w:rPr>
      <w:rFonts w:ascii="Times New Roman" w:eastAsia="Times New Roman" w:hAnsi="Times New Roman" w:cs="Times New Roman"/>
      <w:b/>
      <w:bCs/>
      <w:sz w:val="26"/>
      <w:szCs w:val="24"/>
      <w:lang w:val="en-GB"/>
    </w:rPr>
  </w:style>
  <w:style w:type="character" w:styleId="Hyperlink">
    <w:name w:val="Hyperlink"/>
    <w:basedOn w:val="DefaultParagraphFont"/>
    <w:rsid w:val="0093473F"/>
    <w:rPr>
      <w:color w:val="0000FF"/>
      <w:u w:val="single"/>
    </w:rPr>
  </w:style>
  <w:style w:type="paragraph" w:styleId="BodyText">
    <w:name w:val="Body Text"/>
    <w:basedOn w:val="Normal"/>
    <w:link w:val="BodyTextChar"/>
    <w:rsid w:val="0093473F"/>
    <w:pPr>
      <w:spacing w:after="0" w:line="24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3473F"/>
    <w:rPr>
      <w:rFonts w:ascii="Arial" w:eastAsia="Times New Roman" w:hAnsi="Arial" w:cs="Arial"/>
      <w:sz w:val="20"/>
      <w:szCs w:val="20"/>
      <w:lang w:val="en-GB"/>
    </w:rPr>
  </w:style>
  <w:style w:type="paragraph" w:styleId="FootnoteText">
    <w:name w:val="footnote text"/>
    <w:basedOn w:val="Normal"/>
    <w:link w:val="FootnoteTextChar"/>
    <w:rsid w:val="0093473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93473F"/>
    <w:rPr>
      <w:rFonts w:ascii="Times New Roman" w:eastAsia="Times New Roman" w:hAnsi="Times New Roman" w:cs="Times New Roman"/>
      <w:sz w:val="20"/>
      <w:szCs w:val="20"/>
      <w:lang w:val="en-GB"/>
    </w:rPr>
  </w:style>
  <w:style w:type="character" w:styleId="FootnoteReference">
    <w:name w:val="footnote reference"/>
    <w:basedOn w:val="DefaultParagraphFont"/>
    <w:rsid w:val="0093473F"/>
    <w:rPr>
      <w:vertAlign w:val="superscript"/>
    </w:rPr>
  </w:style>
  <w:style w:type="character" w:styleId="CommentReference">
    <w:name w:val="annotation reference"/>
    <w:basedOn w:val="DefaultParagraphFont"/>
    <w:uiPriority w:val="99"/>
    <w:semiHidden/>
    <w:unhideWhenUsed/>
    <w:rsid w:val="0093473F"/>
    <w:rPr>
      <w:sz w:val="16"/>
      <w:szCs w:val="16"/>
    </w:rPr>
  </w:style>
  <w:style w:type="paragraph" w:styleId="CommentText">
    <w:name w:val="annotation text"/>
    <w:basedOn w:val="Normal"/>
    <w:link w:val="CommentTextChar"/>
    <w:uiPriority w:val="99"/>
    <w:unhideWhenUsed/>
    <w:rsid w:val="0093473F"/>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93473F"/>
    <w:rPr>
      <w:rFonts w:ascii="Times New Roman" w:eastAsia="Times New Roman" w:hAnsi="Times New Roman" w:cs="Times New Roman"/>
      <w:sz w:val="20"/>
      <w:szCs w:val="20"/>
      <w:lang w:val="en-GB"/>
    </w:rPr>
  </w:style>
  <w:style w:type="paragraph" w:customStyle="1" w:styleId="H1">
    <w:name w:val="H1"/>
    <w:rsid w:val="0093473F"/>
    <w:pPr>
      <w:spacing w:before="60" w:after="60" w:line="240" w:lineRule="auto"/>
    </w:pPr>
    <w:rPr>
      <w:rFonts w:ascii="Times New Roman" w:eastAsia="Times New Roman" w:hAnsi="Times New Roman" w:cs="Arial"/>
      <w:b/>
      <w:bCs/>
      <w:snapToGrid w:val="0"/>
      <w:kern w:val="32"/>
      <w:sz w:val="24"/>
      <w:szCs w:val="32"/>
      <w:lang w:val="en-GB"/>
    </w:rPr>
  </w:style>
  <w:style w:type="character" w:customStyle="1" w:styleId="NoSpacingChar">
    <w:name w:val="No Spacing Char"/>
    <w:basedOn w:val="DefaultParagraphFont"/>
    <w:link w:val="NoSpacing"/>
    <w:uiPriority w:val="1"/>
    <w:rsid w:val="00580C0B"/>
    <w:rPr>
      <w:rFonts w:eastAsiaTheme="minorEastAsia"/>
    </w:rPr>
  </w:style>
  <w:style w:type="paragraph" w:styleId="Header">
    <w:name w:val="header"/>
    <w:basedOn w:val="Normal"/>
    <w:link w:val="HeaderChar"/>
    <w:unhideWhenUsed/>
    <w:rsid w:val="00EE386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386E"/>
    <w:rPr>
      <w:rFonts w:eastAsiaTheme="minorEastAsia"/>
      <w:lang w:val="en-GB"/>
    </w:rPr>
  </w:style>
  <w:style w:type="paragraph" w:styleId="Footer">
    <w:name w:val="footer"/>
    <w:basedOn w:val="Normal"/>
    <w:link w:val="FooterChar"/>
    <w:uiPriority w:val="99"/>
    <w:unhideWhenUsed/>
    <w:rsid w:val="00EE3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86E"/>
    <w:rPr>
      <w:rFonts w:eastAsiaTheme="minorEastAsia"/>
      <w:lang w:val="en-GB"/>
    </w:rPr>
  </w:style>
  <w:style w:type="paragraph" w:customStyle="1" w:styleId="FRR-regulation">
    <w:name w:val="FRR-regulation"/>
    <w:basedOn w:val="Heading1"/>
    <w:rsid w:val="00702F17"/>
    <w:pPr>
      <w:keepNext w:val="0"/>
      <w:ind w:left="0"/>
      <w:jc w:val="left"/>
    </w:pPr>
    <w:rPr>
      <w:color w:val="003399"/>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C02"/>
    <w:rPr>
      <w:rFonts w:eastAsiaTheme="minorEastAsia"/>
    </w:rPr>
  </w:style>
  <w:style w:type="paragraph" w:styleId="Heading1">
    <w:name w:val="heading 1"/>
    <w:basedOn w:val="Normal"/>
    <w:next w:val="Normal"/>
    <w:link w:val="Heading1Char"/>
    <w:qFormat/>
    <w:rsid w:val="0093473F"/>
    <w:pPr>
      <w:keepNext/>
      <w:spacing w:after="0" w:line="240" w:lineRule="auto"/>
      <w:ind w:left="4320"/>
      <w:jc w:val="both"/>
      <w:outlineLvl w:val="0"/>
    </w:pPr>
    <w:rPr>
      <w:rFonts w:ascii="Arial" w:eastAsia="Times New Roman" w:hAnsi="Arial" w:cs="Arial"/>
      <w:b/>
      <w:bCs/>
      <w:sz w:val="20"/>
      <w:szCs w:val="20"/>
      <w:lang w:val="en-GB"/>
    </w:rPr>
  </w:style>
  <w:style w:type="paragraph" w:styleId="Heading2">
    <w:name w:val="heading 2"/>
    <w:basedOn w:val="Normal"/>
    <w:next w:val="Normal"/>
    <w:link w:val="Heading2Char"/>
    <w:qFormat/>
    <w:rsid w:val="0093473F"/>
    <w:pPr>
      <w:keepNext/>
      <w:spacing w:after="0" w:line="240" w:lineRule="auto"/>
      <w:outlineLvl w:val="1"/>
    </w:pPr>
    <w:rPr>
      <w:rFonts w:ascii="Times New Roman" w:eastAsia="Times New Roman" w:hAnsi="Times New Roman" w:cs="Times New Roman"/>
      <w:b/>
      <w:bCs/>
      <w:sz w:val="2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C02"/>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5">
    <w:name w:val="CM5"/>
    <w:basedOn w:val="Default"/>
    <w:next w:val="Default"/>
    <w:uiPriority w:val="99"/>
    <w:rsid w:val="004D3C02"/>
    <w:rPr>
      <w:color w:val="auto"/>
    </w:rPr>
  </w:style>
  <w:style w:type="paragraph" w:customStyle="1" w:styleId="CM6">
    <w:name w:val="CM6"/>
    <w:basedOn w:val="Default"/>
    <w:next w:val="Default"/>
    <w:uiPriority w:val="99"/>
    <w:rsid w:val="004D3C02"/>
    <w:rPr>
      <w:color w:val="auto"/>
    </w:rPr>
  </w:style>
  <w:style w:type="paragraph" w:customStyle="1" w:styleId="CM2">
    <w:name w:val="CM2"/>
    <w:basedOn w:val="Default"/>
    <w:next w:val="Default"/>
    <w:uiPriority w:val="99"/>
    <w:rsid w:val="004D3C02"/>
    <w:pPr>
      <w:spacing w:line="253" w:lineRule="atLeast"/>
    </w:pPr>
    <w:rPr>
      <w:color w:val="auto"/>
    </w:rPr>
  </w:style>
  <w:style w:type="paragraph" w:customStyle="1" w:styleId="CM3">
    <w:name w:val="CM3"/>
    <w:basedOn w:val="Default"/>
    <w:next w:val="Default"/>
    <w:uiPriority w:val="99"/>
    <w:rsid w:val="004D3C02"/>
    <w:pPr>
      <w:spacing w:line="253" w:lineRule="atLeast"/>
    </w:pPr>
    <w:rPr>
      <w:color w:val="auto"/>
    </w:rPr>
  </w:style>
  <w:style w:type="paragraph" w:styleId="NoSpacing">
    <w:name w:val="No Spacing"/>
    <w:link w:val="NoSpacingChar"/>
    <w:uiPriority w:val="1"/>
    <w:qFormat/>
    <w:rsid w:val="004D3C02"/>
    <w:pPr>
      <w:spacing w:after="0" w:line="240" w:lineRule="auto"/>
    </w:pPr>
    <w:rPr>
      <w:rFonts w:eastAsiaTheme="minorEastAsia"/>
    </w:rPr>
  </w:style>
  <w:style w:type="table" w:styleId="TableGrid">
    <w:name w:val="Table Grid"/>
    <w:basedOn w:val="TableNormal"/>
    <w:uiPriority w:val="59"/>
    <w:rsid w:val="004D3C02"/>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4D3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C02"/>
    <w:rPr>
      <w:rFonts w:ascii="Tahoma" w:eastAsiaTheme="minorEastAsia" w:hAnsi="Tahoma" w:cs="Tahoma"/>
      <w:sz w:val="16"/>
      <w:szCs w:val="16"/>
    </w:rPr>
  </w:style>
  <w:style w:type="paragraph" w:styleId="ListParagraph">
    <w:name w:val="List Paragraph"/>
    <w:basedOn w:val="Normal"/>
    <w:uiPriority w:val="34"/>
    <w:qFormat/>
    <w:rsid w:val="00CB4A81"/>
    <w:pPr>
      <w:ind w:left="720"/>
      <w:contextualSpacing/>
    </w:pPr>
  </w:style>
  <w:style w:type="character" w:customStyle="1" w:styleId="Heading1Char">
    <w:name w:val="Heading 1 Char"/>
    <w:basedOn w:val="DefaultParagraphFont"/>
    <w:link w:val="Heading1"/>
    <w:rsid w:val="0093473F"/>
    <w:rPr>
      <w:rFonts w:ascii="Arial" w:eastAsia="Times New Roman" w:hAnsi="Arial" w:cs="Arial"/>
      <w:b/>
      <w:bCs/>
      <w:sz w:val="20"/>
      <w:szCs w:val="20"/>
      <w:lang w:val="en-GB"/>
    </w:rPr>
  </w:style>
  <w:style w:type="character" w:customStyle="1" w:styleId="Heading2Char">
    <w:name w:val="Heading 2 Char"/>
    <w:basedOn w:val="DefaultParagraphFont"/>
    <w:link w:val="Heading2"/>
    <w:rsid w:val="0093473F"/>
    <w:rPr>
      <w:rFonts w:ascii="Times New Roman" w:eastAsia="Times New Roman" w:hAnsi="Times New Roman" w:cs="Times New Roman"/>
      <w:b/>
      <w:bCs/>
      <w:sz w:val="26"/>
      <w:szCs w:val="24"/>
      <w:lang w:val="en-GB"/>
    </w:rPr>
  </w:style>
  <w:style w:type="character" w:styleId="Hyperlink">
    <w:name w:val="Hyperlink"/>
    <w:basedOn w:val="DefaultParagraphFont"/>
    <w:rsid w:val="0093473F"/>
    <w:rPr>
      <w:color w:val="0000FF"/>
      <w:u w:val="single"/>
    </w:rPr>
  </w:style>
  <w:style w:type="paragraph" w:styleId="BodyText">
    <w:name w:val="Body Text"/>
    <w:basedOn w:val="Normal"/>
    <w:link w:val="BodyTextChar"/>
    <w:rsid w:val="0093473F"/>
    <w:pPr>
      <w:spacing w:after="0" w:line="24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3473F"/>
    <w:rPr>
      <w:rFonts w:ascii="Arial" w:eastAsia="Times New Roman" w:hAnsi="Arial" w:cs="Arial"/>
      <w:sz w:val="20"/>
      <w:szCs w:val="20"/>
      <w:lang w:val="en-GB"/>
    </w:rPr>
  </w:style>
  <w:style w:type="paragraph" w:styleId="FootnoteText">
    <w:name w:val="footnote text"/>
    <w:basedOn w:val="Normal"/>
    <w:link w:val="FootnoteTextChar"/>
    <w:rsid w:val="0093473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93473F"/>
    <w:rPr>
      <w:rFonts w:ascii="Times New Roman" w:eastAsia="Times New Roman" w:hAnsi="Times New Roman" w:cs="Times New Roman"/>
      <w:sz w:val="20"/>
      <w:szCs w:val="20"/>
      <w:lang w:val="en-GB"/>
    </w:rPr>
  </w:style>
  <w:style w:type="character" w:styleId="FootnoteReference">
    <w:name w:val="footnote reference"/>
    <w:basedOn w:val="DefaultParagraphFont"/>
    <w:rsid w:val="0093473F"/>
    <w:rPr>
      <w:vertAlign w:val="superscript"/>
    </w:rPr>
  </w:style>
  <w:style w:type="character" w:styleId="CommentReference">
    <w:name w:val="annotation reference"/>
    <w:basedOn w:val="DefaultParagraphFont"/>
    <w:uiPriority w:val="99"/>
    <w:semiHidden/>
    <w:unhideWhenUsed/>
    <w:rsid w:val="0093473F"/>
    <w:rPr>
      <w:sz w:val="16"/>
      <w:szCs w:val="16"/>
    </w:rPr>
  </w:style>
  <w:style w:type="paragraph" w:styleId="CommentText">
    <w:name w:val="annotation text"/>
    <w:basedOn w:val="Normal"/>
    <w:link w:val="CommentTextChar"/>
    <w:uiPriority w:val="99"/>
    <w:unhideWhenUsed/>
    <w:rsid w:val="0093473F"/>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93473F"/>
    <w:rPr>
      <w:rFonts w:ascii="Times New Roman" w:eastAsia="Times New Roman" w:hAnsi="Times New Roman" w:cs="Times New Roman"/>
      <w:sz w:val="20"/>
      <w:szCs w:val="20"/>
      <w:lang w:val="en-GB"/>
    </w:rPr>
  </w:style>
  <w:style w:type="paragraph" w:customStyle="1" w:styleId="H1">
    <w:name w:val="H1"/>
    <w:rsid w:val="0093473F"/>
    <w:pPr>
      <w:spacing w:before="60" w:after="60" w:line="240" w:lineRule="auto"/>
    </w:pPr>
    <w:rPr>
      <w:rFonts w:ascii="Times New Roman" w:eastAsia="Times New Roman" w:hAnsi="Times New Roman" w:cs="Arial"/>
      <w:b/>
      <w:bCs/>
      <w:snapToGrid w:val="0"/>
      <w:kern w:val="32"/>
      <w:sz w:val="24"/>
      <w:szCs w:val="32"/>
      <w:lang w:val="en-GB"/>
    </w:rPr>
  </w:style>
  <w:style w:type="character" w:customStyle="1" w:styleId="NoSpacingChar">
    <w:name w:val="No Spacing Char"/>
    <w:basedOn w:val="DefaultParagraphFont"/>
    <w:link w:val="NoSpacing"/>
    <w:uiPriority w:val="1"/>
    <w:rsid w:val="00580C0B"/>
    <w:rPr>
      <w:rFonts w:eastAsiaTheme="minorEastAsia"/>
    </w:rPr>
  </w:style>
  <w:style w:type="paragraph" w:styleId="Header">
    <w:name w:val="header"/>
    <w:basedOn w:val="Normal"/>
    <w:link w:val="HeaderChar"/>
    <w:unhideWhenUsed/>
    <w:rsid w:val="00EE386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386E"/>
    <w:rPr>
      <w:rFonts w:eastAsiaTheme="minorEastAsia"/>
      <w:lang w:val="en-GB"/>
    </w:rPr>
  </w:style>
  <w:style w:type="paragraph" w:styleId="Footer">
    <w:name w:val="footer"/>
    <w:basedOn w:val="Normal"/>
    <w:link w:val="FooterChar"/>
    <w:uiPriority w:val="99"/>
    <w:unhideWhenUsed/>
    <w:rsid w:val="00EE3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86E"/>
    <w:rPr>
      <w:rFonts w:eastAsiaTheme="minorEastAsia"/>
      <w:lang w:val="en-GB"/>
    </w:rPr>
  </w:style>
  <w:style w:type="paragraph" w:customStyle="1" w:styleId="FRR-regulation">
    <w:name w:val="FRR-regulation"/>
    <w:basedOn w:val="Heading1"/>
    <w:rsid w:val="00702F17"/>
    <w:pPr>
      <w:keepNext w:val="0"/>
      <w:ind w:left="0"/>
      <w:jc w:val="left"/>
    </w:pPr>
    <w:rPr>
      <w:color w:val="003399"/>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363">
      <w:bodyDiv w:val="1"/>
      <w:marLeft w:val="0"/>
      <w:marRight w:val="0"/>
      <w:marTop w:val="0"/>
      <w:marBottom w:val="0"/>
      <w:divBdr>
        <w:top w:val="none" w:sz="0" w:space="0" w:color="auto"/>
        <w:left w:val="none" w:sz="0" w:space="0" w:color="auto"/>
        <w:bottom w:val="none" w:sz="0" w:space="0" w:color="auto"/>
        <w:right w:val="none" w:sz="0" w:space="0" w:color="auto"/>
      </w:divBdr>
    </w:div>
    <w:div w:id="52779780">
      <w:bodyDiv w:val="1"/>
      <w:marLeft w:val="0"/>
      <w:marRight w:val="0"/>
      <w:marTop w:val="0"/>
      <w:marBottom w:val="0"/>
      <w:divBdr>
        <w:top w:val="none" w:sz="0" w:space="0" w:color="auto"/>
        <w:left w:val="none" w:sz="0" w:space="0" w:color="auto"/>
        <w:bottom w:val="none" w:sz="0" w:space="0" w:color="auto"/>
        <w:right w:val="none" w:sz="0" w:space="0" w:color="auto"/>
      </w:divBdr>
    </w:div>
    <w:div w:id="81029924">
      <w:bodyDiv w:val="1"/>
      <w:marLeft w:val="0"/>
      <w:marRight w:val="0"/>
      <w:marTop w:val="0"/>
      <w:marBottom w:val="0"/>
      <w:divBdr>
        <w:top w:val="none" w:sz="0" w:space="0" w:color="auto"/>
        <w:left w:val="none" w:sz="0" w:space="0" w:color="auto"/>
        <w:bottom w:val="none" w:sz="0" w:space="0" w:color="auto"/>
        <w:right w:val="none" w:sz="0" w:space="0" w:color="auto"/>
      </w:divBdr>
    </w:div>
    <w:div w:id="167797962">
      <w:bodyDiv w:val="1"/>
      <w:marLeft w:val="0"/>
      <w:marRight w:val="0"/>
      <w:marTop w:val="0"/>
      <w:marBottom w:val="0"/>
      <w:divBdr>
        <w:top w:val="none" w:sz="0" w:space="0" w:color="auto"/>
        <w:left w:val="none" w:sz="0" w:space="0" w:color="auto"/>
        <w:bottom w:val="none" w:sz="0" w:space="0" w:color="auto"/>
        <w:right w:val="none" w:sz="0" w:space="0" w:color="auto"/>
      </w:divBdr>
    </w:div>
    <w:div w:id="196940309">
      <w:bodyDiv w:val="1"/>
      <w:marLeft w:val="0"/>
      <w:marRight w:val="0"/>
      <w:marTop w:val="0"/>
      <w:marBottom w:val="0"/>
      <w:divBdr>
        <w:top w:val="none" w:sz="0" w:space="0" w:color="auto"/>
        <w:left w:val="none" w:sz="0" w:space="0" w:color="auto"/>
        <w:bottom w:val="none" w:sz="0" w:space="0" w:color="auto"/>
        <w:right w:val="none" w:sz="0" w:space="0" w:color="auto"/>
      </w:divBdr>
    </w:div>
    <w:div w:id="272981822">
      <w:bodyDiv w:val="1"/>
      <w:marLeft w:val="0"/>
      <w:marRight w:val="0"/>
      <w:marTop w:val="0"/>
      <w:marBottom w:val="0"/>
      <w:divBdr>
        <w:top w:val="none" w:sz="0" w:space="0" w:color="auto"/>
        <w:left w:val="none" w:sz="0" w:space="0" w:color="auto"/>
        <w:bottom w:val="none" w:sz="0" w:space="0" w:color="auto"/>
        <w:right w:val="none" w:sz="0" w:space="0" w:color="auto"/>
      </w:divBdr>
    </w:div>
    <w:div w:id="288361845">
      <w:bodyDiv w:val="1"/>
      <w:marLeft w:val="0"/>
      <w:marRight w:val="0"/>
      <w:marTop w:val="0"/>
      <w:marBottom w:val="0"/>
      <w:divBdr>
        <w:top w:val="none" w:sz="0" w:space="0" w:color="auto"/>
        <w:left w:val="none" w:sz="0" w:space="0" w:color="auto"/>
        <w:bottom w:val="none" w:sz="0" w:space="0" w:color="auto"/>
        <w:right w:val="none" w:sz="0" w:space="0" w:color="auto"/>
      </w:divBdr>
    </w:div>
    <w:div w:id="348601445">
      <w:bodyDiv w:val="1"/>
      <w:marLeft w:val="0"/>
      <w:marRight w:val="0"/>
      <w:marTop w:val="0"/>
      <w:marBottom w:val="0"/>
      <w:divBdr>
        <w:top w:val="none" w:sz="0" w:space="0" w:color="auto"/>
        <w:left w:val="none" w:sz="0" w:space="0" w:color="auto"/>
        <w:bottom w:val="none" w:sz="0" w:space="0" w:color="auto"/>
        <w:right w:val="none" w:sz="0" w:space="0" w:color="auto"/>
      </w:divBdr>
    </w:div>
    <w:div w:id="412623795">
      <w:bodyDiv w:val="1"/>
      <w:marLeft w:val="0"/>
      <w:marRight w:val="0"/>
      <w:marTop w:val="0"/>
      <w:marBottom w:val="0"/>
      <w:divBdr>
        <w:top w:val="none" w:sz="0" w:space="0" w:color="auto"/>
        <w:left w:val="none" w:sz="0" w:space="0" w:color="auto"/>
        <w:bottom w:val="none" w:sz="0" w:space="0" w:color="auto"/>
        <w:right w:val="none" w:sz="0" w:space="0" w:color="auto"/>
      </w:divBdr>
    </w:div>
    <w:div w:id="438648006">
      <w:bodyDiv w:val="1"/>
      <w:marLeft w:val="0"/>
      <w:marRight w:val="0"/>
      <w:marTop w:val="0"/>
      <w:marBottom w:val="0"/>
      <w:divBdr>
        <w:top w:val="none" w:sz="0" w:space="0" w:color="auto"/>
        <w:left w:val="none" w:sz="0" w:space="0" w:color="auto"/>
        <w:bottom w:val="none" w:sz="0" w:space="0" w:color="auto"/>
        <w:right w:val="none" w:sz="0" w:space="0" w:color="auto"/>
      </w:divBdr>
    </w:div>
    <w:div w:id="486408678">
      <w:bodyDiv w:val="1"/>
      <w:marLeft w:val="0"/>
      <w:marRight w:val="0"/>
      <w:marTop w:val="0"/>
      <w:marBottom w:val="0"/>
      <w:divBdr>
        <w:top w:val="none" w:sz="0" w:space="0" w:color="auto"/>
        <w:left w:val="none" w:sz="0" w:space="0" w:color="auto"/>
        <w:bottom w:val="none" w:sz="0" w:space="0" w:color="auto"/>
        <w:right w:val="none" w:sz="0" w:space="0" w:color="auto"/>
      </w:divBdr>
    </w:div>
    <w:div w:id="620190355">
      <w:bodyDiv w:val="1"/>
      <w:marLeft w:val="0"/>
      <w:marRight w:val="0"/>
      <w:marTop w:val="0"/>
      <w:marBottom w:val="0"/>
      <w:divBdr>
        <w:top w:val="none" w:sz="0" w:space="0" w:color="auto"/>
        <w:left w:val="none" w:sz="0" w:space="0" w:color="auto"/>
        <w:bottom w:val="none" w:sz="0" w:space="0" w:color="auto"/>
        <w:right w:val="none" w:sz="0" w:space="0" w:color="auto"/>
      </w:divBdr>
    </w:div>
    <w:div w:id="650670242">
      <w:bodyDiv w:val="1"/>
      <w:marLeft w:val="0"/>
      <w:marRight w:val="0"/>
      <w:marTop w:val="0"/>
      <w:marBottom w:val="0"/>
      <w:divBdr>
        <w:top w:val="none" w:sz="0" w:space="0" w:color="auto"/>
        <w:left w:val="none" w:sz="0" w:space="0" w:color="auto"/>
        <w:bottom w:val="none" w:sz="0" w:space="0" w:color="auto"/>
        <w:right w:val="none" w:sz="0" w:space="0" w:color="auto"/>
      </w:divBdr>
    </w:div>
    <w:div w:id="882323789">
      <w:bodyDiv w:val="1"/>
      <w:marLeft w:val="0"/>
      <w:marRight w:val="0"/>
      <w:marTop w:val="0"/>
      <w:marBottom w:val="0"/>
      <w:divBdr>
        <w:top w:val="none" w:sz="0" w:space="0" w:color="auto"/>
        <w:left w:val="none" w:sz="0" w:space="0" w:color="auto"/>
        <w:bottom w:val="none" w:sz="0" w:space="0" w:color="auto"/>
        <w:right w:val="none" w:sz="0" w:space="0" w:color="auto"/>
      </w:divBdr>
    </w:div>
    <w:div w:id="897786475">
      <w:bodyDiv w:val="1"/>
      <w:marLeft w:val="0"/>
      <w:marRight w:val="0"/>
      <w:marTop w:val="0"/>
      <w:marBottom w:val="0"/>
      <w:divBdr>
        <w:top w:val="none" w:sz="0" w:space="0" w:color="auto"/>
        <w:left w:val="none" w:sz="0" w:space="0" w:color="auto"/>
        <w:bottom w:val="none" w:sz="0" w:space="0" w:color="auto"/>
        <w:right w:val="none" w:sz="0" w:space="0" w:color="auto"/>
      </w:divBdr>
    </w:div>
    <w:div w:id="919169342">
      <w:bodyDiv w:val="1"/>
      <w:marLeft w:val="0"/>
      <w:marRight w:val="0"/>
      <w:marTop w:val="0"/>
      <w:marBottom w:val="0"/>
      <w:divBdr>
        <w:top w:val="none" w:sz="0" w:space="0" w:color="auto"/>
        <w:left w:val="none" w:sz="0" w:space="0" w:color="auto"/>
        <w:bottom w:val="none" w:sz="0" w:space="0" w:color="auto"/>
        <w:right w:val="none" w:sz="0" w:space="0" w:color="auto"/>
      </w:divBdr>
    </w:div>
    <w:div w:id="1038965946">
      <w:bodyDiv w:val="1"/>
      <w:marLeft w:val="0"/>
      <w:marRight w:val="0"/>
      <w:marTop w:val="0"/>
      <w:marBottom w:val="0"/>
      <w:divBdr>
        <w:top w:val="none" w:sz="0" w:space="0" w:color="auto"/>
        <w:left w:val="none" w:sz="0" w:space="0" w:color="auto"/>
        <w:bottom w:val="none" w:sz="0" w:space="0" w:color="auto"/>
        <w:right w:val="none" w:sz="0" w:space="0" w:color="auto"/>
      </w:divBdr>
    </w:div>
    <w:div w:id="1085565606">
      <w:bodyDiv w:val="1"/>
      <w:marLeft w:val="0"/>
      <w:marRight w:val="0"/>
      <w:marTop w:val="0"/>
      <w:marBottom w:val="0"/>
      <w:divBdr>
        <w:top w:val="none" w:sz="0" w:space="0" w:color="auto"/>
        <w:left w:val="none" w:sz="0" w:space="0" w:color="auto"/>
        <w:bottom w:val="none" w:sz="0" w:space="0" w:color="auto"/>
        <w:right w:val="none" w:sz="0" w:space="0" w:color="auto"/>
      </w:divBdr>
    </w:div>
    <w:div w:id="1119883175">
      <w:bodyDiv w:val="1"/>
      <w:marLeft w:val="0"/>
      <w:marRight w:val="0"/>
      <w:marTop w:val="0"/>
      <w:marBottom w:val="0"/>
      <w:divBdr>
        <w:top w:val="none" w:sz="0" w:space="0" w:color="auto"/>
        <w:left w:val="none" w:sz="0" w:space="0" w:color="auto"/>
        <w:bottom w:val="none" w:sz="0" w:space="0" w:color="auto"/>
        <w:right w:val="none" w:sz="0" w:space="0" w:color="auto"/>
      </w:divBdr>
    </w:div>
    <w:div w:id="1169714958">
      <w:bodyDiv w:val="1"/>
      <w:marLeft w:val="0"/>
      <w:marRight w:val="0"/>
      <w:marTop w:val="0"/>
      <w:marBottom w:val="0"/>
      <w:divBdr>
        <w:top w:val="none" w:sz="0" w:space="0" w:color="auto"/>
        <w:left w:val="none" w:sz="0" w:space="0" w:color="auto"/>
        <w:bottom w:val="none" w:sz="0" w:space="0" w:color="auto"/>
        <w:right w:val="none" w:sz="0" w:space="0" w:color="auto"/>
      </w:divBdr>
    </w:div>
    <w:div w:id="1227566945">
      <w:bodyDiv w:val="1"/>
      <w:marLeft w:val="0"/>
      <w:marRight w:val="0"/>
      <w:marTop w:val="0"/>
      <w:marBottom w:val="0"/>
      <w:divBdr>
        <w:top w:val="none" w:sz="0" w:space="0" w:color="auto"/>
        <w:left w:val="none" w:sz="0" w:space="0" w:color="auto"/>
        <w:bottom w:val="none" w:sz="0" w:space="0" w:color="auto"/>
        <w:right w:val="none" w:sz="0" w:space="0" w:color="auto"/>
      </w:divBdr>
    </w:div>
    <w:div w:id="1247883098">
      <w:bodyDiv w:val="1"/>
      <w:marLeft w:val="0"/>
      <w:marRight w:val="0"/>
      <w:marTop w:val="0"/>
      <w:marBottom w:val="0"/>
      <w:divBdr>
        <w:top w:val="none" w:sz="0" w:space="0" w:color="auto"/>
        <w:left w:val="none" w:sz="0" w:space="0" w:color="auto"/>
        <w:bottom w:val="none" w:sz="0" w:space="0" w:color="auto"/>
        <w:right w:val="none" w:sz="0" w:space="0" w:color="auto"/>
      </w:divBdr>
    </w:div>
    <w:div w:id="1255213685">
      <w:bodyDiv w:val="1"/>
      <w:marLeft w:val="0"/>
      <w:marRight w:val="0"/>
      <w:marTop w:val="0"/>
      <w:marBottom w:val="0"/>
      <w:divBdr>
        <w:top w:val="none" w:sz="0" w:space="0" w:color="auto"/>
        <w:left w:val="none" w:sz="0" w:space="0" w:color="auto"/>
        <w:bottom w:val="none" w:sz="0" w:space="0" w:color="auto"/>
        <w:right w:val="none" w:sz="0" w:space="0" w:color="auto"/>
      </w:divBdr>
    </w:div>
    <w:div w:id="1292128417">
      <w:bodyDiv w:val="1"/>
      <w:marLeft w:val="0"/>
      <w:marRight w:val="0"/>
      <w:marTop w:val="0"/>
      <w:marBottom w:val="0"/>
      <w:divBdr>
        <w:top w:val="none" w:sz="0" w:space="0" w:color="auto"/>
        <w:left w:val="none" w:sz="0" w:space="0" w:color="auto"/>
        <w:bottom w:val="none" w:sz="0" w:space="0" w:color="auto"/>
        <w:right w:val="none" w:sz="0" w:space="0" w:color="auto"/>
      </w:divBdr>
    </w:div>
    <w:div w:id="1335914506">
      <w:bodyDiv w:val="1"/>
      <w:marLeft w:val="0"/>
      <w:marRight w:val="0"/>
      <w:marTop w:val="0"/>
      <w:marBottom w:val="0"/>
      <w:divBdr>
        <w:top w:val="none" w:sz="0" w:space="0" w:color="auto"/>
        <w:left w:val="none" w:sz="0" w:space="0" w:color="auto"/>
        <w:bottom w:val="none" w:sz="0" w:space="0" w:color="auto"/>
        <w:right w:val="none" w:sz="0" w:space="0" w:color="auto"/>
      </w:divBdr>
    </w:div>
    <w:div w:id="1405298993">
      <w:bodyDiv w:val="1"/>
      <w:marLeft w:val="0"/>
      <w:marRight w:val="0"/>
      <w:marTop w:val="0"/>
      <w:marBottom w:val="0"/>
      <w:divBdr>
        <w:top w:val="none" w:sz="0" w:space="0" w:color="auto"/>
        <w:left w:val="none" w:sz="0" w:space="0" w:color="auto"/>
        <w:bottom w:val="none" w:sz="0" w:space="0" w:color="auto"/>
        <w:right w:val="none" w:sz="0" w:space="0" w:color="auto"/>
      </w:divBdr>
    </w:div>
    <w:div w:id="1421217682">
      <w:bodyDiv w:val="1"/>
      <w:marLeft w:val="0"/>
      <w:marRight w:val="0"/>
      <w:marTop w:val="0"/>
      <w:marBottom w:val="0"/>
      <w:divBdr>
        <w:top w:val="none" w:sz="0" w:space="0" w:color="auto"/>
        <w:left w:val="none" w:sz="0" w:space="0" w:color="auto"/>
        <w:bottom w:val="none" w:sz="0" w:space="0" w:color="auto"/>
        <w:right w:val="none" w:sz="0" w:space="0" w:color="auto"/>
      </w:divBdr>
    </w:div>
    <w:div w:id="1424034996">
      <w:bodyDiv w:val="1"/>
      <w:marLeft w:val="0"/>
      <w:marRight w:val="0"/>
      <w:marTop w:val="0"/>
      <w:marBottom w:val="0"/>
      <w:divBdr>
        <w:top w:val="none" w:sz="0" w:space="0" w:color="auto"/>
        <w:left w:val="none" w:sz="0" w:space="0" w:color="auto"/>
        <w:bottom w:val="none" w:sz="0" w:space="0" w:color="auto"/>
        <w:right w:val="none" w:sz="0" w:space="0" w:color="auto"/>
      </w:divBdr>
    </w:div>
    <w:div w:id="1444767454">
      <w:bodyDiv w:val="1"/>
      <w:marLeft w:val="0"/>
      <w:marRight w:val="0"/>
      <w:marTop w:val="0"/>
      <w:marBottom w:val="0"/>
      <w:divBdr>
        <w:top w:val="none" w:sz="0" w:space="0" w:color="auto"/>
        <w:left w:val="none" w:sz="0" w:space="0" w:color="auto"/>
        <w:bottom w:val="none" w:sz="0" w:space="0" w:color="auto"/>
        <w:right w:val="none" w:sz="0" w:space="0" w:color="auto"/>
      </w:divBdr>
    </w:div>
    <w:div w:id="1534149785">
      <w:bodyDiv w:val="1"/>
      <w:marLeft w:val="0"/>
      <w:marRight w:val="0"/>
      <w:marTop w:val="0"/>
      <w:marBottom w:val="0"/>
      <w:divBdr>
        <w:top w:val="none" w:sz="0" w:space="0" w:color="auto"/>
        <w:left w:val="none" w:sz="0" w:space="0" w:color="auto"/>
        <w:bottom w:val="none" w:sz="0" w:space="0" w:color="auto"/>
        <w:right w:val="none" w:sz="0" w:space="0" w:color="auto"/>
      </w:divBdr>
    </w:div>
    <w:div w:id="1676692248">
      <w:bodyDiv w:val="1"/>
      <w:marLeft w:val="0"/>
      <w:marRight w:val="0"/>
      <w:marTop w:val="0"/>
      <w:marBottom w:val="0"/>
      <w:divBdr>
        <w:top w:val="none" w:sz="0" w:space="0" w:color="auto"/>
        <w:left w:val="none" w:sz="0" w:space="0" w:color="auto"/>
        <w:bottom w:val="none" w:sz="0" w:space="0" w:color="auto"/>
        <w:right w:val="none" w:sz="0" w:space="0" w:color="auto"/>
      </w:divBdr>
    </w:div>
    <w:div w:id="1679382630">
      <w:bodyDiv w:val="1"/>
      <w:marLeft w:val="0"/>
      <w:marRight w:val="0"/>
      <w:marTop w:val="0"/>
      <w:marBottom w:val="0"/>
      <w:divBdr>
        <w:top w:val="none" w:sz="0" w:space="0" w:color="auto"/>
        <w:left w:val="none" w:sz="0" w:space="0" w:color="auto"/>
        <w:bottom w:val="none" w:sz="0" w:space="0" w:color="auto"/>
        <w:right w:val="none" w:sz="0" w:space="0" w:color="auto"/>
      </w:divBdr>
    </w:div>
    <w:div w:id="1928224283">
      <w:bodyDiv w:val="1"/>
      <w:marLeft w:val="0"/>
      <w:marRight w:val="0"/>
      <w:marTop w:val="0"/>
      <w:marBottom w:val="0"/>
      <w:divBdr>
        <w:top w:val="none" w:sz="0" w:space="0" w:color="auto"/>
        <w:left w:val="none" w:sz="0" w:space="0" w:color="auto"/>
        <w:bottom w:val="none" w:sz="0" w:space="0" w:color="auto"/>
        <w:right w:val="none" w:sz="0" w:space="0" w:color="auto"/>
      </w:divBdr>
    </w:div>
    <w:div w:id="2018579480">
      <w:bodyDiv w:val="1"/>
      <w:marLeft w:val="0"/>
      <w:marRight w:val="0"/>
      <w:marTop w:val="0"/>
      <w:marBottom w:val="0"/>
      <w:divBdr>
        <w:top w:val="none" w:sz="0" w:space="0" w:color="auto"/>
        <w:left w:val="none" w:sz="0" w:space="0" w:color="auto"/>
        <w:bottom w:val="none" w:sz="0" w:space="0" w:color="auto"/>
        <w:right w:val="none" w:sz="0" w:space="0" w:color="auto"/>
      </w:divBdr>
    </w:div>
    <w:div w:id="21245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n.handicapinternational.be/downloads/files/25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E89CF-3C37-4396-B1B7-80500BE7F744}"/>
</file>

<file path=customXml/itemProps2.xml><?xml version="1.0" encoding="utf-8"?>
<ds:datastoreItem xmlns:ds="http://schemas.openxmlformats.org/officeDocument/2006/customXml" ds:itemID="{4369C2B1-877C-43B5-AA53-4DB2C5C45A4B}"/>
</file>

<file path=customXml/itemProps3.xml><?xml version="1.0" encoding="utf-8"?>
<ds:datastoreItem xmlns:ds="http://schemas.openxmlformats.org/officeDocument/2006/customXml" ds:itemID="{E5B5F6F3-D107-40A7-A7B8-74742BF12207}"/>
</file>

<file path=customXml/itemProps4.xml><?xml version="1.0" encoding="utf-8"?>
<ds:datastoreItem xmlns:ds="http://schemas.openxmlformats.org/officeDocument/2006/customXml" ds:itemID="{DA84F41A-A870-4912-8431-E962C72F1030}"/>
</file>

<file path=docProps/app.xml><?xml version="1.0" encoding="utf-8"?>
<Properties xmlns="http://schemas.openxmlformats.org/officeDocument/2006/extended-properties" xmlns:vt="http://schemas.openxmlformats.org/officeDocument/2006/docPropsVTypes">
  <Template>Normal</Template>
  <TotalTime>1</TotalTime>
  <Pages>15</Pages>
  <Words>5289</Words>
  <Characters>30148</Characters>
  <Application>Microsoft Office Word</Application>
  <DocSecurity>0</DocSecurity>
  <Lines>251</Lines>
  <Paragraphs>70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Third Narrative and Financial Progress Report to the Government of Australia</vt:lpstr>
    </vt:vector>
  </TitlesOfParts>
  <Company>UNDP-Iraq CO</Company>
  <LinksUpToDate>false</LinksUpToDate>
  <CharactersWithSpaces>35367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shadin.goussous</dc:creator>
  <cp:lastModifiedBy>Shadin Goussous</cp:lastModifiedBy>
  <cp:revision>2</cp:revision>
  <cp:lastPrinted>2012-02-01T09:30:00Z</cp:lastPrinted>
  <dcterms:created xsi:type="dcterms:W3CDTF">2012-02-01T09:31:00Z</dcterms:created>
  <dcterms:modified xsi:type="dcterms:W3CDTF">2012-02-01T09:31:00Z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