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1C2B2" w14:textId="29B41819" w:rsidR="0028578F" w:rsidRDefault="00464802" w:rsidP="00011523">
      <w:pPr>
        <w:rPr>
          <w:noProof/>
          <w:szCs w:val="22"/>
        </w:rPr>
      </w:pPr>
      <w:r>
        <w:rPr>
          <w:noProof/>
        </w:rPr>
        <w:drawing>
          <wp:anchor distT="0" distB="0" distL="114300" distR="114300" simplePos="0" relativeHeight="251684868" behindDoc="0" locked="0" layoutInCell="1" allowOverlap="1" wp14:anchorId="273A74BC" wp14:editId="51E71296">
            <wp:simplePos x="0" y="0"/>
            <wp:positionH relativeFrom="page">
              <wp:posOffset>9525</wp:posOffset>
            </wp:positionH>
            <wp:positionV relativeFrom="paragraph">
              <wp:posOffset>-724535</wp:posOffset>
            </wp:positionV>
            <wp:extent cx="7672347" cy="10854117"/>
            <wp:effectExtent l="0" t="0" r="0" b="4445"/>
            <wp:wrapNone/>
            <wp:docPr id="2" name="Picture 1" descr="Cover page - Mekong-Australia Partnership Annual Report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ver page - Mekong-Australia Partnership Annual Report - 2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2347" cy="10854117"/>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0" w:name="_Hlk203046981"/>
    <w:bookmarkEnd w:id="0"/>
    <w:p w14:paraId="67A3D6B3" w14:textId="7D0D4FA5" w:rsidR="0028578F" w:rsidRDefault="00464802">
      <w:pPr>
        <w:spacing w:before="0" w:after="160" w:line="259" w:lineRule="auto"/>
        <w:rPr>
          <w:noProof/>
          <w:szCs w:val="22"/>
        </w:rPr>
      </w:pPr>
      <w:r>
        <w:rPr>
          <w:noProof/>
          <w14:ligatures w14:val="standardContextual"/>
        </w:rPr>
        <mc:AlternateContent>
          <mc:Choice Requires="wps">
            <w:drawing>
              <wp:anchor distT="0" distB="0" distL="114300" distR="114300" simplePos="0" relativeHeight="251686916" behindDoc="0" locked="0" layoutInCell="1" allowOverlap="1" wp14:anchorId="4176E924" wp14:editId="0C011ED4">
                <wp:simplePos x="0" y="0"/>
                <wp:positionH relativeFrom="margin">
                  <wp:posOffset>478790</wp:posOffset>
                </wp:positionH>
                <wp:positionV relativeFrom="paragraph">
                  <wp:posOffset>8259445</wp:posOffset>
                </wp:positionV>
                <wp:extent cx="1237785" cy="747131"/>
                <wp:effectExtent l="0" t="0" r="0" b="0"/>
                <wp:wrapNone/>
                <wp:docPr id="95513642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37785" cy="747131"/>
                        </a:xfrm>
                        <a:prstGeom prst="rect">
                          <a:avLst/>
                        </a:prstGeom>
                        <a:noFill/>
                        <a:ln w="6350">
                          <a:noFill/>
                        </a:ln>
                      </wps:spPr>
                      <wps:txbx>
                        <w:txbxContent>
                          <w:p w14:paraId="75987B63" w14:textId="28C0EAEC" w:rsidR="00464802" w:rsidRPr="0058714D" w:rsidRDefault="00464802" w:rsidP="00464802">
                            <w:pPr>
                              <w:rPr>
                                <w:sz w:val="56"/>
                                <w:szCs w:val="56"/>
                              </w:rPr>
                            </w:pPr>
                            <w:r w:rsidRPr="0058714D">
                              <w:rPr>
                                <w:b/>
                                <w:bCs/>
                                <w:color w:val="FFFFFF" w:themeColor="background1"/>
                                <w:sz w:val="56"/>
                                <w:szCs w:val="5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6E924" id="_x0000_t202" coordsize="21600,21600" o:spt="202" path="m,l,21600r21600,l21600,xe">
                <v:stroke joinstyle="miter"/>
                <v:path gradientshapeok="t" o:connecttype="rect"/>
              </v:shapetype>
              <v:shape id="Text Box 1" o:spid="_x0000_s1026" type="#_x0000_t202" alt="&quot;&quot;" style="position:absolute;margin-left:37.7pt;margin-top:650.35pt;width:97.45pt;height:58.85pt;z-index:2516869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" filled="f" stroked="f" strokeweight=".5pt">
                <v:textbox>
                  <w:txbxContent>
                    <w:p w14:paraId="75987B63" w14:textId="28C0EAEC" w:rsidR="00464802" w:rsidRPr="0058714D" w:rsidRDefault="00464802" w:rsidP="00464802">
                      <w:pPr>
                        <w:rPr>
                          <w:sz w:val="56"/>
                          <w:szCs w:val="56"/>
                        </w:rPr>
                      </w:pPr>
                      <w:r w:rsidRPr="0058714D">
                        <w:rPr>
                          <w:b/>
                          <w:bCs/>
                          <w:color w:val="FFFFFF" w:themeColor="background1"/>
                          <w:sz w:val="56"/>
                          <w:szCs w:val="56"/>
                        </w:rPr>
                        <w:t>2024</w:t>
                      </w:r>
                    </w:p>
                  </w:txbxContent>
                </v:textbox>
                <w10:wrap anchorx="margin"/>
              </v:shape>
            </w:pict>
          </mc:Fallback>
        </mc:AlternateContent>
      </w:r>
      <w:r>
        <w:rPr>
          <w:noProof/>
        </w:rPr>
        <mc:AlternateContent>
          <mc:Choice Requires="wps">
            <w:drawing>
              <wp:anchor distT="0" distB="0" distL="114300" distR="114300" simplePos="0" relativeHeight="251671556" behindDoc="0" locked="0" layoutInCell="1" allowOverlap="1" wp14:anchorId="345CE8ED" wp14:editId="6676BCDB">
                <wp:simplePos x="0" y="0"/>
                <wp:positionH relativeFrom="column">
                  <wp:posOffset>707390</wp:posOffset>
                </wp:positionH>
                <wp:positionV relativeFrom="paragraph">
                  <wp:posOffset>8078470</wp:posOffset>
                </wp:positionV>
                <wp:extent cx="800100" cy="457200"/>
                <wp:effectExtent l="0" t="0" r="0" b="0"/>
                <wp:wrapNone/>
                <wp:docPr id="473481877" name="Text Box 1"/>
                <wp:cNvGraphicFramePr/>
                <a:graphic xmlns:a="http://schemas.openxmlformats.org/drawingml/2006/main">
                  <a:graphicData uri="http://schemas.microsoft.com/office/word/2010/wordprocessingShape">
                    <wps:wsp>
                      <wps:cNvSpPr txBox="1"/>
                      <wps:spPr>
                        <a:xfrm>
                          <a:off x="0" y="0"/>
                          <a:ext cx="800100" cy="457200"/>
                        </a:xfrm>
                        <a:prstGeom prst="rect">
                          <a:avLst/>
                        </a:prstGeom>
                        <a:solidFill>
                          <a:schemeClr val="accent1"/>
                        </a:solidFill>
                        <a:ln w="6350">
                          <a:noFill/>
                        </a:ln>
                      </wps:spPr>
                      <wps:txbx>
                        <w:txbxContent>
                          <w:p w14:paraId="41B6F232" w14:textId="77777777" w:rsidR="00294E7C" w:rsidRPr="00526413" w:rsidRDefault="00294E7C" w:rsidP="00294E7C">
                            <w:pPr>
                              <w:rPr>
                                <w:rFonts w:ascii="Bahnschrift" w:hAnsi="Bahnschrift"/>
                                <w:color w:val="FFFFFF" w:themeColor="background1"/>
                                <w:sz w:val="44"/>
                                <w:szCs w:val="44"/>
                              </w:rPr>
                            </w:pPr>
                            <w:r w:rsidRPr="00526413">
                              <w:rPr>
                                <w:rFonts w:ascii="Bahnschrift" w:hAnsi="Bahnschrift"/>
                                <w:color w:val="FFFFFF" w:themeColor="background1"/>
                                <w:sz w:val="44"/>
                                <w:szCs w:val="44"/>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CE8ED" id="_x0000_s1027" type="#_x0000_t202" style="position:absolute;margin-left:55.7pt;margin-top:636.1pt;width:63pt;height:36pt;z-index:2516715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" fillcolor="#00837c [3204]" stroked="f" strokeweight=".5pt">
                <v:textbox>
                  <w:txbxContent>
                    <w:p w14:paraId="41B6F232" w14:textId="77777777" w:rsidR="00294E7C" w:rsidRPr="00526413" w:rsidRDefault="00294E7C" w:rsidP="00294E7C">
                      <w:pPr>
                        <w:rPr>
                          <w:rFonts w:ascii="Bahnschrift" w:hAnsi="Bahnschrift"/>
                          <w:color w:val="FFFFFF" w:themeColor="background1"/>
                          <w:sz w:val="44"/>
                          <w:szCs w:val="44"/>
                        </w:rPr>
                      </w:pPr>
                      <w:r w:rsidRPr="00526413">
                        <w:rPr>
                          <w:rFonts w:ascii="Bahnschrift" w:hAnsi="Bahnschrift"/>
                          <w:color w:val="FFFFFF" w:themeColor="background1"/>
                          <w:sz w:val="44"/>
                          <w:szCs w:val="44"/>
                        </w:rPr>
                        <w:t>2024</w:t>
                      </w:r>
                    </w:p>
                  </w:txbxContent>
                </v:textbox>
              </v:shape>
            </w:pict>
          </mc:Fallback>
        </mc:AlternateContent>
      </w:r>
      <w:r w:rsidR="0028578F">
        <w:rPr>
          <w:noProof/>
          <w:szCs w:val="22"/>
        </w:rPr>
        <w:br w:type="page"/>
      </w:r>
    </w:p>
    <w:p w14:paraId="77478200" w14:textId="13707AE7" w:rsidR="00EF220C" w:rsidRPr="00294A78" w:rsidRDefault="00EF220C" w:rsidP="00011523">
      <w:pPr>
        <w:rPr>
          <w:b/>
          <w:bCs/>
          <w:color w:val="BFBFBF" w:themeColor="background1" w:themeShade="BF"/>
          <w:szCs w:val="22"/>
        </w:rPr>
      </w:pPr>
    </w:p>
    <w:p w14:paraId="2D1A913F" w14:textId="0B638F36" w:rsidR="0021532B" w:rsidRPr="0021532B" w:rsidRDefault="0021532B" w:rsidP="0021532B">
      <w:pPr>
        <w:pStyle w:val="TOCHeading"/>
        <w:ind w:firstLine="720"/>
        <w:rPr>
          <w:rFonts w:ascii="Aptos" w:hAnsi="Aptos" w:cstheme="minorHAnsi"/>
          <w:b/>
          <w:bCs/>
        </w:rPr>
        <w:sectPr w:rsidR="0021532B" w:rsidRPr="0021532B" w:rsidSect="00A14655">
          <w:headerReference w:type="default" r:id="rId9"/>
          <w:footerReference w:type="default" r:id="rId10"/>
          <w:footerReference w:type="first" r:id="rId11"/>
          <w:pgSz w:w="11906" w:h="16838" w:code="9"/>
          <w:pgMar w:top="1134" w:right="851" w:bottom="851" w:left="851" w:header="567" w:footer="567" w:gutter="0"/>
          <w:cols w:space="720"/>
          <w:titlePg/>
          <w:docGrid w:linePitch="360"/>
        </w:sectPr>
      </w:pPr>
      <w:r w:rsidRPr="00A47E81">
        <w:rPr>
          <w:rFonts w:ascii="Aptos" w:hAnsi="Aptos" w:cstheme="minorHAnsi"/>
          <w:b/>
          <w:bCs/>
        </w:rPr>
        <w:t>Contents</w:t>
      </w:r>
    </w:p>
    <w:sdt>
      <w:sdtPr>
        <w:rPr>
          <w:b w:val="0"/>
          <w:szCs w:val="22"/>
        </w:rPr>
        <w:id w:val="234371647"/>
        <w:docPartObj>
          <w:docPartGallery w:val="Table of Contents"/>
          <w:docPartUnique/>
        </w:docPartObj>
      </w:sdtPr>
      <w:sdtEndPr>
        <w:rPr>
          <w:rFonts w:cstheme="minorHAnsi"/>
          <w:bCs/>
          <w:noProof/>
        </w:rPr>
      </w:sdtEndPr>
      <w:sdtContent>
        <w:p w14:paraId="30526068" w14:textId="3B4C5ABC" w:rsidR="008F7E5F" w:rsidRDefault="00BC6D02">
          <w:pPr>
            <w:pStyle w:val="TOC1"/>
            <w:rPr>
              <w:rFonts w:asciiTheme="minorHAnsi" w:eastAsiaTheme="minorEastAsia" w:hAnsiTheme="minorHAnsi"/>
              <w:b w:val="0"/>
              <w:noProof/>
              <w:color w:val="auto"/>
              <w:kern w:val="2"/>
              <w:sz w:val="24"/>
              <w:szCs w:val="24"/>
              <w:lang w:val="en-US"/>
              <w14:ligatures w14:val="standardContextual"/>
            </w:rPr>
          </w:pPr>
          <w:r w:rsidRPr="00294A78">
            <w:rPr>
              <w:rFonts w:cstheme="minorHAnsi"/>
              <w:szCs w:val="22"/>
            </w:rPr>
            <w:fldChar w:fldCharType="begin"/>
          </w:r>
          <w:r w:rsidRPr="00294A78">
            <w:rPr>
              <w:rFonts w:cstheme="minorHAnsi"/>
              <w:szCs w:val="22"/>
            </w:rPr>
            <w:instrText xml:space="preserve"> TOC \o "1-3" \h \z \u </w:instrText>
          </w:r>
          <w:r w:rsidRPr="00294A78">
            <w:rPr>
              <w:rFonts w:cstheme="minorHAnsi"/>
              <w:szCs w:val="22"/>
            </w:rPr>
            <w:fldChar w:fldCharType="separate"/>
          </w:r>
          <w:hyperlink w:anchor="_Toc210034382" w:history="1">
            <w:r w:rsidR="008F7E5F" w:rsidRPr="00ED57A4">
              <w:rPr>
                <w:rStyle w:val="Hyperlink"/>
                <w:noProof/>
              </w:rPr>
              <w:t>1</w:t>
            </w:r>
            <w:r w:rsidR="008F7E5F">
              <w:rPr>
                <w:rFonts w:asciiTheme="minorHAnsi" w:eastAsiaTheme="minorEastAsia" w:hAnsiTheme="minorHAnsi"/>
                <w:b w:val="0"/>
                <w:noProof/>
                <w:color w:val="auto"/>
                <w:kern w:val="2"/>
                <w:sz w:val="24"/>
                <w:szCs w:val="24"/>
                <w:lang w:val="en-US"/>
                <w14:ligatures w14:val="standardContextual"/>
              </w:rPr>
              <w:tab/>
            </w:r>
            <w:r w:rsidR="008F7E5F" w:rsidRPr="00ED57A4">
              <w:rPr>
                <w:rStyle w:val="Hyperlink"/>
                <w:noProof/>
              </w:rPr>
              <w:t>Glossary</w:t>
            </w:r>
            <w:r w:rsidR="008F7E5F">
              <w:rPr>
                <w:noProof/>
                <w:webHidden/>
              </w:rPr>
              <w:tab/>
            </w:r>
            <w:r w:rsidR="008F7E5F">
              <w:rPr>
                <w:noProof/>
                <w:webHidden/>
              </w:rPr>
              <w:fldChar w:fldCharType="begin"/>
            </w:r>
            <w:r w:rsidR="008F7E5F">
              <w:rPr>
                <w:noProof/>
                <w:webHidden/>
              </w:rPr>
              <w:instrText xml:space="preserve"> PAGEREF _Toc210034382 \h </w:instrText>
            </w:r>
            <w:r w:rsidR="008F7E5F">
              <w:rPr>
                <w:noProof/>
                <w:webHidden/>
              </w:rPr>
            </w:r>
            <w:r w:rsidR="008F7E5F">
              <w:rPr>
                <w:noProof/>
                <w:webHidden/>
              </w:rPr>
              <w:fldChar w:fldCharType="separate"/>
            </w:r>
            <w:r w:rsidR="008F7E5F">
              <w:rPr>
                <w:noProof/>
                <w:webHidden/>
              </w:rPr>
              <w:t>3</w:t>
            </w:r>
            <w:r w:rsidR="008F7E5F">
              <w:rPr>
                <w:noProof/>
                <w:webHidden/>
              </w:rPr>
              <w:fldChar w:fldCharType="end"/>
            </w:r>
          </w:hyperlink>
        </w:p>
        <w:p w14:paraId="63494474" w14:textId="242ABDEA" w:rsidR="008F7E5F" w:rsidRDefault="008F7E5F">
          <w:pPr>
            <w:pStyle w:val="TOC1"/>
            <w:rPr>
              <w:rFonts w:asciiTheme="minorHAnsi" w:eastAsiaTheme="minorEastAsia" w:hAnsiTheme="minorHAnsi"/>
              <w:b w:val="0"/>
              <w:noProof/>
              <w:color w:val="auto"/>
              <w:kern w:val="2"/>
              <w:sz w:val="24"/>
              <w:szCs w:val="24"/>
              <w:lang w:val="en-US"/>
              <w14:ligatures w14:val="standardContextual"/>
            </w:rPr>
          </w:pPr>
          <w:hyperlink w:anchor="_Toc210034383" w:history="1">
            <w:r w:rsidRPr="00ED57A4">
              <w:rPr>
                <w:rStyle w:val="Hyperlink"/>
                <w:noProof/>
              </w:rPr>
              <w:t>2</w:t>
            </w:r>
            <w:r>
              <w:rPr>
                <w:rFonts w:asciiTheme="minorHAnsi" w:eastAsiaTheme="minorEastAsia" w:hAnsiTheme="minorHAnsi"/>
                <w:b w:val="0"/>
                <w:noProof/>
                <w:color w:val="auto"/>
                <w:kern w:val="2"/>
                <w:sz w:val="24"/>
                <w:szCs w:val="24"/>
                <w:lang w:val="en-US"/>
                <w14:ligatures w14:val="standardContextual"/>
              </w:rPr>
              <w:tab/>
            </w:r>
            <w:r w:rsidRPr="00ED57A4">
              <w:rPr>
                <w:rStyle w:val="Hyperlink"/>
                <w:noProof/>
              </w:rPr>
              <w:t>Executive Summary</w:t>
            </w:r>
            <w:r>
              <w:rPr>
                <w:noProof/>
                <w:webHidden/>
              </w:rPr>
              <w:tab/>
            </w:r>
            <w:r>
              <w:rPr>
                <w:noProof/>
                <w:webHidden/>
              </w:rPr>
              <w:fldChar w:fldCharType="begin"/>
            </w:r>
            <w:r>
              <w:rPr>
                <w:noProof/>
                <w:webHidden/>
              </w:rPr>
              <w:instrText xml:space="preserve"> PAGEREF _Toc210034383 \h </w:instrText>
            </w:r>
            <w:r>
              <w:rPr>
                <w:noProof/>
                <w:webHidden/>
              </w:rPr>
            </w:r>
            <w:r>
              <w:rPr>
                <w:noProof/>
                <w:webHidden/>
              </w:rPr>
              <w:fldChar w:fldCharType="separate"/>
            </w:r>
            <w:r>
              <w:rPr>
                <w:noProof/>
                <w:webHidden/>
              </w:rPr>
              <w:t>6</w:t>
            </w:r>
            <w:r>
              <w:rPr>
                <w:noProof/>
                <w:webHidden/>
              </w:rPr>
              <w:fldChar w:fldCharType="end"/>
            </w:r>
          </w:hyperlink>
        </w:p>
        <w:p w14:paraId="3572537F" w14:textId="73030EF4" w:rsidR="008F7E5F" w:rsidRDefault="008F7E5F">
          <w:pPr>
            <w:pStyle w:val="TOC1"/>
            <w:rPr>
              <w:rFonts w:asciiTheme="minorHAnsi" w:eastAsiaTheme="minorEastAsia" w:hAnsiTheme="minorHAnsi"/>
              <w:b w:val="0"/>
              <w:noProof/>
              <w:color w:val="auto"/>
              <w:kern w:val="2"/>
              <w:sz w:val="24"/>
              <w:szCs w:val="24"/>
              <w:lang w:val="en-US"/>
              <w14:ligatures w14:val="standardContextual"/>
            </w:rPr>
          </w:pPr>
          <w:hyperlink w:anchor="_Toc210034386" w:history="1">
            <w:r w:rsidRPr="00ED57A4">
              <w:rPr>
                <w:rStyle w:val="Hyperlink"/>
                <w:noProof/>
              </w:rPr>
              <w:t>3</w:t>
            </w:r>
            <w:r>
              <w:rPr>
                <w:rFonts w:asciiTheme="minorHAnsi" w:eastAsiaTheme="minorEastAsia" w:hAnsiTheme="minorHAnsi"/>
                <w:b w:val="0"/>
                <w:noProof/>
                <w:color w:val="auto"/>
                <w:kern w:val="2"/>
                <w:sz w:val="24"/>
                <w:szCs w:val="24"/>
                <w:lang w:val="en-US"/>
                <w14:ligatures w14:val="standardContextual"/>
              </w:rPr>
              <w:tab/>
            </w:r>
            <w:r w:rsidRPr="00ED57A4">
              <w:rPr>
                <w:rStyle w:val="Hyperlink"/>
                <w:noProof/>
              </w:rPr>
              <w:t>Introduction and Context</w:t>
            </w:r>
            <w:r>
              <w:rPr>
                <w:noProof/>
                <w:webHidden/>
              </w:rPr>
              <w:tab/>
            </w:r>
            <w:r>
              <w:rPr>
                <w:noProof/>
                <w:webHidden/>
              </w:rPr>
              <w:fldChar w:fldCharType="begin"/>
            </w:r>
            <w:r>
              <w:rPr>
                <w:noProof/>
                <w:webHidden/>
              </w:rPr>
              <w:instrText xml:space="preserve"> PAGEREF _Toc210034386 \h </w:instrText>
            </w:r>
            <w:r>
              <w:rPr>
                <w:noProof/>
                <w:webHidden/>
              </w:rPr>
            </w:r>
            <w:r>
              <w:rPr>
                <w:noProof/>
                <w:webHidden/>
              </w:rPr>
              <w:fldChar w:fldCharType="separate"/>
            </w:r>
            <w:r>
              <w:rPr>
                <w:noProof/>
                <w:webHidden/>
              </w:rPr>
              <w:t>9</w:t>
            </w:r>
            <w:r>
              <w:rPr>
                <w:noProof/>
                <w:webHidden/>
              </w:rPr>
              <w:fldChar w:fldCharType="end"/>
            </w:r>
          </w:hyperlink>
        </w:p>
        <w:p w14:paraId="7DF9EE86" w14:textId="54E66545" w:rsidR="008F7E5F" w:rsidRDefault="008F7E5F">
          <w:pPr>
            <w:pStyle w:val="TOC2"/>
            <w:rPr>
              <w:rFonts w:asciiTheme="minorHAnsi" w:eastAsiaTheme="minorEastAsia" w:hAnsiTheme="minorHAnsi"/>
              <w:noProof/>
              <w:color w:val="auto"/>
              <w:kern w:val="2"/>
              <w:sz w:val="24"/>
              <w:szCs w:val="24"/>
              <w:lang w:val="en-US"/>
              <w14:ligatures w14:val="standardContextual"/>
            </w:rPr>
          </w:pPr>
          <w:hyperlink w:anchor="_Toc210034387" w:history="1">
            <w:r w:rsidRPr="00ED57A4">
              <w:rPr>
                <w:rStyle w:val="Hyperlink"/>
                <w:noProof/>
              </w:rPr>
              <w:t>Purpose of this Annual Report</w:t>
            </w:r>
            <w:r>
              <w:rPr>
                <w:noProof/>
                <w:webHidden/>
              </w:rPr>
              <w:tab/>
            </w:r>
            <w:r>
              <w:rPr>
                <w:noProof/>
                <w:webHidden/>
              </w:rPr>
              <w:fldChar w:fldCharType="begin"/>
            </w:r>
            <w:r>
              <w:rPr>
                <w:noProof/>
                <w:webHidden/>
              </w:rPr>
              <w:instrText xml:space="preserve"> PAGEREF _Toc210034387 \h </w:instrText>
            </w:r>
            <w:r>
              <w:rPr>
                <w:noProof/>
                <w:webHidden/>
              </w:rPr>
            </w:r>
            <w:r>
              <w:rPr>
                <w:noProof/>
                <w:webHidden/>
              </w:rPr>
              <w:fldChar w:fldCharType="separate"/>
            </w:r>
            <w:r>
              <w:rPr>
                <w:noProof/>
                <w:webHidden/>
              </w:rPr>
              <w:t>10</w:t>
            </w:r>
            <w:r>
              <w:rPr>
                <w:noProof/>
                <w:webHidden/>
              </w:rPr>
              <w:fldChar w:fldCharType="end"/>
            </w:r>
          </w:hyperlink>
        </w:p>
        <w:p w14:paraId="78407E24" w14:textId="03B60A7A" w:rsidR="008F7E5F" w:rsidRDefault="008F7E5F">
          <w:pPr>
            <w:pStyle w:val="TOC2"/>
            <w:rPr>
              <w:rFonts w:asciiTheme="minorHAnsi" w:eastAsiaTheme="minorEastAsia" w:hAnsiTheme="minorHAnsi"/>
              <w:noProof/>
              <w:color w:val="auto"/>
              <w:kern w:val="2"/>
              <w:sz w:val="24"/>
              <w:szCs w:val="24"/>
              <w:lang w:val="en-US"/>
              <w14:ligatures w14:val="standardContextual"/>
            </w:rPr>
          </w:pPr>
          <w:hyperlink w:anchor="_Toc210034388" w:history="1">
            <w:r w:rsidRPr="00ED57A4">
              <w:rPr>
                <w:rStyle w:val="Hyperlink"/>
                <w:noProof/>
              </w:rPr>
              <w:t>MAP Goal and Outcomes</w:t>
            </w:r>
            <w:r>
              <w:rPr>
                <w:noProof/>
                <w:webHidden/>
              </w:rPr>
              <w:tab/>
            </w:r>
            <w:r>
              <w:rPr>
                <w:noProof/>
                <w:webHidden/>
              </w:rPr>
              <w:fldChar w:fldCharType="begin"/>
            </w:r>
            <w:r>
              <w:rPr>
                <w:noProof/>
                <w:webHidden/>
              </w:rPr>
              <w:instrText xml:space="preserve"> PAGEREF _Toc210034388 \h </w:instrText>
            </w:r>
            <w:r>
              <w:rPr>
                <w:noProof/>
                <w:webHidden/>
              </w:rPr>
            </w:r>
            <w:r>
              <w:rPr>
                <w:noProof/>
                <w:webHidden/>
              </w:rPr>
              <w:fldChar w:fldCharType="separate"/>
            </w:r>
            <w:r>
              <w:rPr>
                <w:noProof/>
                <w:webHidden/>
              </w:rPr>
              <w:t>10</w:t>
            </w:r>
            <w:r>
              <w:rPr>
                <w:noProof/>
                <w:webHidden/>
              </w:rPr>
              <w:fldChar w:fldCharType="end"/>
            </w:r>
          </w:hyperlink>
        </w:p>
        <w:p w14:paraId="5D3427D5" w14:textId="5617F499" w:rsidR="008F7E5F" w:rsidRDefault="008F7E5F">
          <w:pPr>
            <w:pStyle w:val="TOC1"/>
            <w:rPr>
              <w:rFonts w:asciiTheme="minorHAnsi" w:eastAsiaTheme="minorEastAsia" w:hAnsiTheme="minorHAnsi"/>
              <w:b w:val="0"/>
              <w:noProof/>
              <w:color w:val="auto"/>
              <w:kern w:val="2"/>
              <w:sz w:val="24"/>
              <w:szCs w:val="24"/>
              <w:lang w:val="en-US"/>
              <w14:ligatures w14:val="standardContextual"/>
            </w:rPr>
          </w:pPr>
          <w:hyperlink w:anchor="_Toc210034389" w:history="1">
            <w:r w:rsidRPr="00ED57A4">
              <w:rPr>
                <w:rStyle w:val="Hyperlink"/>
                <w:noProof/>
              </w:rPr>
              <w:t>4</w:t>
            </w:r>
            <w:r>
              <w:rPr>
                <w:rFonts w:asciiTheme="minorHAnsi" w:eastAsiaTheme="minorEastAsia" w:hAnsiTheme="minorHAnsi"/>
                <w:b w:val="0"/>
                <w:noProof/>
                <w:color w:val="auto"/>
                <w:kern w:val="2"/>
                <w:sz w:val="24"/>
                <w:szCs w:val="24"/>
                <w:lang w:val="en-US"/>
                <w14:ligatures w14:val="standardContextual"/>
              </w:rPr>
              <w:tab/>
            </w:r>
            <w:r w:rsidRPr="00ED57A4">
              <w:rPr>
                <w:rStyle w:val="Hyperlink"/>
                <w:noProof/>
              </w:rPr>
              <w:t>Overview of MAP Thematic Areas</w:t>
            </w:r>
            <w:r>
              <w:rPr>
                <w:noProof/>
                <w:webHidden/>
              </w:rPr>
              <w:tab/>
            </w:r>
            <w:r>
              <w:rPr>
                <w:noProof/>
                <w:webHidden/>
              </w:rPr>
              <w:fldChar w:fldCharType="begin"/>
            </w:r>
            <w:r>
              <w:rPr>
                <w:noProof/>
                <w:webHidden/>
              </w:rPr>
              <w:instrText xml:space="preserve"> PAGEREF _Toc210034389 \h </w:instrText>
            </w:r>
            <w:r>
              <w:rPr>
                <w:noProof/>
                <w:webHidden/>
              </w:rPr>
            </w:r>
            <w:r>
              <w:rPr>
                <w:noProof/>
                <w:webHidden/>
              </w:rPr>
              <w:fldChar w:fldCharType="separate"/>
            </w:r>
            <w:r>
              <w:rPr>
                <w:noProof/>
                <w:webHidden/>
              </w:rPr>
              <w:t>13</w:t>
            </w:r>
            <w:r>
              <w:rPr>
                <w:noProof/>
                <w:webHidden/>
              </w:rPr>
              <w:fldChar w:fldCharType="end"/>
            </w:r>
          </w:hyperlink>
        </w:p>
        <w:p w14:paraId="34E900DA" w14:textId="1A092660" w:rsidR="008F7E5F" w:rsidRDefault="008F7E5F">
          <w:pPr>
            <w:pStyle w:val="TOC1"/>
            <w:rPr>
              <w:rFonts w:asciiTheme="minorHAnsi" w:eastAsiaTheme="minorEastAsia" w:hAnsiTheme="minorHAnsi"/>
              <w:b w:val="0"/>
              <w:noProof/>
              <w:color w:val="auto"/>
              <w:kern w:val="2"/>
              <w:sz w:val="24"/>
              <w:szCs w:val="24"/>
              <w:lang w:val="en-US"/>
              <w14:ligatures w14:val="standardContextual"/>
            </w:rPr>
          </w:pPr>
          <w:hyperlink w:anchor="_Toc210034390" w:history="1">
            <w:r w:rsidRPr="00ED57A4">
              <w:rPr>
                <w:rStyle w:val="Hyperlink"/>
                <w:noProof/>
              </w:rPr>
              <w:t>5</w:t>
            </w:r>
            <w:r>
              <w:rPr>
                <w:rFonts w:asciiTheme="minorHAnsi" w:eastAsiaTheme="minorEastAsia" w:hAnsiTheme="minorHAnsi"/>
                <w:b w:val="0"/>
                <w:noProof/>
                <w:color w:val="auto"/>
                <w:kern w:val="2"/>
                <w:sz w:val="24"/>
                <w:szCs w:val="24"/>
                <w:lang w:val="en-US"/>
                <w14:ligatures w14:val="standardContextual"/>
              </w:rPr>
              <w:tab/>
            </w:r>
            <w:r w:rsidRPr="00ED57A4">
              <w:rPr>
                <w:rStyle w:val="Hyperlink"/>
                <w:noProof/>
              </w:rPr>
              <w:t>Overall MAP Portfolio Progress</w:t>
            </w:r>
            <w:r>
              <w:rPr>
                <w:noProof/>
                <w:webHidden/>
              </w:rPr>
              <w:tab/>
            </w:r>
            <w:r>
              <w:rPr>
                <w:noProof/>
                <w:webHidden/>
              </w:rPr>
              <w:fldChar w:fldCharType="begin"/>
            </w:r>
            <w:r>
              <w:rPr>
                <w:noProof/>
                <w:webHidden/>
              </w:rPr>
              <w:instrText xml:space="preserve"> PAGEREF _Toc210034390 \h </w:instrText>
            </w:r>
            <w:r>
              <w:rPr>
                <w:noProof/>
                <w:webHidden/>
              </w:rPr>
            </w:r>
            <w:r>
              <w:rPr>
                <w:noProof/>
                <w:webHidden/>
              </w:rPr>
              <w:fldChar w:fldCharType="separate"/>
            </w:r>
            <w:r>
              <w:rPr>
                <w:noProof/>
                <w:webHidden/>
              </w:rPr>
              <w:t>19</w:t>
            </w:r>
            <w:r>
              <w:rPr>
                <w:noProof/>
                <w:webHidden/>
              </w:rPr>
              <w:fldChar w:fldCharType="end"/>
            </w:r>
          </w:hyperlink>
        </w:p>
        <w:p w14:paraId="69D2894E" w14:textId="07830A93" w:rsidR="008F7E5F" w:rsidRDefault="008F7E5F">
          <w:pPr>
            <w:pStyle w:val="TOC2"/>
            <w:rPr>
              <w:rFonts w:asciiTheme="minorHAnsi" w:eastAsiaTheme="minorEastAsia" w:hAnsiTheme="minorHAnsi"/>
              <w:noProof/>
              <w:color w:val="auto"/>
              <w:kern w:val="2"/>
              <w:sz w:val="24"/>
              <w:szCs w:val="24"/>
              <w:lang w:val="en-US"/>
              <w14:ligatures w14:val="standardContextual"/>
            </w:rPr>
          </w:pPr>
          <w:hyperlink w:anchor="_Toc210034391" w:history="1">
            <w:r w:rsidRPr="00ED57A4">
              <w:rPr>
                <w:rStyle w:val="Hyperlink"/>
                <w:noProof/>
              </w:rPr>
              <w:t>Assessment of achievement against MAP EOPOs</w:t>
            </w:r>
            <w:r>
              <w:rPr>
                <w:noProof/>
                <w:webHidden/>
              </w:rPr>
              <w:tab/>
            </w:r>
            <w:r>
              <w:rPr>
                <w:noProof/>
                <w:webHidden/>
              </w:rPr>
              <w:fldChar w:fldCharType="begin"/>
            </w:r>
            <w:r>
              <w:rPr>
                <w:noProof/>
                <w:webHidden/>
              </w:rPr>
              <w:instrText xml:space="preserve"> PAGEREF _Toc210034391 \h </w:instrText>
            </w:r>
            <w:r>
              <w:rPr>
                <w:noProof/>
                <w:webHidden/>
              </w:rPr>
            </w:r>
            <w:r>
              <w:rPr>
                <w:noProof/>
                <w:webHidden/>
              </w:rPr>
              <w:fldChar w:fldCharType="separate"/>
            </w:r>
            <w:r>
              <w:rPr>
                <w:noProof/>
                <w:webHidden/>
              </w:rPr>
              <w:t>19</w:t>
            </w:r>
            <w:r>
              <w:rPr>
                <w:noProof/>
                <w:webHidden/>
              </w:rPr>
              <w:fldChar w:fldCharType="end"/>
            </w:r>
          </w:hyperlink>
        </w:p>
        <w:p w14:paraId="4CEA5492" w14:textId="39FA6669" w:rsidR="008F7E5F" w:rsidRDefault="008F7E5F">
          <w:pPr>
            <w:pStyle w:val="TOC1"/>
            <w:rPr>
              <w:rFonts w:asciiTheme="minorHAnsi" w:eastAsiaTheme="minorEastAsia" w:hAnsiTheme="minorHAnsi"/>
              <w:b w:val="0"/>
              <w:noProof/>
              <w:color w:val="auto"/>
              <w:kern w:val="2"/>
              <w:sz w:val="24"/>
              <w:szCs w:val="24"/>
              <w:lang w:val="en-US"/>
              <w14:ligatures w14:val="standardContextual"/>
            </w:rPr>
          </w:pPr>
          <w:hyperlink w:anchor="_Toc210034392" w:history="1">
            <w:r w:rsidRPr="00ED57A4">
              <w:rPr>
                <w:rStyle w:val="Hyperlink"/>
                <w:noProof/>
              </w:rPr>
              <w:t>6</w:t>
            </w:r>
            <w:r>
              <w:rPr>
                <w:rFonts w:asciiTheme="minorHAnsi" w:eastAsiaTheme="minorEastAsia" w:hAnsiTheme="minorHAnsi"/>
                <w:b w:val="0"/>
                <w:noProof/>
                <w:color w:val="auto"/>
                <w:kern w:val="2"/>
                <w:sz w:val="24"/>
                <w:szCs w:val="24"/>
                <w:lang w:val="en-US"/>
                <w14:ligatures w14:val="standardContextual"/>
              </w:rPr>
              <w:tab/>
            </w:r>
            <w:r w:rsidRPr="00ED57A4">
              <w:rPr>
                <w:rStyle w:val="Hyperlink"/>
                <w:noProof/>
              </w:rPr>
              <w:t>Summary of MAP Pillar Progress</w:t>
            </w:r>
            <w:r>
              <w:rPr>
                <w:noProof/>
                <w:webHidden/>
              </w:rPr>
              <w:tab/>
            </w:r>
            <w:r>
              <w:rPr>
                <w:noProof/>
                <w:webHidden/>
              </w:rPr>
              <w:fldChar w:fldCharType="begin"/>
            </w:r>
            <w:r>
              <w:rPr>
                <w:noProof/>
                <w:webHidden/>
              </w:rPr>
              <w:instrText xml:space="preserve"> PAGEREF _Toc210034392 \h </w:instrText>
            </w:r>
            <w:r>
              <w:rPr>
                <w:noProof/>
                <w:webHidden/>
              </w:rPr>
            </w:r>
            <w:r>
              <w:rPr>
                <w:noProof/>
                <w:webHidden/>
              </w:rPr>
              <w:fldChar w:fldCharType="separate"/>
            </w:r>
            <w:r>
              <w:rPr>
                <w:noProof/>
                <w:webHidden/>
              </w:rPr>
              <w:t>20</w:t>
            </w:r>
            <w:r>
              <w:rPr>
                <w:noProof/>
                <w:webHidden/>
              </w:rPr>
              <w:fldChar w:fldCharType="end"/>
            </w:r>
          </w:hyperlink>
        </w:p>
        <w:p w14:paraId="54BB39B5" w14:textId="2CE32B84" w:rsidR="008F7E5F" w:rsidRDefault="008F7E5F">
          <w:pPr>
            <w:pStyle w:val="TOC2"/>
            <w:rPr>
              <w:rFonts w:asciiTheme="minorHAnsi" w:eastAsiaTheme="minorEastAsia" w:hAnsiTheme="minorHAnsi"/>
              <w:noProof/>
              <w:color w:val="auto"/>
              <w:kern w:val="2"/>
              <w:sz w:val="24"/>
              <w:szCs w:val="24"/>
              <w:lang w:val="en-US"/>
              <w14:ligatures w14:val="standardContextual"/>
            </w:rPr>
          </w:pPr>
          <w:hyperlink w:anchor="_Toc210034393" w:history="1">
            <w:r w:rsidRPr="00ED57A4">
              <w:rPr>
                <w:rStyle w:val="Hyperlink"/>
                <w:noProof/>
              </w:rPr>
              <w:t>Thematic Area 1 – Climate Resilience</w:t>
            </w:r>
            <w:r>
              <w:rPr>
                <w:noProof/>
                <w:webHidden/>
              </w:rPr>
              <w:tab/>
            </w:r>
            <w:r>
              <w:rPr>
                <w:noProof/>
                <w:webHidden/>
              </w:rPr>
              <w:fldChar w:fldCharType="begin"/>
            </w:r>
            <w:r>
              <w:rPr>
                <w:noProof/>
                <w:webHidden/>
              </w:rPr>
              <w:instrText xml:space="preserve"> PAGEREF _Toc210034393 \h </w:instrText>
            </w:r>
            <w:r>
              <w:rPr>
                <w:noProof/>
                <w:webHidden/>
              </w:rPr>
            </w:r>
            <w:r>
              <w:rPr>
                <w:noProof/>
                <w:webHidden/>
              </w:rPr>
              <w:fldChar w:fldCharType="separate"/>
            </w:r>
            <w:r>
              <w:rPr>
                <w:noProof/>
                <w:webHidden/>
              </w:rPr>
              <w:t>20</w:t>
            </w:r>
            <w:r>
              <w:rPr>
                <w:noProof/>
                <w:webHidden/>
              </w:rPr>
              <w:fldChar w:fldCharType="end"/>
            </w:r>
          </w:hyperlink>
        </w:p>
        <w:p w14:paraId="2DA1B856" w14:textId="57F07E74" w:rsidR="008F7E5F" w:rsidRDefault="008F7E5F">
          <w:pPr>
            <w:pStyle w:val="TOC2"/>
            <w:rPr>
              <w:rFonts w:asciiTheme="minorHAnsi" w:eastAsiaTheme="minorEastAsia" w:hAnsiTheme="minorHAnsi"/>
              <w:noProof/>
              <w:color w:val="auto"/>
              <w:kern w:val="2"/>
              <w:sz w:val="24"/>
              <w:szCs w:val="24"/>
              <w:lang w:val="en-US"/>
              <w14:ligatures w14:val="standardContextual"/>
            </w:rPr>
          </w:pPr>
          <w:hyperlink w:anchor="_Toc210034394" w:history="1">
            <w:r w:rsidRPr="00ED57A4">
              <w:rPr>
                <w:rStyle w:val="Hyperlink"/>
                <w:noProof/>
              </w:rPr>
              <w:t>Thematic Area 2 – Water Security</w:t>
            </w:r>
            <w:r>
              <w:rPr>
                <w:noProof/>
                <w:webHidden/>
              </w:rPr>
              <w:tab/>
            </w:r>
            <w:r>
              <w:rPr>
                <w:noProof/>
                <w:webHidden/>
              </w:rPr>
              <w:fldChar w:fldCharType="begin"/>
            </w:r>
            <w:r>
              <w:rPr>
                <w:noProof/>
                <w:webHidden/>
              </w:rPr>
              <w:instrText xml:space="preserve"> PAGEREF _Toc210034394 \h </w:instrText>
            </w:r>
            <w:r>
              <w:rPr>
                <w:noProof/>
                <w:webHidden/>
              </w:rPr>
            </w:r>
            <w:r>
              <w:rPr>
                <w:noProof/>
                <w:webHidden/>
              </w:rPr>
              <w:fldChar w:fldCharType="separate"/>
            </w:r>
            <w:r>
              <w:rPr>
                <w:noProof/>
                <w:webHidden/>
              </w:rPr>
              <w:t>23</w:t>
            </w:r>
            <w:r>
              <w:rPr>
                <w:noProof/>
                <w:webHidden/>
              </w:rPr>
              <w:fldChar w:fldCharType="end"/>
            </w:r>
          </w:hyperlink>
        </w:p>
        <w:p w14:paraId="30297E14" w14:textId="0BE895F2" w:rsidR="008F7E5F" w:rsidRDefault="008F7E5F">
          <w:pPr>
            <w:pStyle w:val="TOC2"/>
            <w:rPr>
              <w:rFonts w:asciiTheme="minorHAnsi" w:eastAsiaTheme="minorEastAsia" w:hAnsiTheme="minorHAnsi"/>
              <w:noProof/>
              <w:color w:val="auto"/>
              <w:kern w:val="2"/>
              <w:sz w:val="24"/>
              <w:szCs w:val="24"/>
              <w:lang w:val="en-US"/>
              <w14:ligatures w14:val="standardContextual"/>
            </w:rPr>
          </w:pPr>
          <w:hyperlink w:anchor="_Toc210034395" w:history="1">
            <w:r w:rsidRPr="00ED57A4">
              <w:rPr>
                <w:rStyle w:val="Hyperlink"/>
                <w:noProof/>
              </w:rPr>
              <w:t>Thematic Area 3 – GEDSI</w:t>
            </w:r>
            <w:r>
              <w:rPr>
                <w:noProof/>
                <w:webHidden/>
              </w:rPr>
              <w:tab/>
            </w:r>
            <w:r>
              <w:rPr>
                <w:noProof/>
                <w:webHidden/>
              </w:rPr>
              <w:fldChar w:fldCharType="begin"/>
            </w:r>
            <w:r>
              <w:rPr>
                <w:noProof/>
                <w:webHidden/>
              </w:rPr>
              <w:instrText xml:space="preserve"> PAGEREF _Toc210034395 \h </w:instrText>
            </w:r>
            <w:r>
              <w:rPr>
                <w:noProof/>
                <w:webHidden/>
              </w:rPr>
            </w:r>
            <w:r>
              <w:rPr>
                <w:noProof/>
                <w:webHidden/>
              </w:rPr>
              <w:fldChar w:fldCharType="separate"/>
            </w:r>
            <w:r>
              <w:rPr>
                <w:noProof/>
                <w:webHidden/>
              </w:rPr>
              <w:t>26</w:t>
            </w:r>
            <w:r>
              <w:rPr>
                <w:noProof/>
                <w:webHidden/>
              </w:rPr>
              <w:fldChar w:fldCharType="end"/>
            </w:r>
          </w:hyperlink>
        </w:p>
        <w:p w14:paraId="42D6A001" w14:textId="7D49EDAF" w:rsidR="008F7E5F" w:rsidRDefault="008F7E5F">
          <w:pPr>
            <w:pStyle w:val="TOC2"/>
            <w:rPr>
              <w:rFonts w:asciiTheme="minorHAnsi" w:eastAsiaTheme="minorEastAsia" w:hAnsiTheme="minorHAnsi"/>
              <w:noProof/>
              <w:color w:val="auto"/>
              <w:kern w:val="2"/>
              <w:sz w:val="24"/>
              <w:szCs w:val="24"/>
              <w:lang w:val="en-US"/>
              <w14:ligatures w14:val="standardContextual"/>
            </w:rPr>
          </w:pPr>
          <w:hyperlink w:anchor="_Toc210034396" w:history="1">
            <w:r w:rsidRPr="00ED57A4">
              <w:rPr>
                <w:rStyle w:val="Hyperlink"/>
                <w:noProof/>
              </w:rPr>
              <w:t>Thematic Area 4 – Economic Resilience and Subregional Integration</w:t>
            </w:r>
            <w:r>
              <w:rPr>
                <w:noProof/>
                <w:webHidden/>
              </w:rPr>
              <w:tab/>
            </w:r>
            <w:r>
              <w:rPr>
                <w:noProof/>
                <w:webHidden/>
              </w:rPr>
              <w:fldChar w:fldCharType="begin"/>
            </w:r>
            <w:r>
              <w:rPr>
                <w:noProof/>
                <w:webHidden/>
              </w:rPr>
              <w:instrText xml:space="preserve"> PAGEREF _Toc210034396 \h </w:instrText>
            </w:r>
            <w:r>
              <w:rPr>
                <w:noProof/>
                <w:webHidden/>
              </w:rPr>
            </w:r>
            <w:r>
              <w:rPr>
                <w:noProof/>
                <w:webHidden/>
              </w:rPr>
              <w:fldChar w:fldCharType="separate"/>
            </w:r>
            <w:r>
              <w:rPr>
                <w:noProof/>
                <w:webHidden/>
              </w:rPr>
              <w:t>29</w:t>
            </w:r>
            <w:r>
              <w:rPr>
                <w:noProof/>
                <w:webHidden/>
              </w:rPr>
              <w:fldChar w:fldCharType="end"/>
            </w:r>
          </w:hyperlink>
        </w:p>
        <w:p w14:paraId="3EC51EEE" w14:textId="0FB97B7E" w:rsidR="008F7E5F" w:rsidRDefault="008F7E5F">
          <w:pPr>
            <w:pStyle w:val="TOC2"/>
            <w:rPr>
              <w:rFonts w:asciiTheme="minorHAnsi" w:eastAsiaTheme="minorEastAsia" w:hAnsiTheme="minorHAnsi"/>
              <w:noProof/>
              <w:color w:val="auto"/>
              <w:kern w:val="2"/>
              <w:sz w:val="24"/>
              <w:szCs w:val="24"/>
              <w:lang w:val="en-US"/>
              <w14:ligatures w14:val="standardContextual"/>
            </w:rPr>
          </w:pPr>
          <w:hyperlink w:anchor="_Toc210034397" w:history="1">
            <w:r w:rsidRPr="00ED57A4">
              <w:rPr>
                <w:rStyle w:val="Hyperlink"/>
                <w:noProof/>
              </w:rPr>
              <w:t>Thematic Area 5 – Transnational Crime (TNC)</w:t>
            </w:r>
            <w:r>
              <w:rPr>
                <w:noProof/>
                <w:webHidden/>
              </w:rPr>
              <w:tab/>
            </w:r>
            <w:r>
              <w:rPr>
                <w:noProof/>
                <w:webHidden/>
              </w:rPr>
              <w:fldChar w:fldCharType="begin"/>
            </w:r>
            <w:r>
              <w:rPr>
                <w:noProof/>
                <w:webHidden/>
              </w:rPr>
              <w:instrText xml:space="preserve"> PAGEREF _Toc210034397 \h </w:instrText>
            </w:r>
            <w:r>
              <w:rPr>
                <w:noProof/>
                <w:webHidden/>
              </w:rPr>
            </w:r>
            <w:r>
              <w:rPr>
                <w:noProof/>
                <w:webHidden/>
              </w:rPr>
              <w:fldChar w:fldCharType="separate"/>
            </w:r>
            <w:r>
              <w:rPr>
                <w:noProof/>
                <w:webHidden/>
              </w:rPr>
              <w:t>32</w:t>
            </w:r>
            <w:r>
              <w:rPr>
                <w:noProof/>
                <w:webHidden/>
              </w:rPr>
              <w:fldChar w:fldCharType="end"/>
            </w:r>
          </w:hyperlink>
        </w:p>
        <w:p w14:paraId="2B405EC3" w14:textId="3515264A" w:rsidR="008F7E5F" w:rsidRDefault="008F7E5F">
          <w:pPr>
            <w:pStyle w:val="TOC1"/>
            <w:rPr>
              <w:rFonts w:asciiTheme="minorHAnsi" w:eastAsiaTheme="minorEastAsia" w:hAnsiTheme="minorHAnsi"/>
              <w:b w:val="0"/>
              <w:noProof/>
              <w:color w:val="auto"/>
              <w:kern w:val="2"/>
              <w:sz w:val="24"/>
              <w:szCs w:val="24"/>
              <w:lang w:val="en-US"/>
              <w14:ligatures w14:val="standardContextual"/>
            </w:rPr>
          </w:pPr>
          <w:hyperlink w:anchor="_Toc210034398" w:history="1">
            <w:r w:rsidRPr="00ED57A4">
              <w:rPr>
                <w:rStyle w:val="Hyperlink"/>
                <w:rFonts w:cstheme="minorHAnsi"/>
                <w:noProof/>
              </w:rPr>
              <w:t>Stakeholder Engagement</w:t>
            </w:r>
            <w:r>
              <w:rPr>
                <w:noProof/>
                <w:webHidden/>
              </w:rPr>
              <w:tab/>
            </w:r>
            <w:r>
              <w:rPr>
                <w:noProof/>
                <w:webHidden/>
              </w:rPr>
              <w:fldChar w:fldCharType="begin"/>
            </w:r>
            <w:r>
              <w:rPr>
                <w:noProof/>
                <w:webHidden/>
              </w:rPr>
              <w:instrText xml:space="preserve"> PAGEREF _Toc210034398 \h </w:instrText>
            </w:r>
            <w:r>
              <w:rPr>
                <w:noProof/>
                <w:webHidden/>
              </w:rPr>
            </w:r>
            <w:r>
              <w:rPr>
                <w:noProof/>
                <w:webHidden/>
              </w:rPr>
              <w:fldChar w:fldCharType="separate"/>
            </w:r>
            <w:r>
              <w:rPr>
                <w:noProof/>
                <w:webHidden/>
              </w:rPr>
              <w:t>35</w:t>
            </w:r>
            <w:r>
              <w:rPr>
                <w:noProof/>
                <w:webHidden/>
              </w:rPr>
              <w:fldChar w:fldCharType="end"/>
            </w:r>
          </w:hyperlink>
        </w:p>
        <w:p w14:paraId="5F80318F" w14:textId="263A6456" w:rsidR="008F7E5F" w:rsidRDefault="008F7E5F">
          <w:pPr>
            <w:pStyle w:val="TOC1"/>
            <w:rPr>
              <w:rFonts w:asciiTheme="minorHAnsi" w:eastAsiaTheme="minorEastAsia" w:hAnsiTheme="minorHAnsi"/>
              <w:b w:val="0"/>
              <w:noProof/>
              <w:color w:val="auto"/>
              <w:kern w:val="2"/>
              <w:sz w:val="24"/>
              <w:szCs w:val="24"/>
              <w:lang w:val="en-US"/>
              <w14:ligatures w14:val="standardContextual"/>
            </w:rPr>
          </w:pPr>
          <w:hyperlink w:anchor="_Toc210034399" w:history="1">
            <w:r w:rsidRPr="00ED57A4">
              <w:rPr>
                <w:rStyle w:val="Hyperlink"/>
                <w:noProof/>
              </w:rPr>
              <w:t>7</w:t>
            </w:r>
            <w:r>
              <w:rPr>
                <w:rFonts w:asciiTheme="minorHAnsi" w:eastAsiaTheme="minorEastAsia" w:hAnsiTheme="minorHAnsi"/>
                <w:b w:val="0"/>
                <w:noProof/>
                <w:color w:val="auto"/>
                <w:kern w:val="2"/>
                <w:sz w:val="24"/>
                <w:szCs w:val="24"/>
                <w:lang w:val="en-US"/>
                <w14:ligatures w14:val="standardContextual"/>
              </w:rPr>
              <w:tab/>
            </w:r>
            <w:r w:rsidRPr="00ED57A4">
              <w:rPr>
                <w:rStyle w:val="Hyperlink"/>
                <w:noProof/>
              </w:rPr>
              <w:t>Conclusion</w:t>
            </w:r>
            <w:r>
              <w:rPr>
                <w:noProof/>
                <w:webHidden/>
              </w:rPr>
              <w:tab/>
            </w:r>
            <w:r>
              <w:rPr>
                <w:noProof/>
                <w:webHidden/>
              </w:rPr>
              <w:fldChar w:fldCharType="begin"/>
            </w:r>
            <w:r>
              <w:rPr>
                <w:noProof/>
                <w:webHidden/>
              </w:rPr>
              <w:instrText xml:space="preserve"> PAGEREF _Toc210034399 \h </w:instrText>
            </w:r>
            <w:r>
              <w:rPr>
                <w:noProof/>
                <w:webHidden/>
              </w:rPr>
            </w:r>
            <w:r>
              <w:rPr>
                <w:noProof/>
                <w:webHidden/>
              </w:rPr>
              <w:fldChar w:fldCharType="separate"/>
            </w:r>
            <w:r>
              <w:rPr>
                <w:noProof/>
                <w:webHidden/>
              </w:rPr>
              <w:t>36</w:t>
            </w:r>
            <w:r>
              <w:rPr>
                <w:noProof/>
                <w:webHidden/>
              </w:rPr>
              <w:fldChar w:fldCharType="end"/>
            </w:r>
          </w:hyperlink>
        </w:p>
        <w:p w14:paraId="53FA292B" w14:textId="7EA8E0E1" w:rsidR="008F7E5F" w:rsidRDefault="008F7E5F">
          <w:pPr>
            <w:pStyle w:val="TOC1"/>
            <w:rPr>
              <w:rFonts w:asciiTheme="minorHAnsi" w:eastAsiaTheme="minorEastAsia" w:hAnsiTheme="minorHAnsi"/>
              <w:b w:val="0"/>
              <w:noProof/>
              <w:color w:val="auto"/>
              <w:kern w:val="2"/>
              <w:sz w:val="24"/>
              <w:szCs w:val="24"/>
              <w:lang w:val="en-US"/>
              <w14:ligatures w14:val="standardContextual"/>
            </w:rPr>
          </w:pPr>
          <w:hyperlink w:anchor="_Toc210034400" w:history="1">
            <w:r w:rsidRPr="00ED57A4">
              <w:rPr>
                <w:rStyle w:val="Hyperlink"/>
                <w:noProof/>
              </w:rPr>
              <w:t>Appendix A – The Mekong-Australia Partnership – text version</w:t>
            </w:r>
            <w:r>
              <w:rPr>
                <w:noProof/>
                <w:webHidden/>
              </w:rPr>
              <w:tab/>
            </w:r>
            <w:r>
              <w:rPr>
                <w:noProof/>
                <w:webHidden/>
              </w:rPr>
              <w:fldChar w:fldCharType="begin"/>
            </w:r>
            <w:r>
              <w:rPr>
                <w:noProof/>
                <w:webHidden/>
              </w:rPr>
              <w:instrText xml:space="preserve"> PAGEREF _Toc210034400 \h </w:instrText>
            </w:r>
            <w:r>
              <w:rPr>
                <w:noProof/>
                <w:webHidden/>
              </w:rPr>
            </w:r>
            <w:r>
              <w:rPr>
                <w:noProof/>
                <w:webHidden/>
              </w:rPr>
              <w:fldChar w:fldCharType="separate"/>
            </w:r>
            <w:r>
              <w:rPr>
                <w:noProof/>
                <w:webHidden/>
              </w:rPr>
              <w:t>37</w:t>
            </w:r>
            <w:r>
              <w:rPr>
                <w:noProof/>
                <w:webHidden/>
              </w:rPr>
              <w:fldChar w:fldCharType="end"/>
            </w:r>
          </w:hyperlink>
        </w:p>
        <w:p w14:paraId="1B18A2A4" w14:textId="1D76C922" w:rsidR="008F7E5F" w:rsidRDefault="008F7E5F">
          <w:pPr>
            <w:pStyle w:val="TOC1"/>
            <w:rPr>
              <w:rFonts w:asciiTheme="minorHAnsi" w:eastAsiaTheme="minorEastAsia" w:hAnsiTheme="minorHAnsi"/>
              <w:b w:val="0"/>
              <w:noProof/>
              <w:color w:val="auto"/>
              <w:kern w:val="2"/>
              <w:sz w:val="24"/>
              <w:szCs w:val="24"/>
              <w:lang w:val="en-US"/>
              <w14:ligatures w14:val="standardContextual"/>
            </w:rPr>
          </w:pPr>
          <w:hyperlink w:anchor="_Toc210034405" w:history="1">
            <w:r w:rsidRPr="00ED57A4">
              <w:rPr>
                <w:rStyle w:val="Hyperlink"/>
                <w:noProof/>
              </w:rPr>
              <w:t>Appendix B – Figure 3 MAP Stakeholder Engagement</w:t>
            </w:r>
            <w:r w:rsidR="00FC0890" w:rsidRPr="00FC0890">
              <w:rPr>
                <w:rStyle w:val="Hyperlink"/>
                <w:noProof/>
              </w:rPr>
              <w:t xml:space="preserve"> – </w:t>
            </w:r>
            <w:r w:rsidRPr="00ED57A4">
              <w:rPr>
                <w:rStyle w:val="Hyperlink"/>
                <w:noProof/>
              </w:rPr>
              <w:t>text version</w:t>
            </w:r>
            <w:r>
              <w:rPr>
                <w:noProof/>
                <w:webHidden/>
              </w:rPr>
              <w:tab/>
            </w:r>
            <w:r>
              <w:rPr>
                <w:noProof/>
                <w:webHidden/>
              </w:rPr>
              <w:fldChar w:fldCharType="begin"/>
            </w:r>
            <w:r>
              <w:rPr>
                <w:noProof/>
                <w:webHidden/>
              </w:rPr>
              <w:instrText xml:space="preserve"> PAGEREF _Toc210034405 \h </w:instrText>
            </w:r>
            <w:r>
              <w:rPr>
                <w:noProof/>
                <w:webHidden/>
              </w:rPr>
            </w:r>
            <w:r>
              <w:rPr>
                <w:noProof/>
                <w:webHidden/>
              </w:rPr>
              <w:fldChar w:fldCharType="separate"/>
            </w:r>
            <w:r>
              <w:rPr>
                <w:noProof/>
                <w:webHidden/>
              </w:rPr>
              <w:t>39</w:t>
            </w:r>
            <w:r>
              <w:rPr>
                <w:noProof/>
                <w:webHidden/>
              </w:rPr>
              <w:fldChar w:fldCharType="end"/>
            </w:r>
          </w:hyperlink>
        </w:p>
        <w:p w14:paraId="3B4B9051" w14:textId="1B2439DC" w:rsidR="00BC6D02" w:rsidRPr="00294A78" w:rsidRDefault="00BC6D02">
          <w:pPr>
            <w:rPr>
              <w:rFonts w:cstheme="minorHAnsi"/>
              <w:szCs w:val="22"/>
            </w:rPr>
          </w:pPr>
          <w:r w:rsidRPr="00294A78">
            <w:rPr>
              <w:rFonts w:cstheme="minorHAnsi"/>
              <w:b/>
              <w:bCs/>
              <w:noProof/>
              <w:szCs w:val="22"/>
            </w:rPr>
            <w:fldChar w:fldCharType="end"/>
          </w:r>
        </w:p>
      </w:sdtContent>
    </w:sdt>
    <w:p w14:paraId="786A9BE6" w14:textId="797D78A2" w:rsidR="00D53FC5" w:rsidRDefault="00D53FC5">
      <w:pPr>
        <w:spacing w:before="0" w:after="160" w:line="259" w:lineRule="auto"/>
        <w:rPr>
          <w:rFonts w:eastAsiaTheme="majorEastAsia" w:cstheme="majorBidi"/>
          <w:b/>
          <w:color w:val="00837C" w:themeColor="accent1"/>
          <w:sz w:val="36"/>
          <w:szCs w:val="40"/>
          <w:highlight w:val="lightGray"/>
        </w:rPr>
      </w:pPr>
      <w:r>
        <w:rPr>
          <w:highlight w:val="lightGray"/>
        </w:rPr>
        <w:br w:type="page"/>
      </w:r>
    </w:p>
    <w:p w14:paraId="6235DFBA" w14:textId="2E7C7A3F" w:rsidR="0008196B" w:rsidRDefault="00BC5FC2" w:rsidP="00907B25">
      <w:pPr>
        <w:pStyle w:val="Heading1"/>
        <w:ind w:left="431" w:hanging="431"/>
      </w:pPr>
      <w:bookmarkStart w:id="1" w:name="_Toc210034382"/>
      <w:r w:rsidRPr="00294A78">
        <w:lastRenderedPageBreak/>
        <w:t>Glossary</w:t>
      </w:r>
      <w:bookmarkEnd w:id="1"/>
    </w:p>
    <w:p w14:paraId="040CAC6A" w14:textId="77777777" w:rsidR="0021532B" w:rsidRPr="0021532B" w:rsidRDefault="0021532B" w:rsidP="0021532B"/>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8194"/>
      </w:tblGrid>
      <w:tr w:rsidR="0021532B" w:rsidRPr="00A47E81" w14:paraId="7BAA671D" w14:textId="77777777" w:rsidTr="00294E7C">
        <w:trPr>
          <w:trHeight w:val="300"/>
          <w:tblHeader/>
        </w:trPr>
        <w:tc>
          <w:tcPr>
            <w:tcW w:w="1610" w:type="dxa"/>
            <w:noWrap/>
            <w:vAlign w:val="center"/>
          </w:tcPr>
          <w:p w14:paraId="221EEE9A" w14:textId="233FB932" w:rsidR="0021532B" w:rsidRPr="0021532B" w:rsidRDefault="0021532B" w:rsidP="0021532B">
            <w:pPr>
              <w:spacing w:before="80"/>
              <w:rPr>
                <w:rFonts w:eastAsia="Times New Roman" w:cstheme="minorHAnsi"/>
                <w:b/>
                <w:bCs/>
                <w:color w:val="auto"/>
                <w:sz w:val="24"/>
                <w:szCs w:val="22"/>
              </w:rPr>
            </w:pPr>
            <w:r w:rsidRPr="0021532B">
              <w:rPr>
                <w:rFonts w:eastAsia="Times New Roman" w:cstheme="minorHAnsi"/>
                <w:b/>
                <w:bCs/>
                <w:color w:val="auto"/>
                <w:sz w:val="24"/>
                <w:szCs w:val="22"/>
              </w:rPr>
              <w:t>Abbreviation</w:t>
            </w:r>
          </w:p>
        </w:tc>
        <w:tc>
          <w:tcPr>
            <w:tcW w:w="8194" w:type="dxa"/>
            <w:noWrap/>
            <w:vAlign w:val="center"/>
          </w:tcPr>
          <w:p w14:paraId="17B45194" w14:textId="47BD439A" w:rsidR="0021532B" w:rsidRPr="0021532B" w:rsidRDefault="0021532B" w:rsidP="0021532B">
            <w:pPr>
              <w:spacing w:before="80"/>
              <w:rPr>
                <w:rFonts w:eastAsia="Times New Roman" w:cstheme="minorHAnsi"/>
                <w:b/>
                <w:bCs/>
                <w:color w:val="auto"/>
                <w:sz w:val="24"/>
                <w:szCs w:val="22"/>
              </w:rPr>
            </w:pPr>
            <w:r w:rsidRPr="0021532B">
              <w:rPr>
                <w:rFonts w:eastAsia="Times New Roman" w:cstheme="minorHAnsi"/>
                <w:b/>
                <w:bCs/>
                <w:color w:val="auto"/>
                <w:sz w:val="24"/>
                <w:szCs w:val="22"/>
              </w:rPr>
              <w:t>Name</w:t>
            </w:r>
          </w:p>
        </w:tc>
      </w:tr>
      <w:tr w:rsidR="00294E7C" w:rsidRPr="00A47E81" w14:paraId="468896CD" w14:textId="77777777" w:rsidTr="00294E7C">
        <w:trPr>
          <w:trHeight w:val="300"/>
        </w:trPr>
        <w:tc>
          <w:tcPr>
            <w:tcW w:w="1610" w:type="dxa"/>
            <w:noWrap/>
            <w:vAlign w:val="center"/>
            <w:hideMark/>
          </w:tcPr>
          <w:p w14:paraId="4B89B24A" w14:textId="78AE8211"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ABF</w:t>
            </w:r>
          </w:p>
        </w:tc>
        <w:tc>
          <w:tcPr>
            <w:tcW w:w="8194" w:type="dxa"/>
            <w:noWrap/>
            <w:vAlign w:val="bottom"/>
            <w:hideMark/>
          </w:tcPr>
          <w:p w14:paraId="7C899E3D" w14:textId="2DFEF1BE"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Australian Border Force</w:t>
            </w:r>
          </w:p>
        </w:tc>
      </w:tr>
      <w:tr w:rsidR="00294E7C" w:rsidRPr="00A47E81" w14:paraId="5B5A02F7" w14:textId="77777777" w:rsidTr="00673242">
        <w:trPr>
          <w:trHeight w:val="300"/>
        </w:trPr>
        <w:tc>
          <w:tcPr>
            <w:tcW w:w="1610" w:type="dxa"/>
            <w:noWrap/>
            <w:vAlign w:val="bottom"/>
            <w:hideMark/>
          </w:tcPr>
          <w:p w14:paraId="010E0E11" w14:textId="44E063FB"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ACCC</w:t>
            </w:r>
          </w:p>
        </w:tc>
        <w:tc>
          <w:tcPr>
            <w:tcW w:w="8194" w:type="dxa"/>
            <w:noWrap/>
            <w:vAlign w:val="bottom"/>
            <w:hideMark/>
          </w:tcPr>
          <w:p w14:paraId="133E629E" w14:textId="7A663489"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Australian Competition and Consumer Commission</w:t>
            </w:r>
          </w:p>
        </w:tc>
      </w:tr>
      <w:tr w:rsidR="00294E7C" w:rsidRPr="00A47E81" w14:paraId="34F70628" w14:textId="77777777" w:rsidTr="00673242">
        <w:trPr>
          <w:trHeight w:val="300"/>
        </w:trPr>
        <w:tc>
          <w:tcPr>
            <w:tcW w:w="1610" w:type="dxa"/>
            <w:noWrap/>
            <w:vAlign w:val="bottom"/>
            <w:hideMark/>
          </w:tcPr>
          <w:p w14:paraId="2730B295" w14:textId="11AB4C60"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ACIAR</w:t>
            </w:r>
          </w:p>
        </w:tc>
        <w:tc>
          <w:tcPr>
            <w:tcW w:w="8194" w:type="dxa"/>
            <w:noWrap/>
            <w:vAlign w:val="bottom"/>
            <w:hideMark/>
          </w:tcPr>
          <w:p w14:paraId="123FCF0E" w14:textId="478389DE"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Australian Centre for International Agricultural Research</w:t>
            </w:r>
          </w:p>
        </w:tc>
      </w:tr>
      <w:tr w:rsidR="00294E7C" w:rsidRPr="00A47E81" w14:paraId="5C944B41" w14:textId="77777777" w:rsidTr="00673242">
        <w:trPr>
          <w:trHeight w:val="300"/>
        </w:trPr>
        <w:tc>
          <w:tcPr>
            <w:tcW w:w="1610" w:type="dxa"/>
            <w:noWrap/>
            <w:vAlign w:val="bottom"/>
            <w:hideMark/>
          </w:tcPr>
          <w:p w14:paraId="03B3FD9C" w14:textId="05C9E19C"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ADB</w:t>
            </w:r>
          </w:p>
        </w:tc>
        <w:tc>
          <w:tcPr>
            <w:tcW w:w="8194" w:type="dxa"/>
            <w:noWrap/>
            <w:vAlign w:val="bottom"/>
            <w:hideMark/>
          </w:tcPr>
          <w:p w14:paraId="2B14EB51" w14:textId="4BC02F97"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Asian Development Bank</w:t>
            </w:r>
          </w:p>
        </w:tc>
      </w:tr>
      <w:tr w:rsidR="00294E7C" w:rsidRPr="00A47E81" w14:paraId="5C890AE6" w14:textId="77777777" w:rsidTr="00673242">
        <w:trPr>
          <w:trHeight w:val="300"/>
        </w:trPr>
        <w:tc>
          <w:tcPr>
            <w:tcW w:w="1610" w:type="dxa"/>
            <w:noWrap/>
            <w:vAlign w:val="bottom"/>
            <w:hideMark/>
          </w:tcPr>
          <w:p w14:paraId="4017EBBB" w14:textId="4842EAC9"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ADIS</w:t>
            </w:r>
          </w:p>
        </w:tc>
        <w:tc>
          <w:tcPr>
            <w:tcW w:w="8194" w:type="dxa"/>
            <w:noWrap/>
            <w:vAlign w:val="bottom"/>
            <w:hideMark/>
          </w:tcPr>
          <w:p w14:paraId="70BB4D15" w14:textId="2BE672FF" w:rsidR="00294E7C" w:rsidRPr="00A47E81" w:rsidRDefault="00294E7C" w:rsidP="00294E7C">
            <w:pPr>
              <w:spacing w:before="0" w:after="0"/>
              <w:rPr>
                <w:rFonts w:eastAsia="Times New Roman" w:cstheme="minorHAnsi"/>
                <w:color w:val="auto"/>
                <w:sz w:val="24"/>
                <w:szCs w:val="22"/>
                <w:lang w:val="en-US"/>
              </w:rPr>
            </w:pPr>
            <w:r w:rsidRPr="00425920">
              <w:rPr>
                <w:rFonts w:asciiTheme="majorHAnsi" w:hAnsiTheme="majorHAnsi" w:cstheme="majorHAnsi"/>
                <w:color w:val="000000" w:themeColor="text1"/>
              </w:rPr>
              <w:t>Alumni Development Impact Survey</w:t>
            </w:r>
          </w:p>
        </w:tc>
      </w:tr>
      <w:tr w:rsidR="00294E7C" w:rsidRPr="00A47E81" w14:paraId="2B7B51B7" w14:textId="77777777" w:rsidTr="00673242">
        <w:trPr>
          <w:trHeight w:val="300"/>
        </w:trPr>
        <w:tc>
          <w:tcPr>
            <w:tcW w:w="1610" w:type="dxa"/>
            <w:noWrap/>
            <w:vAlign w:val="bottom"/>
            <w:hideMark/>
          </w:tcPr>
          <w:p w14:paraId="10740588" w14:textId="1566CA44"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AFP</w:t>
            </w:r>
          </w:p>
        </w:tc>
        <w:tc>
          <w:tcPr>
            <w:tcW w:w="8194" w:type="dxa"/>
            <w:noWrap/>
            <w:vAlign w:val="bottom"/>
            <w:hideMark/>
          </w:tcPr>
          <w:p w14:paraId="4E04DC11" w14:textId="3803190E"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Australian Federal Police</w:t>
            </w:r>
          </w:p>
        </w:tc>
      </w:tr>
      <w:tr w:rsidR="00294E7C" w:rsidRPr="00A47E81" w14:paraId="43C3B4DE" w14:textId="77777777" w:rsidTr="00673242">
        <w:trPr>
          <w:trHeight w:val="300"/>
        </w:trPr>
        <w:tc>
          <w:tcPr>
            <w:tcW w:w="1610" w:type="dxa"/>
            <w:noWrap/>
            <w:vAlign w:val="bottom"/>
            <w:hideMark/>
          </w:tcPr>
          <w:p w14:paraId="34FAB5A5" w14:textId="427CFD11"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AGA</w:t>
            </w:r>
          </w:p>
        </w:tc>
        <w:tc>
          <w:tcPr>
            <w:tcW w:w="8194" w:type="dxa"/>
            <w:noWrap/>
            <w:vAlign w:val="bottom"/>
            <w:hideMark/>
          </w:tcPr>
          <w:p w14:paraId="11173E74" w14:textId="117F4B82"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Australian Government Agencies</w:t>
            </w:r>
          </w:p>
        </w:tc>
      </w:tr>
      <w:tr w:rsidR="00294E7C" w:rsidRPr="00A47E81" w14:paraId="7D424A04" w14:textId="77777777" w:rsidTr="00673242">
        <w:trPr>
          <w:trHeight w:val="300"/>
        </w:trPr>
        <w:tc>
          <w:tcPr>
            <w:tcW w:w="1610" w:type="dxa"/>
            <w:noWrap/>
            <w:vAlign w:val="bottom"/>
            <w:hideMark/>
          </w:tcPr>
          <w:p w14:paraId="45FE827D" w14:textId="789DC823"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AGD</w:t>
            </w:r>
          </w:p>
        </w:tc>
        <w:tc>
          <w:tcPr>
            <w:tcW w:w="8194" w:type="dxa"/>
            <w:noWrap/>
            <w:vAlign w:val="bottom"/>
            <w:hideMark/>
          </w:tcPr>
          <w:p w14:paraId="4FE0C715" w14:textId="68708A66"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Attorney General’s Department (Australia)</w:t>
            </w:r>
          </w:p>
        </w:tc>
      </w:tr>
      <w:tr w:rsidR="00294E7C" w:rsidRPr="00A47E81" w14:paraId="7FC48ECC" w14:textId="77777777" w:rsidTr="00673242">
        <w:trPr>
          <w:trHeight w:val="300"/>
        </w:trPr>
        <w:tc>
          <w:tcPr>
            <w:tcW w:w="1610" w:type="dxa"/>
            <w:noWrap/>
            <w:vAlign w:val="bottom"/>
            <w:hideMark/>
          </w:tcPr>
          <w:p w14:paraId="731E700A" w14:textId="0CFC293A"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AMLD</w:t>
            </w:r>
          </w:p>
        </w:tc>
        <w:tc>
          <w:tcPr>
            <w:tcW w:w="8194" w:type="dxa"/>
            <w:noWrap/>
            <w:vAlign w:val="bottom"/>
            <w:hideMark/>
          </w:tcPr>
          <w:p w14:paraId="71BD21BF" w14:textId="2F24A62E"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Anti Money Laundering Department</w:t>
            </w:r>
          </w:p>
        </w:tc>
      </w:tr>
      <w:tr w:rsidR="00294E7C" w:rsidRPr="00A47E81" w14:paraId="233EE701" w14:textId="77777777" w:rsidTr="00673242">
        <w:trPr>
          <w:trHeight w:val="300"/>
        </w:trPr>
        <w:tc>
          <w:tcPr>
            <w:tcW w:w="1610" w:type="dxa"/>
            <w:noWrap/>
            <w:vAlign w:val="bottom"/>
            <w:hideMark/>
          </w:tcPr>
          <w:p w14:paraId="32A73666" w14:textId="1333E3B2"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ASEAN</w:t>
            </w:r>
          </w:p>
        </w:tc>
        <w:tc>
          <w:tcPr>
            <w:tcW w:w="8194" w:type="dxa"/>
            <w:noWrap/>
            <w:vAlign w:val="bottom"/>
            <w:hideMark/>
          </w:tcPr>
          <w:p w14:paraId="53DEBE7F" w14:textId="4C96E63B" w:rsidR="00294E7C" w:rsidRPr="00A47E81" w:rsidRDefault="00294E7C" w:rsidP="00294E7C">
            <w:pPr>
              <w:spacing w:before="0" w:after="0"/>
              <w:rPr>
                <w:rFonts w:eastAsia="Times New Roman" w:cstheme="minorHAnsi"/>
                <w:color w:val="auto"/>
                <w:sz w:val="24"/>
                <w:szCs w:val="22"/>
                <w:lang w:val="en-US"/>
              </w:rPr>
            </w:pPr>
            <w:r w:rsidRPr="00425920">
              <w:rPr>
                <w:rFonts w:asciiTheme="majorHAnsi" w:hAnsiTheme="majorHAnsi" w:cstheme="majorHAnsi"/>
                <w:color w:val="000000" w:themeColor="text1"/>
              </w:rPr>
              <w:t>Association of Southeast Asian Nations</w:t>
            </w:r>
          </w:p>
        </w:tc>
      </w:tr>
      <w:tr w:rsidR="00294E7C" w:rsidRPr="00A47E81" w14:paraId="6BD100D8" w14:textId="77777777" w:rsidTr="00673242">
        <w:trPr>
          <w:trHeight w:val="300"/>
        </w:trPr>
        <w:tc>
          <w:tcPr>
            <w:tcW w:w="1610" w:type="dxa"/>
            <w:noWrap/>
            <w:vAlign w:val="bottom"/>
            <w:hideMark/>
          </w:tcPr>
          <w:p w14:paraId="3F30D52C" w14:textId="12CB9109"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ASIC</w:t>
            </w:r>
          </w:p>
        </w:tc>
        <w:tc>
          <w:tcPr>
            <w:tcW w:w="8194" w:type="dxa"/>
            <w:noWrap/>
            <w:vAlign w:val="bottom"/>
            <w:hideMark/>
          </w:tcPr>
          <w:p w14:paraId="4F6EE195" w14:textId="4D539FF0"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Australian Securities and Investment Commission</w:t>
            </w:r>
          </w:p>
        </w:tc>
      </w:tr>
      <w:tr w:rsidR="00294E7C" w:rsidRPr="00A47E81" w14:paraId="364CCD65" w14:textId="77777777" w:rsidTr="00043A00">
        <w:trPr>
          <w:trHeight w:val="300"/>
        </w:trPr>
        <w:tc>
          <w:tcPr>
            <w:tcW w:w="1610" w:type="dxa"/>
            <w:noWrap/>
            <w:vAlign w:val="bottom"/>
            <w:hideMark/>
          </w:tcPr>
          <w:p w14:paraId="4C1A5801" w14:textId="2C908A79"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ATO</w:t>
            </w:r>
          </w:p>
        </w:tc>
        <w:tc>
          <w:tcPr>
            <w:tcW w:w="8194" w:type="dxa"/>
            <w:noWrap/>
            <w:vAlign w:val="bottom"/>
            <w:hideMark/>
          </w:tcPr>
          <w:p w14:paraId="29AEE9D1" w14:textId="70931C34"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Australian Taxation Office</w:t>
            </w:r>
          </w:p>
        </w:tc>
      </w:tr>
      <w:tr w:rsidR="00294E7C" w:rsidRPr="00A47E81" w14:paraId="15E8564F" w14:textId="77777777" w:rsidTr="00043A00">
        <w:trPr>
          <w:trHeight w:val="300"/>
        </w:trPr>
        <w:tc>
          <w:tcPr>
            <w:tcW w:w="1610" w:type="dxa"/>
            <w:noWrap/>
            <w:vAlign w:val="bottom"/>
            <w:hideMark/>
          </w:tcPr>
          <w:p w14:paraId="3B7066B2" w14:textId="364C80F5"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AUSTRAC</w:t>
            </w:r>
          </w:p>
        </w:tc>
        <w:tc>
          <w:tcPr>
            <w:tcW w:w="8194" w:type="dxa"/>
            <w:noWrap/>
            <w:vAlign w:val="bottom"/>
            <w:hideMark/>
          </w:tcPr>
          <w:p w14:paraId="62208DAF" w14:textId="67CE096A" w:rsidR="00294E7C" w:rsidRPr="00A47E81" w:rsidRDefault="00294E7C" w:rsidP="00294E7C">
            <w:pPr>
              <w:spacing w:before="0" w:after="0"/>
              <w:rPr>
                <w:rFonts w:eastAsia="Times New Roman" w:cstheme="minorHAnsi"/>
                <w:color w:val="auto"/>
                <w:sz w:val="24"/>
                <w:szCs w:val="22"/>
                <w:lang w:val="en-US"/>
              </w:rPr>
            </w:pPr>
            <w:r w:rsidRPr="00BE41F4">
              <w:rPr>
                <w:rFonts w:asciiTheme="majorHAnsi" w:hAnsiTheme="majorHAnsi" w:cstheme="majorHAnsi"/>
                <w:color w:val="000000" w:themeColor="text1"/>
              </w:rPr>
              <w:t>Australian Transaction Reports and Analysis Centre</w:t>
            </w:r>
          </w:p>
        </w:tc>
      </w:tr>
      <w:tr w:rsidR="00294E7C" w:rsidRPr="00A47E81" w14:paraId="6620E46F" w14:textId="77777777" w:rsidTr="00043A00">
        <w:trPr>
          <w:trHeight w:val="300"/>
        </w:trPr>
        <w:tc>
          <w:tcPr>
            <w:tcW w:w="1610" w:type="dxa"/>
            <w:noWrap/>
            <w:vAlign w:val="bottom"/>
            <w:hideMark/>
          </w:tcPr>
          <w:p w14:paraId="0D43BF1D" w14:textId="72A950F3" w:rsidR="00294E7C" w:rsidRPr="00A47E81" w:rsidRDefault="00294E7C" w:rsidP="00294E7C">
            <w:pPr>
              <w:spacing w:before="0" w:after="0"/>
              <w:rPr>
                <w:rFonts w:eastAsia="Times New Roman" w:cstheme="minorHAnsi"/>
                <w:color w:val="auto"/>
                <w:sz w:val="24"/>
                <w:szCs w:val="22"/>
                <w:lang w:val="en-US"/>
              </w:rPr>
            </w:pPr>
            <w:r>
              <w:rPr>
                <w:rFonts w:asciiTheme="majorHAnsi" w:eastAsia="Times New Roman" w:hAnsiTheme="majorHAnsi" w:cstheme="majorHAnsi"/>
                <w:b/>
                <w:color w:val="000000" w:themeColor="text1"/>
              </w:rPr>
              <w:t>AWP</w:t>
            </w:r>
          </w:p>
        </w:tc>
        <w:tc>
          <w:tcPr>
            <w:tcW w:w="8194" w:type="dxa"/>
            <w:noWrap/>
            <w:vAlign w:val="bottom"/>
            <w:hideMark/>
          </w:tcPr>
          <w:p w14:paraId="7B0767AA" w14:textId="12CD2098"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Australian Water Partnership</w:t>
            </w:r>
          </w:p>
        </w:tc>
      </w:tr>
      <w:tr w:rsidR="00294E7C" w:rsidRPr="00A47E81" w14:paraId="2F5DB2FD" w14:textId="77777777" w:rsidTr="00043A00">
        <w:trPr>
          <w:trHeight w:val="300"/>
        </w:trPr>
        <w:tc>
          <w:tcPr>
            <w:tcW w:w="1610" w:type="dxa"/>
            <w:noWrap/>
            <w:vAlign w:val="bottom"/>
            <w:hideMark/>
          </w:tcPr>
          <w:p w14:paraId="16E863F2" w14:textId="0889958A" w:rsidR="00294E7C" w:rsidRPr="00A47E81" w:rsidRDefault="00294E7C" w:rsidP="00294E7C">
            <w:pPr>
              <w:spacing w:before="0" w:after="0"/>
              <w:rPr>
                <w:rFonts w:eastAsia="Times New Roman" w:cstheme="minorHAnsi"/>
                <w:color w:val="auto"/>
                <w:sz w:val="24"/>
                <w:szCs w:val="22"/>
                <w:lang w:val="en-US"/>
              </w:rPr>
            </w:pPr>
            <w:r>
              <w:rPr>
                <w:rFonts w:asciiTheme="majorHAnsi" w:eastAsia="Times New Roman" w:hAnsiTheme="majorHAnsi" w:cstheme="majorHAnsi"/>
                <w:b/>
                <w:color w:val="000000" w:themeColor="text1"/>
              </w:rPr>
              <w:t>CEO</w:t>
            </w:r>
          </w:p>
        </w:tc>
        <w:tc>
          <w:tcPr>
            <w:tcW w:w="8194" w:type="dxa"/>
            <w:noWrap/>
            <w:vAlign w:val="bottom"/>
            <w:hideMark/>
          </w:tcPr>
          <w:p w14:paraId="6C4F0AC9" w14:textId="4FC3859A"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Chief Executive Officer</w:t>
            </w:r>
          </w:p>
        </w:tc>
      </w:tr>
      <w:tr w:rsidR="00294E7C" w:rsidRPr="00A47E81" w14:paraId="6B946D13" w14:textId="77777777" w:rsidTr="00043A00">
        <w:trPr>
          <w:trHeight w:val="300"/>
        </w:trPr>
        <w:tc>
          <w:tcPr>
            <w:tcW w:w="1610" w:type="dxa"/>
            <w:noWrap/>
            <w:vAlign w:val="bottom"/>
            <w:hideMark/>
          </w:tcPr>
          <w:p w14:paraId="38A85207" w14:textId="5B3E9D07" w:rsidR="00294E7C" w:rsidRPr="00A47E81" w:rsidRDefault="00294E7C" w:rsidP="00294E7C">
            <w:pPr>
              <w:spacing w:before="0" w:after="0"/>
              <w:rPr>
                <w:rFonts w:eastAsia="Times New Roman" w:cstheme="minorHAnsi"/>
                <w:color w:val="auto"/>
                <w:sz w:val="24"/>
                <w:szCs w:val="22"/>
                <w:lang w:val="en-US"/>
              </w:rPr>
            </w:pPr>
            <w:r>
              <w:rPr>
                <w:rFonts w:asciiTheme="majorHAnsi" w:eastAsia="Times New Roman" w:hAnsiTheme="majorHAnsi" w:cstheme="majorHAnsi"/>
                <w:b/>
                <w:color w:val="000000" w:themeColor="text1"/>
              </w:rPr>
              <w:t>CLTV</w:t>
            </w:r>
          </w:p>
        </w:tc>
        <w:tc>
          <w:tcPr>
            <w:tcW w:w="8194" w:type="dxa"/>
            <w:noWrap/>
            <w:vAlign w:val="bottom"/>
            <w:hideMark/>
          </w:tcPr>
          <w:p w14:paraId="2C5FA046" w14:textId="0184D1E9"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Cambodia, Laos, Thailand, and Vietnam</w:t>
            </w:r>
          </w:p>
        </w:tc>
      </w:tr>
      <w:tr w:rsidR="00294E7C" w:rsidRPr="00A47E81" w14:paraId="369B9C1D" w14:textId="77777777" w:rsidTr="00043A00">
        <w:trPr>
          <w:trHeight w:val="300"/>
        </w:trPr>
        <w:tc>
          <w:tcPr>
            <w:tcW w:w="1610" w:type="dxa"/>
            <w:noWrap/>
            <w:vAlign w:val="bottom"/>
            <w:hideMark/>
          </w:tcPr>
          <w:p w14:paraId="38297554" w14:textId="7F7B3E7D" w:rsidR="00294E7C" w:rsidRPr="00A47E81" w:rsidRDefault="00294E7C" w:rsidP="00294E7C">
            <w:pPr>
              <w:spacing w:before="0" w:after="0"/>
              <w:rPr>
                <w:rFonts w:eastAsia="Times New Roman" w:cstheme="minorHAnsi"/>
                <w:color w:val="auto"/>
                <w:sz w:val="24"/>
                <w:szCs w:val="22"/>
                <w:lang w:val="en-US"/>
              </w:rPr>
            </w:pPr>
            <w:r>
              <w:rPr>
                <w:rFonts w:asciiTheme="majorHAnsi" w:eastAsia="Times New Roman" w:hAnsiTheme="majorHAnsi" w:cstheme="majorHAnsi"/>
                <w:b/>
                <w:color w:val="000000" w:themeColor="text1"/>
              </w:rPr>
              <w:t>CRMN</w:t>
            </w:r>
          </w:p>
        </w:tc>
        <w:tc>
          <w:tcPr>
            <w:tcW w:w="8194" w:type="dxa"/>
            <w:noWrap/>
            <w:vAlign w:val="bottom"/>
            <w:hideMark/>
          </w:tcPr>
          <w:p w14:paraId="2986E212" w14:textId="3B7B1508"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Core River Monitoring Network</w:t>
            </w:r>
          </w:p>
        </w:tc>
      </w:tr>
      <w:tr w:rsidR="00294E7C" w:rsidRPr="00A47E81" w14:paraId="6B4F57B7" w14:textId="77777777" w:rsidTr="00043A00">
        <w:trPr>
          <w:trHeight w:val="300"/>
        </w:trPr>
        <w:tc>
          <w:tcPr>
            <w:tcW w:w="1610" w:type="dxa"/>
            <w:noWrap/>
            <w:vAlign w:val="bottom"/>
            <w:hideMark/>
          </w:tcPr>
          <w:p w14:paraId="0AC0DAA2" w14:textId="7EF1B8A4" w:rsidR="00294E7C" w:rsidRPr="00A47E81" w:rsidRDefault="00294E7C" w:rsidP="00294E7C">
            <w:pPr>
              <w:spacing w:before="0" w:after="0"/>
              <w:rPr>
                <w:rFonts w:eastAsia="Times New Roman" w:cstheme="minorHAnsi"/>
                <w:color w:val="auto"/>
                <w:sz w:val="24"/>
                <w:szCs w:val="22"/>
                <w:lang w:val="en-US"/>
              </w:rPr>
            </w:pPr>
            <w:r>
              <w:rPr>
                <w:rFonts w:asciiTheme="majorHAnsi" w:eastAsia="Times New Roman" w:hAnsiTheme="majorHAnsi" w:cstheme="majorHAnsi"/>
                <w:b/>
                <w:color w:val="000000" w:themeColor="text1"/>
              </w:rPr>
              <w:t>CSA</w:t>
            </w:r>
          </w:p>
        </w:tc>
        <w:tc>
          <w:tcPr>
            <w:tcW w:w="8194" w:type="dxa"/>
            <w:noWrap/>
            <w:vAlign w:val="bottom"/>
            <w:hideMark/>
          </w:tcPr>
          <w:p w14:paraId="23902104" w14:textId="3F8428D7"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Climate-smart agriculture</w:t>
            </w:r>
          </w:p>
        </w:tc>
      </w:tr>
      <w:tr w:rsidR="00294E7C" w:rsidRPr="00A47E81" w14:paraId="5685024C" w14:textId="77777777" w:rsidTr="00043A00">
        <w:trPr>
          <w:trHeight w:val="300"/>
        </w:trPr>
        <w:tc>
          <w:tcPr>
            <w:tcW w:w="1610" w:type="dxa"/>
            <w:noWrap/>
            <w:vAlign w:val="bottom"/>
            <w:hideMark/>
          </w:tcPr>
          <w:p w14:paraId="5DE4E956" w14:textId="75B1B90D" w:rsidR="00294E7C" w:rsidRPr="00A47E81" w:rsidRDefault="00294E7C" w:rsidP="00294E7C">
            <w:pPr>
              <w:spacing w:before="0" w:after="0"/>
              <w:rPr>
                <w:rFonts w:eastAsia="Times New Roman" w:cstheme="minorHAnsi"/>
                <w:color w:val="auto"/>
                <w:sz w:val="24"/>
                <w:szCs w:val="22"/>
                <w:lang w:val="en-US"/>
              </w:rPr>
            </w:pPr>
            <w:r>
              <w:rPr>
                <w:rFonts w:asciiTheme="majorHAnsi" w:eastAsia="Times New Roman" w:hAnsiTheme="majorHAnsi" w:cstheme="majorHAnsi"/>
                <w:b/>
                <w:color w:val="000000" w:themeColor="text1"/>
              </w:rPr>
              <w:t>CSIRO</w:t>
            </w:r>
          </w:p>
        </w:tc>
        <w:tc>
          <w:tcPr>
            <w:tcW w:w="8194" w:type="dxa"/>
            <w:noWrap/>
            <w:vAlign w:val="bottom"/>
            <w:hideMark/>
          </w:tcPr>
          <w:p w14:paraId="31D86AC6" w14:textId="70D24812" w:rsidR="00294E7C" w:rsidRPr="00A47E81" w:rsidRDefault="00294E7C" w:rsidP="00294E7C">
            <w:pPr>
              <w:spacing w:before="0" w:after="0"/>
              <w:rPr>
                <w:rFonts w:eastAsia="Times New Roman" w:cstheme="minorHAnsi"/>
                <w:color w:val="auto"/>
                <w:sz w:val="24"/>
                <w:szCs w:val="22"/>
                <w:lang w:val="en-US"/>
              </w:rPr>
            </w:pPr>
            <w:r w:rsidRPr="00CE078C">
              <w:rPr>
                <w:rFonts w:asciiTheme="majorHAnsi" w:hAnsiTheme="majorHAnsi" w:cstheme="majorHAnsi"/>
                <w:color w:val="000000" w:themeColor="text1"/>
              </w:rPr>
              <w:t>Commonwealth Scientific and Industrial Research Organisation</w:t>
            </w:r>
            <w:r>
              <w:rPr>
                <w:rFonts w:asciiTheme="majorHAnsi" w:hAnsiTheme="majorHAnsi" w:cstheme="majorHAnsi"/>
                <w:color w:val="000000" w:themeColor="text1"/>
              </w:rPr>
              <w:t xml:space="preserve"> (Australia)</w:t>
            </w:r>
          </w:p>
        </w:tc>
      </w:tr>
      <w:tr w:rsidR="00294E7C" w:rsidRPr="00A47E81" w14:paraId="27746BA6" w14:textId="77777777" w:rsidTr="00043A00">
        <w:trPr>
          <w:trHeight w:val="300"/>
        </w:trPr>
        <w:tc>
          <w:tcPr>
            <w:tcW w:w="1610" w:type="dxa"/>
            <w:noWrap/>
            <w:vAlign w:val="bottom"/>
            <w:hideMark/>
          </w:tcPr>
          <w:p w14:paraId="47B60BAE" w14:textId="4AFD3430" w:rsidR="00294E7C" w:rsidRPr="00A47E81" w:rsidRDefault="00294E7C" w:rsidP="00294E7C">
            <w:pPr>
              <w:spacing w:before="0" w:after="0"/>
              <w:rPr>
                <w:rFonts w:eastAsia="Times New Roman" w:cstheme="minorHAnsi"/>
                <w:color w:val="auto"/>
                <w:sz w:val="24"/>
                <w:szCs w:val="22"/>
                <w:lang w:val="en-US"/>
              </w:rPr>
            </w:pPr>
            <w:r>
              <w:rPr>
                <w:rFonts w:asciiTheme="majorHAnsi" w:eastAsia="Times New Roman" w:hAnsiTheme="majorHAnsi" w:cstheme="majorHAnsi"/>
                <w:b/>
                <w:color w:val="000000" w:themeColor="text1"/>
              </w:rPr>
              <w:t>CSO</w:t>
            </w:r>
          </w:p>
        </w:tc>
        <w:tc>
          <w:tcPr>
            <w:tcW w:w="8194" w:type="dxa"/>
            <w:noWrap/>
            <w:vAlign w:val="bottom"/>
            <w:hideMark/>
          </w:tcPr>
          <w:p w14:paraId="2DEAE588" w14:textId="4D8EDF2C"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Civil Society Organisation</w:t>
            </w:r>
          </w:p>
        </w:tc>
      </w:tr>
      <w:tr w:rsidR="00294E7C" w:rsidRPr="00A47E81" w14:paraId="218F0F36" w14:textId="77777777" w:rsidTr="00043A00">
        <w:trPr>
          <w:trHeight w:val="300"/>
        </w:trPr>
        <w:tc>
          <w:tcPr>
            <w:tcW w:w="1610" w:type="dxa"/>
            <w:noWrap/>
            <w:vAlign w:val="bottom"/>
            <w:hideMark/>
          </w:tcPr>
          <w:p w14:paraId="38527F98" w14:textId="094150CD"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CSP</w:t>
            </w:r>
          </w:p>
        </w:tc>
        <w:tc>
          <w:tcPr>
            <w:tcW w:w="8194" w:type="dxa"/>
            <w:noWrap/>
            <w:vAlign w:val="bottom"/>
            <w:hideMark/>
          </w:tcPr>
          <w:p w14:paraId="4FF5BE36" w14:textId="135A0545" w:rsidR="00294E7C" w:rsidRPr="00A47E81" w:rsidRDefault="00294E7C" w:rsidP="00294E7C">
            <w:pPr>
              <w:spacing w:before="0" w:after="0"/>
              <w:rPr>
                <w:rFonts w:eastAsia="Times New Roman" w:cstheme="minorHAnsi"/>
                <w:color w:val="auto"/>
                <w:sz w:val="24"/>
                <w:szCs w:val="22"/>
                <w:lang w:val="en-US"/>
              </w:rPr>
            </w:pPr>
            <w:r w:rsidRPr="00425920">
              <w:rPr>
                <w:rFonts w:asciiTheme="majorHAnsi" w:hAnsiTheme="majorHAnsi" w:cstheme="majorHAnsi"/>
                <w:color w:val="000000" w:themeColor="text1"/>
              </w:rPr>
              <w:t>Comprehensive Strategic Partnership</w:t>
            </w:r>
          </w:p>
        </w:tc>
      </w:tr>
      <w:tr w:rsidR="00294E7C" w:rsidRPr="00A47E81" w14:paraId="3639C92A" w14:textId="77777777" w:rsidTr="00043A00">
        <w:trPr>
          <w:trHeight w:val="300"/>
        </w:trPr>
        <w:tc>
          <w:tcPr>
            <w:tcW w:w="1610" w:type="dxa"/>
            <w:noWrap/>
            <w:vAlign w:val="bottom"/>
            <w:hideMark/>
          </w:tcPr>
          <w:p w14:paraId="08474C2F" w14:textId="1A1994F7" w:rsidR="00294E7C" w:rsidRPr="00A47E81" w:rsidRDefault="00294E7C" w:rsidP="00294E7C">
            <w:pPr>
              <w:spacing w:before="0" w:after="0"/>
              <w:rPr>
                <w:rFonts w:eastAsia="Times New Roman" w:cstheme="minorHAnsi"/>
                <w:color w:val="auto"/>
                <w:sz w:val="24"/>
                <w:szCs w:val="22"/>
                <w:lang w:val="en-US"/>
              </w:rPr>
            </w:pPr>
            <w:proofErr w:type="spellStart"/>
            <w:r>
              <w:rPr>
                <w:rFonts w:asciiTheme="majorHAnsi" w:hAnsiTheme="majorHAnsi" w:cstheme="majorHAnsi"/>
                <w:b/>
                <w:bCs/>
                <w:color w:val="000000" w:themeColor="text1"/>
              </w:rPr>
              <w:t>CRxN</w:t>
            </w:r>
            <w:proofErr w:type="spellEnd"/>
          </w:p>
        </w:tc>
        <w:tc>
          <w:tcPr>
            <w:tcW w:w="8194" w:type="dxa"/>
            <w:noWrap/>
            <w:vAlign w:val="bottom"/>
            <w:hideMark/>
          </w:tcPr>
          <w:p w14:paraId="32425814" w14:textId="40B73108"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Climate Resilient by Nature</w:t>
            </w:r>
          </w:p>
        </w:tc>
      </w:tr>
      <w:tr w:rsidR="00294E7C" w:rsidRPr="00A47E81" w14:paraId="505333A2" w14:textId="77777777" w:rsidTr="00043A00">
        <w:trPr>
          <w:trHeight w:val="300"/>
        </w:trPr>
        <w:tc>
          <w:tcPr>
            <w:tcW w:w="1610" w:type="dxa"/>
            <w:noWrap/>
            <w:vAlign w:val="bottom"/>
            <w:hideMark/>
          </w:tcPr>
          <w:p w14:paraId="61E71830" w14:textId="2DD4C1D1"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DCY</w:t>
            </w:r>
          </w:p>
        </w:tc>
        <w:tc>
          <w:tcPr>
            <w:tcW w:w="8194" w:type="dxa"/>
            <w:noWrap/>
            <w:vAlign w:val="bottom"/>
            <w:hideMark/>
          </w:tcPr>
          <w:p w14:paraId="7997D1A9" w14:textId="207EE38C"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Department of Children and Youth (Thailand)</w:t>
            </w:r>
          </w:p>
        </w:tc>
      </w:tr>
      <w:tr w:rsidR="00294E7C" w:rsidRPr="00A47E81" w14:paraId="7E5AA74A" w14:textId="77777777" w:rsidTr="00043A00">
        <w:trPr>
          <w:trHeight w:val="300"/>
        </w:trPr>
        <w:tc>
          <w:tcPr>
            <w:tcW w:w="1610" w:type="dxa"/>
            <w:noWrap/>
            <w:vAlign w:val="bottom"/>
            <w:hideMark/>
          </w:tcPr>
          <w:p w14:paraId="22F0B5C7" w14:textId="16489711"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b/>
                <w:bCs/>
                <w:color w:val="000000" w:themeColor="text1"/>
              </w:rPr>
              <w:t>DFAT</w:t>
            </w:r>
          </w:p>
        </w:tc>
        <w:tc>
          <w:tcPr>
            <w:tcW w:w="8194" w:type="dxa"/>
            <w:noWrap/>
            <w:vAlign w:val="bottom"/>
            <w:hideMark/>
          </w:tcPr>
          <w:p w14:paraId="077A6AAA" w14:textId="0724461B" w:rsidR="00294E7C" w:rsidRPr="00A47E81" w:rsidRDefault="00294E7C" w:rsidP="00294E7C">
            <w:pPr>
              <w:spacing w:before="0" w:after="0"/>
              <w:rPr>
                <w:rFonts w:eastAsia="Times New Roman" w:cstheme="minorHAnsi"/>
                <w:color w:val="auto"/>
                <w:sz w:val="24"/>
                <w:szCs w:val="22"/>
                <w:lang w:val="en-US"/>
              </w:rPr>
            </w:pPr>
            <w:r w:rsidRPr="00425920">
              <w:rPr>
                <w:rFonts w:asciiTheme="majorHAnsi" w:hAnsiTheme="majorHAnsi" w:cstheme="majorHAnsi"/>
                <w:color w:val="000000" w:themeColor="text1"/>
              </w:rPr>
              <w:t>Australian Department of Foreign Affairs and Trade</w:t>
            </w:r>
          </w:p>
        </w:tc>
      </w:tr>
      <w:tr w:rsidR="00294E7C" w:rsidRPr="00A47E81" w14:paraId="07B4525C" w14:textId="77777777" w:rsidTr="006F3402">
        <w:trPr>
          <w:trHeight w:val="300"/>
        </w:trPr>
        <w:tc>
          <w:tcPr>
            <w:tcW w:w="1610" w:type="dxa"/>
            <w:noWrap/>
            <w:vAlign w:val="bottom"/>
            <w:hideMark/>
          </w:tcPr>
          <w:p w14:paraId="76D0B02D" w14:textId="754C2A44" w:rsidR="00294E7C" w:rsidRPr="00A47E81" w:rsidRDefault="00294E7C" w:rsidP="00294E7C">
            <w:pPr>
              <w:spacing w:before="0" w:after="0"/>
              <w:rPr>
                <w:rFonts w:eastAsia="Times New Roman" w:cstheme="minorHAnsi"/>
                <w:color w:val="auto"/>
                <w:sz w:val="24"/>
                <w:szCs w:val="22"/>
                <w:lang w:val="en-US"/>
              </w:rPr>
            </w:pPr>
            <w:r>
              <w:rPr>
                <w:rFonts w:asciiTheme="majorHAnsi" w:eastAsia="Times New Roman" w:hAnsiTheme="majorHAnsi" w:cstheme="majorHAnsi"/>
                <w:b/>
                <w:color w:val="000000" w:themeColor="text1"/>
              </w:rPr>
              <w:t>DGA</w:t>
            </w:r>
          </w:p>
        </w:tc>
        <w:tc>
          <w:tcPr>
            <w:tcW w:w="8194" w:type="dxa"/>
            <w:noWrap/>
            <w:vAlign w:val="center"/>
            <w:hideMark/>
          </w:tcPr>
          <w:p w14:paraId="3F039693" w14:textId="072C382A"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Digital Government Development Agency (Thailand)</w:t>
            </w:r>
          </w:p>
        </w:tc>
      </w:tr>
      <w:tr w:rsidR="00294E7C" w:rsidRPr="00A47E81" w14:paraId="17EFA4F0" w14:textId="77777777" w:rsidTr="006F3402">
        <w:trPr>
          <w:trHeight w:val="300"/>
        </w:trPr>
        <w:tc>
          <w:tcPr>
            <w:tcW w:w="1610" w:type="dxa"/>
            <w:noWrap/>
            <w:vAlign w:val="bottom"/>
            <w:hideMark/>
          </w:tcPr>
          <w:p w14:paraId="2BC83571" w14:textId="09D0AAF8" w:rsidR="00294E7C" w:rsidRPr="00A47E81" w:rsidRDefault="00294E7C" w:rsidP="00294E7C">
            <w:pPr>
              <w:spacing w:before="0" w:after="0"/>
              <w:rPr>
                <w:rFonts w:eastAsia="Times New Roman" w:cstheme="minorHAnsi"/>
                <w:color w:val="auto"/>
                <w:sz w:val="24"/>
                <w:szCs w:val="22"/>
                <w:lang w:val="en-US"/>
              </w:rPr>
            </w:pPr>
            <w:r>
              <w:rPr>
                <w:rFonts w:asciiTheme="majorHAnsi" w:eastAsia="Times New Roman" w:hAnsiTheme="majorHAnsi" w:cstheme="majorHAnsi"/>
                <w:b/>
                <w:color w:val="000000" w:themeColor="text1"/>
              </w:rPr>
              <w:t>DPP</w:t>
            </w:r>
          </w:p>
        </w:tc>
        <w:tc>
          <w:tcPr>
            <w:tcW w:w="8194" w:type="dxa"/>
            <w:noWrap/>
            <w:vAlign w:val="center"/>
            <w:hideMark/>
          </w:tcPr>
          <w:p w14:paraId="3AB6F55C" w14:textId="521DF89B"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Development Partnership Plan</w:t>
            </w:r>
          </w:p>
        </w:tc>
      </w:tr>
      <w:tr w:rsidR="00294E7C" w:rsidRPr="00A47E81" w14:paraId="2B179ABC" w14:textId="77777777" w:rsidTr="006F3402">
        <w:trPr>
          <w:trHeight w:val="300"/>
        </w:trPr>
        <w:tc>
          <w:tcPr>
            <w:tcW w:w="1610" w:type="dxa"/>
            <w:noWrap/>
            <w:vAlign w:val="bottom"/>
            <w:hideMark/>
          </w:tcPr>
          <w:p w14:paraId="5F974ED9" w14:textId="7A7120B3" w:rsidR="00294E7C" w:rsidRPr="00A47E81" w:rsidRDefault="00294E7C" w:rsidP="00294E7C">
            <w:pPr>
              <w:spacing w:before="0" w:after="0"/>
              <w:rPr>
                <w:rFonts w:eastAsia="Times New Roman" w:cstheme="minorHAnsi"/>
                <w:color w:val="auto"/>
                <w:sz w:val="24"/>
                <w:szCs w:val="22"/>
                <w:lang w:val="en-US"/>
              </w:rPr>
            </w:pPr>
            <w:r>
              <w:rPr>
                <w:rFonts w:asciiTheme="majorHAnsi" w:eastAsia="Times New Roman" w:hAnsiTheme="majorHAnsi" w:cstheme="majorHAnsi"/>
                <w:b/>
                <w:color w:val="000000" w:themeColor="text1"/>
              </w:rPr>
              <w:t>DSS</w:t>
            </w:r>
          </w:p>
        </w:tc>
        <w:tc>
          <w:tcPr>
            <w:tcW w:w="8194" w:type="dxa"/>
            <w:noWrap/>
            <w:vAlign w:val="center"/>
            <w:hideMark/>
          </w:tcPr>
          <w:p w14:paraId="4AB8B57F" w14:textId="74E4F28B"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Department of Social Statistics (Laos)</w:t>
            </w:r>
          </w:p>
        </w:tc>
      </w:tr>
      <w:tr w:rsidR="00294E7C" w:rsidRPr="00A47E81" w14:paraId="463A442E" w14:textId="77777777" w:rsidTr="006F3402">
        <w:trPr>
          <w:trHeight w:val="300"/>
        </w:trPr>
        <w:tc>
          <w:tcPr>
            <w:tcW w:w="1610" w:type="dxa"/>
            <w:noWrap/>
            <w:vAlign w:val="bottom"/>
            <w:hideMark/>
          </w:tcPr>
          <w:p w14:paraId="4397F0B8" w14:textId="6A00C837" w:rsidR="00294E7C" w:rsidRPr="00A47E81" w:rsidRDefault="00294E7C" w:rsidP="00294E7C">
            <w:pPr>
              <w:spacing w:before="0" w:after="0"/>
              <w:rPr>
                <w:rFonts w:eastAsia="Times New Roman" w:cstheme="minorHAnsi"/>
                <w:color w:val="auto"/>
                <w:sz w:val="24"/>
                <w:szCs w:val="22"/>
                <w:lang w:val="en-US"/>
              </w:rPr>
            </w:pPr>
            <w:r>
              <w:rPr>
                <w:rFonts w:asciiTheme="majorHAnsi" w:eastAsia="Times New Roman" w:hAnsiTheme="majorHAnsi" w:cstheme="majorHAnsi"/>
                <w:b/>
                <w:color w:val="000000" w:themeColor="text1"/>
              </w:rPr>
              <w:t>DWR</w:t>
            </w:r>
          </w:p>
        </w:tc>
        <w:tc>
          <w:tcPr>
            <w:tcW w:w="8194" w:type="dxa"/>
            <w:noWrap/>
            <w:vAlign w:val="center"/>
            <w:hideMark/>
          </w:tcPr>
          <w:p w14:paraId="36FA9531" w14:textId="54001CB1"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Department of Water Resources (Vietnam)</w:t>
            </w:r>
          </w:p>
        </w:tc>
      </w:tr>
      <w:tr w:rsidR="00294E7C" w:rsidRPr="00A47E81" w14:paraId="168481AC" w14:textId="77777777" w:rsidTr="009B0A60">
        <w:trPr>
          <w:trHeight w:val="300"/>
        </w:trPr>
        <w:tc>
          <w:tcPr>
            <w:tcW w:w="1610" w:type="dxa"/>
            <w:noWrap/>
            <w:vAlign w:val="bottom"/>
            <w:hideMark/>
          </w:tcPr>
          <w:p w14:paraId="44566836" w14:textId="2875D915" w:rsidR="00294E7C" w:rsidRPr="00A47E81" w:rsidRDefault="00294E7C" w:rsidP="00294E7C">
            <w:pPr>
              <w:spacing w:before="0" w:after="0"/>
              <w:rPr>
                <w:rFonts w:eastAsia="Times New Roman" w:cstheme="minorHAnsi"/>
                <w:color w:val="auto"/>
                <w:sz w:val="24"/>
                <w:szCs w:val="22"/>
                <w:lang w:val="en-US"/>
              </w:rPr>
            </w:pPr>
            <w:proofErr w:type="spellStart"/>
            <w:r>
              <w:rPr>
                <w:rFonts w:asciiTheme="majorHAnsi" w:eastAsia="Times New Roman" w:hAnsiTheme="majorHAnsi" w:cstheme="majorHAnsi"/>
                <w:b/>
                <w:color w:val="000000" w:themeColor="text1"/>
              </w:rPr>
              <w:t>EbA</w:t>
            </w:r>
            <w:proofErr w:type="spellEnd"/>
          </w:p>
        </w:tc>
        <w:tc>
          <w:tcPr>
            <w:tcW w:w="8194" w:type="dxa"/>
            <w:noWrap/>
            <w:vAlign w:val="center"/>
            <w:hideMark/>
          </w:tcPr>
          <w:p w14:paraId="41E8AEBE" w14:textId="77C53753"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Ecosystem-based Adaptation</w:t>
            </w:r>
          </w:p>
        </w:tc>
      </w:tr>
      <w:tr w:rsidR="00294E7C" w:rsidRPr="00A47E81" w14:paraId="3F397C87" w14:textId="77777777" w:rsidTr="009B0A60">
        <w:trPr>
          <w:trHeight w:val="300"/>
        </w:trPr>
        <w:tc>
          <w:tcPr>
            <w:tcW w:w="1610" w:type="dxa"/>
            <w:noWrap/>
            <w:vAlign w:val="bottom"/>
            <w:hideMark/>
          </w:tcPr>
          <w:p w14:paraId="746F645F" w14:textId="780CC4BC" w:rsidR="00294E7C" w:rsidRPr="00A47E81" w:rsidRDefault="00294E7C" w:rsidP="00294E7C">
            <w:pPr>
              <w:spacing w:before="0" w:after="0"/>
              <w:rPr>
                <w:rFonts w:eastAsia="Times New Roman" w:cstheme="minorHAnsi"/>
                <w:color w:val="auto"/>
                <w:sz w:val="24"/>
                <w:szCs w:val="22"/>
                <w:lang w:val="en-US"/>
              </w:rPr>
            </w:pPr>
            <w:r>
              <w:rPr>
                <w:rFonts w:asciiTheme="majorHAnsi" w:eastAsia="Times New Roman" w:hAnsiTheme="majorHAnsi" w:cstheme="majorHAnsi"/>
                <w:b/>
                <w:color w:val="000000" w:themeColor="text1"/>
              </w:rPr>
              <w:t>EEES</w:t>
            </w:r>
          </w:p>
        </w:tc>
        <w:tc>
          <w:tcPr>
            <w:tcW w:w="8194" w:type="dxa"/>
            <w:noWrap/>
            <w:vAlign w:val="center"/>
            <w:hideMark/>
          </w:tcPr>
          <w:p w14:paraId="706A75E3" w14:textId="649F687F" w:rsidR="00294E7C" w:rsidRPr="00A47E81" w:rsidRDefault="00294E7C" w:rsidP="00294E7C">
            <w:pPr>
              <w:spacing w:before="0" w:after="0"/>
              <w:rPr>
                <w:rFonts w:eastAsia="Times New Roman" w:cstheme="minorHAnsi"/>
                <w:color w:val="auto"/>
                <w:sz w:val="24"/>
                <w:szCs w:val="22"/>
                <w:lang w:val="en-US"/>
              </w:rPr>
            </w:pPr>
            <w:r w:rsidRPr="00425920">
              <w:rPr>
                <w:rFonts w:asciiTheme="majorHAnsi" w:hAnsiTheme="majorHAnsi" w:cstheme="majorHAnsi"/>
                <w:color w:val="000000" w:themeColor="text1"/>
              </w:rPr>
              <w:t>Australia-Vietnam Enhanced Economic Engagement Strategy</w:t>
            </w:r>
          </w:p>
        </w:tc>
      </w:tr>
      <w:tr w:rsidR="00294E7C" w:rsidRPr="00A47E81" w14:paraId="0E93A119" w14:textId="77777777" w:rsidTr="00B369B8">
        <w:trPr>
          <w:trHeight w:val="300"/>
        </w:trPr>
        <w:tc>
          <w:tcPr>
            <w:tcW w:w="1610" w:type="dxa"/>
            <w:noWrap/>
            <w:vAlign w:val="bottom"/>
            <w:hideMark/>
          </w:tcPr>
          <w:p w14:paraId="1B6B12A6" w14:textId="7EDB7150" w:rsidR="00294E7C" w:rsidRPr="00A47E81" w:rsidRDefault="00294E7C" w:rsidP="00294E7C">
            <w:pPr>
              <w:spacing w:before="0" w:after="0"/>
              <w:rPr>
                <w:rFonts w:eastAsia="Times New Roman" w:cstheme="minorHAnsi"/>
                <w:color w:val="auto"/>
                <w:sz w:val="24"/>
                <w:szCs w:val="22"/>
                <w:lang w:val="en-US"/>
              </w:rPr>
            </w:pPr>
            <w:r>
              <w:rPr>
                <w:rFonts w:asciiTheme="majorHAnsi" w:eastAsia="Times New Roman" w:hAnsiTheme="majorHAnsi" w:cstheme="majorHAnsi"/>
                <w:b/>
                <w:color w:val="000000" w:themeColor="text1"/>
              </w:rPr>
              <w:t>EGAT</w:t>
            </w:r>
          </w:p>
        </w:tc>
        <w:tc>
          <w:tcPr>
            <w:tcW w:w="8194" w:type="dxa"/>
            <w:noWrap/>
            <w:vAlign w:val="bottom"/>
            <w:hideMark/>
          </w:tcPr>
          <w:p w14:paraId="75B72858" w14:textId="7C2BB5D2" w:rsidR="00294E7C" w:rsidRPr="00A47E81" w:rsidRDefault="00294E7C" w:rsidP="00294E7C">
            <w:pPr>
              <w:spacing w:before="0" w:after="0"/>
              <w:rPr>
                <w:rFonts w:eastAsia="Times New Roman" w:cstheme="minorHAnsi"/>
                <w:color w:val="auto"/>
                <w:sz w:val="24"/>
                <w:szCs w:val="22"/>
                <w:lang w:val="en-US"/>
              </w:rPr>
            </w:pPr>
            <w:r>
              <w:rPr>
                <w:rFonts w:asciiTheme="majorHAnsi" w:hAnsiTheme="majorHAnsi" w:cstheme="majorHAnsi"/>
                <w:color w:val="000000" w:themeColor="text1"/>
              </w:rPr>
              <w:t>Electric Generation Authority of Thailand</w:t>
            </w:r>
          </w:p>
        </w:tc>
      </w:tr>
      <w:tr w:rsidR="00294E7C" w:rsidRPr="00A47E81" w14:paraId="59AC1FE6" w14:textId="77777777" w:rsidTr="00B369B8">
        <w:trPr>
          <w:trHeight w:val="300"/>
        </w:trPr>
        <w:tc>
          <w:tcPr>
            <w:tcW w:w="1610" w:type="dxa"/>
            <w:noWrap/>
            <w:vAlign w:val="bottom"/>
            <w:hideMark/>
          </w:tcPr>
          <w:p w14:paraId="5097E990" w14:textId="16742D61" w:rsidR="00294E7C" w:rsidRPr="00A47E81" w:rsidRDefault="00294E7C" w:rsidP="00294E7C">
            <w:pPr>
              <w:spacing w:before="0" w:after="0"/>
              <w:rPr>
                <w:rFonts w:eastAsia="Times New Roman" w:cstheme="minorHAnsi"/>
                <w:color w:val="auto"/>
                <w:sz w:val="24"/>
                <w:szCs w:val="22"/>
                <w:lang w:val="en-US"/>
              </w:rPr>
            </w:pPr>
            <w:r>
              <w:rPr>
                <w:rFonts w:asciiTheme="majorHAnsi" w:eastAsia="Times New Roman" w:hAnsiTheme="majorHAnsi" w:cstheme="majorHAnsi"/>
                <w:b/>
                <w:color w:val="000000" w:themeColor="text1"/>
              </w:rPr>
              <w:t>EOPO</w:t>
            </w:r>
          </w:p>
        </w:tc>
        <w:tc>
          <w:tcPr>
            <w:tcW w:w="8194" w:type="dxa"/>
            <w:noWrap/>
            <w:vAlign w:val="bottom"/>
            <w:hideMark/>
          </w:tcPr>
          <w:p w14:paraId="6EE81CF7" w14:textId="63EF3296" w:rsidR="00294E7C" w:rsidRPr="00A47E81" w:rsidRDefault="00294E7C" w:rsidP="00294E7C">
            <w:pPr>
              <w:spacing w:before="0" w:after="0"/>
              <w:rPr>
                <w:rFonts w:eastAsia="Times New Roman" w:cstheme="minorHAnsi"/>
                <w:color w:val="auto"/>
                <w:sz w:val="24"/>
                <w:szCs w:val="22"/>
                <w:lang w:val="en-US"/>
              </w:rPr>
            </w:pPr>
            <w:r w:rsidRPr="00425920">
              <w:rPr>
                <w:rFonts w:asciiTheme="majorHAnsi" w:hAnsiTheme="majorHAnsi" w:cstheme="majorHAnsi"/>
                <w:color w:val="000000" w:themeColor="text1"/>
              </w:rPr>
              <w:t>End-of-</w:t>
            </w:r>
            <w:r>
              <w:rPr>
                <w:rFonts w:asciiTheme="majorHAnsi" w:hAnsiTheme="majorHAnsi" w:cstheme="majorHAnsi"/>
                <w:color w:val="000000" w:themeColor="text1"/>
              </w:rPr>
              <w:t>Portfolio</w:t>
            </w:r>
            <w:r w:rsidRPr="00425920">
              <w:rPr>
                <w:rFonts w:asciiTheme="majorHAnsi" w:hAnsiTheme="majorHAnsi" w:cstheme="majorHAnsi"/>
                <w:color w:val="000000" w:themeColor="text1"/>
              </w:rPr>
              <w:t xml:space="preserve"> Outcome</w:t>
            </w:r>
          </w:p>
        </w:tc>
      </w:tr>
      <w:tr w:rsidR="00294E7C" w:rsidRPr="00A47E81" w14:paraId="63AADFA7" w14:textId="77777777" w:rsidTr="00B369B8">
        <w:trPr>
          <w:trHeight w:val="300"/>
        </w:trPr>
        <w:tc>
          <w:tcPr>
            <w:tcW w:w="1610" w:type="dxa"/>
            <w:noWrap/>
            <w:vAlign w:val="bottom"/>
          </w:tcPr>
          <w:p w14:paraId="466E1DED" w14:textId="53740D89"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ERF</w:t>
            </w:r>
          </w:p>
        </w:tc>
        <w:tc>
          <w:tcPr>
            <w:tcW w:w="8194" w:type="dxa"/>
            <w:noWrap/>
            <w:vAlign w:val="bottom"/>
          </w:tcPr>
          <w:p w14:paraId="097EE1D8" w14:textId="54D3B3C6" w:rsidR="00294E7C" w:rsidRPr="00425920" w:rsidRDefault="00294E7C" w:rsidP="00294E7C">
            <w:pPr>
              <w:spacing w:before="0" w:after="0"/>
              <w:rPr>
                <w:rFonts w:asciiTheme="majorHAnsi" w:hAnsiTheme="majorHAnsi" w:cstheme="majorHAnsi"/>
                <w:color w:val="000000" w:themeColor="text1"/>
              </w:rPr>
            </w:pPr>
            <w:r w:rsidRPr="00425920">
              <w:rPr>
                <w:rFonts w:asciiTheme="majorHAnsi" w:hAnsiTheme="majorHAnsi" w:cstheme="majorHAnsi"/>
                <w:color w:val="000000" w:themeColor="text1"/>
              </w:rPr>
              <w:t>Economic Resilience Fund</w:t>
            </w:r>
          </w:p>
        </w:tc>
      </w:tr>
      <w:tr w:rsidR="00294E7C" w:rsidRPr="00A47E81" w14:paraId="0320338C" w14:textId="77777777" w:rsidTr="00B369B8">
        <w:trPr>
          <w:trHeight w:val="300"/>
        </w:trPr>
        <w:tc>
          <w:tcPr>
            <w:tcW w:w="1610" w:type="dxa"/>
            <w:noWrap/>
            <w:vAlign w:val="bottom"/>
          </w:tcPr>
          <w:p w14:paraId="2D52EEBF" w14:textId="26381F08"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ESG</w:t>
            </w:r>
          </w:p>
        </w:tc>
        <w:tc>
          <w:tcPr>
            <w:tcW w:w="8194" w:type="dxa"/>
            <w:noWrap/>
            <w:vAlign w:val="bottom"/>
          </w:tcPr>
          <w:p w14:paraId="619DF07F" w14:textId="58A48ABF" w:rsidR="00294E7C" w:rsidRPr="00425920"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Environmental, Social, and Governance</w:t>
            </w:r>
          </w:p>
        </w:tc>
      </w:tr>
      <w:tr w:rsidR="00294E7C" w:rsidRPr="00A47E81" w14:paraId="42735751" w14:textId="77777777" w:rsidTr="00B369B8">
        <w:trPr>
          <w:trHeight w:val="300"/>
        </w:trPr>
        <w:tc>
          <w:tcPr>
            <w:tcW w:w="1610" w:type="dxa"/>
            <w:noWrap/>
            <w:vAlign w:val="bottom"/>
          </w:tcPr>
          <w:p w14:paraId="05663B8F" w14:textId="520B3CB6"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FICG</w:t>
            </w:r>
          </w:p>
        </w:tc>
        <w:tc>
          <w:tcPr>
            <w:tcW w:w="8194" w:type="dxa"/>
            <w:noWrap/>
            <w:vAlign w:val="bottom"/>
          </w:tcPr>
          <w:p w14:paraId="3E078B2F" w14:textId="3B6B96BB" w:rsidR="00294E7C" w:rsidRPr="00425920"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Financial Intelligence Consultative Group</w:t>
            </w:r>
          </w:p>
        </w:tc>
      </w:tr>
      <w:tr w:rsidR="00294E7C" w:rsidRPr="00A47E81" w14:paraId="76826B5E" w14:textId="77777777" w:rsidTr="00B369B8">
        <w:trPr>
          <w:trHeight w:val="300"/>
        </w:trPr>
        <w:tc>
          <w:tcPr>
            <w:tcW w:w="1610" w:type="dxa"/>
            <w:noWrap/>
            <w:vAlign w:val="bottom"/>
          </w:tcPr>
          <w:p w14:paraId="5DE99365" w14:textId="142504E9"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FPAR</w:t>
            </w:r>
          </w:p>
        </w:tc>
        <w:tc>
          <w:tcPr>
            <w:tcW w:w="8194" w:type="dxa"/>
            <w:noWrap/>
            <w:vAlign w:val="bottom"/>
          </w:tcPr>
          <w:p w14:paraId="64C862C7" w14:textId="29825981" w:rsidR="00294E7C" w:rsidRPr="00425920"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Feminist Participatory Action Research</w:t>
            </w:r>
          </w:p>
        </w:tc>
      </w:tr>
      <w:tr w:rsidR="00294E7C" w:rsidRPr="00A47E81" w14:paraId="3AB3BEE9" w14:textId="77777777" w:rsidTr="00B369B8">
        <w:trPr>
          <w:trHeight w:val="300"/>
        </w:trPr>
        <w:tc>
          <w:tcPr>
            <w:tcW w:w="1610" w:type="dxa"/>
            <w:noWrap/>
            <w:vAlign w:val="bottom"/>
          </w:tcPr>
          <w:p w14:paraId="045DF7C1" w14:textId="6B3A1C9C"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GDP</w:t>
            </w:r>
          </w:p>
        </w:tc>
        <w:tc>
          <w:tcPr>
            <w:tcW w:w="8194" w:type="dxa"/>
            <w:noWrap/>
            <w:vAlign w:val="bottom"/>
          </w:tcPr>
          <w:p w14:paraId="23F64B4E" w14:textId="08B06DFA" w:rsidR="00294E7C" w:rsidRPr="00425920"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Gross Domestic Product</w:t>
            </w:r>
          </w:p>
        </w:tc>
      </w:tr>
      <w:tr w:rsidR="00294E7C" w:rsidRPr="00A47E81" w14:paraId="191B65B4" w14:textId="77777777" w:rsidTr="00B369B8">
        <w:trPr>
          <w:trHeight w:val="300"/>
        </w:trPr>
        <w:tc>
          <w:tcPr>
            <w:tcW w:w="1610" w:type="dxa"/>
            <w:noWrap/>
            <w:vAlign w:val="bottom"/>
          </w:tcPr>
          <w:p w14:paraId="1CAFC6BD" w14:textId="5491CCB2" w:rsidR="00294E7C" w:rsidRDefault="00294E7C" w:rsidP="00294E7C">
            <w:pPr>
              <w:spacing w:before="0" w:after="0"/>
              <w:rPr>
                <w:rFonts w:asciiTheme="majorHAnsi" w:eastAsia="Times New Roman" w:hAnsiTheme="majorHAnsi" w:cstheme="majorHAnsi"/>
                <w:b/>
                <w:color w:val="000000" w:themeColor="text1"/>
              </w:rPr>
            </w:pPr>
            <w:r w:rsidRPr="00425920">
              <w:rPr>
                <w:rFonts w:asciiTheme="majorHAnsi" w:hAnsiTheme="majorHAnsi" w:cstheme="majorHAnsi"/>
                <w:b/>
                <w:bCs/>
                <w:color w:val="000000" w:themeColor="text1"/>
              </w:rPr>
              <w:lastRenderedPageBreak/>
              <w:t>GEDSI</w:t>
            </w:r>
          </w:p>
        </w:tc>
        <w:tc>
          <w:tcPr>
            <w:tcW w:w="8194" w:type="dxa"/>
            <w:noWrap/>
            <w:vAlign w:val="bottom"/>
          </w:tcPr>
          <w:p w14:paraId="1E680F30" w14:textId="196586F6" w:rsidR="00294E7C" w:rsidRPr="00425920" w:rsidRDefault="00294E7C" w:rsidP="00294E7C">
            <w:pPr>
              <w:spacing w:before="0" w:after="0"/>
              <w:rPr>
                <w:rFonts w:asciiTheme="majorHAnsi" w:hAnsiTheme="majorHAnsi" w:cstheme="majorHAnsi"/>
                <w:color w:val="000000" w:themeColor="text1"/>
              </w:rPr>
            </w:pPr>
            <w:r w:rsidRPr="00425920">
              <w:rPr>
                <w:rFonts w:asciiTheme="majorHAnsi" w:hAnsiTheme="majorHAnsi" w:cstheme="majorHAnsi"/>
                <w:color w:val="000000" w:themeColor="text1"/>
              </w:rPr>
              <w:t>Gender Equality, Disability and Social Inclusion</w:t>
            </w:r>
          </w:p>
        </w:tc>
      </w:tr>
      <w:tr w:rsidR="00294E7C" w:rsidRPr="00A47E81" w14:paraId="7D1C687A" w14:textId="77777777" w:rsidTr="00B369B8">
        <w:trPr>
          <w:trHeight w:val="300"/>
        </w:trPr>
        <w:tc>
          <w:tcPr>
            <w:tcW w:w="1610" w:type="dxa"/>
            <w:noWrap/>
            <w:vAlign w:val="bottom"/>
          </w:tcPr>
          <w:p w14:paraId="4B1965E2" w14:textId="7866B169"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Gi-TOC</w:t>
            </w:r>
          </w:p>
        </w:tc>
        <w:tc>
          <w:tcPr>
            <w:tcW w:w="8194" w:type="dxa"/>
            <w:noWrap/>
            <w:vAlign w:val="bottom"/>
          </w:tcPr>
          <w:p w14:paraId="2866717C" w14:textId="66F7564B" w:rsidR="00294E7C" w:rsidRPr="00425920" w:rsidRDefault="00294E7C" w:rsidP="00294E7C">
            <w:pPr>
              <w:spacing w:before="0" w:after="0"/>
              <w:rPr>
                <w:rFonts w:asciiTheme="majorHAnsi" w:hAnsiTheme="majorHAnsi" w:cstheme="majorHAnsi"/>
                <w:color w:val="000000" w:themeColor="text1"/>
              </w:rPr>
            </w:pPr>
            <w:r w:rsidRPr="00E404A5">
              <w:rPr>
                <w:rFonts w:asciiTheme="majorHAnsi" w:hAnsiTheme="majorHAnsi" w:cstheme="majorHAnsi"/>
                <w:color w:val="000000" w:themeColor="text1"/>
              </w:rPr>
              <w:t>Global Initiative Against Transnational Organized Crime</w:t>
            </w:r>
          </w:p>
        </w:tc>
      </w:tr>
      <w:tr w:rsidR="00294E7C" w:rsidRPr="00A47E81" w14:paraId="726BBA63" w14:textId="77777777" w:rsidTr="00B369B8">
        <w:trPr>
          <w:trHeight w:val="300"/>
        </w:trPr>
        <w:tc>
          <w:tcPr>
            <w:tcW w:w="1610" w:type="dxa"/>
            <w:noWrap/>
            <w:vAlign w:val="bottom"/>
          </w:tcPr>
          <w:p w14:paraId="45E106A2" w14:textId="16B106CD"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GIA</w:t>
            </w:r>
          </w:p>
        </w:tc>
        <w:tc>
          <w:tcPr>
            <w:tcW w:w="8194" w:type="dxa"/>
            <w:noWrap/>
            <w:vAlign w:val="bottom"/>
          </w:tcPr>
          <w:p w14:paraId="64C8477F" w14:textId="39B66DAA" w:rsidR="00294E7C" w:rsidRPr="00425920"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Gender impact analysis</w:t>
            </w:r>
          </w:p>
        </w:tc>
      </w:tr>
      <w:tr w:rsidR="00294E7C" w:rsidRPr="00A47E81" w14:paraId="49D7E0A6" w14:textId="77777777" w:rsidTr="00B369B8">
        <w:trPr>
          <w:trHeight w:val="300"/>
        </w:trPr>
        <w:tc>
          <w:tcPr>
            <w:tcW w:w="1610" w:type="dxa"/>
            <w:noWrap/>
            <w:vAlign w:val="bottom"/>
          </w:tcPr>
          <w:p w14:paraId="29DA4D58" w14:textId="205EB17A"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GRB</w:t>
            </w:r>
          </w:p>
        </w:tc>
        <w:tc>
          <w:tcPr>
            <w:tcW w:w="8194" w:type="dxa"/>
            <w:noWrap/>
            <w:vAlign w:val="bottom"/>
          </w:tcPr>
          <w:p w14:paraId="36D5F9AB" w14:textId="2699D43F" w:rsidR="00294E7C" w:rsidRPr="00425920"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Gender-responsive budgeting</w:t>
            </w:r>
          </w:p>
        </w:tc>
      </w:tr>
      <w:tr w:rsidR="00294E7C" w:rsidRPr="00A47E81" w14:paraId="0735BF67" w14:textId="77777777" w:rsidTr="00B369B8">
        <w:trPr>
          <w:trHeight w:val="300"/>
        </w:trPr>
        <w:tc>
          <w:tcPr>
            <w:tcW w:w="1610" w:type="dxa"/>
            <w:noWrap/>
            <w:vAlign w:val="bottom"/>
          </w:tcPr>
          <w:p w14:paraId="00E73FD5" w14:textId="6BCB6857"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GRP</w:t>
            </w:r>
          </w:p>
        </w:tc>
        <w:tc>
          <w:tcPr>
            <w:tcW w:w="8194" w:type="dxa"/>
            <w:noWrap/>
            <w:vAlign w:val="bottom"/>
          </w:tcPr>
          <w:p w14:paraId="42886FCC" w14:textId="76704548" w:rsidR="00294E7C" w:rsidRPr="00425920"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Gender-responsive procurement</w:t>
            </w:r>
          </w:p>
        </w:tc>
      </w:tr>
      <w:tr w:rsidR="00294E7C" w:rsidRPr="00A47E81" w14:paraId="398FF8D6" w14:textId="77777777" w:rsidTr="00B369B8">
        <w:trPr>
          <w:trHeight w:val="300"/>
        </w:trPr>
        <w:tc>
          <w:tcPr>
            <w:tcW w:w="1610" w:type="dxa"/>
            <w:noWrap/>
            <w:vAlign w:val="bottom"/>
          </w:tcPr>
          <w:p w14:paraId="33FC8CA3" w14:textId="756EB555"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HA</w:t>
            </w:r>
          </w:p>
        </w:tc>
        <w:tc>
          <w:tcPr>
            <w:tcW w:w="8194" w:type="dxa"/>
            <w:noWrap/>
            <w:vAlign w:val="bottom"/>
          </w:tcPr>
          <w:p w14:paraId="7AAC2838" w14:textId="4C1ED789" w:rsidR="00294E7C" w:rsidRPr="00425920"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Home Affairs</w:t>
            </w:r>
          </w:p>
        </w:tc>
      </w:tr>
      <w:tr w:rsidR="00294E7C" w:rsidRPr="00A47E81" w14:paraId="7958057A" w14:textId="77777777" w:rsidTr="00B369B8">
        <w:trPr>
          <w:trHeight w:val="300"/>
        </w:trPr>
        <w:tc>
          <w:tcPr>
            <w:tcW w:w="1610" w:type="dxa"/>
            <w:noWrap/>
            <w:vAlign w:val="bottom"/>
          </w:tcPr>
          <w:p w14:paraId="6349F365" w14:textId="332F7517"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IFC</w:t>
            </w:r>
          </w:p>
        </w:tc>
        <w:tc>
          <w:tcPr>
            <w:tcW w:w="8194" w:type="dxa"/>
            <w:noWrap/>
            <w:vAlign w:val="bottom"/>
          </w:tcPr>
          <w:p w14:paraId="270B58BD" w14:textId="563F90B0" w:rsidR="00294E7C" w:rsidRPr="00425920"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Intelligence Fundamentals Course</w:t>
            </w:r>
          </w:p>
        </w:tc>
      </w:tr>
      <w:tr w:rsidR="00294E7C" w:rsidRPr="00A47E81" w14:paraId="51803E27" w14:textId="77777777" w:rsidTr="00B369B8">
        <w:trPr>
          <w:trHeight w:val="300"/>
        </w:trPr>
        <w:tc>
          <w:tcPr>
            <w:tcW w:w="1610" w:type="dxa"/>
            <w:noWrap/>
            <w:vAlign w:val="bottom"/>
          </w:tcPr>
          <w:p w14:paraId="40D709B7" w14:textId="3EABCCE5"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IP2</w:t>
            </w:r>
          </w:p>
        </w:tc>
        <w:tc>
          <w:tcPr>
            <w:tcW w:w="8194" w:type="dxa"/>
            <w:noWrap/>
            <w:vAlign w:val="bottom"/>
          </w:tcPr>
          <w:p w14:paraId="149C76A4" w14:textId="5F9E9BAF" w:rsidR="00294E7C" w:rsidRPr="00425920"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Inclusion Project Phase 2</w:t>
            </w:r>
          </w:p>
        </w:tc>
      </w:tr>
      <w:tr w:rsidR="00294E7C" w:rsidRPr="00A47E81" w14:paraId="0E07D8CE" w14:textId="77777777" w:rsidTr="00B369B8">
        <w:trPr>
          <w:trHeight w:val="300"/>
        </w:trPr>
        <w:tc>
          <w:tcPr>
            <w:tcW w:w="1610" w:type="dxa"/>
            <w:noWrap/>
            <w:vAlign w:val="bottom"/>
          </w:tcPr>
          <w:p w14:paraId="3FDD506F" w14:textId="5FE0495A"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IPPIN</w:t>
            </w:r>
          </w:p>
        </w:tc>
        <w:tc>
          <w:tcPr>
            <w:tcW w:w="8194" w:type="dxa"/>
            <w:noWrap/>
            <w:vAlign w:val="bottom"/>
          </w:tcPr>
          <w:p w14:paraId="28638C3D" w14:textId="62C76A0E" w:rsidR="00294E7C" w:rsidRPr="00425920"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Indo-Pacific Plastics Innovation Network</w:t>
            </w:r>
          </w:p>
        </w:tc>
      </w:tr>
      <w:tr w:rsidR="00294E7C" w:rsidRPr="00A47E81" w14:paraId="37DF7A5B" w14:textId="77777777" w:rsidTr="00B369B8">
        <w:trPr>
          <w:trHeight w:val="300"/>
        </w:trPr>
        <w:tc>
          <w:tcPr>
            <w:tcW w:w="1610" w:type="dxa"/>
            <w:noWrap/>
            <w:vAlign w:val="bottom"/>
          </w:tcPr>
          <w:p w14:paraId="5E1505BD" w14:textId="3A6AEB92"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LDPA</w:t>
            </w:r>
          </w:p>
        </w:tc>
        <w:tc>
          <w:tcPr>
            <w:tcW w:w="8194" w:type="dxa"/>
            <w:noWrap/>
            <w:vAlign w:val="bottom"/>
          </w:tcPr>
          <w:p w14:paraId="678A189F" w14:textId="173C80FE" w:rsidR="00294E7C" w:rsidRPr="00425920"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Laos Disabled Peoples Association</w:t>
            </w:r>
          </w:p>
        </w:tc>
      </w:tr>
      <w:tr w:rsidR="00294E7C" w:rsidRPr="00A47E81" w14:paraId="7C6B4FC5" w14:textId="77777777" w:rsidTr="00B369B8">
        <w:trPr>
          <w:trHeight w:val="300"/>
        </w:trPr>
        <w:tc>
          <w:tcPr>
            <w:tcW w:w="1610" w:type="dxa"/>
            <w:noWrap/>
            <w:vAlign w:val="bottom"/>
          </w:tcPr>
          <w:p w14:paraId="1365D2CC" w14:textId="32DC0CC4"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LEAP</w:t>
            </w:r>
          </w:p>
        </w:tc>
        <w:tc>
          <w:tcPr>
            <w:tcW w:w="8194" w:type="dxa"/>
            <w:noWrap/>
            <w:vAlign w:val="bottom"/>
          </w:tcPr>
          <w:p w14:paraId="44549880" w14:textId="072D44F4" w:rsidR="00294E7C" w:rsidRPr="00425920"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Low Emissions Analysis Platform</w:t>
            </w:r>
          </w:p>
        </w:tc>
      </w:tr>
      <w:tr w:rsidR="00294E7C" w:rsidRPr="00A47E81" w14:paraId="51A6FF12" w14:textId="77777777" w:rsidTr="00B369B8">
        <w:trPr>
          <w:trHeight w:val="300"/>
        </w:trPr>
        <w:tc>
          <w:tcPr>
            <w:tcW w:w="1610" w:type="dxa"/>
            <w:noWrap/>
            <w:vAlign w:val="bottom"/>
          </w:tcPr>
          <w:p w14:paraId="3BE040A3" w14:textId="3EE2950B"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LMC</w:t>
            </w:r>
          </w:p>
        </w:tc>
        <w:tc>
          <w:tcPr>
            <w:tcW w:w="8194" w:type="dxa"/>
            <w:noWrap/>
            <w:vAlign w:val="bottom"/>
          </w:tcPr>
          <w:p w14:paraId="251C81A9" w14:textId="6EBAEC5A" w:rsidR="00294E7C" w:rsidRPr="00425920"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Lancang-Mekong Cooperation</w:t>
            </w:r>
          </w:p>
        </w:tc>
      </w:tr>
      <w:tr w:rsidR="00294E7C" w:rsidRPr="00A47E81" w14:paraId="4278A08F" w14:textId="77777777" w:rsidTr="00B369B8">
        <w:trPr>
          <w:trHeight w:val="300"/>
        </w:trPr>
        <w:tc>
          <w:tcPr>
            <w:tcW w:w="1610" w:type="dxa"/>
            <w:noWrap/>
            <w:vAlign w:val="bottom"/>
          </w:tcPr>
          <w:p w14:paraId="0E9424BE" w14:textId="157C98AC"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MARD</w:t>
            </w:r>
          </w:p>
        </w:tc>
        <w:tc>
          <w:tcPr>
            <w:tcW w:w="8194" w:type="dxa"/>
            <w:noWrap/>
            <w:vAlign w:val="bottom"/>
          </w:tcPr>
          <w:p w14:paraId="64524046" w14:textId="140A1CE1" w:rsidR="00294E7C" w:rsidRPr="00425920" w:rsidRDefault="00294E7C" w:rsidP="00294E7C">
            <w:pPr>
              <w:spacing w:before="0" w:after="0"/>
              <w:rPr>
                <w:rFonts w:asciiTheme="majorHAnsi" w:hAnsiTheme="majorHAnsi" w:cstheme="majorHAnsi"/>
                <w:color w:val="000000" w:themeColor="text1"/>
              </w:rPr>
            </w:pPr>
            <w:r w:rsidRPr="00CE078C">
              <w:rPr>
                <w:rFonts w:asciiTheme="majorHAnsi" w:hAnsiTheme="majorHAnsi" w:cstheme="majorHAnsi"/>
                <w:color w:val="000000" w:themeColor="text1"/>
              </w:rPr>
              <w:t>Ministry of Agriculture and Rural Development</w:t>
            </w:r>
            <w:r>
              <w:rPr>
                <w:rFonts w:asciiTheme="majorHAnsi" w:hAnsiTheme="majorHAnsi" w:cstheme="majorHAnsi"/>
                <w:color w:val="000000" w:themeColor="text1"/>
              </w:rPr>
              <w:t xml:space="preserve"> (Vietnam)</w:t>
            </w:r>
          </w:p>
        </w:tc>
      </w:tr>
      <w:tr w:rsidR="00294E7C" w:rsidRPr="00A47E81" w14:paraId="402D822B" w14:textId="77777777" w:rsidTr="00B369B8">
        <w:trPr>
          <w:trHeight w:val="300"/>
        </w:trPr>
        <w:tc>
          <w:tcPr>
            <w:tcW w:w="1610" w:type="dxa"/>
            <w:noWrap/>
            <w:vAlign w:val="bottom"/>
          </w:tcPr>
          <w:p w14:paraId="012F4627" w14:textId="05316024"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MAP</w:t>
            </w:r>
          </w:p>
        </w:tc>
        <w:tc>
          <w:tcPr>
            <w:tcW w:w="8194" w:type="dxa"/>
            <w:noWrap/>
            <w:vAlign w:val="bottom"/>
          </w:tcPr>
          <w:p w14:paraId="0DA2F8BF" w14:textId="2A8C23AE" w:rsidR="00294E7C" w:rsidRPr="00CE078C" w:rsidRDefault="00294E7C" w:rsidP="00294E7C">
            <w:pPr>
              <w:spacing w:before="0" w:after="0"/>
              <w:rPr>
                <w:rFonts w:asciiTheme="majorHAnsi" w:hAnsiTheme="majorHAnsi" w:cstheme="majorHAnsi"/>
                <w:color w:val="000000" w:themeColor="text1"/>
              </w:rPr>
            </w:pPr>
            <w:r w:rsidRPr="00425920">
              <w:rPr>
                <w:rFonts w:asciiTheme="majorHAnsi" w:hAnsiTheme="majorHAnsi" w:cstheme="majorHAnsi"/>
                <w:color w:val="000000" w:themeColor="text1"/>
              </w:rPr>
              <w:t>Mekong-Australia Partnership</w:t>
            </w:r>
          </w:p>
        </w:tc>
      </w:tr>
      <w:tr w:rsidR="00294E7C" w:rsidRPr="00A47E81" w14:paraId="23A35722" w14:textId="77777777" w:rsidTr="00B369B8">
        <w:trPr>
          <w:trHeight w:val="300"/>
        </w:trPr>
        <w:tc>
          <w:tcPr>
            <w:tcW w:w="1610" w:type="dxa"/>
            <w:noWrap/>
            <w:vAlign w:val="bottom"/>
          </w:tcPr>
          <w:p w14:paraId="2CE7753D" w14:textId="5241F9FA"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MAP-SU</w:t>
            </w:r>
          </w:p>
        </w:tc>
        <w:tc>
          <w:tcPr>
            <w:tcW w:w="8194" w:type="dxa"/>
            <w:noWrap/>
            <w:vAlign w:val="bottom"/>
          </w:tcPr>
          <w:p w14:paraId="46897D93" w14:textId="5D419F7A"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 xml:space="preserve">Mekong-Australia Partnership Support Unit </w:t>
            </w:r>
          </w:p>
        </w:tc>
      </w:tr>
      <w:tr w:rsidR="00294E7C" w:rsidRPr="00A47E81" w14:paraId="6ABE01AF" w14:textId="77777777" w:rsidTr="00B369B8">
        <w:trPr>
          <w:trHeight w:val="300"/>
        </w:trPr>
        <w:tc>
          <w:tcPr>
            <w:tcW w:w="1610" w:type="dxa"/>
            <w:noWrap/>
            <w:vAlign w:val="bottom"/>
          </w:tcPr>
          <w:p w14:paraId="4C5267F3" w14:textId="481FCECD" w:rsidR="00294E7C" w:rsidRDefault="00294E7C" w:rsidP="00294E7C">
            <w:pPr>
              <w:spacing w:before="0" w:after="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MEL</w:t>
            </w:r>
          </w:p>
        </w:tc>
        <w:tc>
          <w:tcPr>
            <w:tcW w:w="8194" w:type="dxa"/>
            <w:noWrap/>
            <w:vAlign w:val="bottom"/>
          </w:tcPr>
          <w:p w14:paraId="106AC2C0" w14:textId="39900049" w:rsidR="00294E7C" w:rsidRPr="00CE078C" w:rsidRDefault="00294E7C" w:rsidP="00294E7C">
            <w:pPr>
              <w:spacing w:before="0" w:after="0"/>
              <w:rPr>
                <w:rFonts w:asciiTheme="majorHAnsi" w:hAnsiTheme="majorHAnsi" w:cstheme="majorHAnsi"/>
                <w:color w:val="000000" w:themeColor="text1"/>
              </w:rPr>
            </w:pPr>
            <w:r w:rsidRPr="00425920">
              <w:rPr>
                <w:rFonts w:asciiTheme="majorHAnsi" w:hAnsiTheme="majorHAnsi" w:cstheme="majorHAnsi"/>
                <w:color w:val="000000" w:themeColor="text1"/>
              </w:rPr>
              <w:t>Monitoring, Evaluation and Learning</w:t>
            </w:r>
          </w:p>
        </w:tc>
      </w:tr>
      <w:tr w:rsidR="00294E7C" w:rsidRPr="00A47E81" w14:paraId="7F3EC2DD" w14:textId="77777777" w:rsidTr="00B369B8">
        <w:trPr>
          <w:trHeight w:val="300"/>
        </w:trPr>
        <w:tc>
          <w:tcPr>
            <w:tcW w:w="1610" w:type="dxa"/>
            <w:noWrap/>
            <w:vAlign w:val="bottom"/>
          </w:tcPr>
          <w:p w14:paraId="165390C9" w14:textId="074D664B" w:rsidR="00294E7C" w:rsidRDefault="00294E7C" w:rsidP="00294E7C">
            <w:pPr>
              <w:spacing w:before="0" w:after="0"/>
              <w:rPr>
                <w:rFonts w:asciiTheme="majorHAnsi" w:eastAsia="Times New Roman" w:hAnsiTheme="majorHAnsi" w:cstheme="majorHAnsi"/>
                <w:b/>
                <w:color w:val="000000" w:themeColor="text1"/>
              </w:rPr>
            </w:pPr>
            <w:r w:rsidRPr="00425920">
              <w:rPr>
                <w:rFonts w:asciiTheme="majorHAnsi" w:hAnsiTheme="majorHAnsi" w:cstheme="majorHAnsi"/>
                <w:b/>
                <w:bCs/>
                <w:color w:val="000000" w:themeColor="text1"/>
              </w:rPr>
              <w:t>MFI</w:t>
            </w:r>
            <w:r>
              <w:rPr>
                <w:rFonts w:asciiTheme="majorHAnsi" w:hAnsiTheme="majorHAnsi" w:cstheme="majorHAnsi"/>
                <w:b/>
                <w:bCs/>
                <w:color w:val="000000" w:themeColor="text1"/>
              </w:rPr>
              <w:t>AC</w:t>
            </w:r>
          </w:p>
        </w:tc>
        <w:tc>
          <w:tcPr>
            <w:tcW w:w="8194" w:type="dxa"/>
            <w:noWrap/>
            <w:vAlign w:val="bottom"/>
          </w:tcPr>
          <w:p w14:paraId="1EE62C50" w14:textId="6467B8C0" w:rsidR="00294E7C" w:rsidRPr="00CE078C" w:rsidRDefault="00294E7C" w:rsidP="00294E7C">
            <w:pPr>
              <w:spacing w:before="0" w:after="0"/>
              <w:rPr>
                <w:rFonts w:asciiTheme="majorHAnsi" w:hAnsiTheme="majorHAnsi" w:cstheme="majorHAnsi"/>
                <w:color w:val="000000" w:themeColor="text1"/>
              </w:rPr>
            </w:pPr>
            <w:r w:rsidRPr="00425920">
              <w:rPr>
                <w:rFonts w:asciiTheme="majorHAnsi" w:hAnsiTheme="majorHAnsi" w:cstheme="majorHAnsi"/>
                <w:color w:val="000000" w:themeColor="text1"/>
              </w:rPr>
              <w:t xml:space="preserve">Mekong </w:t>
            </w:r>
            <w:r>
              <w:rPr>
                <w:rFonts w:asciiTheme="majorHAnsi" w:hAnsiTheme="majorHAnsi" w:cstheme="majorHAnsi"/>
                <w:color w:val="000000" w:themeColor="text1"/>
              </w:rPr>
              <w:t>Financial Intelligence Analyst Course</w:t>
            </w:r>
            <w:r w:rsidRPr="00425920">
              <w:rPr>
                <w:rFonts w:asciiTheme="majorHAnsi" w:hAnsiTheme="majorHAnsi" w:cstheme="majorHAnsi"/>
                <w:color w:val="000000" w:themeColor="text1"/>
              </w:rPr>
              <w:t xml:space="preserve"> </w:t>
            </w:r>
          </w:p>
        </w:tc>
      </w:tr>
      <w:tr w:rsidR="00294E7C" w:rsidRPr="00A47E81" w14:paraId="4DC5C6B8" w14:textId="77777777" w:rsidTr="00B369B8">
        <w:trPr>
          <w:trHeight w:val="300"/>
        </w:trPr>
        <w:tc>
          <w:tcPr>
            <w:tcW w:w="1610" w:type="dxa"/>
            <w:noWrap/>
            <w:vAlign w:val="bottom"/>
          </w:tcPr>
          <w:p w14:paraId="25C69544" w14:textId="3F59FA3A"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MMK</w:t>
            </w:r>
          </w:p>
        </w:tc>
        <w:tc>
          <w:tcPr>
            <w:tcW w:w="8194" w:type="dxa"/>
            <w:noWrap/>
            <w:vAlign w:val="bottom"/>
          </w:tcPr>
          <w:p w14:paraId="4E592AA4" w14:textId="7A277B7B"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Myanmar kyat</w:t>
            </w:r>
          </w:p>
        </w:tc>
      </w:tr>
      <w:tr w:rsidR="00294E7C" w:rsidRPr="00A47E81" w14:paraId="66FBAFC0" w14:textId="77777777" w:rsidTr="00B369B8">
        <w:trPr>
          <w:trHeight w:val="300"/>
        </w:trPr>
        <w:tc>
          <w:tcPr>
            <w:tcW w:w="1610" w:type="dxa"/>
            <w:noWrap/>
            <w:vAlign w:val="bottom"/>
          </w:tcPr>
          <w:p w14:paraId="37656553" w14:textId="79E158A3"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MONRE</w:t>
            </w:r>
          </w:p>
        </w:tc>
        <w:tc>
          <w:tcPr>
            <w:tcW w:w="8194" w:type="dxa"/>
            <w:noWrap/>
            <w:vAlign w:val="bottom"/>
          </w:tcPr>
          <w:p w14:paraId="47ECEAE2" w14:textId="57B926CD"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Ministry of Environment and Natural Resources (Vietnam)</w:t>
            </w:r>
          </w:p>
        </w:tc>
      </w:tr>
      <w:tr w:rsidR="00294E7C" w:rsidRPr="00A47E81" w14:paraId="4F7489BB" w14:textId="77777777" w:rsidTr="00B369B8">
        <w:trPr>
          <w:trHeight w:val="300"/>
        </w:trPr>
        <w:tc>
          <w:tcPr>
            <w:tcW w:w="1610" w:type="dxa"/>
            <w:noWrap/>
            <w:vAlign w:val="bottom"/>
          </w:tcPr>
          <w:p w14:paraId="609235CF" w14:textId="55124FB0" w:rsidR="00294E7C" w:rsidRDefault="00294E7C" w:rsidP="00294E7C">
            <w:pPr>
              <w:spacing w:before="0" w:after="0"/>
              <w:rPr>
                <w:rFonts w:asciiTheme="majorHAnsi" w:eastAsia="Times New Roman" w:hAnsiTheme="majorHAnsi" w:cstheme="majorHAnsi"/>
                <w:b/>
                <w:color w:val="000000" w:themeColor="text1"/>
              </w:rPr>
            </w:pPr>
            <w:r w:rsidRPr="00425920">
              <w:rPr>
                <w:rFonts w:asciiTheme="majorHAnsi" w:hAnsiTheme="majorHAnsi" w:cstheme="majorHAnsi"/>
                <w:b/>
                <w:bCs/>
                <w:color w:val="000000" w:themeColor="text1"/>
              </w:rPr>
              <w:t>MoU</w:t>
            </w:r>
          </w:p>
        </w:tc>
        <w:tc>
          <w:tcPr>
            <w:tcW w:w="8194" w:type="dxa"/>
            <w:noWrap/>
            <w:vAlign w:val="bottom"/>
          </w:tcPr>
          <w:p w14:paraId="642736F7" w14:textId="75126FE5" w:rsidR="00294E7C" w:rsidRPr="00CE078C" w:rsidRDefault="00294E7C" w:rsidP="00294E7C">
            <w:pPr>
              <w:spacing w:before="0" w:after="0"/>
              <w:rPr>
                <w:rFonts w:asciiTheme="majorHAnsi" w:hAnsiTheme="majorHAnsi" w:cstheme="majorHAnsi"/>
                <w:color w:val="000000" w:themeColor="text1"/>
              </w:rPr>
            </w:pPr>
            <w:r w:rsidRPr="00425920">
              <w:rPr>
                <w:rFonts w:asciiTheme="majorHAnsi" w:hAnsiTheme="majorHAnsi" w:cstheme="majorHAnsi"/>
                <w:color w:val="000000" w:themeColor="text1"/>
              </w:rPr>
              <w:t>Memorandum of Understanding</w:t>
            </w:r>
          </w:p>
        </w:tc>
      </w:tr>
      <w:tr w:rsidR="00294E7C" w:rsidRPr="00A47E81" w14:paraId="04AAEBC7" w14:textId="77777777" w:rsidTr="00B369B8">
        <w:trPr>
          <w:trHeight w:val="300"/>
        </w:trPr>
        <w:tc>
          <w:tcPr>
            <w:tcW w:w="1610" w:type="dxa"/>
            <w:noWrap/>
            <w:vAlign w:val="bottom"/>
          </w:tcPr>
          <w:p w14:paraId="44D4A945" w14:textId="3A87F11F"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MP</w:t>
            </w:r>
          </w:p>
        </w:tc>
        <w:tc>
          <w:tcPr>
            <w:tcW w:w="8194" w:type="dxa"/>
            <w:noWrap/>
            <w:vAlign w:val="bottom"/>
          </w:tcPr>
          <w:p w14:paraId="2D6E89D8" w14:textId="5F5B93D5"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 xml:space="preserve">Member of Parliament </w:t>
            </w:r>
          </w:p>
        </w:tc>
      </w:tr>
      <w:tr w:rsidR="00294E7C" w:rsidRPr="00A47E81" w14:paraId="7BC596B1" w14:textId="77777777" w:rsidTr="00B369B8">
        <w:trPr>
          <w:trHeight w:val="300"/>
        </w:trPr>
        <w:tc>
          <w:tcPr>
            <w:tcW w:w="1610" w:type="dxa"/>
            <w:noWrap/>
            <w:vAlign w:val="bottom"/>
          </w:tcPr>
          <w:p w14:paraId="2C23EFA3" w14:textId="1A6DABA1" w:rsidR="00294E7C" w:rsidRDefault="00294E7C" w:rsidP="00294E7C">
            <w:pPr>
              <w:spacing w:before="0" w:after="0"/>
              <w:rPr>
                <w:rFonts w:asciiTheme="majorHAnsi" w:eastAsia="Times New Roman" w:hAnsiTheme="majorHAnsi" w:cstheme="majorHAnsi"/>
                <w:b/>
                <w:color w:val="000000" w:themeColor="text1"/>
              </w:rPr>
            </w:pPr>
            <w:r w:rsidRPr="00425920">
              <w:rPr>
                <w:rFonts w:asciiTheme="majorHAnsi" w:hAnsiTheme="majorHAnsi" w:cstheme="majorHAnsi"/>
                <w:b/>
                <w:bCs/>
                <w:color w:val="000000" w:themeColor="text1"/>
              </w:rPr>
              <w:t>MRC</w:t>
            </w:r>
          </w:p>
        </w:tc>
        <w:tc>
          <w:tcPr>
            <w:tcW w:w="8194" w:type="dxa"/>
            <w:noWrap/>
            <w:vAlign w:val="bottom"/>
          </w:tcPr>
          <w:p w14:paraId="79ACF87C" w14:textId="6C3D3C36" w:rsidR="00294E7C" w:rsidRPr="00CE078C" w:rsidRDefault="00294E7C" w:rsidP="00294E7C">
            <w:pPr>
              <w:spacing w:before="0" w:after="0"/>
              <w:rPr>
                <w:rFonts w:asciiTheme="majorHAnsi" w:hAnsiTheme="majorHAnsi" w:cstheme="majorHAnsi"/>
                <w:color w:val="000000" w:themeColor="text1"/>
              </w:rPr>
            </w:pPr>
            <w:r w:rsidRPr="00425920">
              <w:rPr>
                <w:rFonts w:asciiTheme="majorHAnsi" w:hAnsiTheme="majorHAnsi" w:cstheme="majorHAnsi"/>
                <w:color w:val="000000" w:themeColor="text1"/>
              </w:rPr>
              <w:t>Mekong River Commission</w:t>
            </w:r>
          </w:p>
        </w:tc>
      </w:tr>
      <w:tr w:rsidR="00294E7C" w:rsidRPr="00A47E81" w14:paraId="77F90477" w14:textId="77777777" w:rsidTr="00B369B8">
        <w:trPr>
          <w:trHeight w:val="300"/>
        </w:trPr>
        <w:tc>
          <w:tcPr>
            <w:tcW w:w="1610" w:type="dxa"/>
            <w:noWrap/>
            <w:vAlign w:val="bottom"/>
          </w:tcPr>
          <w:p w14:paraId="663308FF" w14:textId="7C5DF4FC" w:rsidR="00294E7C" w:rsidRDefault="00294E7C" w:rsidP="00294E7C">
            <w:pPr>
              <w:spacing w:before="0" w:after="0"/>
              <w:rPr>
                <w:rFonts w:asciiTheme="majorHAnsi" w:eastAsia="Times New Roman" w:hAnsiTheme="majorHAnsi" w:cstheme="majorHAnsi"/>
                <w:b/>
                <w:color w:val="000000" w:themeColor="text1"/>
              </w:rPr>
            </w:pPr>
            <w:r w:rsidRPr="00425920">
              <w:rPr>
                <w:rFonts w:asciiTheme="majorHAnsi" w:hAnsiTheme="majorHAnsi" w:cstheme="majorHAnsi"/>
                <w:b/>
                <w:bCs/>
                <w:color w:val="000000" w:themeColor="text1"/>
              </w:rPr>
              <w:t>MSME</w:t>
            </w:r>
          </w:p>
        </w:tc>
        <w:tc>
          <w:tcPr>
            <w:tcW w:w="8194" w:type="dxa"/>
            <w:noWrap/>
            <w:vAlign w:val="bottom"/>
          </w:tcPr>
          <w:p w14:paraId="4EED12DA" w14:textId="043BE4F3" w:rsidR="00294E7C" w:rsidRPr="00CE078C" w:rsidRDefault="00294E7C" w:rsidP="00294E7C">
            <w:pPr>
              <w:spacing w:before="0" w:after="0"/>
              <w:rPr>
                <w:rFonts w:asciiTheme="majorHAnsi" w:hAnsiTheme="majorHAnsi" w:cstheme="majorHAnsi"/>
                <w:color w:val="000000" w:themeColor="text1"/>
              </w:rPr>
            </w:pPr>
            <w:r w:rsidRPr="00425920">
              <w:rPr>
                <w:rFonts w:asciiTheme="majorHAnsi" w:hAnsiTheme="majorHAnsi" w:cstheme="majorHAnsi"/>
                <w:color w:val="000000" w:themeColor="text1"/>
              </w:rPr>
              <w:t>Micro, Small, Medium Enterprises</w:t>
            </w:r>
          </w:p>
        </w:tc>
      </w:tr>
      <w:tr w:rsidR="00294E7C" w:rsidRPr="00A47E81" w14:paraId="412F420F" w14:textId="77777777" w:rsidTr="00B369B8">
        <w:trPr>
          <w:trHeight w:val="300"/>
        </w:trPr>
        <w:tc>
          <w:tcPr>
            <w:tcW w:w="1610" w:type="dxa"/>
            <w:noWrap/>
            <w:vAlign w:val="bottom"/>
          </w:tcPr>
          <w:p w14:paraId="272D502E" w14:textId="3B8C5BE9" w:rsidR="00294E7C" w:rsidRDefault="00294E7C" w:rsidP="00294E7C">
            <w:pPr>
              <w:spacing w:before="0" w:after="0"/>
              <w:rPr>
                <w:rFonts w:asciiTheme="majorHAnsi" w:eastAsia="Times New Roman" w:hAnsiTheme="majorHAnsi" w:cstheme="majorHAnsi"/>
                <w:b/>
                <w:color w:val="000000" w:themeColor="text1"/>
              </w:rPr>
            </w:pPr>
            <w:proofErr w:type="spellStart"/>
            <w:r>
              <w:rPr>
                <w:rFonts w:asciiTheme="majorHAnsi" w:hAnsiTheme="majorHAnsi" w:cstheme="majorHAnsi"/>
                <w:b/>
                <w:bCs/>
                <w:color w:val="000000" w:themeColor="text1"/>
              </w:rPr>
              <w:t>NbS</w:t>
            </w:r>
            <w:proofErr w:type="spellEnd"/>
          </w:p>
        </w:tc>
        <w:tc>
          <w:tcPr>
            <w:tcW w:w="8194" w:type="dxa"/>
            <w:noWrap/>
            <w:vAlign w:val="bottom"/>
          </w:tcPr>
          <w:p w14:paraId="1069AD6F" w14:textId="08CADF2D"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Nature-based solutions</w:t>
            </w:r>
          </w:p>
        </w:tc>
      </w:tr>
      <w:tr w:rsidR="00294E7C" w:rsidRPr="00A47E81" w14:paraId="773CD1B6" w14:textId="77777777" w:rsidTr="00B369B8">
        <w:trPr>
          <w:trHeight w:val="300"/>
        </w:trPr>
        <w:tc>
          <w:tcPr>
            <w:tcW w:w="1610" w:type="dxa"/>
            <w:noWrap/>
            <w:vAlign w:val="bottom"/>
          </w:tcPr>
          <w:p w14:paraId="4D05FEE8" w14:textId="12AED6EF"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NEMO</w:t>
            </w:r>
          </w:p>
        </w:tc>
        <w:tc>
          <w:tcPr>
            <w:tcW w:w="8194" w:type="dxa"/>
            <w:noWrap/>
            <w:vAlign w:val="bottom"/>
          </w:tcPr>
          <w:p w14:paraId="7A10F2BA" w14:textId="69E06ADB"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Next Energy System Modelling for Optimisation</w:t>
            </w:r>
          </w:p>
        </w:tc>
      </w:tr>
      <w:tr w:rsidR="00294E7C" w:rsidRPr="00A47E81" w14:paraId="608D3EEC" w14:textId="77777777" w:rsidTr="00B369B8">
        <w:trPr>
          <w:trHeight w:val="300"/>
        </w:trPr>
        <w:tc>
          <w:tcPr>
            <w:tcW w:w="1610" w:type="dxa"/>
            <w:noWrap/>
            <w:vAlign w:val="bottom"/>
          </w:tcPr>
          <w:p w14:paraId="0A50F08C" w14:textId="587847C5"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NIA</w:t>
            </w:r>
          </w:p>
        </w:tc>
        <w:tc>
          <w:tcPr>
            <w:tcW w:w="8194" w:type="dxa"/>
            <w:noWrap/>
            <w:vAlign w:val="bottom"/>
          </w:tcPr>
          <w:p w14:paraId="5E28DC03" w14:textId="61704586"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National Innovation Agency (Thailand)</w:t>
            </w:r>
          </w:p>
        </w:tc>
      </w:tr>
      <w:tr w:rsidR="00294E7C" w:rsidRPr="00A47E81" w14:paraId="296C5879" w14:textId="77777777" w:rsidTr="00B369B8">
        <w:trPr>
          <w:trHeight w:val="300"/>
        </w:trPr>
        <w:tc>
          <w:tcPr>
            <w:tcW w:w="1610" w:type="dxa"/>
            <w:noWrap/>
            <w:vAlign w:val="bottom"/>
          </w:tcPr>
          <w:p w14:paraId="25B3C9CA" w14:textId="19662C35"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NIDIR</w:t>
            </w:r>
          </w:p>
        </w:tc>
        <w:tc>
          <w:tcPr>
            <w:tcW w:w="8194" w:type="dxa"/>
            <w:noWrap/>
            <w:vAlign w:val="bottom"/>
          </w:tcPr>
          <w:p w14:paraId="7D510CFE" w14:textId="2B280A16"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 xml:space="preserve">Cambodia’s National Institute for Diplomacy and International Relations </w:t>
            </w:r>
          </w:p>
        </w:tc>
      </w:tr>
      <w:tr w:rsidR="00294E7C" w:rsidRPr="00A47E81" w14:paraId="0A0103D9" w14:textId="77777777" w:rsidTr="00B369B8">
        <w:trPr>
          <w:trHeight w:val="300"/>
        </w:trPr>
        <w:tc>
          <w:tcPr>
            <w:tcW w:w="1610" w:type="dxa"/>
            <w:noWrap/>
            <w:vAlign w:val="bottom"/>
          </w:tcPr>
          <w:p w14:paraId="3C8AD886" w14:textId="7FBAA659"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NGO</w:t>
            </w:r>
          </w:p>
        </w:tc>
        <w:tc>
          <w:tcPr>
            <w:tcW w:w="8194" w:type="dxa"/>
            <w:noWrap/>
            <w:vAlign w:val="bottom"/>
          </w:tcPr>
          <w:p w14:paraId="35A159DB" w14:textId="3A17B0C1"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 xml:space="preserve">Non-Governmental Organisation </w:t>
            </w:r>
          </w:p>
        </w:tc>
      </w:tr>
      <w:tr w:rsidR="00294E7C" w:rsidRPr="00A47E81" w14:paraId="044A56EC" w14:textId="77777777" w:rsidTr="00B369B8">
        <w:trPr>
          <w:trHeight w:val="300"/>
        </w:trPr>
        <w:tc>
          <w:tcPr>
            <w:tcW w:w="1610" w:type="dxa"/>
            <w:noWrap/>
            <w:vAlign w:val="bottom"/>
          </w:tcPr>
          <w:p w14:paraId="63FD54C7" w14:textId="368C8DE8"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NIDIR</w:t>
            </w:r>
          </w:p>
        </w:tc>
        <w:tc>
          <w:tcPr>
            <w:tcW w:w="8194" w:type="dxa"/>
            <w:noWrap/>
            <w:vAlign w:val="bottom"/>
          </w:tcPr>
          <w:p w14:paraId="08AA31EF" w14:textId="39E4AFE2"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 xml:space="preserve">Cambodia’s National Institute for Diplomacy and International Relations </w:t>
            </w:r>
          </w:p>
        </w:tc>
      </w:tr>
      <w:tr w:rsidR="00294E7C" w:rsidRPr="00A47E81" w14:paraId="10F77951" w14:textId="77777777" w:rsidTr="00BC16EB">
        <w:trPr>
          <w:trHeight w:val="300"/>
        </w:trPr>
        <w:tc>
          <w:tcPr>
            <w:tcW w:w="1610" w:type="dxa"/>
            <w:noWrap/>
            <w:vAlign w:val="bottom"/>
          </w:tcPr>
          <w:p w14:paraId="32F55EF2" w14:textId="492CD493" w:rsidR="00294E7C" w:rsidRDefault="00294E7C" w:rsidP="00294E7C">
            <w:pPr>
              <w:spacing w:before="0" w:after="0"/>
              <w:rPr>
                <w:rFonts w:asciiTheme="majorHAnsi" w:eastAsia="Times New Roman" w:hAnsiTheme="majorHAnsi" w:cstheme="majorHAnsi"/>
                <w:b/>
                <w:color w:val="000000" w:themeColor="text1"/>
              </w:rPr>
            </w:pPr>
            <w:r w:rsidRPr="00425920">
              <w:rPr>
                <w:rFonts w:asciiTheme="majorHAnsi" w:hAnsiTheme="majorHAnsi" w:cstheme="majorHAnsi"/>
                <w:b/>
                <w:bCs/>
                <w:color w:val="000000" w:themeColor="text1"/>
              </w:rPr>
              <w:t>ODA</w:t>
            </w:r>
          </w:p>
        </w:tc>
        <w:tc>
          <w:tcPr>
            <w:tcW w:w="8194" w:type="dxa"/>
            <w:noWrap/>
            <w:vAlign w:val="center"/>
          </w:tcPr>
          <w:p w14:paraId="0A484122" w14:textId="153C4DCA" w:rsidR="00294E7C" w:rsidRPr="00CE078C" w:rsidRDefault="00294E7C" w:rsidP="00294E7C">
            <w:pPr>
              <w:spacing w:before="0" w:after="0"/>
              <w:rPr>
                <w:rFonts w:asciiTheme="majorHAnsi" w:hAnsiTheme="majorHAnsi" w:cstheme="majorHAnsi"/>
                <w:color w:val="000000" w:themeColor="text1"/>
              </w:rPr>
            </w:pPr>
            <w:r w:rsidRPr="00425920">
              <w:rPr>
                <w:rFonts w:asciiTheme="majorHAnsi" w:hAnsiTheme="majorHAnsi" w:cstheme="majorHAnsi"/>
                <w:color w:val="000000" w:themeColor="text1"/>
              </w:rPr>
              <w:t>Official Development Assistance</w:t>
            </w:r>
          </w:p>
        </w:tc>
      </w:tr>
      <w:tr w:rsidR="00294E7C" w:rsidRPr="00A47E81" w14:paraId="2138D45A" w14:textId="77777777" w:rsidTr="00B369B8">
        <w:trPr>
          <w:trHeight w:val="300"/>
        </w:trPr>
        <w:tc>
          <w:tcPr>
            <w:tcW w:w="1610" w:type="dxa"/>
            <w:noWrap/>
            <w:vAlign w:val="bottom"/>
          </w:tcPr>
          <w:p w14:paraId="00F5C23D" w14:textId="57E3D654"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OSMEP</w:t>
            </w:r>
          </w:p>
        </w:tc>
        <w:tc>
          <w:tcPr>
            <w:tcW w:w="8194" w:type="dxa"/>
            <w:noWrap/>
            <w:vAlign w:val="bottom"/>
          </w:tcPr>
          <w:p w14:paraId="6F295F45" w14:textId="45810C4F"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Office of Small and Medium Enterprises Promotion (Thailand)</w:t>
            </w:r>
          </w:p>
        </w:tc>
      </w:tr>
      <w:tr w:rsidR="00294E7C" w:rsidRPr="00A47E81" w14:paraId="5B7D5A17" w14:textId="77777777" w:rsidTr="00B369B8">
        <w:trPr>
          <w:trHeight w:val="300"/>
        </w:trPr>
        <w:tc>
          <w:tcPr>
            <w:tcW w:w="1610" w:type="dxa"/>
            <w:noWrap/>
            <w:vAlign w:val="bottom"/>
          </w:tcPr>
          <w:p w14:paraId="1C37507F" w14:textId="5AA246EE" w:rsidR="00294E7C" w:rsidRDefault="00294E7C" w:rsidP="00294E7C">
            <w:pPr>
              <w:spacing w:before="0" w:after="0"/>
              <w:rPr>
                <w:rFonts w:asciiTheme="majorHAnsi" w:eastAsia="Times New Roman" w:hAnsiTheme="majorHAnsi" w:cstheme="majorHAnsi"/>
                <w:b/>
                <w:color w:val="000000" w:themeColor="text1"/>
              </w:rPr>
            </w:pPr>
            <w:r w:rsidRPr="00425920">
              <w:rPr>
                <w:rFonts w:asciiTheme="majorHAnsi" w:hAnsiTheme="majorHAnsi" w:cstheme="majorHAnsi"/>
                <w:b/>
                <w:bCs/>
                <w:color w:val="000000" w:themeColor="text1"/>
              </w:rPr>
              <w:t>P4I</w:t>
            </w:r>
          </w:p>
        </w:tc>
        <w:tc>
          <w:tcPr>
            <w:tcW w:w="8194" w:type="dxa"/>
            <w:noWrap/>
            <w:vAlign w:val="bottom"/>
          </w:tcPr>
          <w:p w14:paraId="1117DCC6" w14:textId="02C208F2" w:rsidR="00294E7C" w:rsidRPr="00CE078C" w:rsidRDefault="00294E7C" w:rsidP="00294E7C">
            <w:pPr>
              <w:spacing w:before="0" w:after="0"/>
              <w:rPr>
                <w:rFonts w:asciiTheme="majorHAnsi" w:hAnsiTheme="majorHAnsi" w:cstheme="majorHAnsi"/>
                <w:color w:val="000000" w:themeColor="text1"/>
              </w:rPr>
            </w:pPr>
            <w:r w:rsidRPr="00425920">
              <w:rPr>
                <w:rFonts w:asciiTheme="majorHAnsi" w:hAnsiTheme="majorHAnsi" w:cstheme="majorHAnsi"/>
                <w:color w:val="000000" w:themeColor="text1"/>
              </w:rPr>
              <w:t>Partnerships for Infrastructure</w:t>
            </w:r>
          </w:p>
        </w:tc>
      </w:tr>
      <w:tr w:rsidR="00294E7C" w:rsidRPr="00A47E81" w14:paraId="0FAE5C74" w14:textId="77777777" w:rsidTr="00B369B8">
        <w:trPr>
          <w:trHeight w:val="300"/>
        </w:trPr>
        <w:tc>
          <w:tcPr>
            <w:tcW w:w="1610" w:type="dxa"/>
            <w:noWrap/>
            <w:vAlign w:val="bottom"/>
          </w:tcPr>
          <w:p w14:paraId="72F60D1A" w14:textId="1E880050"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PDG</w:t>
            </w:r>
          </w:p>
        </w:tc>
        <w:tc>
          <w:tcPr>
            <w:tcW w:w="8194" w:type="dxa"/>
            <w:noWrap/>
            <w:vAlign w:val="bottom"/>
          </w:tcPr>
          <w:p w14:paraId="64619C19" w14:textId="68DDE203"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 xml:space="preserve">Preliminary Design Guidelines </w:t>
            </w:r>
          </w:p>
        </w:tc>
      </w:tr>
      <w:tr w:rsidR="00294E7C" w:rsidRPr="00A47E81" w14:paraId="348B53E1" w14:textId="77777777" w:rsidTr="00B369B8">
        <w:trPr>
          <w:trHeight w:val="300"/>
        </w:trPr>
        <w:tc>
          <w:tcPr>
            <w:tcW w:w="1610" w:type="dxa"/>
            <w:noWrap/>
            <w:vAlign w:val="bottom"/>
          </w:tcPr>
          <w:p w14:paraId="2F1D7ACD" w14:textId="6280CD75"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PFR</w:t>
            </w:r>
          </w:p>
        </w:tc>
        <w:tc>
          <w:tcPr>
            <w:tcW w:w="8194" w:type="dxa"/>
            <w:noWrap/>
            <w:vAlign w:val="bottom"/>
          </w:tcPr>
          <w:p w14:paraId="18FCC7D7" w14:textId="23346C7A"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Public Finance Review</w:t>
            </w:r>
          </w:p>
        </w:tc>
      </w:tr>
      <w:tr w:rsidR="00294E7C" w:rsidRPr="00A47E81" w14:paraId="21E733CB" w14:textId="77777777" w:rsidTr="00B369B8">
        <w:trPr>
          <w:trHeight w:val="300"/>
        </w:trPr>
        <w:tc>
          <w:tcPr>
            <w:tcW w:w="1610" w:type="dxa"/>
            <w:noWrap/>
            <w:vAlign w:val="bottom"/>
          </w:tcPr>
          <w:p w14:paraId="601DB13C" w14:textId="0256FDE4"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PMU</w:t>
            </w:r>
          </w:p>
        </w:tc>
        <w:tc>
          <w:tcPr>
            <w:tcW w:w="8194" w:type="dxa"/>
            <w:noWrap/>
            <w:vAlign w:val="bottom"/>
          </w:tcPr>
          <w:p w14:paraId="6E25241C" w14:textId="2D325791"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Project Management Unit</w:t>
            </w:r>
          </w:p>
        </w:tc>
      </w:tr>
      <w:tr w:rsidR="00294E7C" w:rsidRPr="00A47E81" w14:paraId="6C255314" w14:textId="77777777" w:rsidTr="00B369B8">
        <w:trPr>
          <w:trHeight w:val="300"/>
        </w:trPr>
        <w:tc>
          <w:tcPr>
            <w:tcW w:w="1610" w:type="dxa"/>
            <w:noWrap/>
            <w:vAlign w:val="bottom"/>
          </w:tcPr>
          <w:p w14:paraId="3DBAC2B2" w14:textId="5E56B505"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PNPCA</w:t>
            </w:r>
          </w:p>
        </w:tc>
        <w:tc>
          <w:tcPr>
            <w:tcW w:w="8194" w:type="dxa"/>
            <w:noWrap/>
            <w:vAlign w:val="bottom"/>
          </w:tcPr>
          <w:p w14:paraId="40CBF93C" w14:textId="7F5627F2"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Procedure for Notification, Prior Consultation, and Agreement</w:t>
            </w:r>
          </w:p>
        </w:tc>
      </w:tr>
      <w:tr w:rsidR="00294E7C" w:rsidRPr="00A47E81" w14:paraId="00C3044D" w14:textId="77777777" w:rsidTr="00B369B8">
        <w:trPr>
          <w:trHeight w:val="300"/>
        </w:trPr>
        <w:tc>
          <w:tcPr>
            <w:tcW w:w="1610" w:type="dxa"/>
            <w:noWrap/>
            <w:vAlign w:val="bottom"/>
          </w:tcPr>
          <w:p w14:paraId="6EF10FC3" w14:textId="3F6B6C91"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RTP</w:t>
            </w:r>
          </w:p>
        </w:tc>
        <w:tc>
          <w:tcPr>
            <w:tcW w:w="8194" w:type="dxa"/>
            <w:noWrap/>
            <w:vAlign w:val="bottom"/>
          </w:tcPr>
          <w:p w14:paraId="30F6A274" w14:textId="274759B0"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Royal Thai Police</w:t>
            </w:r>
          </w:p>
        </w:tc>
      </w:tr>
      <w:tr w:rsidR="00294E7C" w:rsidRPr="00A47E81" w14:paraId="2B853DBB" w14:textId="77777777" w:rsidTr="00B369B8">
        <w:trPr>
          <w:trHeight w:val="300"/>
        </w:trPr>
        <w:tc>
          <w:tcPr>
            <w:tcW w:w="1610" w:type="dxa"/>
            <w:noWrap/>
            <w:vAlign w:val="bottom"/>
          </w:tcPr>
          <w:p w14:paraId="1AAFDD1E" w14:textId="1730C8CD"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SBV</w:t>
            </w:r>
          </w:p>
        </w:tc>
        <w:tc>
          <w:tcPr>
            <w:tcW w:w="8194" w:type="dxa"/>
            <w:noWrap/>
            <w:vAlign w:val="bottom"/>
          </w:tcPr>
          <w:p w14:paraId="67C27EBE" w14:textId="774888A1"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State Bank of Vietnam</w:t>
            </w:r>
          </w:p>
        </w:tc>
      </w:tr>
      <w:tr w:rsidR="00294E7C" w:rsidRPr="00A47E81" w14:paraId="5C0483AD" w14:textId="77777777" w:rsidTr="00B369B8">
        <w:trPr>
          <w:trHeight w:val="300"/>
        </w:trPr>
        <w:tc>
          <w:tcPr>
            <w:tcW w:w="1610" w:type="dxa"/>
            <w:noWrap/>
            <w:vAlign w:val="bottom"/>
          </w:tcPr>
          <w:p w14:paraId="319DE854" w14:textId="459416F2"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SDGs</w:t>
            </w:r>
          </w:p>
        </w:tc>
        <w:tc>
          <w:tcPr>
            <w:tcW w:w="8194" w:type="dxa"/>
            <w:noWrap/>
            <w:vAlign w:val="bottom"/>
          </w:tcPr>
          <w:p w14:paraId="11E6BD9A" w14:textId="34AE8492"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 xml:space="preserve">Sustainable Development Goals </w:t>
            </w:r>
          </w:p>
        </w:tc>
      </w:tr>
      <w:tr w:rsidR="00294E7C" w:rsidRPr="00A47E81" w14:paraId="22B851D3" w14:textId="77777777" w:rsidTr="00B369B8">
        <w:trPr>
          <w:trHeight w:val="300"/>
        </w:trPr>
        <w:tc>
          <w:tcPr>
            <w:tcW w:w="1610" w:type="dxa"/>
            <w:noWrap/>
            <w:vAlign w:val="bottom"/>
          </w:tcPr>
          <w:p w14:paraId="343C6FAC" w14:textId="5D411DC6"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lastRenderedPageBreak/>
              <w:t>SEA</w:t>
            </w:r>
          </w:p>
        </w:tc>
        <w:tc>
          <w:tcPr>
            <w:tcW w:w="8194" w:type="dxa"/>
            <w:noWrap/>
            <w:vAlign w:val="bottom"/>
          </w:tcPr>
          <w:p w14:paraId="0D94DB93" w14:textId="2620A716"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Southeast Asia</w:t>
            </w:r>
          </w:p>
        </w:tc>
      </w:tr>
      <w:tr w:rsidR="00294E7C" w:rsidRPr="00A47E81" w14:paraId="4B8AAA7D" w14:textId="77777777" w:rsidTr="00B369B8">
        <w:trPr>
          <w:trHeight w:val="300"/>
        </w:trPr>
        <w:tc>
          <w:tcPr>
            <w:tcW w:w="1610" w:type="dxa"/>
            <w:noWrap/>
            <w:vAlign w:val="bottom"/>
          </w:tcPr>
          <w:p w14:paraId="1427C0B4" w14:textId="2620294C"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SME</w:t>
            </w:r>
          </w:p>
        </w:tc>
        <w:tc>
          <w:tcPr>
            <w:tcW w:w="8194" w:type="dxa"/>
            <w:noWrap/>
            <w:vAlign w:val="bottom"/>
          </w:tcPr>
          <w:p w14:paraId="541883F2" w14:textId="4DB6CCDC"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 xml:space="preserve">Small and Medium Enterprises </w:t>
            </w:r>
          </w:p>
        </w:tc>
      </w:tr>
      <w:tr w:rsidR="00294E7C" w:rsidRPr="00A47E81" w14:paraId="70559F97" w14:textId="77777777" w:rsidTr="00B369B8">
        <w:trPr>
          <w:trHeight w:val="300"/>
        </w:trPr>
        <w:tc>
          <w:tcPr>
            <w:tcW w:w="1610" w:type="dxa"/>
            <w:noWrap/>
            <w:vAlign w:val="bottom"/>
          </w:tcPr>
          <w:p w14:paraId="21BB5381" w14:textId="3ADCFF75"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VDF</w:t>
            </w:r>
          </w:p>
        </w:tc>
        <w:tc>
          <w:tcPr>
            <w:tcW w:w="8194" w:type="dxa"/>
            <w:noWrap/>
            <w:vAlign w:val="bottom"/>
          </w:tcPr>
          <w:p w14:paraId="2A7F4A64" w14:textId="78DDF3E7"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Village Development Fund</w:t>
            </w:r>
          </w:p>
        </w:tc>
      </w:tr>
      <w:tr w:rsidR="00294E7C" w:rsidRPr="00A47E81" w14:paraId="156B69AD" w14:textId="77777777" w:rsidTr="00B369B8">
        <w:trPr>
          <w:trHeight w:val="300"/>
        </w:trPr>
        <w:tc>
          <w:tcPr>
            <w:tcW w:w="1610" w:type="dxa"/>
            <w:noWrap/>
            <w:vAlign w:val="bottom"/>
          </w:tcPr>
          <w:p w14:paraId="1FD845B7" w14:textId="4B4103D8"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TAF</w:t>
            </w:r>
          </w:p>
        </w:tc>
        <w:tc>
          <w:tcPr>
            <w:tcW w:w="8194" w:type="dxa"/>
            <w:noWrap/>
            <w:vAlign w:val="bottom"/>
          </w:tcPr>
          <w:p w14:paraId="46F739A6" w14:textId="75E2D8E7"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The Asia Foundation</w:t>
            </w:r>
          </w:p>
        </w:tc>
      </w:tr>
      <w:tr w:rsidR="00294E7C" w:rsidRPr="00A47E81" w14:paraId="16D77086" w14:textId="77777777" w:rsidTr="00B369B8">
        <w:trPr>
          <w:trHeight w:val="300"/>
        </w:trPr>
        <w:tc>
          <w:tcPr>
            <w:tcW w:w="1610" w:type="dxa"/>
            <w:noWrap/>
            <w:vAlign w:val="bottom"/>
          </w:tcPr>
          <w:p w14:paraId="54C1D98E" w14:textId="183D553B"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TBEIA</w:t>
            </w:r>
          </w:p>
        </w:tc>
        <w:tc>
          <w:tcPr>
            <w:tcW w:w="8194" w:type="dxa"/>
            <w:noWrap/>
            <w:vAlign w:val="bottom"/>
          </w:tcPr>
          <w:p w14:paraId="2BC3EFE8" w14:textId="1AA81D04"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Transboundary Environmental Impact Assessment</w:t>
            </w:r>
          </w:p>
        </w:tc>
      </w:tr>
      <w:tr w:rsidR="00294E7C" w:rsidRPr="00A47E81" w14:paraId="2EED2796" w14:textId="77777777" w:rsidTr="00B369B8">
        <w:trPr>
          <w:trHeight w:val="300"/>
        </w:trPr>
        <w:tc>
          <w:tcPr>
            <w:tcW w:w="1610" w:type="dxa"/>
            <w:noWrap/>
            <w:vAlign w:val="bottom"/>
          </w:tcPr>
          <w:p w14:paraId="620484F7" w14:textId="03FB7129"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TNC</w:t>
            </w:r>
          </w:p>
        </w:tc>
        <w:tc>
          <w:tcPr>
            <w:tcW w:w="8194" w:type="dxa"/>
            <w:noWrap/>
            <w:vAlign w:val="bottom"/>
          </w:tcPr>
          <w:p w14:paraId="626DF216" w14:textId="3E6DE91C"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Transnational Crime</w:t>
            </w:r>
          </w:p>
        </w:tc>
      </w:tr>
      <w:tr w:rsidR="00294E7C" w:rsidRPr="00A47E81" w14:paraId="133B430A" w14:textId="77777777" w:rsidTr="00B369B8">
        <w:trPr>
          <w:trHeight w:val="300"/>
        </w:trPr>
        <w:tc>
          <w:tcPr>
            <w:tcW w:w="1610" w:type="dxa"/>
            <w:noWrap/>
            <w:vAlign w:val="bottom"/>
          </w:tcPr>
          <w:p w14:paraId="5B14670E" w14:textId="6030D243"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UNODC</w:t>
            </w:r>
          </w:p>
        </w:tc>
        <w:tc>
          <w:tcPr>
            <w:tcW w:w="8194" w:type="dxa"/>
            <w:noWrap/>
            <w:vAlign w:val="bottom"/>
          </w:tcPr>
          <w:p w14:paraId="38C25B74" w14:textId="1994BC07" w:rsidR="00294E7C" w:rsidRPr="00CE078C" w:rsidRDefault="00294E7C" w:rsidP="00294E7C">
            <w:pPr>
              <w:spacing w:before="0" w:after="0"/>
              <w:rPr>
                <w:rFonts w:asciiTheme="majorHAnsi" w:hAnsiTheme="majorHAnsi" w:cstheme="majorHAnsi"/>
                <w:color w:val="000000" w:themeColor="text1"/>
              </w:rPr>
            </w:pPr>
            <w:r w:rsidRPr="00E404A5">
              <w:rPr>
                <w:rFonts w:asciiTheme="majorHAnsi" w:hAnsiTheme="majorHAnsi" w:cstheme="majorHAnsi"/>
                <w:color w:val="000000" w:themeColor="text1"/>
              </w:rPr>
              <w:t>United Nations Office on Drugs and Crime</w:t>
            </w:r>
          </w:p>
        </w:tc>
      </w:tr>
      <w:tr w:rsidR="00294E7C" w:rsidRPr="00A47E81" w14:paraId="3C319503" w14:textId="77777777" w:rsidTr="00B369B8">
        <w:trPr>
          <w:trHeight w:val="300"/>
        </w:trPr>
        <w:tc>
          <w:tcPr>
            <w:tcW w:w="1610" w:type="dxa"/>
            <w:noWrap/>
            <w:vAlign w:val="bottom"/>
          </w:tcPr>
          <w:p w14:paraId="63879E90" w14:textId="4BFF4029"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VCC</w:t>
            </w:r>
          </w:p>
        </w:tc>
        <w:tc>
          <w:tcPr>
            <w:tcW w:w="8194" w:type="dxa"/>
            <w:noWrap/>
            <w:vAlign w:val="bottom"/>
          </w:tcPr>
          <w:p w14:paraId="64DAE289" w14:textId="79FE1EBF"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Vietnam Competition Commission</w:t>
            </w:r>
          </w:p>
        </w:tc>
      </w:tr>
      <w:tr w:rsidR="00294E7C" w:rsidRPr="00A47E81" w14:paraId="3B58BA63" w14:textId="77777777" w:rsidTr="00B369B8">
        <w:trPr>
          <w:trHeight w:val="300"/>
        </w:trPr>
        <w:tc>
          <w:tcPr>
            <w:tcW w:w="1610" w:type="dxa"/>
            <w:noWrap/>
            <w:vAlign w:val="bottom"/>
          </w:tcPr>
          <w:p w14:paraId="552E5580" w14:textId="1A4D4D59"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WOB</w:t>
            </w:r>
          </w:p>
        </w:tc>
        <w:tc>
          <w:tcPr>
            <w:tcW w:w="8194" w:type="dxa"/>
            <w:noWrap/>
            <w:vAlign w:val="bottom"/>
          </w:tcPr>
          <w:p w14:paraId="6D92FF4A" w14:textId="24EE8D29"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Women-owned businesses</w:t>
            </w:r>
          </w:p>
        </w:tc>
      </w:tr>
      <w:tr w:rsidR="00294E7C" w:rsidRPr="00A47E81" w14:paraId="33E3B8BC" w14:textId="77777777" w:rsidTr="00B369B8">
        <w:trPr>
          <w:trHeight w:val="300"/>
        </w:trPr>
        <w:tc>
          <w:tcPr>
            <w:tcW w:w="1610" w:type="dxa"/>
            <w:noWrap/>
            <w:vAlign w:val="bottom"/>
          </w:tcPr>
          <w:p w14:paraId="55F32F38" w14:textId="229D0AC1" w:rsidR="00294E7C" w:rsidRDefault="00294E7C" w:rsidP="00294E7C">
            <w:pPr>
              <w:spacing w:before="0" w:after="0"/>
              <w:rPr>
                <w:rFonts w:asciiTheme="majorHAnsi" w:eastAsia="Times New Roman" w:hAnsiTheme="majorHAnsi" w:cstheme="majorHAnsi"/>
                <w:b/>
                <w:color w:val="000000" w:themeColor="text1"/>
              </w:rPr>
            </w:pPr>
            <w:r w:rsidRPr="00425920">
              <w:rPr>
                <w:rFonts w:asciiTheme="majorHAnsi" w:hAnsiTheme="majorHAnsi" w:cstheme="majorHAnsi"/>
                <w:b/>
                <w:bCs/>
                <w:color w:val="000000" w:themeColor="text1"/>
              </w:rPr>
              <w:t>WE</w:t>
            </w:r>
            <w:r>
              <w:rPr>
                <w:rFonts w:asciiTheme="majorHAnsi" w:hAnsiTheme="majorHAnsi" w:cstheme="majorHAnsi"/>
                <w:b/>
                <w:bCs/>
                <w:color w:val="000000" w:themeColor="text1"/>
              </w:rPr>
              <w:t>P</w:t>
            </w:r>
          </w:p>
        </w:tc>
        <w:tc>
          <w:tcPr>
            <w:tcW w:w="8194" w:type="dxa"/>
            <w:noWrap/>
            <w:vAlign w:val="bottom"/>
          </w:tcPr>
          <w:p w14:paraId="6D676D94" w14:textId="6EAA1676"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Women’s Empowerment Principles</w:t>
            </w:r>
          </w:p>
        </w:tc>
      </w:tr>
      <w:tr w:rsidR="00294E7C" w:rsidRPr="00A47E81" w14:paraId="0A145BCD" w14:textId="77777777" w:rsidTr="00B369B8">
        <w:trPr>
          <w:trHeight w:val="300"/>
        </w:trPr>
        <w:tc>
          <w:tcPr>
            <w:tcW w:w="1610" w:type="dxa"/>
            <w:noWrap/>
            <w:vAlign w:val="bottom"/>
          </w:tcPr>
          <w:p w14:paraId="734634F7" w14:textId="7DB24329" w:rsidR="00294E7C" w:rsidRDefault="00294E7C" w:rsidP="00294E7C">
            <w:pPr>
              <w:spacing w:before="0" w:after="0"/>
              <w:rPr>
                <w:rFonts w:asciiTheme="majorHAnsi" w:eastAsia="Times New Roman" w:hAnsiTheme="majorHAnsi" w:cstheme="majorHAnsi"/>
                <w:b/>
                <w:color w:val="000000" w:themeColor="text1"/>
              </w:rPr>
            </w:pPr>
            <w:r>
              <w:rPr>
                <w:rFonts w:asciiTheme="majorHAnsi" w:hAnsiTheme="majorHAnsi" w:cstheme="majorHAnsi"/>
                <w:b/>
                <w:bCs/>
                <w:color w:val="000000" w:themeColor="text1"/>
              </w:rPr>
              <w:t>WPA</w:t>
            </w:r>
          </w:p>
        </w:tc>
        <w:tc>
          <w:tcPr>
            <w:tcW w:w="8194" w:type="dxa"/>
            <w:noWrap/>
            <w:vAlign w:val="bottom"/>
          </w:tcPr>
          <w:p w14:paraId="676ADFB0" w14:textId="0E2CB265" w:rsidR="00294E7C" w:rsidRPr="00CE078C" w:rsidRDefault="00294E7C" w:rsidP="00294E7C">
            <w:pPr>
              <w:spacing w:before="0" w:after="0"/>
              <w:rPr>
                <w:rFonts w:asciiTheme="majorHAnsi" w:hAnsiTheme="majorHAnsi" w:cstheme="majorHAnsi"/>
                <w:color w:val="000000" w:themeColor="text1"/>
              </w:rPr>
            </w:pPr>
            <w:r>
              <w:rPr>
                <w:rFonts w:asciiTheme="majorHAnsi" w:hAnsiTheme="majorHAnsi" w:cstheme="majorHAnsi"/>
                <w:color w:val="000000" w:themeColor="text1"/>
              </w:rPr>
              <w:t xml:space="preserve">Wine Producers Australia </w:t>
            </w:r>
          </w:p>
        </w:tc>
      </w:tr>
    </w:tbl>
    <w:p w14:paraId="70248489" w14:textId="21828DFF" w:rsidR="00464802" w:rsidRDefault="00464802" w:rsidP="00907B25">
      <w:pPr>
        <w:spacing w:before="0" w:after="160" w:line="259" w:lineRule="auto"/>
        <w:rPr>
          <w:szCs w:val="22"/>
        </w:rPr>
      </w:pPr>
    </w:p>
    <w:p w14:paraId="2E66316A" w14:textId="702DBDF9" w:rsidR="00A47E81" w:rsidRPr="00294A78" w:rsidRDefault="00464802" w:rsidP="00907B25">
      <w:pPr>
        <w:spacing w:before="0" w:after="160" w:line="259" w:lineRule="auto"/>
        <w:rPr>
          <w:szCs w:val="22"/>
        </w:rPr>
      </w:pPr>
      <w:r>
        <w:rPr>
          <w:szCs w:val="22"/>
        </w:rPr>
        <w:br w:type="page"/>
      </w:r>
    </w:p>
    <w:p w14:paraId="3416E325" w14:textId="77777777" w:rsidR="00033DE2" w:rsidRPr="00294A78" w:rsidRDefault="00033DE2" w:rsidP="00907B25">
      <w:pPr>
        <w:pStyle w:val="Heading1"/>
        <w:ind w:left="431" w:hanging="431"/>
      </w:pPr>
      <w:bookmarkStart w:id="2" w:name="_Toc210034383"/>
      <w:r w:rsidRPr="00294A78">
        <w:lastRenderedPageBreak/>
        <w:t>Executive Summary</w:t>
      </w:r>
      <w:bookmarkEnd w:id="2"/>
    </w:p>
    <w:p w14:paraId="21ABBAC5" w14:textId="77777777" w:rsidR="00294E7C" w:rsidRPr="00D04BCE" w:rsidRDefault="00294E7C" w:rsidP="00294E7C">
      <w:pPr>
        <w:rPr>
          <w:color w:val="000000" w:themeColor="text2"/>
          <w:szCs w:val="22"/>
          <w:lang w:eastAsia="en-IE"/>
        </w:rPr>
      </w:pPr>
      <w:r w:rsidRPr="00D04BCE">
        <w:rPr>
          <w:color w:val="000000" w:themeColor="text2"/>
          <w:szCs w:val="22"/>
          <w:lang w:eastAsia="en-IE"/>
        </w:rPr>
        <w:t>In 2024, the Mekong-Australia Partnership (MAP) transitioned to a new phase of implementation</w:t>
      </w:r>
      <w:r>
        <w:rPr>
          <w:color w:val="000000" w:themeColor="text2"/>
          <w:szCs w:val="22"/>
          <w:lang w:eastAsia="en-IE"/>
        </w:rPr>
        <w:t xml:space="preserve">, with MAP Phase One ending and a new focus on planning and preparation for Phase Two, including calls for proposals and contracting the MAP Support Unit. </w:t>
      </w:r>
      <w:r w:rsidRPr="00D04BCE">
        <w:rPr>
          <w:color w:val="000000" w:themeColor="text2"/>
          <w:szCs w:val="22"/>
          <w:lang w:eastAsia="en-IE"/>
        </w:rPr>
        <w:t>MAP</w:t>
      </w:r>
      <w:r>
        <w:rPr>
          <w:color w:val="000000" w:themeColor="text2"/>
          <w:szCs w:val="22"/>
          <w:lang w:eastAsia="en-IE"/>
        </w:rPr>
        <w:t xml:space="preserve"> P</w:t>
      </w:r>
      <w:r w:rsidRPr="00D04BCE">
        <w:rPr>
          <w:color w:val="000000" w:themeColor="text2"/>
          <w:szCs w:val="22"/>
          <w:lang w:eastAsia="en-IE"/>
        </w:rPr>
        <w:t xml:space="preserve">hase </w:t>
      </w:r>
      <w:r>
        <w:rPr>
          <w:color w:val="000000" w:themeColor="text2"/>
          <w:szCs w:val="22"/>
          <w:lang w:eastAsia="en-IE"/>
        </w:rPr>
        <w:t xml:space="preserve">One </w:t>
      </w:r>
      <w:r w:rsidRPr="00D04BCE">
        <w:rPr>
          <w:color w:val="000000" w:themeColor="text2"/>
          <w:szCs w:val="22"/>
          <w:lang w:eastAsia="en-IE"/>
        </w:rPr>
        <w:t xml:space="preserve">supported sustainable development and environmental and economic resilience in the Mekong subregion (Cambodia, Laos, Myanmar, Thailand and Vietnam) through bilateral and regional activities that complemented existing bilateral funding. Previous activities were delivered across the five Pillars – (1) Economic Resilience, (2) Water, Energy and Climate (WEC), (3) Human Capacity, (4) Cyber and (5) Trade and Investment. </w:t>
      </w:r>
    </w:p>
    <w:p w14:paraId="5428D814" w14:textId="77777777" w:rsidR="00294E7C" w:rsidRPr="00D04BCE" w:rsidRDefault="00294E7C" w:rsidP="00294E7C">
      <w:pPr>
        <w:rPr>
          <w:color w:val="000000" w:themeColor="text2"/>
          <w:szCs w:val="22"/>
          <w:lang w:eastAsia="en-IE"/>
        </w:rPr>
      </w:pPr>
      <w:r w:rsidRPr="00D04BCE">
        <w:rPr>
          <w:color w:val="000000" w:themeColor="text2"/>
          <w:szCs w:val="22"/>
          <w:lang w:eastAsia="en-IE"/>
        </w:rPr>
        <w:t xml:space="preserve">The MAP Phase </w:t>
      </w:r>
      <w:r>
        <w:rPr>
          <w:color w:val="000000" w:themeColor="text2"/>
          <w:szCs w:val="22"/>
          <w:lang w:eastAsia="en-IE"/>
        </w:rPr>
        <w:t>Two</w:t>
      </w:r>
      <w:r w:rsidRPr="00D04BCE">
        <w:rPr>
          <w:color w:val="000000" w:themeColor="text2"/>
          <w:szCs w:val="22"/>
          <w:lang w:eastAsia="en-IE"/>
        </w:rPr>
        <w:t xml:space="preserve"> ($222.5 million over five years, 2024-25 to 2028-29) continues to </w:t>
      </w:r>
      <w:r>
        <w:rPr>
          <w:color w:val="000000" w:themeColor="text2"/>
          <w:szCs w:val="22"/>
          <w:lang w:eastAsia="en-IE"/>
        </w:rPr>
        <w:t>support</w:t>
      </w:r>
      <w:r w:rsidRPr="00D04BCE">
        <w:rPr>
          <w:color w:val="000000" w:themeColor="text2"/>
          <w:szCs w:val="22"/>
          <w:lang w:eastAsia="en-IE"/>
        </w:rPr>
        <w:t xml:space="preserve"> a more resilient and inclusive Mekong subregion that pursues joint solutions to shared and transboundary challenges. The purpose of MAP Phase 2 is to reinforce that Australia is a trusted and </w:t>
      </w:r>
      <w:r>
        <w:rPr>
          <w:color w:val="000000" w:themeColor="text2"/>
          <w:szCs w:val="22"/>
          <w:lang w:eastAsia="en-IE"/>
        </w:rPr>
        <w:t>responsible</w:t>
      </w:r>
      <w:r w:rsidRPr="00D04BCE">
        <w:rPr>
          <w:color w:val="000000" w:themeColor="text2"/>
          <w:szCs w:val="22"/>
          <w:lang w:eastAsia="en-IE"/>
        </w:rPr>
        <w:t xml:space="preserve"> partner in supporting a resilient, inclusive and sustainable Mekong subregion. MAP Phase 2’s five thematic areas replace the previous phase’s pillars. These are</w:t>
      </w:r>
      <w:r>
        <w:rPr>
          <w:color w:val="000000" w:themeColor="text2"/>
          <w:szCs w:val="22"/>
          <w:lang w:eastAsia="en-IE"/>
        </w:rPr>
        <w:t>:</w:t>
      </w:r>
      <w:r w:rsidRPr="00D04BCE">
        <w:rPr>
          <w:color w:val="000000" w:themeColor="text2"/>
          <w:szCs w:val="22"/>
          <w:lang w:eastAsia="en-IE"/>
        </w:rPr>
        <w:t xml:space="preserve"> climate resilience; water security; economic resilience and subregional integration; gender equality, disability and social inclusion (GEDSI); and preventing and countering transnational crime (TNC). Leadership and Skills is a cross-cutting them</w:t>
      </w:r>
      <w:r>
        <w:rPr>
          <w:color w:val="000000" w:themeColor="text2"/>
          <w:szCs w:val="22"/>
          <w:lang w:eastAsia="en-IE"/>
        </w:rPr>
        <w:t>e</w:t>
      </w:r>
      <w:r w:rsidRPr="00D04BCE">
        <w:rPr>
          <w:color w:val="000000" w:themeColor="text2"/>
          <w:szCs w:val="22"/>
          <w:lang w:eastAsia="en-IE"/>
        </w:rPr>
        <w:t xml:space="preserve"> that contributes results to </w:t>
      </w:r>
      <w:r>
        <w:rPr>
          <w:color w:val="000000" w:themeColor="text2"/>
          <w:szCs w:val="22"/>
          <w:lang w:eastAsia="en-IE"/>
        </w:rPr>
        <w:t>all</w:t>
      </w:r>
      <w:r w:rsidRPr="00D04BCE">
        <w:rPr>
          <w:color w:val="000000" w:themeColor="text2"/>
          <w:szCs w:val="22"/>
          <w:lang w:eastAsia="en-IE"/>
        </w:rPr>
        <w:t xml:space="preserve"> five thematic areas.  </w:t>
      </w:r>
    </w:p>
    <w:p w14:paraId="3DF6602A" w14:textId="77777777" w:rsidR="00294E7C" w:rsidRPr="00425920" w:rsidRDefault="00294E7C" w:rsidP="00294E7C">
      <w:pPr>
        <w:keepNext/>
        <w:ind w:left="720" w:hanging="720"/>
        <w:outlineLvl w:val="2"/>
        <w:rPr>
          <w:b/>
          <w:bCs/>
          <w:color w:val="000000" w:themeColor="text1"/>
        </w:rPr>
      </w:pPr>
      <w:bookmarkStart w:id="3" w:name="_Toc208327035"/>
      <w:bookmarkStart w:id="4" w:name="_Toc210034384"/>
      <w:r w:rsidRPr="00425920">
        <w:rPr>
          <w:b/>
          <w:bCs/>
          <w:color w:val="000000" w:themeColor="text1"/>
        </w:rPr>
        <w:t>Key findings on progress and achievements at the MAP Portfolio level</w:t>
      </w:r>
      <w:bookmarkEnd w:id="3"/>
      <w:bookmarkEnd w:id="4"/>
    </w:p>
    <w:p w14:paraId="5B4C8D12" w14:textId="77777777" w:rsidR="00377D04" w:rsidRDefault="00294E7C" w:rsidP="008F7E5F">
      <w:pPr>
        <w:pStyle w:val="BodyCopy"/>
        <w:rPr>
          <w:rFonts w:cstheme="minorHAnsi"/>
        </w:rPr>
      </w:pPr>
      <w:bookmarkStart w:id="5" w:name="_Toc208327036"/>
      <w:r w:rsidRPr="00D04BCE">
        <w:t xml:space="preserve">MAP has made broad, strategic contributions across the Mekong subregion to </w:t>
      </w:r>
      <w:r>
        <w:t>strengthen climate resilience, make water governance more inclusive and effective, promote inclusive development and regional integration, and prevent</w:t>
      </w:r>
      <w:r w:rsidRPr="00D04BCE">
        <w:t xml:space="preserve"> transnational crime. Through </w:t>
      </w:r>
      <w:r>
        <w:t>41</w:t>
      </w:r>
      <w:r w:rsidRPr="00D04BCE">
        <w:t xml:space="preserve"> targeted investments and partnerships with governments, civil society, academia, and the private sector, MAP has contributed to enhanced climate adaptation practices in communities, improved inclusive and evidence-based water management, strengthened subregional cooperation, implemented foundational activities for improved economic resilience,</w:t>
      </w:r>
      <w:r>
        <w:t xml:space="preserve"> </w:t>
      </w:r>
      <w:r w:rsidRPr="00D04BCE">
        <w:t>enabled more effective and coordinated responses to transnational crime</w:t>
      </w:r>
      <w:r>
        <w:t xml:space="preserve"> and </w:t>
      </w:r>
      <w:r w:rsidRPr="00D04BCE">
        <w:t>increased participation of women and marginalised groups</w:t>
      </w:r>
      <w:r>
        <w:t xml:space="preserve"> across all these areas</w:t>
      </w:r>
      <w:r w:rsidRPr="00D04BCE">
        <w:t>. These efforts reflect MAP’s integrated, evidence-based approach to fostering resilience, equity, and sustainability across the region.</w:t>
      </w:r>
      <w:bookmarkStart w:id="6" w:name="_Toc208327037"/>
      <w:bookmarkEnd w:id="5"/>
    </w:p>
    <w:p w14:paraId="05CEC22C" w14:textId="7CA397C9" w:rsidR="00294E7C" w:rsidRPr="00377D04" w:rsidRDefault="00294E7C" w:rsidP="00294E7C">
      <w:pPr>
        <w:keepNext/>
        <w:outlineLvl w:val="2"/>
        <w:rPr>
          <w:color w:val="000000" w:themeColor="text2"/>
          <w:szCs w:val="22"/>
        </w:rPr>
      </w:pPr>
      <w:bookmarkStart w:id="7" w:name="_Toc210034385"/>
      <w:r w:rsidRPr="1F152BD1">
        <w:rPr>
          <w:b/>
          <w:bCs/>
          <w:color w:val="000000" w:themeColor="text2"/>
          <w:szCs w:val="22"/>
        </w:rPr>
        <w:t>Key findings on progress and achievements at the MAP Thematic level</w:t>
      </w:r>
      <w:bookmarkEnd w:id="6"/>
      <w:bookmarkEnd w:id="7"/>
    </w:p>
    <w:tbl>
      <w:tblPr>
        <w:tblStyle w:val="TableGrid"/>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4"/>
        <w:gridCol w:w="7314"/>
      </w:tblGrid>
      <w:tr w:rsidR="008D7DD9" w:rsidRPr="00294A78" w14:paraId="279FA598" w14:textId="77777777" w:rsidTr="00377D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4" w:type="pct"/>
            <w:shd w:val="clear" w:color="auto" w:fill="00837C" w:themeFill="accent1"/>
          </w:tcPr>
          <w:p w14:paraId="26078F5C" w14:textId="594C30D0" w:rsidR="008D7DD9" w:rsidRPr="00294A78" w:rsidRDefault="008D7DD9" w:rsidP="00011523">
            <w:pPr>
              <w:rPr>
                <w:rFonts w:cstheme="minorHAnsi"/>
                <w:color w:val="auto"/>
                <w:szCs w:val="22"/>
              </w:rPr>
            </w:pPr>
            <w:r>
              <w:rPr>
                <w:rFonts w:cstheme="minorHAnsi"/>
                <w:color w:val="FFFFFF" w:themeColor="background1"/>
                <w:sz w:val="21"/>
                <w:szCs w:val="21"/>
              </w:rPr>
              <w:t>Pillar name</w:t>
            </w:r>
          </w:p>
        </w:tc>
        <w:tc>
          <w:tcPr>
            <w:tcW w:w="4096" w:type="pct"/>
            <w:shd w:val="clear" w:color="auto" w:fill="00837C" w:themeFill="accent1"/>
          </w:tcPr>
          <w:p w14:paraId="508F900B" w14:textId="1E6D91F6" w:rsidR="008D7DD9" w:rsidRPr="00294A78" w:rsidRDefault="008D7DD9" w:rsidP="00011523">
            <w:pPr>
              <w:cnfStyle w:val="100000000000" w:firstRow="1" w:lastRow="0" w:firstColumn="0" w:lastColumn="0" w:oddVBand="0" w:evenVBand="0" w:oddHBand="0" w:evenHBand="0" w:firstRowFirstColumn="0" w:firstRowLastColumn="0" w:lastRowFirstColumn="0" w:lastRowLastColumn="0"/>
              <w:rPr>
                <w:rFonts w:cstheme="minorHAnsi"/>
                <w:b w:val="0"/>
                <w:color w:val="auto"/>
                <w:szCs w:val="22"/>
              </w:rPr>
            </w:pPr>
            <w:r w:rsidRPr="00294A78">
              <w:rPr>
                <w:rFonts w:cstheme="minorHAnsi"/>
                <w:color w:val="FFFFFF" w:themeColor="background1"/>
                <w:szCs w:val="22"/>
              </w:rPr>
              <w:t>Summary of Pillar Progress</w:t>
            </w:r>
          </w:p>
        </w:tc>
      </w:tr>
      <w:tr w:rsidR="00294A78" w:rsidRPr="00294A78" w14:paraId="5782200A" w14:textId="77777777" w:rsidTr="00377D04">
        <w:trPr>
          <w:trHeight w:val="1134"/>
        </w:trPr>
        <w:tc>
          <w:tcPr>
            <w:cnfStyle w:val="001000000000" w:firstRow="0" w:lastRow="0" w:firstColumn="1" w:lastColumn="0" w:oddVBand="0" w:evenVBand="0" w:oddHBand="0" w:evenHBand="0" w:firstRowFirstColumn="0" w:firstRowLastColumn="0" w:lastRowFirstColumn="0" w:lastRowLastColumn="0"/>
            <w:tcW w:w="904" w:type="pct"/>
          </w:tcPr>
          <w:p w14:paraId="13F0AF84" w14:textId="77777777" w:rsidR="00294E7C" w:rsidRPr="00D04BCE" w:rsidRDefault="00294E7C" w:rsidP="00294E7C">
            <w:pPr>
              <w:jc w:val="center"/>
              <w:rPr>
                <w:bCs/>
                <w:szCs w:val="22"/>
              </w:rPr>
            </w:pPr>
            <w:r w:rsidRPr="00D04BCE">
              <w:rPr>
                <w:bCs/>
                <w:noProof/>
                <w:szCs w:val="22"/>
              </w:rPr>
              <w:drawing>
                <wp:inline distT="0" distB="0" distL="0" distR="0" wp14:anchorId="30D17539" wp14:editId="507D8ACE">
                  <wp:extent cx="439007" cy="436614"/>
                  <wp:effectExtent l="0" t="0" r="0" b="1905"/>
                  <wp:docPr id="833083582" name="Picture 3" descr="Icon for Thematic Area 1 - Climate Resilience. Icon shows a green circle with a sun and thermome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83582" name="Picture 3" descr="Icon for Thematic Area 1 - Climate Resilience. Icon shows a green circle with a sun and thermometer.">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730" cy="441311"/>
                          </a:xfrm>
                          <a:prstGeom prst="rect">
                            <a:avLst/>
                          </a:prstGeom>
                          <a:noFill/>
                        </pic:spPr>
                      </pic:pic>
                    </a:graphicData>
                  </a:graphic>
                </wp:inline>
              </w:drawing>
            </w:r>
          </w:p>
          <w:p w14:paraId="54E21D30" w14:textId="138A043E" w:rsidR="00033DE2" w:rsidRPr="00294A78" w:rsidRDefault="00294E7C" w:rsidP="00294E7C">
            <w:pPr>
              <w:jc w:val="center"/>
              <w:rPr>
                <w:rFonts w:cstheme="minorHAnsi"/>
                <w:color w:val="auto"/>
                <w:szCs w:val="22"/>
              </w:rPr>
            </w:pPr>
            <w:r w:rsidRPr="00D04BCE">
              <w:rPr>
                <w:szCs w:val="22"/>
              </w:rPr>
              <w:t>Thematic Area 1 – Climate Resilience</w:t>
            </w:r>
          </w:p>
        </w:tc>
        <w:tc>
          <w:tcPr>
            <w:tcW w:w="4096" w:type="pct"/>
          </w:tcPr>
          <w:p w14:paraId="2703CAA7" w14:textId="669F99F5" w:rsidR="00096F7F" w:rsidRPr="00294A78" w:rsidRDefault="00294E7C" w:rsidP="00011523">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D04BCE">
              <w:rPr>
                <w:color w:val="000000" w:themeColor="text2"/>
                <w:szCs w:val="22"/>
              </w:rPr>
              <w:t xml:space="preserve">MAP is contributing to strengthening climate resilience across the Mekong subregion. During the reporting period, ten investments were implemented, focusing on climate-smart agriculture, green economy, nature-based solutions, and resilient urban design, with a strong emphasis on inclusive, evidence-based approaches. These initiatives engaged diverse stakeholders—governments, civil society, academia, and the private sector—and prioritised the inclusion of marginalised groups. Key </w:t>
            </w:r>
            <w:r>
              <w:rPr>
                <w:color w:val="000000" w:themeColor="text2"/>
                <w:szCs w:val="22"/>
              </w:rPr>
              <w:t>initiatives</w:t>
            </w:r>
            <w:r w:rsidRPr="00D04BCE">
              <w:rPr>
                <w:color w:val="000000" w:themeColor="text2"/>
                <w:szCs w:val="22"/>
              </w:rPr>
              <w:t xml:space="preserve"> included training programs, local adaptation projects in Thailand, Vietnam, Cambodia and Laos, and collaborative research addressing water security and urban resilience. Events like the Mekong Environmental Resilience Week (Bangkok, October 2024)</w:t>
            </w:r>
            <w:r>
              <w:rPr>
                <w:color w:val="000000" w:themeColor="text2"/>
                <w:szCs w:val="22"/>
              </w:rPr>
              <w:t>,</w:t>
            </w:r>
            <w:r w:rsidRPr="00D04BCE">
              <w:rPr>
                <w:color w:val="000000" w:themeColor="text2"/>
                <w:szCs w:val="22"/>
              </w:rPr>
              <w:t xml:space="preserve"> and regional forums</w:t>
            </w:r>
            <w:r>
              <w:rPr>
                <w:color w:val="000000" w:themeColor="text2"/>
                <w:szCs w:val="22"/>
              </w:rPr>
              <w:t>,</w:t>
            </w:r>
            <w:r w:rsidRPr="00D04BCE">
              <w:rPr>
                <w:color w:val="000000" w:themeColor="text2"/>
                <w:szCs w:val="22"/>
              </w:rPr>
              <w:t xml:space="preserve"> fostered knowledge exchange and policy dialogue, while </w:t>
            </w:r>
            <w:r w:rsidRPr="00D04BCE">
              <w:rPr>
                <w:color w:val="000000" w:themeColor="text2"/>
                <w:szCs w:val="22"/>
              </w:rPr>
              <w:lastRenderedPageBreak/>
              <w:t>partnerships with Monash University and the Stockholm Environment Institute supported technical guidance and policy-informing research initiatives. Overall, MAP has contributed to building adaptive capacity, promoting sustainable practices, and enhancing regional cooperation on climate resilience.</w:t>
            </w:r>
          </w:p>
        </w:tc>
      </w:tr>
      <w:tr w:rsidR="00294A78" w:rsidRPr="00294A78" w14:paraId="6031C195" w14:textId="77777777" w:rsidTr="00377D04">
        <w:trPr>
          <w:cantSplit/>
          <w:trHeight w:val="1134"/>
        </w:trPr>
        <w:tc>
          <w:tcPr>
            <w:cnfStyle w:val="001000000000" w:firstRow="0" w:lastRow="0" w:firstColumn="1" w:lastColumn="0" w:oddVBand="0" w:evenVBand="0" w:oddHBand="0" w:evenHBand="0" w:firstRowFirstColumn="0" w:firstRowLastColumn="0" w:lastRowFirstColumn="0" w:lastRowLastColumn="0"/>
            <w:tcW w:w="904" w:type="pct"/>
          </w:tcPr>
          <w:p w14:paraId="7AFF973B" w14:textId="77777777" w:rsidR="00294E7C" w:rsidRPr="00D04BCE" w:rsidRDefault="00294E7C" w:rsidP="00294E7C">
            <w:pPr>
              <w:jc w:val="center"/>
              <w:rPr>
                <w:b w:val="0"/>
                <w:bCs/>
                <w:szCs w:val="22"/>
              </w:rPr>
            </w:pPr>
            <w:r w:rsidRPr="00D04BCE">
              <w:rPr>
                <w:bCs/>
                <w:noProof/>
                <w:szCs w:val="22"/>
              </w:rPr>
              <w:lastRenderedPageBreak/>
              <w:drawing>
                <wp:inline distT="0" distB="0" distL="0" distR="0" wp14:anchorId="1FADD760" wp14:editId="763BFE37">
                  <wp:extent cx="484860" cy="484860"/>
                  <wp:effectExtent l="0" t="0" r="0" b="0"/>
                  <wp:docPr id="1340967210" name="Picture 2" descr="Icon for Thematic Area 2 - Water Security. Icon of a drop of wa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67210" name="Picture 2" descr="Icon for Thematic Area 2 - Water Security. Icon of a drop of water.">
                            <a:extLst>
                              <a:ext uri="{C183D7F6-B498-43B3-948B-1728B52AA6E4}">
                                <adec:decorative xmlns:adec="http://schemas.microsoft.com/office/drawing/2017/decorative" val="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417" cy="490417"/>
                          </a:xfrm>
                          <a:prstGeom prst="rect">
                            <a:avLst/>
                          </a:prstGeom>
                          <a:noFill/>
                        </pic:spPr>
                      </pic:pic>
                    </a:graphicData>
                  </a:graphic>
                </wp:inline>
              </w:drawing>
            </w:r>
          </w:p>
          <w:p w14:paraId="3A65B55A" w14:textId="3A59BCD4" w:rsidR="00033DE2" w:rsidRPr="00294A78" w:rsidRDefault="00294E7C" w:rsidP="00294E7C">
            <w:pPr>
              <w:jc w:val="center"/>
              <w:rPr>
                <w:rFonts w:cstheme="minorHAnsi"/>
                <w:color w:val="auto"/>
                <w:szCs w:val="22"/>
              </w:rPr>
            </w:pPr>
            <w:r w:rsidRPr="00D04BCE">
              <w:rPr>
                <w:bCs/>
                <w:szCs w:val="22"/>
              </w:rPr>
              <w:t>Thematic Area 2 – Water Security</w:t>
            </w:r>
          </w:p>
        </w:tc>
        <w:tc>
          <w:tcPr>
            <w:tcW w:w="4096" w:type="pct"/>
          </w:tcPr>
          <w:p w14:paraId="55CACD45" w14:textId="1A8B80C1" w:rsidR="00F0064F" w:rsidRPr="00294A78" w:rsidRDefault="00294E7C" w:rsidP="00011523">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D04BCE">
              <w:rPr>
                <w:color w:val="000000" w:themeColor="text2"/>
                <w:szCs w:val="22"/>
              </w:rPr>
              <w:t>Ten investments, mostly regional, were implemented through partnerships with multilateral organisations, civil society, and academic institutions. Key initiatives included support to the Mekong River Commission (MRC) for transboundary water management, development of fish-friendly infrastructure, improved data sharing through tools like the One Mekong App, and drought monitoring in Vietnam’s Central Highlands. MAP also promoted inclusive governance by empowering women and marginalised groups through Oxfam’s Inclusion Project and supported community-led conservation in Laos. Collaborative research and innovation were advanced through partnerships with Australian institutions, including work on groundwater management, pumped storage hydropower, and plastic pollution solutions. These efforts collectively strengthened regional cooperation in water management, data-driven decision-making in the water sector, and water security in communities.</w:t>
            </w:r>
          </w:p>
        </w:tc>
      </w:tr>
      <w:tr w:rsidR="00294A78" w:rsidRPr="00294A78" w14:paraId="145080FD" w14:textId="77777777" w:rsidTr="00377D04">
        <w:trPr>
          <w:trHeight w:val="687"/>
        </w:trPr>
        <w:tc>
          <w:tcPr>
            <w:cnfStyle w:val="001000000000" w:firstRow="0" w:lastRow="0" w:firstColumn="1" w:lastColumn="0" w:oddVBand="0" w:evenVBand="0" w:oddHBand="0" w:evenHBand="0" w:firstRowFirstColumn="0" w:firstRowLastColumn="0" w:lastRowFirstColumn="0" w:lastRowLastColumn="0"/>
            <w:tcW w:w="904" w:type="pct"/>
          </w:tcPr>
          <w:p w14:paraId="6E762F8D" w14:textId="77777777" w:rsidR="00BF55AF" w:rsidRPr="00D04BCE" w:rsidRDefault="00BF55AF" w:rsidP="00BF55AF">
            <w:pPr>
              <w:jc w:val="center"/>
              <w:rPr>
                <w:bCs/>
                <w:szCs w:val="22"/>
              </w:rPr>
            </w:pPr>
            <w:r w:rsidRPr="00D04BCE">
              <w:rPr>
                <w:bCs/>
                <w:noProof/>
                <w:szCs w:val="22"/>
              </w:rPr>
              <w:drawing>
                <wp:inline distT="0" distB="0" distL="0" distR="0" wp14:anchorId="14AD6259" wp14:editId="1E2DF2F9">
                  <wp:extent cx="489777" cy="489777"/>
                  <wp:effectExtent l="0" t="0" r="5715" b="5715"/>
                  <wp:docPr id="1516072062" name="Picture 4" descr="Icon for Thematic Area 3 - GEDSI. Icon shows hands coming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72062" name="Picture 4" descr="Icon for Thematic Area 3 - GEDSI. Icon shows hands coming together.">
                            <a:extLst>
                              <a:ext uri="{C183D7F6-B498-43B3-948B-1728B52AA6E4}">
                                <adec:decorative xmlns:adec="http://schemas.microsoft.com/office/drawing/2017/decorative" val="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97477" cy="497477"/>
                          </a:xfrm>
                          <a:prstGeom prst="rect">
                            <a:avLst/>
                          </a:prstGeom>
                          <a:noFill/>
                        </pic:spPr>
                      </pic:pic>
                    </a:graphicData>
                  </a:graphic>
                </wp:inline>
              </w:drawing>
            </w:r>
          </w:p>
          <w:p w14:paraId="7245F17A" w14:textId="470B3998" w:rsidR="00033DE2" w:rsidRPr="00294A78" w:rsidRDefault="00BF55AF" w:rsidP="00BF55AF">
            <w:pPr>
              <w:jc w:val="center"/>
              <w:rPr>
                <w:rFonts w:cstheme="minorHAnsi"/>
                <w:color w:val="auto"/>
                <w:szCs w:val="22"/>
              </w:rPr>
            </w:pPr>
            <w:r w:rsidRPr="00D04BCE">
              <w:rPr>
                <w:bCs/>
                <w:szCs w:val="22"/>
              </w:rPr>
              <w:t>Thematic Area 3 – Gender Equality, Disability, and Social Inclusion</w:t>
            </w:r>
          </w:p>
        </w:tc>
        <w:tc>
          <w:tcPr>
            <w:tcW w:w="4096" w:type="pct"/>
          </w:tcPr>
          <w:p w14:paraId="43C915A7" w14:textId="6EE1DD22" w:rsidR="00E8341E" w:rsidRPr="00294A78" w:rsidRDefault="00BF55AF" w:rsidP="00011523">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D04BCE">
              <w:rPr>
                <w:color w:val="000000" w:themeColor="text2"/>
                <w:szCs w:val="22"/>
              </w:rPr>
              <w:t xml:space="preserve">The Gender Equality, Disability, and Social Inclusion (GEDSI) thematic area signals MAP’s strategic shift to invest in </w:t>
            </w:r>
            <w:r>
              <w:rPr>
                <w:color w:val="000000" w:themeColor="text2"/>
                <w:szCs w:val="22"/>
              </w:rPr>
              <w:t>dedicated</w:t>
            </w:r>
            <w:r w:rsidRPr="00D04BCE">
              <w:rPr>
                <w:color w:val="000000" w:themeColor="text2"/>
                <w:szCs w:val="22"/>
              </w:rPr>
              <w:t xml:space="preserve"> GEDSI initiatives alongside mainstreaming efforts across other thematic areas. During this reporting period, data shows that GEDSI outcomes were also integrated into broader MAP activities, including inclusive urban planning, gender-sensitive water governance, and infrastructure projects led by women-owned firms. Notable achievements include gender-responsive procurement training for over 400 women-led businesses, the establishment of women’s committees in Myanmar, and regional platforms like the Asia Women and River Congress</w:t>
            </w:r>
            <w:r>
              <w:rPr>
                <w:color w:val="000000" w:themeColor="text2"/>
                <w:szCs w:val="22"/>
              </w:rPr>
              <w:t>,</w:t>
            </w:r>
            <w:r w:rsidRPr="00D04BCE">
              <w:rPr>
                <w:color w:val="000000" w:themeColor="text2"/>
                <w:szCs w:val="22"/>
              </w:rPr>
              <w:t xml:space="preserve"> where women, youth, and indigenous peoples participated in, amplifying their voices in regional platforms. MAP also supported the inclusion of indigenous women in global policy dialogues and promoted feminist participatory research to strengthen community resilience. These efforts collectively help promote inclusive development, increased women’s leadership, and laid the groundwork for more equitable participation in economic and environmental decision-making across the Mekong subregion</w:t>
            </w:r>
            <w:r>
              <w:rPr>
                <w:color w:val="000000" w:themeColor="text2"/>
                <w:szCs w:val="22"/>
              </w:rPr>
              <w:t>.</w:t>
            </w:r>
          </w:p>
        </w:tc>
      </w:tr>
      <w:tr w:rsidR="00294A78" w:rsidRPr="00294A78" w14:paraId="2DBDD8A4" w14:textId="77777777" w:rsidTr="00377D04">
        <w:trPr>
          <w:trHeight w:val="522"/>
        </w:trPr>
        <w:tc>
          <w:tcPr>
            <w:cnfStyle w:val="001000000000" w:firstRow="0" w:lastRow="0" w:firstColumn="1" w:lastColumn="0" w:oddVBand="0" w:evenVBand="0" w:oddHBand="0" w:evenHBand="0" w:firstRowFirstColumn="0" w:firstRowLastColumn="0" w:lastRowFirstColumn="0" w:lastRowLastColumn="0"/>
            <w:tcW w:w="904" w:type="pct"/>
          </w:tcPr>
          <w:p w14:paraId="0185DF41" w14:textId="77777777" w:rsidR="00BF55AF" w:rsidRPr="00D04BCE" w:rsidRDefault="00BF55AF" w:rsidP="00BF55AF">
            <w:pPr>
              <w:jc w:val="center"/>
              <w:rPr>
                <w:bCs/>
                <w:szCs w:val="22"/>
              </w:rPr>
            </w:pPr>
            <w:r w:rsidRPr="00D04BCE">
              <w:rPr>
                <w:bCs/>
                <w:noProof/>
                <w:szCs w:val="22"/>
              </w:rPr>
              <w:drawing>
                <wp:inline distT="0" distB="0" distL="0" distR="0" wp14:anchorId="2F3DEDB8" wp14:editId="37C874B4">
                  <wp:extent cx="470682" cy="468116"/>
                  <wp:effectExtent l="0" t="0" r="5715" b="8255"/>
                  <wp:docPr id="1018474928" name="Picture 5" descr="Icon for Thematic Area 4 - Economic Resilience and Subregional Integration. Icon of bag of mon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74928" name="Picture 5" descr="Icon for Thematic Area 4 - Economic Resilience and Subregional Integration. Icon of bag of money.">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810" cy="477194"/>
                          </a:xfrm>
                          <a:prstGeom prst="rect">
                            <a:avLst/>
                          </a:prstGeom>
                          <a:noFill/>
                        </pic:spPr>
                      </pic:pic>
                    </a:graphicData>
                  </a:graphic>
                </wp:inline>
              </w:drawing>
            </w:r>
          </w:p>
          <w:p w14:paraId="60E037E1" w14:textId="07D270CC" w:rsidR="00CA0002" w:rsidRPr="00294A78" w:rsidRDefault="00BF55AF" w:rsidP="00BF55AF">
            <w:pPr>
              <w:jc w:val="center"/>
              <w:rPr>
                <w:rFonts w:cstheme="minorHAnsi"/>
                <w:color w:val="auto"/>
                <w:szCs w:val="22"/>
              </w:rPr>
            </w:pPr>
            <w:r w:rsidRPr="00D04BCE">
              <w:rPr>
                <w:bCs/>
                <w:szCs w:val="22"/>
              </w:rPr>
              <w:t xml:space="preserve">Thematic Area 4 – Economic Resilience </w:t>
            </w:r>
            <w:r w:rsidRPr="00D04BCE">
              <w:rPr>
                <w:bCs/>
                <w:szCs w:val="22"/>
              </w:rPr>
              <w:lastRenderedPageBreak/>
              <w:t>and Subregional Integration</w:t>
            </w:r>
          </w:p>
        </w:tc>
        <w:tc>
          <w:tcPr>
            <w:tcW w:w="4096" w:type="pct"/>
          </w:tcPr>
          <w:p w14:paraId="06455AED" w14:textId="19E13A66" w:rsidR="00CA0002" w:rsidRPr="00294A78" w:rsidRDefault="00BF55AF" w:rsidP="00011523">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D04BCE">
              <w:rPr>
                <w:color w:val="auto"/>
                <w:szCs w:val="22"/>
                <w:lang w:val="en-US"/>
              </w:rPr>
              <w:lastRenderedPageBreak/>
              <w:t xml:space="preserve">This thematic area contributed to strengthened economic resilience for countries in the Mekong </w:t>
            </w:r>
            <w:proofErr w:type="gramStart"/>
            <w:r w:rsidRPr="00D04BCE">
              <w:rPr>
                <w:color w:val="auto"/>
                <w:szCs w:val="22"/>
                <w:lang w:val="en-US"/>
              </w:rPr>
              <w:t>subregion</w:t>
            </w:r>
            <w:proofErr w:type="gramEnd"/>
            <w:r w:rsidRPr="00D04BCE">
              <w:rPr>
                <w:color w:val="auto"/>
                <w:szCs w:val="22"/>
                <w:lang w:val="en-US"/>
              </w:rPr>
              <w:t xml:space="preserve">. In Laos, comprehensive dissemination of VAT-related measures to over 2,800 stakeholders—including 1,042 women—generated more than $600,000 in revenue from 26 registered vendors. Cambodia leveraged findings from its Public Finance Review to refine fiscal reforms, </w:t>
            </w:r>
            <w:proofErr w:type="spellStart"/>
            <w:r w:rsidRPr="00D04BCE">
              <w:rPr>
                <w:color w:val="auto"/>
                <w:szCs w:val="22"/>
                <w:lang w:val="en-US"/>
              </w:rPr>
              <w:t>optimise</w:t>
            </w:r>
            <w:proofErr w:type="spellEnd"/>
            <w:r w:rsidRPr="00D04BCE">
              <w:rPr>
                <w:color w:val="auto"/>
                <w:szCs w:val="22"/>
                <w:lang w:val="en-US"/>
              </w:rPr>
              <w:t xml:space="preserve"> public spending, and initiate further studies on service quality in education and health. In Thailand, MAP introduced an </w:t>
            </w:r>
            <w:r w:rsidRPr="00D04BCE">
              <w:rPr>
                <w:color w:val="auto"/>
                <w:szCs w:val="22"/>
                <w:lang w:val="en-US"/>
              </w:rPr>
              <w:lastRenderedPageBreak/>
              <w:t xml:space="preserve">ESG toolkit to address barriers faced by SMEs, promoting sustainability, competitiveness, and awareness of government support services. Vietnam advanced gender-responsive procurement and empowered women-led SMEs through tailored handbooks and strategic policy initiatives. Regional dialogues, such as those on clean air cooperation and consumer protection, fostered cross-country collaboration and shared expertise. MAP also facilitated sustainable infrastructure planning, including Cambodia’s Strategic Environmental Assessments and Thailand’s LEAP/NEMO energy </w:t>
            </w:r>
            <w:proofErr w:type="spellStart"/>
            <w:r w:rsidRPr="00D04BCE">
              <w:rPr>
                <w:color w:val="auto"/>
                <w:szCs w:val="22"/>
                <w:lang w:val="en-US"/>
              </w:rPr>
              <w:t>optimisation</w:t>
            </w:r>
            <w:proofErr w:type="spellEnd"/>
            <w:r w:rsidRPr="00D04BCE">
              <w:rPr>
                <w:color w:val="auto"/>
                <w:szCs w:val="22"/>
                <w:lang w:val="en-US"/>
              </w:rPr>
              <w:t xml:space="preserve"> model, providing decision-makers with practical tools to integrate socio-economic and environmental considerations.</w:t>
            </w:r>
          </w:p>
        </w:tc>
      </w:tr>
      <w:tr w:rsidR="00BF55AF" w:rsidRPr="00294A78" w14:paraId="4B3C0351" w14:textId="77777777" w:rsidTr="00377D04">
        <w:trPr>
          <w:trHeight w:val="1134"/>
        </w:trPr>
        <w:tc>
          <w:tcPr>
            <w:cnfStyle w:val="001000000000" w:firstRow="0" w:lastRow="0" w:firstColumn="1" w:lastColumn="0" w:oddVBand="0" w:evenVBand="0" w:oddHBand="0" w:evenHBand="0" w:firstRowFirstColumn="0" w:firstRowLastColumn="0" w:lastRowFirstColumn="0" w:lastRowLastColumn="0"/>
            <w:tcW w:w="904" w:type="pct"/>
          </w:tcPr>
          <w:p w14:paraId="0C9FA526" w14:textId="77777777" w:rsidR="00BF55AF" w:rsidRPr="00D04BCE" w:rsidRDefault="00BF55AF" w:rsidP="00BF55AF">
            <w:pPr>
              <w:jc w:val="center"/>
              <w:rPr>
                <w:bCs/>
                <w:szCs w:val="22"/>
              </w:rPr>
            </w:pPr>
            <w:r w:rsidRPr="00D04BCE">
              <w:rPr>
                <w:bCs/>
                <w:noProof/>
                <w:szCs w:val="22"/>
              </w:rPr>
              <w:lastRenderedPageBreak/>
              <w:drawing>
                <wp:inline distT="0" distB="0" distL="0" distR="0" wp14:anchorId="0FEA776E" wp14:editId="2791C48C">
                  <wp:extent cx="460389" cy="457879"/>
                  <wp:effectExtent l="0" t="0" r="0" b="0"/>
                  <wp:docPr id="857194822" name="Picture 6" descr="Icon for Thematic Area 5 - Transnational Crime. Icon of interconnecting bo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94822" name="Picture 6" descr="Icon for Thematic Area 5 - Transnational Crime. Icon of interconnecting box">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299" cy="463757"/>
                          </a:xfrm>
                          <a:prstGeom prst="rect">
                            <a:avLst/>
                          </a:prstGeom>
                          <a:noFill/>
                        </pic:spPr>
                      </pic:pic>
                    </a:graphicData>
                  </a:graphic>
                </wp:inline>
              </w:drawing>
            </w:r>
          </w:p>
          <w:p w14:paraId="3EE5FD01" w14:textId="638F6A36" w:rsidR="00BF55AF" w:rsidRPr="00294A78" w:rsidRDefault="00BF55AF" w:rsidP="00BF55AF">
            <w:pPr>
              <w:jc w:val="center"/>
              <w:rPr>
                <w:rFonts w:cstheme="minorHAnsi"/>
                <w:color w:val="auto"/>
                <w:szCs w:val="22"/>
              </w:rPr>
            </w:pPr>
            <w:r w:rsidRPr="00D04BCE">
              <w:rPr>
                <w:bCs/>
                <w:szCs w:val="22"/>
              </w:rPr>
              <w:t>Thematic Area 5 – Transnational Crime</w:t>
            </w:r>
          </w:p>
        </w:tc>
        <w:tc>
          <w:tcPr>
            <w:tcW w:w="4096" w:type="pct"/>
          </w:tcPr>
          <w:p w14:paraId="1827D5A6" w14:textId="7211042A" w:rsidR="00BF55AF" w:rsidRPr="00294A78" w:rsidRDefault="00BF55AF" w:rsidP="00BF55AF">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D04BCE">
              <w:rPr>
                <w:color w:val="auto"/>
                <w:szCs w:val="22"/>
                <w:lang w:val="en-US"/>
              </w:rPr>
              <w:t xml:space="preserve">MAP-TNC activities in 2024 demonstrated significant progress in capacity building, policy development, and collaborative initiatives across countries and agencies, to address transnational crime (TNC). Training programs such as AUSTRAC’s Intelligence Fundamentals Course and AFP’s Cryptocurrency Investigations equipped over 185 participants with skills that improved individual and </w:t>
            </w:r>
            <w:proofErr w:type="spellStart"/>
            <w:r w:rsidRPr="00D04BCE">
              <w:rPr>
                <w:color w:val="auto"/>
                <w:szCs w:val="22"/>
                <w:lang w:val="en-US"/>
              </w:rPr>
              <w:t>organisational</w:t>
            </w:r>
            <w:proofErr w:type="spellEnd"/>
            <w:r w:rsidRPr="00D04BCE">
              <w:rPr>
                <w:color w:val="auto"/>
                <w:szCs w:val="22"/>
                <w:lang w:val="en-US"/>
              </w:rPr>
              <w:t xml:space="preserve"> practices, with 97</w:t>
            </w:r>
            <w:r>
              <w:rPr>
                <w:color w:val="auto"/>
                <w:szCs w:val="22"/>
                <w:lang w:val="en-US"/>
              </w:rPr>
              <w:t> </w:t>
            </w:r>
            <w:r w:rsidRPr="00D04BCE">
              <w:rPr>
                <w:color w:val="auto"/>
                <w:szCs w:val="22"/>
                <w:lang w:val="en-US"/>
              </w:rPr>
              <w:t>per</w:t>
            </w:r>
            <w:r>
              <w:rPr>
                <w:color w:val="auto"/>
                <w:szCs w:val="22"/>
                <w:lang w:val="en-US"/>
              </w:rPr>
              <w:t> </w:t>
            </w:r>
            <w:r w:rsidRPr="00D04BCE">
              <w:rPr>
                <w:color w:val="auto"/>
                <w:szCs w:val="22"/>
                <w:lang w:val="en-US"/>
              </w:rPr>
              <w:t xml:space="preserve">cent of surveyed attendees applying their knowledge in daily work. Targeted research, such as studies on forced criminality and the Citizenship </w:t>
            </w:r>
            <w:proofErr w:type="gramStart"/>
            <w:r w:rsidRPr="00D04BCE">
              <w:rPr>
                <w:color w:val="auto"/>
                <w:szCs w:val="22"/>
                <w:lang w:val="en-US"/>
              </w:rPr>
              <w:t>By</w:t>
            </w:r>
            <w:proofErr w:type="gramEnd"/>
            <w:r w:rsidRPr="00D04BCE">
              <w:rPr>
                <w:color w:val="auto"/>
                <w:szCs w:val="22"/>
                <w:lang w:val="en-US"/>
              </w:rPr>
              <w:t xml:space="preserve"> Investment report, informed legislative changes and policy development. Collaborative efforts across Mekong countries, including regional training and cross-agency workshops, enhanced financial crime investigations and established cross-country collaboration to better counter transnational crime. Efforts to strengthen gender equality, disability, and social inclusion (GEDSI) were enhanced by the introduction of a comprehensive GEDSI Toolkit, which was integrated into training and workshops for a better understanding of vulnerability and intersectionality within TNC contexts. </w:t>
            </w:r>
          </w:p>
        </w:tc>
      </w:tr>
    </w:tbl>
    <w:p w14:paraId="419A24E9" w14:textId="77777777" w:rsidR="00377D04" w:rsidRDefault="00377D04" w:rsidP="00BF55AF">
      <w:pPr>
        <w:spacing w:before="80" w:line="235" w:lineRule="auto"/>
        <w:rPr>
          <w:rFonts w:eastAsia="Times New Roman"/>
          <w:szCs w:val="22"/>
          <w:lang w:val="en-US" w:eastAsia="en-IE"/>
        </w:rPr>
      </w:pPr>
    </w:p>
    <w:p w14:paraId="6617CBB4" w14:textId="5A10625B" w:rsidR="00BF55AF" w:rsidRDefault="00BF55AF" w:rsidP="00BF55AF">
      <w:pPr>
        <w:spacing w:before="80" w:line="235" w:lineRule="auto"/>
        <w:rPr>
          <w:rFonts w:eastAsia="Times New Roman"/>
          <w:szCs w:val="22"/>
          <w:lang w:val="en-US" w:eastAsia="en-IE"/>
        </w:rPr>
      </w:pPr>
      <w:r w:rsidRPr="00D04BCE">
        <w:rPr>
          <w:rFonts w:eastAsia="Times New Roman"/>
          <w:szCs w:val="22"/>
          <w:lang w:val="en-US" w:eastAsia="en-IE"/>
        </w:rPr>
        <w:t xml:space="preserve">In 2024, MAP underwent a significant transition period, refining its programmatic focus, structures, and delivery processes to better align with Mekong subregion priorities and Australia’s </w:t>
      </w:r>
      <w:r>
        <w:rPr>
          <w:rFonts w:eastAsia="Times New Roman"/>
          <w:szCs w:val="22"/>
          <w:lang w:val="en-US" w:eastAsia="en-IE"/>
        </w:rPr>
        <w:t>expertise</w:t>
      </w:r>
      <w:r w:rsidRPr="00D04BCE">
        <w:rPr>
          <w:rFonts w:eastAsia="Times New Roman"/>
          <w:szCs w:val="22"/>
          <w:lang w:val="en-US" w:eastAsia="en-IE"/>
        </w:rPr>
        <w:t xml:space="preserve">. The consolidation of key investment themes under MAP Phase 2 enabled a more coherent approach, integrating new areas such as combating transnational crime while sustaining long-term commitments in water security and climate resilience. Australia’s enduring partnerships in the region, built over decades of engagement, have continued to provide a strong foundation for navigating complex governance and development challenges. MAP investments supported capacity strengthening across institutions, communities, and individuals, promoted contextual innovation, and expanded the evidence base for policy and practice. The portfolio also made improvements in mainstreaming and reporting on gender equality, disability, and social inclusion, while </w:t>
      </w:r>
      <w:proofErr w:type="spellStart"/>
      <w:r w:rsidRPr="00D04BCE">
        <w:rPr>
          <w:rFonts w:eastAsia="Times New Roman"/>
          <w:szCs w:val="22"/>
          <w:lang w:val="en-US" w:eastAsia="en-IE"/>
        </w:rPr>
        <w:t>recognising</w:t>
      </w:r>
      <w:proofErr w:type="spellEnd"/>
      <w:r w:rsidRPr="00D04BCE">
        <w:rPr>
          <w:rFonts w:eastAsia="Times New Roman"/>
          <w:szCs w:val="22"/>
          <w:lang w:val="en-US" w:eastAsia="en-IE"/>
        </w:rPr>
        <w:t xml:space="preserve"> the need for better reporting, especially on disability equity. Looking ahead, MAP will focus on consolidating results, deepening collaboration with partners, and ensuring that Australia remains a trusted and effective partner in the Mekong subregion. </w:t>
      </w:r>
    </w:p>
    <w:p w14:paraId="27AF18A2" w14:textId="712DCA4E" w:rsidR="00BF55AF" w:rsidRPr="00D04BCE" w:rsidRDefault="00BF55AF" w:rsidP="00BF55AF">
      <w:pPr>
        <w:spacing w:before="0" w:after="160" w:line="259" w:lineRule="auto"/>
        <w:rPr>
          <w:rFonts w:eastAsia="Times New Roman"/>
          <w:szCs w:val="22"/>
          <w:lang w:val="en-US" w:eastAsia="en-IE"/>
        </w:rPr>
      </w:pPr>
      <w:r>
        <w:rPr>
          <w:rFonts w:eastAsia="Times New Roman"/>
          <w:szCs w:val="22"/>
          <w:lang w:val="en-US" w:eastAsia="en-IE"/>
        </w:rPr>
        <w:br w:type="page"/>
      </w:r>
    </w:p>
    <w:p w14:paraId="77670EAF" w14:textId="13D4C8BB" w:rsidR="00011523" w:rsidRPr="00294A78" w:rsidRDefault="00C306C3" w:rsidP="00907B25">
      <w:pPr>
        <w:pStyle w:val="Heading1"/>
        <w:ind w:left="431" w:hanging="431"/>
      </w:pPr>
      <w:bookmarkStart w:id="8" w:name="_Toc210034386"/>
      <w:r w:rsidRPr="00294A78">
        <w:lastRenderedPageBreak/>
        <w:t>Introduction and Context</w:t>
      </w:r>
      <w:bookmarkEnd w:id="8"/>
    </w:p>
    <w:p w14:paraId="3BA66115" w14:textId="77777777" w:rsidR="00BF55AF" w:rsidRPr="00D04BCE" w:rsidRDefault="00BF55AF" w:rsidP="00BF55AF">
      <w:pPr>
        <w:spacing w:before="0" w:after="160" w:line="259" w:lineRule="auto"/>
        <w:rPr>
          <w:color w:val="000000" w:themeColor="text2"/>
          <w:szCs w:val="22"/>
        </w:rPr>
      </w:pPr>
      <w:r w:rsidRPr="00D04BCE">
        <w:rPr>
          <w:color w:val="000000" w:themeColor="text2"/>
          <w:szCs w:val="22"/>
        </w:rPr>
        <w:t xml:space="preserve">Australia is deepening </w:t>
      </w:r>
      <w:r>
        <w:rPr>
          <w:color w:val="000000" w:themeColor="text2"/>
          <w:szCs w:val="22"/>
        </w:rPr>
        <w:t xml:space="preserve">our </w:t>
      </w:r>
      <w:r w:rsidRPr="00D04BCE">
        <w:rPr>
          <w:color w:val="000000" w:themeColor="text2"/>
          <w:szCs w:val="22"/>
        </w:rPr>
        <w:t xml:space="preserve">engagement with Southeast Asia and the Mekong subregion. The Mekong subregion (Cambodia, Laos, Myanmar, Thailand and Vietnam) is home to over 240 million people </w:t>
      </w:r>
      <w:r>
        <w:rPr>
          <w:color w:val="000000" w:themeColor="text2"/>
          <w:szCs w:val="22"/>
        </w:rPr>
        <w:t xml:space="preserve">and </w:t>
      </w:r>
      <w:r w:rsidRPr="00D04BCE">
        <w:rPr>
          <w:color w:val="000000" w:themeColor="text2"/>
          <w:szCs w:val="22"/>
        </w:rPr>
        <w:t>makes up half of ASEAN</w:t>
      </w:r>
      <w:r>
        <w:rPr>
          <w:color w:val="000000" w:themeColor="text2"/>
          <w:szCs w:val="22"/>
        </w:rPr>
        <w:t>. The Mekong subregion matters to Australia</w:t>
      </w:r>
      <w:r w:rsidRPr="00D04BCE">
        <w:rPr>
          <w:color w:val="000000" w:themeColor="text2"/>
          <w:szCs w:val="22"/>
        </w:rPr>
        <w:t xml:space="preserve"> and </w:t>
      </w:r>
      <w:r>
        <w:rPr>
          <w:color w:val="000000" w:themeColor="text2"/>
          <w:szCs w:val="22"/>
        </w:rPr>
        <w:t xml:space="preserve">its </w:t>
      </w:r>
      <w:r w:rsidRPr="00D04BCE">
        <w:rPr>
          <w:color w:val="000000" w:themeColor="text2"/>
          <w:szCs w:val="22"/>
        </w:rPr>
        <w:t xml:space="preserve">sustainable development requires additional effort and attention. </w:t>
      </w:r>
    </w:p>
    <w:p w14:paraId="78E72FA7" w14:textId="77777777" w:rsidR="00BF55AF" w:rsidRPr="00D04BCE" w:rsidRDefault="00BF55AF" w:rsidP="00BF55AF">
      <w:pPr>
        <w:spacing w:before="0" w:after="160" w:line="259" w:lineRule="auto"/>
        <w:rPr>
          <w:color w:val="000000" w:themeColor="text2"/>
          <w:szCs w:val="22"/>
        </w:rPr>
      </w:pPr>
      <w:r w:rsidRPr="00D04BCE">
        <w:rPr>
          <w:color w:val="000000" w:themeColor="text2"/>
          <w:szCs w:val="22"/>
        </w:rPr>
        <w:t>The first phase of MAP ($232 million over four-years, 2020-24), launched in November 2020</w:t>
      </w:r>
      <w:r>
        <w:rPr>
          <w:color w:val="000000" w:themeColor="text2"/>
          <w:szCs w:val="22"/>
        </w:rPr>
        <w:t>,</w:t>
      </w:r>
      <w:r w:rsidRPr="00D04BCE">
        <w:rPr>
          <w:color w:val="000000" w:themeColor="text2"/>
          <w:szCs w:val="22"/>
        </w:rPr>
        <w:t xml:space="preserve"> aimed to bolster the Mekong subregion's resilience and support inclusive, sustainable growth. The second phase of MAP ($222.5 million over five years, 2024-25 to 2028-29) aims to promote a more resilient and inclusive Mekong subregion that pursues joint solutions to shared and transboundary challenges.  Australia wants to be a trusted partner </w:t>
      </w:r>
      <w:r>
        <w:rPr>
          <w:color w:val="000000" w:themeColor="text2"/>
          <w:szCs w:val="22"/>
        </w:rPr>
        <w:t>that supports</w:t>
      </w:r>
      <w:r w:rsidRPr="00D04BCE">
        <w:rPr>
          <w:color w:val="000000" w:themeColor="text2"/>
          <w:szCs w:val="22"/>
        </w:rPr>
        <w:t xml:space="preserve"> a resilient, inclusive and sustainable Mekong subregion. The second phase of MAP has five thematic areas that align with DFAT’s Southeast Asia Regional Development Partnership Plan (DPP). These thematic areas guide investment selection: climate resilience; water security; economic resilience and subregional integration; gender equality, disability and social inclusion (GEDSI); and preventing and countering transnational crime (TNC). Leadership and skills </w:t>
      </w:r>
      <w:proofErr w:type="gramStart"/>
      <w:r w:rsidRPr="00D04BCE">
        <w:rPr>
          <w:color w:val="000000" w:themeColor="text2"/>
          <w:szCs w:val="22"/>
        </w:rPr>
        <w:t>is</w:t>
      </w:r>
      <w:proofErr w:type="gramEnd"/>
      <w:r w:rsidRPr="00D04BCE">
        <w:rPr>
          <w:color w:val="000000" w:themeColor="text2"/>
          <w:szCs w:val="22"/>
        </w:rPr>
        <w:t xml:space="preserve"> a cross-cutting theme, contributing to the outcomes in </w:t>
      </w:r>
      <w:r>
        <w:rPr>
          <w:color w:val="000000" w:themeColor="text2"/>
          <w:szCs w:val="22"/>
        </w:rPr>
        <w:t>all</w:t>
      </w:r>
      <w:r w:rsidRPr="00D04BCE">
        <w:rPr>
          <w:color w:val="000000" w:themeColor="text2"/>
          <w:szCs w:val="22"/>
        </w:rPr>
        <w:t xml:space="preserve"> five thematic areas.  </w:t>
      </w:r>
    </w:p>
    <w:p w14:paraId="581C0F61" w14:textId="77777777" w:rsidR="00BF55AF" w:rsidRPr="00D04BCE" w:rsidRDefault="00BF55AF" w:rsidP="00BF55AF">
      <w:pPr>
        <w:spacing w:before="0" w:after="160" w:line="259" w:lineRule="auto"/>
        <w:rPr>
          <w:color w:val="000000" w:themeColor="text2"/>
          <w:szCs w:val="22"/>
        </w:rPr>
      </w:pPr>
      <w:r w:rsidRPr="00D04BCE">
        <w:rPr>
          <w:color w:val="000000" w:themeColor="text2"/>
          <w:szCs w:val="22"/>
        </w:rPr>
        <w:t>The design of the second phase of MAP articulated five end</w:t>
      </w:r>
      <w:r>
        <w:rPr>
          <w:color w:val="000000" w:themeColor="text2"/>
          <w:szCs w:val="22"/>
        </w:rPr>
        <w:noBreakHyphen/>
      </w:r>
      <w:r w:rsidRPr="00D04BCE">
        <w:rPr>
          <w:color w:val="000000" w:themeColor="text2"/>
          <w:szCs w:val="22"/>
        </w:rPr>
        <w:t>of</w:t>
      </w:r>
      <w:r>
        <w:rPr>
          <w:color w:val="000000" w:themeColor="text2"/>
          <w:szCs w:val="22"/>
        </w:rPr>
        <w:noBreakHyphen/>
      </w:r>
      <w:r w:rsidRPr="00D04BCE">
        <w:rPr>
          <w:color w:val="000000" w:themeColor="text2"/>
          <w:szCs w:val="22"/>
        </w:rPr>
        <w:t>portfolio outcomes (EOPO), aligned to Southeast Asia DPP objectives:</w:t>
      </w:r>
    </w:p>
    <w:p w14:paraId="4786E3DD" w14:textId="0B74B8D2" w:rsidR="00BF55AF" w:rsidRPr="004D00F4" w:rsidRDefault="00BF55AF" w:rsidP="002859B4">
      <w:pPr>
        <w:pStyle w:val="ListParagraph"/>
        <w:numPr>
          <w:ilvl w:val="0"/>
          <w:numId w:val="19"/>
        </w:numPr>
        <w:spacing w:before="0" w:after="160" w:line="259" w:lineRule="auto"/>
        <w:rPr>
          <w:color w:val="000000" w:themeColor="text2"/>
          <w:szCs w:val="22"/>
        </w:rPr>
      </w:pPr>
      <w:r w:rsidRPr="004D00F4">
        <w:rPr>
          <w:color w:val="000000" w:themeColor="text2"/>
          <w:szCs w:val="22"/>
        </w:rPr>
        <w:t>Mekong subregion partners reduce vulnerability to impacts of climate change</w:t>
      </w:r>
    </w:p>
    <w:p w14:paraId="1CE07725" w14:textId="35EFC742" w:rsidR="00BF55AF" w:rsidRPr="004D00F4" w:rsidRDefault="00BF55AF" w:rsidP="002859B4">
      <w:pPr>
        <w:pStyle w:val="ListParagraph"/>
        <w:numPr>
          <w:ilvl w:val="0"/>
          <w:numId w:val="19"/>
        </w:numPr>
        <w:spacing w:before="0" w:after="160" w:line="259" w:lineRule="auto"/>
        <w:rPr>
          <w:color w:val="000000" w:themeColor="text2"/>
          <w:szCs w:val="22"/>
        </w:rPr>
      </w:pPr>
      <w:r w:rsidRPr="004D00F4">
        <w:rPr>
          <w:color w:val="000000" w:themeColor="text2"/>
          <w:szCs w:val="22"/>
        </w:rPr>
        <w:t>Mekong subregion partners manage water resources in a more coordinated and sustainable way</w:t>
      </w:r>
    </w:p>
    <w:p w14:paraId="6A478275" w14:textId="23ABAA40" w:rsidR="00BF55AF" w:rsidRPr="004D00F4" w:rsidRDefault="00BF55AF" w:rsidP="002859B4">
      <w:pPr>
        <w:pStyle w:val="ListParagraph"/>
        <w:numPr>
          <w:ilvl w:val="0"/>
          <w:numId w:val="19"/>
        </w:numPr>
        <w:spacing w:before="0" w:after="160" w:line="259" w:lineRule="auto"/>
        <w:rPr>
          <w:color w:val="000000" w:themeColor="text2"/>
          <w:szCs w:val="22"/>
        </w:rPr>
      </w:pPr>
      <w:r w:rsidRPr="004D00F4">
        <w:rPr>
          <w:color w:val="000000" w:themeColor="text2"/>
          <w:szCs w:val="22"/>
        </w:rPr>
        <w:t xml:space="preserve">Mekong subregion partners increase leadership and economic opportunities for women, people with disabilities, and other marginalised groups </w:t>
      </w:r>
    </w:p>
    <w:p w14:paraId="5464AF4D" w14:textId="3F47EC6D" w:rsidR="00BF55AF" w:rsidRPr="004D00F4" w:rsidRDefault="00BF55AF" w:rsidP="002859B4">
      <w:pPr>
        <w:pStyle w:val="ListParagraph"/>
        <w:numPr>
          <w:ilvl w:val="0"/>
          <w:numId w:val="19"/>
        </w:numPr>
        <w:spacing w:before="0" w:after="160" w:line="259" w:lineRule="auto"/>
        <w:rPr>
          <w:color w:val="000000" w:themeColor="text2"/>
          <w:szCs w:val="22"/>
        </w:rPr>
      </w:pPr>
      <w:r w:rsidRPr="004D00F4">
        <w:rPr>
          <w:color w:val="000000" w:themeColor="text2"/>
          <w:szCs w:val="22"/>
        </w:rPr>
        <w:t>Mekong subregion partners enable strengthened economic resilience and subregional integration</w:t>
      </w:r>
    </w:p>
    <w:p w14:paraId="35A5ECEC" w14:textId="659F802C" w:rsidR="00BF55AF" w:rsidRPr="004D00F4" w:rsidRDefault="00BF55AF" w:rsidP="002859B4">
      <w:pPr>
        <w:pStyle w:val="ListParagraph"/>
        <w:numPr>
          <w:ilvl w:val="0"/>
          <w:numId w:val="19"/>
        </w:numPr>
        <w:spacing w:before="0" w:after="160" w:line="259" w:lineRule="auto"/>
        <w:rPr>
          <w:color w:val="000000" w:themeColor="text2"/>
          <w:szCs w:val="22"/>
        </w:rPr>
      </w:pPr>
      <w:r w:rsidRPr="004D00F4">
        <w:rPr>
          <w:color w:val="000000" w:themeColor="text2"/>
          <w:szCs w:val="22"/>
        </w:rPr>
        <w:t>Mekong subregion partners better prevent and counter targeted transnational crime</w:t>
      </w:r>
    </w:p>
    <w:p w14:paraId="397EEC4E" w14:textId="77777777" w:rsidR="00BF55AF" w:rsidRPr="00D04BCE" w:rsidRDefault="00BF55AF" w:rsidP="00BF55AF">
      <w:pPr>
        <w:spacing w:before="0" w:after="160" w:line="259" w:lineRule="auto"/>
        <w:rPr>
          <w:color w:val="000000" w:themeColor="text2"/>
          <w:szCs w:val="22"/>
        </w:rPr>
      </w:pPr>
      <w:r w:rsidRPr="00D04BCE">
        <w:rPr>
          <w:color w:val="000000" w:themeColor="text2"/>
          <w:szCs w:val="22"/>
        </w:rPr>
        <w:t xml:space="preserve">MAP is delivered primarily through long-term partnerships with a diverse range of partners, including local counterparts and, where possible, through </w:t>
      </w:r>
      <w:proofErr w:type="gramStart"/>
      <w:r w:rsidRPr="00D04BCE">
        <w:rPr>
          <w:color w:val="000000" w:themeColor="text2"/>
          <w:szCs w:val="22"/>
        </w:rPr>
        <w:t>locally-led</w:t>
      </w:r>
      <w:proofErr w:type="gramEnd"/>
      <w:r w:rsidRPr="00D04BCE">
        <w:rPr>
          <w:color w:val="000000" w:themeColor="text2"/>
          <w:szCs w:val="22"/>
        </w:rPr>
        <w:t xml:space="preserve"> architecture. MAP invests in trilateral, multi-country and subregional activities that respond to shared and transboundary challenges and will seek opportunities for collaboration with likeminded partners. Additionally, MAP funds bilateral Mekong programs to deliver solutions to complex transboundary challenges in line with MAP thematic areas. This is in recognition of the importance of these programs in strengthening Australia’s reputation as a trusted, pragmatic and reliable partner that provides high quality offerings, delivers on commitments and upholds rules and norms.  </w:t>
      </w:r>
    </w:p>
    <w:p w14:paraId="553C4C9E" w14:textId="77777777" w:rsidR="00BF55AF" w:rsidRDefault="00BF55AF" w:rsidP="00BF55AF">
      <w:pPr>
        <w:spacing w:before="0" w:after="160" w:line="259" w:lineRule="auto"/>
        <w:rPr>
          <w:color w:val="000000" w:themeColor="text2"/>
          <w:szCs w:val="22"/>
        </w:rPr>
      </w:pPr>
      <w:r w:rsidRPr="00D04BCE">
        <w:rPr>
          <w:color w:val="000000" w:themeColor="text2"/>
          <w:szCs w:val="22"/>
        </w:rPr>
        <w:t xml:space="preserve">In 2024, countries and communities in the Mekong subregion </w:t>
      </w:r>
      <w:r>
        <w:rPr>
          <w:color w:val="000000" w:themeColor="text2"/>
          <w:szCs w:val="22"/>
        </w:rPr>
        <w:t>faced</w:t>
      </w:r>
      <w:r w:rsidRPr="00D04BCE">
        <w:rPr>
          <w:color w:val="000000" w:themeColor="text2"/>
          <w:szCs w:val="22"/>
        </w:rPr>
        <w:t xml:space="preserve"> a complex mix of opportunities and challenges</w:t>
      </w:r>
      <w:r>
        <w:rPr>
          <w:color w:val="000000" w:themeColor="text2"/>
          <w:szCs w:val="22"/>
        </w:rPr>
        <w:t xml:space="preserve">. </w:t>
      </w:r>
      <w:r w:rsidRPr="00D04BCE">
        <w:rPr>
          <w:color w:val="000000" w:themeColor="text2"/>
          <w:szCs w:val="22"/>
        </w:rPr>
        <w:t xml:space="preserve">Myanmar continued to grapple with deepening instability after the </w:t>
      </w:r>
      <w:r w:rsidRPr="00D04BCE">
        <w:rPr>
          <w:color w:val="000000" w:themeColor="text2"/>
          <w:szCs w:val="22"/>
        </w:rPr>
        <w:lastRenderedPageBreak/>
        <w:t>2021 military coup: a decline in real GDP, increasing poverty, and significant displacement of people that hindered access to jobs, education, and health care</w:t>
      </w:r>
      <w:r>
        <w:rPr>
          <w:rStyle w:val="FootnoteReference"/>
          <w:color w:val="000000" w:themeColor="text2"/>
          <w:szCs w:val="22"/>
        </w:rPr>
        <w:footnoteReference w:id="2"/>
      </w:r>
      <w:r w:rsidRPr="00D04BCE">
        <w:rPr>
          <w:color w:val="000000" w:themeColor="text2"/>
          <w:szCs w:val="22"/>
        </w:rPr>
        <w:t xml:space="preserve">. </w:t>
      </w:r>
    </w:p>
    <w:p w14:paraId="055432E7" w14:textId="4E81DA53" w:rsidR="00BF55AF" w:rsidRPr="00D04BCE" w:rsidRDefault="00BF55AF" w:rsidP="00BF55AF">
      <w:pPr>
        <w:spacing w:before="0" w:after="160" w:line="259" w:lineRule="auto"/>
        <w:rPr>
          <w:color w:val="000000" w:themeColor="text2"/>
          <w:szCs w:val="22"/>
        </w:rPr>
      </w:pPr>
      <w:r w:rsidRPr="00D04BCE">
        <w:rPr>
          <w:color w:val="000000" w:themeColor="text2"/>
          <w:szCs w:val="22"/>
        </w:rPr>
        <w:t>Cambodia invest</w:t>
      </w:r>
      <w:r>
        <w:rPr>
          <w:color w:val="000000" w:themeColor="text2"/>
          <w:szCs w:val="22"/>
        </w:rPr>
        <w:t>ed</w:t>
      </w:r>
      <w:r w:rsidRPr="00D04BCE">
        <w:rPr>
          <w:color w:val="000000" w:themeColor="text2"/>
          <w:szCs w:val="22"/>
        </w:rPr>
        <w:t xml:space="preserve"> significantly in health and education, with some incremental improvements.  Inequality, human capacity and rural poverty remain a challenge, with roughly 23</w:t>
      </w:r>
      <w:r>
        <w:rPr>
          <w:color w:val="000000" w:themeColor="text2"/>
          <w:szCs w:val="22"/>
        </w:rPr>
        <w:t xml:space="preserve"> per cent</w:t>
      </w:r>
      <w:r w:rsidRPr="00D04BCE">
        <w:rPr>
          <w:color w:val="000000" w:themeColor="text2"/>
          <w:szCs w:val="22"/>
        </w:rPr>
        <w:t xml:space="preserve"> of its rural population below the poverty threshold</w:t>
      </w:r>
      <w:r>
        <w:rPr>
          <w:rStyle w:val="FootnoteReference"/>
          <w:color w:val="000000" w:themeColor="text2"/>
          <w:szCs w:val="22"/>
        </w:rPr>
        <w:footnoteReference w:id="3"/>
      </w:r>
      <w:r w:rsidRPr="00D04BCE">
        <w:rPr>
          <w:color w:val="000000" w:themeColor="text2"/>
          <w:szCs w:val="22"/>
        </w:rPr>
        <w:t xml:space="preserve">.  Laos, on the other hand, suffered severe inflation since 2022, and while the inflation rate dropped to </w:t>
      </w:r>
      <w:r>
        <w:rPr>
          <w:color w:val="000000" w:themeColor="text2"/>
          <w:szCs w:val="22"/>
        </w:rPr>
        <w:t>19</w:t>
      </w:r>
      <w:r w:rsidRPr="00D04BCE">
        <w:rPr>
          <w:color w:val="000000" w:themeColor="text2"/>
          <w:szCs w:val="22"/>
        </w:rPr>
        <w:t xml:space="preserve"> per cent, </w:t>
      </w:r>
      <w:proofErr w:type="spellStart"/>
      <w:r w:rsidRPr="00D04BCE">
        <w:rPr>
          <w:color w:val="000000" w:themeColor="text2"/>
          <w:szCs w:val="22"/>
        </w:rPr>
        <w:t>its</w:t>
      </w:r>
      <w:proofErr w:type="spellEnd"/>
      <w:r w:rsidRPr="00D04BCE">
        <w:rPr>
          <w:color w:val="000000" w:themeColor="text2"/>
          <w:szCs w:val="22"/>
        </w:rPr>
        <w:t xml:space="preserve"> devastating impact on the resilience of people and country remained; the debt burden is high at the household and country levels</w:t>
      </w:r>
      <w:r>
        <w:rPr>
          <w:rStyle w:val="FootnoteReference"/>
          <w:color w:val="000000" w:themeColor="text2"/>
          <w:szCs w:val="22"/>
        </w:rPr>
        <w:footnoteReference w:id="4"/>
      </w:r>
      <w:r w:rsidRPr="00D04BCE">
        <w:rPr>
          <w:color w:val="000000" w:themeColor="text2"/>
          <w:szCs w:val="22"/>
        </w:rPr>
        <w:t xml:space="preserve">.  </w:t>
      </w:r>
    </w:p>
    <w:p w14:paraId="0A3171CE" w14:textId="77777777" w:rsidR="00BF55AF" w:rsidRPr="00D04BCE" w:rsidRDefault="00BF55AF" w:rsidP="00BF55AF">
      <w:pPr>
        <w:spacing w:before="0" w:after="160" w:line="259" w:lineRule="auto"/>
        <w:rPr>
          <w:color w:val="000000" w:themeColor="text2"/>
          <w:szCs w:val="22"/>
        </w:rPr>
      </w:pPr>
      <w:r w:rsidRPr="00D04BCE">
        <w:rPr>
          <w:color w:val="000000" w:themeColor="text2"/>
          <w:szCs w:val="22"/>
        </w:rPr>
        <w:t xml:space="preserve">Vietnam’s economic performance remained solid in 2024, driven largely by manufacturing, exports, and foreign investment. Vietnam remained the </w:t>
      </w:r>
      <w:r>
        <w:rPr>
          <w:color w:val="000000" w:themeColor="text2"/>
          <w:szCs w:val="22"/>
        </w:rPr>
        <w:t>sub</w:t>
      </w:r>
      <w:r w:rsidRPr="00D04BCE">
        <w:rPr>
          <w:color w:val="000000" w:themeColor="text2"/>
          <w:szCs w:val="22"/>
        </w:rPr>
        <w:t>region’s top-performing economy in 2024</w:t>
      </w:r>
      <w:r>
        <w:rPr>
          <w:rStyle w:val="FootnoteReference"/>
          <w:color w:val="000000" w:themeColor="text2"/>
          <w:szCs w:val="22"/>
        </w:rPr>
        <w:footnoteReference w:id="5"/>
      </w:r>
      <w:r w:rsidRPr="00D04BCE">
        <w:rPr>
          <w:color w:val="000000" w:themeColor="text2"/>
          <w:szCs w:val="22"/>
        </w:rPr>
        <w:t xml:space="preserve"> and kep</w:t>
      </w:r>
      <w:r>
        <w:rPr>
          <w:color w:val="000000" w:themeColor="text2"/>
          <w:szCs w:val="22"/>
        </w:rPr>
        <w:t>t</w:t>
      </w:r>
      <w:r w:rsidRPr="00D04BCE">
        <w:rPr>
          <w:color w:val="000000" w:themeColor="text2"/>
          <w:szCs w:val="22"/>
        </w:rPr>
        <w:t xml:space="preserve"> its poverty incidence below 5 per cent</w:t>
      </w:r>
      <w:r>
        <w:rPr>
          <w:rStyle w:val="FootnoteReference"/>
          <w:color w:val="000000" w:themeColor="text2"/>
          <w:szCs w:val="22"/>
        </w:rPr>
        <w:footnoteReference w:id="6"/>
      </w:r>
      <w:r w:rsidRPr="00D04BCE">
        <w:rPr>
          <w:color w:val="000000" w:themeColor="text2"/>
          <w:szCs w:val="22"/>
        </w:rPr>
        <w:t xml:space="preserve">. </w:t>
      </w:r>
    </w:p>
    <w:p w14:paraId="25E7B3EB" w14:textId="77777777" w:rsidR="00BF55AF" w:rsidRDefault="00BF55AF" w:rsidP="00BF55AF">
      <w:pPr>
        <w:spacing w:before="0" w:after="160" w:line="259" w:lineRule="auto"/>
        <w:rPr>
          <w:color w:val="000000" w:themeColor="text2"/>
          <w:szCs w:val="22"/>
          <w:lang w:val="en-US"/>
        </w:rPr>
      </w:pPr>
      <w:r w:rsidRPr="00D04BCE">
        <w:rPr>
          <w:color w:val="000000" w:themeColor="text2"/>
          <w:szCs w:val="22"/>
          <w:lang w:val="en-US"/>
        </w:rPr>
        <w:t xml:space="preserve">Transnational crime (TNC) </w:t>
      </w:r>
      <w:r>
        <w:rPr>
          <w:color w:val="000000" w:themeColor="text2"/>
          <w:szCs w:val="22"/>
          <w:lang w:val="en-US"/>
        </w:rPr>
        <w:t xml:space="preserve">continues to </w:t>
      </w:r>
      <w:r w:rsidRPr="00D04BCE">
        <w:rPr>
          <w:color w:val="000000" w:themeColor="text2"/>
          <w:szCs w:val="22"/>
          <w:lang w:val="en-US"/>
        </w:rPr>
        <w:t xml:space="preserve">generate tens of billions of dollars a year for </w:t>
      </w:r>
      <w:proofErr w:type="spellStart"/>
      <w:r w:rsidRPr="00D04BCE">
        <w:rPr>
          <w:color w:val="000000" w:themeColor="text2"/>
          <w:szCs w:val="22"/>
          <w:lang w:val="en-US"/>
        </w:rPr>
        <w:t>organised</w:t>
      </w:r>
      <w:proofErr w:type="spellEnd"/>
      <w:r w:rsidRPr="00D04BCE">
        <w:rPr>
          <w:color w:val="000000" w:themeColor="text2"/>
          <w:szCs w:val="22"/>
          <w:lang w:val="en-US"/>
        </w:rPr>
        <w:t xml:space="preserve"> crime groups through illicit activities in the region. It is alleged that in some Mekong country contexts, TNCs' contribution to domestic economies eclipses that of </w:t>
      </w:r>
      <w:r>
        <w:rPr>
          <w:color w:val="000000" w:themeColor="text2"/>
          <w:szCs w:val="22"/>
          <w:lang w:val="en-US"/>
        </w:rPr>
        <w:t xml:space="preserve">some </w:t>
      </w:r>
      <w:r w:rsidRPr="00D04BCE">
        <w:rPr>
          <w:color w:val="000000" w:themeColor="text2"/>
          <w:szCs w:val="22"/>
          <w:lang w:val="en-US"/>
        </w:rPr>
        <w:t>formal industries’ contributions, undermining regional stability and economic development.</w:t>
      </w:r>
    </w:p>
    <w:p w14:paraId="44EE0E2B" w14:textId="77777777" w:rsidR="00BF55AF" w:rsidRPr="00D04BCE" w:rsidRDefault="00BF55AF" w:rsidP="00BF55AF">
      <w:pPr>
        <w:spacing w:before="0" w:after="160" w:line="259" w:lineRule="auto"/>
        <w:rPr>
          <w:color w:val="000000" w:themeColor="text2"/>
          <w:szCs w:val="22"/>
        </w:rPr>
      </w:pPr>
      <w:r>
        <w:rPr>
          <w:color w:val="000000" w:themeColor="text2"/>
          <w:szCs w:val="22"/>
          <w:lang w:val="en-US"/>
        </w:rPr>
        <w:t>All countries in the Mekong continued to grapple with the growing impacts of climate change and deforestation, including increased extreme weather events and threatening critical ecosystems and protected areas.</w:t>
      </w:r>
    </w:p>
    <w:p w14:paraId="7BA2729E" w14:textId="77777777" w:rsidR="00BF55AF" w:rsidRPr="006B5F27" w:rsidRDefault="00BF55AF" w:rsidP="00BF55AF">
      <w:pPr>
        <w:pStyle w:val="Heading2"/>
        <w:spacing w:before="160"/>
        <w:ind w:left="0" w:firstLine="0"/>
      </w:pPr>
      <w:bookmarkStart w:id="9" w:name="_Toc210034387"/>
      <w:r w:rsidRPr="006B5F27">
        <w:t>Purpose of this Annual Report</w:t>
      </w:r>
      <w:bookmarkEnd w:id="9"/>
    </w:p>
    <w:p w14:paraId="2213FFED" w14:textId="77777777" w:rsidR="00BF55AF" w:rsidRPr="00D04BCE" w:rsidRDefault="00BF55AF" w:rsidP="00BF55AF">
      <w:pPr>
        <w:ind w:right="48"/>
        <w:rPr>
          <w:color w:val="000000" w:themeColor="text1"/>
          <w:szCs w:val="22"/>
        </w:rPr>
      </w:pPr>
      <w:r w:rsidRPr="00D04BCE">
        <w:rPr>
          <w:color w:val="000000" w:themeColor="text2"/>
          <w:szCs w:val="22"/>
        </w:rPr>
        <w:t xml:space="preserve">This 2024 Annual Report presents the progress of the MAP Portfolio and its five themes from January to December 2024. Results and progress are assessed exclusively based on available activity and completion reports and the results of the DFAT Investment Monitoring Report process. </w:t>
      </w:r>
    </w:p>
    <w:p w14:paraId="75FE2A19" w14:textId="24FE3F6A" w:rsidR="00E67F5F" w:rsidRPr="00E67F5F" w:rsidRDefault="00BF55AF" w:rsidP="00BF55AF">
      <w:pPr>
        <w:ind w:right="48"/>
        <w:rPr>
          <w:color w:val="000000" w:themeColor="text1"/>
          <w:szCs w:val="22"/>
        </w:rPr>
      </w:pPr>
      <w:r w:rsidRPr="00D04BCE">
        <w:rPr>
          <w:color w:val="000000" w:themeColor="text2"/>
          <w:szCs w:val="22"/>
        </w:rPr>
        <w:t xml:space="preserve">The report is structured into five parts. This section (Section 2) provides an introduction and overview of the MAP themes and the investments the portfolio is funding. Section 3 describes the overall progress of each </w:t>
      </w:r>
      <w:r>
        <w:rPr>
          <w:color w:val="000000" w:themeColor="text2"/>
          <w:szCs w:val="22"/>
        </w:rPr>
        <w:t>end-of-program outcome area</w:t>
      </w:r>
      <w:r w:rsidRPr="00D04BCE">
        <w:rPr>
          <w:color w:val="000000" w:themeColor="text2"/>
          <w:szCs w:val="22"/>
        </w:rPr>
        <w:t xml:space="preserve">, while Section 4 summarises the progress for each thematic area. Finally, </w:t>
      </w:r>
      <w:r>
        <w:rPr>
          <w:color w:val="000000" w:themeColor="text2"/>
          <w:szCs w:val="22"/>
        </w:rPr>
        <w:t>S</w:t>
      </w:r>
      <w:r w:rsidRPr="00D04BCE">
        <w:rPr>
          <w:color w:val="000000" w:themeColor="text2"/>
          <w:szCs w:val="22"/>
        </w:rPr>
        <w:t xml:space="preserve">ection 5 concludes with lessons learned and recommendations.  </w:t>
      </w:r>
    </w:p>
    <w:p w14:paraId="3B036B93" w14:textId="77777777" w:rsidR="00BF55AF" w:rsidRPr="006B5F27" w:rsidRDefault="00BF55AF" w:rsidP="00BF55AF">
      <w:pPr>
        <w:pStyle w:val="Heading2"/>
        <w:spacing w:before="0"/>
        <w:ind w:left="0" w:firstLine="0"/>
      </w:pPr>
      <w:bookmarkStart w:id="10" w:name="_Toc210034388"/>
      <w:r w:rsidRPr="006B5F27">
        <w:t xml:space="preserve">MAP </w:t>
      </w:r>
      <w:r>
        <w:t>Goal and Outcomes</w:t>
      </w:r>
      <w:bookmarkEnd w:id="10"/>
    </w:p>
    <w:p w14:paraId="0D42C0D8" w14:textId="77777777" w:rsidR="00BF55AF" w:rsidRPr="00D04BCE" w:rsidRDefault="00BF55AF" w:rsidP="00BF55AF">
      <w:pPr>
        <w:rPr>
          <w:szCs w:val="22"/>
        </w:rPr>
      </w:pPr>
      <w:r w:rsidRPr="00D04BCE">
        <w:rPr>
          <w:szCs w:val="22"/>
        </w:rPr>
        <w:t>The objective of MAP Phase 2 is that ‘</w:t>
      </w:r>
      <w:r w:rsidRPr="00D04BCE">
        <w:rPr>
          <w:b/>
          <w:bCs/>
          <w:i/>
          <w:iCs/>
          <w:szCs w:val="22"/>
        </w:rPr>
        <w:t>The Mekong subregion is more resilient and inclusive and pursues joint solutions to shared and transboundary challenges</w:t>
      </w:r>
      <w:r w:rsidRPr="00D04BCE">
        <w:rPr>
          <w:szCs w:val="22"/>
        </w:rPr>
        <w:t>.’</w:t>
      </w:r>
      <w:r>
        <w:rPr>
          <w:szCs w:val="22"/>
        </w:rPr>
        <w:t xml:space="preserve">. </w:t>
      </w:r>
      <w:r w:rsidRPr="00D04BCE">
        <w:rPr>
          <w:szCs w:val="22"/>
        </w:rPr>
        <w:t xml:space="preserve">This objective defines Australia’s shared vision for the Mekong subregion to be resilient </w:t>
      </w:r>
      <w:r>
        <w:rPr>
          <w:szCs w:val="22"/>
        </w:rPr>
        <w:t>in the face of</w:t>
      </w:r>
      <w:r w:rsidRPr="00D04BCE">
        <w:rPr>
          <w:szCs w:val="22"/>
        </w:rPr>
        <w:t xml:space="preserve"> existing and emerging global, regional, and national challenges and inclusive of all its citizens. </w:t>
      </w:r>
    </w:p>
    <w:p w14:paraId="54ECDB29" w14:textId="77777777" w:rsidR="00BF55AF" w:rsidRPr="00D04BCE" w:rsidRDefault="00BF55AF" w:rsidP="00BF55AF">
      <w:pPr>
        <w:rPr>
          <w:szCs w:val="22"/>
          <w:lang w:bidi="th-TH"/>
        </w:rPr>
      </w:pPr>
      <w:r w:rsidRPr="00D04BCE">
        <w:rPr>
          <w:szCs w:val="22"/>
        </w:rPr>
        <w:t>The purpose of MAP Phase 2 is to reinforce that ‘</w:t>
      </w:r>
      <w:r w:rsidRPr="00D04BCE">
        <w:rPr>
          <w:b/>
          <w:bCs/>
          <w:i/>
          <w:iCs/>
          <w:szCs w:val="22"/>
        </w:rPr>
        <w:t xml:space="preserve">Australia is a trusted and </w:t>
      </w:r>
      <w:r>
        <w:rPr>
          <w:b/>
          <w:bCs/>
          <w:i/>
          <w:iCs/>
          <w:szCs w:val="22"/>
        </w:rPr>
        <w:t>reliable</w:t>
      </w:r>
      <w:r w:rsidRPr="00D04BCE">
        <w:rPr>
          <w:b/>
          <w:bCs/>
          <w:i/>
          <w:iCs/>
          <w:szCs w:val="22"/>
        </w:rPr>
        <w:t xml:space="preserve"> partner in supporting a resilient, inclusive and sustainable Mekong subregion</w:t>
      </w:r>
      <w:r w:rsidRPr="00D04BCE">
        <w:rPr>
          <w:szCs w:val="22"/>
        </w:rPr>
        <w:t xml:space="preserve">.’ </w:t>
      </w:r>
      <w:r>
        <w:rPr>
          <w:szCs w:val="22"/>
        </w:rPr>
        <w:t xml:space="preserve">MAP is a flexible </w:t>
      </w:r>
      <w:r>
        <w:rPr>
          <w:szCs w:val="22"/>
        </w:rPr>
        <w:lastRenderedPageBreak/>
        <w:t xml:space="preserve">program that responds to partners needs and priorities. </w:t>
      </w:r>
      <w:r w:rsidRPr="00D04BCE">
        <w:rPr>
          <w:szCs w:val="22"/>
        </w:rPr>
        <w:t>It also recognises the benefits of a partnership-based approach where sustained commitment, cooperation and coordination among countries are guided by principles of equity, solidarity and shared responsibility. By working together to address common challenges and leverage collective strengths, Australia will contribute to a more peaceful, stable and prosperous Mekong subregion.</w:t>
      </w:r>
    </w:p>
    <w:p w14:paraId="1DA092AE" w14:textId="77777777" w:rsidR="00BF55AF" w:rsidRPr="00D04BCE" w:rsidRDefault="00BF55AF" w:rsidP="00BF55AF">
      <w:pPr>
        <w:ind w:right="48"/>
        <w:rPr>
          <w:szCs w:val="22"/>
        </w:rPr>
        <w:sectPr w:rsidR="00BF55AF" w:rsidRPr="00D04BCE" w:rsidSect="00BF55AF">
          <w:headerReference w:type="default" r:id="rId17"/>
          <w:type w:val="continuous"/>
          <w:pgSz w:w="11906" w:h="16838"/>
          <w:pgMar w:top="1985" w:right="1418" w:bottom="1985" w:left="1418" w:header="567" w:footer="1418" w:gutter="0"/>
          <w:cols w:space="154"/>
          <w:titlePg/>
          <w:docGrid w:linePitch="272"/>
        </w:sectPr>
      </w:pPr>
      <w:r w:rsidRPr="00D04BCE">
        <w:rPr>
          <w:szCs w:val="22"/>
        </w:rPr>
        <w:t>Each of MAP’s thematic areas has a set of intermediate outcomes aligned with MAP’s five end</w:t>
      </w:r>
      <w:r>
        <w:rPr>
          <w:szCs w:val="22"/>
        </w:rPr>
        <w:noBreakHyphen/>
      </w:r>
      <w:r w:rsidRPr="00D04BCE">
        <w:rPr>
          <w:szCs w:val="22"/>
        </w:rPr>
        <w:t>of</w:t>
      </w:r>
      <w:r>
        <w:rPr>
          <w:szCs w:val="22"/>
        </w:rPr>
        <w:noBreakHyphen/>
      </w:r>
      <w:r w:rsidRPr="00D04BCE">
        <w:rPr>
          <w:szCs w:val="22"/>
        </w:rPr>
        <w:t>investment outcomes.  Underneath these, MAP also has portfolio immediate outcomes focusing on networks and coalitions, leadership and capacity building, knowledge and evidence building, partnerships, and meaningful participation of women and marginalised groups</w:t>
      </w:r>
      <w:r w:rsidRPr="00D04BCE">
        <w:rPr>
          <w:rStyle w:val="FootnoteReference"/>
          <w:szCs w:val="22"/>
        </w:rPr>
        <w:footnoteReference w:id="7"/>
      </w:r>
      <w:r w:rsidRPr="00D04BCE">
        <w:rPr>
          <w:szCs w:val="22"/>
        </w:rPr>
        <w:t xml:space="preserve">.  See Figure 1 below for more details. </w:t>
      </w:r>
    </w:p>
    <w:p w14:paraId="755DE8B4" w14:textId="16CD264B" w:rsidR="00294A78" w:rsidRPr="00294A78" w:rsidRDefault="00294A78" w:rsidP="00011523">
      <w:pPr>
        <w:rPr>
          <w:rFonts w:cstheme="minorHAnsi"/>
          <w:color w:val="auto"/>
          <w:szCs w:val="22"/>
        </w:rPr>
        <w:sectPr w:rsidR="00294A78" w:rsidRPr="00294A78" w:rsidSect="00973522">
          <w:headerReference w:type="default" r:id="rId18"/>
          <w:type w:val="continuous"/>
          <w:pgSz w:w="11906" w:h="16838"/>
          <w:pgMar w:top="1985" w:right="1133" w:bottom="1985" w:left="1418" w:header="567" w:footer="1418" w:gutter="0"/>
          <w:cols w:space="154"/>
          <w:titlePg/>
          <w:docGrid w:linePitch="272"/>
        </w:sectPr>
      </w:pPr>
    </w:p>
    <w:p w14:paraId="49F56B60" w14:textId="156CCB24" w:rsidR="00126448" w:rsidRPr="00294A78" w:rsidRDefault="007461C4" w:rsidP="00BB4B7E">
      <w:pPr>
        <w:rPr>
          <w:szCs w:val="22"/>
        </w:rPr>
      </w:pPr>
      <w:r w:rsidRPr="00294A78">
        <w:rPr>
          <w:b/>
          <w:bCs/>
          <w:szCs w:val="22"/>
        </w:rPr>
        <w:lastRenderedPageBreak/>
        <w:t>F</w:t>
      </w:r>
      <w:r w:rsidR="00C04C5E" w:rsidRPr="00294A78">
        <w:rPr>
          <w:b/>
          <w:bCs/>
          <w:szCs w:val="22"/>
        </w:rPr>
        <w:t xml:space="preserve">igure </w:t>
      </w:r>
      <w:r w:rsidR="00C04C5E" w:rsidRPr="00294A78">
        <w:rPr>
          <w:b/>
          <w:bCs/>
          <w:szCs w:val="22"/>
        </w:rPr>
        <w:fldChar w:fldCharType="begin"/>
      </w:r>
      <w:r w:rsidR="00C04C5E" w:rsidRPr="00294A78">
        <w:rPr>
          <w:b/>
          <w:bCs/>
          <w:szCs w:val="22"/>
        </w:rPr>
        <w:instrText xml:space="preserve"> SEQ Figure \* ARABIC </w:instrText>
      </w:r>
      <w:r w:rsidR="00C04C5E" w:rsidRPr="00294A78">
        <w:rPr>
          <w:b/>
          <w:bCs/>
          <w:szCs w:val="22"/>
        </w:rPr>
        <w:fldChar w:fldCharType="separate"/>
      </w:r>
      <w:r w:rsidR="0010536F" w:rsidRPr="00294A78">
        <w:rPr>
          <w:b/>
          <w:bCs/>
          <w:szCs w:val="22"/>
        </w:rPr>
        <w:t>1</w:t>
      </w:r>
      <w:r w:rsidR="00C04C5E" w:rsidRPr="00294A78">
        <w:rPr>
          <w:b/>
          <w:bCs/>
          <w:szCs w:val="22"/>
        </w:rPr>
        <w:fldChar w:fldCharType="end"/>
      </w:r>
      <w:r w:rsidR="00C04C5E" w:rsidRPr="00294A78">
        <w:rPr>
          <w:b/>
          <w:bCs/>
          <w:szCs w:val="22"/>
        </w:rPr>
        <w:t xml:space="preserve">: </w:t>
      </w:r>
      <w:r w:rsidR="00BF55AF" w:rsidRPr="00461196">
        <w:rPr>
          <w:color w:val="000000" w:themeColor="text1"/>
        </w:rPr>
        <w:t xml:space="preserve">MAP EOPOs, </w:t>
      </w:r>
      <w:r w:rsidR="00BF55AF">
        <w:rPr>
          <w:color w:val="000000" w:themeColor="text1"/>
        </w:rPr>
        <w:t>Thematic Intermediate Outcomes, and Immediate Outcomes</w:t>
      </w:r>
    </w:p>
    <w:p w14:paraId="45F22B4E" w14:textId="031E2DBC" w:rsidR="00A035AD" w:rsidRPr="00294A78" w:rsidRDefault="00BF55AF" w:rsidP="00011523">
      <w:pPr>
        <w:rPr>
          <w:szCs w:val="22"/>
        </w:rPr>
        <w:sectPr w:rsidR="00A035AD" w:rsidRPr="00294A78" w:rsidSect="00126448">
          <w:headerReference w:type="first" r:id="rId19"/>
          <w:pgSz w:w="16838" w:h="11906" w:orient="landscape"/>
          <w:pgMar w:top="1418" w:right="1418" w:bottom="1418" w:left="1418" w:header="567" w:footer="1418" w:gutter="0"/>
          <w:cols w:space="154"/>
          <w:titlePg/>
          <w:docGrid w:linePitch="272"/>
        </w:sectPr>
      </w:pPr>
      <w:r>
        <w:rPr>
          <w:noProof/>
        </w:rPr>
        <w:drawing>
          <wp:inline distT="0" distB="0" distL="0" distR="0" wp14:anchorId="05A432C3" wp14:editId="09336779">
            <wp:extent cx="8600706" cy="4962927"/>
            <wp:effectExtent l="0" t="0" r="0" b="9525"/>
            <wp:docPr id="2457064" name="Picture 1" descr="Table displaying MAP EOPOs, Thematic Intermediate Outcomes, and Immediate Outcomes. Full text available in Appendix 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064" name="Picture 1" descr="Table displaying MAP EOPOs, Thematic Intermediate Outcomes, and Immediate Outcomes. Full text available in Appendix A">
                      <a:extLst>
                        <a:ext uri="{C183D7F6-B498-43B3-948B-1728B52AA6E4}">
                          <adec:decorative xmlns:adec="http://schemas.microsoft.com/office/drawing/2017/decorative" val="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7856" cy="5001675"/>
                    </a:xfrm>
                    <a:prstGeom prst="rect">
                      <a:avLst/>
                    </a:prstGeom>
                    <a:noFill/>
                  </pic:spPr>
                </pic:pic>
              </a:graphicData>
            </a:graphic>
          </wp:inline>
        </w:drawing>
      </w:r>
      <w:bookmarkStart w:id="11" w:name="_Toc138797348"/>
    </w:p>
    <w:p w14:paraId="03778916" w14:textId="7F1D1799" w:rsidR="00653142" w:rsidRPr="00294A78" w:rsidRDefault="00653142" w:rsidP="00907B25">
      <w:pPr>
        <w:pStyle w:val="Heading1"/>
        <w:ind w:left="431" w:hanging="431"/>
      </w:pPr>
      <w:bookmarkStart w:id="12" w:name="_Toc210034389"/>
      <w:r w:rsidRPr="00294A78">
        <w:lastRenderedPageBreak/>
        <w:t xml:space="preserve">Overview of MAP </w:t>
      </w:r>
      <w:r w:rsidR="00BF55AF">
        <w:t>Thematic Areas</w:t>
      </w:r>
      <w:bookmarkEnd w:id="12"/>
    </w:p>
    <w:p w14:paraId="13F74B78" w14:textId="77777777" w:rsidR="00653142" w:rsidRPr="00294A78" w:rsidRDefault="00653142" w:rsidP="00011523">
      <w:pPr>
        <w:rPr>
          <w:rFonts w:cstheme="minorHAnsi"/>
          <w:color w:val="auto"/>
          <w:szCs w:val="22"/>
        </w:rPr>
      </w:pPr>
      <w:r w:rsidRPr="00294A78">
        <w:rPr>
          <w:rFonts w:cstheme="minorHAnsi"/>
          <w:color w:val="auto"/>
          <w:szCs w:val="22"/>
        </w:rPr>
        <w:t>An overview of MAP’s five Pillars is detailed in Table 1 below.</w:t>
      </w:r>
    </w:p>
    <w:p w14:paraId="273B7CB5" w14:textId="2ECDC4F3" w:rsidR="004A0FE0" w:rsidRPr="00294A78" w:rsidRDefault="004A0FE0" w:rsidP="00011523">
      <w:pPr>
        <w:rPr>
          <w:rFonts w:cstheme="minorHAnsi"/>
          <w:b/>
          <w:bCs/>
          <w:color w:val="auto"/>
          <w:szCs w:val="22"/>
        </w:rPr>
      </w:pPr>
      <w:r w:rsidRPr="00294A78">
        <w:rPr>
          <w:rFonts w:cstheme="minorHAnsi"/>
          <w:b/>
          <w:bCs/>
          <w:color w:val="auto"/>
          <w:szCs w:val="22"/>
        </w:rPr>
        <w:t xml:space="preserve">Table </w:t>
      </w:r>
      <w:r w:rsidRPr="00294A78">
        <w:rPr>
          <w:rFonts w:cstheme="minorHAnsi"/>
          <w:b/>
          <w:bCs/>
          <w:color w:val="auto"/>
          <w:szCs w:val="22"/>
        </w:rPr>
        <w:fldChar w:fldCharType="begin"/>
      </w:r>
      <w:r w:rsidRPr="00294A78">
        <w:rPr>
          <w:rFonts w:cstheme="minorHAnsi"/>
          <w:b/>
          <w:bCs/>
          <w:color w:val="auto"/>
          <w:szCs w:val="22"/>
        </w:rPr>
        <w:instrText xml:space="preserve"> SEQ Table \* ARABIC </w:instrText>
      </w:r>
      <w:r w:rsidRPr="00294A78">
        <w:rPr>
          <w:rFonts w:cstheme="minorHAnsi"/>
          <w:b/>
          <w:bCs/>
          <w:color w:val="auto"/>
          <w:szCs w:val="22"/>
        </w:rPr>
        <w:fldChar w:fldCharType="separate"/>
      </w:r>
      <w:r w:rsidR="0010536F" w:rsidRPr="00294A78">
        <w:rPr>
          <w:rFonts w:cstheme="minorHAnsi"/>
          <w:b/>
          <w:bCs/>
          <w:color w:val="auto"/>
          <w:szCs w:val="22"/>
        </w:rPr>
        <w:t>1</w:t>
      </w:r>
      <w:r w:rsidRPr="00294A78">
        <w:rPr>
          <w:rFonts w:cstheme="minorHAnsi"/>
          <w:b/>
          <w:bCs/>
          <w:color w:val="auto"/>
          <w:szCs w:val="22"/>
        </w:rPr>
        <w:fldChar w:fldCharType="end"/>
      </w:r>
      <w:r w:rsidRPr="00294A78">
        <w:rPr>
          <w:rFonts w:cstheme="minorHAnsi"/>
          <w:b/>
          <w:bCs/>
          <w:color w:val="auto"/>
          <w:szCs w:val="22"/>
        </w:rPr>
        <w:t xml:space="preserve">: </w:t>
      </w:r>
      <w:r w:rsidRPr="00294A78">
        <w:rPr>
          <w:rFonts w:cstheme="minorHAnsi"/>
          <w:color w:val="auto"/>
          <w:szCs w:val="22"/>
        </w:rPr>
        <w:t xml:space="preserve">Overview of MAP </w:t>
      </w:r>
      <w:r w:rsidR="00BF55AF">
        <w:rPr>
          <w:color w:val="000000" w:themeColor="text1"/>
        </w:rPr>
        <w:t>Thematic Areas</w:t>
      </w:r>
    </w:p>
    <w:tbl>
      <w:tblPr>
        <w:tblStyle w:val="TableGrid"/>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790"/>
        <w:gridCol w:w="2970"/>
        <w:gridCol w:w="2615"/>
      </w:tblGrid>
      <w:tr w:rsidR="00F764AF" w:rsidRPr="00F764AF" w14:paraId="00B23002" w14:textId="77777777" w:rsidTr="00136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5" w:type="dxa"/>
            <w:shd w:val="clear" w:color="auto" w:fill="00837C" w:themeFill="accent1"/>
          </w:tcPr>
          <w:p w14:paraId="4F7B7764" w14:textId="77777777" w:rsidR="00F764AF" w:rsidRPr="00F764AF" w:rsidRDefault="00F764AF" w:rsidP="00DB10A2">
            <w:pPr>
              <w:spacing w:after="120"/>
              <w:rPr>
                <w:color w:val="FFFFFF" w:themeColor="background1"/>
                <w:sz w:val="20"/>
              </w:rPr>
            </w:pPr>
          </w:p>
        </w:tc>
        <w:tc>
          <w:tcPr>
            <w:tcW w:w="2790" w:type="dxa"/>
            <w:shd w:val="clear" w:color="auto" w:fill="00837C" w:themeFill="accent1"/>
          </w:tcPr>
          <w:p w14:paraId="4EA01390" w14:textId="77777777" w:rsidR="00F764AF" w:rsidRPr="00F764AF" w:rsidRDefault="00F764AF" w:rsidP="00DB10A2">
            <w:pPr>
              <w:spacing w:after="120"/>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F764AF">
              <w:rPr>
                <w:color w:val="FFFFFF" w:themeColor="background1"/>
                <w:sz w:val="20"/>
              </w:rPr>
              <w:t>Overview</w:t>
            </w:r>
          </w:p>
        </w:tc>
        <w:tc>
          <w:tcPr>
            <w:tcW w:w="2970" w:type="dxa"/>
            <w:shd w:val="clear" w:color="auto" w:fill="00837C" w:themeFill="accent1"/>
          </w:tcPr>
          <w:p w14:paraId="6E1B6C27" w14:textId="77777777" w:rsidR="00F764AF" w:rsidRPr="00F764AF" w:rsidRDefault="00F764AF" w:rsidP="00DB10A2">
            <w:pPr>
              <w:spacing w:after="120"/>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F764AF">
              <w:rPr>
                <w:color w:val="FFFFFF" w:themeColor="background1"/>
                <w:sz w:val="20"/>
              </w:rPr>
              <w:t>Implementation arrangements</w:t>
            </w:r>
          </w:p>
        </w:tc>
        <w:tc>
          <w:tcPr>
            <w:tcW w:w="2615" w:type="dxa"/>
            <w:shd w:val="clear" w:color="auto" w:fill="00837C" w:themeFill="accent1"/>
          </w:tcPr>
          <w:p w14:paraId="2D110323" w14:textId="77777777" w:rsidR="00F764AF" w:rsidRPr="00F764AF" w:rsidRDefault="00F764AF" w:rsidP="00DB10A2">
            <w:pPr>
              <w:spacing w:after="120"/>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F764AF">
              <w:rPr>
                <w:color w:val="FFFFFF" w:themeColor="background1"/>
                <w:sz w:val="20"/>
              </w:rPr>
              <w:t xml:space="preserve">Types of Investments </w:t>
            </w:r>
          </w:p>
        </w:tc>
      </w:tr>
      <w:tr w:rsidR="00F764AF" w:rsidRPr="00F764AF" w14:paraId="2F110118" w14:textId="77777777" w:rsidTr="001360E3">
        <w:trPr>
          <w:cantSplit/>
          <w:trHeight w:val="300"/>
        </w:trPr>
        <w:tc>
          <w:tcPr>
            <w:cnfStyle w:val="001000000000" w:firstRow="0" w:lastRow="0" w:firstColumn="1" w:lastColumn="0" w:oddVBand="0" w:evenVBand="0" w:oddHBand="0" w:evenHBand="0" w:firstRowFirstColumn="0" w:firstRowLastColumn="0" w:lastRowFirstColumn="0" w:lastRowLastColumn="0"/>
            <w:tcW w:w="1255" w:type="dxa"/>
          </w:tcPr>
          <w:p w14:paraId="457034B6" w14:textId="39F26F0C" w:rsidR="00F764AF" w:rsidRPr="001360E3" w:rsidRDefault="00F764AF" w:rsidP="001360E3">
            <w:pPr>
              <w:jc w:val="center"/>
              <w:rPr>
                <w:sz w:val="20"/>
              </w:rPr>
            </w:pPr>
            <w:r w:rsidRPr="00F764AF">
              <w:rPr>
                <w:bCs/>
                <w:noProof/>
                <w:sz w:val="20"/>
              </w:rPr>
              <w:drawing>
                <wp:inline distT="0" distB="0" distL="0" distR="0" wp14:anchorId="0590BF0B" wp14:editId="318F0302">
                  <wp:extent cx="439007" cy="436614"/>
                  <wp:effectExtent l="0" t="0" r="0" b="1905"/>
                  <wp:docPr id="1274912031" name="Picture 3" descr="Climate Resilience thematic area icon. A green circle with a half sun and thermome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12031" name="Picture 3" descr="Climate Resilience thematic area icon. A green circle with a half sun and thermometer.">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730" cy="441311"/>
                          </a:xfrm>
                          <a:prstGeom prst="rect">
                            <a:avLst/>
                          </a:prstGeom>
                          <a:noFill/>
                        </pic:spPr>
                      </pic:pic>
                    </a:graphicData>
                  </a:graphic>
                </wp:inline>
              </w:drawing>
            </w:r>
          </w:p>
          <w:p w14:paraId="7CA3060D" w14:textId="77777777" w:rsidR="00F764AF" w:rsidRPr="00F764AF" w:rsidRDefault="00F764AF" w:rsidP="00DB10A2">
            <w:pPr>
              <w:jc w:val="center"/>
              <w:rPr>
                <w:b w:val="0"/>
                <w:sz w:val="20"/>
              </w:rPr>
            </w:pPr>
            <w:r w:rsidRPr="00F764AF">
              <w:rPr>
                <w:bCs/>
                <w:sz w:val="20"/>
              </w:rPr>
              <w:t>Thematic Area 1 – Climate Resilience</w:t>
            </w:r>
          </w:p>
          <w:p w14:paraId="152C1C0F" w14:textId="77777777" w:rsidR="00F764AF" w:rsidRPr="00F764AF" w:rsidRDefault="00F764AF" w:rsidP="00DB10A2">
            <w:pPr>
              <w:jc w:val="center"/>
              <w:rPr>
                <w:sz w:val="20"/>
              </w:rPr>
            </w:pPr>
          </w:p>
        </w:tc>
        <w:tc>
          <w:tcPr>
            <w:tcW w:w="2790" w:type="dxa"/>
          </w:tcPr>
          <w:p w14:paraId="583D1E53"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MAP Phase 2 supports Mekong subregion partners to enhance resilience and reduce vulnerabilities to the impacts of climate change, including through collaborative initiatives with local communities, governments, civil society organisations, the private sector, academia, and other stakeholders. Investments focus on community-based adaptation strategies; nature-based and nature-positive solutions; and disaster risk reduction and management practices. These are delivered through inclusive decision-making processes which consider the voices of people who may be vulnerable or marginalised such as women, persons with disabilities, and Indigenous Peoples. This approach promotes adaptation and resilience building measures that are equitable and responsive to the needs of all.</w:t>
            </w:r>
          </w:p>
        </w:tc>
        <w:tc>
          <w:tcPr>
            <w:tcW w:w="2970" w:type="dxa"/>
          </w:tcPr>
          <w:p w14:paraId="3BC13CCE"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2"/>
                <w:sz w:val="20"/>
              </w:rPr>
              <w:t>Investments under this theme are a mixture of legacy investments from the previous phase of MAP, the results from the MAP Call for Proposals process, co-funding mechanisms, and collaborative initiatives with other DFAT programs and other Australian agencies.</w:t>
            </w:r>
          </w:p>
          <w:p w14:paraId="7F467ED4"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2"/>
                <w:sz w:val="20"/>
              </w:rPr>
              <w:t xml:space="preserve">Planning and coordinated decision-making </w:t>
            </w:r>
            <w:proofErr w:type="gramStart"/>
            <w:r w:rsidRPr="00F764AF">
              <w:rPr>
                <w:color w:val="000000" w:themeColor="text2"/>
                <w:sz w:val="20"/>
              </w:rPr>
              <w:t>is</w:t>
            </w:r>
            <w:proofErr w:type="gramEnd"/>
            <w:r w:rsidRPr="00F764AF">
              <w:rPr>
                <w:color w:val="000000" w:themeColor="text2"/>
                <w:sz w:val="20"/>
              </w:rPr>
              <w:t xml:space="preserve"> guided by a thematic strategy and is undertaken through the Climate Resilience and Water Security Thematic Working Group. Given the interconnection between climate resilience and water security, it was decided that both MAP themes would be coordinated under one working group and one thematic lead based at the Mekong Hub. </w:t>
            </w:r>
          </w:p>
          <w:p w14:paraId="4E7C7C9B"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2"/>
                <w:sz w:val="20"/>
              </w:rPr>
            </w:pPr>
            <w:r w:rsidRPr="00F764AF">
              <w:rPr>
                <w:color w:val="000000" w:themeColor="text2"/>
                <w:sz w:val="20"/>
              </w:rPr>
              <w:t>The Working Group is composed of representatives from posts and Canberra, with advisers on MEL, gender, and water security and climate resilience available as support resources.</w:t>
            </w:r>
          </w:p>
          <w:p w14:paraId="18C52E3D"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2"/>
                <w:sz w:val="20"/>
              </w:rPr>
              <w:t>The investments are delivered by a range of partners that include civil society organisations, universities, research institutes, and multilateral organisations.</w:t>
            </w:r>
          </w:p>
        </w:tc>
        <w:tc>
          <w:tcPr>
            <w:tcW w:w="2615" w:type="dxa"/>
          </w:tcPr>
          <w:p w14:paraId="5F8B8B29"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highlight w:val="yellow"/>
              </w:rPr>
            </w:pPr>
            <w:r w:rsidRPr="00F764AF">
              <w:rPr>
                <w:color w:val="000000" w:themeColor="text1"/>
                <w:sz w:val="20"/>
              </w:rPr>
              <w:t xml:space="preserve">A total of ten investments were implemented during this period with two country-focused investments (one each for Thailand and Vietnam). </w:t>
            </w:r>
            <w:r w:rsidRPr="00F764AF">
              <w:rPr>
                <w:noProof/>
                <w:sz w:val="20"/>
              </w:rPr>
              <w:t xml:space="preserve"> </w:t>
            </w:r>
            <w:r w:rsidRPr="00F764AF">
              <w:rPr>
                <w:noProof/>
                <w:color w:val="000000" w:themeColor="text1"/>
                <w:sz w:val="20"/>
              </w:rPr>
              <w:drawing>
                <wp:inline distT="0" distB="0" distL="0" distR="0" wp14:anchorId="4EE36C3B" wp14:editId="70D15954">
                  <wp:extent cx="1574251" cy="828675"/>
                  <wp:effectExtent l="0" t="0" r="6985" b="0"/>
                  <wp:docPr id="907008389" name="Picture 1" descr="Graph of investments by country (10% Thailand, 10% Vietnam, 80% Reg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08389" name="Picture 1" descr="Graph of investments by country (10% Thailand, 10% Vietnam, 80% Regional).">
                            <a:extLst>
                              <a:ext uri="{C183D7F6-B498-43B3-948B-1728B52AA6E4}">
                                <adec:decorative xmlns:adec="http://schemas.microsoft.com/office/drawing/2017/decorative" val="0"/>
                              </a:ext>
                            </a:extLst>
                          </pic:cNvPr>
                          <pic:cNvPicPr/>
                        </pic:nvPicPr>
                        <pic:blipFill>
                          <a:blip r:embed="rId21"/>
                          <a:stretch>
                            <a:fillRect/>
                          </a:stretch>
                        </pic:blipFill>
                        <pic:spPr>
                          <a:xfrm>
                            <a:off x="0" y="0"/>
                            <a:ext cx="1597012" cy="840656"/>
                          </a:xfrm>
                          <a:prstGeom prst="rect">
                            <a:avLst/>
                          </a:prstGeom>
                        </pic:spPr>
                      </pic:pic>
                    </a:graphicData>
                  </a:graphic>
                </wp:inline>
              </w:drawing>
            </w:r>
          </w:p>
          <w:p w14:paraId="06817277" w14:textId="376AB684" w:rsidR="00F764AF" w:rsidRPr="00F764AF" w:rsidRDefault="00F764AF" w:rsidP="0038446B">
            <w:pPr>
              <w:cnfStyle w:val="000000000000" w:firstRow="0" w:lastRow="0" w:firstColumn="0" w:lastColumn="0" w:oddVBand="0" w:evenVBand="0" w:oddHBand="0" w:evenHBand="0" w:firstRowFirstColumn="0" w:firstRowLastColumn="0" w:lastRowFirstColumn="0" w:lastRowLastColumn="0"/>
              <w:rPr>
                <w:color w:val="000000" w:themeColor="text1"/>
                <w:sz w:val="20"/>
              </w:rPr>
            </w:pPr>
            <w:bookmarkStart w:id="13" w:name="_Hlk198724438"/>
            <w:r w:rsidRPr="00F764AF">
              <w:rPr>
                <w:color w:val="000000" w:themeColor="text1"/>
                <w:sz w:val="20"/>
              </w:rPr>
              <w:t>Investments cover a range of sectors and approaches including climate-smart agriculture, resilient urban designs, climate and sustainable development research, nature-based solutions, renewable energy, and bio-circular green economy.</w:t>
            </w:r>
            <w:bookmarkEnd w:id="13"/>
          </w:p>
        </w:tc>
      </w:tr>
      <w:tr w:rsidR="00F764AF" w:rsidRPr="00F764AF" w14:paraId="3F5DD5CB" w14:textId="77777777" w:rsidTr="001360E3">
        <w:trPr>
          <w:cantSplit/>
          <w:trHeight w:val="300"/>
        </w:trPr>
        <w:tc>
          <w:tcPr>
            <w:cnfStyle w:val="001000000000" w:firstRow="0" w:lastRow="0" w:firstColumn="1" w:lastColumn="0" w:oddVBand="0" w:evenVBand="0" w:oddHBand="0" w:evenHBand="0" w:firstRowFirstColumn="0" w:firstRowLastColumn="0" w:lastRowFirstColumn="0" w:lastRowLastColumn="0"/>
            <w:tcW w:w="1255" w:type="dxa"/>
          </w:tcPr>
          <w:p w14:paraId="3A63C299" w14:textId="77777777" w:rsidR="00F764AF" w:rsidRPr="00F764AF" w:rsidRDefault="00F764AF" w:rsidP="00DB10A2">
            <w:pPr>
              <w:jc w:val="center"/>
              <w:rPr>
                <w:b w:val="0"/>
                <w:bCs/>
                <w:sz w:val="20"/>
              </w:rPr>
            </w:pPr>
            <w:r w:rsidRPr="00F764AF">
              <w:rPr>
                <w:bCs/>
                <w:noProof/>
                <w:sz w:val="20"/>
              </w:rPr>
              <w:lastRenderedPageBreak/>
              <w:drawing>
                <wp:inline distT="0" distB="0" distL="0" distR="0" wp14:anchorId="14D27062" wp14:editId="7A0D5EE2">
                  <wp:extent cx="484860" cy="484860"/>
                  <wp:effectExtent l="0" t="0" r="0" b="0"/>
                  <wp:docPr id="445307974" name="Picture 2" descr="Water Security thematic area icon. A green circle with a drop of wa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07974" name="Picture 2" descr="Water Security thematic area icon. A green circle with a drop of water.">
                            <a:extLst>
                              <a:ext uri="{C183D7F6-B498-43B3-948B-1728B52AA6E4}">
                                <adec:decorative xmlns:adec="http://schemas.microsoft.com/office/drawing/2017/decorative" val="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417" cy="490417"/>
                          </a:xfrm>
                          <a:prstGeom prst="rect">
                            <a:avLst/>
                          </a:prstGeom>
                          <a:noFill/>
                        </pic:spPr>
                      </pic:pic>
                    </a:graphicData>
                  </a:graphic>
                </wp:inline>
              </w:drawing>
            </w:r>
          </w:p>
          <w:p w14:paraId="202D28FF" w14:textId="77777777" w:rsidR="00F764AF" w:rsidRPr="00F764AF" w:rsidRDefault="00F764AF" w:rsidP="00DB10A2">
            <w:pPr>
              <w:jc w:val="center"/>
              <w:rPr>
                <w:sz w:val="20"/>
              </w:rPr>
            </w:pPr>
            <w:r w:rsidRPr="00F764AF">
              <w:rPr>
                <w:bCs/>
                <w:sz w:val="20"/>
              </w:rPr>
              <w:t>Thematic Area 2 – Water Security</w:t>
            </w:r>
          </w:p>
        </w:tc>
        <w:tc>
          <w:tcPr>
            <w:tcW w:w="2790" w:type="dxa"/>
          </w:tcPr>
          <w:p w14:paraId="7F8A8810"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2"/>
                <w:sz w:val="20"/>
              </w:rPr>
              <w:t xml:space="preserve">Through MAP support, Mekong subregion </w:t>
            </w:r>
            <w:proofErr w:type="gramStart"/>
            <w:r w:rsidRPr="00F764AF">
              <w:rPr>
                <w:color w:val="000000" w:themeColor="text2"/>
                <w:sz w:val="20"/>
              </w:rPr>
              <w:t>partners’</w:t>
            </w:r>
            <w:proofErr w:type="gramEnd"/>
            <w:r w:rsidRPr="00F764AF">
              <w:rPr>
                <w:color w:val="000000" w:themeColor="text2"/>
                <w:sz w:val="20"/>
              </w:rPr>
              <w:t xml:space="preserve"> strengthened their efforts to manage water resources in a more coordinated and sustainable way across the subregion. Local communities, governments, civil society organisations, private sector, academia, and other stakeholders are working together to implement integrated water management systems and processes, inclusive initiatives to address water pollution, better river basin management and support for sustainable livelihoods among riverine communities.  A coordinated approach will require inclusive and effective water governance structures, data sharing mechanisms, and multistakeholder collaboration to ensure that water resources are managed in a holistic and equitable manner.  </w:t>
            </w:r>
          </w:p>
        </w:tc>
        <w:tc>
          <w:tcPr>
            <w:tcW w:w="2970" w:type="dxa"/>
          </w:tcPr>
          <w:p w14:paraId="0092CE52"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lang w:val="en-US"/>
              </w:rPr>
            </w:pPr>
            <w:bookmarkStart w:id="14" w:name="_Hlk198800238"/>
            <w:r w:rsidRPr="00F764AF">
              <w:rPr>
                <w:color w:val="000000" w:themeColor="text1"/>
                <w:sz w:val="20"/>
                <w:lang w:val="en-US"/>
              </w:rPr>
              <w:t>In the Mekong subregion, Australia has been active in water and related sectors for many years due to its practical experience. This includes implementing extensive bilateral programs in Cambodia, Laos and Vietnam since the 1990s. Australia has also supported the Mekong River Commission (MRC) since its establishment in 1995.</w:t>
            </w:r>
          </w:p>
          <w:p w14:paraId="1B01C0AF"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lang w:val="en-US"/>
              </w:rPr>
            </w:pPr>
            <w:proofErr w:type="gramStart"/>
            <w:r w:rsidRPr="00F764AF">
              <w:rPr>
                <w:color w:val="000000" w:themeColor="text2"/>
                <w:sz w:val="20"/>
                <w:lang w:val="en-US"/>
              </w:rPr>
              <w:t>A number of</w:t>
            </w:r>
            <w:proofErr w:type="gramEnd"/>
            <w:r w:rsidRPr="00F764AF">
              <w:rPr>
                <w:color w:val="000000" w:themeColor="text2"/>
                <w:sz w:val="20"/>
                <w:lang w:val="en-US"/>
              </w:rPr>
              <w:t xml:space="preserve"> prior collaborations and investments from Australia’s wider development portfolio were folded into MAP when it was established. This thematic area is guided by the Climate Resilience and Water Security Working Group with approval by the MAP Steering Committee.</w:t>
            </w:r>
          </w:p>
          <w:bookmarkEnd w:id="14"/>
          <w:p w14:paraId="2D49C973"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2"/>
                <w:sz w:val="20"/>
                <w:lang w:val="en-US"/>
              </w:rPr>
              <w:t xml:space="preserve">Delivery varies significantly, depending on the type of investment. For example, Australia provides core funding support for the MRC to implement its 2021-2025 Strategic Plan, while at the same time contracting private sector capacity to provide additional support via the Australian Water Partnership (AWP).  MAP works with ACIAR to enable Charles Sturt University’s cutting-edge research and application on fish passageways. MAP also works with civil society </w:t>
            </w:r>
            <w:proofErr w:type="spellStart"/>
            <w:r w:rsidRPr="00F764AF">
              <w:rPr>
                <w:color w:val="000000" w:themeColor="text2"/>
                <w:sz w:val="20"/>
                <w:lang w:val="en-US"/>
              </w:rPr>
              <w:t>organisations</w:t>
            </w:r>
            <w:proofErr w:type="spellEnd"/>
            <w:r w:rsidRPr="00F764AF">
              <w:rPr>
                <w:color w:val="000000" w:themeColor="text2"/>
                <w:sz w:val="20"/>
                <w:lang w:val="en-US"/>
              </w:rPr>
              <w:t xml:space="preserve"> through Oxfam to make water governance in the Mekong subregion more transparent, accountable and inclusive of women, persons with disability, and other </w:t>
            </w:r>
            <w:proofErr w:type="spellStart"/>
            <w:r w:rsidRPr="00F764AF">
              <w:rPr>
                <w:color w:val="000000" w:themeColor="text2"/>
                <w:sz w:val="20"/>
                <w:lang w:val="en-US"/>
              </w:rPr>
              <w:t>marginalised</w:t>
            </w:r>
            <w:proofErr w:type="spellEnd"/>
            <w:r w:rsidRPr="00F764AF">
              <w:rPr>
                <w:color w:val="000000" w:themeColor="text2"/>
                <w:sz w:val="20"/>
                <w:lang w:val="en-US"/>
              </w:rPr>
              <w:t xml:space="preserve"> groups.</w:t>
            </w:r>
          </w:p>
        </w:tc>
        <w:tc>
          <w:tcPr>
            <w:tcW w:w="2615" w:type="dxa"/>
          </w:tcPr>
          <w:p w14:paraId="02C217E3"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 xml:space="preserve">Most of the investments under this thematic area are multi-country or subregional in nature, except for an action research project that focuses on the Xayaburi and Luang Prabang dams in Laos. </w:t>
            </w:r>
          </w:p>
          <w:p w14:paraId="6B1B05CA"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noProof/>
                <w:color w:val="000000" w:themeColor="text1"/>
                <w:sz w:val="20"/>
              </w:rPr>
              <w:drawing>
                <wp:inline distT="0" distB="0" distL="0" distR="0" wp14:anchorId="49D580FD" wp14:editId="43FE8384">
                  <wp:extent cx="1552575" cy="973434"/>
                  <wp:effectExtent l="0" t="0" r="0" b="0"/>
                  <wp:docPr id="1822485953" name="Picture 1" descr="Chart displaying percentage of investments by region (10% Laos, 90% Reg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85953" name="Picture 1" descr="Chart displaying percentage of investments by region (10% Laos, 90% Regional).">
                            <a:extLst>
                              <a:ext uri="{C183D7F6-B498-43B3-948B-1728B52AA6E4}">
                                <adec:decorative xmlns:adec="http://schemas.microsoft.com/office/drawing/2017/decorative" val="0"/>
                              </a:ext>
                            </a:extLst>
                          </pic:cNvPr>
                          <pic:cNvPicPr/>
                        </pic:nvPicPr>
                        <pic:blipFill>
                          <a:blip r:embed="rId22"/>
                          <a:stretch>
                            <a:fillRect/>
                          </a:stretch>
                        </pic:blipFill>
                        <pic:spPr>
                          <a:xfrm>
                            <a:off x="0" y="0"/>
                            <a:ext cx="1586690" cy="994823"/>
                          </a:xfrm>
                          <a:prstGeom prst="rect">
                            <a:avLst/>
                          </a:prstGeom>
                        </pic:spPr>
                      </pic:pic>
                    </a:graphicData>
                  </a:graphic>
                </wp:inline>
              </w:drawing>
            </w:r>
          </w:p>
          <w:p w14:paraId="06B9FFED"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Activities include the following:</w:t>
            </w:r>
          </w:p>
          <w:p w14:paraId="289BD854" w14:textId="77777777" w:rsidR="00F764AF" w:rsidRPr="00F764AF" w:rsidRDefault="00F764AF" w:rsidP="00DB10A2">
            <w:pPr>
              <w:spacing w:line="252"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 xml:space="preserve">- Support to regional architecture such as the MRC </w:t>
            </w:r>
          </w:p>
          <w:p w14:paraId="7DC6CEF3" w14:textId="77777777" w:rsidR="00F764AF" w:rsidRPr="00F764AF" w:rsidRDefault="00F764AF" w:rsidP="00DB10A2">
            <w:pPr>
              <w:spacing w:line="252"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 Implementation of innovative approaches in water management, including fish passes that mitigate the negative impacts of river development on fisheries</w:t>
            </w:r>
          </w:p>
          <w:p w14:paraId="4EFE4892" w14:textId="77777777" w:rsidR="00F764AF" w:rsidRPr="00F764AF" w:rsidRDefault="00F764AF" w:rsidP="00DB10A2">
            <w:pPr>
              <w:spacing w:line="252"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-Encouraging creative solutions to solve plastic pollution</w:t>
            </w:r>
          </w:p>
          <w:p w14:paraId="0C32F277" w14:textId="77777777" w:rsidR="00F764AF" w:rsidRPr="00F764AF" w:rsidRDefault="00F764AF" w:rsidP="00DB10A2">
            <w:pPr>
              <w:spacing w:line="252"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 Strengthening the involvement of civil society and other actors, especially those representing marginalised groups, in water management.</w:t>
            </w:r>
          </w:p>
          <w:p w14:paraId="198C8883" w14:textId="77777777" w:rsidR="00F764AF" w:rsidRPr="00F764AF" w:rsidRDefault="00F764AF" w:rsidP="00DB10A2">
            <w:pPr>
              <w:spacing w:line="252"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 using water management as a catalyst to promote urban climate resilience.</w:t>
            </w:r>
          </w:p>
        </w:tc>
      </w:tr>
      <w:tr w:rsidR="00F764AF" w:rsidRPr="00F764AF" w14:paraId="278CB6CE" w14:textId="77777777" w:rsidTr="001360E3">
        <w:trPr>
          <w:cantSplit/>
          <w:trHeight w:val="300"/>
        </w:trPr>
        <w:tc>
          <w:tcPr>
            <w:cnfStyle w:val="001000000000" w:firstRow="0" w:lastRow="0" w:firstColumn="1" w:lastColumn="0" w:oddVBand="0" w:evenVBand="0" w:oddHBand="0" w:evenHBand="0" w:firstRowFirstColumn="0" w:firstRowLastColumn="0" w:lastRowFirstColumn="0" w:lastRowLastColumn="0"/>
            <w:tcW w:w="1255" w:type="dxa"/>
          </w:tcPr>
          <w:p w14:paraId="0DDF9C2C" w14:textId="77777777" w:rsidR="00F764AF" w:rsidRPr="00F764AF" w:rsidRDefault="00F764AF" w:rsidP="00DB10A2">
            <w:pPr>
              <w:jc w:val="center"/>
              <w:rPr>
                <w:bCs/>
                <w:sz w:val="20"/>
              </w:rPr>
            </w:pPr>
            <w:r w:rsidRPr="00F764AF">
              <w:rPr>
                <w:bCs/>
                <w:noProof/>
                <w:sz w:val="20"/>
              </w:rPr>
              <w:lastRenderedPageBreak/>
              <w:drawing>
                <wp:inline distT="0" distB="0" distL="0" distR="0" wp14:anchorId="20994CCD" wp14:editId="55408742">
                  <wp:extent cx="489777" cy="489777"/>
                  <wp:effectExtent l="0" t="0" r="5715" b="5715"/>
                  <wp:docPr id="330107159" name="Picture 4" descr="GEDSI Thematic Area Icon. A green circle with hands coming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07159" name="Picture 4" descr="GEDSI Thematic Area Icon. A green circle with hands coming together.">
                            <a:extLst>
                              <a:ext uri="{C183D7F6-B498-43B3-948B-1728B52AA6E4}">
                                <adec:decorative xmlns:adec="http://schemas.microsoft.com/office/drawing/2017/decorative" val="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97477" cy="497477"/>
                          </a:xfrm>
                          <a:prstGeom prst="rect">
                            <a:avLst/>
                          </a:prstGeom>
                          <a:noFill/>
                        </pic:spPr>
                      </pic:pic>
                    </a:graphicData>
                  </a:graphic>
                </wp:inline>
              </w:drawing>
            </w:r>
          </w:p>
          <w:p w14:paraId="56770C24" w14:textId="77777777" w:rsidR="00F764AF" w:rsidRPr="00F764AF" w:rsidRDefault="00F764AF" w:rsidP="00DB10A2">
            <w:pPr>
              <w:jc w:val="center"/>
              <w:rPr>
                <w:sz w:val="20"/>
              </w:rPr>
            </w:pPr>
            <w:r w:rsidRPr="00F764AF">
              <w:rPr>
                <w:bCs/>
                <w:sz w:val="20"/>
              </w:rPr>
              <w:t>Thematic Area 3 – Gender Equality, Disability, and Social Inclusion</w:t>
            </w:r>
          </w:p>
        </w:tc>
        <w:tc>
          <w:tcPr>
            <w:tcW w:w="2790" w:type="dxa"/>
          </w:tcPr>
          <w:p w14:paraId="301997D9"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Mekong subregion partners are supported to help enable greater equality and social inclusion by increasing leadership and economic opportunities for women, people with disabilities and other marginalised groups. Under this thematic area, MAP supports partners in facilitating diverse representation in public dialogue and decision-making, strengthening evidence for and participation in inclusive policy, developing organisational capacity for inclusive policy and practice aligned with gender equality and inclusion principles.</w:t>
            </w:r>
          </w:p>
        </w:tc>
        <w:tc>
          <w:tcPr>
            <w:tcW w:w="2970" w:type="dxa"/>
          </w:tcPr>
          <w:p w14:paraId="60E32058"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F764AF">
              <w:rPr>
                <w:color w:val="000000" w:themeColor="text2"/>
                <w:sz w:val="20"/>
              </w:rPr>
              <w:t>GEDSI is a new standalone thematic area in Phase 2 and will now be mainstreamed in MAP investments.</w:t>
            </w:r>
          </w:p>
          <w:p w14:paraId="045CB8DF"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F764AF">
              <w:rPr>
                <w:bCs/>
                <w:color w:val="000000" w:themeColor="text1"/>
                <w:sz w:val="20"/>
              </w:rPr>
              <w:t xml:space="preserve">The GEDSI Thematic Working Group coordinates decision-making priorities under this </w:t>
            </w:r>
            <w:r w:rsidRPr="00F764AF">
              <w:rPr>
                <w:color w:val="000000" w:themeColor="text1"/>
                <w:sz w:val="20"/>
              </w:rPr>
              <w:t>theme.</w:t>
            </w:r>
            <w:r w:rsidRPr="00F764AF">
              <w:rPr>
                <w:bCs/>
                <w:color w:val="000000" w:themeColor="text1"/>
                <w:sz w:val="20"/>
              </w:rPr>
              <w:t xml:space="preserve">  </w:t>
            </w:r>
          </w:p>
          <w:p w14:paraId="742D01E0"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F764AF">
              <w:rPr>
                <w:color w:val="000000" w:themeColor="text2"/>
                <w:sz w:val="20"/>
              </w:rPr>
              <w:t>Two investments are currently being funded. UN Women implements the WE RISE Together – Advancing Gender-Responsive Procurement in the Mekong subregion. As part of the results of the MAP Call for Proposals process, CARE was selected to implement “</w:t>
            </w:r>
            <w:proofErr w:type="spellStart"/>
            <w:r w:rsidRPr="00F764AF">
              <w:rPr>
                <w:color w:val="000000" w:themeColor="text2"/>
                <w:sz w:val="20"/>
              </w:rPr>
              <w:t>MekongElevate</w:t>
            </w:r>
            <w:proofErr w:type="spellEnd"/>
            <w:r w:rsidRPr="00F764AF">
              <w:rPr>
                <w:color w:val="000000" w:themeColor="text2"/>
                <w:sz w:val="20"/>
              </w:rPr>
              <w:t xml:space="preserve"> - Ethnic minority communities driving gender-just and socially-Just climate action in the Mekong sub-region". Both investments started negotiations in 2024 and are currently under inception phase.</w:t>
            </w:r>
          </w:p>
          <w:p w14:paraId="7DADD76C"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F764AF">
              <w:rPr>
                <w:bCs/>
                <w:color w:val="000000" w:themeColor="text1"/>
                <w:sz w:val="20"/>
              </w:rPr>
              <w:t xml:space="preserve">Investments in all thematic areas will have GEDSI outcomes. Coordination with other thematic leads will be led by the GEDSI thematic lead based at the Mekong Hub. </w:t>
            </w:r>
          </w:p>
          <w:p w14:paraId="112E3D8D"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bCs/>
                <w:color w:val="000000" w:themeColor="text1"/>
                <w:sz w:val="20"/>
              </w:rPr>
              <w:t>The results reported in this annual report are collected from investments in other thematic areas, indicating the degree by which GEDSI has been mainstreamed in other investments.</w:t>
            </w:r>
          </w:p>
        </w:tc>
        <w:tc>
          <w:tcPr>
            <w:tcW w:w="2615" w:type="dxa"/>
          </w:tcPr>
          <w:p w14:paraId="35FC12AE"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2"/>
                <w:sz w:val="20"/>
              </w:rPr>
              <w:t xml:space="preserve">As GEDSI is a new focused thematic area for MAP, there are currently two investments being funded, both of which are regional in nature and to be implemented in Cambodia, Laos, Thailand, and Vietnam.  The current situation in Myanmar makes implementation challenging for on-the-ground delivery but investments will seek opportunities to involve Myanmar especially in specific learning events. </w:t>
            </w:r>
            <w:r w:rsidRPr="00F764AF">
              <w:rPr>
                <w:noProof/>
                <w:sz w:val="20"/>
              </w:rPr>
              <w:t xml:space="preserve"> </w:t>
            </w:r>
            <w:r w:rsidRPr="00F764AF">
              <w:rPr>
                <w:noProof/>
                <w:sz w:val="20"/>
              </w:rPr>
              <w:drawing>
                <wp:inline distT="0" distB="0" distL="0" distR="0" wp14:anchorId="65A80311" wp14:editId="10BA46F3">
                  <wp:extent cx="1546225" cy="897808"/>
                  <wp:effectExtent l="0" t="0" r="0" b="0"/>
                  <wp:docPr id="1470289760" name="Picture 1" descr="Chart displaying percentage of investments by region (100% Reg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89760" name="Picture 1" descr="Chart displaying percentage of investments by region (100% Regional)">
                            <a:extLst>
                              <a:ext uri="{C183D7F6-B498-43B3-948B-1728B52AA6E4}">
                                <adec:decorative xmlns:adec="http://schemas.microsoft.com/office/drawing/2017/decorative" val="0"/>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6080" cy="903531"/>
                          </a:xfrm>
                          <a:prstGeom prst="rect">
                            <a:avLst/>
                          </a:prstGeom>
                        </pic:spPr>
                      </pic:pic>
                    </a:graphicData>
                  </a:graphic>
                </wp:inline>
              </w:drawing>
            </w:r>
          </w:p>
          <w:p w14:paraId="2265697D"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2"/>
                <w:sz w:val="20"/>
              </w:rPr>
              <w:t xml:space="preserve"> </w:t>
            </w:r>
          </w:p>
        </w:tc>
      </w:tr>
      <w:tr w:rsidR="00F764AF" w:rsidRPr="00F764AF" w14:paraId="28C5222A" w14:textId="77777777" w:rsidTr="001360E3">
        <w:trPr>
          <w:cantSplit/>
          <w:trHeight w:val="300"/>
        </w:trPr>
        <w:tc>
          <w:tcPr>
            <w:cnfStyle w:val="001000000000" w:firstRow="0" w:lastRow="0" w:firstColumn="1" w:lastColumn="0" w:oddVBand="0" w:evenVBand="0" w:oddHBand="0" w:evenHBand="0" w:firstRowFirstColumn="0" w:firstRowLastColumn="0" w:lastRowFirstColumn="0" w:lastRowLastColumn="0"/>
            <w:tcW w:w="1255" w:type="dxa"/>
          </w:tcPr>
          <w:p w14:paraId="5C4DC0DF" w14:textId="77777777" w:rsidR="00F764AF" w:rsidRPr="00F764AF" w:rsidRDefault="00F764AF" w:rsidP="00DB10A2">
            <w:pPr>
              <w:jc w:val="center"/>
              <w:rPr>
                <w:bCs/>
                <w:sz w:val="20"/>
              </w:rPr>
            </w:pPr>
            <w:r w:rsidRPr="00F764AF">
              <w:rPr>
                <w:bCs/>
                <w:noProof/>
                <w:sz w:val="20"/>
              </w:rPr>
              <w:lastRenderedPageBreak/>
              <w:drawing>
                <wp:inline distT="0" distB="0" distL="0" distR="0" wp14:anchorId="5551A16E" wp14:editId="4ADB4C97">
                  <wp:extent cx="470682" cy="468116"/>
                  <wp:effectExtent l="0" t="0" r="5715" b="8255"/>
                  <wp:docPr id="744022022" name="Picture 5" descr="Economic Resilience and Subregional Integration thematic area. A green circle with a bag of mon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22022" name="Picture 5" descr="Economic Resilience and Subregional Integration thematic area. A green circle with a bag of money.">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810" cy="477194"/>
                          </a:xfrm>
                          <a:prstGeom prst="rect">
                            <a:avLst/>
                          </a:prstGeom>
                          <a:noFill/>
                        </pic:spPr>
                      </pic:pic>
                    </a:graphicData>
                  </a:graphic>
                </wp:inline>
              </w:drawing>
            </w:r>
          </w:p>
          <w:p w14:paraId="2DED0228" w14:textId="77777777" w:rsidR="00F764AF" w:rsidRPr="00F764AF" w:rsidRDefault="00F764AF" w:rsidP="00DB10A2">
            <w:pPr>
              <w:jc w:val="center"/>
              <w:rPr>
                <w:sz w:val="20"/>
              </w:rPr>
            </w:pPr>
            <w:r w:rsidRPr="00F764AF">
              <w:rPr>
                <w:bCs/>
                <w:sz w:val="20"/>
              </w:rPr>
              <w:t>Thematic Area 4 – Economic Resilience and Subregional Integration</w:t>
            </w:r>
          </w:p>
        </w:tc>
        <w:tc>
          <w:tcPr>
            <w:tcW w:w="2790" w:type="dxa"/>
          </w:tcPr>
          <w:p w14:paraId="78787585"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With the support of MAP, Mekong subregion partners will actively work together to strengthen economic resilience and subregional integration by pursuing mutually beneficial economic initiatives, increasing economic cooperation, harmonising regulations, and leveraging collective strengths and resources to achieve equitable and inclusive economic growth.  Investments in this thematic area will support inclusive economic development, diversification, and integration of Mekong countries to enhance their resilience to external shocks and promote shared prosperity.</w:t>
            </w:r>
          </w:p>
          <w:p w14:paraId="404169F9"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tcW w:w="2970" w:type="dxa"/>
          </w:tcPr>
          <w:p w14:paraId="288B5CA3"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2"/>
                <w:sz w:val="20"/>
              </w:rPr>
              <w:t xml:space="preserve">The Economic Resilience and Subregional Integration Thematic Working Group oversees strategic direction of this thematic area.  </w:t>
            </w:r>
          </w:p>
          <w:p w14:paraId="056D9144"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 xml:space="preserve">Several of the investments that were implemented in 2024 were part of the economic resilience pillar in the previous phase of MAP.  </w:t>
            </w:r>
          </w:p>
          <w:p w14:paraId="576A8C15"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 xml:space="preserve">The activities are delivered by </w:t>
            </w:r>
            <w:bookmarkStart w:id="15" w:name="_Hlk198539609"/>
            <w:r w:rsidRPr="00F764AF">
              <w:rPr>
                <w:color w:val="000000" w:themeColor="text1"/>
                <w:sz w:val="20"/>
              </w:rPr>
              <w:t xml:space="preserve">various partners, including Australian Government agencies (e.g. Australian Securities and Investment Commission), the Asian Development Bank, the World Bank, the Mekong Institute, UN Women, and The Asia Foundation.  </w:t>
            </w:r>
            <w:bookmarkEnd w:id="15"/>
          </w:p>
        </w:tc>
        <w:tc>
          <w:tcPr>
            <w:tcW w:w="2615" w:type="dxa"/>
          </w:tcPr>
          <w:p w14:paraId="2D8CEC2E"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 xml:space="preserve">Of the 14 activities implemented in the reporting period, four activities were regional (50 per cent) and the remaining six activities were bilateral (50 per cent) as shown in the diagram below. </w:t>
            </w:r>
          </w:p>
          <w:p w14:paraId="124D5F6E"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noProof/>
                <w:sz w:val="20"/>
              </w:rPr>
              <w:drawing>
                <wp:inline distT="0" distB="0" distL="0" distR="0" wp14:anchorId="2EB95BE8" wp14:editId="401EF9A0">
                  <wp:extent cx="1678561" cy="1019175"/>
                  <wp:effectExtent l="0" t="0" r="0" b="0"/>
                  <wp:docPr id="164088757" name="Picture 1" descr="Chart of investments by region (21% Cambodia, 14% Laos, 21% Thailand, 14% Vietnam, 29% Reg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8757" name="Picture 1" descr="Chart of investments by region (21% Cambodia, 14% Laos, 21% Thailand, 14% Vietnam, 29% Regional)">
                            <a:extLst>
                              <a:ext uri="{C183D7F6-B498-43B3-948B-1728B52AA6E4}">
                                <adec:decorative xmlns:adec="http://schemas.microsoft.com/office/drawing/2017/decorative" val="0"/>
                              </a:ext>
                            </a:extLst>
                          </pic:cNvPr>
                          <pic:cNvPicPr/>
                        </pic:nvPicPr>
                        <pic:blipFill>
                          <a:blip r:embed="rId24"/>
                          <a:stretch>
                            <a:fillRect/>
                          </a:stretch>
                        </pic:blipFill>
                        <pic:spPr>
                          <a:xfrm>
                            <a:off x="0" y="0"/>
                            <a:ext cx="1725558" cy="1047710"/>
                          </a:xfrm>
                          <a:prstGeom prst="rect">
                            <a:avLst/>
                          </a:prstGeom>
                        </pic:spPr>
                      </pic:pic>
                    </a:graphicData>
                  </a:graphic>
                </wp:inline>
              </w:drawing>
            </w:r>
          </w:p>
          <w:p w14:paraId="3D52B3B6"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2"/>
                <w:sz w:val="20"/>
              </w:rPr>
              <w:t xml:space="preserve">Two activities started in 2024, including one which was part of the MAP Call for Proposals process. Results reported in this annual report do not include these investments.  </w:t>
            </w:r>
          </w:p>
        </w:tc>
      </w:tr>
      <w:tr w:rsidR="00F764AF" w:rsidRPr="00F764AF" w14:paraId="50CCFAB0" w14:textId="77777777" w:rsidTr="001360E3">
        <w:trPr>
          <w:cantSplit/>
          <w:trHeight w:val="300"/>
        </w:trPr>
        <w:tc>
          <w:tcPr>
            <w:cnfStyle w:val="001000000000" w:firstRow="0" w:lastRow="0" w:firstColumn="1" w:lastColumn="0" w:oddVBand="0" w:evenVBand="0" w:oddHBand="0" w:evenHBand="0" w:firstRowFirstColumn="0" w:firstRowLastColumn="0" w:lastRowFirstColumn="0" w:lastRowLastColumn="0"/>
            <w:tcW w:w="1255" w:type="dxa"/>
          </w:tcPr>
          <w:p w14:paraId="2DBC5EF4" w14:textId="77777777" w:rsidR="00F764AF" w:rsidRPr="00F764AF" w:rsidRDefault="00F764AF" w:rsidP="00DB10A2">
            <w:pPr>
              <w:jc w:val="center"/>
              <w:rPr>
                <w:bCs/>
                <w:sz w:val="20"/>
              </w:rPr>
            </w:pPr>
            <w:r w:rsidRPr="00F764AF">
              <w:rPr>
                <w:bCs/>
                <w:noProof/>
                <w:sz w:val="20"/>
              </w:rPr>
              <w:lastRenderedPageBreak/>
              <w:drawing>
                <wp:inline distT="0" distB="0" distL="0" distR="0" wp14:anchorId="7647B56F" wp14:editId="7097F5B6">
                  <wp:extent cx="460389" cy="457879"/>
                  <wp:effectExtent l="0" t="0" r="0" b="0"/>
                  <wp:docPr id="1342001935" name="Picture 6" descr="Transnational Crime thematic area icon. A green circle with linking box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01935" name="Picture 6" descr="Transnational Crime thematic area icon. A green circle with linking boxes">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299" cy="463757"/>
                          </a:xfrm>
                          <a:prstGeom prst="rect">
                            <a:avLst/>
                          </a:prstGeom>
                          <a:noFill/>
                        </pic:spPr>
                      </pic:pic>
                    </a:graphicData>
                  </a:graphic>
                </wp:inline>
              </w:drawing>
            </w:r>
          </w:p>
          <w:p w14:paraId="2E938B3C" w14:textId="77777777" w:rsidR="00F764AF" w:rsidRPr="00F764AF" w:rsidRDefault="00F764AF" w:rsidP="00DB10A2">
            <w:pPr>
              <w:jc w:val="center"/>
              <w:rPr>
                <w:sz w:val="20"/>
              </w:rPr>
            </w:pPr>
            <w:r w:rsidRPr="00F764AF">
              <w:rPr>
                <w:bCs/>
                <w:sz w:val="20"/>
              </w:rPr>
              <w:t>Thematic Area 5 – Transnational Crime</w:t>
            </w:r>
          </w:p>
        </w:tc>
        <w:tc>
          <w:tcPr>
            <w:tcW w:w="2790" w:type="dxa"/>
          </w:tcPr>
          <w:p w14:paraId="6D515968"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2"/>
                <w:sz w:val="20"/>
              </w:rPr>
              <w:t xml:space="preserve">Australia is partnering with Mekong subregion partners to better prevent and counter targeted transnational crime. </w:t>
            </w:r>
          </w:p>
          <w:p w14:paraId="64DFD81A"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 xml:space="preserve">Investments aim to strengthen cooperation between Australia and Mekong countries to counter illicit drug trafficking, child sexual exploitation, and financial crimes. </w:t>
            </w:r>
          </w:p>
          <w:p w14:paraId="7A7237E1"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2"/>
                <w:sz w:val="20"/>
              </w:rPr>
              <w:t xml:space="preserve">MAP is supporting Australian Government Agencies (AGAs) to build stronger networks and cooperation with Mekong counterparts. </w:t>
            </w:r>
          </w:p>
          <w:p w14:paraId="0AD6BC29"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2"/>
                <w:sz w:val="20"/>
              </w:rPr>
              <w:t>Our investments bring together networks; share information, technical expertise, and analysis; and deliver capacity building support for Mekong stakeholders.</w:t>
            </w:r>
          </w:p>
        </w:tc>
        <w:tc>
          <w:tcPr>
            <w:tcW w:w="2970" w:type="dxa"/>
          </w:tcPr>
          <w:p w14:paraId="6AFD2977" w14:textId="77777777" w:rsidR="00F764AF" w:rsidRPr="00F764AF" w:rsidRDefault="00F764AF" w:rsidP="00DB10A2">
            <w:pPr>
              <w:spacing w:after="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2"/>
                <w:sz w:val="20"/>
              </w:rPr>
              <w:t xml:space="preserve">Coordination across the Australian Government is undertaken through the pre-existing MAP-TNC Posts and Partners meeting, which is equivalent to a thematic working group. </w:t>
            </w:r>
          </w:p>
          <w:p w14:paraId="0D2C9965" w14:textId="77777777" w:rsidR="00F764AF" w:rsidRPr="00F764AF" w:rsidRDefault="00F764AF" w:rsidP="00DB10A2">
            <w:pPr>
              <w:spacing w:after="0"/>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The group discusses transnational crime challenges and opportunities, emerging issues, and ensures activities are strategic, targeted and complementary.</w:t>
            </w:r>
          </w:p>
        </w:tc>
        <w:tc>
          <w:tcPr>
            <w:tcW w:w="2615" w:type="dxa"/>
          </w:tcPr>
          <w:p w14:paraId="03055F2F"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 xml:space="preserve">Two of the investments are regional, while one investment is bilateral. </w:t>
            </w:r>
          </w:p>
          <w:p w14:paraId="002136FD"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noProof/>
                <w:color w:val="000000" w:themeColor="text1"/>
                <w:sz w:val="20"/>
              </w:rPr>
              <w:drawing>
                <wp:inline distT="0" distB="0" distL="0" distR="0" wp14:anchorId="35ADFA7B" wp14:editId="610C245D">
                  <wp:extent cx="1516775" cy="657225"/>
                  <wp:effectExtent l="0" t="0" r="7620" b="0"/>
                  <wp:docPr id="1300537631" name="Picture 1" descr="Chart of investments by region (33% Cambodia, 67% Reg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37631" name="Picture 1" descr="Chart of investments by region (33% Cambodia, 67% Regional)">
                            <a:extLst>
                              <a:ext uri="{C183D7F6-B498-43B3-948B-1728B52AA6E4}">
                                <adec:decorative xmlns:adec="http://schemas.microsoft.com/office/drawing/2017/decorative" val="0"/>
                              </a:ext>
                            </a:extLst>
                          </pic:cNvPr>
                          <pic:cNvPicPr/>
                        </pic:nvPicPr>
                        <pic:blipFill>
                          <a:blip r:embed="rId25"/>
                          <a:stretch>
                            <a:fillRect/>
                          </a:stretch>
                        </pic:blipFill>
                        <pic:spPr>
                          <a:xfrm>
                            <a:off x="0" y="0"/>
                            <a:ext cx="1538692" cy="666722"/>
                          </a:xfrm>
                          <a:prstGeom prst="rect">
                            <a:avLst/>
                          </a:prstGeom>
                        </pic:spPr>
                      </pic:pic>
                    </a:graphicData>
                  </a:graphic>
                </wp:inline>
              </w:drawing>
            </w:r>
          </w:p>
          <w:p w14:paraId="15474222"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p>
          <w:p w14:paraId="69C0E1FE"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DFAT partners with AGAs through MAP-TNC to deliver a range of bespoke activities built to support the region’s enforcement and operational capability. Program enabling support is provided by the MAP Support Unit.</w:t>
            </w:r>
          </w:p>
          <w:p w14:paraId="27AAC071"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2"/>
                <w:sz w:val="20"/>
              </w:rPr>
              <w:t>DFAT funds GI-TOC to build a Mekong network that produces transnational crime research and analysis, particularly drawing in the voices of civil society and academia, to inform policy and reforms necessary for operational success in the region.</w:t>
            </w:r>
          </w:p>
          <w:p w14:paraId="5CA5697E"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DFAT partners with UNODC to support Cambodia to safely dispose of seized drugs and chemicals.</w:t>
            </w:r>
          </w:p>
        </w:tc>
      </w:tr>
      <w:tr w:rsidR="00F764AF" w:rsidRPr="00F764AF" w14:paraId="5B592296" w14:textId="77777777" w:rsidTr="001360E3">
        <w:trPr>
          <w:cantSplit/>
          <w:trHeight w:val="300"/>
        </w:trPr>
        <w:tc>
          <w:tcPr>
            <w:cnfStyle w:val="001000000000" w:firstRow="0" w:lastRow="0" w:firstColumn="1" w:lastColumn="0" w:oddVBand="0" w:evenVBand="0" w:oddHBand="0" w:evenHBand="0" w:firstRowFirstColumn="0" w:firstRowLastColumn="0" w:lastRowFirstColumn="0" w:lastRowLastColumn="0"/>
            <w:tcW w:w="1255" w:type="dxa"/>
          </w:tcPr>
          <w:p w14:paraId="62BA0BB3" w14:textId="77777777" w:rsidR="00F764AF" w:rsidRPr="00F764AF" w:rsidRDefault="00F764AF" w:rsidP="00DB10A2">
            <w:pPr>
              <w:jc w:val="center"/>
              <w:rPr>
                <w:b w:val="0"/>
                <w:bCs/>
                <w:noProof/>
                <w:sz w:val="20"/>
              </w:rPr>
            </w:pPr>
            <w:r w:rsidRPr="00F764AF">
              <w:rPr>
                <w:bCs/>
                <w:noProof/>
                <w:sz w:val="20"/>
              </w:rPr>
              <w:lastRenderedPageBreak/>
              <w:drawing>
                <wp:inline distT="0" distB="0" distL="0" distR="0" wp14:anchorId="341A9DBA" wp14:editId="179C2F27">
                  <wp:extent cx="552450" cy="552450"/>
                  <wp:effectExtent l="0" t="0" r="0" b="0"/>
                  <wp:docPr id="464660757" name="Picture 4" descr="Leadership and Skills thematic icon. A green circle with a graduation h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60757" name="Picture 4" descr="Leadership and Skills thematic icon. A green circle with a graduation hat.">
                            <a:extLst>
                              <a:ext uri="{C183D7F6-B498-43B3-948B-1728B52AA6E4}">
                                <adec:decorative xmlns:adec="http://schemas.microsoft.com/office/drawing/2017/decorative" val="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159" cy="562159"/>
                          </a:xfrm>
                          <a:prstGeom prst="rect">
                            <a:avLst/>
                          </a:prstGeom>
                          <a:noFill/>
                        </pic:spPr>
                      </pic:pic>
                    </a:graphicData>
                  </a:graphic>
                </wp:inline>
              </w:drawing>
            </w:r>
          </w:p>
          <w:p w14:paraId="165FC319" w14:textId="77777777" w:rsidR="00F764AF" w:rsidRPr="00F764AF" w:rsidRDefault="00F764AF" w:rsidP="00DB10A2">
            <w:pPr>
              <w:jc w:val="center"/>
              <w:rPr>
                <w:bCs/>
                <w:noProof/>
                <w:sz w:val="20"/>
              </w:rPr>
            </w:pPr>
            <w:r w:rsidRPr="00F764AF">
              <w:rPr>
                <w:bCs/>
                <w:noProof/>
                <w:sz w:val="20"/>
              </w:rPr>
              <w:t>Crosscutting – Leadership and Skills</w:t>
            </w:r>
          </w:p>
        </w:tc>
        <w:tc>
          <w:tcPr>
            <w:tcW w:w="2790" w:type="dxa"/>
          </w:tcPr>
          <w:p w14:paraId="72CC4D3A"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2"/>
                <w:sz w:val="20"/>
              </w:rPr>
              <w:t>Leadership and Skills is a cross-cutting thematic area designed to build capacity and expertise to support sustainable subregional development. It will deepen Australia's engagement with the Mekong subregion (including Cambodia, Laos, Myanmar, Thailand and Vietnam) by facilitating access to Australian education and professional learning, and promotion of knowledge sharing and subregional cooperation. The Leadership and Skills program contributes to the broader MAP Phase 2 outcomes by supporting diverse leaders within the Mekong subregion to tackle complex structural reforms and pursue joint, inclusive solutions to shared and transboundary challenges across all five thematic areas.</w:t>
            </w:r>
          </w:p>
        </w:tc>
        <w:tc>
          <w:tcPr>
            <w:tcW w:w="2970" w:type="dxa"/>
          </w:tcPr>
          <w:p w14:paraId="22BB9E49" w14:textId="77777777" w:rsidR="00F764AF" w:rsidRPr="00F764AF" w:rsidRDefault="00F764AF" w:rsidP="00DB10A2">
            <w:pPr>
              <w:spacing w:after="0"/>
              <w:cnfStyle w:val="000000000000" w:firstRow="0" w:lastRow="0" w:firstColumn="0" w:lastColumn="0" w:oddVBand="0" w:evenVBand="0" w:oddHBand="0" w:evenHBand="0" w:firstRowFirstColumn="0" w:firstRowLastColumn="0" w:lastRowFirstColumn="0" w:lastRowLastColumn="0"/>
              <w:rPr>
                <w:color w:val="auto"/>
                <w:sz w:val="20"/>
              </w:rPr>
            </w:pPr>
            <w:r w:rsidRPr="00F764AF">
              <w:rPr>
                <w:color w:val="auto"/>
                <w:sz w:val="20"/>
              </w:rPr>
              <w:t xml:space="preserve">The MAP Support Services Unit (MAP-SU) is responsible for delivering the single investment under this thematic area. The MAP-SU will be responsible for: managing the scholarship program; procuring, contracting and managing the delivery of short courses and masterclasses, including facilitating travel and logistics for participants; and managing the delivery of regional dialogues across the program period for key leaders and senior officials from targeted sectors across the Mekong countries.  </w:t>
            </w:r>
          </w:p>
          <w:p w14:paraId="12B425DF" w14:textId="77777777" w:rsidR="00F764AF" w:rsidRPr="00F764AF" w:rsidRDefault="00F764AF" w:rsidP="00DB10A2">
            <w:pPr>
              <w:spacing w:after="0"/>
              <w:cnfStyle w:val="000000000000" w:firstRow="0" w:lastRow="0" w:firstColumn="0" w:lastColumn="0" w:oddVBand="0" w:evenVBand="0" w:oddHBand="0" w:evenHBand="0" w:firstRowFirstColumn="0" w:firstRowLastColumn="0" w:lastRowFirstColumn="0" w:lastRowLastColumn="0"/>
              <w:rPr>
                <w:color w:val="auto"/>
                <w:sz w:val="20"/>
              </w:rPr>
            </w:pPr>
            <w:r w:rsidRPr="00F764AF">
              <w:rPr>
                <w:color w:val="auto"/>
                <w:sz w:val="20"/>
              </w:rPr>
              <w:t xml:space="preserve">The Leadership and Skills Thematic Working Group provides strategic oversight over this thematic area, and the Leadership and Skills Thematic Lead based at the Mekong Hub coordinates with other thematic leads to identify topics of interest for masterclasses, promote scholarship activities, and provide suggestions on alumni engagement activities. </w:t>
            </w:r>
          </w:p>
          <w:p w14:paraId="241D9D34" w14:textId="77777777" w:rsidR="00F764AF" w:rsidRPr="00F764AF" w:rsidRDefault="00F764AF" w:rsidP="00DB10A2">
            <w:pPr>
              <w:spacing w:after="0"/>
              <w:cnfStyle w:val="000000000000" w:firstRow="0" w:lastRow="0" w:firstColumn="0" w:lastColumn="0" w:oddVBand="0" w:evenVBand="0" w:oddHBand="0" w:evenHBand="0" w:firstRowFirstColumn="0" w:firstRowLastColumn="0" w:lastRowFirstColumn="0" w:lastRowLastColumn="0"/>
              <w:rPr>
                <w:color w:val="auto"/>
                <w:sz w:val="20"/>
              </w:rPr>
            </w:pPr>
          </w:p>
        </w:tc>
        <w:tc>
          <w:tcPr>
            <w:tcW w:w="2615" w:type="dxa"/>
          </w:tcPr>
          <w:p w14:paraId="1F24886B"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In 2024, the Leadership and Skills thematic area continued the implementation of the activities from the previous phase, including:</w:t>
            </w:r>
          </w:p>
          <w:p w14:paraId="57923102" w14:textId="77777777" w:rsidR="00F764AF" w:rsidRPr="00F764AF" w:rsidRDefault="00F764AF" w:rsidP="002859B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47 Masters-level scholarships through Australia Awards</w:t>
            </w:r>
          </w:p>
          <w:p w14:paraId="1E6F0626" w14:textId="77777777" w:rsidR="00F764AF" w:rsidRPr="00F764AF" w:rsidRDefault="00F764AF" w:rsidP="002859B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Masterclasses and short courses</w:t>
            </w:r>
          </w:p>
          <w:p w14:paraId="244BB347" w14:textId="77777777" w:rsidR="00F764AF" w:rsidRPr="00F764AF" w:rsidRDefault="00F764AF" w:rsidP="00DB10A2">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 xml:space="preserve">There is only one new investment in this cross-cutting theme, the MAP Leadership and Skills Program. </w:t>
            </w:r>
          </w:p>
          <w:p w14:paraId="5B11F7B8" w14:textId="164D121D" w:rsidR="00F764AF" w:rsidRPr="00F764AF" w:rsidRDefault="00F764AF" w:rsidP="0038446B">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764AF">
              <w:rPr>
                <w:color w:val="000000" w:themeColor="text1"/>
                <w:sz w:val="20"/>
              </w:rPr>
              <w:t xml:space="preserve">This investment will deliver masters-level scholarships, masterclasses, regional dialogues, and alumni-engagement activities. </w:t>
            </w:r>
          </w:p>
        </w:tc>
      </w:tr>
    </w:tbl>
    <w:p w14:paraId="36B71A0A" w14:textId="4526A30E" w:rsidR="00464802" w:rsidRDefault="00464802" w:rsidP="0038446B">
      <w:pPr>
        <w:pStyle w:val="BodyCopy"/>
      </w:pPr>
    </w:p>
    <w:p w14:paraId="5DEF8D0A" w14:textId="5F0DF56D" w:rsidR="00C47563" w:rsidRDefault="00464802">
      <w:pPr>
        <w:spacing w:before="0" w:after="160" w:line="259" w:lineRule="auto"/>
        <w:rPr>
          <w:rFonts w:eastAsiaTheme="majorEastAsia" w:cstheme="majorBidi"/>
          <w:b/>
          <w:color w:val="00837C" w:themeColor="accent1"/>
          <w:sz w:val="36"/>
          <w:szCs w:val="40"/>
        </w:rPr>
      </w:pPr>
      <w:r>
        <w:rPr>
          <w:rFonts w:eastAsiaTheme="majorEastAsia" w:cstheme="majorBidi"/>
          <w:b/>
          <w:color w:val="00837C" w:themeColor="accent1"/>
          <w:sz w:val="36"/>
          <w:szCs w:val="40"/>
        </w:rPr>
        <w:br w:type="page"/>
      </w:r>
    </w:p>
    <w:p w14:paraId="33895FE9" w14:textId="0396E365" w:rsidR="008B0B48" w:rsidRPr="00907B25" w:rsidRDefault="00D4323B" w:rsidP="00907B25">
      <w:pPr>
        <w:pStyle w:val="Heading1"/>
        <w:ind w:left="431" w:hanging="431"/>
      </w:pPr>
      <w:bookmarkStart w:id="16" w:name="_Toc210034390"/>
      <w:r w:rsidRPr="00907B25">
        <w:lastRenderedPageBreak/>
        <w:t>Overall MAP Portfolio Progress</w:t>
      </w:r>
      <w:bookmarkEnd w:id="16"/>
    </w:p>
    <w:p w14:paraId="53F2339B" w14:textId="77777777" w:rsidR="00F764AF" w:rsidRPr="000B773A" w:rsidRDefault="00F764AF" w:rsidP="00F764AF">
      <w:pPr>
        <w:spacing w:before="0" w:after="160" w:line="256" w:lineRule="auto"/>
        <w:rPr>
          <w:szCs w:val="22"/>
        </w:rPr>
      </w:pPr>
      <w:r w:rsidRPr="000B773A">
        <w:rPr>
          <w:szCs w:val="22"/>
        </w:rPr>
        <w:t>MAP implemented a total of 41 activities in 2024. A large proportion of these (61 per cent) were legacy investments that started in the previous phase of MAP,</w:t>
      </w:r>
      <w:r>
        <w:rPr>
          <w:szCs w:val="22"/>
        </w:rPr>
        <w:t xml:space="preserve"> </w:t>
      </w:r>
      <w:r w:rsidRPr="000B773A">
        <w:rPr>
          <w:szCs w:val="22"/>
        </w:rPr>
        <w:t xml:space="preserve">15 per cent are legacy investments with additional/top-up funding being continued for </w:t>
      </w:r>
      <w:r>
        <w:rPr>
          <w:szCs w:val="22"/>
        </w:rPr>
        <w:t xml:space="preserve">a maximum of </w:t>
      </w:r>
      <w:r w:rsidRPr="000B773A">
        <w:rPr>
          <w:szCs w:val="22"/>
        </w:rPr>
        <w:t xml:space="preserve">another two years. </w:t>
      </w:r>
      <w:r>
        <w:rPr>
          <w:szCs w:val="22"/>
        </w:rPr>
        <w:t>Of the t</w:t>
      </w:r>
      <w:r w:rsidRPr="000B773A">
        <w:rPr>
          <w:szCs w:val="22"/>
        </w:rPr>
        <w:t xml:space="preserve">en investments in 2024, two have started implementation while the remaining eight are in </w:t>
      </w:r>
      <w:r>
        <w:rPr>
          <w:szCs w:val="22"/>
        </w:rPr>
        <w:t xml:space="preserve">the </w:t>
      </w:r>
      <w:r w:rsidRPr="000B773A">
        <w:rPr>
          <w:szCs w:val="22"/>
        </w:rPr>
        <w:t>inception</w:t>
      </w:r>
      <w:r>
        <w:rPr>
          <w:szCs w:val="22"/>
        </w:rPr>
        <w:t xml:space="preserve"> phase.</w:t>
      </w:r>
    </w:p>
    <w:p w14:paraId="1B6EEB0B" w14:textId="12349B3F" w:rsidR="00C01C86" w:rsidRDefault="0008695D" w:rsidP="00760570">
      <w:pPr>
        <w:rPr>
          <w:rFonts w:cstheme="minorHAnsi"/>
          <w:b/>
          <w:bCs/>
          <w:noProof/>
          <w:color w:val="auto"/>
          <w:szCs w:val="22"/>
        </w:rPr>
      </w:pPr>
      <w:r w:rsidRPr="00907B25">
        <w:rPr>
          <w:rFonts w:cstheme="minorHAnsi"/>
          <w:b/>
          <w:bCs/>
          <w:color w:val="auto"/>
          <w:szCs w:val="22"/>
        </w:rPr>
        <w:t xml:space="preserve">Figure </w:t>
      </w:r>
      <w:r w:rsidRPr="00907B25">
        <w:rPr>
          <w:rFonts w:cstheme="minorHAnsi"/>
          <w:b/>
          <w:bCs/>
          <w:color w:val="auto"/>
          <w:szCs w:val="22"/>
        </w:rPr>
        <w:fldChar w:fldCharType="begin"/>
      </w:r>
      <w:r w:rsidRPr="00907B25">
        <w:rPr>
          <w:rFonts w:cstheme="minorHAnsi"/>
          <w:b/>
          <w:bCs/>
          <w:color w:val="auto"/>
          <w:szCs w:val="22"/>
        </w:rPr>
        <w:instrText xml:space="preserve"> SEQ Figure \* ARABIC </w:instrText>
      </w:r>
      <w:r w:rsidRPr="00907B25">
        <w:rPr>
          <w:rFonts w:cstheme="minorHAnsi"/>
          <w:b/>
          <w:bCs/>
          <w:color w:val="auto"/>
          <w:szCs w:val="22"/>
        </w:rPr>
        <w:fldChar w:fldCharType="separate"/>
      </w:r>
      <w:r w:rsidR="0010536F" w:rsidRPr="00907B25">
        <w:rPr>
          <w:rFonts w:cstheme="minorHAnsi"/>
          <w:b/>
          <w:bCs/>
          <w:color w:val="auto"/>
          <w:szCs w:val="22"/>
        </w:rPr>
        <w:t>2</w:t>
      </w:r>
      <w:r w:rsidRPr="00907B25">
        <w:rPr>
          <w:rFonts w:cstheme="minorHAnsi"/>
          <w:b/>
          <w:bCs/>
          <w:color w:val="auto"/>
          <w:szCs w:val="22"/>
        </w:rPr>
        <w:fldChar w:fldCharType="end"/>
      </w:r>
      <w:r w:rsidRPr="00907B25">
        <w:rPr>
          <w:rFonts w:cstheme="minorHAnsi"/>
          <w:b/>
          <w:bCs/>
          <w:color w:val="auto"/>
          <w:szCs w:val="22"/>
        </w:rPr>
        <w:t xml:space="preserve">: </w:t>
      </w:r>
      <w:r w:rsidR="00F764AF" w:rsidRPr="1F152BD1">
        <w:t>Profile of MAP Investments in 2024</w:t>
      </w:r>
    </w:p>
    <w:p w14:paraId="03515BEB" w14:textId="2054F65E" w:rsidR="00F764AF" w:rsidRPr="00294A78" w:rsidRDefault="00F764AF" w:rsidP="00F764AF">
      <w:pPr>
        <w:jc w:val="center"/>
        <w:rPr>
          <w:rFonts w:cstheme="minorHAnsi"/>
          <w:b/>
          <w:bCs/>
          <w:color w:val="auto"/>
          <w:szCs w:val="22"/>
        </w:rPr>
      </w:pPr>
      <w:r>
        <w:rPr>
          <w:noProof/>
        </w:rPr>
        <w:drawing>
          <wp:inline distT="0" distB="0" distL="0" distR="0" wp14:anchorId="767C37E1" wp14:editId="1CF4D7DA">
            <wp:extent cx="2914650" cy="3445635"/>
            <wp:effectExtent l="0" t="0" r="0" b="2540"/>
            <wp:docPr id="1333356093" name="Picture 2" descr="Two charts profiling MAP Investments in 2024:&#10;&#10;The first chart: Legacy Investments (25), New Investments (10), Transition Investments (6).&#10;&#10;The second chart: Water Security (25%), Climate Resilience (24%), Transnational Crime (7%), Economic Resilience and Subregional Integration (34%), GEDSI (5%), Leadership and Skills (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56093" name="Picture 2" descr="Two charts profiling MAP Investments in 2024:&#10;&#10;The first chart: Legacy Investments (25), New Investments (10), Transition Investments (6).&#10;&#10;The second chart: Water Security (25%), Climate Resilience (24%), Transnational Crime (7%), Economic Resilience and Subregional Integration (34%), GEDSI (5%), Leadership and Skills (5%).">
                      <a:extLst>
                        <a:ext uri="{C183D7F6-B498-43B3-948B-1728B52AA6E4}">
                          <adec:decorative xmlns:adec="http://schemas.microsoft.com/office/drawing/2017/decorative" val="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6099" cy="3470992"/>
                    </a:xfrm>
                    <a:prstGeom prst="rect">
                      <a:avLst/>
                    </a:prstGeom>
                    <a:noFill/>
                  </pic:spPr>
                </pic:pic>
              </a:graphicData>
            </a:graphic>
          </wp:inline>
        </w:drawing>
      </w:r>
    </w:p>
    <w:p w14:paraId="103F5525" w14:textId="77777777" w:rsidR="00F764AF" w:rsidRPr="000B773A" w:rsidRDefault="00F764AF" w:rsidP="00F764AF">
      <w:pPr>
        <w:rPr>
          <w:color w:val="000000" w:themeColor="text2"/>
          <w:szCs w:val="22"/>
        </w:rPr>
      </w:pPr>
      <w:r w:rsidRPr="000B773A">
        <w:rPr>
          <w:color w:val="000000" w:themeColor="text2"/>
          <w:szCs w:val="22"/>
        </w:rPr>
        <w:t xml:space="preserve">Water security, climate resilience, and economic resilience and subregional integration take up the bulk of the investment profile. </w:t>
      </w:r>
      <w:proofErr w:type="gramStart"/>
      <w:r w:rsidRPr="000B773A">
        <w:rPr>
          <w:color w:val="000000" w:themeColor="text2"/>
          <w:szCs w:val="22"/>
        </w:rPr>
        <w:t>The majority of</w:t>
      </w:r>
      <w:proofErr w:type="gramEnd"/>
      <w:r w:rsidRPr="000B773A">
        <w:rPr>
          <w:color w:val="000000" w:themeColor="text2"/>
          <w:szCs w:val="22"/>
        </w:rPr>
        <w:t xml:space="preserve"> these </w:t>
      </w:r>
      <w:r>
        <w:rPr>
          <w:color w:val="000000" w:themeColor="text2"/>
          <w:szCs w:val="22"/>
        </w:rPr>
        <w:t>thematic areas are comprised of</w:t>
      </w:r>
      <w:r w:rsidRPr="000B773A">
        <w:rPr>
          <w:color w:val="000000" w:themeColor="text2"/>
          <w:szCs w:val="22"/>
        </w:rPr>
        <w:t xml:space="preserve"> discrete, small value legacy investments.</w:t>
      </w:r>
    </w:p>
    <w:p w14:paraId="68B2162D" w14:textId="77777777" w:rsidR="00F764AF" w:rsidRPr="000B773A" w:rsidRDefault="00F764AF" w:rsidP="00F764AF">
      <w:pPr>
        <w:rPr>
          <w:color w:val="000000" w:themeColor="text2"/>
          <w:szCs w:val="22"/>
        </w:rPr>
      </w:pPr>
      <w:r w:rsidRPr="000B773A">
        <w:rPr>
          <w:color w:val="000000" w:themeColor="text2"/>
          <w:szCs w:val="22"/>
        </w:rPr>
        <w:t xml:space="preserve">At least half of the total number of investments are managed from the Mekong Hub (Bangkok Post). Of these, 20 per cent are completed, 61 per cent are in progress, and 20 per cent are at inception phase.  </w:t>
      </w:r>
    </w:p>
    <w:p w14:paraId="12A32020" w14:textId="77777777" w:rsidR="00F764AF" w:rsidRPr="002C6EFB" w:rsidRDefault="00F764AF" w:rsidP="00F764AF">
      <w:pPr>
        <w:pStyle w:val="Heading2"/>
        <w:ind w:left="0" w:firstLine="0"/>
      </w:pPr>
      <w:bookmarkStart w:id="17" w:name="_Toc210034391"/>
      <w:bookmarkStart w:id="18" w:name="_Toc138797356"/>
      <w:bookmarkEnd w:id="11"/>
      <w:r>
        <w:t>Assessment of achievement against MAP EOPOs</w:t>
      </w:r>
      <w:bookmarkEnd w:id="17"/>
    </w:p>
    <w:p w14:paraId="009F0DEC" w14:textId="24A183DB" w:rsidR="00F764AF" w:rsidRPr="00F764AF" w:rsidRDefault="00F764AF" w:rsidP="00302F65">
      <w:pPr>
        <w:rPr>
          <w:color w:val="auto"/>
          <w:szCs w:val="22"/>
        </w:rPr>
      </w:pPr>
      <w:r w:rsidRPr="000B773A">
        <w:rPr>
          <w:color w:val="auto"/>
          <w:szCs w:val="22"/>
        </w:rPr>
        <w:t>In 2024, MAP demonstrated its commitment to fostering resilience, inclusion, and sustainable growth across the Mekong subregion. Through a portfolio of investments and collaborative partnerships with governments, civil society, academia, and private sector stakeholders, MAP has supported initiatives that strengthen climate adaptation, promote effective and inclusive water governance, and strengthen regional cooperation. By prioriti</w:t>
      </w:r>
      <w:r>
        <w:rPr>
          <w:color w:val="auto"/>
          <w:szCs w:val="22"/>
        </w:rPr>
        <w:t>s</w:t>
      </w:r>
      <w:r w:rsidRPr="000B773A">
        <w:rPr>
          <w:color w:val="auto"/>
          <w:szCs w:val="22"/>
        </w:rPr>
        <w:t>ing marginali</w:t>
      </w:r>
      <w:r>
        <w:rPr>
          <w:color w:val="auto"/>
          <w:szCs w:val="22"/>
        </w:rPr>
        <w:t>s</w:t>
      </w:r>
      <w:r w:rsidRPr="000B773A">
        <w:rPr>
          <w:color w:val="auto"/>
          <w:szCs w:val="22"/>
        </w:rPr>
        <w:t xml:space="preserve">ed communities and addressing </w:t>
      </w:r>
      <w:r>
        <w:rPr>
          <w:color w:val="auto"/>
          <w:szCs w:val="22"/>
        </w:rPr>
        <w:t>t</w:t>
      </w:r>
      <w:r w:rsidRPr="000B773A">
        <w:rPr>
          <w:color w:val="auto"/>
          <w:szCs w:val="22"/>
        </w:rPr>
        <w:t>ransnational challenges, MAP continues to advance its vision of a resilient, integrated, and inclusive Mekong subregion while driving meaningful progress toward its strategic objectives.</w:t>
      </w:r>
    </w:p>
    <w:p w14:paraId="3400E0F3" w14:textId="77777777" w:rsidR="00F764AF" w:rsidRPr="00294A78" w:rsidRDefault="00F764AF" w:rsidP="00302F65">
      <w:pPr>
        <w:rPr>
          <w:rFonts w:cstheme="minorHAnsi"/>
          <w:color w:val="auto"/>
          <w:szCs w:val="22"/>
        </w:rPr>
      </w:pPr>
    </w:p>
    <w:p w14:paraId="11C71B67" w14:textId="72322BE6" w:rsidR="00302F65" w:rsidRPr="008E69D6" w:rsidRDefault="00302F65" w:rsidP="008E69D6">
      <w:pPr>
        <w:pStyle w:val="Heading1"/>
        <w:ind w:left="431" w:hanging="431"/>
      </w:pPr>
      <w:bookmarkStart w:id="19" w:name="_Toc210034392"/>
      <w:bookmarkStart w:id="20" w:name="_Toc138797349"/>
      <w:r w:rsidRPr="008E69D6">
        <w:lastRenderedPageBreak/>
        <w:t>Summary of MAP Pillar Progress</w:t>
      </w:r>
      <w:bookmarkEnd w:id="19"/>
    </w:p>
    <w:p w14:paraId="4D13DC42" w14:textId="77777777" w:rsidR="00773304" w:rsidRDefault="00685684" w:rsidP="00414D53">
      <w:pPr>
        <w:rPr>
          <w:rFonts w:cstheme="minorHAnsi"/>
          <w:color w:val="auto"/>
          <w:szCs w:val="22"/>
        </w:rPr>
      </w:pPr>
      <w:r w:rsidRPr="008E69D6">
        <w:rPr>
          <w:rFonts w:cstheme="minorHAnsi"/>
          <w:color w:val="auto"/>
          <w:szCs w:val="22"/>
        </w:rPr>
        <w:t>This section presents a summary of each Pillar’s progress against their intended Pillar outcomes.</w:t>
      </w:r>
      <w:r w:rsidRPr="00294A78">
        <w:rPr>
          <w:rFonts w:cstheme="minorHAnsi"/>
          <w:color w:val="auto"/>
          <w:szCs w:val="22"/>
        </w:rPr>
        <w:t xml:space="preserve"> </w:t>
      </w:r>
      <w:bookmarkStart w:id="21" w:name="_Toc203050421"/>
      <w:bookmarkEnd w:id="20"/>
    </w:p>
    <w:bookmarkEnd w:id="21"/>
    <w:p w14:paraId="3F48A3C5" w14:textId="646C7175" w:rsidR="00973522" w:rsidRPr="00294A78" w:rsidRDefault="00F764AF" w:rsidP="00414D53">
      <w:pPr>
        <w:rPr>
          <w:rFonts w:cstheme="minorHAnsi"/>
          <w:color w:val="auto"/>
          <w:szCs w:val="22"/>
        </w:rPr>
      </w:pPr>
      <w:r w:rsidRPr="000B773A">
        <w:rPr>
          <w:bCs/>
          <w:noProof/>
        </w:rPr>
        <w:drawing>
          <wp:anchor distT="0" distB="0" distL="114300" distR="114300" simplePos="0" relativeHeight="251673604" behindDoc="1" locked="0" layoutInCell="1" allowOverlap="1" wp14:anchorId="2F4993E9" wp14:editId="5E1BEE75">
            <wp:simplePos x="0" y="0"/>
            <wp:positionH relativeFrom="column">
              <wp:posOffset>0</wp:posOffset>
            </wp:positionH>
            <wp:positionV relativeFrom="paragraph">
              <wp:posOffset>247650</wp:posOffset>
            </wp:positionV>
            <wp:extent cx="439007" cy="436614"/>
            <wp:effectExtent l="0" t="0" r="0" b="1905"/>
            <wp:wrapTight wrapText="bothSides">
              <wp:wrapPolygon edited="0">
                <wp:start x="4689" y="0"/>
                <wp:lineTo x="0" y="2830"/>
                <wp:lineTo x="0" y="16978"/>
                <wp:lineTo x="3751" y="20751"/>
                <wp:lineTo x="16880" y="20751"/>
                <wp:lineTo x="20631" y="16978"/>
                <wp:lineTo x="20631" y="2830"/>
                <wp:lineTo x="15942" y="0"/>
                <wp:lineTo x="4689" y="0"/>
              </wp:wrapPolygon>
            </wp:wrapTight>
            <wp:docPr id="1445088247" name="Picture 3" descr="Thematic Area 1 Climate Resilience Icon - Icon of a half sun with a thermome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88247" name="Picture 3" descr="Thematic Area 1 Climate Resilience Icon - Icon of a half sun with a thermometer.">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007" cy="436614"/>
                    </a:xfrm>
                    <a:prstGeom prst="rect">
                      <a:avLst/>
                    </a:prstGeom>
                    <a:noFill/>
                  </pic:spPr>
                </pic:pic>
              </a:graphicData>
            </a:graphic>
          </wp:anchor>
        </w:drawing>
      </w:r>
    </w:p>
    <w:p w14:paraId="11D6E08E" w14:textId="7B14E65E" w:rsidR="003E1041" w:rsidRDefault="00F764AF" w:rsidP="00050D0C">
      <w:pPr>
        <w:pStyle w:val="Heading2"/>
      </w:pPr>
      <w:bookmarkStart w:id="22" w:name="_Toc210034393"/>
      <w:r>
        <w:t>Thematic Area</w:t>
      </w:r>
      <w:r w:rsidR="003E1041" w:rsidRPr="00050D0C">
        <w:t xml:space="preserve"> 1 – </w:t>
      </w:r>
      <w:r>
        <w:t>Climate</w:t>
      </w:r>
      <w:r w:rsidR="003E1041" w:rsidRPr="00050D0C">
        <w:t xml:space="preserve"> Resilience</w:t>
      </w:r>
      <w:bookmarkEnd w:id="22"/>
    </w:p>
    <w:p w14:paraId="75F9ECD0" w14:textId="77777777" w:rsidR="006F4699" w:rsidRDefault="006F4699" w:rsidP="006F4699">
      <w:pPr>
        <w:rPr>
          <w:lang w:eastAsia="en-IE"/>
        </w:rPr>
      </w:pPr>
    </w:p>
    <w:p w14:paraId="6544E8C9" w14:textId="057F01DE" w:rsidR="006F4699" w:rsidRPr="001B43AA" w:rsidRDefault="00F764AF" w:rsidP="006F4699">
      <w:pPr>
        <w:pBdr>
          <w:top w:val="single" w:sz="4" w:space="1" w:color="auto"/>
          <w:left w:val="single" w:sz="4" w:space="4" w:color="auto"/>
          <w:bottom w:val="single" w:sz="4" w:space="1" w:color="auto"/>
          <w:right w:val="single" w:sz="4" w:space="4" w:color="auto"/>
        </w:pBdr>
        <w:rPr>
          <w:b/>
          <w:bCs/>
        </w:rPr>
      </w:pPr>
      <w:r>
        <w:rPr>
          <w:b/>
          <w:bCs/>
        </w:rPr>
        <w:t>Thematic Immediate</w:t>
      </w:r>
      <w:r w:rsidR="006F4699" w:rsidRPr="001B43AA">
        <w:rPr>
          <w:b/>
          <w:bCs/>
        </w:rPr>
        <w:t xml:space="preserve"> </w:t>
      </w:r>
      <w:r>
        <w:rPr>
          <w:b/>
          <w:bCs/>
        </w:rPr>
        <w:t>O</w:t>
      </w:r>
      <w:r w:rsidR="006F4699" w:rsidRPr="001B43AA">
        <w:rPr>
          <w:b/>
          <w:bCs/>
        </w:rPr>
        <w:t>utcomes:</w:t>
      </w:r>
    </w:p>
    <w:p w14:paraId="392F4238" w14:textId="77777777" w:rsidR="00F764AF" w:rsidRDefault="006F4699" w:rsidP="006F4699">
      <w:pPr>
        <w:pStyle w:val="ListParagraph"/>
        <w:numPr>
          <w:ilvl w:val="0"/>
          <w:numId w:val="0"/>
        </w:numPr>
        <w:pBdr>
          <w:top w:val="single" w:sz="4" w:space="1" w:color="auto"/>
          <w:left w:val="single" w:sz="4" w:space="4" w:color="auto"/>
          <w:bottom w:val="single" w:sz="4" w:space="1" w:color="auto"/>
          <w:right w:val="single" w:sz="4" w:space="4" w:color="auto"/>
        </w:pBdr>
        <w:rPr>
          <w:color w:val="000000" w:themeColor="text1"/>
          <w:szCs w:val="22"/>
        </w:rPr>
      </w:pPr>
      <w:r w:rsidRPr="006F4699">
        <w:rPr>
          <w:b/>
          <w:bCs/>
          <w:color w:val="auto"/>
        </w:rPr>
        <w:t>Outcome 1</w:t>
      </w:r>
      <w:r w:rsidRPr="00773304">
        <w:rPr>
          <w:color w:val="auto"/>
        </w:rPr>
        <w:t xml:space="preserve">: </w:t>
      </w:r>
      <w:r w:rsidR="00F764AF" w:rsidRPr="000B773A">
        <w:rPr>
          <w:color w:val="000000" w:themeColor="text1"/>
          <w:szCs w:val="22"/>
        </w:rPr>
        <w:t>Mekong subregion stakeholders increasingly adopt inclusive and evidence-based mitigation and/or adaptation initiatives.</w:t>
      </w:r>
    </w:p>
    <w:p w14:paraId="5865E247" w14:textId="1D563848" w:rsidR="006F4699" w:rsidRPr="00773304" w:rsidRDefault="006F4699" w:rsidP="006F4699">
      <w:pPr>
        <w:pStyle w:val="ListParagraph"/>
        <w:numPr>
          <w:ilvl w:val="0"/>
          <w:numId w:val="0"/>
        </w:numPr>
        <w:pBdr>
          <w:top w:val="single" w:sz="4" w:space="1" w:color="auto"/>
          <w:left w:val="single" w:sz="4" w:space="4" w:color="auto"/>
          <w:bottom w:val="single" w:sz="4" w:space="1" w:color="auto"/>
          <w:right w:val="single" w:sz="4" w:space="4" w:color="auto"/>
        </w:pBdr>
        <w:rPr>
          <w:color w:val="auto"/>
        </w:rPr>
      </w:pPr>
      <w:r w:rsidRPr="006F4699">
        <w:rPr>
          <w:b/>
          <w:bCs/>
          <w:color w:val="auto"/>
        </w:rPr>
        <w:t>Outcome 2</w:t>
      </w:r>
      <w:r w:rsidRPr="00773304">
        <w:rPr>
          <w:color w:val="auto"/>
        </w:rPr>
        <w:t xml:space="preserve">: </w:t>
      </w:r>
      <w:r w:rsidR="00F764AF" w:rsidRPr="000B773A">
        <w:rPr>
          <w:color w:val="000000" w:themeColor="text1"/>
          <w:szCs w:val="22"/>
        </w:rPr>
        <w:t>Mekong subregion partners strengthen subregional cooperation to reduce exposure and sensitivities to climate hazards and risks.</w:t>
      </w:r>
    </w:p>
    <w:p w14:paraId="57A6A45E" w14:textId="3A714322" w:rsidR="006F4699" w:rsidRPr="00773304" w:rsidRDefault="006F4699" w:rsidP="006F4699">
      <w:pPr>
        <w:pStyle w:val="ListParagraph"/>
        <w:numPr>
          <w:ilvl w:val="0"/>
          <w:numId w:val="0"/>
        </w:numPr>
        <w:pBdr>
          <w:top w:val="single" w:sz="4" w:space="1" w:color="auto"/>
          <w:left w:val="single" w:sz="4" w:space="4" w:color="auto"/>
          <w:bottom w:val="single" w:sz="4" w:space="1" w:color="auto"/>
          <w:right w:val="single" w:sz="4" w:space="4" w:color="auto"/>
        </w:pBdr>
        <w:rPr>
          <w:color w:val="auto"/>
        </w:rPr>
      </w:pPr>
      <w:r w:rsidRPr="006F4699">
        <w:rPr>
          <w:b/>
          <w:bCs/>
          <w:color w:val="auto"/>
        </w:rPr>
        <w:t>Outcome 3</w:t>
      </w:r>
      <w:r w:rsidRPr="00773304">
        <w:rPr>
          <w:color w:val="auto"/>
        </w:rPr>
        <w:t xml:space="preserve">: </w:t>
      </w:r>
      <w:r w:rsidR="00F764AF" w:rsidRPr="000B773A">
        <w:rPr>
          <w:color w:val="000000" w:themeColor="text1"/>
          <w:szCs w:val="22"/>
        </w:rPr>
        <w:t>Australian and Mekong institutions enhance collaboration to facilitate knowledge and technology sharing for strengthened capacity to adapt to climate change</w:t>
      </w:r>
      <w:r w:rsidR="00F764AF">
        <w:rPr>
          <w:color w:val="000000" w:themeColor="text1"/>
          <w:szCs w:val="22"/>
        </w:rPr>
        <w:t>.</w:t>
      </w:r>
    </w:p>
    <w:p w14:paraId="3FE8E924" w14:textId="708B324B" w:rsidR="006F4699" w:rsidRPr="006F4699" w:rsidRDefault="006F4699" w:rsidP="006F4699">
      <w:pPr>
        <w:pBdr>
          <w:top w:val="single" w:sz="4" w:space="1" w:color="auto"/>
          <w:left w:val="single" w:sz="4" w:space="4" w:color="auto"/>
          <w:bottom w:val="single" w:sz="4" w:space="1" w:color="auto"/>
          <w:right w:val="single" w:sz="4" w:space="4" w:color="auto"/>
        </w:pBdr>
        <w:rPr>
          <w:lang w:eastAsia="en-IE"/>
        </w:rPr>
      </w:pPr>
      <w:r w:rsidRPr="006F4699">
        <w:rPr>
          <w:b/>
          <w:bCs/>
          <w:color w:val="auto"/>
        </w:rPr>
        <w:t>Outcome 4</w:t>
      </w:r>
      <w:r w:rsidRPr="00773304">
        <w:rPr>
          <w:color w:val="auto"/>
        </w:rPr>
        <w:t xml:space="preserve">: </w:t>
      </w:r>
      <w:r w:rsidR="00F764AF" w:rsidRPr="000B773A">
        <w:rPr>
          <w:color w:val="000000" w:themeColor="text1"/>
          <w:szCs w:val="22"/>
        </w:rPr>
        <w:t>Mekong subregion partners increasingly recognise and integrate of the voices of women, people with disabilities, and other marginalised groups in climate change policy &amp; practice.</w:t>
      </w:r>
    </w:p>
    <w:p w14:paraId="00E1CC54" w14:textId="77777777" w:rsidR="00F764AF" w:rsidRPr="00F764AF" w:rsidRDefault="00F764AF" w:rsidP="00F764AF">
      <w:pPr>
        <w:rPr>
          <w:color w:val="000000" w:themeColor="text2"/>
          <w:szCs w:val="22"/>
        </w:rPr>
      </w:pPr>
      <w:r w:rsidRPr="00F764AF">
        <w:rPr>
          <w:color w:val="000000" w:themeColor="text2"/>
          <w:szCs w:val="22"/>
        </w:rPr>
        <w:t xml:space="preserve">MAP Phase 2 supports Mekong subregion partners to enhance resilience and reduce vulnerability to the impacts of climate change, including through collaborative initiatives with local communities, governments, civil society organisations, the private sector, academia, and other stakeholders. Investments focus on community-based adaptation strategies; nature-based and nature-positive solutions; disaster risk reduction and management practices. These are delivered through inclusive decision-making processes which consider the voices of people who may be vulnerable or marginalised such as women, persons with disabilities, and Indigenous Peoples. This approach promotes adaptation and resilience building measures that are equitable and responsive to the needs of all. </w:t>
      </w:r>
    </w:p>
    <w:p w14:paraId="71686A1C" w14:textId="77777777" w:rsidR="00F764AF" w:rsidRPr="00F764AF" w:rsidRDefault="00F764AF" w:rsidP="00F764AF">
      <w:pPr>
        <w:rPr>
          <w:color w:val="000000" w:themeColor="text2"/>
          <w:szCs w:val="22"/>
        </w:rPr>
      </w:pPr>
      <w:r w:rsidRPr="00F764AF">
        <w:rPr>
          <w:color w:val="000000" w:themeColor="text2"/>
          <w:szCs w:val="22"/>
        </w:rPr>
        <w:t xml:space="preserve">A total of ten investments were implemented during this period with two country-focused investments (one each for Thailand and Vietnam). </w:t>
      </w:r>
    </w:p>
    <w:p w14:paraId="275D7075" w14:textId="5C72838A" w:rsidR="00F764AF" w:rsidRDefault="00F764AF" w:rsidP="00F764AF">
      <w:pPr>
        <w:rPr>
          <w:color w:val="000000" w:themeColor="text2"/>
          <w:szCs w:val="22"/>
        </w:rPr>
      </w:pPr>
      <w:r w:rsidRPr="000B773A">
        <w:rPr>
          <w:color w:val="000000" w:themeColor="text2"/>
          <w:szCs w:val="22"/>
        </w:rPr>
        <w:t xml:space="preserve">Investments cover a range of sectors and approaches including climate-smart agriculture, resilient urban designs, climate and sustainable development research, nature-based solutions, renewable energy, and bio-circular green economy. Only one of the </w:t>
      </w:r>
      <w:r>
        <w:rPr>
          <w:color w:val="000000" w:themeColor="text2"/>
          <w:szCs w:val="22"/>
        </w:rPr>
        <w:t>ten</w:t>
      </w:r>
      <w:r w:rsidRPr="000B773A">
        <w:rPr>
          <w:color w:val="000000" w:themeColor="text2"/>
          <w:szCs w:val="22"/>
        </w:rPr>
        <w:t xml:space="preserve"> investments was completed during this period. Nine investments were ongoing, while one investment was selected as part of the NGO call for proposals and was contracted in 2025.</w:t>
      </w:r>
    </w:p>
    <w:p w14:paraId="51098599" w14:textId="77777777" w:rsidR="00F764AF" w:rsidRPr="00F764AF" w:rsidRDefault="00F764AF" w:rsidP="00F764AF">
      <w:pPr>
        <w:rPr>
          <w:color w:val="000000" w:themeColor="text2"/>
          <w:szCs w:val="22"/>
        </w:rPr>
      </w:pPr>
    </w:p>
    <w:p w14:paraId="69A52906" w14:textId="77777777" w:rsidR="00151071" w:rsidRPr="00EA0782" w:rsidRDefault="00151071" w:rsidP="00151071">
      <w:pPr>
        <w:rPr>
          <w:b/>
          <w:bCs/>
          <w:color w:val="auto"/>
          <w:u w:val="single"/>
        </w:rPr>
      </w:pPr>
      <w:r w:rsidRPr="00EA0782">
        <w:rPr>
          <w:b/>
          <w:bCs/>
          <w:color w:val="auto"/>
          <w:u w:val="single"/>
        </w:rPr>
        <w:t>Summary of progress and achievement against outcomes</w:t>
      </w:r>
    </w:p>
    <w:p w14:paraId="71FF5AE3" w14:textId="77777777" w:rsidR="00F764AF" w:rsidRPr="000B773A" w:rsidRDefault="00F764AF" w:rsidP="00F764AF">
      <w:pPr>
        <w:ind w:left="82"/>
        <w:rPr>
          <w:rFonts w:cs="Calibri Light"/>
          <w:spacing w:val="-2"/>
          <w:szCs w:val="22"/>
        </w:rPr>
      </w:pPr>
      <w:r w:rsidRPr="000B773A">
        <w:rPr>
          <w:rFonts w:cs="Calibri Light"/>
          <w:b/>
          <w:bCs/>
          <w:spacing w:val="-2"/>
          <w:szCs w:val="22"/>
        </w:rPr>
        <w:t xml:space="preserve">MAP helped strengthen the capacity of Mekong subregion organisations and individuals to understand climate change, its implications, and how to respond. </w:t>
      </w:r>
      <w:r w:rsidRPr="000B773A">
        <w:rPr>
          <w:rFonts w:cs="Calibri Light"/>
          <w:spacing w:val="-2"/>
          <w:szCs w:val="22"/>
        </w:rPr>
        <w:t xml:space="preserve">In 2024, the Mekong Institute organised two regional training programs, training 87 government officials, academics, and private sector representatives (47 per cent women) from Cambodia, Laos, Thailand, and Vietnam (CLTV) on climate-smart postharvest technologies and inclusive climate finance. A study visit to Australia was also organised involving CLTV officials. Training alumni assisted local farmers to apply climate-smart agriculture (CSA) practices and technologies that collectively improve soil health, improve </w:t>
      </w:r>
      <w:r w:rsidRPr="000B773A">
        <w:rPr>
          <w:rFonts w:cs="Calibri Light"/>
          <w:spacing w:val="-2"/>
          <w:szCs w:val="22"/>
        </w:rPr>
        <w:lastRenderedPageBreak/>
        <w:t xml:space="preserve">water utilisation, enhance soil productivity, reduce greenhouse gas emissions, and build resilience to climate change impacts. As a result of these trainings, participants were able to conduct 36 localised trainings and awareness-raising events (11 in Cambodia, seven in Laos, </w:t>
      </w:r>
      <w:r>
        <w:rPr>
          <w:rFonts w:cs="Calibri Light"/>
          <w:spacing w:val="-2"/>
          <w:szCs w:val="22"/>
        </w:rPr>
        <w:t>ten</w:t>
      </w:r>
      <w:r w:rsidRPr="000B773A">
        <w:rPr>
          <w:rFonts w:cs="Calibri Light"/>
          <w:spacing w:val="-2"/>
          <w:szCs w:val="22"/>
        </w:rPr>
        <w:t xml:space="preserve"> in Thailand, and eight in Vietnam)</w:t>
      </w:r>
      <w:r>
        <w:rPr>
          <w:rFonts w:cs="Calibri Light"/>
          <w:spacing w:val="-2"/>
          <w:szCs w:val="22"/>
        </w:rPr>
        <w:t xml:space="preserve"> to 69,683 individuals (51 per cent women).</w:t>
      </w:r>
    </w:p>
    <w:p w14:paraId="6C4EACD9" w14:textId="77777777" w:rsidR="00F764AF" w:rsidRPr="000B773A" w:rsidRDefault="00F764AF" w:rsidP="00F764AF">
      <w:pPr>
        <w:ind w:left="82"/>
        <w:rPr>
          <w:rFonts w:cs="Calibri Light"/>
          <w:spacing w:val="-2"/>
          <w:szCs w:val="22"/>
        </w:rPr>
      </w:pPr>
      <w:r w:rsidRPr="000B773A">
        <w:rPr>
          <w:rFonts w:cs="Calibri Light"/>
          <w:spacing w:val="-2"/>
          <w:szCs w:val="22"/>
        </w:rPr>
        <w:t xml:space="preserve">In Cambodia, through the Cambodia and Laos Renewable Energy Advocacy and Ecosystem Development investment, </w:t>
      </w:r>
      <w:proofErr w:type="spellStart"/>
      <w:r w:rsidRPr="000B773A">
        <w:rPr>
          <w:rFonts w:cs="Calibri Light"/>
          <w:spacing w:val="-2"/>
          <w:szCs w:val="22"/>
        </w:rPr>
        <w:t>EnergyLab</w:t>
      </w:r>
      <w:proofErr w:type="spellEnd"/>
      <w:r w:rsidRPr="000B773A">
        <w:rPr>
          <w:rFonts w:cs="Calibri Light"/>
          <w:spacing w:val="-2"/>
          <w:szCs w:val="22"/>
        </w:rPr>
        <w:t xml:space="preserve"> engaged with more than 200 stakeholders representing government, civil society, private sector, and development partners during Clean Energy Week on topics such as industrial decarbonisation and financing Cambodia’s clean energy transition.  </w:t>
      </w:r>
    </w:p>
    <w:p w14:paraId="214A00BD" w14:textId="77777777" w:rsidR="00F764AF" w:rsidRPr="000B773A" w:rsidRDefault="00F764AF" w:rsidP="00F764AF">
      <w:pPr>
        <w:ind w:left="82"/>
        <w:rPr>
          <w:rFonts w:cs="Calibri Light"/>
          <w:spacing w:val="-2"/>
          <w:szCs w:val="22"/>
        </w:rPr>
      </w:pPr>
      <w:r w:rsidRPr="000B773A">
        <w:rPr>
          <w:rFonts w:cs="Calibri Light"/>
          <w:b/>
          <w:bCs/>
          <w:spacing w:val="-2"/>
          <w:szCs w:val="22"/>
        </w:rPr>
        <w:t>MAP supported Mekong stakeholders to adopt inclusive and evidence-based adaptation and mitigation initiatives</w:t>
      </w:r>
      <w:r w:rsidRPr="000B773A">
        <w:rPr>
          <w:rFonts w:cs="Calibri Light"/>
          <w:spacing w:val="-2"/>
          <w:szCs w:val="22"/>
        </w:rPr>
        <w:t xml:space="preserve">. In Vietnam, the Strengthening Climate Resilience investment collaborated with the Soc Trang Department of Agriculture and Environment (DAE) and the Farmers Union to support communities in adopting nature-based solutions in disaster risk management, such as planting trees in coastal areas to prevent riverbank erosion, block waves, and sequester greenhouse gases. The project also supported the implementation of climate-resilient livelihood strategies including piloting eight automatic irrigation models benefiting vulnerable households in Song Phung, Phoung Nam, and </w:t>
      </w:r>
      <w:proofErr w:type="gramStart"/>
      <w:r w:rsidRPr="000B773A">
        <w:rPr>
          <w:rFonts w:cs="Calibri Light"/>
          <w:spacing w:val="-2"/>
          <w:szCs w:val="22"/>
        </w:rPr>
        <w:t>An</w:t>
      </w:r>
      <w:proofErr w:type="gramEnd"/>
      <w:r w:rsidRPr="000B773A">
        <w:rPr>
          <w:rFonts w:cs="Calibri Light"/>
          <w:spacing w:val="-2"/>
          <w:szCs w:val="22"/>
        </w:rPr>
        <w:t xml:space="preserve"> Thanh Dong. These systems have helped reduce household irrigation time, improve crop resilience, and ensure income stability amid drought risks.</w:t>
      </w:r>
    </w:p>
    <w:p w14:paraId="2F0B0889" w14:textId="77777777" w:rsidR="00F764AF" w:rsidRDefault="00F764AF" w:rsidP="00F764AF">
      <w:pPr>
        <w:ind w:left="82"/>
        <w:rPr>
          <w:rFonts w:cs="Calibri Light"/>
          <w:spacing w:val="-2"/>
          <w:szCs w:val="22"/>
        </w:rPr>
      </w:pPr>
      <w:r w:rsidRPr="000B773A">
        <w:rPr>
          <w:rFonts w:cs="Calibri Light"/>
          <w:spacing w:val="-2"/>
          <w:szCs w:val="22"/>
        </w:rPr>
        <w:t xml:space="preserve">In Laos, 838 people (447 men, 391 women) from seven communities involved in nature-based solutions focused on landscape management and freshwater ecosystem restoration through the Climate Resilient by Nature investment implemented by WWF Australia. They implemented conservation or restoration activities in 1,870 hectares and planted 810 trees across 18 sample sites in six villages. In Vietnam’s Mekong Delta, 473 people (297 men, 175 women one youth) from four communities participated in nature-based solutions focused on flood-based farming and restoration, with 233 hectares of conservation or restoration activities. The </w:t>
      </w:r>
      <w:r>
        <w:rPr>
          <w:rFonts w:cs="Calibri Light"/>
          <w:spacing w:val="-2"/>
          <w:szCs w:val="22"/>
        </w:rPr>
        <w:t>ten</w:t>
      </w:r>
      <w:r w:rsidRPr="000B773A">
        <w:rPr>
          <w:rFonts w:cs="Calibri Light"/>
          <w:spacing w:val="-2"/>
          <w:szCs w:val="22"/>
        </w:rPr>
        <w:t xml:space="preserve"> hectares of integrated floating rice-fish farming in Vinh Dai commune cultivated during the flood season of 2024 yielded 17 tons of floating rice and were purchased by local companies for export to the United Kingdom.</w:t>
      </w:r>
    </w:p>
    <w:p w14:paraId="4DD2E3B3" w14:textId="23109867" w:rsidR="00F764AF" w:rsidRDefault="00F764AF" w:rsidP="00F764AF">
      <w:pPr>
        <w:ind w:left="82"/>
        <w:rPr>
          <w:rFonts w:cs="Calibri Light"/>
          <w:spacing w:val="-2"/>
          <w:szCs w:val="22"/>
        </w:rPr>
      </w:pPr>
      <w:r w:rsidRPr="000B773A">
        <w:rPr>
          <w:rFonts w:cs="Calibri Light"/>
          <w:b/>
          <w:bCs/>
          <w:spacing w:val="-2"/>
          <w:szCs w:val="22"/>
        </w:rPr>
        <w:t>MAP enabled increased availability of knowledge and evidence to support climate adaptation and mitigation strategies of subregion partners</w:t>
      </w:r>
      <w:r w:rsidRPr="000B773A">
        <w:rPr>
          <w:rFonts w:cs="Calibri Light"/>
          <w:spacing w:val="-2"/>
          <w:szCs w:val="22"/>
        </w:rPr>
        <w:t>. Under the Mekong Think Tanks program, 11 research studies are being conducted by Mekong universities and research organisations addressing critical environmental issues. Th</w:t>
      </w:r>
      <w:r>
        <w:rPr>
          <w:rFonts w:cs="Calibri Light"/>
          <w:spacing w:val="-2"/>
          <w:szCs w:val="22"/>
        </w:rPr>
        <w:t>ese</w:t>
      </w:r>
      <w:r w:rsidRPr="000B773A">
        <w:rPr>
          <w:rFonts w:cs="Calibri Light"/>
          <w:spacing w:val="-2"/>
          <w:szCs w:val="22"/>
        </w:rPr>
        <w:t xml:space="preserve"> includ</w:t>
      </w:r>
      <w:r>
        <w:rPr>
          <w:rFonts w:cs="Calibri Light"/>
          <w:spacing w:val="-2"/>
          <w:szCs w:val="22"/>
        </w:rPr>
        <w:t>e</w:t>
      </w:r>
      <w:r w:rsidRPr="000B773A">
        <w:rPr>
          <w:rFonts w:cs="Calibri Light"/>
          <w:spacing w:val="-2"/>
          <w:szCs w:val="22"/>
        </w:rPr>
        <w:t xml:space="preserve"> research on rising sea levels and corresponding adaptation strategies in Cambodia, Thailand, and Vietnam; sustaining shared groundwater resources in transboundary river delta aquifers in Cambodia and Vietnam; and urban heat resilience in Thai and Vietnamese cities. Thirty young researchers (60 per cent women, 36 per cent men, and 4 per cent non-binary) have also been awarded fellowship grants to contribute to regional and in-country studies</w:t>
      </w:r>
      <w:r>
        <w:rPr>
          <w:rFonts w:cs="Calibri Light"/>
          <w:spacing w:val="-2"/>
          <w:szCs w:val="22"/>
        </w:rPr>
        <w:t>.</w:t>
      </w:r>
    </w:p>
    <w:p w14:paraId="268F552D" w14:textId="77777777" w:rsidR="00F764AF" w:rsidRPr="000B773A" w:rsidRDefault="00F764AF" w:rsidP="00F764AF">
      <w:pPr>
        <w:ind w:left="82"/>
        <w:rPr>
          <w:rFonts w:cs="Calibri Light"/>
          <w:spacing w:val="-2"/>
          <w:szCs w:val="22"/>
        </w:rPr>
      </w:pPr>
      <w:r w:rsidRPr="000B773A">
        <w:rPr>
          <w:rFonts w:cs="Calibri Light"/>
          <w:spacing w:val="-2"/>
          <w:szCs w:val="22"/>
        </w:rPr>
        <w:t>Australia’s Monash University, in partnership with local universities in Thailand, has been working with the Thai Department of Climate Change and Environment and relevant agencies to develop nature-based solution (</w:t>
      </w:r>
      <w:proofErr w:type="spellStart"/>
      <w:r w:rsidRPr="000B773A">
        <w:rPr>
          <w:rFonts w:cs="Calibri Light"/>
          <w:spacing w:val="-2"/>
          <w:szCs w:val="22"/>
        </w:rPr>
        <w:t>NbS</w:t>
      </w:r>
      <w:proofErr w:type="spellEnd"/>
      <w:r w:rsidRPr="000B773A">
        <w:rPr>
          <w:rFonts w:cs="Calibri Light"/>
          <w:spacing w:val="-2"/>
          <w:szCs w:val="22"/>
        </w:rPr>
        <w:t xml:space="preserve">) strategies and technical guidance. A case study on transforming former landfill to urban forest park has led to </w:t>
      </w:r>
      <w:r>
        <w:rPr>
          <w:rFonts w:cs="Calibri Light"/>
          <w:spacing w:val="-2"/>
          <w:szCs w:val="22"/>
        </w:rPr>
        <w:t xml:space="preserve">the </w:t>
      </w:r>
      <w:r w:rsidRPr="000B773A">
        <w:rPr>
          <w:rFonts w:cs="Calibri Light"/>
          <w:spacing w:val="-2"/>
          <w:szCs w:val="22"/>
        </w:rPr>
        <w:t>development of a site risk assessment guideline and a flora and fauna survey which will provide evidence to support more than 100 urban parks and potential urban sites planned by</w:t>
      </w:r>
      <w:r>
        <w:rPr>
          <w:rFonts w:cs="Calibri Light"/>
          <w:spacing w:val="-2"/>
          <w:szCs w:val="22"/>
        </w:rPr>
        <w:t xml:space="preserve"> the</w:t>
      </w:r>
      <w:r w:rsidRPr="000B773A">
        <w:rPr>
          <w:rFonts w:cs="Calibri Light"/>
          <w:spacing w:val="-2"/>
          <w:szCs w:val="22"/>
        </w:rPr>
        <w:t xml:space="preserve"> Bangkok Metropolitan Administration.</w:t>
      </w:r>
    </w:p>
    <w:p w14:paraId="63C36C99" w14:textId="77777777" w:rsidR="00F764AF" w:rsidRPr="000B773A" w:rsidRDefault="00F764AF" w:rsidP="00F764AF">
      <w:pPr>
        <w:ind w:left="82"/>
        <w:rPr>
          <w:rFonts w:cs="Calibri Light"/>
          <w:spacing w:val="-2"/>
          <w:szCs w:val="22"/>
        </w:rPr>
      </w:pPr>
      <w:r w:rsidRPr="000B773A">
        <w:rPr>
          <w:rFonts w:cs="Calibri Light"/>
          <w:b/>
          <w:bCs/>
          <w:spacing w:val="-2"/>
          <w:szCs w:val="22"/>
        </w:rPr>
        <w:t>MAP promoted the collaboration of Mekong subregion stakeholders to discuss and address climate challenges in their respective countries</w:t>
      </w:r>
      <w:r w:rsidRPr="000B773A">
        <w:rPr>
          <w:rFonts w:cs="Calibri Light"/>
          <w:spacing w:val="-2"/>
          <w:szCs w:val="22"/>
        </w:rPr>
        <w:t xml:space="preserve">. In 2024, The Stockholm Environment Institute-Asia and Chulalongkorn University hosted Mekong Environmental Resilience Week 2024, which </w:t>
      </w:r>
      <w:r w:rsidRPr="000B773A">
        <w:rPr>
          <w:rFonts w:cs="Calibri Light"/>
          <w:spacing w:val="-2"/>
          <w:szCs w:val="22"/>
        </w:rPr>
        <w:lastRenderedPageBreak/>
        <w:t>brought together over 165 stakeholders from across the Mekong subregion and other Southeast Asian countries. The week also included the Mekong Regional Water, Energy, Climate Policy Forum and the Second Mekong Regional Climate Roundtable. These events served as platforms for Mekong governments and organisations to share experience</w:t>
      </w:r>
      <w:r>
        <w:rPr>
          <w:rFonts w:cs="Calibri Light"/>
          <w:spacing w:val="-2"/>
          <w:szCs w:val="22"/>
        </w:rPr>
        <w:t>s</w:t>
      </w:r>
      <w:r w:rsidRPr="000B773A">
        <w:rPr>
          <w:rFonts w:cs="Calibri Light"/>
          <w:spacing w:val="-2"/>
          <w:szCs w:val="22"/>
        </w:rPr>
        <w:t xml:space="preserve"> in climate change policy and action and consider opportunities for regional cooperation.  </w:t>
      </w:r>
    </w:p>
    <w:p w14:paraId="5B2A0DD6" w14:textId="77777777" w:rsidR="00F764AF" w:rsidRPr="000B773A" w:rsidRDefault="00F764AF" w:rsidP="00F764AF">
      <w:pPr>
        <w:ind w:left="82"/>
        <w:rPr>
          <w:rFonts w:cs="Calibri Light"/>
          <w:spacing w:val="-2"/>
          <w:szCs w:val="22"/>
        </w:rPr>
      </w:pPr>
      <w:r w:rsidRPr="000B773A">
        <w:rPr>
          <w:rFonts w:cs="Calibri Light"/>
          <w:spacing w:val="-2"/>
          <w:szCs w:val="22"/>
        </w:rPr>
        <w:t>Through the MAP Short-Term Awards implemented by the University of Queensland, 20 participants from CLTV attended the regional masterclass on ‘Responding to the Climate Change Challenge</w:t>
      </w:r>
      <w:r>
        <w:rPr>
          <w:rFonts w:cs="Calibri Light"/>
          <w:spacing w:val="-2"/>
          <w:szCs w:val="22"/>
        </w:rPr>
        <w:t>.</w:t>
      </w:r>
      <w:r w:rsidRPr="000B773A">
        <w:rPr>
          <w:rFonts w:cs="Calibri Light"/>
          <w:spacing w:val="-2"/>
          <w:szCs w:val="22"/>
        </w:rPr>
        <w:t xml:space="preserve">’ </w:t>
      </w:r>
      <w:r>
        <w:rPr>
          <w:rFonts w:cs="Calibri Light"/>
          <w:spacing w:val="-2"/>
          <w:szCs w:val="22"/>
        </w:rPr>
        <w:t>They</w:t>
      </w:r>
      <w:r w:rsidRPr="000B773A">
        <w:rPr>
          <w:rFonts w:cs="Calibri Light"/>
          <w:spacing w:val="-2"/>
          <w:szCs w:val="22"/>
        </w:rPr>
        <w:t xml:space="preserve"> exchange</w:t>
      </w:r>
      <w:r>
        <w:rPr>
          <w:rFonts w:cs="Calibri Light"/>
          <w:spacing w:val="-2"/>
          <w:szCs w:val="22"/>
        </w:rPr>
        <w:t>d</w:t>
      </w:r>
      <w:r w:rsidRPr="000B773A">
        <w:rPr>
          <w:rFonts w:cs="Calibri Light"/>
          <w:spacing w:val="-2"/>
          <w:szCs w:val="22"/>
        </w:rPr>
        <w:t xml:space="preserve"> insights on critical issues of climate change in the region, incorporating cases studies and knowledge shared by Australian experience and expertise, and fostering the development of valuable connections and enduring networks among participants.</w:t>
      </w:r>
      <w:r w:rsidRPr="000B773A">
        <w:rPr>
          <w:szCs w:val="22"/>
        </w:rPr>
        <w:t xml:space="preserve"> </w:t>
      </w:r>
      <w:r w:rsidRPr="000B773A">
        <w:rPr>
          <w:rFonts w:cs="Calibri Light"/>
          <w:spacing w:val="-2"/>
          <w:szCs w:val="22"/>
        </w:rPr>
        <w:t xml:space="preserve">Under the same investment, 30 participants (16 women) engaged in extensive discussions during the regional dialogue on ‘Cooperation for Clean Air in the Mekong Subregion’ in May 2024.  The regional dialogue provided an opportunity to create international connections to enhance regional collaboration, explore avenues for transboundary/regional cooperation on the transboundary haze issue and support a proactive, urgent pathway forward.   </w:t>
      </w:r>
    </w:p>
    <w:p w14:paraId="7761A5ED" w14:textId="77777777" w:rsidR="00F764AF" w:rsidRPr="000B773A" w:rsidRDefault="00F764AF" w:rsidP="00F764AF">
      <w:pPr>
        <w:ind w:left="82"/>
        <w:rPr>
          <w:rFonts w:cs="Calibri Light"/>
          <w:spacing w:val="-2"/>
          <w:szCs w:val="22"/>
        </w:rPr>
      </w:pPr>
      <w:r w:rsidRPr="000B773A">
        <w:rPr>
          <w:rFonts w:cs="Calibri Light"/>
          <w:spacing w:val="-2"/>
          <w:szCs w:val="22"/>
        </w:rPr>
        <w:t xml:space="preserve">The Mekong Plastics Innovation Hub </w:t>
      </w:r>
      <w:r w:rsidRPr="000B773A">
        <w:rPr>
          <w:szCs w:val="22"/>
        </w:rPr>
        <w:t>supported</w:t>
      </w:r>
      <w:r w:rsidRPr="000B773A">
        <w:rPr>
          <w:rFonts w:cs="Calibri Light"/>
          <w:spacing w:val="-2"/>
          <w:szCs w:val="22"/>
        </w:rPr>
        <w:t xml:space="preserve"> </w:t>
      </w:r>
      <w:r>
        <w:rPr>
          <w:rFonts w:cs="Calibri Light"/>
          <w:spacing w:val="-2"/>
          <w:szCs w:val="22"/>
        </w:rPr>
        <w:t xml:space="preserve">a total of 19 </w:t>
      </w:r>
      <w:r w:rsidRPr="000B773A">
        <w:rPr>
          <w:rFonts w:cs="Calibri Light"/>
          <w:spacing w:val="-2"/>
          <w:szCs w:val="22"/>
        </w:rPr>
        <w:t>start-ups and entrepreneurs</w:t>
      </w:r>
      <w:r>
        <w:rPr>
          <w:rFonts w:cs="Calibri Light"/>
          <w:spacing w:val="-2"/>
          <w:szCs w:val="22"/>
        </w:rPr>
        <w:t xml:space="preserve"> </w:t>
      </w:r>
      <w:r w:rsidRPr="000B773A">
        <w:rPr>
          <w:rFonts w:cs="Calibri Light"/>
          <w:spacing w:val="-2"/>
          <w:szCs w:val="22"/>
        </w:rPr>
        <w:t>working on innovative solutions to plastic pollution across the Mekong subregion by leveraging scientific expertise and private-sector mentoring resulting in several ventures securing private sector finance.</w:t>
      </w:r>
    </w:p>
    <w:p w14:paraId="5D2663E9" w14:textId="7EFC2C9B" w:rsidR="00464802" w:rsidRPr="00464802" w:rsidRDefault="00F764AF" w:rsidP="00464802">
      <w:pPr>
        <w:ind w:left="82"/>
        <w:rPr>
          <w:rFonts w:cs="Calibri Light"/>
          <w:spacing w:val="-2"/>
          <w:szCs w:val="22"/>
        </w:rPr>
      </w:pPr>
      <w:r w:rsidRPr="000B773A">
        <w:rPr>
          <w:rFonts w:cs="Calibri Light"/>
          <w:spacing w:val="-2"/>
          <w:szCs w:val="22"/>
        </w:rPr>
        <w:t>Finally, with MAP support, the Asian Development Bank facilitated transboundary discussions to enhance regional power grid integration and support clean energy transition in the Greater Mekong Subregion. This included a study visit to Australia in 2024 for CLTV and Greater Mekong Subregion officials (43 per cent women).</w:t>
      </w:r>
      <w:r w:rsidR="00464802">
        <w:rPr>
          <w:color w:val="auto"/>
        </w:rPr>
        <w:br w:type="page"/>
      </w:r>
    </w:p>
    <w:p w14:paraId="4409D322" w14:textId="77777777" w:rsidR="00366257" w:rsidRPr="00366257" w:rsidRDefault="00366257" w:rsidP="00464802">
      <w:pPr>
        <w:spacing w:before="0" w:after="160" w:line="259" w:lineRule="auto"/>
        <w:rPr>
          <w:color w:val="auto"/>
        </w:rPr>
      </w:pPr>
    </w:p>
    <w:p w14:paraId="6CF70001" w14:textId="63E4A7A5" w:rsidR="008623B1" w:rsidRPr="008623B1" w:rsidRDefault="00B37815" w:rsidP="001541B5">
      <w:pPr>
        <w:pStyle w:val="Heading2"/>
      </w:pPr>
      <w:bookmarkStart w:id="23" w:name="_Toc210034394"/>
      <w:r>
        <w:rPr>
          <w:b w:val="0"/>
          <w:bCs w:val="0"/>
          <w:noProof/>
          <w:sz w:val="22"/>
        </w:rPr>
        <w:drawing>
          <wp:anchor distT="0" distB="0" distL="114300" distR="114300" simplePos="0" relativeHeight="251675652" behindDoc="0" locked="0" layoutInCell="1" allowOverlap="1" wp14:anchorId="57234005" wp14:editId="5C2DA4E6">
            <wp:simplePos x="0" y="0"/>
            <wp:positionH relativeFrom="margin">
              <wp:posOffset>3810</wp:posOffset>
            </wp:positionH>
            <wp:positionV relativeFrom="paragraph">
              <wp:posOffset>35560</wp:posOffset>
            </wp:positionV>
            <wp:extent cx="499110" cy="497205"/>
            <wp:effectExtent l="0" t="0" r="0" b="0"/>
            <wp:wrapSquare wrapText="bothSides"/>
            <wp:docPr id="535725300" name="Picture 19" descr="Water security thematic icon. Green circle with a drop of wa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25300" name="Picture 19" descr="Water security thematic icon. Green circle with a drop of water.">
                      <a:extLst>
                        <a:ext uri="{C183D7F6-B498-43B3-948B-1728B52AA6E4}">
                          <adec:decorative xmlns:adec="http://schemas.microsoft.com/office/drawing/2017/decorative" val="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9110" cy="497205"/>
                    </a:xfrm>
                    <a:prstGeom prst="rect">
                      <a:avLst/>
                    </a:prstGeom>
                    <a:noFill/>
                  </pic:spPr>
                </pic:pic>
              </a:graphicData>
            </a:graphic>
            <wp14:sizeRelH relativeFrom="margin">
              <wp14:pctWidth>0</wp14:pctWidth>
            </wp14:sizeRelH>
            <wp14:sizeRelV relativeFrom="margin">
              <wp14:pctHeight>0</wp14:pctHeight>
            </wp14:sizeRelV>
          </wp:anchor>
        </w:drawing>
      </w:r>
      <w:r>
        <w:t>Thematic Area</w:t>
      </w:r>
      <w:r w:rsidR="003E1041" w:rsidRPr="00050D0C">
        <w:t xml:space="preserve"> 2 – Water</w:t>
      </w:r>
      <w:r>
        <w:t xml:space="preserve"> Security</w:t>
      </w:r>
      <w:bookmarkEnd w:id="23"/>
    </w:p>
    <w:p w14:paraId="11C4F89B" w14:textId="77777777" w:rsidR="009B0312" w:rsidRDefault="009B0312" w:rsidP="00011523">
      <w:pPr>
        <w:rPr>
          <w:rFonts w:cstheme="minorHAnsi"/>
          <w:color w:val="auto"/>
          <w:sz w:val="21"/>
          <w:szCs w:val="21"/>
        </w:rPr>
      </w:pPr>
    </w:p>
    <w:p w14:paraId="3FDFFB8C" w14:textId="6107C140" w:rsidR="009B0312" w:rsidRPr="006F4699" w:rsidRDefault="005D0457" w:rsidP="006F4699">
      <w:pPr>
        <w:pBdr>
          <w:top w:val="single" w:sz="4" w:space="1" w:color="auto"/>
          <w:left w:val="single" w:sz="4" w:space="4" w:color="auto"/>
          <w:bottom w:val="single" w:sz="4" w:space="1" w:color="auto"/>
          <w:right w:val="single" w:sz="4" w:space="4" w:color="auto"/>
        </w:pBdr>
        <w:rPr>
          <w:b/>
          <w:bCs/>
          <w:color w:val="auto"/>
        </w:rPr>
      </w:pPr>
      <w:r>
        <w:rPr>
          <w:b/>
          <w:bCs/>
          <w:color w:val="auto"/>
        </w:rPr>
        <w:t>Thematic Intermediate</w:t>
      </w:r>
      <w:r w:rsidR="009B0312" w:rsidRPr="006F4699">
        <w:rPr>
          <w:b/>
          <w:bCs/>
          <w:color w:val="auto"/>
        </w:rPr>
        <w:t xml:space="preserve"> </w:t>
      </w:r>
      <w:r>
        <w:rPr>
          <w:b/>
          <w:bCs/>
          <w:color w:val="auto"/>
        </w:rPr>
        <w:t>O</w:t>
      </w:r>
      <w:r w:rsidR="009B0312" w:rsidRPr="006F4699">
        <w:rPr>
          <w:b/>
          <w:bCs/>
          <w:color w:val="auto"/>
        </w:rPr>
        <w:t>utcomes:</w:t>
      </w:r>
    </w:p>
    <w:p w14:paraId="0EC2001B" w14:textId="4326C900" w:rsidR="009B0312" w:rsidRPr="006F4699" w:rsidRDefault="009B0312" w:rsidP="006F4699">
      <w:pPr>
        <w:pBdr>
          <w:top w:val="single" w:sz="4" w:space="1" w:color="auto"/>
          <w:left w:val="single" w:sz="4" w:space="4" w:color="auto"/>
          <w:bottom w:val="single" w:sz="4" w:space="1" w:color="auto"/>
          <w:right w:val="single" w:sz="4" w:space="4" w:color="auto"/>
        </w:pBdr>
        <w:rPr>
          <w:b/>
          <w:bCs/>
          <w:color w:val="auto"/>
        </w:rPr>
      </w:pPr>
      <w:r w:rsidRPr="006F4699">
        <w:rPr>
          <w:b/>
          <w:bCs/>
          <w:color w:val="auto"/>
        </w:rPr>
        <w:t>Outcome 1</w:t>
      </w:r>
      <w:r w:rsidRPr="006F4699">
        <w:rPr>
          <w:color w:val="auto"/>
        </w:rPr>
        <w:t xml:space="preserve">: </w:t>
      </w:r>
      <w:r w:rsidR="00AB0861" w:rsidRPr="00CA7B75">
        <w:t>Subregional and national water governance structures, policies, and practices are more effective and inclusive.</w:t>
      </w:r>
    </w:p>
    <w:p w14:paraId="438AC1E8" w14:textId="1248276D" w:rsidR="009B0312" w:rsidRPr="006F4699" w:rsidRDefault="009B0312" w:rsidP="006F4699">
      <w:pPr>
        <w:pBdr>
          <w:top w:val="single" w:sz="4" w:space="1" w:color="auto"/>
          <w:left w:val="single" w:sz="4" w:space="4" w:color="auto"/>
          <w:bottom w:val="single" w:sz="4" w:space="1" w:color="auto"/>
          <w:right w:val="single" w:sz="4" w:space="4" w:color="auto"/>
        </w:pBdr>
        <w:rPr>
          <w:color w:val="auto"/>
        </w:rPr>
      </w:pPr>
      <w:r w:rsidRPr="006F4699">
        <w:rPr>
          <w:b/>
          <w:bCs/>
          <w:color w:val="auto"/>
        </w:rPr>
        <w:t>Outcome 2</w:t>
      </w:r>
      <w:r w:rsidRPr="006F4699">
        <w:rPr>
          <w:color w:val="auto"/>
        </w:rPr>
        <w:t xml:space="preserve">: </w:t>
      </w:r>
      <w:r w:rsidR="00CD15F0" w:rsidRPr="00CA7B75">
        <w:t>Mekong partners have improved data, information, and evidence production and sharing to strengthen decision-making in the water sector.</w:t>
      </w:r>
    </w:p>
    <w:p w14:paraId="3D3DC0AA" w14:textId="3A6E81C1" w:rsidR="009B0312" w:rsidRPr="006F4699" w:rsidRDefault="009B0312" w:rsidP="006F4699">
      <w:pPr>
        <w:pBdr>
          <w:top w:val="single" w:sz="4" w:space="1" w:color="auto"/>
          <w:left w:val="single" w:sz="4" w:space="4" w:color="auto"/>
          <w:bottom w:val="single" w:sz="4" w:space="1" w:color="auto"/>
          <w:right w:val="single" w:sz="4" w:space="4" w:color="auto"/>
        </w:pBdr>
        <w:rPr>
          <w:color w:val="auto"/>
        </w:rPr>
      </w:pPr>
      <w:r w:rsidRPr="006F4699">
        <w:rPr>
          <w:b/>
          <w:bCs/>
          <w:color w:val="auto"/>
        </w:rPr>
        <w:t>Outcome 3</w:t>
      </w:r>
      <w:r w:rsidRPr="006F4699">
        <w:rPr>
          <w:color w:val="auto"/>
        </w:rPr>
        <w:t xml:space="preserve">: </w:t>
      </w:r>
      <w:r w:rsidR="00EA5AC0" w:rsidRPr="00CA7B75">
        <w:t>Civil society organisations strengthen their capacities and influence on water governance issues.</w:t>
      </w:r>
    </w:p>
    <w:p w14:paraId="323BEC2B" w14:textId="73E639E6" w:rsidR="009B0312" w:rsidRDefault="009B0312" w:rsidP="006F4699">
      <w:pPr>
        <w:pBdr>
          <w:top w:val="single" w:sz="4" w:space="1" w:color="auto"/>
          <w:left w:val="single" w:sz="4" w:space="4" w:color="auto"/>
          <w:bottom w:val="single" w:sz="4" w:space="1" w:color="auto"/>
          <w:right w:val="single" w:sz="4" w:space="4" w:color="auto"/>
        </w:pBdr>
        <w:rPr>
          <w:rFonts w:cstheme="minorHAnsi"/>
          <w:color w:val="auto"/>
          <w:sz w:val="21"/>
          <w:szCs w:val="21"/>
        </w:rPr>
      </w:pPr>
      <w:r w:rsidRPr="006F4699">
        <w:rPr>
          <w:b/>
          <w:bCs/>
          <w:color w:val="auto"/>
        </w:rPr>
        <w:t>Outcome 4</w:t>
      </w:r>
      <w:r w:rsidRPr="00366257">
        <w:rPr>
          <w:color w:val="auto"/>
        </w:rPr>
        <w:t xml:space="preserve">: </w:t>
      </w:r>
      <w:r w:rsidR="00CA7B75" w:rsidRPr="00CA7B75">
        <w:t>Collaboration between Australian and Mekong institutions for shared learning in water governance is improved</w:t>
      </w:r>
    </w:p>
    <w:p w14:paraId="5F38B749" w14:textId="77777777" w:rsidR="00912222" w:rsidRPr="00614A6C" w:rsidRDefault="00912222" w:rsidP="00912222">
      <w:pPr>
        <w:spacing w:after="120"/>
        <w:rPr>
          <w:color w:val="000000" w:themeColor="text1"/>
          <w:szCs w:val="22"/>
        </w:rPr>
      </w:pPr>
      <w:r w:rsidRPr="00614A6C">
        <w:rPr>
          <w:color w:val="000000" w:themeColor="text2"/>
          <w:szCs w:val="22"/>
        </w:rPr>
        <w:t xml:space="preserve">In 2024, </w:t>
      </w:r>
      <w:r>
        <w:rPr>
          <w:color w:val="000000" w:themeColor="text2"/>
          <w:szCs w:val="22"/>
        </w:rPr>
        <w:t>ten</w:t>
      </w:r>
      <w:r w:rsidRPr="00614A6C">
        <w:rPr>
          <w:color w:val="000000" w:themeColor="text2"/>
          <w:szCs w:val="22"/>
        </w:rPr>
        <w:t xml:space="preserve"> investments targeting water security are being implemented; one investment is bilateral, the rest are regional. The investments are being implemented by a range of delivery partners</w:t>
      </w:r>
      <w:r>
        <w:rPr>
          <w:color w:val="000000" w:themeColor="text2"/>
          <w:szCs w:val="22"/>
        </w:rPr>
        <w:t xml:space="preserve">, including multilateral agencies, international and regional organisations, civil society organisations, universities, research institutes, and Australian government agencies. </w:t>
      </w:r>
    </w:p>
    <w:p w14:paraId="1DDC5DDD" w14:textId="77777777" w:rsidR="00912222" w:rsidRPr="00614A6C" w:rsidRDefault="00912222" w:rsidP="00912222">
      <w:pPr>
        <w:spacing w:after="120"/>
        <w:rPr>
          <w:color w:val="000000" w:themeColor="text1"/>
          <w:szCs w:val="22"/>
        </w:rPr>
      </w:pPr>
      <w:r w:rsidRPr="00614A6C">
        <w:rPr>
          <w:color w:val="000000" w:themeColor="text1"/>
          <w:szCs w:val="22"/>
        </w:rPr>
        <w:t>Several water security issues were addressed, including water science to underpin inter-government negotiations, water scarcity and water accounting, integrated river basin management, water infrastructure governance fish passes, pumped hydropower energy storage, water-sensitive and climate-resilient cities, and the scourge of plastic pollution in waterways. All the investments have a capacity-building element for Mekong stakeholders to enable more sustainable water management.</w:t>
      </w:r>
    </w:p>
    <w:p w14:paraId="790AE207" w14:textId="77777777" w:rsidR="00000748" w:rsidRPr="00EA3F6C" w:rsidRDefault="00000748" w:rsidP="00000748">
      <w:pPr>
        <w:rPr>
          <w:rFonts w:cstheme="minorHAnsi"/>
          <w:b/>
          <w:bCs/>
          <w:color w:val="auto"/>
          <w:szCs w:val="22"/>
          <w:u w:val="single"/>
        </w:rPr>
      </w:pPr>
      <w:r w:rsidRPr="00EA3F6C">
        <w:rPr>
          <w:rFonts w:cstheme="minorHAnsi"/>
          <w:b/>
          <w:bCs/>
          <w:color w:val="auto"/>
          <w:szCs w:val="22"/>
          <w:u w:val="single"/>
        </w:rPr>
        <w:t>Summary of progress and achievement against outcomes</w:t>
      </w:r>
    </w:p>
    <w:p w14:paraId="0194076E" w14:textId="77777777" w:rsidR="00E5013A" w:rsidRPr="00614A6C" w:rsidRDefault="00E5013A" w:rsidP="00D62568">
      <w:pPr>
        <w:framePr w:hSpace="180" w:wrap="around" w:vAnchor="text" w:hAnchor="margin" w:y="10"/>
        <w:rPr>
          <w:szCs w:val="22"/>
        </w:rPr>
      </w:pPr>
      <w:r w:rsidRPr="00D62568">
        <w:rPr>
          <w:b/>
          <w:bCs/>
          <w:szCs w:val="22"/>
        </w:rPr>
        <w:t>MAP has supported the capacity of subregional and regional stakeholders in managing transboundary water resources more effectively</w:t>
      </w:r>
      <w:r w:rsidRPr="00614A6C">
        <w:rPr>
          <w:szCs w:val="22"/>
        </w:rPr>
        <w:t xml:space="preserve">. By supporting the MRC, MAP has helped enable the implementation of policies and tools to address transboundary water issues. For example, completion of pilot application of Transboundary Environmental Impact Assessment in </w:t>
      </w:r>
      <w:proofErr w:type="spellStart"/>
      <w:r w:rsidRPr="00614A6C">
        <w:rPr>
          <w:szCs w:val="22"/>
        </w:rPr>
        <w:t>Sekong</w:t>
      </w:r>
      <w:proofErr w:type="spellEnd"/>
      <w:r w:rsidRPr="00614A6C">
        <w:rPr>
          <w:szCs w:val="22"/>
        </w:rPr>
        <w:t xml:space="preserve"> A dam in 2024. Preliminary Design Guidelines (PDG) for proposed mainstream dams in the Lower Mekong Basin were updated to better reflect the needs of riparian communities with river-dependent livelihoods. The Lao Government adopted PDG into its national Standard Operating Procedure for hydropower projects, </w:t>
      </w:r>
      <w:r>
        <w:rPr>
          <w:szCs w:val="22"/>
        </w:rPr>
        <w:t>demonstrating</w:t>
      </w:r>
      <w:r w:rsidRPr="00614A6C">
        <w:rPr>
          <w:szCs w:val="22"/>
        </w:rPr>
        <w:t xml:space="preserve"> the MRC's influence at </w:t>
      </w:r>
      <w:r>
        <w:rPr>
          <w:szCs w:val="22"/>
        </w:rPr>
        <w:t xml:space="preserve">the </w:t>
      </w:r>
      <w:r w:rsidRPr="00614A6C">
        <w:rPr>
          <w:szCs w:val="22"/>
        </w:rPr>
        <w:t xml:space="preserve">national level. The MRC made considerable progress implementing the Procedure for Notification, Prior Consultation and Agreement (PNPCA) for the proposed </w:t>
      </w:r>
      <w:proofErr w:type="spellStart"/>
      <w:r w:rsidRPr="00614A6C">
        <w:rPr>
          <w:szCs w:val="22"/>
        </w:rPr>
        <w:t>Sanakham</w:t>
      </w:r>
      <w:proofErr w:type="spellEnd"/>
      <w:r w:rsidRPr="00614A6C">
        <w:rPr>
          <w:szCs w:val="22"/>
        </w:rPr>
        <w:t xml:space="preserve"> hydropower project on the Mekong mainstream, overcoming a lengthy impasse between Laos and Thailand.</w:t>
      </w:r>
    </w:p>
    <w:p w14:paraId="36F01008" w14:textId="56720A5C" w:rsidR="00366257" w:rsidRDefault="00E5013A" w:rsidP="00E5013A">
      <w:pPr>
        <w:rPr>
          <w:szCs w:val="22"/>
        </w:rPr>
      </w:pPr>
      <w:r w:rsidRPr="00614A6C">
        <w:rPr>
          <w:szCs w:val="22"/>
        </w:rPr>
        <w:t xml:space="preserve">Through the </w:t>
      </w:r>
      <w:proofErr w:type="spellStart"/>
      <w:r w:rsidRPr="00614A6C">
        <w:rPr>
          <w:szCs w:val="22"/>
        </w:rPr>
        <w:t>FishTech</w:t>
      </w:r>
      <w:proofErr w:type="spellEnd"/>
      <w:r w:rsidRPr="00614A6C">
        <w:rPr>
          <w:szCs w:val="22"/>
        </w:rPr>
        <w:t xml:space="preserve"> investment, MAP partnered with ACIAR to support initiatives to ensure fish-friendly irrigation and infrastructure development, which is critical to protecting both livelihoods and biodiversity. In 2024, Charles Sturt University implemented five capacity building training workshops, including a masterclass in Thailand which included 50 participants from across Thai government (engineers, managers and fisheries scientist</w:t>
      </w:r>
      <w:r>
        <w:rPr>
          <w:szCs w:val="22"/>
        </w:rPr>
        <w:t>s</w:t>
      </w:r>
      <w:r w:rsidRPr="00614A6C">
        <w:rPr>
          <w:szCs w:val="22"/>
        </w:rPr>
        <w:t>, 22</w:t>
      </w:r>
      <w:r>
        <w:rPr>
          <w:szCs w:val="22"/>
        </w:rPr>
        <w:t xml:space="preserve"> per cent</w:t>
      </w:r>
      <w:r w:rsidRPr="00614A6C">
        <w:rPr>
          <w:szCs w:val="22"/>
        </w:rPr>
        <w:t xml:space="preserve"> were women). The project also hosted a study tour to Australia in June 2024 for 23 fisheries and irrigation officials from Thailand, Laos, Cambodia, and Vietnam. This enhanced knowledge, expertise, team dynamics and </w:t>
      </w:r>
      <w:r w:rsidRPr="00614A6C">
        <w:rPr>
          <w:szCs w:val="22"/>
        </w:rPr>
        <w:lastRenderedPageBreak/>
        <w:t xml:space="preserve">connections across the regional program and will contribute to improved implementation of policies such as the MRC Guidelines on Fish-Friendly Irrigation and the FAO’s Making the Case for Fish Friendly Irrigation, both shaped by </w:t>
      </w:r>
      <w:proofErr w:type="spellStart"/>
      <w:r w:rsidRPr="00614A6C">
        <w:rPr>
          <w:szCs w:val="22"/>
        </w:rPr>
        <w:t>FishTech</w:t>
      </w:r>
      <w:proofErr w:type="spellEnd"/>
      <w:r w:rsidRPr="00614A6C">
        <w:rPr>
          <w:szCs w:val="22"/>
        </w:rPr>
        <w:t xml:space="preserve"> researchers.</w:t>
      </w:r>
    </w:p>
    <w:p w14:paraId="4777CDD5" w14:textId="77777777" w:rsidR="00BA3909" w:rsidRPr="00614A6C" w:rsidRDefault="00BA3909" w:rsidP="00D62568">
      <w:pPr>
        <w:framePr w:hSpace="180" w:wrap="around" w:vAnchor="text" w:hAnchor="margin" w:y="10"/>
        <w:rPr>
          <w:szCs w:val="22"/>
        </w:rPr>
      </w:pPr>
      <w:r w:rsidRPr="00D62568">
        <w:rPr>
          <w:b/>
          <w:bCs/>
          <w:szCs w:val="22"/>
        </w:rPr>
        <w:t>With MAP support, Mekong partners have improved data, information, and evidence production and sharing to strengthen decision-making in the water sector.</w:t>
      </w:r>
      <w:r w:rsidRPr="00614A6C">
        <w:rPr>
          <w:szCs w:val="22"/>
        </w:rPr>
        <w:t xml:space="preserve">  For example, support to MRC through </w:t>
      </w:r>
      <w:proofErr w:type="spellStart"/>
      <w:r w:rsidRPr="00614A6C">
        <w:rPr>
          <w:szCs w:val="22"/>
        </w:rPr>
        <w:t>eWater</w:t>
      </w:r>
      <w:proofErr w:type="spellEnd"/>
      <w:r w:rsidRPr="00614A6C">
        <w:rPr>
          <w:szCs w:val="22"/>
        </w:rPr>
        <w:t xml:space="preserve"> has contributed to improving how water-related data is shared and used across the Mekong River region. This includes tools for sharing information such as new dashboards and guidelines; training of MRC staff </w:t>
      </w:r>
      <w:proofErr w:type="gramStart"/>
      <w:r w:rsidRPr="00614A6C">
        <w:rPr>
          <w:szCs w:val="22"/>
        </w:rPr>
        <w:t>and;</w:t>
      </w:r>
      <w:proofErr w:type="gramEnd"/>
      <w:r w:rsidRPr="00614A6C">
        <w:rPr>
          <w:szCs w:val="22"/>
        </w:rPr>
        <w:t xml:space="preserve"> improvement in forecasting capacity by upgrading the system used to predict river conditions to include data from 88 different climate change scenarios.  </w:t>
      </w:r>
      <w:proofErr w:type="gramStart"/>
      <w:r w:rsidRPr="00614A6C">
        <w:rPr>
          <w:szCs w:val="22"/>
        </w:rPr>
        <w:t>A number of</w:t>
      </w:r>
      <w:proofErr w:type="gramEnd"/>
      <w:r w:rsidRPr="00614A6C">
        <w:rPr>
          <w:szCs w:val="22"/>
        </w:rPr>
        <w:t xml:space="preserve"> research projects have demonstrated positive impacts of cooperation, including a Joint Study on Changing Pattern of Hydrological Conditions of the Lancang-Mekong River Basin and Adaptation Strategies between MRC and the Lancang-Mekong Cooperation (LMC) Water Centre, with experts from six riparian countries visiting the headwaters of the basin in Qinghai Province, China. The Joint Study marked a significant step in entire-basin water management and cooperation as shown by the agreement to establish a Joint Expert Group for Data Modelling and Forecasting. A second Joint Survey was undertaken at Lake Tonle Sap and the Mekong Delta.</w:t>
      </w:r>
    </w:p>
    <w:p w14:paraId="5A2046C2" w14:textId="77777777" w:rsidR="00BA3909" w:rsidRPr="00614A6C" w:rsidRDefault="00BA3909" w:rsidP="00D62568">
      <w:pPr>
        <w:framePr w:hSpace="180" w:wrap="around" w:vAnchor="text" w:hAnchor="margin" w:y="10"/>
        <w:rPr>
          <w:szCs w:val="22"/>
        </w:rPr>
      </w:pPr>
      <w:r w:rsidRPr="00614A6C">
        <w:rPr>
          <w:szCs w:val="22"/>
        </w:rPr>
        <w:t>To enhance data sharing not just among MRC Member Countries water agencies but with the wider public, the MRC developed and launched the One Mekong App, an innovative tool that supports the sharing of information related to the Mekong River. It provides information from the Core River Monitoring Network (CRMN) which provides real-time monitoring and forecasting data on various aspects such as water quality, hydrology, sediment, environmental health, fisheries, climate, and precipitation.</w:t>
      </w:r>
    </w:p>
    <w:p w14:paraId="44C4A842" w14:textId="23476D46" w:rsidR="00BA3909" w:rsidRDefault="00BA3909" w:rsidP="00BA3909">
      <w:pPr>
        <w:rPr>
          <w:szCs w:val="22"/>
        </w:rPr>
      </w:pPr>
      <w:r w:rsidRPr="00614A6C">
        <w:rPr>
          <w:szCs w:val="22"/>
        </w:rPr>
        <w:t xml:space="preserve">With co-financing by the FAO under the ‘Drought Impact Assessment in the Central Highlands’ national project, and in close collaboration with </w:t>
      </w:r>
      <w:r>
        <w:rPr>
          <w:szCs w:val="22"/>
        </w:rPr>
        <w:t>the Ministry of Natural Resources and the Environment (</w:t>
      </w:r>
      <w:r w:rsidRPr="00614A6C">
        <w:rPr>
          <w:szCs w:val="22"/>
        </w:rPr>
        <w:t>MONRE</w:t>
      </w:r>
      <w:r>
        <w:rPr>
          <w:szCs w:val="22"/>
        </w:rPr>
        <w:t>)</w:t>
      </w:r>
      <w:r w:rsidRPr="00614A6C">
        <w:rPr>
          <w:szCs w:val="22"/>
        </w:rPr>
        <w:t xml:space="preserve"> and </w:t>
      </w:r>
      <w:r>
        <w:rPr>
          <w:szCs w:val="22"/>
        </w:rPr>
        <w:t>the Ministry of Agriculture and Rural Development (</w:t>
      </w:r>
      <w:r w:rsidRPr="00614A6C">
        <w:rPr>
          <w:szCs w:val="22"/>
        </w:rPr>
        <w:t>MARD</w:t>
      </w:r>
      <w:r>
        <w:rPr>
          <w:szCs w:val="22"/>
        </w:rPr>
        <w:t>)</w:t>
      </w:r>
      <w:r w:rsidRPr="00614A6C">
        <w:rPr>
          <w:szCs w:val="22"/>
        </w:rPr>
        <w:t>, MAP is supporting the development of operational tools for agricultural drought monitoring using high-resolution remote sensing data. Activities focus on the Dak Lak and Dak Nong provinces, covering a trial block of 1,500 km², with the broader goal of enabling field-scale water accounting and productivity assessments across Viet</w:t>
      </w:r>
      <w:r>
        <w:rPr>
          <w:szCs w:val="22"/>
        </w:rPr>
        <w:t>n</w:t>
      </w:r>
      <w:r w:rsidRPr="00614A6C">
        <w:rPr>
          <w:szCs w:val="22"/>
        </w:rPr>
        <w:t>am’s drought-prone Central Highlands. This work complements national objectives under the Water Resources Law and supports Sustainable Development Goals 2 and 13 by enhancing data-driven decision-making for drought management and water productivity. It also establishes a technical foundation for the economic valuation of water, as part of Viet</w:t>
      </w:r>
      <w:r>
        <w:rPr>
          <w:szCs w:val="22"/>
        </w:rPr>
        <w:t>n</w:t>
      </w:r>
      <w:r w:rsidRPr="00614A6C">
        <w:rPr>
          <w:szCs w:val="22"/>
        </w:rPr>
        <w:t>am’s broader water resource governance reforms.</w:t>
      </w:r>
    </w:p>
    <w:p w14:paraId="10A1D32E" w14:textId="77777777" w:rsidR="003620CF" w:rsidRPr="00614A6C" w:rsidRDefault="003620CF" w:rsidP="003620CF">
      <w:pPr>
        <w:rPr>
          <w:szCs w:val="22"/>
        </w:rPr>
      </w:pPr>
      <w:r w:rsidRPr="00D62568">
        <w:rPr>
          <w:b/>
          <w:bCs/>
          <w:szCs w:val="22"/>
        </w:rPr>
        <w:t>MAP continues to support civil society’s capacity and influence on water security issues and to make water governance in the Mekong subregion more inclusive.</w:t>
      </w:r>
      <w:r w:rsidRPr="00614A6C">
        <w:rPr>
          <w:szCs w:val="22"/>
        </w:rPr>
        <w:t xml:space="preserve">   The Inclusion Project Phase 2 (IP2) implemented by Oxfam, promoted women’s leadership and supported women community members by facilitating their active participation in national, regional, and international governance processes that were not previously feasible. IP2 has achieved a high level of success in promoting the inclusion and leadership of women, including young women and indigenous women in community organisation</w:t>
      </w:r>
      <w:r>
        <w:rPr>
          <w:szCs w:val="22"/>
        </w:rPr>
        <w:t>s</w:t>
      </w:r>
      <w:r w:rsidRPr="00614A6C">
        <w:rPr>
          <w:szCs w:val="22"/>
        </w:rPr>
        <w:t xml:space="preserve"> and leadership while also providing opportunities for engagement in water governance processes at various levels. A total of 96 women exhibited leadership in water governance and spoke in local, national, regional and global gatherings on water and energy issues. However, while women are participating and engaging, their influence</w:t>
      </w:r>
      <w:r>
        <w:rPr>
          <w:szCs w:val="22"/>
        </w:rPr>
        <w:t xml:space="preserve"> on</w:t>
      </w:r>
      <w:r w:rsidRPr="00614A6C">
        <w:rPr>
          <w:szCs w:val="22"/>
        </w:rPr>
        <w:t xml:space="preserve"> practice and policy at national and regional levels remains </w:t>
      </w:r>
      <w:r>
        <w:rPr>
          <w:szCs w:val="22"/>
        </w:rPr>
        <w:t>unclear</w:t>
      </w:r>
      <w:r w:rsidRPr="00614A6C">
        <w:rPr>
          <w:szCs w:val="22"/>
        </w:rPr>
        <w:t>.</w:t>
      </w:r>
    </w:p>
    <w:p w14:paraId="49A0A07F" w14:textId="77777777" w:rsidR="00661EEA" w:rsidRPr="00614A6C" w:rsidRDefault="00661EEA" w:rsidP="00D62568">
      <w:pPr>
        <w:rPr>
          <w:szCs w:val="22"/>
        </w:rPr>
      </w:pPr>
      <w:r w:rsidRPr="00614A6C">
        <w:rPr>
          <w:szCs w:val="22"/>
        </w:rPr>
        <w:lastRenderedPageBreak/>
        <w:t>In Laos, through the Climate Resilient by Nature investment</w:t>
      </w:r>
      <w:r>
        <w:rPr>
          <w:szCs w:val="22"/>
        </w:rPr>
        <w:t>, WWF</w:t>
      </w:r>
      <w:r w:rsidRPr="00614A6C">
        <w:rPr>
          <w:szCs w:val="22"/>
        </w:rPr>
        <w:t xml:space="preserve"> worked with civil society partners and target communities alongside national and local government agencies to strengthen village Ecosystem-based Adaptation (</w:t>
      </w:r>
      <w:proofErr w:type="spellStart"/>
      <w:r w:rsidRPr="00614A6C">
        <w:rPr>
          <w:szCs w:val="22"/>
        </w:rPr>
        <w:t>EbA</w:t>
      </w:r>
      <w:proofErr w:type="spellEnd"/>
      <w:r w:rsidRPr="00614A6C">
        <w:rPr>
          <w:szCs w:val="22"/>
        </w:rPr>
        <w:t xml:space="preserve">) plans, and drive practical measures for river, riverbank and forest protection in the targeted communities.  The project has so far established nine forest conservation zones, covering 86 hectares of the </w:t>
      </w:r>
      <w:proofErr w:type="spellStart"/>
      <w:r w:rsidRPr="00614A6C">
        <w:rPr>
          <w:szCs w:val="22"/>
        </w:rPr>
        <w:t>Siphandone</w:t>
      </w:r>
      <w:proofErr w:type="spellEnd"/>
      <w:r w:rsidRPr="00614A6C">
        <w:rPr>
          <w:szCs w:val="22"/>
        </w:rPr>
        <w:t xml:space="preserve"> riverscape, which include no take zones and periods to allow fish stocks to recover. Regulations are enforced by seven community-led river patrol teams with 56 members, who have conducted over 230 river patrols spanning 1700 hectares or the river system, uncovering 70 instances of law enforcement encroachments (e.g. illegal fishing gear confiscated). Fish catch monitoring data shows an increase in catch per unit from 0.34 kg/hour in 2023 to 0.49 kg/hour in 2024 (44</w:t>
      </w:r>
      <w:r>
        <w:rPr>
          <w:szCs w:val="22"/>
        </w:rPr>
        <w:t xml:space="preserve"> per cent</w:t>
      </w:r>
      <w:r w:rsidRPr="00614A6C">
        <w:rPr>
          <w:szCs w:val="22"/>
        </w:rPr>
        <w:t xml:space="preserve"> increase in </w:t>
      </w:r>
      <w:r>
        <w:rPr>
          <w:szCs w:val="22"/>
        </w:rPr>
        <w:t>one</w:t>
      </w:r>
      <w:r w:rsidRPr="00614A6C">
        <w:rPr>
          <w:szCs w:val="22"/>
        </w:rPr>
        <w:t xml:space="preserve"> year), indicating fish conservation progress.</w:t>
      </w:r>
    </w:p>
    <w:p w14:paraId="5268F472" w14:textId="77777777" w:rsidR="00D62568" w:rsidRPr="00D62568" w:rsidRDefault="00D62568" w:rsidP="00D62568">
      <w:pPr>
        <w:framePr w:hSpace="180" w:wrap="around" w:vAnchor="text" w:hAnchor="margin" w:y="10"/>
        <w:rPr>
          <w:szCs w:val="22"/>
        </w:rPr>
      </w:pPr>
      <w:r w:rsidRPr="00D62568">
        <w:rPr>
          <w:b/>
          <w:bCs/>
          <w:szCs w:val="22"/>
        </w:rPr>
        <w:t>MAP continues to foster and strengthen collaboration between Australian and Mekong institutions to share practices and lessons learned in water governance.</w:t>
      </w:r>
      <w:r w:rsidRPr="00D62568">
        <w:rPr>
          <w:szCs w:val="22"/>
        </w:rPr>
        <w:t xml:space="preserve">  </w:t>
      </w:r>
      <w:r w:rsidRPr="00614A6C">
        <w:rPr>
          <w:szCs w:val="22"/>
        </w:rPr>
        <w:t xml:space="preserve"> </w:t>
      </w:r>
      <w:r w:rsidRPr="00D62568">
        <w:rPr>
          <w:szCs w:val="22"/>
        </w:rPr>
        <w:t xml:space="preserve">Through the combined efforts of DFAT, ACIAR, CSIRO, Australian universities and Australian Water Partnership, MAP continues to advance strategic partnerships between Australian experts and partners across the Mekong subregion: governments, universities, civil society organisations, multilateral banks, </w:t>
      </w:r>
      <w:proofErr w:type="gramStart"/>
      <w:r w:rsidRPr="00D62568">
        <w:rPr>
          <w:szCs w:val="22"/>
        </w:rPr>
        <w:t>locally-led</w:t>
      </w:r>
      <w:proofErr w:type="gramEnd"/>
      <w:r w:rsidRPr="00D62568">
        <w:rPr>
          <w:szCs w:val="22"/>
        </w:rPr>
        <w:t xml:space="preserve"> architecture and key private sector actors. </w:t>
      </w:r>
    </w:p>
    <w:p w14:paraId="1F76968D" w14:textId="77777777" w:rsidR="00D62568" w:rsidRPr="00D62568" w:rsidRDefault="00D62568" w:rsidP="00D62568">
      <w:pPr>
        <w:framePr w:hSpace="180" w:wrap="around" w:vAnchor="text" w:hAnchor="margin" w:y="10"/>
        <w:rPr>
          <w:szCs w:val="22"/>
        </w:rPr>
      </w:pPr>
      <w:r w:rsidRPr="00D62568">
        <w:rPr>
          <w:szCs w:val="22"/>
        </w:rPr>
        <w:t xml:space="preserve">For example, the Australian Water Partnership (AWP), MAP continues to advance strategic partnerships between Australian expert organisations and individuals with key bilateral partners across the Mekong - </w:t>
      </w:r>
      <w:r w:rsidRPr="00614A6C">
        <w:rPr>
          <w:szCs w:val="22"/>
        </w:rPr>
        <w:t xml:space="preserve">the </w:t>
      </w:r>
      <w:r w:rsidRPr="00D62568">
        <w:rPr>
          <w:szCs w:val="22"/>
        </w:rPr>
        <w:t xml:space="preserve">Directorate of Water Resource (DWR) in Vietnam, the Department of Water Resources (DWR) in Laos, and the National Water Resources and the Royal Irrigation Department in Thailand. In 2024, AWP engaged with these and other key partners in the preparation of AWP’s strategy for the region while at the same time undertaking specific activities in countries. For example, AWP worked with DWR to support the implementation of the National Groundwater Management Action Plan (NGWAP) and the drafting of Sustainable Groundwater Management Plans for four provinces. AWP will support DWR in training its staff on hydrogeological mapping and groundwater management. </w:t>
      </w:r>
    </w:p>
    <w:p w14:paraId="237A7099" w14:textId="77777777" w:rsidR="00D62568" w:rsidRPr="00D62568" w:rsidRDefault="00D62568" w:rsidP="00D62568">
      <w:pPr>
        <w:framePr w:hSpace="180" w:wrap="around" w:vAnchor="text" w:hAnchor="margin" w:y="10"/>
        <w:rPr>
          <w:szCs w:val="22"/>
        </w:rPr>
      </w:pPr>
      <w:r w:rsidRPr="00D62568">
        <w:rPr>
          <w:szCs w:val="22"/>
        </w:rPr>
        <w:t>The Australian National University investment supported by MAP has assisted the Pumped Storage Hydro (PSH) team of the Electricity Generation Authority of Thailand (EGAT) on investigating PSH site selection and installation in southern Thailand. At the same time, EGAT has supported the project's regional activities with MRC by hosting and participating in two workshops.</w:t>
      </w:r>
    </w:p>
    <w:p w14:paraId="0A20351A" w14:textId="3FA1F446" w:rsidR="00D57C54" w:rsidRDefault="00D62568" w:rsidP="00D62568">
      <w:pPr>
        <w:rPr>
          <w:szCs w:val="22"/>
        </w:rPr>
      </w:pPr>
      <w:r w:rsidRPr="00D62568">
        <w:rPr>
          <w:szCs w:val="22"/>
        </w:rPr>
        <w:t xml:space="preserve">Twelve Vietnamese start-ups focused on addressing plastic pollution received support from Australia through the Indo-Pacific Plastics Innovation Network, an initiative executed by the CSIRO, aimed at establishing a pipeline of scalable innovations to combat plastic leakage in the Indo-Pacific and Mekong sub-region. Venture teams took part in capacity-building sessions to enhance investment and technology readiness. Several teams secured additional investments, signed </w:t>
      </w:r>
      <w:proofErr w:type="spellStart"/>
      <w:r w:rsidRPr="00D62568">
        <w:rPr>
          <w:szCs w:val="22"/>
        </w:rPr>
        <w:t>MoUs</w:t>
      </w:r>
      <w:proofErr w:type="spellEnd"/>
      <w:r w:rsidRPr="00D62568">
        <w:rPr>
          <w:szCs w:val="22"/>
        </w:rPr>
        <w:t>, partnered with Southeast Asia's leading plastics recycling company and universities, and initiated export discussions.</w:t>
      </w:r>
    </w:p>
    <w:p w14:paraId="4324FB6B" w14:textId="77777777" w:rsidR="00D57C54" w:rsidRDefault="00D57C54">
      <w:pPr>
        <w:spacing w:before="0" w:after="160" w:line="259" w:lineRule="auto"/>
        <w:rPr>
          <w:szCs w:val="22"/>
        </w:rPr>
      </w:pPr>
      <w:r>
        <w:rPr>
          <w:szCs w:val="22"/>
        </w:rPr>
        <w:br w:type="page"/>
      </w:r>
    </w:p>
    <w:p w14:paraId="53BAF98E" w14:textId="0D4A4FD2" w:rsidR="00211667" w:rsidRDefault="00F51E5F" w:rsidP="00F51E5F">
      <w:pPr>
        <w:pStyle w:val="Heading2"/>
      </w:pPr>
      <w:bookmarkStart w:id="24" w:name="_Toc134437118"/>
      <w:bookmarkStart w:id="25" w:name="_Toc210034395"/>
      <w:bookmarkEnd w:id="24"/>
      <w:r>
        <w:rPr>
          <w:b w:val="0"/>
          <w:bCs w:val="0"/>
          <w:noProof/>
          <w:sz w:val="22"/>
        </w:rPr>
        <w:lastRenderedPageBreak/>
        <w:drawing>
          <wp:anchor distT="0" distB="0" distL="114300" distR="114300" simplePos="0" relativeHeight="251677700" behindDoc="1" locked="0" layoutInCell="1" allowOverlap="1" wp14:anchorId="351A4D28" wp14:editId="108BBF11">
            <wp:simplePos x="0" y="0"/>
            <wp:positionH relativeFrom="margin">
              <wp:align>left</wp:align>
            </wp:positionH>
            <wp:positionV relativeFrom="paragraph">
              <wp:posOffset>9525</wp:posOffset>
            </wp:positionV>
            <wp:extent cx="502285" cy="504190"/>
            <wp:effectExtent l="0" t="0" r="0" b="0"/>
            <wp:wrapTight wrapText="bothSides">
              <wp:wrapPolygon edited="0">
                <wp:start x="4915" y="0"/>
                <wp:lineTo x="0" y="3264"/>
                <wp:lineTo x="0" y="17139"/>
                <wp:lineTo x="4915" y="20403"/>
                <wp:lineTo x="15565" y="20403"/>
                <wp:lineTo x="20480" y="17139"/>
                <wp:lineTo x="20480" y="3264"/>
                <wp:lineTo x="15565" y="0"/>
                <wp:lineTo x="4915" y="0"/>
              </wp:wrapPolygon>
            </wp:wrapTight>
            <wp:docPr id="227109772" name="Picture 20" descr="GEDSI thematic icon. A green circle with hands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09772" name="Picture 20" descr="GEDSI thematic icon. A green circle with hands meet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285" cy="504190"/>
                    </a:xfrm>
                    <a:prstGeom prst="rect">
                      <a:avLst/>
                    </a:prstGeom>
                    <a:noFill/>
                  </pic:spPr>
                </pic:pic>
              </a:graphicData>
            </a:graphic>
            <wp14:sizeRelH relativeFrom="margin">
              <wp14:pctWidth>0</wp14:pctWidth>
            </wp14:sizeRelH>
            <wp14:sizeRelV relativeFrom="margin">
              <wp14:pctHeight>0</wp14:pctHeight>
            </wp14:sizeRelV>
          </wp:anchor>
        </w:drawing>
      </w:r>
      <w:r w:rsidR="00C05909">
        <w:t>Thematic Area</w:t>
      </w:r>
      <w:r w:rsidR="00211667" w:rsidRPr="00D16EED">
        <w:t xml:space="preserve"> 3 – </w:t>
      </w:r>
      <w:r w:rsidR="00C05909">
        <w:t>GEDSI</w:t>
      </w:r>
      <w:bookmarkEnd w:id="25"/>
    </w:p>
    <w:p w14:paraId="3E76D606" w14:textId="77777777" w:rsidR="00D16EED" w:rsidRPr="00D16EED" w:rsidRDefault="00D16EED" w:rsidP="00D16EED">
      <w:pPr>
        <w:rPr>
          <w:lang w:eastAsia="en-IE"/>
        </w:rPr>
      </w:pPr>
    </w:p>
    <w:p w14:paraId="5AAA9A8C" w14:textId="14F53FE5" w:rsidR="009B0312" w:rsidRPr="009B0312" w:rsidRDefault="00484E86" w:rsidP="009B0312">
      <w:pPr>
        <w:pBdr>
          <w:top w:val="single" w:sz="4" w:space="1" w:color="auto"/>
          <w:left w:val="single" w:sz="4" w:space="4" w:color="auto"/>
          <w:bottom w:val="single" w:sz="4" w:space="1" w:color="auto"/>
          <w:right w:val="single" w:sz="4" w:space="4" w:color="auto"/>
        </w:pBdr>
        <w:rPr>
          <w:b/>
          <w:bCs/>
          <w:color w:val="auto"/>
        </w:rPr>
      </w:pPr>
      <w:r>
        <w:rPr>
          <w:b/>
          <w:bCs/>
          <w:color w:val="auto"/>
        </w:rPr>
        <w:t>Thematic Aree</w:t>
      </w:r>
      <w:r w:rsidR="009B0312" w:rsidRPr="009B0312">
        <w:rPr>
          <w:b/>
          <w:bCs/>
          <w:color w:val="auto"/>
        </w:rPr>
        <w:t xml:space="preserve"> outcomes:</w:t>
      </w:r>
    </w:p>
    <w:p w14:paraId="5DF7CFFD" w14:textId="70028634" w:rsidR="009B0312" w:rsidRPr="009B0312" w:rsidRDefault="009B0312" w:rsidP="009B0312">
      <w:pPr>
        <w:pBdr>
          <w:top w:val="single" w:sz="4" w:space="1" w:color="auto"/>
          <w:left w:val="single" w:sz="4" w:space="4" w:color="auto"/>
          <w:bottom w:val="single" w:sz="4" w:space="1" w:color="auto"/>
          <w:right w:val="single" w:sz="4" w:space="4" w:color="auto"/>
        </w:pBdr>
        <w:rPr>
          <w:color w:val="auto"/>
        </w:rPr>
      </w:pPr>
      <w:r w:rsidRPr="00181171">
        <w:rPr>
          <w:b/>
          <w:bCs/>
          <w:color w:val="auto"/>
        </w:rPr>
        <w:t>Outcome 1</w:t>
      </w:r>
      <w:r w:rsidRPr="009B0312">
        <w:rPr>
          <w:color w:val="auto"/>
        </w:rPr>
        <w:t xml:space="preserve">: </w:t>
      </w:r>
      <w:r w:rsidR="00BE60B1" w:rsidRPr="00614A6C">
        <w:rPr>
          <w:color w:val="000000" w:themeColor="text1"/>
          <w:szCs w:val="22"/>
        </w:rPr>
        <w:t>Targeted national and regional actors are increasingly generating and using GEDSI analysis and evidence.</w:t>
      </w:r>
    </w:p>
    <w:p w14:paraId="2096F7BC" w14:textId="1C41A91E" w:rsidR="009B0312" w:rsidRDefault="009B0312" w:rsidP="009B0312">
      <w:pPr>
        <w:pBdr>
          <w:top w:val="single" w:sz="4" w:space="1" w:color="auto"/>
          <w:left w:val="single" w:sz="4" w:space="4" w:color="auto"/>
          <w:bottom w:val="single" w:sz="4" w:space="1" w:color="auto"/>
          <w:right w:val="single" w:sz="4" w:space="4" w:color="auto"/>
        </w:pBdr>
        <w:rPr>
          <w:color w:val="000000" w:themeColor="text1"/>
          <w:szCs w:val="22"/>
        </w:rPr>
      </w:pPr>
      <w:r w:rsidRPr="00181171">
        <w:rPr>
          <w:b/>
          <w:bCs/>
          <w:color w:val="auto"/>
        </w:rPr>
        <w:t>Outcome 2</w:t>
      </w:r>
      <w:r w:rsidRPr="00641269">
        <w:rPr>
          <w:color w:val="auto"/>
        </w:rPr>
        <w:t xml:space="preserve">: </w:t>
      </w:r>
      <w:r w:rsidR="00BB59D9" w:rsidRPr="00614A6C">
        <w:rPr>
          <w:color w:val="000000" w:themeColor="text1"/>
          <w:szCs w:val="22"/>
        </w:rPr>
        <w:t>Women, people with disabilities and other marginalised groups are increasingly organised to collaborate on strengthening implementation of GEDSI-related international commitments</w:t>
      </w:r>
      <w:r w:rsidR="00BB59D9">
        <w:rPr>
          <w:color w:val="000000" w:themeColor="text1"/>
          <w:szCs w:val="22"/>
        </w:rPr>
        <w:t>.</w:t>
      </w:r>
    </w:p>
    <w:p w14:paraId="2CEBF168" w14:textId="1B8B306C" w:rsidR="00711892" w:rsidRPr="00711892" w:rsidRDefault="00BB59D9" w:rsidP="009B0312">
      <w:pPr>
        <w:pBdr>
          <w:top w:val="single" w:sz="4" w:space="1" w:color="auto"/>
          <w:left w:val="single" w:sz="4" w:space="4" w:color="auto"/>
          <w:bottom w:val="single" w:sz="4" w:space="1" w:color="auto"/>
          <w:right w:val="single" w:sz="4" w:space="4" w:color="auto"/>
        </w:pBdr>
        <w:rPr>
          <w:color w:val="auto"/>
          <w:szCs w:val="22"/>
        </w:rPr>
      </w:pPr>
      <w:r w:rsidRPr="00711892">
        <w:rPr>
          <w:b/>
          <w:bCs/>
          <w:color w:val="000000" w:themeColor="text1"/>
          <w:szCs w:val="22"/>
        </w:rPr>
        <w:t>Outcomes 3</w:t>
      </w:r>
      <w:r>
        <w:rPr>
          <w:color w:val="000000" w:themeColor="text1"/>
          <w:szCs w:val="22"/>
        </w:rPr>
        <w:t>:</w:t>
      </w:r>
      <w:r w:rsidR="00711892" w:rsidRPr="00711892">
        <w:rPr>
          <w:color w:val="auto"/>
          <w:szCs w:val="22"/>
        </w:rPr>
        <w:t xml:space="preserve"> </w:t>
      </w:r>
      <w:r w:rsidR="00711892" w:rsidRPr="00614A6C">
        <w:rPr>
          <w:color w:val="auto"/>
          <w:szCs w:val="22"/>
        </w:rPr>
        <w:t>GEDSI actors, including representative organisations and experts, are increasingly shaping development and implementation of targeted policies and strategies.</w:t>
      </w:r>
    </w:p>
    <w:p w14:paraId="79F0CC73" w14:textId="77777777" w:rsidR="00E92603" w:rsidRPr="00614A6C" w:rsidRDefault="00E92603" w:rsidP="00E92603">
      <w:pPr>
        <w:rPr>
          <w:color w:val="000000" w:themeColor="text1"/>
          <w:szCs w:val="22"/>
        </w:rPr>
      </w:pPr>
      <w:r w:rsidRPr="00614A6C">
        <w:rPr>
          <w:color w:val="000000" w:themeColor="text2"/>
          <w:szCs w:val="22"/>
        </w:rPr>
        <w:t>GEDSI is a new focused thematic area for MAP</w:t>
      </w:r>
      <w:r>
        <w:rPr>
          <w:color w:val="000000" w:themeColor="text2"/>
          <w:szCs w:val="22"/>
        </w:rPr>
        <w:t xml:space="preserve"> Phase Two, where it had been a cross-cutting theme</w:t>
      </w:r>
      <w:r w:rsidRPr="00614A6C">
        <w:rPr>
          <w:color w:val="000000" w:themeColor="text2"/>
          <w:szCs w:val="22"/>
        </w:rPr>
        <w:t xml:space="preserve">. </w:t>
      </w:r>
      <w:r>
        <w:rPr>
          <w:color w:val="000000" w:themeColor="text2"/>
          <w:szCs w:val="22"/>
        </w:rPr>
        <w:t>I</w:t>
      </w:r>
      <w:r w:rsidRPr="00614A6C">
        <w:rPr>
          <w:color w:val="000000" w:themeColor="text2"/>
          <w:szCs w:val="22"/>
        </w:rPr>
        <w:t>n the previous phase, GEDSI was expected to be mainstreamed i</w:t>
      </w:r>
      <w:r>
        <w:rPr>
          <w:color w:val="000000" w:themeColor="text2"/>
          <w:szCs w:val="22"/>
        </w:rPr>
        <w:t>nto</w:t>
      </w:r>
      <w:r w:rsidRPr="00614A6C">
        <w:rPr>
          <w:color w:val="000000" w:themeColor="text2"/>
          <w:szCs w:val="22"/>
        </w:rPr>
        <w:t xml:space="preserve"> MAP investments</w:t>
      </w:r>
      <w:r>
        <w:rPr>
          <w:color w:val="000000" w:themeColor="text2"/>
          <w:szCs w:val="22"/>
        </w:rPr>
        <w:t>.</w:t>
      </w:r>
    </w:p>
    <w:p w14:paraId="14491A2A" w14:textId="77777777" w:rsidR="00A32285" w:rsidRPr="00EA3F6C" w:rsidRDefault="00A32285" w:rsidP="00A32285">
      <w:pPr>
        <w:rPr>
          <w:b/>
          <w:bCs/>
          <w:color w:val="auto"/>
          <w:szCs w:val="22"/>
          <w:u w:val="single"/>
        </w:rPr>
      </w:pPr>
      <w:r w:rsidRPr="00EA3F6C">
        <w:rPr>
          <w:b/>
          <w:bCs/>
          <w:color w:val="auto"/>
          <w:szCs w:val="22"/>
          <w:u w:val="single"/>
        </w:rPr>
        <w:t>Summary of progress and achievement against outcomes</w:t>
      </w:r>
    </w:p>
    <w:p w14:paraId="3D7D8D24" w14:textId="77777777" w:rsidR="00432C02" w:rsidRPr="00614A6C" w:rsidRDefault="00432C02" w:rsidP="00432C02">
      <w:pPr>
        <w:rPr>
          <w:color w:val="auto"/>
          <w:szCs w:val="22"/>
        </w:rPr>
      </w:pPr>
      <w:r w:rsidRPr="00614A6C">
        <w:rPr>
          <w:b/>
          <w:bCs/>
          <w:color w:val="auto"/>
          <w:szCs w:val="22"/>
        </w:rPr>
        <w:t xml:space="preserve">MAP has helped increase </w:t>
      </w:r>
      <w:r>
        <w:rPr>
          <w:b/>
          <w:bCs/>
          <w:color w:val="auto"/>
          <w:szCs w:val="22"/>
        </w:rPr>
        <w:t xml:space="preserve">the </w:t>
      </w:r>
      <w:r w:rsidRPr="00614A6C">
        <w:rPr>
          <w:b/>
          <w:bCs/>
          <w:color w:val="auto"/>
          <w:szCs w:val="22"/>
        </w:rPr>
        <w:t>capacity of agencies and organisations to consider GEDSI in the planning and implementation of projects, making development interventions more inclusive</w:t>
      </w:r>
      <w:r w:rsidRPr="00614A6C">
        <w:rPr>
          <w:color w:val="auto"/>
          <w:szCs w:val="22"/>
        </w:rPr>
        <w:t>.  In the Resilient Urban Centres and Surrounds investment, the</w:t>
      </w:r>
      <w:r w:rsidRPr="00614A6C">
        <w:rPr>
          <w:szCs w:val="22"/>
        </w:rPr>
        <w:t xml:space="preserve"> </w:t>
      </w:r>
      <w:r w:rsidRPr="00614A6C">
        <w:rPr>
          <w:color w:val="auto"/>
          <w:szCs w:val="22"/>
        </w:rPr>
        <w:t xml:space="preserve">guiding framework for climate resilient urban investment decisions integrated gender equality principles. For instance, based on the inclusive consultation, the conceptual design of the </w:t>
      </w:r>
      <w:proofErr w:type="spellStart"/>
      <w:r w:rsidRPr="00614A6C">
        <w:rPr>
          <w:color w:val="auto"/>
          <w:szCs w:val="22"/>
        </w:rPr>
        <w:t>Akreiy</w:t>
      </w:r>
      <w:proofErr w:type="spellEnd"/>
      <w:r w:rsidRPr="00614A6C">
        <w:rPr>
          <w:color w:val="auto"/>
          <w:szCs w:val="22"/>
        </w:rPr>
        <w:t xml:space="preserve"> </w:t>
      </w:r>
      <w:proofErr w:type="spellStart"/>
      <w:r w:rsidRPr="00614A6C">
        <w:rPr>
          <w:color w:val="auto"/>
          <w:szCs w:val="22"/>
        </w:rPr>
        <w:t>Ksatr</w:t>
      </w:r>
      <w:proofErr w:type="spellEnd"/>
      <w:r w:rsidRPr="00614A6C">
        <w:rPr>
          <w:color w:val="auto"/>
          <w:szCs w:val="22"/>
        </w:rPr>
        <w:t xml:space="preserve"> project design in Cambodia prioritised provision of additional toilets and improved recreational facilities for female students and staff and considered providing access for wheelchair users. This also led to the consideration of the cost of GEDSI amenities and benefits of women and </w:t>
      </w:r>
      <w:r>
        <w:rPr>
          <w:color w:val="auto"/>
          <w:szCs w:val="22"/>
        </w:rPr>
        <w:t>People with Disabilities (</w:t>
      </w:r>
      <w:r w:rsidRPr="00614A6C">
        <w:rPr>
          <w:color w:val="auto"/>
          <w:szCs w:val="22"/>
        </w:rPr>
        <w:t>PWDs</w:t>
      </w:r>
      <w:r>
        <w:rPr>
          <w:color w:val="auto"/>
          <w:szCs w:val="22"/>
        </w:rPr>
        <w:t>)</w:t>
      </w:r>
      <w:r w:rsidRPr="00614A6C">
        <w:rPr>
          <w:color w:val="auto"/>
          <w:szCs w:val="22"/>
        </w:rPr>
        <w:t xml:space="preserve"> in the Nature-based Solutions. </w:t>
      </w:r>
    </w:p>
    <w:p w14:paraId="51063855" w14:textId="4EDE0326" w:rsidR="00B03D83" w:rsidRDefault="00432C02" w:rsidP="00432C02">
      <w:pPr>
        <w:rPr>
          <w:color w:val="auto"/>
          <w:szCs w:val="22"/>
        </w:rPr>
      </w:pPr>
      <w:r w:rsidRPr="00614A6C">
        <w:rPr>
          <w:color w:val="auto"/>
          <w:szCs w:val="22"/>
        </w:rPr>
        <w:t xml:space="preserve">MAP also contributed to the MRC's strengthened GEDSI integration through gender equality trainings delivered by </w:t>
      </w:r>
      <w:proofErr w:type="spellStart"/>
      <w:r w:rsidRPr="00614A6C">
        <w:rPr>
          <w:color w:val="auto"/>
          <w:szCs w:val="22"/>
        </w:rPr>
        <w:t>eWater</w:t>
      </w:r>
      <w:proofErr w:type="spellEnd"/>
      <w:r w:rsidRPr="00614A6C">
        <w:rPr>
          <w:color w:val="auto"/>
          <w:szCs w:val="22"/>
        </w:rPr>
        <w:t xml:space="preserve"> Ltd. In February 2024, </w:t>
      </w:r>
      <w:proofErr w:type="spellStart"/>
      <w:r w:rsidRPr="00614A6C">
        <w:rPr>
          <w:color w:val="auto"/>
          <w:szCs w:val="22"/>
        </w:rPr>
        <w:t>eWater</w:t>
      </w:r>
      <w:proofErr w:type="spellEnd"/>
      <w:r w:rsidRPr="00614A6C">
        <w:rPr>
          <w:color w:val="auto"/>
          <w:szCs w:val="22"/>
        </w:rPr>
        <w:t xml:space="preserve"> supported gender training for 21 MRC staff (7 women, 14 men) from across technical divisions. The training</w:t>
      </w:r>
      <w:r>
        <w:rPr>
          <w:color w:val="auto"/>
          <w:szCs w:val="22"/>
        </w:rPr>
        <w:t xml:space="preserve"> </w:t>
      </w:r>
      <w:r w:rsidRPr="00614A6C">
        <w:rPr>
          <w:color w:val="auto"/>
          <w:szCs w:val="22"/>
        </w:rPr>
        <w:t>update</w:t>
      </w:r>
      <w:r>
        <w:rPr>
          <w:color w:val="auto"/>
          <w:szCs w:val="22"/>
        </w:rPr>
        <w:t>d</w:t>
      </w:r>
      <w:r w:rsidRPr="00614A6C">
        <w:rPr>
          <w:color w:val="auto"/>
          <w:szCs w:val="22"/>
        </w:rPr>
        <w:t xml:space="preserve"> staff on GEDSI in their work, familiarise</w:t>
      </w:r>
      <w:r>
        <w:rPr>
          <w:color w:val="auto"/>
          <w:szCs w:val="22"/>
        </w:rPr>
        <w:t>d</w:t>
      </w:r>
      <w:r w:rsidRPr="00614A6C">
        <w:rPr>
          <w:color w:val="auto"/>
          <w:szCs w:val="22"/>
        </w:rPr>
        <w:t xml:space="preserve"> them with </w:t>
      </w:r>
      <w:r>
        <w:rPr>
          <w:color w:val="auto"/>
          <w:szCs w:val="22"/>
        </w:rPr>
        <w:t xml:space="preserve">the </w:t>
      </w:r>
      <w:r w:rsidRPr="00614A6C">
        <w:rPr>
          <w:color w:val="auto"/>
          <w:szCs w:val="22"/>
        </w:rPr>
        <w:t>GAP and Gender Handbook, and identif</w:t>
      </w:r>
      <w:r>
        <w:rPr>
          <w:color w:val="auto"/>
          <w:szCs w:val="22"/>
        </w:rPr>
        <w:t>ied</w:t>
      </w:r>
      <w:r w:rsidRPr="00614A6C">
        <w:rPr>
          <w:color w:val="auto"/>
          <w:szCs w:val="22"/>
        </w:rPr>
        <w:t xml:space="preserve"> opportunities for strengthening GEDSI integration into the next MRC Strategic Plan. Participants found the training useful and stressed the need for ongoing mentoring and practical guidance. Increasingly,</w:t>
      </w:r>
      <w:r>
        <w:rPr>
          <w:color w:val="auto"/>
          <w:szCs w:val="22"/>
        </w:rPr>
        <w:t xml:space="preserve"> the</w:t>
      </w:r>
      <w:r w:rsidRPr="00614A6C">
        <w:rPr>
          <w:color w:val="auto"/>
          <w:szCs w:val="22"/>
        </w:rPr>
        <w:t xml:space="preserve"> MRC</w:t>
      </w:r>
      <w:r>
        <w:rPr>
          <w:color w:val="auto"/>
          <w:szCs w:val="22"/>
        </w:rPr>
        <w:t xml:space="preserve"> is</w:t>
      </w:r>
      <w:r w:rsidRPr="00614A6C">
        <w:rPr>
          <w:color w:val="auto"/>
          <w:szCs w:val="22"/>
        </w:rPr>
        <w:t xml:space="preserve"> strengthen</w:t>
      </w:r>
      <w:r>
        <w:rPr>
          <w:color w:val="auto"/>
          <w:szCs w:val="22"/>
        </w:rPr>
        <w:t>ing</w:t>
      </w:r>
      <w:r w:rsidRPr="00614A6C">
        <w:rPr>
          <w:color w:val="auto"/>
          <w:szCs w:val="22"/>
        </w:rPr>
        <w:t xml:space="preserve"> its GEDSI practice; notable examples include the integration of GEDSI aspects in and gender equality data in the State of the Basin Report 2023, and the mainstreaming of gender and vulnerability in the adaptive basin planning process as well as in the Proactive Regional Planning.  </w:t>
      </w:r>
    </w:p>
    <w:p w14:paraId="65975D9F" w14:textId="77777777" w:rsidR="00C70FCE" w:rsidRPr="00614A6C" w:rsidRDefault="00C70FCE" w:rsidP="00C70FCE">
      <w:pPr>
        <w:framePr w:hSpace="180" w:wrap="around" w:vAnchor="text" w:hAnchor="margin" w:y="10"/>
        <w:rPr>
          <w:color w:val="auto"/>
          <w:szCs w:val="22"/>
        </w:rPr>
      </w:pPr>
      <w:r w:rsidRPr="00614A6C">
        <w:rPr>
          <w:b/>
          <w:bCs/>
          <w:color w:val="auto"/>
          <w:szCs w:val="22"/>
        </w:rPr>
        <w:lastRenderedPageBreak/>
        <w:t>MAP investments make use of evidence from targeted GEDSI research to inform policies and practices</w:t>
      </w:r>
      <w:r w:rsidRPr="00614A6C">
        <w:rPr>
          <w:color w:val="auto"/>
          <w:szCs w:val="22"/>
        </w:rPr>
        <w:t xml:space="preserve">. </w:t>
      </w:r>
      <w:proofErr w:type="spellStart"/>
      <w:r w:rsidRPr="00614A6C">
        <w:rPr>
          <w:color w:val="auto"/>
          <w:szCs w:val="22"/>
        </w:rPr>
        <w:t>FishTech</w:t>
      </w:r>
      <w:proofErr w:type="spellEnd"/>
      <w:r w:rsidRPr="00614A6C">
        <w:rPr>
          <w:color w:val="auto"/>
          <w:szCs w:val="22"/>
        </w:rPr>
        <w:t xml:space="preserve">, </w:t>
      </w:r>
      <w:r>
        <w:rPr>
          <w:color w:val="auto"/>
          <w:szCs w:val="22"/>
        </w:rPr>
        <w:t>a</w:t>
      </w:r>
      <w:r w:rsidRPr="00614A6C">
        <w:rPr>
          <w:color w:val="auto"/>
          <w:szCs w:val="22"/>
        </w:rPr>
        <w:t xml:space="preserve"> MAP investment implemented by Charles Sturt University in partnership with the </w:t>
      </w:r>
      <w:r>
        <w:rPr>
          <w:color w:val="auto"/>
          <w:szCs w:val="22"/>
        </w:rPr>
        <w:t>ACIAR</w:t>
      </w:r>
      <w:r w:rsidRPr="00614A6C">
        <w:rPr>
          <w:color w:val="auto"/>
          <w:szCs w:val="22"/>
        </w:rPr>
        <w:t>, conducted a targeted gender case study on two fish pass sites in Laos, examining gender, community engagement, and infrastructure development. The projects, led by a woman-owned construction firm, challenged traditional male-dominated procurement processes and provided key insights into inclusive development. The firm’s approach emphasized community engagement, employing over 50</w:t>
      </w:r>
      <w:r>
        <w:rPr>
          <w:color w:val="auto"/>
          <w:szCs w:val="22"/>
        </w:rPr>
        <w:t xml:space="preserve"> per cent</w:t>
      </w:r>
      <w:r w:rsidRPr="00614A6C">
        <w:rPr>
          <w:color w:val="auto"/>
          <w:szCs w:val="22"/>
        </w:rPr>
        <w:t xml:space="preserve"> local labour and doubling women's participation in non-construction roles. The study highlighted how these inclusive practices improved project sustainability, attracted international interest, and created new economic opportunities, reinforcing the value of women’s leadership in infrastructure development. Recognising that smaller fish are crucial for subsistence in the community, and are often collected by women, </w:t>
      </w:r>
      <w:proofErr w:type="spellStart"/>
      <w:r w:rsidRPr="00614A6C">
        <w:rPr>
          <w:color w:val="auto"/>
          <w:szCs w:val="22"/>
        </w:rPr>
        <w:t>Fishtech’s</w:t>
      </w:r>
      <w:proofErr w:type="spellEnd"/>
      <w:r w:rsidRPr="00614A6C">
        <w:rPr>
          <w:color w:val="auto"/>
          <w:szCs w:val="22"/>
        </w:rPr>
        <w:t xml:space="preserve"> passage designs were developed to accommodate the migration patterns of these fish. Through consideration of these vulnerable communities, these designs promoted their food security and economic wellbeing.</w:t>
      </w:r>
    </w:p>
    <w:p w14:paraId="7AEF7865" w14:textId="77777777" w:rsidR="00C70FCE" w:rsidRPr="00614A6C" w:rsidRDefault="00C70FCE" w:rsidP="00C70FCE">
      <w:pPr>
        <w:framePr w:hSpace="180" w:wrap="around" w:vAnchor="text" w:hAnchor="margin" w:y="10"/>
        <w:rPr>
          <w:color w:val="auto"/>
          <w:szCs w:val="22"/>
        </w:rPr>
      </w:pPr>
      <w:r w:rsidRPr="00614A6C">
        <w:rPr>
          <w:color w:val="auto"/>
          <w:szCs w:val="22"/>
        </w:rPr>
        <w:t>Feminist Participatory Action Research (FPAR) has been used by Inclusion Project Phase 2 in its project sites, and its toolkit has been translated into multiple Mekong languages, including Vietnamese, Lao, Khmer, and Myanmar, facilitating broader dissemination and active utilisation during numerous workshops and events. In 2024, during an FPAR review, women participants in Myanmar identified their need for well-being and psycho-support during times of crisis.  Women’s Space Sessions were held with women leaders and community members in four villages and 119 participants (118 female). The sessions promoted self-care and shared reflections on how women have overcome personal and community struggles and discussions on how to collectively meet challenges. The result was the establishment of women's committees in each village with saving and loan initiatives for women to provide livelihood and emergency support. The delivery partner in Myanmar provided a startup fund, 1,000,000 MMK per women's group. Some members also joined environmental conservation and integrated development committees which have been formed at township level. In each case, the core significance is women supporting one another.</w:t>
      </w:r>
    </w:p>
    <w:p w14:paraId="59E5F290" w14:textId="505AF0AC" w:rsidR="00C70FCE" w:rsidRDefault="00C70FCE" w:rsidP="00C70FCE">
      <w:pPr>
        <w:rPr>
          <w:color w:val="auto"/>
          <w:szCs w:val="22"/>
        </w:rPr>
      </w:pPr>
      <w:r w:rsidRPr="00614A6C">
        <w:rPr>
          <w:color w:val="auto"/>
          <w:szCs w:val="22"/>
        </w:rPr>
        <w:t xml:space="preserve">MAP, through the Asian Development Bank, is supporting the Lao Statistics Bureau (LSB) to ensure the increased availability of GEDSI disaggregated data in the national census and national surveys. For instance, the 2024 Sustainable Development Goals (SDG) Progress Monitoring Report includes for the first time a chapter on comprehensive and inclusive GEDSI analysis. </w:t>
      </w:r>
      <w:r>
        <w:rPr>
          <w:color w:val="auto"/>
          <w:szCs w:val="22"/>
        </w:rPr>
        <w:t>In the LSB’s efforts to</w:t>
      </w:r>
      <w:r w:rsidRPr="00614A6C">
        <w:rPr>
          <w:color w:val="auto"/>
          <w:szCs w:val="22"/>
        </w:rPr>
        <w:t xml:space="preserve"> institutionalise intersectional GEDSI data collection and analysis within the national statistical system, significant advancements in survey design and data collection approaches were undertaken.  The LSB has also formally proposed to establish a Gender Statistics Division with </w:t>
      </w:r>
      <w:r>
        <w:rPr>
          <w:color w:val="auto"/>
          <w:szCs w:val="22"/>
        </w:rPr>
        <w:t>its</w:t>
      </w:r>
      <w:r w:rsidRPr="00614A6C">
        <w:rPr>
          <w:color w:val="auto"/>
          <w:szCs w:val="22"/>
        </w:rPr>
        <w:t xml:space="preserve"> Department of Social Statistics</w:t>
      </w:r>
      <w:r>
        <w:rPr>
          <w:color w:val="auto"/>
          <w:szCs w:val="22"/>
        </w:rPr>
        <w:t>.</w:t>
      </w:r>
    </w:p>
    <w:p w14:paraId="78D36EA6" w14:textId="77777777" w:rsidR="00051AED" w:rsidRPr="00614A6C" w:rsidRDefault="00051AED" w:rsidP="00051AED">
      <w:pPr>
        <w:framePr w:hSpace="180" w:wrap="around" w:vAnchor="text" w:hAnchor="margin" w:y="10"/>
        <w:rPr>
          <w:color w:val="auto"/>
          <w:szCs w:val="22"/>
        </w:rPr>
      </w:pPr>
      <w:r w:rsidRPr="00614A6C">
        <w:rPr>
          <w:b/>
          <w:bCs/>
          <w:color w:val="auto"/>
          <w:szCs w:val="22"/>
        </w:rPr>
        <w:t>MAP supported networks of women, including indigenous women, for increased women leadership and promote</w:t>
      </w:r>
      <w:r>
        <w:rPr>
          <w:b/>
          <w:bCs/>
          <w:color w:val="auto"/>
          <w:szCs w:val="22"/>
        </w:rPr>
        <w:t>d</w:t>
      </w:r>
      <w:r w:rsidRPr="00614A6C">
        <w:rPr>
          <w:b/>
          <w:bCs/>
          <w:color w:val="auto"/>
          <w:szCs w:val="22"/>
        </w:rPr>
        <w:t xml:space="preserve"> more inclusive development policies across countries</w:t>
      </w:r>
      <w:r w:rsidRPr="00614A6C">
        <w:rPr>
          <w:color w:val="auto"/>
          <w:szCs w:val="22"/>
        </w:rPr>
        <w:t xml:space="preserve">.  </w:t>
      </w:r>
      <w:r w:rsidRPr="00614A6C">
        <w:rPr>
          <w:szCs w:val="22"/>
        </w:rPr>
        <w:t xml:space="preserve"> </w:t>
      </w:r>
      <w:r w:rsidRPr="00614A6C">
        <w:rPr>
          <w:color w:val="auto"/>
          <w:szCs w:val="22"/>
        </w:rPr>
        <w:t>In June 2024, Oxfam Inclusion Project Phase 2</w:t>
      </w:r>
      <w:r>
        <w:rPr>
          <w:color w:val="auto"/>
          <w:szCs w:val="22"/>
        </w:rPr>
        <w:t>,</w:t>
      </w:r>
      <w:r w:rsidRPr="00614A6C">
        <w:rPr>
          <w:color w:val="auto"/>
          <w:szCs w:val="22"/>
        </w:rPr>
        <w:t xml:space="preserve"> with the support of DFAT and other donors, convened the Asia Women and River Congress that gathered </w:t>
      </w:r>
      <w:r w:rsidRPr="00614A6C">
        <w:rPr>
          <w:szCs w:val="22"/>
        </w:rPr>
        <w:t>125</w:t>
      </w:r>
      <w:r w:rsidRPr="00614A6C">
        <w:rPr>
          <w:color w:val="auto"/>
          <w:szCs w:val="22"/>
        </w:rPr>
        <w:t xml:space="preserve"> participants, 113 of whom were women, from 18 countries, to share stories and learn from experiences related to women-led solutions and perspectives in water, energy and climate resilient decision-making. One key outcome was the development of a Solidarity Statement, which highlights urgent priorities and solutions critical for advancing climate action and ensuring a just and inclusive energy transition.</w:t>
      </w:r>
    </w:p>
    <w:p w14:paraId="6003474E" w14:textId="6248C50C" w:rsidR="00051AED" w:rsidRDefault="00051AED" w:rsidP="00051AED">
      <w:pPr>
        <w:rPr>
          <w:color w:val="auto"/>
          <w:szCs w:val="22"/>
        </w:rPr>
      </w:pPr>
      <w:r w:rsidRPr="00614A6C">
        <w:rPr>
          <w:color w:val="auto"/>
          <w:szCs w:val="22"/>
        </w:rPr>
        <w:t xml:space="preserve">Women leaders from supported coalitions, including the Asia Indigenous Peoples’ Pact, Cambodia’s Women Leadership Network, and Laos’ Gender and Development Association, were </w:t>
      </w:r>
      <w:r w:rsidRPr="00614A6C">
        <w:rPr>
          <w:color w:val="auto"/>
          <w:szCs w:val="22"/>
        </w:rPr>
        <w:lastRenderedPageBreak/>
        <w:t>provided opportunities to engage in national, regional, and global dialogues like the 14</w:t>
      </w:r>
      <w:r w:rsidRPr="00614A6C">
        <w:rPr>
          <w:color w:val="auto"/>
          <w:szCs w:val="22"/>
          <w:vertAlign w:val="superscript"/>
        </w:rPr>
        <w:t>th</w:t>
      </w:r>
      <w:r w:rsidRPr="00614A6C">
        <w:rPr>
          <w:color w:val="auto"/>
          <w:szCs w:val="22"/>
        </w:rPr>
        <w:t xml:space="preserve"> MRC Regional Stakeholder Forum, Asia Pacific Women’s Forum, and the World Water Forum. Indigenous women and youth affected by large scale energy projects were also supported to attend the Regional Conference for a Just and Sustainable Energy Transition and voice their views on renewable energy projects and share their own renewable energy systems.</w:t>
      </w:r>
    </w:p>
    <w:p w14:paraId="06816FD9" w14:textId="1044D993" w:rsidR="00BC6B02" w:rsidRPr="00D26E96" w:rsidRDefault="00BC6B02" w:rsidP="00BC6B02">
      <w:pPr>
        <w:framePr w:hSpace="180" w:wrap="around" w:vAnchor="text" w:hAnchor="margin" w:y="10"/>
        <w:rPr>
          <w:color w:val="6B6B6B"/>
          <w:szCs w:val="22"/>
        </w:rPr>
      </w:pPr>
      <w:r w:rsidRPr="00614A6C">
        <w:rPr>
          <w:b/>
          <w:bCs/>
          <w:color w:val="auto"/>
          <w:szCs w:val="22"/>
        </w:rPr>
        <w:t>MAP has enabled initiatives that aim to ensure that economic development is more inclusive of women</w:t>
      </w:r>
      <w:r w:rsidRPr="00614A6C">
        <w:rPr>
          <w:color w:val="auto"/>
          <w:szCs w:val="22"/>
        </w:rPr>
        <w:t>. With MAP support, the National Innovation Agency in Thailand</w:t>
      </w:r>
      <w:r>
        <w:rPr>
          <w:color w:val="auto"/>
          <w:szCs w:val="22"/>
        </w:rPr>
        <w:t xml:space="preserve">, </w:t>
      </w:r>
      <w:r w:rsidRPr="00614A6C">
        <w:rPr>
          <w:color w:val="auto"/>
          <w:szCs w:val="22"/>
        </w:rPr>
        <w:t>the Viet</w:t>
      </w:r>
      <w:r>
        <w:rPr>
          <w:color w:val="auto"/>
          <w:szCs w:val="22"/>
        </w:rPr>
        <w:t>n</w:t>
      </w:r>
      <w:r w:rsidRPr="00614A6C">
        <w:rPr>
          <w:color w:val="auto"/>
          <w:szCs w:val="22"/>
        </w:rPr>
        <w:t>am Women Entrepreneur Council and Women’s Initiatives for Start-up and Entrepreneurship in Viet</w:t>
      </w:r>
      <w:r>
        <w:rPr>
          <w:color w:val="auto"/>
          <w:szCs w:val="22"/>
        </w:rPr>
        <w:t>n</w:t>
      </w:r>
      <w:r w:rsidRPr="00614A6C">
        <w:rPr>
          <w:color w:val="auto"/>
          <w:szCs w:val="22"/>
        </w:rPr>
        <w:t>am, ha</w:t>
      </w:r>
      <w:r>
        <w:rPr>
          <w:color w:val="auto"/>
          <w:szCs w:val="22"/>
        </w:rPr>
        <w:t>ve</w:t>
      </w:r>
      <w:r w:rsidRPr="00614A6C">
        <w:rPr>
          <w:color w:val="auto"/>
          <w:szCs w:val="22"/>
        </w:rPr>
        <w:t xml:space="preserve"> trained a total of 425 women owned businesses (WOB)/gender-responsive enterprises (GREs) on gender-responsive procurement. An initial output level survey from Thailand showed that</w:t>
      </w:r>
      <w:r>
        <w:rPr>
          <w:color w:val="auto"/>
          <w:szCs w:val="22"/>
        </w:rPr>
        <w:t xml:space="preserve"> </w:t>
      </w:r>
      <w:proofErr w:type="gramStart"/>
      <w:r>
        <w:rPr>
          <w:color w:val="auto"/>
          <w:szCs w:val="22"/>
        </w:rPr>
        <w:t>the</w:t>
      </w:r>
      <w:r w:rsidRPr="00614A6C">
        <w:rPr>
          <w:color w:val="auto"/>
          <w:szCs w:val="22"/>
        </w:rPr>
        <w:t xml:space="preserve"> majority of</w:t>
      </w:r>
      <w:proofErr w:type="gramEnd"/>
      <w:r w:rsidRPr="00614A6C">
        <w:rPr>
          <w:color w:val="auto"/>
          <w:szCs w:val="22"/>
        </w:rPr>
        <w:t xml:space="preserve"> the participants (95.6</w:t>
      </w:r>
      <w:r>
        <w:rPr>
          <w:color w:val="auto"/>
          <w:szCs w:val="22"/>
        </w:rPr>
        <w:t xml:space="preserve"> per cent</w:t>
      </w:r>
      <w:r w:rsidRPr="00614A6C">
        <w:rPr>
          <w:color w:val="auto"/>
          <w:szCs w:val="22"/>
        </w:rPr>
        <w:t xml:space="preserve">) increased their understanding of procurement and related issues.  Through the investment’s accelerator programs, WOBs/GREs were able to create connection opportunities </w:t>
      </w:r>
      <w:r>
        <w:rPr>
          <w:color w:val="auto"/>
          <w:szCs w:val="22"/>
        </w:rPr>
        <w:t>with</w:t>
      </w:r>
      <w:r w:rsidRPr="00614A6C">
        <w:rPr>
          <w:color w:val="auto"/>
          <w:szCs w:val="22"/>
        </w:rPr>
        <w:t xml:space="preserve"> potential buyers in both countries</w:t>
      </w:r>
      <w:r w:rsidR="00B03D83">
        <w:rPr>
          <w:color w:val="auto"/>
          <w:szCs w:val="22"/>
        </w:rPr>
        <w:t>.</w:t>
      </w:r>
    </w:p>
    <w:p w14:paraId="2EAC9726" w14:textId="77777777" w:rsidR="00BC6B02" w:rsidRPr="00614A6C" w:rsidRDefault="00BC6B02" w:rsidP="00BC6B02">
      <w:pPr>
        <w:framePr w:hSpace="180" w:wrap="around" w:vAnchor="text" w:hAnchor="margin" w:y="10"/>
        <w:rPr>
          <w:color w:val="auto"/>
          <w:szCs w:val="22"/>
        </w:rPr>
      </w:pPr>
      <w:r w:rsidRPr="00614A6C">
        <w:rPr>
          <w:color w:val="auto"/>
          <w:szCs w:val="22"/>
        </w:rPr>
        <w:t xml:space="preserve">With UN Women support, promoting gender-responsive procurement practices have been successfully advocated to private and public buyers. </w:t>
      </w:r>
      <w:r>
        <w:rPr>
          <w:color w:val="auto"/>
          <w:szCs w:val="22"/>
        </w:rPr>
        <w:t>In addition to</w:t>
      </w:r>
      <w:r w:rsidRPr="00614A6C">
        <w:rPr>
          <w:color w:val="auto"/>
          <w:szCs w:val="22"/>
        </w:rPr>
        <w:t xml:space="preserve"> training a total of 340 buying institutions (190 Viet</w:t>
      </w:r>
      <w:r>
        <w:rPr>
          <w:color w:val="auto"/>
          <w:szCs w:val="22"/>
        </w:rPr>
        <w:t>n</w:t>
      </w:r>
      <w:r w:rsidRPr="00614A6C">
        <w:rPr>
          <w:color w:val="auto"/>
          <w:szCs w:val="22"/>
        </w:rPr>
        <w:t>am and 150 Thailand) resulting in increased awareness and Gender-Responsive Procurement (GRP) capacity, it also incentives buying institutions by recognising them through the Women’ Empowerment Principles Awards. Viet</w:t>
      </w:r>
      <w:r>
        <w:rPr>
          <w:color w:val="auto"/>
          <w:szCs w:val="22"/>
        </w:rPr>
        <w:t>n</w:t>
      </w:r>
      <w:r w:rsidRPr="00614A6C">
        <w:rPr>
          <w:color w:val="auto"/>
          <w:szCs w:val="22"/>
        </w:rPr>
        <w:t xml:space="preserve">am and Thailand awarded </w:t>
      </w:r>
      <w:r>
        <w:rPr>
          <w:color w:val="auto"/>
          <w:szCs w:val="22"/>
        </w:rPr>
        <w:t>six</w:t>
      </w:r>
      <w:r w:rsidRPr="00614A6C">
        <w:rPr>
          <w:color w:val="auto"/>
          <w:szCs w:val="22"/>
        </w:rPr>
        <w:t xml:space="preserve"> categories in 2024, namely, Leadership Commitment, Gender-inclusive Workplace, Gender-responsive Marketplace, Community Engagement and Partnerships, Transparency and Reporting, and Innovative Financing for Gender Equality. The awardees included companies such as </w:t>
      </w:r>
      <w:proofErr w:type="spellStart"/>
      <w:r w:rsidRPr="00614A6C">
        <w:rPr>
          <w:color w:val="auto"/>
          <w:szCs w:val="22"/>
        </w:rPr>
        <w:t>Zuellig</w:t>
      </w:r>
      <w:proofErr w:type="spellEnd"/>
      <w:r w:rsidRPr="00614A6C">
        <w:rPr>
          <w:color w:val="auto"/>
          <w:szCs w:val="22"/>
        </w:rPr>
        <w:t xml:space="preserve"> Pharma Limited and Electricity Generating Public Company Limited and L’Oreal.  </w:t>
      </w:r>
    </w:p>
    <w:p w14:paraId="52B1B534" w14:textId="2E2F52F0" w:rsidR="00BC6B02" w:rsidRDefault="00BC6B02" w:rsidP="00BC6B02">
      <w:pPr>
        <w:rPr>
          <w:color w:val="auto"/>
          <w:szCs w:val="22"/>
        </w:rPr>
      </w:pPr>
      <w:r w:rsidRPr="00614A6C">
        <w:rPr>
          <w:color w:val="auto"/>
          <w:szCs w:val="22"/>
        </w:rPr>
        <w:t>Finally,</w:t>
      </w:r>
      <w:r>
        <w:rPr>
          <w:color w:val="auto"/>
          <w:szCs w:val="22"/>
        </w:rPr>
        <w:t xml:space="preserve"> t</w:t>
      </w:r>
      <w:r w:rsidRPr="00614A6C">
        <w:rPr>
          <w:color w:val="auto"/>
          <w:szCs w:val="22"/>
        </w:rPr>
        <w:t>he Australia-Thailand Economic Resilience Partnership brokered collaboration between the Digital Government Development Agency and the</w:t>
      </w:r>
      <w:r>
        <w:rPr>
          <w:color w:val="auto"/>
          <w:szCs w:val="22"/>
        </w:rPr>
        <w:t xml:space="preserve"> Thai</w:t>
      </w:r>
      <w:r w:rsidRPr="00614A6C">
        <w:rPr>
          <w:color w:val="auto"/>
          <w:szCs w:val="22"/>
        </w:rPr>
        <w:t xml:space="preserve"> Department of Children and Youth to develop Kids Landmarks, a map of registered private childcare centres available on the Thai Government’s Thang Rath public services application. Launched in 2024, the map improves access to information about operational childcare centres for families especially for women in the workforce.</w:t>
      </w:r>
    </w:p>
    <w:p w14:paraId="30046D37" w14:textId="25DDDEE9" w:rsidR="00464802" w:rsidRDefault="00464802">
      <w:pPr>
        <w:spacing w:before="0" w:after="160" w:line="259" w:lineRule="auto"/>
        <w:rPr>
          <w:b/>
          <w:bCs/>
          <w:color w:val="00837C" w:themeColor="accent1"/>
          <w:sz w:val="26"/>
          <w:lang w:eastAsia="en-IE"/>
        </w:rPr>
      </w:pPr>
      <w:r>
        <w:br w:type="page"/>
      </w:r>
    </w:p>
    <w:p w14:paraId="585550C0" w14:textId="01160BD8" w:rsidR="00F56177" w:rsidRPr="00F56177" w:rsidRDefault="00F56177" w:rsidP="00D57C54">
      <w:pPr>
        <w:pStyle w:val="Heading2"/>
        <w:spacing w:after="720"/>
        <w:ind w:left="578" w:hanging="578"/>
      </w:pPr>
      <w:bookmarkStart w:id="26" w:name="_Toc210034396"/>
      <w:r>
        <w:rPr>
          <w:b w:val="0"/>
          <w:bCs w:val="0"/>
          <w:noProof/>
          <w:sz w:val="22"/>
          <w:szCs w:val="22"/>
        </w:rPr>
        <w:lastRenderedPageBreak/>
        <w:drawing>
          <wp:anchor distT="0" distB="0" distL="114300" distR="114300" simplePos="0" relativeHeight="251679748" behindDoc="0" locked="0" layoutInCell="1" allowOverlap="1" wp14:anchorId="19968CE1" wp14:editId="08326650">
            <wp:simplePos x="0" y="0"/>
            <wp:positionH relativeFrom="margin">
              <wp:align>left</wp:align>
            </wp:positionH>
            <wp:positionV relativeFrom="paragraph">
              <wp:posOffset>0</wp:posOffset>
            </wp:positionV>
            <wp:extent cx="523875" cy="526415"/>
            <wp:effectExtent l="0" t="0" r="9525" b="6985"/>
            <wp:wrapSquare wrapText="bothSides"/>
            <wp:docPr id="587904225" name="Picture 21" descr="Economic Resilience and Subregional Integration thematic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04225" name="Picture 21" descr="Economic Resilience and Subregional Integration thematic icon.">
                      <a:extLst>
                        <a:ext uri="{C183D7F6-B498-43B3-948B-1728B52AA6E4}">
                          <adec:decorative xmlns:adec="http://schemas.microsoft.com/office/drawing/2017/decorative" val="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3875" cy="526415"/>
                    </a:xfrm>
                    <a:prstGeom prst="rect">
                      <a:avLst/>
                    </a:prstGeom>
                    <a:noFill/>
                  </pic:spPr>
                </pic:pic>
              </a:graphicData>
            </a:graphic>
            <wp14:sizeRelH relativeFrom="margin">
              <wp14:pctWidth>0</wp14:pctWidth>
            </wp14:sizeRelH>
            <wp14:sizeRelV relativeFrom="margin">
              <wp14:pctHeight>0</wp14:pctHeight>
            </wp14:sizeRelV>
          </wp:anchor>
        </w:drawing>
      </w:r>
      <w:r>
        <w:t>Thematic Area</w:t>
      </w:r>
      <w:r w:rsidR="005A4FE5" w:rsidRPr="008623B1">
        <w:t xml:space="preserve"> 4 – </w:t>
      </w:r>
      <w:r w:rsidR="00DC6288">
        <w:t>Economic Resilience and Subregional Integration</w:t>
      </w:r>
      <w:bookmarkEnd w:id="26"/>
    </w:p>
    <w:p w14:paraId="18BE71FD" w14:textId="73679C86" w:rsidR="004E4584" w:rsidRPr="004E4584" w:rsidRDefault="00176B69" w:rsidP="00181171">
      <w:pPr>
        <w:pBdr>
          <w:top w:val="single" w:sz="4" w:space="1" w:color="auto"/>
          <w:left w:val="single" w:sz="4" w:space="1" w:color="auto"/>
          <w:bottom w:val="single" w:sz="4" w:space="1" w:color="auto"/>
          <w:right w:val="single" w:sz="4" w:space="1" w:color="auto"/>
        </w:pBdr>
        <w:ind w:left="360" w:hanging="360"/>
        <w:rPr>
          <w:b/>
          <w:bCs/>
          <w:color w:val="auto"/>
        </w:rPr>
      </w:pPr>
      <w:r>
        <w:rPr>
          <w:b/>
          <w:bCs/>
          <w:color w:val="auto"/>
        </w:rPr>
        <w:t>Thematic</w:t>
      </w:r>
      <w:r w:rsidR="001A6AA5" w:rsidRPr="004E4584">
        <w:rPr>
          <w:b/>
          <w:bCs/>
          <w:color w:val="auto"/>
        </w:rPr>
        <w:t xml:space="preserve"> outcomes:</w:t>
      </w:r>
    </w:p>
    <w:p w14:paraId="00369F7A" w14:textId="23FA9293" w:rsidR="001B636C" w:rsidRPr="000046A4" w:rsidRDefault="001A6AA5" w:rsidP="000046A4">
      <w:pPr>
        <w:pBdr>
          <w:top w:val="single" w:sz="4" w:space="1" w:color="auto"/>
          <w:left w:val="single" w:sz="4" w:space="1" w:color="auto"/>
          <w:bottom w:val="single" w:sz="4" w:space="1" w:color="auto"/>
          <w:right w:val="single" w:sz="4" w:space="1" w:color="auto"/>
        </w:pBdr>
        <w:rPr>
          <w:b/>
          <w:bCs/>
          <w:color w:val="auto"/>
        </w:rPr>
      </w:pPr>
      <w:r w:rsidRPr="00181171">
        <w:rPr>
          <w:b/>
          <w:bCs/>
          <w:color w:val="auto"/>
        </w:rPr>
        <w:t>Outcome 1</w:t>
      </w:r>
      <w:r w:rsidRPr="000046A4">
        <w:rPr>
          <w:b/>
          <w:bCs/>
          <w:color w:val="auto"/>
        </w:rPr>
        <w:t xml:space="preserve">: </w:t>
      </w:r>
      <w:r w:rsidR="001A3DED" w:rsidRPr="000046A4">
        <w:rPr>
          <w:color w:val="auto"/>
        </w:rPr>
        <w:t>Mekong subregion partners increasingly use evidence and analysis to address external economic shocks and pressures and promote sustainable economic growth.</w:t>
      </w:r>
    </w:p>
    <w:p w14:paraId="0E26480C" w14:textId="40E3C900" w:rsidR="001A6AA5" w:rsidRPr="004E4584" w:rsidRDefault="001A6AA5" w:rsidP="00181171">
      <w:pPr>
        <w:pBdr>
          <w:top w:val="single" w:sz="4" w:space="1" w:color="auto"/>
          <w:left w:val="single" w:sz="4" w:space="1" w:color="auto"/>
          <w:bottom w:val="single" w:sz="4" w:space="1" w:color="auto"/>
          <w:right w:val="single" w:sz="4" w:space="1" w:color="auto"/>
        </w:pBdr>
        <w:ind w:left="360" w:hanging="360"/>
        <w:rPr>
          <w:color w:val="auto"/>
        </w:rPr>
      </w:pPr>
      <w:r w:rsidRPr="00181171">
        <w:rPr>
          <w:b/>
          <w:bCs/>
          <w:color w:val="auto"/>
        </w:rPr>
        <w:t>Outcome 2</w:t>
      </w:r>
      <w:r w:rsidRPr="004E4584">
        <w:rPr>
          <w:color w:val="auto"/>
        </w:rPr>
        <w:t xml:space="preserve">: </w:t>
      </w:r>
      <w:r w:rsidR="00D35D43" w:rsidRPr="00614A6C">
        <w:rPr>
          <w:color w:val="000000" w:themeColor="text1"/>
          <w:szCs w:val="22"/>
        </w:rPr>
        <w:t>Mekong subregion countries strengthen collaboration to address shared challenges.</w:t>
      </w:r>
    </w:p>
    <w:p w14:paraId="76A44B05" w14:textId="29674DB6" w:rsidR="001A6AA5" w:rsidRPr="001A6AA5" w:rsidRDefault="001A6AA5" w:rsidP="00181171">
      <w:pPr>
        <w:pBdr>
          <w:top w:val="single" w:sz="4" w:space="1" w:color="auto"/>
          <w:left w:val="single" w:sz="4" w:space="1" w:color="auto"/>
          <w:bottom w:val="single" w:sz="4" w:space="1" w:color="auto"/>
          <w:right w:val="single" w:sz="4" w:space="1" w:color="auto"/>
        </w:pBdr>
        <w:rPr>
          <w:lang w:eastAsia="en-IE"/>
        </w:rPr>
      </w:pPr>
      <w:r w:rsidRPr="00181171">
        <w:rPr>
          <w:b/>
          <w:bCs/>
          <w:color w:val="auto"/>
        </w:rPr>
        <w:t>Outcome 3</w:t>
      </w:r>
      <w:r w:rsidRPr="00664BE7">
        <w:rPr>
          <w:color w:val="auto"/>
        </w:rPr>
        <w:t xml:space="preserve">: </w:t>
      </w:r>
      <w:r w:rsidR="000046A4" w:rsidRPr="00614A6C">
        <w:rPr>
          <w:color w:val="000000" w:themeColor="text2"/>
          <w:szCs w:val="22"/>
        </w:rPr>
        <w:t>Vulnerable groups and at-risk communities have increased opportunities to become more resilient to economic shocks and pressures.</w:t>
      </w:r>
    </w:p>
    <w:p w14:paraId="18EC6BA2" w14:textId="77777777" w:rsidR="0075718A" w:rsidRPr="003A3DB9" w:rsidRDefault="0075718A" w:rsidP="0075718A">
      <w:pPr>
        <w:spacing w:after="199"/>
        <w:rPr>
          <w:color w:val="000000" w:themeColor="text1"/>
          <w:szCs w:val="22"/>
        </w:rPr>
      </w:pPr>
      <w:r w:rsidRPr="003A3DB9">
        <w:rPr>
          <w:color w:val="000000" w:themeColor="text2"/>
          <w:szCs w:val="22"/>
        </w:rPr>
        <w:t xml:space="preserve">The reporting for this thematic area is largely taken from legacy investments that were funded under the first phase of MAP under what used to be known as the Economic Resilience Fund (ERF). Planning for new investments to be funded by the second phase of MAP commenced in 2024 and is still in inception phase as of writing.  </w:t>
      </w:r>
    </w:p>
    <w:p w14:paraId="40E9E085" w14:textId="77777777" w:rsidR="0075718A" w:rsidRPr="003A3DB9" w:rsidRDefault="0075718A" w:rsidP="0075718A">
      <w:pPr>
        <w:spacing w:after="199"/>
        <w:rPr>
          <w:rFonts w:cstheme="minorHAnsi"/>
          <w:color w:val="000000" w:themeColor="text1"/>
          <w:szCs w:val="22"/>
        </w:rPr>
      </w:pPr>
      <w:r w:rsidRPr="003A3DB9">
        <w:rPr>
          <w:rFonts w:cstheme="minorHAnsi"/>
          <w:color w:val="000000" w:themeColor="text1"/>
          <w:szCs w:val="22"/>
        </w:rPr>
        <w:t>Of the 14 activities implemented in the reporting period, four were regional, and the remaining were bilateral. The activities ranged from capacity building on public financial management to technical assistance on gender and social inclusion data, promoting the use and application of environmental and social safeguards, advancing gender-responsive procurement, and enhancing consumer protection and competition.</w:t>
      </w:r>
    </w:p>
    <w:p w14:paraId="675730C5" w14:textId="77777777" w:rsidR="0075718A" w:rsidRPr="003A3DB9" w:rsidRDefault="0075718A" w:rsidP="0075718A">
      <w:pPr>
        <w:spacing w:after="199"/>
        <w:rPr>
          <w:rFonts w:cstheme="minorHAnsi"/>
          <w:color w:val="000000" w:themeColor="text1"/>
          <w:szCs w:val="22"/>
        </w:rPr>
      </w:pPr>
      <w:r w:rsidRPr="003A3DB9">
        <w:rPr>
          <w:rFonts w:cstheme="minorHAnsi"/>
          <w:color w:val="000000" w:themeColor="text1"/>
          <w:szCs w:val="22"/>
        </w:rPr>
        <w:t xml:space="preserve">Activities were delivered in partnership with various organisations, including Australian Government agencies (e.g. Australian Securities and Investment Commission), the Asian Development Bank, the World Bank, the Mekong Institute, UN Women, and The Asia Foundation. All these activities were engaging with relevant government agencies in partner Mekong governments. </w:t>
      </w:r>
    </w:p>
    <w:p w14:paraId="11010D45" w14:textId="77777777" w:rsidR="00237533" w:rsidRPr="003A3DB9" w:rsidRDefault="00237533" w:rsidP="00237533">
      <w:pPr>
        <w:rPr>
          <w:rFonts w:cstheme="minorHAnsi"/>
          <w:b/>
          <w:bCs/>
          <w:color w:val="auto"/>
          <w:szCs w:val="22"/>
          <w:u w:val="single"/>
        </w:rPr>
      </w:pPr>
      <w:r w:rsidRPr="003A3DB9">
        <w:rPr>
          <w:rFonts w:cstheme="minorHAnsi"/>
          <w:b/>
          <w:bCs/>
          <w:color w:val="auto"/>
          <w:szCs w:val="22"/>
          <w:u w:val="single"/>
        </w:rPr>
        <w:t>Summary of progress and achievement against outcomes</w:t>
      </w:r>
    </w:p>
    <w:p w14:paraId="0AF7AC31" w14:textId="77777777" w:rsidR="004F1E00" w:rsidRDefault="004F1E00" w:rsidP="004F1E00">
      <w:pPr>
        <w:spacing w:before="20" w:after="20" w:line="252" w:lineRule="auto"/>
        <w:rPr>
          <w:rFonts w:cstheme="majorBidi"/>
          <w:color w:val="000000" w:themeColor="text1"/>
          <w:spacing w:val="-2"/>
          <w:szCs w:val="22"/>
          <w:lang w:val="en-US"/>
        </w:rPr>
      </w:pPr>
      <w:r w:rsidRPr="003A3DB9">
        <w:rPr>
          <w:rFonts w:cstheme="majorBidi"/>
          <w:b/>
          <w:bCs/>
          <w:color w:val="000000" w:themeColor="text1"/>
          <w:spacing w:val="-2"/>
          <w:szCs w:val="22"/>
        </w:rPr>
        <w:t xml:space="preserve">MAP continues to strengthen the institutional capacity of Mekong country partner agencies to manage public finances better. </w:t>
      </w:r>
      <w:r w:rsidRPr="003A3DB9">
        <w:rPr>
          <w:rFonts w:cstheme="majorBidi"/>
          <w:color w:val="000000" w:themeColor="text1"/>
          <w:spacing w:val="-2"/>
          <w:szCs w:val="22"/>
        </w:rPr>
        <w:t xml:space="preserve">The World Bank Public Financial Management programs in both Laos and Cambodia supported domestic resource mobilisation and promoted reforms and regulatory changes to strengthen institutions and evidence-based policy making. For example, in Laos, the Ministry of Finance introduced Instruction No. 0558 and Notice No. 0560, to address VAT obligations for foreign and domestic digital suppliers. In 2024, MAP supported the dissemination of these documents to over 2,800 tax officials and business representatives, including 1,042 women. As of September 2024, implementation of these measures generated over USD600,000 in VAT revenue from 26 registered vendors.  Additionally, </w:t>
      </w:r>
      <w:r w:rsidRPr="003A3DB9">
        <w:rPr>
          <w:rFonts w:cstheme="majorBidi"/>
          <w:color w:val="000000" w:themeColor="text1"/>
          <w:spacing w:val="-2"/>
          <w:szCs w:val="22"/>
          <w:lang w:val="en-US"/>
        </w:rPr>
        <w:t>a two-year roadmap for implementing GRB was developed to support the Finance Ministry to take a more inclusive evidence-based lens in budgeting. Between March to July, three workshops on raising awareness of GRB, training on gender impact analysis (GIA), and a how-to note on GIA were conducted. Published in March 2024, the Lao PDR Public Expenditure and Institutional Review (PEIR) and Financial Management in Education Analysis (2023) assessed funding of the education sector including taking a stronger gender equality and inclusion equity lens, with the World Bank recommending a pro-poor lens to public spending to help reduce poverty and inequality in the following Lao Economic Monitor (April 2024).</w:t>
      </w:r>
    </w:p>
    <w:p w14:paraId="0CC6C547" w14:textId="77777777" w:rsidR="003A3DB9" w:rsidRPr="003A3DB9" w:rsidRDefault="003A3DB9" w:rsidP="004F1E00">
      <w:pPr>
        <w:spacing w:before="20" w:after="20" w:line="252" w:lineRule="auto"/>
        <w:rPr>
          <w:rFonts w:cstheme="majorBidi"/>
          <w:color w:val="000000" w:themeColor="text2"/>
          <w:szCs w:val="22"/>
        </w:rPr>
      </w:pPr>
    </w:p>
    <w:p w14:paraId="317A82E2" w14:textId="77777777" w:rsidR="007C4430" w:rsidRDefault="007C4430" w:rsidP="007C4430">
      <w:pPr>
        <w:spacing w:before="20" w:after="20" w:line="252" w:lineRule="auto"/>
        <w:rPr>
          <w:rFonts w:cstheme="majorBidi"/>
          <w:color w:val="000000" w:themeColor="text1"/>
          <w:spacing w:val="-2"/>
          <w:szCs w:val="22"/>
        </w:rPr>
      </w:pPr>
      <w:r w:rsidRPr="003A3DB9">
        <w:rPr>
          <w:rFonts w:cstheme="majorBidi"/>
          <w:color w:val="000000" w:themeColor="text1"/>
          <w:spacing w:val="-2"/>
          <w:szCs w:val="22"/>
        </w:rPr>
        <w:lastRenderedPageBreak/>
        <w:t xml:space="preserve">In Cambodia, MAP supported the </w:t>
      </w:r>
      <w:r w:rsidRPr="003A3DB9">
        <w:rPr>
          <w:color w:val="000000" w:themeColor="text1"/>
          <w:szCs w:val="22"/>
        </w:rPr>
        <w:t>Public</w:t>
      </w:r>
      <w:r w:rsidRPr="003A3DB9">
        <w:rPr>
          <w:rFonts w:cstheme="majorBidi"/>
          <w:color w:val="000000" w:themeColor="text1"/>
          <w:spacing w:val="-2"/>
          <w:szCs w:val="22"/>
        </w:rPr>
        <w:t xml:space="preserve"> Finance Review (PFR) for 2021 to 2024. The report was launched in February 2024 following the last round of consultations in late 2023. The PFR’s key findings have helped inform the government’s implementation of the Stage 4 of the Public Financial Management Reform Program, focusing on achieving performance accountability and providing an analytical basis for the government’s fiscal reform efforts in the post-pandemic period. It has also prompted the government to critically reexamine the quality of public spending, particularly in health and education, with the primary objective of ensuring greater allocative efficiency and value-for-money from public spending. As a result, Cambodia requested further deep-dive studies into the quality-of-service delivery in education and health sectors as a follow-up to the PFR.</w:t>
      </w:r>
    </w:p>
    <w:p w14:paraId="2BC6D332" w14:textId="77777777" w:rsidR="003A3DB9" w:rsidRPr="003A3DB9" w:rsidRDefault="003A3DB9" w:rsidP="007C4430">
      <w:pPr>
        <w:spacing w:before="20" w:after="20" w:line="252" w:lineRule="auto"/>
        <w:rPr>
          <w:rFonts w:cstheme="majorBidi"/>
          <w:color w:val="000000" w:themeColor="text1"/>
          <w:spacing w:val="-2"/>
          <w:szCs w:val="22"/>
        </w:rPr>
      </w:pPr>
    </w:p>
    <w:p w14:paraId="1B35CF1F" w14:textId="77777777" w:rsidR="00CA20B7" w:rsidRPr="003A3DB9" w:rsidRDefault="00CA20B7" w:rsidP="00CA20B7">
      <w:pPr>
        <w:spacing w:before="20" w:after="20" w:line="252" w:lineRule="auto"/>
        <w:rPr>
          <w:rFonts w:cstheme="majorBidi"/>
          <w:color w:val="000000" w:themeColor="text1"/>
          <w:spacing w:val="-2"/>
          <w:szCs w:val="22"/>
        </w:rPr>
      </w:pPr>
      <w:r w:rsidRPr="003A3DB9">
        <w:rPr>
          <w:rFonts w:cstheme="majorBidi"/>
          <w:b/>
          <w:bCs/>
          <w:color w:val="000000" w:themeColor="text1"/>
          <w:spacing w:val="-2"/>
          <w:szCs w:val="22"/>
        </w:rPr>
        <w:t xml:space="preserve">MAP supports evidence-based policy making in Mekong countries through targeted research aimed at enriching economic policies and practices. </w:t>
      </w:r>
      <w:r w:rsidRPr="003A3DB9">
        <w:rPr>
          <w:rFonts w:cstheme="majorBidi"/>
          <w:color w:val="000000" w:themeColor="text1"/>
          <w:spacing w:val="-2"/>
          <w:szCs w:val="22"/>
        </w:rPr>
        <w:t>In Thailand, MAP supported the Office of SMEs Promotion in reviewing Thailand's laws, regulations, and policies for startup development, competition, and global best practices in 2022. Following extensive stakeholder consultation, it was determined that the key implementation challenge for SMEs was to build capacity and compliance with Environmental, Social, and Governance (ESG) standards, including awareness of existing government support. Building on the outcomes of the above activities, the Asia Foundation</w:t>
      </w:r>
      <w:r w:rsidRPr="003A3DB9">
        <w:rPr>
          <w:szCs w:val="22"/>
        </w:rPr>
        <w:t xml:space="preserve"> </w:t>
      </w:r>
      <w:r w:rsidRPr="003A3DB9">
        <w:rPr>
          <w:rFonts w:cstheme="majorBidi"/>
          <w:color w:val="000000" w:themeColor="text1"/>
          <w:spacing w:val="-2"/>
          <w:szCs w:val="22"/>
        </w:rPr>
        <w:t>developed the ESG toolkit in late 2024 that addresses common barriers—limited resources and complex requirements—by providing practical steps and real-world examples for ESG integration. It consolidates information about available government support services while offering strategies to boost SME competitiveness, sustainability, and resilience.</w:t>
      </w:r>
    </w:p>
    <w:p w14:paraId="764B4B21" w14:textId="057C07B1" w:rsidR="001344FF" w:rsidRDefault="00295667" w:rsidP="00237533">
      <w:pPr>
        <w:rPr>
          <w:rFonts w:cstheme="majorBidi"/>
          <w:color w:val="000000" w:themeColor="text1"/>
          <w:spacing w:val="-2"/>
          <w:szCs w:val="22"/>
        </w:rPr>
      </w:pPr>
      <w:r w:rsidRPr="003A3DB9">
        <w:rPr>
          <w:rFonts w:cstheme="majorBidi"/>
          <w:color w:val="000000" w:themeColor="text1"/>
          <w:spacing w:val="-2"/>
          <w:szCs w:val="22"/>
        </w:rPr>
        <w:t>In Vietnam, the WE RISE Together investment implemented by UN Women completed and disseminated the Policy Summary Report which highlighted key findings on gender responsive procurement, stakeholder mapping, legislative landscape, and capacity assessments. Moreover, MAP supported the development of two Handbooks 1) Women SMEs (WSMEs) access to the Vietnam’s supporting policies and 2) WSMEs’ participation in domestic and international markets through e-commerce</w:t>
      </w:r>
      <w:r w:rsidR="003A3DB9">
        <w:rPr>
          <w:rFonts w:cstheme="majorBidi"/>
          <w:color w:val="000000" w:themeColor="text1"/>
          <w:spacing w:val="-2"/>
          <w:szCs w:val="22"/>
        </w:rPr>
        <w:t>.</w:t>
      </w:r>
    </w:p>
    <w:p w14:paraId="0A219EAD" w14:textId="77777777" w:rsidR="001344FF" w:rsidRDefault="001344FF" w:rsidP="007945FE">
      <w:pPr>
        <w:spacing w:before="20" w:after="20" w:line="252" w:lineRule="auto"/>
        <w:rPr>
          <w:rFonts w:cstheme="majorBidi"/>
          <w:color w:val="000000" w:themeColor="text1"/>
          <w:spacing w:val="-2"/>
          <w:szCs w:val="22"/>
        </w:rPr>
      </w:pPr>
    </w:p>
    <w:p w14:paraId="01D7818E" w14:textId="5FF9B856" w:rsidR="00A55248" w:rsidRPr="003A3DB9" w:rsidRDefault="007945FE" w:rsidP="007945FE">
      <w:pPr>
        <w:spacing w:before="20" w:after="20" w:line="252" w:lineRule="auto"/>
        <w:rPr>
          <w:color w:val="auto"/>
          <w:szCs w:val="22"/>
        </w:rPr>
      </w:pPr>
      <w:r w:rsidRPr="003A3DB9">
        <w:rPr>
          <w:rFonts w:cstheme="majorBidi"/>
          <w:b/>
          <w:bCs/>
          <w:color w:val="000000" w:themeColor="text1"/>
          <w:spacing w:val="-2"/>
          <w:szCs w:val="22"/>
        </w:rPr>
        <w:t>MAP strengthened collaboration between Australia and Mekong partners to discuss experiences and lessons in addressing shared economic challenges</w:t>
      </w:r>
      <w:r w:rsidRPr="003A3DB9">
        <w:rPr>
          <w:rFonts w:cstheme="majorBidi"/>
          <w:color w:val="000000" w:themeColor="text1"/>
          <w:spacing w:val="-2"/>
          <w:szCs w:val="22"/>
        </w:rPr>
        <w:t xml:space="preserve">.  For example, with MAP support, </w:t>
      </w:r>
      <w:r w:rsidRPr="003A3DB9">
        <w:rPr>
          <w:rFonts w:cstheme="majorBidi"/>
          <w:color w:val="auto"/>
          <w:spacing w:val="-2"/>
          <w:szCs w:val="22"/>
        </w:rPr>
        <w:t>e</w:t>
      </w:r>
      <w:r w:rsidRPr="003A3DB9">
        <w:rPr>
          <w:color w:val="auto"/>
          <w:szCs w:val="22"/>
        </w:rPr>
        <w:t>ight officials from the Vietnam Competition Commission joined seven Cambodian officials from the Consumer Protection and Fraud Repression Directorate to discuss a range of topics with the Australian Competition and Consumer Commission (ACCC) and external experts. Topics discussed included unfair trade practices; intelligence gathering and using data to drive priorities; Australia’s consumer protection model and how the ACCC cooperates with government and non-government agencies to regulate consumer protection; and the ACCC’s Sustainability Taskforce.</w:t>
      </w:r>
    </w:p>
    <w:p w14:paraId="6BC89D95" w14:textId="77777777" w:rsidR="00A55248" w:rsidRPr="003A3DB9" w:rsidRDefault="00A55248" w:rsidP="007945FE">
      <w:pPr>
        <w:spacing w:before="20" w:after="20" w:line="252" w:lineRule="auto"/>
        <w:rPr>
          <w:color w:val="auto"/>
          <w:szCs w:val="22"/>
        </w:rPr>
      </w:pPr>
    </w:p>
    <w:p w14:paraId="5F6A95C4" w14:textId="77777777" w:rsidR="00A55248" w:rsidRPr="003A3DB9" w:rsidRDefault="00A55248" w:rsidP="00A55248">
      <w:pPr>
        <w:spacing w:before="20" w:after="20" w:line="252" w:lineRule="auto"/>
        <w:rPr>
          <w:rFonts w:cstheme="majorBidi"/>
          <w:color w:val="000000" w:themeColor="text1"/>
          <w:spacing w:val="-2"/>
          <w:szCs w:val="22"/>
        </w:rPr>
      </w:pPr>
      <w:r w:rsidRPr="003A3DB9">
        <w:rPr>
          <w:rFonts w:cstheme="majorBidi"/>
          <w:b/>
          <w:bCs/>
          <w:color w:val="000000" w:themeColor="text1"/>
          <w:spacing w:val="-2"/>
          <w:szCs w:val="22"/>
        </w:rPr>
        <w:t>Finally, MAP promoted more inclusive and sustainable development policies and practices in partner governments in the Mekong subregion</w:t>
      </w:r>
      <w:r w:rsidRPr="003A3DB9">
        <w:rPr>
          <w:rFonts w:cstheme="majorBidi"/>
          <w:color w:val="000000" w:themeColor="text1"/>
          <w:spacing w:val="-2"/>
          <w:szCs w:val="22"/>
        </w:rPr>
        <w:t xml:space="preserve">. For example, in May 2024, the Mekong Safeguards investment, in collaboration with the Energy Policy and Planning Office, and the Electricity Generating Authority of Thailand, partnered in updating Thailand’s Power Development Plan to include socioeconomic and environmental considerations using the Low Emissions Analysis Platform/Next </w:t>
      </w:r>
      <w:r w:rsidRPr="003A3DB9">
        <w:rPr>
          <w:rFonts w:cstheme="majorBidi"/>
          <w:color w:val="000000" w:themeColor="text1"/>
          <w:spacing w:val="-2"/>
          <w:szCs w:val="22"/>
        </w:rPr>
        <w:lastRenderedPageBreak/>
        <w:t>Energy Modelling system for Optimisation model. Thai officials, proposed to provide the updated indicators to the Thai energy minister at public hearing events in May 2024.</w:t>
      </w:r>
    </w:p>
    <w:p w14:paraId="20BE8BC6" w14:textId="77777777" w:rsidR="002C129C" w:rsidRPr="003A3DB9" w:rsidRDefault="002C129C" w:rsidP="00A55248">
      <w:pPr>
        <w:spacing w:before="20" w:after="20" w:line="252" w:lineRule="auto"/>
        <w:rPr>
          <w:rFonts w:cstheme="majorBidi"/>
          <w:color w:val="000000" w:themeColor="text1"/>
          <w:spacing w:val="-2"/>
          <w:szCs w:val="22"/>
        </w:rPr>
      </w:pPr>
    </w:p>
    <w:p w14:paraId="56C2299C" w14:textId="77777777" w:rsidR="002C129C" w:rsidRPr="003A3DB9" w:rsidRDefault="002C129C" w:rsidP="002C129C">
      <w:pPr>
        <w:spacing w:before="20" w:after="20" w:line="252" w:lineRule="auto"/>
        <w:rPr>
          <w:rFonts w:cstheme="majorBidi"/>
          <w:color w:val="000000" w:themeColor="text1"/>
          <w:spacing w:val="-2"/>
          <w:szCs w:val="22"/>
        </w:rPr>
      </w:pPr>
      <w:r w:rsidRPr="003A3DB9">
        <w:rPr>
          <w:rFonts w:cstheme="majorBidi"/>
          <w:color w:val="000000" w:themeColor="text1"/>
          <w:spacing w:val="-2"/>
          <w:szCs w:val="22"/>
        </w:rPr>
        <w:t>In Cambodia, MAP helped strengthen strategic environmental assessment (SEA) processes. Mekong Safeguards trained Cambodian environment officials on SEA for energy and transportation infrastructure and conducted a scoping study on gaps and opportunities in the country’s legal and institutional mechanisms to effectively apply SEA. These activities provided decision-makers with better tools and knowledge to integrate SEAs into infrastructure planning.</w:t>
      </w:r>
    </w:p>
    <w:p w14:paraId="754C742F" w14:textId="2E2AAD8D" w:rsidR="00B63E0E" w:rsidRPr="00651E37" w:rsidRDefault="00F50EB2" w:rsidP="00237533">
      <w:pPr>
        <w:rPr>
          <w:rFonts w:cstheme="minorHAnsi"/>
          <w:b/>
          <w:bCs/>
          <w:color w:val="auto"/>
          <w:szCs w:val="22"/>
        </w:rPr>
      </w:pPr>
      <w:r w:rsidRPr="003A3DB9">
        <w:rPr>
          <w:rFonts w:cstheme="majorBidi"/>
          <w:color w:val="000000" w:themeColor="text1"/>
          <w:spacing w:val="-2"/>
          <w:szCs w:val="22"/>
        </w:rPr>
        <w:t xml:space="preserve">Mekong Safeguards also worked with multiple companies to address gaps in their ESG policies and practices. With MAP support, Thai power developer </w:t>
      </w:r>
      <w:proofErr w:type="spellStart"/>
      <w:proofErr w:type="gramStart"/>
      <w:r w:rsidRPr="003A3DB9">
        <w:rPr>
          <w:rFonts w:cstheme="majorBidi"/>
          <w:color w:val="000000" w:themeColor="text1"/>
          <w:spacing w:val="-2"/>
          <w:szCs w:val="22"/>
        </w:rPr>
        <w:t>B.Grimm</w:t>
      </w:r>
      <w:proofErr w:type="spellEnd"/>
      <w:proofErr w:type="gramEnd"/>
      <w:r w:rsidRPr="003A3DB9">
        <w:rPr>
          <w:rFonts w:cstheme="majorBidi"/>
          <w:color w:val="000000" w:themeColor="text1"/>
          <w:spacing w:val="-2"/>
          <w:szCs w:val="22"/>
        </w:rPr>
        <w:t xml:space="preserve"> Power</w:t>
      </w:r>
      <w:r w:rsidRPr="003A3DB9">
        <w:rPr>
          <w:rFonts w:cstheme="majorBidi"/>
          <w:b/>
          <w:bCs/>
          <w:color w:val="000000" w:themeColor="text1"/>
          <w:spacing w:val="-2"/>
          <w:szCs w:val="22"/>
        </w:rPr>
        <w:t xml:space="preserve"> </w:t>
      </w:r>
      <w:r w:rsidRPr="003A3DB9">
        <w:rPr>
          <w:rFonts w:cstheme="majorBidi"/>
          <w:color w:val="000000" w:themeColor="text1"/>
          <w:spacing w:val="-2"/>
          <w:szCs w:val="22"/>
        </w:rPr>
        <w:t>revised its ESG standards to improve policies on climate, water management, biodiversity, and stakeholder engagement. Wind energy developer, The Blue Circle, strengthened its gender inclusive policies and practices. Lastly, Vietnam-based Saigon Asset Management developed an Environmental and Social (E&amp;S) risk management tool to strengthen investment screening criteria and processes. Successful adoption of strong ESG standards by private sector developers and investors creates best-practice case studies that can be replicated in other Mekong subregion projects.</w:t>
      </w:r>
    </w:p>
    <w:p w14:paraId="15BA7534" w14:textId="3C5A6C57" w:rsidR="00464802" w:rsidRDefault="00464802">
      <w:pPr>
        <w:spacing w:before="0" w:after="160" w:line="259" w:lineRule="auto"/>
        <w:rPr>
          <w:rFonts w:cstheme="minorHAnsi"/>
          <w:color w:val="auto"/>
        </w:rPr>
      </w:pPr>
      <w:bookmarkStart w:id="27" w:name="_Toc138797353"/>
      <w:r>
        <w:rPr>
          <w:rFonts w:cstheme="minorHAnsi"/>
          <w:color w:val="auto"/>
        </w:rPr>
        <w:br w:type="page"/>
      </w:r>
    </w:p>
    <w:p w14:paraId="5B292DA0" w14:textId="15266FD2" w:rsidR="00237533" w:rsidRDefault="00B63E0E" w:rsidP="00D57C54">
      <w:pPr>
        <w:pStyle w:val="Heading2"/>
        <w:spacing w:after="600"/>
        <w:ind w:left="0" w:firstLine="0"/>
      </w:pPr>
      <w:bookmarkStart w:id="28" w:name="_Toc210034397"/>
      <w:r w:rsidRPr="005375A3">
        <w:rPr>
          <w:bCs w:val="0"/>
          <w:noProof/>
          <w:sz w:val="22"/>
          <w:szCs w:val="22"/>
        </w:rPr>
        <w:lastRenderedPageBreak/>
        <w:drawing>
          <wp:anchor distT="0" distB="0" distL="114300" distR="114300" simplePos="0" relativeHeight="251687940" behindDoc="1" locked="0" layoutInCell="1" allowOverlap="1" wp14:anchorId="553E39BC" wp14:editId="2BAC3322">
            <wp:simplePos x="0" y="0"/>
            <wp:positionH relativeFrom="margin">
              <wp:align>left</wp:align>
            </wp:positionH>
            <wp:positionV relativeFrom="paragraph">
              <wp:posOffset>0</wp:posOffset>
            </wp:positionV>
            <wp:extent cx="460375" cy="457835"/>
            <wp:effectExtent l="0" t="0" r="0" b="0"/>
            <wp:wrapTight wrapText="bothSides">
              <wp:wrapPolygon edited="0">
                <wp:start x="4469" y="0"/>
                <wp:lineTo x="0" y="4494"/>
                <wp:lineTo x="0" y="16178"/>
                <wp:lineTo x="4469" y="20671"/>
                <wp:lineTo x="16088" y="20671"/>
                <wp:lineTo x="20557" y="16178"/>
                <wp:lineTo x="20557" y="4494"/>
                <wp:lineTo x="16088" y="0"/>
                <wp:lineTo x="4469" y="0"/>
              </wp:wrapPolygon>
            </wp:wrapTight>
            <wp:docPr id="29500863" name="Picture 6" descr="The MAP Transnational Crime thematic icons. Green circle with linking box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0863" name="Picture 6" descr="The MAP Transnational Crime thematic icons. Green circle with linking boxes.&#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375" cy="457835"/>
                    </a:xfrm>
                    <a:prstGeom prst="rect">
                      <a:avLst/>
                    </a:prstGeom>
                    <a:noFill/>
                  </pic:spPr>
                </pic:pic>
              </a:graphicData>
            </a:graphic>
          </wp:anchor>
        </w:drawing>
      </w:r>
      <w:bookmarkEnd w:id="27"/>
      <w:r>
        <w:t>Thematic Area 5 – Transnational Crime</w:t>
      </w:r>
      <w:r w:rsidR="009E55A8" w:rsidRPr="008623B1">
        <w:t xml:space="preserve"> (</w:t>
      </w:r>
      <w:r w:rsidR="006E3EE1">
        <w:t>TNC</w:t>
      </w:r>
      <w:r w:rsidR="009E55A8" w:rsidRPr="008623B1">
        <w:t>)</w:t>
      </w:r>
      <w:bookmarkEnd w:id="28"/>
    </w:p>
    <w:p w14:paraId="1E64B797" w14:textId="77777777" w:rsidR="00BF27A0" w:rsidRPr="001A6AA5" w:rsidRDefault="00BF27A0" w:rsidP="001A6AA5">
      <w:pPr>
        <w:pBdr>
          <w:top w:val="single" w:sz="4" w:space="1" w:color="auto"/>
          <w:left w:val="single" w:sz="4" w:space="4" w:color="auto"/>
          <w:bottom w:val="single" w:sz="4" w:space="1" w:color="auto"/>
          <w:right w:val="single" w:sz="4" w:space="4" w:color="auto"/>
        </w:pBdr>
        <w:ind w:left="360" w:hanging="360"/>
        <w:rPr>
          <w:b/>
          <w:bCs/>
          <w:color w:val="auto"/>
        </w:rPr>
      </w:pPr>
      <w:r w:rsidRPr="001A6AA5">
        <w:rPr>
          <w:b/>
          <w:bCs/>
          <w:color w:val="auto"/>
        </w:rPr>
        <w:t>Pillar outcome:</w:t>
      </w:r>
    </w:p>
    <w:p w14:paraId="2B23FB19" w14:textId="7027703C" w:rsidR="00BF27A0" w:rsidRDefault="002C5B9E" w:rsidP="001A6AA5">
      <w:pPr>
        <w:pBdr>
          <w:top w:val="single" w:sz="4" w:space="1" w:color="auto"/>
          <w:left w:val="single" w:sz="4" w:space="4" w:color="auto"/>
          <w:bottom w:val="single" w:sz="4" w:space="1" w:color="auto"/>
          <w:right w:val="single" w:sz="4" w:space="4" w:color="auto"/>
        </w:pBdr>
        <w:rPr>
          <w:color w:val="000000" w:themeColor="text2"/>
          <w:szCs w:val="22"/>
        </w:rPr>
      </w:pPr>
      <w:r w:rsidRPr="006145DD">
        <w:rPr>
          <w:b/>
          <w:color w:val="auto"/>
        </w:rPr>
        <w:t>Outcome 1:</w:t>
      </w:r>
      <w:r>
        <w:rPr>
          <w:bCs/>
          <w:color w:val="auto"/>
        </w:rPr>
        <w:t xml:space="preserve"> </w:t>
      </w:r>
      <w:r w:rsidRPr="00614A6C">
        <w:rPr>
          <w:color w:val="000000" w:themeColor="text2"/>
          <w:szCs w:val="22"/>
        </w:rPr>
        <w:t>Mekong subregion partners demonstrate a commitment to develop and nurture institutional relationships with Australian Government Agencies (AGAs) to combat TNC.</w:t>
      </w:r>
    </w:p>
    <w:p w14:paraId="41BCA3B2" w14:textId="02BA3BA7" w:rsidR="002C5B9E" w:rsidRDefault="002C5B9E" w:rsidP="001A6AA5">
      <w:pPr>
        <w:pBdr>
          <w:top w:val="single" w:sz="4" w:space="1" w:color="auto"/>
          <w:left w:val="single" w:sz="4" w:space="4" w:color="auto"/>
          <w:bottom w:val="single" w:sz="4" w:space="1" w:color="auto"/>
          <w:right w:val="single" w:sz="4" w:space="4" w:color="auto"/>
        </w:pBdr>
        <w:rPr>
          <w:color w:val="000000" w:themeColor="text2"/>
          <w:szCs w:val="22"/>
        </w:rPr>
      </w:pPr>
      <w:r w:rsidRPr="006145DD">
        <w:rPr>
          <w:b/>
          <w:bCs/>
          <w:color w:val="000000" w:themeColor="text2"/>
          <w:szCs w:val="22"/>
        </w:rPr>
        <w:t>Outcome 2:</w:t>
      </w:r>
      <w:r w:rsidR="00427B69" w:rsidRPr="00427B69">
        <w:rPr>
          <w:color w:val="000000" w:themeColor="text2"/>
          <w:szCs w:val="22"/>
        </w:rPr>
        <w:t xml:space="preserve"> </w:t>
      </w:r>
      <w:r w:rsidR="00427B69" w:rsidRPr="00614A6C">
        <w:rPr>
          <w:color w:val="000000" w:themeColor="text2"/>
          <w:szCs w:val="22"/>
        </w:rPr>
        <w:t>Mekong subregion partners enhance TNC operational capabilities, drawing on lessons learned and inputs from AGAs and local stakeholders</w:t>
      </w:r>
      <w:r w:rsidR="00427B69">
        <w:rPr>
          <w:color w:val="000000" w:themeColor="text2"/>
          <w:szCs w:val="22"/>
        </w:rPr>
        <w:t>.</w:t>
      </w:r>
    </w:p>
    <w:p w14:paraId="37164E88" w14:textId="07F2A5D6" w:rsidR="00427B69" w:rsidRDefault="00427B69" w:rsidP="001A6AA5">
      <w:pPr>
        <w:pBdr>
          <w:top w:val="single" w:sz="4" w:space="1" w:color="auto"/>
          <w:left w:val="single" w:sz="4" w:space="4" w:color="auto"/>
          <w:bottom w:val="single" w:sz="4" w:space="1" w:color="auto"/>
          <w:right w:val="single" w:sz="4" w:space="4" w:color="auto"/>
        </w:pBdr>
        <w:rPr>
          <w:color w:val="000000" w:themeColor="text2"/>
          <w:szCs w:val="22"/>
        </w:rPr>
      </w:pPr>
      <w:r w:rsidRPr="006145DD">
        <w:rPr>
          <w:b/>
          <w:bCs/>
          <w:color w:val="000000" w:themeColor="text2"/>
          <w:szCs w:val="22"/>
        </w:rPr>
        <w:t>Outcome 3:</w:t>
      </w:r>
      <w:r w:rsidR="002419B0" w:rsidRPr="002419B0">
        <w:rPr>
          <w:color w:val="000000" w:themeColor="text2"/>
          <w:szCs w:val="22"/>
        </w:rPr>
        <w:t xml:space="preserve"> </w:t>
      </w:r>
      <w:r w:rsidR="002419B0" w:rsidRPr="00614A6C">
        <w:rPr>
          <w:color w:val="000000" w:themeColor="text2"/>
          <w:szCs w:val="22"/>
        </w:rPr>
        <w:t>Mekong subregion partners increasingly use GEDSI analysis and evidence to strengthen TNC responses</w:t>
      </w:r>
      <w:r w:rsidR="00391324">
        <w:rPr>
          <w:color w:val="000000" w:themeColor="text2"/>
          <w:szCs w:val="22"/>
        </w:rPr>
        <w:t>.</w:t>
      </w:r>
    </w:p>
    <w:p w14:paraId="41482F42" w14:textId="1365F73B" w:rsidR="002C5B9E" w:rsidRPr="00DE61C0" w:rsidRDefault="00DE61C0" w:rsidP="001A6AA5">
      <w:pPr>
        <w:pBdr>
          <w:top w:val="single" w:sz="4" w:space="1" w:color="auto"/>
          <w:left w:val="single" w:sz="4" w:space="4" w:color="auto"/>
          <w:bottom w:val="single" w:sz="4" w:space="1" w:color="auto"/>
          <w:right w:val="single" w:sz="4" w:space="4" w:color="auto"/>
        </w:pBdr>
        <w:rPr>
          <w:bCs/>
          <w:color w:val="auto"/>
        </w:rPr>
      </w:pPr>
      <w:r w:rsidRPr="006145DD">
        <w:rPr>
          <w:b/>
          <w:color w:val="auto"/>
        </w:rPr>
        <w:t>Outcome 4:</w:t>
      </w:r>
      <w:r>
        <w:rPr>
          <w:bCs/>
          <w:color w:val="auto"/>
        </w:rPr>
        <w:t xml:space="preserve"> </w:t>
      </w:r>
      <w:r w:rsidRPr="00614A6C">
        <w:rPr>
          <w:color w:val="000000" w:themeColor="text2"/>
          <w:szCs w:val="22"/>
        </w:rPr>
        <w:t xml:space="preserve">Mekong subregion partners increase information sharing and alignment of operational approaches to combat transnational crime.  </w:t>
      </w:r>
    </w:p>
    <w:p w14:paraId="5082BFE2" w14:textId="77777777" w:rsidR="00651510" w:rsidRPr="002859B4" w:rsidRDefault="00651510" w:rsidP="00651510">
      <w:pPr>
        <w:rPr>
          <w:color w:val="000000" w:themeColor="text1"/>
          <w:szCs w:val="22"/>
        </w:rPr>
      </w:pPr>
      <w:r w:rsidRPr="002859B4">
        <w:rPr>
          <w:color w:val="000000" w:themeColor="text2"/>
          <w:szCs w:val="22"/>
        </w:rPr>
        <w:t>MAP-TNC is an eight-year (Mar 2021 – Mar 2029) $30 million program. It is the only Australian government-to-government development program in the Mekong sub-region addressing transnational crime (TNC), applying a development lens to the traditional operational approach.</w:t>
      </w:r>
    </w:p>
    <w:p w14:paraId="430811E0" w14:textId="77777777" w:rsidR="00651510" w:rsidRPr="002859B4" w:rsidRDefault="00651510" w:rsidP="00651510">
      <w:pPr>
        <w:rPr>
          <w:color w:val="000000" w:themeColor="text1"/>
          <w:szCs w:val="22"/>
        </w:rPr>
      </w:pPr>
      <w:r w:rsidRPr="002859B4">
        <w:rPr>
          <w:color w:val="000000" w:themeColor="text2"/>
          <w:szCs w:val="22"/>
        </w:rPr>
        <w:t>DFAT partners with Australian Government Agencies (AGAs), supporting them to deepen and strengthen their engagement with their Mekong counterparts and enhance efforts to address TNC. The program is specifically focused on countering financial crime, illicit drugs, and child sexual exploitation. AGAs deliver bilateral and regional activities in Cambodia, Laos, Thailand, and Vietnam. Engagement with Myanmar has been restricted since the February 2021.</w:t>
      </w:r>
    </w:p>
    <w:p w14:paraId="27A290DF" w14:textId="77777777" w:rsidR="00651510" w:rsidRPr="002859B4" w:rsidRDefault="00651510" w:rsidP="00651510">
      <w:pPr>
        <w:rPr>
          <w:color w:val="000000" w:themeColor="text1"/>
          <w:szCs w:val="22"/>
        </w:rPr>
      </w:pPr>
      <w:r w:rsidRPr="002859B4">
        <w:rPr>
          <w:color w:val="000000" w:themeColor="text2"/>
          <w:szCs w:val="22"/>
        </w:rPr>
        <w:t>MAP-TNC’s key AGAs include the Australian Federal Police (AFP), the Attorney General’s Department (AGD), Home Affairs (HA), and the Australian Border Force (ABF). These agencies liaise with their direct counterparts to ensure activity development is consultative and needs-based, and that activities implemented align with their strategic interests.  MAP-TNC has also provided opportunities for AGAs without a direct footprint in the Mekong, such as the Australian Taxation Office (ATO) and the Australian Transaction Reports and Analysis Centre (AUSTRAC), to expand their international programming and networks.</w:t>
      </w:r>
    </w:p>
    <w:p w14:paraId="73F35745" w14:textId="77777777" w:rsidR="00773304" w:rsidRPr="002859B4" w:rsidRDefault="00773304" w:rsidP="00773304">
      <w:pPr>
        <w:rPr>
          <w:rFonts w:cstheme="minorHAnsi"/>
          <w:b/>
          <w:bCs/>
          <w:color w:val="auto"/>
          <w:u w:val="single"/>
        </w:rPr>
      </w:pPr>
      <w:r w:rsidRPr="002859B4">
        <w:rPr>
          <w:rFonts w:cstheme="minorHAnsi"/>
          <w:b/>
          <w:bCs/>
          <w:color w:val="auto"/>
          <w:u w:val="single"/>
        </w:rPr>
        <w:t>Summary of progress and achievement against outcomes</w:t>
      </w:r>
    </w:p>
    <w:p w14:paraId="0FE0FFEB" w14:textId="77777777" w:rsidR="003936C3" w:rsidRPr="002859B4" w:rsidRDefault="003936C3" w:rsidP="003936C3">
      <w:pPr>
        <w:framePr w:hSpace="180" w:wrap="around" w:vAnchor="text" w:hAnchor="margin" w:y="10"/>
        <w:rPr>
          <w:rFonts w:cstheme="majorHAnsi"/>
          <w:color w:val="000000" w:themeColor="text1"/>
          <w:szCs w:val="22"/>
        </w:rPr>
      </w:pPr>
      <w:r w:rsidRPr="002859B4">
        <w:rPr>
          <w:rFonts w:cstheme="majorHAnsi"/>
          <w:color w:val="000000" w:themeColor="text1"/>
          <w:szCs w:val="22"/>
        </w:rPr>
        <w:t>During the reporting period, a total of 30 activities were funded in 2024: Cambodia 5 (17 per cent), Laos 6 (20 per cent), Thailand 6 (20 per cent), Vietnam 3 (10 per cent) and Mekong/regional 10 (33 per cent). Of the total number of activities, 37 per cent were combatting financial crime; 33 per cent combatting narcotics, 10 per cent combatting child sexual exploitation (CSE) and 20 per cent of activities worked across all three crime types.</w:t>
      </w:r>
    </w:p>
    <w:p w14:paraId="2601580E" w14:textId="45C685C1" w:rsidR="00651E37" w:rsidRPr="002859B4" w:rsidRDefault="003936C3" w:rsidP="003936C3">
      <w:pPr>
        <w:rPr>
          <w:rFonts w:cstheme="majorHAnsi"/>
          <w:color w:val="000000" w:themeColor="text1"/>
          <w:szCs w:val="22"/>
        </w:rPr>
      </w:pPr>
      <w:r w:rsidRPr="002859B4">
        <w:rPr>
          <w:rFonts w:cstheme="majorHAnsi"/>
          <w:b/>
          <w:bCs/>
          <w:color w:val="000000" w:themeColor="text1"/>
          <w:szCs w:val="22"/>
        </w:rPr>
        <w:t>In 2024, capacity building activities initiated by MAP-TNC resulted in increased capacity among participants in targeted agencies</w:t>
      </w:r>
      <w:r w:rsidRPr="002859B4">
        <w:rPr>
          <w:rFonts w:cstheme="majorHAnsi"/>
          <w:color w:val="000000" w:themeColor="text1"/>
          <w:szCs w:val="22"/>
        </w:rPr>
        <w:t>. On average more than 95 per cent of participants (women and men) who completed MAP-TNC activities were satisfied with the quality of training and technical support. Over 95 per cent of training participants (women and men) also reported improved knowledge and “know-how” from technical training.</w:t>
      </w:r>
    </w:p>
    <w:p w14:paraId="1F5BB702" w14:textId="77777777" w:rsidR="00B254B6" w:rsidRPr="002859B4" w:rsidRDefault="00B254B6" w:rsidP="00B254B6">
      <w:pPr>
        <w:rPr>
          <w:rFonts w:cstheme="majorHAnsi"/>
          <w:color w:val="000000" w:themeColor="text1"/>
          <w:szCs w:val="22"/>
        </w:rPr>
      </w:pPr>
      <w:r w:rsidRPr="002859B4">
        <w:rPr>
          <w:rFonts w:cstheme="majorHAnsi"/>
          <w:b/>
          <w:bCs/>
          <w:color w:val="000000" w:themeColor="text1"/>
          <w:szCs w:val="22"/>
        </w:rPr>
        <w:t>Capacity building activities have also resulted in concrete application of knowledge gained by attendees and improved practices of the agencies they work for</w:t>
      </w:r>
      <w:r w:rsidRPr="002859B4">
        <w:rPr>
          <w:rFonts w:cstheme="majorHAnsi"/>
          <w:color w:val="000000" w:themeColor="text1"/>
          <w:szCs w:val="22"/>
        </w:rPr>
        <w:t xml:space="preserve">. For example, AUSTRAC’s Intelligence Fundamentals Course (IFC) and Mekong Financial Intelligence Analyst Course (MFIAC) have trained 185 individuals (96 men and 89 women) since MAP-TNC started. In 2024, MAP-TNC </w:t>
      </w:r>
      <w:r w:rsidRPr="002859B4">
        <w:rPr>
          <w:rFonts w:cstheme="majorHAnsi"/>
          <w:color w:val="000000" w:themeColor="text1"/>
          <w:szCs w:val="22"/>
        </w:rPr>
        <w:lastRenderedPageBreak/>
        <w:t>surveyed a sample of 58 people (29 men and 29 women). 97 per cent of respondents reported that they have been able to apply the knowledge and skills gained through AUSTRAC’s training in their daily work. A further 91 per cent indicated their work practices and approaches have also changed and been enhanced as a result. Finally, 77 per cent indicated that work unit practices have also been adjusted and enhanced since the training.</w:t>
      </w:r>
    </w:p>
    <w:p w14:paraId="1C888060" w14:textId="77777777" w:rsidR="00B254B6" w:rsidRPr="002859B4" w:rsidRDefault="00B254B6" w:rsidP="00B254B6">
      <w:pPr>
        <w:rPr>
          <w:rFonts w:cstheme="majorHAnsi"/>
          <w:color w:val="000000" w:themeColor="text1"/>
          <w:szCs w:val="22"/>
        </w:rPr>
      </w:pPr>
      <w:r w:rsidRPr="002859B4">
        <w:rPr>
          <w:rFonts w:cstheme="majorHAnsi"/>
          <w:color w:val="000000" w:themeColor="text1"/>
          <w:szCs w:val="22"/>
        </w:rPr>
        <w:t>Responding to requests from the Thailand Customs Intelligence Centre to assist Thailand to meet international customs standards, ABF supported a Customs Intelligence Life Cycle Review, identifying gaps and providing recommendations to Thailand to strengthen systems. Senior figures were engaged in the review and participated in training activities. Through this engagement, there was a noted increase in referrals, which led to the arrest of a high-profile target (drug courier).</w:t>
      </w:r>
    </w:p>
    <w:p w14:paraId="3BB1A2A4" w14:textId="77777777" w:rsidR="00B254B6" w:rsidRPr="002859B4" w:rsidRDefault="00B254B6" w:rsidP="00B254B6">
      <w:pPr>
        <w:rPr>
          <w:rFonts w:cstheme="majorHAnsi"/>
          <w:color w:val="000000" w:themeColor="text1"/>
          <w:szCs w:val="22"/>
        </w:rPr>
      </w:pPr>
      <w:r w:rsidRPr="002859B4">
        <w:rPr>
          <w:rFonts w:cstheme="majorHAnsi"/>
          <w:color w:val="000000" w:themeColor="text2"/>
          <w:szCs w:val="22"/>
        </w:rPr>
        <w:t>Capacity building included provision of tools to improve work systems and make applications sustainable.  For example, AFP’s Cryptocurrency Investigations demonstrated a sustainable approach to its training by providing the ability to access discounted software licenses, creating an opportunity to deliver additional training and for local agencies to budget and purchase lic</w:t>
      </w:r>
      <w:r w:rsidRPr="002859B4">
        <w:rPr>
          <w:rFonts w:cstheme="majorHAnsi"/>
          <w:color w:val="auto"/>
          <w:szCs w:val="22"/>
        </w:rPr>
        <w:t xml:space="preserve">ense extensions to undertake their own training as needed. The AFP is confident that agencies will see the benefits and maintain licenses to assist them in their work. AUSTRAC worked with the Anti Money Laundering Department (AMLD) and State Bank of Vietnam to install TAIPAN software to upgrade their systems to enable more efficient collection and analysis of financial data. AUSTRAC found that capacity to use the software was high and that the upgrade would significantly enhance the AMLD’s operational capacity and allow the Financial Intelligence Units (FIU) to evolve into a more mature and sophisticated entity. </w:t>
      </w:r>
    </w:p>
    <w:p w14:paraId="28B93729" w14:textId="77777777" w:rsidR="00B254B6" w:rsidRPr="002859B4" w:rsidRDefault="00B254B6" w:rsidP="00B254B6">
      <w:pPr>
        <w:rPr>
          <w:rFonts w:cstheme="majorHAnsi"/>
          <w:color w:val="000000" w:themeColor="text1"/>
          <w:szCs w:val="22"/>
        </w:rPr>
      </w:pPr>
      <w:r w:rsidRPr="002859B4">
        <w:rPr>
          <w:rFonts w:cstheme="majorHAnsi"/>
          <w:b/>
          <w:bCs/>
          <w:color w:val="000000" w:themeColor="text1"/>
          <w:szCs w:val="22"/>
        </w:rPr>
        <w:t>MAP-TNC activities continue to build the evidence base on transnational crime through targeted research to inform policy</w:t>
      </w:r>
      <w:r w:rsidRPr="002859B4">
        <w:rPr>
          <w:rFonts w:cstheme="majorHAnsi"/>
          <w:color w:val="000000" w:themeColor="text1"/>
          <w:szCs w:val="22"/>
        </w:rPr>
        <w:t xml:space="preserve">. For example, the AFP supported the Thai Department of Special Investigations and Chulalongkorn University in researching forced criminality in online scams, producing evidence-based research to influence decision makers and politicians for legislative change in this rapidly evolving TNC area. There is scope to link with other AFP work, specifically related to cryptocurrency and money laundering, and potential for broader outreach across the Mekong. </w:t>
      </w:r>
    </w:p>
    <w:p w14:paraId="6485E19B" w14:textId="77777777" w:rsidR="00B254B6" w:rsidRPr="002859B4" w:rsidRDefault="00B254B6" w:rsidP="00B254B6">
      <w:pPr>
        <w:rPr>
          <w:rFonts w:cstheme="majorHAnsi"/>
          <w:color w:val="000000" w:themeColor="text1"/>
          <w:szCs w:val="22"/>
        </w:rPr>
      </w:pPr>
      <w:r w:rsidRPr="002859B4">
        <w:rPr>
          <w:rFonts w:cstheme="majorHAnsi"/>
          <w:color w:val="000000" w:themeColor="text1"/>
          <w:szCs w:val="22"/>
        </w:rPr>
        <w:t xml:space="preserve">Additionally, the Home Affairs-led Citizenship by Investment (CBI) Research report presented key findings and recommendations from their research to the Cambodian Government, which were shared and validated during an exploratory workshop. CBI has been increasingly misused for identity laundering and generating additional illicit proceeds. The report aims to contribute to a small but growing body of knowledge that can influence policy and support addressing legislative gaps. </w:t>
      </w:r>
    </w:p>
    <w:p w14:paraId="7F2CDC9C" w14:textId="77777777" w:rsidR="00B254B6" w:rsidRPr="002859B4" w:rsidRDefault="00B254B6" w:rsidP="00B254B6">
      <w:pPr>
        <w:rPr>
          <w:rFonts w:cstheme="majorHAnsi"/>
          <w:color w:val="000000" w:themeColor="text2"/>
          <w:szCs w:val="22"/>
        </w:rPr>
      </w:pPr>
      <w:r w:rsidRPr="002859B4">
        <w:rPr>
          <w:rFonts w:cstheme="majorHAnsi"/>
          <w:b/>
          <w:bCs/>
          <w:color w:val="000000" w:themeColor="text2"/>
          <w:szCs w:val="22"/>
        </w:rPr>
        <w:t>Through MAP-TNC activities, collaboration between AGAs across Mekong countries has improved.</w:t>
      </w:r>
      <w:r w:rsidRPr="002859B4">
        <w:rPr>
          <w:rFonts w:cstheme="majorHAnsi"/>
          <w:color w:val="000000" w:themeColor="text2"/>
          <w:szCs w:val="22"/>
        </w:rPr>
        <w:t xml:space="preserve"> For example, </w:t>
      </w:r>
      <w:r w:rsidRPr="002859B4">
        <w:rPr>
          <w:rFonts w:cstheme="majorHAnsi"/>
          <w:color w:val="auto"/>
          <w:szCs w:val="22"/>
        </w:rPr>
        <w:t xml:space="preserve">ATO </w:t>
      </w:r>
      <w:r w:rsidRPr="002859B4">
        <w:rPr>
          <w:rFonts w:cstheme="majorHAnsi"/>
          <w:color w:val="000000" w:themeColor="text2"/>
          <w:szCs w:val="22"/>
        </w:rPr>
        <w:t>collaborated with the AFP and AUSTRAC on the curriculum</w:t>
      </w:r>
      <w:r w:rsidRPr="002859B4">
        <w:rPr>
          <w:rFonts w:cstheme="majorHAnsi"/>
          <w:color w:val="000000" w:themeColor="text1"/>
          <w:szCs w:val="22"/>
        </w:rPr>
        <w:t xml:space="preserve"> on </w:t>
      </w:r>
      <w:r w:rsidRPr="002859B4">
        <w:rPr>
          <w:rFonts w:cstheme="majorHAnsi"/>
          <w:color w:val="000000" w:themeColor="text2"/>
          <w:szCs w:val="22"/>
        </w:rPr>
        <w:t>Foundation Tax Crime Investigation course in Vietnam to identify counterpart needs to support better financial crime investigations. This is aimed at strengthening Vietnam’s bid to graduate from the Financial Action Task Force’s ‘grey list’. In the same way, participants in the AFP’s Cryptocurrency and Blockchain and Cryptocurrency Asset Workshop are now tracing illicit cryptocurrency trading using their training in Transaction Monitory (TRM) technology, a software that tracks cryptocurrency flows. Activities emphasised the importance of cross-agency collaboration, essential for effectively addressing TNC.</w:t>
      </w:r>
    </w:p>
    <w:p w14:paraId="0787C434" w14:textId="77777777" w:rsidR="002859B4" w:rsidRPr="002859B4" w:rsidRDefault="002859B4" w:rsidP="002859B4">
      <w:pPr>
        <w:rPr>
          <w:rFonts w:cstheme="majorHAnsi"/>
          <w:color w:val="000000" w:themeColor="text1"/>
          <w:szCs w:val="22"/>
        </w:rPr>
      </w:pPr>
      <w:r w:rsidRPr="002859B4">
        <w:rPr>
          <w:rFonts w:cstheme="majorHAnsi"/>
          <w:color w:val="000000" w:themeColor="text2"/>
          <w:szCs w:val="22"/>
        </w:rPr>
        <w:t xml:space="preserve">Following a successful inception meeting, the AFP convened the Transnational Serious Organised Crime Working Group with Mekong operational officers. The central focus was on disrupting </w:t>
      </w:r>
      <w:r w:rsidRPr="002859B4">
        <w:rPr>
          <w:rFonts w:cstheme="majorHAnsi"/>
          <w:color w:val="000000" w:themeColor="text2"/>
          <w:szCs w:val="22"/>
        </w:rPr>
        <w:lastRenderedPageBreak/>
        <w:t>criminal syndicates and their ac</w:t>
      </w:r>
      <w:r w:rsidRPr="002859B4">
        <w:rPr>
          <w:rFonts w:cstheme="majorHAnsi"/>
          <w:color w:val="auto"/>
          <w:szCs w:val="22"/>
        </w:rPr>
        <w:t xml:space="preserve">tivities and coordinating responses across the region. One of the activities included a dialogue that identified high value targets and how to disrupt their capabilities in the region. Counterparts have now committed to hold regular Working Group Meetings and to rotate hosting duties, demonstrating the value they see in this AFP-led platform. </w:t>
      </w:r>
    </w:p>
    <w:p w14:paraId="54264A2D" w14:textId="77777777" w:rsidR="002859B4" w:rsidRPr="002859B4" w:rsidRDefault="002859B4" w:rsidP="002859B4">
      <w:pPr>
        <w:framePr w:hSpace="180" w:wrap="around" w:vAnchor="text" w:hAnchor="margin" w:y="10"/>
        <w:rPr>
          <w:rFonts w:cstheme="majorHAnsi"/>
          <w:color w:val="auto"/>
          <w:szCs w:val="22"/>
        </w:rPr>
      </w:pPr>
      <w:r w:rsidRPr="002859B4">
        <w:rPr>
          <w:rFonts w:cstheme="majorHAnsi"/>
          <w:color w:val="auto"/>
          <w:szCs w:val="22"/>
        </w:rPr>
        <w:t xml:space="preserve">AUSTRAC supported senior Financial Intelligence Units (FIUs) representatives to attend the regional Financial Intelligence Consultative Group meeting to understand emerging regional money laundering/terrorism financing threats. As part of this event, AUSTRAC encouraged Mekong counterparts to participate in the Collaboration, Learning, Exchange, Operations (CLEO) regional information sharing platform; Vietnam requested to join CLEO shortly after the event.  </w:t>
      </w:r>
    </w:p>
    <w:p w14:paraId="66DEF4A3" w14:textId="5BF87BFC" w:rsidR="002859B4" w:rsidRPr="002859B4" w:rsidRDefault="002859B4" w:rsidP="002859B4">
      <w:pPr>
        <w:rPr>
          <w:rFonts w:cstheme="majorHAnsi"/>
          <w:color w:val="auto"/>
          <w:spacing w:val="3"/>
          <w:szCs w:val="22"/>
        </w:rPr>
      </w:pPr>
      <w:r w:rsidRPr="002859B4">
        <w:rPr>
          <w:rFonts w:cstheme="majorHAnsi"/>
          <w:color w:val="auto"/>
          <w:spacing w:val="3"/>
          <w:szCs w:val="22"/>
        </w:rPr>
        <w:t>The theme for the 2024 ABF-supported Asia Pacific Customs Leadership Program was ‘Engaging Partners with Purpose’ and highlighted the crucial role customs can play in combatting TNC and the importance of regional collaboration.</w:t>
      </w:r>
    </w:p>
    <w:p w14:paraId="727FBA05" w14:textId="77777777" w:rsidR="002859B4" w:rsidRPr="002859B4" w:rsidRDefault="002859B4" w:rsidP="002859B4">
      <w:pPr>
        <w:framePr w:hSpace="180" w:wrap="around" w:vAnchor="text" w:hAnchor="margin" w:y="10"/>
        <w:rPr>
          <w:rFonts w:cstheme="majorHAnsi"/>
          <w:color w:val="000000" w:themeColor="text1"/>
          <w:szCs w:val="22"/>
        </w:rPr>
      </w:pPr>
      <w:r w:rsidRPr="002859B4">
        <w:rPr>
          <w:rFonts w:cstheme="majorHAnsi"/>
          <w:color w:val="auto"/>
          <w:szCs w:val="22"/>
        </w:rPr>
        <w:t>Finally, the AFP Mekong Drug Investigations Program Regional Workshop was a valuable platform to exchange information and raise awareness about emerging drug trafficking trends, high-profile targets, and regional concerns. Participants engaged in discussions aimed at enhancing coordination and exploring opportunities for joint operations to tackle drug-related challenges more effectively in the future. The Drug Investigation Methodology Program intro</w:t>
      </w:r>
      <w:r w:rsidRPr="002859B4">
        <w:rPr>
          <w:rFonts w:cstheme="majorHAnsi"/>
          <w:color w:val="000000" w:themeColor="text2"/>
          <w:szCs w:val="22"/>
        </w:rPr>
        <w:t>duced by the AFP provided an essential platform for intelligence sharing among law enforcement agencies from Lao, Cambodia, Thailand, and Vietnam. In an activity implemented in early 2024, Thailand used this platform to seek cooperation with Laos police in locating Thai criminals who had fled to Lao.</w:t>
      </w:r>
    </w:p>
    <w:p w14:paraId="291049A1" w14:textId="77777777" w:rsidR="002859B4" w:rsidRPr="002859B4" w:rsidRDefault="002859B4" w:rsidP="002859B4">
      <w:pPr>
        <w:framePr w:hSpace="180" w:wrap="around" w:vAnchor="text" w:hAnchor="margin" w:y="10"/>
        <w:rPr>
          <w:rFonts w:cstheme="majorHAnsi"/>
          <w:color w:val="000000" w:themeColor="text1"/>
          <w:szCs w:val="22"/>
        </w:rPr>
      </w:pPr>
      <w:r w:rsidRPr="002859B4">
        <w:rPr>
          <w:rFonts w:cstheme="majorHAnsi"/>
          <w:b/>
          <w:bCs/>
          <w:color w:val="000000" w:themeColor="text2"/>
          <w:szCs w:val="22"/>
        </w:rPr>
        <w:t>MAP-TNC strengthens gender equality, disability, and social inclusion in activity implementation, resulting in practical outcomes</w:t>
      </w:r>
      <w:r w:rsidRPr="002859B4">
        <w:rPr>
          <w:rFonts w:cstheme="majorHAnsi"/>
          <w:color w:val="000000" w:themeColor="text2"/>
          <w:szCs w:val="22"/>
        </w:rPr>
        <w:t xml:space="preserve">. </w:t>
      </w:r>
      <w:r w:rsidRPr="002859B4">
        <w:rPr>
          <w:rFonts w:cstheme="majorHAnsi"/>
          <w:szCs w:val="22"/>
        </w:rPr>
        <w:t xml:space="preserve"> </w:t>
      </w:r>
      <w:r w:rsidRPr="002859B4">
        <w:rPr>
          <w:rFonts w:cstheme="majorHAnsi"/>
          <w:color w:val="000000" w:themeColor="text2"/>
          <w:szCs w:val="22"/>
        </w:rPr>
        <w:t>In 2024, the MAP GEDSI Adviser developed a detailed GEDSI Toolkit, to build AGA knowledge and capacity to integrate GEDSI considerations through activity design to delivery. The GEDSI Toolkit was used to tailor crime, country, and audience-specific GEDSI modules for three Pilot activities.</w:t>
      </w:r>
    </w:p>
    <w:p w14:paraId="394A4D2E" w14:textId="70E56A0C" w:rsidR="002859B4" w:rsidRPr="002859B4" w:rsidRDefault="002859B4" w:rsidP="002859B4">
      <w:pPr>
        <w:rPr>
          <w:rFonts w:cstheme="majorHAnsi"/>
          <w:color w:val="000000" w:themeColor="text2"/>
          <w:szCs w:val="22"/>
        </w:rPr>
      </w:pPr>
      <w:r w:rsidRPr="002859B4">
        <w:rPr>
          <w:rFonts w:cstheme="majorHAnsi"/>
          <w:color w:val="000000" w:themeColor="text2"/>
          <w:szCs w:val="22"/>
        </w:rPr>
        <w:t xml:space="preserve">Initial feedback has highlighted the effectiveness of this approach, with participants and AGA’s indicating improved knowledge of not only basic GEDSI concepts, but greater understanding of the interconnected nature of GEDSI regarding both vulnerability to and perpetuation of TNC. The introduction of the Power Walk (an activity that invites </w:t>
      </w:r>
      <w:r w:rsidRPr="002859B4">
        <w:rPr>
          <w:rFonts w:cstheme="majorHAnsi"/>
          <w:szCs w:val="22"/>
        </w:rPr>
        <w:t>p</w:t>
      </w:r>
      <w:r w:rsidRPr="002859B4">
        <w:rPr>
          <w:rFonts w:cstheme="majorHAnsi"/>
          <w:color w:val="000000" w:themeColor="text2"/>
          <w:szCs w:val="22"/>
        </w:rPr>
        <w:t>articipants to “walk” in someone else’s shoes and experience what it feels like to be powerless or powerful based on gender, occupation, education level, disability, age, health, etc) helped to establish a baseline of participant knowledge of GEDSI concepts, and provide a practical, culturally relevant method to explain intersectionality and vulnerability. The Power Walk is being delivered by Country Coordinators in local language, ensuring a comprehension-centred approach is adopted.</w:t>
      </w:r>
    </w:p>
    <w:p w14:paraId="6F6A8973" w14:textId="474078D9" w:rsidR="002859B4" w:rsidRPr="00464802" w:rsidRDefault="002859B4" w:rsidP="00464802">
      <w:pPr>
        <w:rPr>
          <w:rFonts w:cstheme="minorHAnsi"/>
          <w:color w:val="auto"/>
        </w:rPr>
      </w:pPr>
      <w:r w:rsidRPr="002859B4">
        <w:rPr>
          <w:rFonts w:cstheme="majorHAnsi"/>
          <w:color w:val="000000" w:themeColor="text1"/>
          <w:szCs w:val="22"/>
        </w:rPr>
        <w:t>Two months after the AFP Cryptocurrency and Blockchain Investigations Training in Bangkok, where the GEDSI Toolkit was piloted for the first time, the media monitoring process observed a media release from the Royal Thai Police (RTP) providing a gender breakdown of victims of cybercrime. This was the first time the RTP had publicly shared gender disaggregated data.</w:t>
      </w:r>
      <w:bookmarkEnd w:id="18"/>
    </w:p>
    <w:p w14:paraId="48EE749B" w14:textId="77777777" w:rsidR="00464802" w:rsidRDefault="00464802">
      <w:pPr>
        <w:spacing w:before="0" w:after="160" w:line="259" w:lineRule="auto"/>
        <w:rPr>
          <w:rFonts w:asciiTheme="minorHAnsi" w:eastAsiaTheme="majorEastAsia" w:hAnsiTheme="minorHAnsi" w:cstheme="minorHAnsi"/>
          <w:b/>
          <w:color w:val="auto"/>
          <w:sz w:val="26"/>
          <w:szCs w:val="26"/>
        </w:rPr>
      </w:pPr>
      <w:r>
        <w:rPr>
          <w:rFonts w:asciiTheme="minorHAnsi" w:hAnsiTheme="minorHAnsi" w:cstheme="minorHAnsi"/>
          <w:color w:val="auto"/>
          <w:sz w:val="26"/>
          <w:szCs w:val="26"/>
        </w:rPr>
        <w:br w:type="page"/>
      </w:r>
    </w:p>
    <w:p w14:paraId="67781D34" w14:textId="0F68F793" w:rsidR="00D86F52" w:rsidRPr="00B40CF9" w:rsidRDefault="00B40CF9" w:rsidP="00B40CF9">
      <w:pPr>
        <w:pStyle w:val="NoNumbersHeading1"/>
        <w:rPr>
          <w:rFonts w:asciiTheme="minorHAnsi" w:hAnsiTheme="minorHAnsi" w:cstheme="minorHAnsi"/>
          <w:color w:val="auto"/>
          <w:sz w:val="26"/>
          <w:szCs w:val="26"/>
        </w:rPr>
      </w:pPr>
      <w:bookmarkStart w:id="29" w:name="_Toc210034398"/>
      <w:r w:rsidRPr="0053752C">
        <w:rPr>
          <w:rFonts w:asciiTheme="minorHAnsi" w:hAnsiTheme="minorHAnsi" w:cstheme="minorHAnsi"/>
          <w:color w:val="auto"/>
          <w:sz w:val="26"/>
          <w:szCs w:val="26"/>
        </w:rPr>
        <w:lastRenderedPageBreak/>
        <w:t>Stakeholder Engagement</w:t>
      </w:r>
      <w:bookmarkEnd w:id="29"/>
    </w:p>
    <w:p w14:paraId="06053FA4" w14:textId="6D457267" w:rsidR="00D86F52" w:rsidRPr="00A574B2" w:rsidRDefault="007A2107" w:rsidP="00D86F52">
      <w:pPr>
        <w:pStyle w:val="BodyText"/>
        <w:ind w:left="0" w:firstLine="0"/>
        <w:rPr>
          <w:rFonts w:asciiTheme="minorHAnsi" w:hAnsiTheme="minorHAnsi" w:cstheme="minorHAnsi"/>
          <w:sz w:val="22"/>
          <w:szCs w:val="22"/>
        </w:rPr>
      </w:pPr>
      <w:r w:rsidRPr="00D95670">
        <w:rPr>
          <w:rFonts w:asciiTheme="minorHAnsi" w:hAnsiTheme="minorHAnsi" w:cstheme="minorHAnsi"/>
        </w:rPr>
        <w:drawing>
          <wp:anchor distT="0" distB="0" distL="114300" distR="114300" simplePos="0" relativeHeight="251681796" behindDoc="0" locked="0" layoutInCell="1" allowOverlap="1" wp14:anchorId="7BBB895E" wp14:editId="278E9C5B">
            <wp:simplePos x="0" y="0"/>
            <wp:positionH relativeFrom="margin">
              <wp:align>left</wp:align>
            </wp:positionH>
            <wp:positionV relativeFrom="paragraph">
              <wp:posOffset>16510</wp:posOffset>
            </wp:positionV>
            <wp:extent cx="2260600" cy="3467100"/>
            <wp:effectExtent l="0" t="0" r="6350" b="0"/>
            <wp:wrapSquare wrapText="bothSides"/>
            <wp:docPr id="1249966922" name="Picture 1" descr="Map of the Mekong subregion detailing numbers of stakeholders in each country (3 in Myanmar, 106 in Thailand, 68 in Laos, 96 in Cambodia, 81 in Vietn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66922" name="Picture 1" descr="Map of the Mekong subregion detailing numbers of stakeholders in each country (3 in Myanmar, 106 in Thailand, 68 in Laos, 96 in Cambodia, 81 in Vietnam).">
                      <a:extLst>
                        <a:ext uri="{C183D7F6-B498-43B3-948B-1728B52AA6E4}">
                          <adec:decorative xmlns:adec="http://schemas.microsoft.com/office/drawing/2017/decorative" val="0"/>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9280" cy="3479474"/>
                    </a:xfrm>
                    <a:prstGeom prst="rect">
                      <a:avLst/>
                    </a:prstGeom>
                  </pic:spPr>
                </pic:pic>
              </a:graphicData>
            </a:graphic>
            <wp14:sizeRelH relativeFrom="page">
              <wp14:pctWidth>0</wp14:pctWidth>
            </wp14:sizeRelH>
            <wp14:sizeRelV relativeFrom="page">
              <wp14:pctHeight>0</wp14:pctHeight>
            </wp14:sizeRelV>
          </wp:anchor>
        </w:drawing>
      </w:r>
      <w:r w:rsidR="00D86F52">
        <w:rPr>
          <w:rFonts w:asciiTheme="minorHAnsi" w:hAnsiTheme="minorHAnsi" w:cstheme="minorHAnsi"/>
          <w:sz w:val="22"/>
          <w:szCs w:val="22"/>
        </w:rPr>
        <w:t>E</w:t>
      </w:r>
      <w:r w:rsidR="00D86F52" w:rsidRPr="00A574B2">
        <w:rPr>
          <w:rFonts w:asciiTheme="minorHAnsi" w:hAnsiTheme="minorHAnsi" w:cstheme="minorHAnsi"/>
          <w:sz w:val="22"/>
          <w:szCs w:val="22"/>
        </w:rPr>
        <w:t xml:space="preserve">ngaging and building relationships with stakeholders across the Mekong subregion is critical for MAP to deliver results. </w:t>
      </w:r>
    </w:p>
    <w:p w14:paraId="126731B3" w14:textId="17680A44" w:rsidR="00D86F52" w:rsidRPr="00A574B2" w:rsidRDefault="00D86F52" w:rsidP="00D86F52">
      <w:pPr>
        <w:rPr>
          <w:szCs w:val="22"/>
        </w:rPr>
      </w:pPr>
      <w:r w:rsidRPr="00A574B2">
        <w:rPr>
          <w:szCs w:val="22"/>
        </w:rPr>
        <w:t xml:space="preserve">MAP’s investments under the five thematic areas have proven instrumental in strengthening economic, political, and developmental cooperation across the Mekong subregion. By working with partners that adopt a demand-driven, practical, and flexible approach, MAP has helped position Australia as a reliable and practical partner in addressing regional challenges and promoting mutually important policy priorities. </w:t>
      </w:r>
    </w:p>
    <w:p w14:paraId="65DD2806" w14:textId="2547FDB6" w:rsidR="007A2107" w:rsidRDefault="00D86F52" w:rsidP="00D86F52">
      <w:pPr>
        <w:rPr>
          <w:szCs w:val="22"/>
        </w:rPr>
      </w:pPr>
      <w:r w:rsidRPr="00A574B2">
        <w:rPr>
          <w:szCs w:val="22"/>
        </w:rPr>
        <w:t>MAP engaged at least 354 stakeholder</w:t>
      </w:r>
      <w:r>
        <w:rPr>
          <w:szCs w:val="22"/>
        </w:rPr>
        <w:t xml:space="preserve"> groups</w:t>
      </w:r>
      <w:r w:rsidRPr="00A574B2">
        <w:rPr>
          <w:szCs w:val="22"/>
        </w:rPr>
        <w:t xml:space="preserve"> in 2024, predominantly in Thailand, Cambodia, and Vietnam. The number of stakeholders engaged is positively correlated with the number of investments implemented in these countries: regional programs have enabled wider reach and complemented Australia’s bilateral footprint. Myanmar engagement was limited, with Australian investments focused on civil society partners and individuals engaged through training and scholarships</w:t>
      </w:r>
      <w:r w:rsidR="000574D0">
        <w:rPr>
          <w:szCs w:val="22"/>
        </w:rPr>
        <w:t>.</w:t>
      </w:r>
    </w:p>
    <w:p w14:paraId="705561F1" w14:textId="2143129C" w:rsidR="00C27678" w:rsidRPr="00300F59" w:rsidRDefault="00C27678" w:rsidP="00C27678">
      <w:pPr>
        <w:pStyle w:val="Caption"/>
        <w:rPr>
          <w:rFonts w:eastAsia="Arial" w:cstheme="minorHAnsi"/>
          <w:noProof/>
          <w:sz w:val="20"/>
          <w:szCs w:val="20"/>
        </w:rPr>
      </w:pPr>
      <w:bookmarkStart w:id="30" w:name="_Hlk209799842"/>
      <w:r>
        <w:t xml:space="preserve">Figure </w:t>
      </w:r>
      <w:r>
        <w:fldChar w:fldCharType="begin"/>
      </w:r>
      <w:r>
        <w:instrText xml:space="preserve"> SEQ Figure \* ARABIC </w:instrText>
      </w:r>
      <w:r>
        <w:fldChar w:fldCharType="separate"/>
      </w:r>
      <w:r>
        <w:rPr>
          <w:noProof/>
        </w:rPr>
        <w:t>3</w:t>
      </w:r>
      <w:r>
        <w:fldChar w:fldCharType="end"/>
      </w:r>
      <w:r>
        <w:t xml:space="preserve"> MAP Stakeholder Engagement</w:t>
      </w:r>
    </w:p>
    <w:bookmarkEnd w:id="30"/>
    <w:p w14:paraId="3A7341A6" w14:textId="7FF0AEA5" w:rsidR="007F4950" w:rsidRDefault="007F4950" w:rsidP="00D86F52">
      <w:pPr>
        <w:rPr>
          <w:szCs w:val="22"/>
        </w:rPr>
      </w:pPr>
      <w:r w:rsidRPr="000B25F3">
        <w:rPr>
          <w:noProof/>
        </w:rPr>
        <w:drawing>
          <wp:inline distT="0" distB="0" distL="0" distR="0" wp14:anchorId="3E9BF296" wp14:editId="5378C702">
            <wp:extent cx="5168900" cy="2485390"/>
            <wp:effectExtent l="0" t="0" r="0" b="0"/>
            <wp:docPr id="2087058482" name="Picture 1" descr="Chart details number of stakeholders by sector. Full text available at Appendix 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58482" name="Picture 1" descr="Chart details number of stakeholders by sector. Full text available at Appendix B">
                      <a:extLst>
                        <a:ext uri="{C183D7F6-B498-43B3-948B-1728B52AA6E4}">
                          <adec:decorative xmlns:adec="http://schemas.microsoft.com/office/drawing/2017/decorative" val="0"/>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68900" cy="2485390"/>
                    </a:xfrm>
                    <a:prstGeom prst="rect">
                      <a:avLst/>
                    </a:prstGeom>
                  </pic:spPr>
                </pic:pic>
              </a:graphicData>
            </a:graphic>
          </wp:inline>
        </w:drawing>
      </w:r>
    </w:p>
    <w:p w14:paraId="6C1B7231" w14:textId="07F7B34C" w:rsidR="007F4950" w:rsidRPr="000574D0" w:rsidRDefault="007F4950" w:rsidP="00D86F52">
      <w:pPr>
        <w:rPr>
          <w:szCs w:val="22"/>
        </w:rPr>
        <w:sectPr w:rsidR="007F4950" w:rsidRPr="000574D0" w:rsidSect="008623B1">
          <w:headerReference w:type="default" r:id="rId33"/>
          <w:headerReference w:type="first" r:id="rId34"/>
          <w:pgSz w:w="11906" w:h="16838"/>
          <w:pgMar w:top="1987" w:right="1133" w:bottom="1987" w:left="1411" w:header="562" w:footer="1418" w:gutter="0"/>
          <w:cols w:space="720"/>
          <w:titlePg/>
          <w:docGrid w:linePitch="272"/>
        </w:sectPr>
      </w:pPr>
      <w:r w:rsidRPr="00A574B2">
        <w:rPr>
          <w:szCs w:val="22"/>
        </w:rPr>
        <w:t xml:space="preserve">Stakeholder engagement </w:t>
      </w:r>
      <w:r>
        <w:rPr>
          <w:szCs w:val="22"/>
        </w:rPr>
        <w:t>is vital to</w:t>
      </w:r>
      <w:r w:rsidRPr="00A574B2">
        <w:rPr>
          <w:szCs w:val="22"/>
        </w:rPr>
        <w:t xml:space="preserve"> developing and implementing programs that promote collaboration</w:t>
      </w:r>
      <w:r>
        <w:rPr>
          <w:szCs w:val="22"/>
        </w:rPr>
        <w:t xml:space="preserve"> and sustainability through</w:t>
      </w:r>
      <w:r w:rsidRPr="00A574B2">
        <w:rPr>
          <w:szCs w:val="22"/>
        </w:rPr>
        <w:t xml:space="preserve"> foster</w:t>
      </w:r>
      <w:r>
        <w:rPr>
          <w:szCs w:val="22"/>
        </w:rPr>
        <w:t>ing</w:t>
      </w:r>
      <w:r w:rsidRPr="00A574B2">
        <w:rPr>
          <w:szCs w:val="22"/>
        </w:rPr>
        <w:t xml:space="preserve"> resilience,</w:t>
      </w:r>
      <w:r>
        <w:rPr>
          <w:szCs w:val="22"/>
        </w:rPr>
        <w:t xml:space="preserve"> sustainability,</w:t>
      </w:r>
      <w:r w:rsidRPr="00A574B2">
        <w:rPr>
          <w:szCs w:val="22"/>
        </w:rPr>
        <w:t xml:space="preserve"> prosperity, and inclusive </w:t>
      </w:r>
      <w:r>
        <w:rPr>
          <w:szCs w:val="22"/>
        </w:rPr>
        <w:t>processes</w:t>
      </w:r>
      <w:r w:rsidRPr="00A574B2">
        <w:rPr>
          <w:szCs w:val="22"/>
        </w:rPr>
        <w:t>. MAP engages most with government</w:t>
      </w:r>
      <w:r>
        <w:rPr>
          <w:szCs w:val="22"/>
        </w:rPr>
        <w:t>s</w:t>
      </w:r>
      <w:r w:rsidRPr="00A574B2">
        <w:rPr>
          <w:szCs w:val="22"/>
        </w:rPr>
        <w:t xml:space="preserve"> (35 per cent) but has also strengthened relationships with international organisations (21 per cent), the private sector (18 per cent), academia (15 per cent), and civil society (11 per cent). </w:t>
      </w:r>
    </w:p>
    <w:p w14:paraId="2CB6CC0C" w14:textId="4222E516" w:rsidR="003E1BE2" w:rsidRPr="00773304" w:rsidRDefault="00EB636F" w:rsidP="008E69D6">
      <w:pPr>
        <w:pStyle w:val="Heading1"/>
        <w:ind w:left="431" w:hanging="431"/>
      </w:pPr>
      <w:bookmarkStart w:id="31" w:name="_Toc210034399"/>
      <w:r w:rsidRPr="00773304">
        <w:lastRenderedPageBreak/>
        <w:t>Conclusion</w:t>
      </w:r>
      <w:bookmarkEnd w:id="31"/>
    </w:p>
    <w:p w14:paraId="6E8A148B" w14:textId="32B9F09C" w:rsidR="0099206F" w:rsidRPr="00A574B2" w:rsidRDefault="0099206F" w:rsidP="0099206F">
      <w:pPr>
        <w:spacing w:after="120"/>
        <w:rPr>
          <w:color w:val="000000" w:themeColor="text1"/>
          <w:szCs w:val="22"/>
        </w:rPr>
      </w:pPr>
      <w:r w:rsidRPr="00A574B2">
        <w:rPr>
          <w:color w:val="000000" w:themeColor="text2"/>
          <w:szCs w:val="22"/>
        </w:rPr>
        <w:t>2024 was a year of transition for MAP as it entered a new phase</w:t>
      </w:r>
      <w:r>
        <w:rPr>
          <w:color w:val="000000" w:themeColor="text2"/>
          <w:szCs w:val="22"/>
        </w:rPr>
        <w:t>,</w:t>
      </w:r>
      <w:r w:rsidRPr="00A574B2">
        <w:rPr>
          <w:color w:val="000000" w:themeColor="text2"/>
          <w:szCs w:val="22"/>
        </w:rPr>
        <w:t xml:space="preserve"> </w:t>
      </w:r>
      <w:r>
        <w:rPr>
          <w:color w:val="000000" w:themeColor="text2"/>
          <w:szCs w:val="22"/>
        </w:rPr>
        <w:t xml:space="preserve">with revised thematic areas, </w:t>
      </w:r>
      <w:r w:rsidRPr="00A574B2">
        <w:rPr>
          <w:color w:val="000000" w:themeColor="text2"/>
          <w:szCs w:val="22"/>
        </w:rPr>
        <w:t xml:space="preserve">and engaged </w:t>
      </w:r>
      <w:r>
        <w:rPr>
          <w:color w:val="000000" w:themeColor="text2"/>
          <w:szCs w:val="22"/>
        </w:rPr>
        <w:t>new</w:t>
      </w:r>
      <w:r w:rsidRPr="00A574B2">
        <w:rPr>
          <w:color w:val="000000" w:themeColor="text2"/>
          <w:szCs w:val="22"/>
        </w:rPr>
        <w:t xml:space="preserve"> </w:t>
      </w:r>
      <w:r>
        <w:rPr>
          <w:color w:val="000000" w:themeColor="text2"/>
          <w:szCs w:val="22"/>
        </w:rPr>
        <w:t>stakeholders</w:t>
      </w:r>
      <w:r w:rsidRPr="00A574B2">
        <w:rPr>
          <w:color w:val="000000" w:themeColor="text2"/>
          <w:szCs w:val="22"/>
        </w:rPr>
        <w:t xml:space="preserve">. </w:t>
      </w:r>
      <w:r>
        <w:rPr>
          <w:color w:val="000000" w:themeColor="text2"/>
          <w:szCs w:val="22"/>
        </w:rPr>
        <w:t>Phase 2’s portfolio consists of f</w:t>
      </w:r>
      <w:r w:rsidRPr="00A574B2">
        <w:rPr>
          <w:color w:val="000000" w:themeColor="text2"/>
          <w:szCs w:val="22"/>
        </w:rPr>
        <w:t xml:space="preserve">ewer, longer-term investments </w:t>
      </w:r>
      <w:r>
        <w:rPr>
          <w:color w:val="000000" w:themeColor="text2"/>
          <w:szCs w:val="22"/>
        </w:rPr>
        <w:t xml:space="preserve">that </w:t>
      </w:r>
      <w:r w:rsidRPr="00A574B2">
        <w:rPr>
          <w:color w:val="000000" w:themeColor="text2"/>
          <w:szCs w:val="22"/>
        </w:rPr>
        <w:t xml:space="preserve">are aligned with the priorities of Mekong partners. Australia’s investments to assist Mekong partners to combat transnational crime have been brought into the broader MAP portfolio while continuing with transformative investments promoting water security and climate </w:t>
      </w:r>
      <w:r>
        <w:rPr>
          <w:color w:val="000000" w:themeColor="text2"/>
          <w:szCs w:val="22"/>
        </w:rPr>
        <w:t xml:space="preserve">and economic </w:t>
      </w:r>
      <w:r w:rsidRPr="00A574B2">
        <w:rPr>
          <w:color w:val="000000" w:themeColor="text2"/>
          <w:szCs w:val="22"/>
        </w:rPr>
        <w:t>resilience.</w:t>
      </w:r>
    </w:p>
    <w:p w14:paraId="42430ECF" w14:textId="02A9449D" w:rsidR="0099206F" w:rsidRPr="00A574B2" w:rsidRDefault="0099206F" w:rsidP="0099206F">
      <w:pPr>
        <w:rPr>
          <w:color w:val="auto"/>
          <w:szCs w:val="22"/>
        </w:rPr>
      </w:pPr>
      <w:r w:rsidRPr="00A574B2">
        <w:rPr>
          <w:color w:val="auto"/>
          <w:szCs w:val="22"/>
        </w:rPr>
        <w:t>MAP’s flexible implementation is appropriate for the dynamic context of the Mekong subregion</w:t>
      </w:r>
      <w:r w:rsidRPr="00A574B2">
        <w:rPr>
          <w:b/>
          <w:bCs/>
          <w:color w:val="auto"/>
          <w:szCs w:val="22"/>
        </w:rPr>
        <w:t xml:space="preserve">. </w:t>
      </w:r>
      <w:r>
        <w:rPr>
          <w:color w:val="auto"/>
          <w:szCs w:val="22"/>
        </w:rPr>
        <w:t>The chosen project delivery modalities best suit the local context and are responsive to the needs and priorities of partners and communities.  Delivery partners succeeded in</w:t>
      </w:r>
      <w:r w:rsidRPr="00A574B2">
        <w:rPr>
          <w:color w:val="auto"/>
          <w:szCs w:val="22"/>
        </w:rPr>
        <w:t xml:space="preserve"> adapting </w:t>
      </w:r>
      <w:r>
        <w:rPr>
          <w:color w:val="auto"/>
          <w:szCs w:val="22"/>
        </w:rPr>
        <w:t xml:space="preserve">project strategies, approaches, and </w:t>
      </w:r>
      <w:r w:rsidRPr="00A574B2">
        <w:rPr>
          <w:color w:val="auto"/>
          <w:szCs w:val="22"/>
        </w:rPr>
        <w:t>technolog</w:t>
      </w:r>
      <w:r>
        <w:rPr>
          <w:color w:val="auto"/>
          <w:szCs w:val="22"/>
        </w:rPr>
        <w:t>ies</w:t>
      </w:r>
      <w:r w:rsidRPr="00A574B2">
        <w:rPr>
          <w:color w:val="auto"/>
          <w:szCs w:val="22"/>
        </w:rPr>
        <w:t xml:space="preserve"> to local </w:t>
      </w:r>
      <w:r>
        <w:rPr>
          <w:color w:val="auto"/>
          <w:szCs w:val="22"/>
        </w:rPr>
        <w:t>realities</w:t>
      </w:r>
      <w:r w:rsidRPr="00A574B2">
        <w:rPr>
          <w:color w:val="auto"/>
          <w:szCs w:val="22"/>
        </w:rPr>
        <w:t>.</w:t>
      </w:r>
    </w:p>
    <w:p w14:paraId="219BEDD9" w14:textId="77777777" w:rsidR="0099206F" w:rsidRPr="00A574B2" w:rsidRDefault="0099206F" w:rsidP="0099206F">
      <w:pPr>
        <w:rPr>
          <w:color w:val="auto"/>
          <w:szCs w:val="22"/>
        </w:rPr>
      </w:pPr>
      <w:r w:rsidRPr="00A574B2">
        <w:rPr>
          <w:color w:val="auto"/>
          <w:szCs w:val="22"/>
        </w:rPr>
        <w:t>Strengthening organisational, community, and individual capabilities yield</w:t>
      </w:r>
      <w:r>
        <w:rPr>
          <w:color w:val="auto"/>
          <w:szCs w:val="22"/>
        </w:rPr>
        <w:t>ed</w:t>
      </w:r>
      <w:r w:rsidRPr="00A574B2">
        <w:rPr>
          <w:color w:val="auto"/>
          <w:szCs w:val="22"/>
        </w:rPr>
        <w:t xml:space="preserve"> significant positive results. Government agencies, civil society organisations, community-based </w:t>
      </w:r>
      <w:r>
        <w:rPr>
          <w:color w:val="auto"/>
          <w:szCs w:val="22"/>
        </w:rPr>
        <w:t>associations</w:t>
      </w:r>
      <w:r w:rsidRPr="00A574B2">
        <w:rPr>
          <w:color w:val="auto"/>
          <w:szCs w:val="22"/>
        </w:rPr>
        <w:t xml:space="preserve">, and universities were assisted in 2024 to gain knowledge, skills, and </w:t>
      </w:r>
      <w:r>
        <w:rPr>
          <w:color w:val="auto"/>
          <w:szCs w:val="22"/>
        </w:rPr>
        <w:t>capabilities</w:t>
      </w:r>
      <w:r w:rsidRPr="00A574B2">
        <w:rPr>
          <w:color w:val="auto"/>
          <w:szCs w:val="22"/>
        </w:rPr>
        <w:t xml:space="preserve"> across MAP thematic areas</w:t>
      </w:r>
      <w:r>
        <w:rPr>
          <w:color w:val="auto"/>
          <w:szCs w:val="22"/>
        </w:rPr>
        <w:t xml:space="preserve"> to achieve significant results</w:t>
      </w:r>
      <w:r w:rsidRPr="00A574B2">
        <w:rPr>
          <w:color w:val="auto"/>
          <w:szCs w:val="22"/>
        </w:rPr>
        <w:t xml:space="preserve">. MAP also enabled Australian agencies with a minimal footprint in the </w:t>
      </w:r>
      <w:r>
        <w:rPr>
          <w:color w:val="auto"/>
          <w:szCs w:val="22"/>
        </w:rPr>
        <w:t>sub</w:t>
      </w:r>
      <w:r w:rsidRPr="00A574B2">
        <w:rPr>
          <w:color w:val="auto"/>
          <w:szCs w:val="22"/>
        </w:rPr>
        <w:t xml:space="preserve">region to establish connections with </w:t>
      </w:r>
      <w:r>
        <w:rPr>
          <w:color w:val="auto"/>
          <w:szCs w:val="22"/>
        </w:rPr>
        <w:t>Mekong counterparts</w:t>
      </w:r>
      <w:r w:rsidRPr="00A574B2">
        <w:rPr>
          <w:color w:val="auto"/>
          <w:szCs w:val="22"/>
        </w:rPr>
        <w:t xml:space="preserve"> </w:t>
      </w:r>
      <w:r>
        <w:rPr>
          <w:color w:val="auto"/>
          <w:szCs w:val="22"/>
        </w:rPr>
        <w:t>to</w:t>
      </w:r>
      <w:r w:rsidRPr="00A574B2">
        <w:rPr>
          <w:color w:val="auto"/>
          <w:szCs w:val="22"/>
        </w:rPr>
        <w:t xml:space="preserve"> share expertise and experience</w:t>
      </w:r>
      <w:r>
        <w:rPr>
          <w:color w:val="auto"/>
          <w:szCs w:val="22"/>
        </w:rPr>
        <w:t>s</w:t>
      </w:r>
      <w:r w:rsidRPr="00A574B2">
        <w:rPr>
          <w:color w:val="auto"/>
          <w:szCs w:val="22"/>
        </w:rPr>
        <w:t>. MAP has contributed to research and evidence to inform policy and practice</w:t>
      </w:r>
      <w:r>
        <w:rPr>
          <w:color w:val="auto"/>
          <w:szCs w:val="22"/>
        </w:rPr>
        <w:t xml:space="preserve"> across the subregion in each thematic area.</w:t>
      </w:r>
    </w:p>
    <w:p w14:paraId="76005EB8" w14:textId="77777777" w:rsidR="0099206F" w:rsidRPr="00A574B2" w:rsidRDefault="0099206F" w:rsidP="0099206F">
      <w:pPr>
        <w:rPr>
          <w:color w:val="auto"/>
          <w:szCs w:val="22"/>
        </w:rPr>
      </w:pPr>
      <w:r w:rsidRPr="00A574B2">
        <w:rPr>
          <w:color w:val="auto"/>
          <w:szCs w:val="22"/>
        </w:rPr>
        <w:t>In 2024, MAP continued to strengthen GEDSI implementation and results. Gender equality reporting improved significantly, especially for investments where gender equality is not a principal objective. More can still be done to ensure that investments address disability equity</w:t>
      </w:r>
      <w:r>
        <w:rPr>
          <w:color w:val="auto"/>
          <w:szCs w:val="22"/>
        </w:rPr>
        <w:t xml:space="preserve"> and this will be a focus in 2025.</w:t>
      </w:r>
      <w:r w:rsidRPr="00A574B2">
        <w:rPr>
          <w:color w:val="auto"/>
          <w:szCs w:val="22"/>
        </w:rPr>
        <w:t xml:space="preserve"> </w:t>
      </w:r>
    </w:p>
    <w:p w14:paraId="073E9E3A" w14:textId="77777777" w:rsidR="0099206F" w:rsidRPr="00A574B2" w:rsidRDefault="0099206F" w:rsidP="0099206F">
      <w:pPr>
        <w:rPr>
          <w:color w:val="auto"/>
          <w:szCs w:val="22"/>
        </w:rPr>
      </w:pPr>
      <w:r w:rsidRPr="00A574B2">
        <w:rPr>
          <w:color w:val="auto"/>
          <w:szCs w:val="22"/>
        </w:rPr>
        <w:t>In 2025, MAP will strengthen efforts to consolidate results in each thematic area, sustain effective engagement with Mekong counterparts, improve GEDSI mainstreaming and reporting, and promote closer collaboration between Australia and its partners. With new investments being implemented, MAP will ensur</w:t>
      </w:r>
      <w:r>
        <w:rPr>
          <w:color w:val="auto"/>
          <w:szCs w:val="22"/>
        </w:rPr>
        <w:t>e</w:t>
      </w:r>
      <w:r w:rsidRPr="00A574B2">
        <w:rPr>
          <w:color w:val="auto"/>
          <w:szCs w:val="22"/>
        </w:rPr>
        <w:t xml:space="preserve"> that Australia remain</w:t>
      </w:r>
      <w:r>
        <w:rPr>
          <w:color w:val="auto"/>
          <w:szCs w:val="22"/>
        </w:rPr>
        <w:t>s</w:t>
      </w:r>
      <w:r w:rsidRPr="00A574B2">
        <w:rPr>
          <w:color w:val="auto"/>
          <w:szCs w:val="22"/>
        </w:rPr>
        <w:t xml:space="preserve"> a reliable and practical partner in the Mekong subregion</w:t>
      </w:r>
      <w:r>
        <w:rPr>
          <w:color w:val="auto"/>
          <w:szCs w:val="22"/>
        </w:rPr>
        <w:t>, delivering on partner countries priorities and needs.</w:t>
      </w:r>
    </w:p>
    <w:p w14:paraId="7CE28913" w14:textId="77777777" w:rsidR="00E56ED0" w:rsidRDefault="00E56ED0" w:rsidP="00D57C54">
      <w:pPr>
        <w:pStyle w:val="Heading1"/>
        <w:numPr>
          <w:ilvl w:val="0"/>
          <w:numId w:val="0"/>
        </w:numPr>
        <w:ind w:left="-6"/>
        <w:sectPr w:rsidR="00E56ED0" w:rsidSect="009F7568">
          <w:headerReference w:type="default" r:id="rId35"/>
          <w:headerReference w:type="first" r:id="rId36"/>
          <w:footerReference w:type="first" r:id="rId37"/>
          <w:pgSz w:w="11906" w:h="16838"/>
          <w:pgMar w:top="1987" w:right="1411" w:bottom="1987" w:left="1411" w:header="562" w:footer="1417" w:gutter="0"/>
          <w:cols w:space="720"/>
          <w:titlePg/>
          <w:docGrid w:linePitch="360"/>
        </w:sectPr>
      </w:pPr>
    </w:p>
    <w:p w14:paraId="140E5D15" w14:textId="7E0A83C2" w:rsidR="00626582" w:rsidRPr="00D57C54" w:rsidRDefault="00D57C54" w:rsidP="00D57C54">
      <w:pPr>
        <w:pStyle w:val="Heading1"/>
        <w:numPr>
          <w:ilvl w:val="0"/>
          <w:numId w:val="0"/>
        </w:numPr>
        <w:ind w:left="-6"/>
      </w:pPr>
      <w:bookmarkStart w:id="32" w:name="_Toc210034400"/>
      <w:r w:rsidRPr="00D57C54">
        <w:lastRenderedPageBreak/>
        <w:t>Appendix A – The Mekong-Australia Partnership – text version</w:t>
      </w:r>
      <w:bookmarkEnd w:id="32"/>
    </w:p>
    <w:p w14:paraId="085F5517" w14:textId="77777777" w:rsidR="00D57C54" w:rsidRDefault="00D57C54" w:rsidP="00E56ED0">
      <w:pPr>
        <w:pStyle w:val="Heading2"/>
      </w:pPr>
      <w:bookmarkStart w:id="33" w:name="_Toc210034401"/>
      <w:r>
        <w:t>THE MEKONG-AUSTRALIA PARTNERSHIP</w:t>
      </w:r>
      <w:bookmarkEnd w:id="33"/>
    </w:p>
    <w:p w14:paraId="4C500508" w14:textId="77777777" w:rsidR="00D57C54" w:rsidRDefault="00D57C54" w:rsidP="00E56ED0">
      <w:pPr>
        <w:pStyle w:val="Heading3"/>
      </w:pPr>
      <w:bookmarkStart w:id="34" w:name="_Toc210034402"/>
      <w:r>
        <w:t>End-of-portfolio outcomes:</w:t>
      </w:r>
      <w:bookmarkEnd w:id="34"/>
    </w:p>
    <w:p w14:paraId="34DDEE28" w14:textId="0F179604" w:rsidR="00D57C54" w:rsidRDefault="00D57C54" w:rsidP="00E56ED0">
      <w:pPr>
        <w:pStyle w:val="ListParagraph"/>
        <w:numPr>
          <w:ilvl w:val="0"/>
          <w:numId w:val="20"/>
        </w:numPr>
      </w:pPr>
      <w:r>
        <w:t>Mekong subregion partners reduce vulnerability to impacts of climate change</w:t>
      </w:r>
      <w:r w:rsidR="00090E70">
        <w:t>.</w:t>
      </w:r>
    </w:p>
    <w:p w14:paraId="41063DBD" w14:textId="16E2E1B6" w:rsidR="00D57C54" w:rsidRDefault="00D57C54" w:rsidP="00E56ED0">
      <w:pPr>
        <w:pStyle w:val="ListParagraph"/>
        <w:numPr>
          <w:ilvl w:val="0"/>
          <w:numId w:val="20"/>
        </w:numPr>
      </w:pPr>
      <w:r>
        <w:t>Mekong subregion partners manage water resources in a more coordinated and sustainable way</w:t>
      </w:r>
      <w:r w:rsidR="00090E70">
        <w:t>.</w:t>
      </w:r>
    </w:p>
    <w:p w14:paraId="277B40E5" w14:textId="18F9B6D2" w:rsidR="00D57C54" w:rsidRDefault="00D57C54" w:rsidP="00E56ED0">
      <w:pPr>
        <w:pStyle w:val="ListParagraph"/>
        <w:numPr>
          <w:ilvl w:val="0"/>
          <w:numId w:val="20"/>
        </w:numPr>
      </w:pPr>
      <w:r>
        <w:t>Mekong subregion partners increase leadership and economic opportunities for women, people with disabilities, and other marginalized groups</w:t>
      </w:r>
      <w:r w:rsidR="00090E70">
        <w:t>.</w:t>
      </w:r>
    </w:p>
    <w:p w14:paraId="3E7564BD" w14:textId="3EE75681" w:rsidR="00D57C54" w:rsidRDefault="00D57C54" w:rsidP="00E56ED0">
      <w:pPr>
        <w:pStyle w:val="ListParagraph"/>
        <w:numPr>
          <w:ilvl w:val="0"/>
          <w:numId w:val="20"/>
        </w:numPr>
      </w:pPr>
      <w:r>
        <w:t>Mekong subregion partners enable strengthened economic resilience and subregional integration</w:t>
      </w:r>
      <w:r w:rsidR="00090E70">
        <w:t>.</w:t>
      </w:r>
    </w:p>
    <w:p w14:paraId="38A66E71" w14:textId="4BEE5FE4" w:rsidR="00D57C54" w:rsidRDefault="00D57C54" w:rsidP="00E56ED0">
      <w:pPr>
        <w:pStyle w:val="ListParagraph"/>
        <w:numPr>
          <w:ilvl w:val="0"/>
          <w:numId w:val="20"/>
        </w:numPr>
      </w:pPr>
      <w:r>
        <w:t>Mekong subregion partners better prevent and counter targeted transnational crimes</w:t>
      </w:r>
      <w:r w:rsidR="00090E70">
        <w:t>.</w:t>
      </w:r>
    </w:p>
    <w:p w14:paraId="63E7BF56" w14:textId="77777777" w:rsidR="00D57C54" w:rsidRDefault="00D57C54" w:rsidP="00E56ED0">
      <w:pPr>
        <w:pStyle w:val="Heading3"/>
      </w:pPr>
      <w:bookmarkStart w:id="35" w:name="_Toc210034403"/>
      <w:r>
        <w:t>Thematic Intermediate Outcomes</w:t>
      </w:r>
      <w:bookmarkEnd w:id="35"/>
    </w:p>
    <w:p w14:paraId="4CA441B9" w14:textId="77777777" w:rsidR="00D57C54" w:rsidRDefault="00D57C54" w:rsidP="00E56ED0">
      <w:pPr>
        <w:pStyle w:val="ListParagraph"/>
        <w:numPr>
          <w:ilvl w:val="0"/>
          <w:numId w:val="21"/>
        </w:numPr>
      </w:pPr>
      <w:r>
        <w:t>Climate Resilience:</w:t>
      </w:r>
    </w:p>
    <w:p w14:paraId="708BF744" w14:textId="482F38B5" w:rsidR="00D57C54" w:rsidRDefault="00D57C54" w:rsidP="00E56ED0">
      <w:pPr>
        <w:pStyle w:val="ListParagraph"/>
        <w:numPr>
          <w:ilvl w:val="1"/>
          <w:numId w:val="21"/>
        </w:numPr>
      </w:pPr>
      <w:r>
        <w:t>Mekong subregion stakeholders increasingly adopt inclusive and evidence-based mitigation and</w:t>
      </w:r>
      <w:r w:rsidR="00090E70">
        <w:t>/or</w:t>
      </w:r>
      <w:r>
        <w:t xml:space="preserve"> adaptation </w:t>
      </w:r>
      <w:r w:rsidR="00090E70">
        <w:t xml:space="preserve">initiatives. </w:t>
      </w:r>
    </w:p>
    <w:p w14:paraId="4499EF0D" w14:textId="3F7D1370" w:rsidR="00D57C54" w:rsidRDefault="00D57C54" w:rsidP="00E56ED0">
      <w:pPr>
        <w:pStyle w:val="ListParagraph"/>
        <w:numPr>
          <w:ilvl w:val="1"/>
          <w:numId w:val="21"/>
        </w:numPr>
      </w:pPr>
      <w:r>
        <w:t xml:space="preserve">Mekong subregion partners strengthen </w:t>
      </w:r>
      <w:r w:rsidR="00090E70">
        <w:t>subregional</w:t>
      </w:r>
      <w:r>
        <w:t xml:space="preserve"> cooperation to reduce </w:t>
      </w:r>
      <w:r w:rsidR="00090E70">
        <w:t>exposure and sensitivities to climate hazards and risks.</w:t>
      </w:r>
    </w:p>
    <w:p w14:paraId="364327B3" w14:textId="24C621AF" w:rsidR="00090E70" w:rsidRDefault="00090E70" w:rsidP="00E56ED0">
      <w:pPr>
        <w:pStyle w:val="ListParagraph"/>
        <w:numPr>
          <w:ilvl w:val="1"/>
          <w:numId w:val="21"/>
        </w:numPr>
      </w:pPr>
      <w:r>
        <w:t>Australian and Mekong institutions enhance collaboration to facilitate knowledge and technology sharing for strengthened capacity to adapt to climate change.</w:t>
      </w:r>
    </w:p>
    <w:p w14:paraId="367FA98A" w14:textId="757D8B94" w:rsidR="00D57C54" w:rsidRDefault="00090E70" w:rsidP="00E56ED0">
      <w:pPr>
        <w:pStyle w:val="ListParagraph"/>
        <w:numPr>
          <w:ilvl w:val="1"/>
          <w:numId w:val="21"/>
        </w:numPr>
      </w:pPr>
      <w:r>
        <w:t>Mekong subregion partners increasingly recognise and integrate the voices of women, people with disabilities, and other marginalised groups in climate change policy and practice.</w:t>
      </w:r>
    </w:p>
    <w:p w14:paraId="5A97E4E1" w14:textId="77777777" w:rsidR="00D57C54" w:rsidRDefault="00D57C54" w:rsidP="00E56ED0">
      <w:pPr>
        <w:pStyle w:val="ListParagraph"/>
        <w:numPr>
          <w:ilvl w:val="0"/>
          <w:numId w:val="21"/>
        </w:numPr>
      </w:pPr>
      <w:r>
        <w:t>Water Security:</w:t>
      </w:r>
    </w:p>
    <w:p w14:paraId="4623C530" w14:textId="5EC058F0" w:rsidR="00D57C54" w:rsidRDefault="00D57C54" w:rsidP="00E56ED0">
      <w:pPr>
        <w:pStyle w:val="ListParagraph"/>
        <w:numPr>
          <w:ilvl w:val="1"/>
          <w:numId w:val="21"/>
        </w:numPr>
      </w:pPr>
      <w:r>
        <w:t>Subregional and national water governance structures, policies, and practices are more effective and inclusive</w:t>
      </w:r>
      <w:r w:rsidR="005B701A">
        <w:t>.</w:t>
      </w:r>
    </w:p>
    <w:p w14:paraId="4C593A59" w14:textId="14BA31BF" w:rsidR="005B701A" w:rsidRDefault="005B701A" w:rsidP="00E56ED0">
      <w:pPr>
        <w:pStyle w:val="ListParagraph"/>
        <w:numPr>
          <w:ilvl w:val="1"/>
          <w:numId w:val="21"/>
        </w:numPr>
      </w:pPr>
      <w:r>
        <w:t>Mekong partners have improved data, information, and evidence production and sharing to strengthen decision-making in the water sector.</w:t>
      </w:r>
    </w:p>
    <w:p w14:paraId="5E7A1921" w14:textId="0A10AAC5" w:rsidR="00D57C54" w:rsidRDefault="00D57C54" w:rsidP="00E56ED0">
      <w:pPr>
        <w:pStyle w:val="ListParagraph"/>
        <w:numPr>
          <w:ilvl w:val="1"/>
          <w:numId w:val="21"/>
        </w:numPr>
      </w:pPr>
      <w:r>
        <w:t xml:space="preserve">Civil society organizations strengthen their </w:t>
      </w:r>
      <w:r w:rsidR="005B701A">
        <w:t>capacities and influence on water governance issues.</w:t>
      </w:r>
    </w:p>
    <w:p w14:paraId="0D22F9A2" w14:textId="08226FEE" w:rsidR="00D57C54" w:rsidRDefault="005B701A" w:rsidP="00E56ED0">
      <w:pPr>
        <w:pStyle w:val="ListParagraph"/>
        <w:numPr>
          <w:ilvl w:val="1"/>
          <w:numId w:val="21"/>
        </w:numPr>
      </w:pPr>
      <w:r>
        <w:t>Collaboration between Australian and Mekong institutions for shared learning in water governance is improved.</w:t>
      </w:r>
    </w:p>
    <w:p w14:paraId="11CF6BE2" w14:textId="77777777" w:rsidR="00D57C54" w:rsidRDefault="00D57C54" w:rsidP="00E56ED0">
      <w:pPr>
        <w:pStyle w:val="ListParagraph"/>
        <w:numPr>
          <w:ilvl w:val="0"/>
          <w:numId w:val="21"/>
        </w:numPr>
      </w:pPr>
      <w:r>
        <w:t>GEDSI (Gender Equality, Disability, Social Inclusion):</w:t>
      </w:r>
    </w:p>
    <w:p w14:paraId="1C72A059" w14:textId="0527E905" w:rsidR="00D57C54" w:rsidRDefault="005B701A" w:rsidP="00E56ED0">
      <w:pPr>
        <w:pStyle w:val="ListParagraph"/>
        <w:numPr>
          <w:ilvl w:val="1"/>
          <w:numId w:val="21"/>
        </w:numPr>
      </w:pPr>
      <w:r>
        <w:t>Targeted national and regional actors are increasingly generating and using GEDSI analysis and evidence.</w:t>
      </w:r>
    </w:p>
    <w:p w14:paraId="46681DF0" w14:textId="62EDCDED" w:rsidR="005B701A" w:rsidRDefault="005B701A" w:rsidP="00E56ED0">
      <w:pPr>
        <w:pStyle w:val="ListParagraph"/>
        <w:numPr>
          <w:ilvl w:val="1"/>
          <w:numId w:val="21"/>
        </w:numPr>
      </w:pPr>
      <w:r>
        <w:t>Women, people with disabilities and other marginalised groups are increasingly organised to collaborate on strengthening implementation of GEDSI-related international commitments.</w:t>
      </w:r>
    </w:p>
    <w:p w14:paraId="5D11FF28" w14:textId="6749C705" w:rsidR="005B701A" w:rsidRDefault="005B701A" w:rsidP="00E56ED0">
      <w:pPr>
        <w:pStyle w:val="ListParagraph"/>
        <w:numPr>
          <w:ilvl w:val="1"/>
          <w:numId w:val="21"/>
        </w:numPr>
      </w:pPr>
      <w:r>
        <w:lastRenderedPageBreak/>
        <w:t xml:space="preserve">GEDSI actors, including representative organisations and experts, are increasingly shaping development and implementation of targeted policies and strategies. </w:t>
      </w:r>
    </w:p>
    <w:p w14:paraId="747E28D5" w14:textId="77777777" w:rsidR="00D57C54" w:rsidRDefault="00D57C54" w:rsidP="00E56ED0">
      <w:pPr>
        <w:pStyle w:val="ListParagraph"/>
        <w:numPr>
          <w:ilvl w:val="0"/>
          <w:numId w:val="21"/>
        </w:numPr>
      </w:pPr>
      <w:r>
        <w:t>Economic Resilience &amp; Subregional Integration:</w:t>
      </w:r>
    </w:p>
    <w:p w14:paraId="2FD3B5C9" w14:textId="29DA0F9E" w:rsidR="00E56ED0" w:rsidRDefault="005B701A" w:rsidP="00E56ED0">
      <w:pPr>
        <w:pStyle w:val="ListParagraph"/>
        <w:numPr>
          <w:ilvl w:val="1"/>
          <w:numId w:val="21"/>
        </w:numPr>
      </w:pPr>
      <w:r>
        <w:t>Mekong subregion partners increasingly use evidence and analysis to address external economic shocks and pressures and promote sustainable economic growth.</w:t>
      </w:r>
    </w:p>
    <w:p w14:paraId="68E53EEC" w14:textId="65B603DE" w:rsidR="005B701A" w:rsidRDefault="005B701A" w:rsidP="00E56ED0">
      <w:pPr>
        <w:pStyle w:val="ListParagraph"/>
        <w:numPr>
          <w:ilvl w:val="1"/>
          <w:numId w:val="21"/>
        </w:numPr>
      </w:pPr>
      <w:r>
        <w:t>Mekong subregion countries strengthen collaboration to address shared challenges.</w:t>
      </w:r>
    </w:p>
    <w:p w14:paraId="62A5E1DC" w14:textId="7DAC5052" w:rsidR="005B701A" w:rsidRDefault="005B701A" w:rsidP="00E56ED0">
      <w:pPr>
        <w:pStyle w:val="ListParagraph"/>
        <w:numPr>
          <w:ilvl w:val="1"/>
          <w:numId w:val="21"/>
        </w:numPr>
      </w:pPr>
      <w:r>
        <w:t>Vulnerable groups and at-risk communities have increased opportunities to become more resilient to economic shocks and pressures.</w:t>
      </w:r>
    </w:p>
    <w:p w14:paraId="441DDEDA" w14:textId="57EAC596" w:rsidR="005B701A" w:rsidRDefault="005B701A" w:rsidP="005B701A">
      <w:pPr>
        <w:pStyle w:val="ListParagraph"/>
        <w:numPr>
          <w:ilvl w:val="0"/>
          <w:numId w:val="21"/>
        </w:numPr>
      </w:pPr>
      <w:r>
        <w:t>Transnational Crime</w:t>
      </w:r>
    </w:p>
    <w:p w14:paraId="0DCD614B" w14:textId="037EDD07" w:rsidR="005B701A" w:rsidRDefault="003B58C7" w:rsidP="003B58C7">
      <w:pPr>
        <w:pStyle w:val="ListParagraph"/>
        <w:numPr>
          <w:ilvl w:val="1"/>
          <w:numId w:val="21"/>
        </w:numPr>
      </w:pPr>
      <w:r>
        <w:t>Mekong subregion partners demonstrate a commitment to develop and nurture institutional relationships with Australian Government Agencies to combat transnational crime.</w:t>
      </w:r>
    </w:p>
    <w:p w14:paraId="45B26695" w14:textId="1C002140" w:rsidR="003B58C7" w:rsidRDefault="003B58C7" w:rsidP="003B58C7">
      <w:pPr>
        <w:pStyle w:val="ListParagraph"/>
        <w:numPr>
          <w:ilvl w:val="1"/>
          <w:numId w:val="21"/>
        </w:numPr>
      </w:pPr>
      <w:r>
        <w:t>Mekong subregion partners enhance TNC operational capabilities, drawing on lessons learned and inputs from AGAs and local stakeholders.</w:t>
      </w:r>
    </w:p>
    <w:p w14:paraId="7660C8F8" w14:textId="6677F462" w:rsidR="003B58C7" w:rsidRDefault="003B58C7" w:rsidP="003B58C7">
      <w:pPr>
        <w:pStyle w:val="ListParagraph"/>
        <w:numPr>
          <w:ilvl w:val="1"/>
          <w:numId w:val="21"/>
        </w:numPr>
      </w:pPr>
      <w:r>
        <w:t>Mekong subregion partners increasingly use GEDSI analysis and evidence to strengthen TNC responses.</w:t>
      </w:r>
    </w:p>
    <w:p w14:paraId="1A93308B" w14:textId="278EA636" w:rsidR="003B58C7" w:rsidRDefault="003B58C7" w:rsidP="003B58C7">
      <w:pPr>
        <w:pStyle w:val="ListParagraph"/>
        <w:numPr>
          <w:ilvl w:val="1"/>
          <w:numId w:val="21"/>
        </w:numPr>
      </w:pPr>
      <w:r>
        <w:t>Mekong subregion partners increase information sharing and alignment of operational approaches to combat transnational crime.</w:t>
      </w:r>
    </w:p>
    <w:p w14:paraId="55DEFE43" w14:textId="77777777" w:rsidR="00E56ED0" w:rsidRPr="00E56ED0" w:rsidRDefault="00E56ED0" w:rsidP="00E56ED0">
      <w:pPr>
        <w:pStyle w:val="Heading3"/>
        <w:rPr>
          <w:lang w:val="en-US"/>
        </w:rPr>
      </w:pPr>
      <w:bookmarkStart w:id="36" w:name="_Toc210034404"/>
      <w:r w:rsidRPr="00E56ED0">
        <w:rPr>
          <w:lang w:val="en-US"/>
        </w:rPr>
        <w:t>Portfolio Immediate Outcomes:</w:t>
      </w:r>
      <w:bookmarkEnd w:id="36"/>
    </w:p>
    <w:p w14:paraId="66CD2741" w14:textId="7E8D1233" w:rsidR="00E56ED0" w:rsidRPr="00E56ED0" w:rsidRDefault="00E56ED0" w:rsidP="00E56ED0">
      <w:pPr>
        <w:numPr>
          <w:ilvl w:val="0"/>
          <w:numId w:val="22"/>
        </w:numPr>
        <w:spacing w:before="0" w:after="160" w:line="259" w:lineRule="auto"/>
        <w:rPr>
          <w:lang w:val="en-US"/>
        </w:rPr>
      </w:pPr>
      <w:r w:rsidRPr="00E56ED0">
        <w:rPr>
          <w:lang w:val="en-US"/>
        </w:rPr>
        <w:t xml:space="preserve">Improved networks, coalitions and dialogue for </w:t>
      </w:r>
      <w:proofErr w:type="gramStart"/>
      <w:r w:rsidRPr="00E56ED0">
        <w:rPr>
          <w:lang w:val="en-US"/>
        </w:rPr>
        <w:t>locally</w:t>
      </w:r>
      <w:r w:rsidR="003B58C7">
        <w:rPr>
          <w:lang w:val="en-US"/>
        </w:rPr>
        <w:t>-</w:t>
      </w:r>
      <w:r w:rsidRPr="00E56ED0">
        <w:rPr>
          <w:lang w:val="en-US"/>
        </w:rPr>
        <w:t>led</w:t>
      </w:r>
      <w:proofErr w:type="gramEnd"/>
      <w:r w:rsidRPr="00E56ED0">
        <w:rPr>
          <w:lang w:val="en-US"/>
        </w:rPr>
        <w:t xml:space="preserve"> and inclusive policy making</w:t>
      </w:r>
      <w:r w:rsidR="003B58C7">
        <w:rPr>
          <w:lang w:val="en-US"/>
        </w:rPr>
        <w:t>.</w:t>
      </w:r>
    </w:p>
    <w:p w14:paraId="6767DD6D" w14:textId="050036C0" w:rsidR="00E56ED0" w:rsidRPr="00E56ED0" w:rsidRDefault="00E56ED0" w:rsidP="00E56ED0">
      <w:pPr>
        <w:numPr>
          <w:ilvl w:val="0"/>
          <w:numId w:val="22"/>
        </w:numPr>
        <w:spacing w:before="0" w:after="160" w:line="259" w:lineRule="auto"/>
        <w:rPr>
          <w:lang w:val="en-US"/>
        </w:rPr>
      </w:pPr>
      <w:r w:rsidRPr="00E56ED0">
        <w:rPr>
          <w:lang w:val="en-US"/>
        </w:rPr>
        <w:t xml:space="preserve">Increased technical skills and leadership capacity in partner </w:t>
      </w:r>
      <w:proofErr w:type="spellStart"/>
      <w:r w:rsidRPr="00E56ED0">
        <w:rPr>
          <w:lang w:val="en-US"/>
        </w:rPr>
        <w:t>organisations</w:t>
      </w:r>
      <w:proofErr w:type="spellEnd"/>
      <w:r w:rsidR="003B58C7">
        <w:rPr>
          <w:lang w:val="en-US"/>
        </w:rPr>
        <w:t>.</w:t>
      </w:r>
    </w:p>
    <w:p w14:paraId="16A67F42" w14:textId="74411FEA" w:rsidR="00E56ED0" w:rsidRPr="00E56ED0" w:rsidRDefault="00E56ED0" w:rsidP="00E56ED0">
      <w:pPr>
        <w:numPr>
          <w:ilvl w:val="0"/>
          <w:numId w:val="22"/>
        </w:numPr>
        <w:spacing w:before="0" w:after="160" w:line="259" w:lineRule="auto"/>
        <w:rPr>
          <w:lang w:val="en-US"/>
        </w:rPr>
      </w:pPr>
      <w:r w:rsidRPr="00E56ED0">
        <w:rPr>
          <w:lang w:val="en-US"/>
        </w:rPr>
        <w:t>Enhanced production and use of evidence and knowledge for policy and advocacy</w:t>
      </w:r>
      <w:r w:rsidR="003B58C7">
        <w:rPr>
          <w:lang w:val="en-US"/>
        </w:rPr>
        <w:t>.</w:t>
      </w:r>
    </w:p>
    <w:p w14:paraId="0C6CC698" w14:textId="01724EBF" w:rsidR="00E56ED0" w:rsidRPr="00E56ED0" w:rsidRDefault="00E56ED0" w:rsidP="00E56ED0">
      <w:pPr>
        <w:numPr>
          <w:ilvl w:val="0"/>
          <w:numId w:val="22"/>
        </w:numPr>
        <w:spacing w:before="0" w:after="160" w:line="259" w:lineRule="auto"/>
        <w:rPr>
          <w:lang w:val="en-US"/>
        </w:rPr>
      </w:pPr>
      <w:r w:rsidRPr="00E56ED0">
        <w:rPr>
          <w:lang w:val="en-US"/>
        </w:rPr>
        <w:t xml:space="preserve">New and enhanced partnerships between Australian and Mekong </w:t>
      </w:r>
      <w:proofErr w:type="spellStart"/>
      <w:r w:rsidRPr="00E56ED0">
        <w:rPr>
          <w:lang w:val="en-US"/>
        </w:rPr>
        <w:t>organisations</w:t>
      </w:r>
      <w:proofErr w:type="spellEnd"/>
      <w:r w:rsidR="003B58C7">
        <w:rPr>
          <w:lang w:val="en-US"/>
        </w:rPr>
        <w:t>.</w:t>
      </w:r>
    </w:p>
    <w:p w14:paraId="440B70DD" w14:textId="77777777" w:rsidR="00E56ED0" w:rsidRPr="00E56ED0" w:rsidRDefault="00E56ED0" w:rsidP="00E56ED0">
      <w:pPr>
        <w:numPr>
          <w:ilvl w:val="0"/>
          <w:numId w:val="22"/>
        </w:numPr>
        <w:spacing w:before="0" w:after="160" w:line="259" w:lineRule="auto"/>
        <w:rPr>
          <w:lang w:val="en-US"/>
        </w:rPr>
      </w:pPr>
      <w:r w:rsidRPr="00E56ED0">
        <w:rPr>
          <w:lang w:val="en-US"/>
        </w:rPr>
        <w:t xml:space="preserve">Influential participation of women, people with disabilities and other </w:t>
      </w:r>
      <w:proofErr w:type="spellStart"/>
      <w:r w:rsidRPr="00E56ED0">
        <w:rPr>
          <w:lang w:val="en-US"/>
        </w:rPr>
        <w:t>marginalised</w:t>
      </w:r>
      <w:proofErr w:type="spellEnd"/>
      <w:r w:rsidRPr="00E56ED0">
        <w:rPr>
          <w:lang w:val="en-US"/>
        </w:rPr>
        <w:t xml:space="preserve"> groups</w:t>
      </w:r>
    </w:p>
    <w:p w14:paraId="2B43819B" w14:textId="19B19E08" w:rsidR="00E56ED0" w:rsidRDefault="00E56ED0">
      <w:pPr>
        <w:spacing w:before="0" w:after="160" w:line="259" w:lineRule="auto"/>
      </w:pPr>
      <w:r>
        <w:br w:type="page"/>
      </w:r>
    </w:p>
    <w:p w14:paraId="4E0863C2" w14:textId="3AD6D701" w:rsidR="00D57C54" w:rsidRDefault="00E56ED0" w:rsidP="00FB6BDA">
      <w:pPr>
        <w:pStyle w:val="Heading1"/>
        <w:numPr>
          <w:ilvl w:val="0"/>
          <w:numId w:val="0"/>
        </w:numPr>
      </w:pPr>
      <w:bookmarkStart w:id="37" w:name="_Toc210034405"/>
      <w:r>
        <w:lastRenderedPageBreak/>
        <w:t xml:space="preserve">Appendix B – </w:t>
      </w:r>
      <w:r w:rsidR="00FB6BDA" w:rsidRPr="00FB6BDA">
        <w:t>Figure 3 MAP Stakeholder Engagement</w:t>
      </w:r>
      <w:r w:rsidR="00FC0890">
        <w:t xml:space="preserve"> – </w:t>
      </w:r>
      <w:r w:rsidR="00FB6BDA">
        <w:t>text version</w:t>
      </w:r>
      <w:bookmarkEnd w:id="37"/>
    </w:p>
    <w:p w14:paraId="06E8B7BE" w14:textId="755B14FA" w:rsidR="002168D9" w:rsidRPr="002168D9" w:rsidRDefault="002168D9" w:rsidP="002168D9">
      <w:r>
        <w:t>N</w:t>
      </w:r>
      <w:r w:rsidRPr="002168D9">
        <w:t>umber of stakeholders by sector.</w:t>
      </w:r>
    </w:p>
    <w:tbl>
      <w:tblPr>
        <w:tblStyle w:val="TetraTech"/>
        <w:tblW w:w="7910" w:type="dxa"/>
        <w:tblLook w:val="04A0" w:firstRow="1" w:lastRow="0" w:firstColumn="1" w:lastColumn="0" w:noHBand="0" w:noVBand="1"/>
      </w:tblPr>
      <w:tblGrid>
        <w:gridCol w:w="3566"/>
        <w:gridCol w:w="1138"/>
        <w:gridCol w:w="1164"/>
        <w:gridCol w:w="721"/>
        <w:gridCol w:w="1321"/>
      </w:tblGrid>
      <w:tr w:rsidR="00EC5343" w:rsidRPr="008B12B5" w14:paraId="0AF03B1A" w14:textId="77777777" w:rsidTr="00EC5343">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0" w:type="auto"/>
            <w:hideMark/>
          </w:tcPr>
          <w:p w14:paraId="57A9E27D" w14:textId="59E00CFB" w:rsidR="00EC5343" w:rsidRPr="008B12B5" w:rsidRDefault="00EC5343" w:rsidP="00E56ED0">
            <w:pPr>
              <w:spacing w:before="240" w:after="360"/>
              <w:rPr>
                <w:rFonts w:ascii="Segoe UI" w:eastAsia="Times New Roman" w:hAnsi="Segoe UI" w:cs="Segoe UI"/>
                <w:b w:val="0"/>
                <w:bCs/>
                <w:color w:val="FFFFFF" w:themeColor="background1"/>
                <w:sz w:val="20"/>
                <w:szCs w:val="20"/>
                <w:lang w:val="en-US"/>
              </w:rPr>
            </w:pPr>
            <w:r w:rsidRPr="008B12B5">
              <w:rPr>
                <w:rFonts w:ascii="Segoe UI" w:eastAsia="Times New Roman" w:hAnsi="Segoe UI" w:cs="Segoe UI"/>
                <w:bCs/>
                <w:color w:val="FFFFFF" w:themeColor="background1"/>
                <w:sz w:val="20"/>
                <w:szCs w:val="20"/>
                <w:lang w:val="en-US"/>
              </w:rPr>
              <w:t xml:space="preserve">Stakeholder </w:t>
            </w:r>
            <w:r>
              <w:rPr>
                <w:rFonts w:ascii="Segoe UI" w:eastAsia="Times New Roman" w:hAnsi="Segoe UI" w:cs="Segoe UI"/>
                <w:bCs/>
                <w:color w:val="FFFFFF" w:themeColor="background1"/>
                <w:sz w:val="20"/>
                <w:szCs w:val="20"/>
                <w:lang w:val="en-US"/>
              </w:rPr>
              <w:t>c</w:t>
            </w:r>
            <w:r w:rsidRPr="008B12B5">
              <w:rPr>
                <w:rFonts w:ascii="Segoe UI" w:eastAsia="Times New Roman" w:hAnsi="Segoe UI" w:cs="Segoe UI"/>
                <w:bCs/>
                <w:color w:val="FFFFFF" w:themeColor="background1"/>
                <w:sz w:val="20"/>
                <w:szCs w:val="20"/>
                <w:lang w:val="en-US"/>
              </w:rPr>
              <w:t>ategory</w:t>
            </w:r>
          </w:p>
        </w:tc>
        <w:tc>
          <w:tcPr>
            <w:tcW w:w="0" w:type="auto"/>
            <w:hideMark/>
          </w:tcPr>
          <w:p w14:paraId="07A730DC" w14:textId="77777777" w:rsidR="00EC5343" w:rsidRPr="008B12B5" w:rsidRDefault="00EC5343" w:rsidP="00E56ED0">
            <w:pPr>
              <w:spacing w:before="240" w:after="360"/>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color w:val="FFFFFF" w:themeColor="background1"/>
                <w:sz w:val="20"/>
                <w:szCs w:val="20"/>
                <w:lang w:val="en-US"/>
              </w:rPr>
            </w:pPr>
            <w:r w:rsidRPr="008B12B5">
              <w:rPr>
                <w:rFonts w:ascii="Segoe UI" w:eastAsia="Times New Roman" w:hAnsi="Segoe UI" w:cs="Segoe UI"/>
                <w:bCs/>
                <w:color w:val="FFFFFF" w:themeColor="background1"/>
                <w:sz w:val="20"/>
                <w:szCs w:val="20"/>
                <w:lang w:val="en-US"/>
              </w:rPr>
              <w:t>Vietnam</w:t>
            </w:r>
          </w:p>
        </w:tc>
        <w:tc>
          <w:tcPr>
            <w:tcW w:w="0" w:type="auto"/>
            <w:hideMark/>
          </w:tcPr>
          <w:p w14:paraId="340A23B7" w14:textId="77777777" w:rsidR="00EC5343" w:rsidRPr="008B12B5" w:rsidRDefault="00EC5343" w:rsidP="00E56ED0">
            <w:pPr>
              <w:spacing w:before="240" w:after="360"/>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color w:val="FFFFFF" w:themeColor="background1"/>
                <w:sz w:val="20"/>
                <w:szCs w:val="20"/>
                <w:lang w:val="en-US"/>
              </w:rPr>
            </w:pPr>
            <w:r w:rsidRPr="008B12B5">
              <w:rPr>
                <w:rFonts w:ascii="Segoe UI" w:eastAsia="Times New Roman" w:hAnsi="Segoe UI" w:cs="Segoe UI"/>
                <w:bCs/>
                <w:color w:val="FFFFFF" w:themeColor="background1"/>
                <w:sz w:val="20"/>
                <w:szCs w:val="20"/>
                <w:lang w:val="en-US"/>
              </w:rPr>
              <w:t>Thailand</w:t>
            </w:r>
          </w:p>
        </w:tc>
        <w:tc>
          <w:tcPr>
            <w:tcW w:w="0" w:type="auto"/>
            <w:hideMark/>
          </w:tcPr>
          <w:p w14:paraId="0408FB60" w14:textId="77777777" w:rsidR="00EC5343" w:rsidRPr="008B12B5" w:rsidRDefault="00EC5343" w:rsidP="00E56ED0">
            <w:pPr>
              <w:spacing w:before="240" w:after="360"/>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color w:val="FFFFFF" w:themeColor="background1"/>
                <w:sz w:val="20"/>
                <w:szCs w:val="20"/>
                <w:lang w:val="en-US"/>
              </w:rPr>
            </w:pPr>
            <w:r w:rsidRPr="008B12B5">
              <w:rPr>
                <w:rFonts w:ascii="Segoe UI" w:eastAsia="Times New Roman" w:hAnsi="Segoe UI" w:cs="Segoe UI"/>
                <w:bCs/>
                <w:color w:val="FFFFFF" w:themeColor="background1"/>
                <w:sz w:val="20"/>
                <w:szCs w:val="20"/>
                <w:lang w:val="en-US"/>
              </w:rPr>
              <w:t>Laos</w:t>
            </w:r>
          </w:p>
        </w:tc>
        <w:tc>
          <w:tcPr>
            <w:tcW w:w="0" w:type="auto"/>
            <w:hideMark/>
          </w:tcPr>
          <w:p w14:paraId="67A047D2" w14:textId="77777777" w:rsidR="00EC5343" w:rsidRPr="008B12B5" w:rsidRDefault="00EC5343" w:rsidP="00E56ED0">
            <w:pPr>
              <w:spacing w:before="240" w:after="360"/>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color w:val="FFFFFF" w:themeColor="background1"/>
                <w:sz w:val="20"/>
                <w:szCs w:val="20"/>
                <w:lang w:val="en-US"/>
              </w:rPr>
            </w:pPr>
            <w:r w:rsidRPr="008B12B5">
              <w:rPr>
                <w:rFonts w:ascii="Segoe UI" w:eastAsia="Times New Roman" w:hAnsi="Segoe UI" w:cs="Segoe UI"/>
                <w:bCs/>
                <w:color w:val="FFFFFF" w:themeColor="background1"/>
                <w:sz w:val="20"/>
                <w:szCs w:val="20"/>
                <w:lang w:val="en-US"/>
              </w:rPr>
              <w:t>Cambodia</w:t>
            </w:r>
          </w:p>
        </w:tc>
      </w:tr>
      <w:tr w:rsidR="00EC5343" w:rsidRPr="008B12B5" w14:paraId="7A9DF15A" w14:textId="77777777" w:rsidTr="00EC5343">
        <w:trPr>
          <w:trHeight w:val="921"/>
        </w:trPr>
        <w:tc>
          <w:tcPr>
            <w:cnfStyle w:val="001000000000" w:firstRow="0" w:lastRow="0" w:firstColumn="1" w:lastColumn="0" w:oddVBand="0" w:evenVBand="0" w:oddHBand="0" w:evenHBand="0" w:firstRowFirstColumn="0" w:firstRowLastColumn="0" w:lastRowFirstColumn="0" w:lastRowLastColumn="0"/>
            <w:tcW w:w="0" w:type="auto"/>
            <w:hideMark/>
          </w:tcPr>
          <w:p w14:paraId="3D1818EE" w14:textId="77777777" w:rsidR="00EC5343" w:rsidRPr="008B12B5" w:rsidRDefault="00EC5343" w:rsidP="00E56ED0">
            <w:pPr>
              <w:spacing w:before="240" w:after="36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International NGOs</w:t>
            </w:r>
          </w:p>
        </w:tc>
        <w:tc>
          <w:tcPr>
            <w:tcW w:w="0" w:type="auto"/>
            <w:hideMark/>
          </w:tcPr>
          <w:p w14:paraId="590FE65A" w14:textId="77777777"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15</w:t>
            </w:r>
          </w:p>
        </w:tc>
        <w:tc>
          <w:tcPr>
            <w:tcW w:w="0" w:type="auto"/>
            <w:hideMark/>
          </w:tcPr>
          <w:p w14:paraId="5204E13D" w14:textId="77777777"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12</w:t>
            </w:r>
          </w:p>
        </w:tc>
        <w:tc>
          <w:tcPr>
            <w:tcW w:w="0" w:type="auto"/>
            <w:hideMark/>
          </w:tcPr>
          <w:p w14:paraId="2041B322" w14:textId="5F2EB88A"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18</w:t>
            </w:r>
          </w:p>
        </w:tc>
        <w:tc>
          <w:tcPr>
            <w:tcW w:w="0" w:type="auto"/>
            <w:hideMark/>
          </w:tcPr>
          <w:p w14:paraId="1381EE41" w14:textId="33D12DB5"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28</w:t>
            </w:r>
          </w:p>
        </w:tc>
      </w:tr>
      <w:tr w:rsidR="00EC5343" w:rsidRPr="008B12B5" w14:paraId="517E08AA" w14:textId="77777777" w:rsidTr="00EC5343">
        <w:trPr>
          <w:trHeight w:val="907"/>
        </w:trPr>
        <w:tc>
          <w:tcPr>
            <w:cnfStyle w:val="001000000000" w:firstRow="0" w:lastRow="0" w:firstColumn="1" w:lastColumn="0" w:oddVBand="0" w:evenVBand="0" w:oddHBand="0" w:evenHBand="0" w:firstRowFirstColumn="0" w:firstRowLastColumn="0" w:lastRowFirstColumn="0" w:lastRowLastColumn="0"/>
            <w:tcW w:w="0" w:type="auto"/>
            <w:hideMark/>
          </w:tcPr>
          <w:p w14:paraId="1840FD50" w14:textId="77777777" w:rsidR="00EC5343" w:rsidRPr="008B12B5" w:rsidRDefault="00EC5343" w:rsidP="00E56ED0">
            <w:pPr>
              <w:spacing w:before="240" w:after="36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National Government Agencies</w:t>
            </w:r>
          </w:p>
        </w:tc>
        <w:tc>
          <w:tcPr>
            <w:tcW w:w="0" w:type="auto"/>
            <w:hideMark/>
          </w:tcPr>
          <w:p w14:paraId="679B82B2" w14:textId="77777777"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24</w:t>
            </w:r>
          </w:p>
        </w:tc>
        <w:tc>
          <w:tcPr>
            <w:tcW w:w="0" w:type="auto"/>
            <w:hideMark/>
          </w:tcPr>
          <w:p w14:paraId="53F1E4EB" w14:textId="77777777"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34</w:t>
            </w:r>
          </w:p>
        </w:tc>
        <w:tc>
          <w:tcPr>
            <w:tcW w:w="0" w:type="auto"/>
            <w:hideMark/>
          </w:tcPr>
          <w:p w14:paraId="01E7E7B0" w14:textId="1E6A745B"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24</w:t>
            </w:r>
          </w:p>
        </w:tc>
        <w:tc>
          <w:tcPr>
            <w:tcW w:w="0" w:type="auto"/>
            <w:hideMark/>
          </w:tcPr>
          <w:p w14:paraId="38AFF606" w14:textId="7AD34999"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29</w:t>
            </w:r>
          </w:p>
        </w:tc>
      </w:tr>
      <w:tr w:rsidR="00EC5343" w:rsidRPr="008B12B5" w14:paraId="578E6AD1" w14:textId="77777777" w:rsidTr="00EC5343">
        <w:trPr>
          <w:trHeight w:val="921"/>
        </w:trPr>
        <w:tc>
          <w:tcPr>
            <w:cnfStyle w:val="001000000000" w:firstRow="0" w:lastRow="0" w:firstColumn="1" w:lastColumn="0" w:oddVBand="0" w:evenVBand="0" w:oddHBand="0" w:evenHBand="0" w:firstRowFirstColumn="0" w:firstRowLastColumn="0" w:lastRowFirstColumn="0" w:lastRowLastColumn="0"/>
            <w:tcW w:w="0" w:type="auto"/>
            <w:hideMark/>
          </w:tcPr>
          <w:p w14:paraId="6B1F5359" w14:textId="77777777" w:rsidR="00EC5343" w:rsidRPr="008B12B5" w:rsidRDefault="00EC5343" w:rsidP="00E56ED0">
            <w:pPr>
              <w:spacing w:before="240" w:after="36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Local Government</w:t>
            </w:r>
          </w:p>
        </w:tc>
        <w:tc>
          <w:tcPr>
            <w:tcW w:w="0" w:type="auto"/>
            <w:hideMark/>
          </w:tcPr>
          <w:p w14:paraId="01B26C6C" w14:textId="77777777"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6</w:t>
            </w:r>
          </w:p>
        </w:tc>
        <w:tc>
          <w:tcPr>
            <w:tcW w:w="0" w:type="auto"/>
            <w:hideMark/>
          </w:tcPr>
          <w:p w14:paraId="34F61DBD" w14:textId="77777777"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4</w:t>
            </w:r>
          </w:p>
        </w:tc>
        <w:tc>
          <w:tcPr>
            <w:tcW w:w="0" w:type="auto"/>
            <w:hideMark/>
          </w:tcPr>
          <w:p w14:paraId="60DF9F79" w14:textId="74FE81F3"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1</w:t>
            </w:r>
          </w:p>
        </w:tc>
        <w:tc>
          <w:tcPr>
            <w:tcW w:w="0" w:type="auto"/>
            <w:hideMark/>
          </w:tcPr>
          <w:p w14:paraId="7DF5BE31" w14:textId="16BB726A"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3</w:t>
            </w:r>
          </w:p>
        </w:tc>
      </w:tr>
      <w:tr w:rsidR="00EC5343" w:rsidRPr="008B12B5" w14:paraId="22D77DEC" w14:textId="77777777" w:rsidTr="00EC5343">
        <w:trPr>
          <w:trHeight w:val="907"/>
        </w:trPr>
        <w:tc>
          <w:tcPr>
            <w:cnfStyle w:val="001000000000" w:firstRow="0" w:lastRow="0" w:firstColumn="1" w:lastColumn="0" w:oddVBand="0" w:evenVBand="0" w:oddHBand="0" w:evenHBand="0" w:firstRowFirstColumn="0" w:firstRowLastColumn="0" w:lastRowFirstColumn="0" w:lastRowLastColumn="0"/>
            <w:tcW w:w="0" w:type="auto"/>
            <w:hideMark/>
          </w:tcPr>
          <w:p w14:paraId="0DA4A813" w14:textId="77777777" w:rsidR="00EC5343" w:rsidRPr="008B12B5" w:rsidRDefault="00EC5343" w:rsidP="00E56ED0">
            <w:pPr>
              <w:spacing w:before="240" w:after="36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Private Sector</w:t>
            </w:r>
          </w:p>
        </w:tc>
        <w:tc>
          <w:tcPr>
            <w:tcW w:w="0" w:type="auto"/>
            <w:hideMark/>
          </w:tcPr>
          <w:p w14:paraId="5CBF4013" w14:textId="77777777"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19</w:t>
            </w:r>
          </w:p>
        </w:tc>
        <w:tc>
          <w:tcPr>
            <w:tcW w:w="0" w:type="auto"/>
            <w:hideMark/>
          </w:tcPr>
          <w:p w14:paraId="3009F105" w14:textId="521776DC"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26</w:t>
            </w:r>
          </w:p>
        </w:tc>
        <w:tc>
          <w:tcPr>
            <w:tcW w:w="0" w:type="auto"/>
            <w:hideMark/>
          </w:tcPr>
          <w:p w14:paraId="08702323" w14:textId="62CC3EA3"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8</w:t>
            </w:r>
          </w:p>
        </w:tc>
        <w:tc>
          <w:tcPr>
            <w:tcW w:w="0" w:type="auto"/>
            <w:hideMark/>
          </w:tcPr>
          <w:p w14:paraId="5100B2C8" w14:textId="3020FB7D"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9</w:t>
            </w:r>
          </w:p>
        </w:tc>
      </w:tr>
      <w:tr w:rsidR="00EC5343" w:rsidRPr="008B12B5" w14:paraId="5DB54A3B" w14:textId="77777777" w:rsidTr="00EC5343">
        <w:trPr>
          <w:trHeight w:val="921"/>
        </w:trPr>
        <w:tc>
          <w:tcPr>
            <w:cnfStyle w:val="001000000000" w:firstRow="0" w:lastRow="0" w:firstColumn="1" w:lastColumn="0" w:oddVBand="0" w:evenVBand="0" w:oddHBand="0" w:evenHBand="0" w:firstRowFirstColumn="0" w:firstRowLastColumn="0" w:lastRowFirstColumn="0" w:lastRowLastColumn="0"/>
            <w:tcW w:w="0" w:type="auto"/>
            <w:hideMark/>
          </w:tcPr>
          <w:p w14:paraId="4006835A" w14:textId="77777777" w:rsidR="00EC5343" w:rsidRPr="008B12B5" w:rsidRDefault="00EC5343" w:rsidP="00E56ED0">
            <w:pPr>
              <w:spacing w:before="240" w:after="36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Civil Society</w:t>
            </w:r>
          </w:p>
        </w:tc>
        <w:tc>
          <w:tcPr>
            <w:tcW w:w="0" w:type="auto"/>
            <w:hideMark/>
          </w:tcPr>
          <w:p w14:paraId="2CFCD5EF" w14:textId="77777777"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5</w:t>
            </w:r>
          </w:p>
        </w:tc>
        <w:tc>
          <w:tcPr>
            <w:tcW w:w="0" w:type="auto"/>
            <w:hideMark/>
          </w:tcPr>
          <w:p w14:paraId="7AA80764" w14:textId="6937BF1E"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10</w:t>
            </w:r>
          </w:p>
        </w:tc>
        <w:tc>
          <w:tcPr>
            <w:tcW w:w="0" w:type="auto"/>
            <w:hideMark/>
          </w:tcPr>
          <w:p w14:paraId="1B3071CE" w14:textId="508BDAB1"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7</w:t>
            </w:r>
          </w:p>
        </w:tc>
        <w:tc>
          <w:tcPr>
            <w:tcW w:w="0" w:type="auto"/>
            <w:hideMark/>
          </w:tcPr>
          <w:p w14:paraId="2C8AA3A9" w14:textId="7C5CBFFA"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14</w:t>
            </w:r>
          </w:p>
        </w:tc>
      </w:tr>
      <w:tr w:rsidR="00EC5343" w:rsidRPr="008B12B5" w14:paraId="7F808602" w14:textId="77777777" w:rsidTr="00EC5343">
        <w:trPr>
          <w:trHeight w:val="907"/>
        </w:trPr>
        <w:tc>
          <w:tcPr>
            <w:cnfStyle w:val="001000000000" w:firstRow="0" w:lastRow="0" w:firstColumn="1" w:lastColumn="0" w:oddVBand="0" w:evenVBand="0" w:oddHBand="0" w:evenHBand="0" w:firstRowFirstColumn="0" w:firstRowLastColumn="0" w:lastRowFirstColumn="0" w:lastRowLastColumn="0"/>
            <w:tcW w:w="0" w:type="auto"/>
            <w:hideMark/>
          </w:tcPr>
          <w:p w14:paraId="0EEDB059" w14:textId="77777777" w:rsidR="00EC5343" w:rsidRPr="008B12B5" w:rsidRDefault="00EC5343" w:rsidP="00E56ED0">
            <w:pPr>
              <w:spacing w:before="240" w:after="36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Media</w:t>
            </w:r>
          </w:p>
        </w:tc>
        <w:tc>
          <w:tcPr>
            <w:tcW w:w="0" w:type="auto"/>
            <w:hideMark/>
          </w:tcPr>
          <w:p w14:paraId="560A5A69" w14:textId="188C1BE9"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0</w:t>
            </w:r>
          </w:p>
        </w:tc>
        <w:tc>
          <w:tcPr>
            <w:tcW w:w="0" w:type="auto"/>
            <w:hideMark/>
          </w:tcPr>
          <w:p w14:paraId="663B5AA4" w14:textId="4F304F91"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1</w:t>
            </w:r>
          </w:p>
        </w:tc>
        <w:tc>
          <w:tcPr>
            <w:tcW w:w="0" w:type="auto"/>
            <w:hideMark/>
          </w:tcPr>
          <w:p w14:paraId="0E112005" w14:textId="737D2AF7"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0</w:t>
            </w:r>
          </w:p>
        </w:tc>
        <w:tc>
          <w:tcPr>
            <w:tcW w:w="0" w:type="auto"/>
            <w:hideMark/>
          </w:tcPr>
          <w:p w14:paraId="42061C82" w14:textId="450C1B0C"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2</w:t>
            </w:r>
          </w:p>
        </w:tc>
      </w:tr>
      <w:tr w:rsidR="00EC5343" w:rsidRPr="008B12B5" w14:paraId="0B7586C1" w14:textId="77777777" w:rsidTr="00EC5343">
        <w:trPr>
          <w:trHeight w:val="921"/>
        </w:trPr>
        <w:tc>
          <w:tcPr>
            <w:cnfStyle w:val="001000000000" w:firstRow="0" w:lastRow="0" w:firstColumn="1" w:lastColumn="0" w:oddVBand="0" w:evenVBand="0" w:oddHBand="0" w:evenHBand="0" w:firstRowFirstColumn="0" w:firstRowLastColumn="0" w:lastRowFirstColumn="0" w:lastRowLastColumn="0"/>
            <w:tcW w:w="0" w:type="auto"/>
            <w:hideMark/>
          </w:tcPr>
          <w:p w14:paraId="00A1F251" w14:textId="77777777" w:rsidR="00EC5343" w:rsidRPr="008B12B5" w:rsidRDefault="00EC5343" w:rsidP="00E56ED0">
            <w:pPr>
              <w:spacing w:before="240" w:after="36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Academia</w:t>
            </w:r>
          </w:p>
        </w:tc>
        <w:tc>
          <w:tcPr>
            <w:tcW w:w="0" w:type="auto"/>
            <w:hideMark/>
          </w:tcPr>
          <w:p w14:paraId="3F34B651" w14:textId="77777777"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12</w:t>
            </w:r>
          </w:p>
        </w:tc>
        <w:tc>
          <w:tcPr>
            <w:tcW w:w="0" w:type="auto"/>
            <w:hideMark/>
          </w:tcPr>
          <w:p w14:paraId="64431664" w14:textId="0B693BFB"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19</w:t>
            </w:r>
          </w:p>
        </w:tc>
        <w:tc>
          <w:tcPr>
            <w:tcW w:w="0" w:type="auto"/>
            <w:hideMark/>
          </w:tcPr>
          <w:p w14:paraId="7CBEF9C7" w14:textId="23E631C7"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10</w:t>
            </w:r>
          </w:p>
        </w:tc>
        <w:tc>
          <w:tcPr>
            <w:tcW w:w="0" w:type="auto"/>
            <w:hideMark/>
          </w:tcPr>
          <w:p w14:paraId="4581465F" w14:textId="18E36662" w:rsidR="00EC5343" w:rsidRPr="008B12B5" w:rsidRDefault="00EC5343" w:rsidP="00E56ED0">
            <w:pPr>
              <w:spacing w:before="240" w:after="3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424242"/>
                <w:sz w:val="20"/>
                <w:szCs w:val="20"/>
                <w:lang w:val="en-US"/>
              </w:rPr>
            </w:pPr>
            <w:r w:rsidRPr="008B12B5">
              <w:rPr>
                <w:rFonts w:ascii="Segoe UI" w:eastAsia="Times New Roman" w:hAnsi="Segoe UI" w:cs="Segoe UI"/>
                <w:color w:val="424242"/>
                <w:sz w:val="20"/>
                <w:szCs w:val="20"/>
                <w:lang w:val="en-US"/>
              </w:rPr>
              <w:t>11</w:t>
            </w:r>
          </w:p>
        </w:tc>
      </w:tr>
    </w:tbl>
    <w:p w14:paraId="51D52D4F" w14:textId="77777777" w:rsidR="00E56ED0" w:rsidRPr="00011523" w:rsidRDefault="00E56ED0" w:rsidP="00E56ED0">
      <w:pPr>
        <w:spacing w:before="0" w:after="160" w:line="259" w:lineRule="auto"/>
      </w:pPr>
    </w:p>
    <w:sectPr w:rsidR="00E56ED0" w:rsidRPr="00011523" w:rsidSect="009F7568">
      <w:pgSz w:w="11906" w:h="16838"/>
      <w:pgMar w:top="1987" w:right="1411" w:bottom="1987" w:left="1411" w:header="562" w:footer="1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F554E" w14:textId="77777777" w:rsidR="00A04AB4" w:rsidRDefault="00A04AB4" w:rsidP="00CD21D3">
      <w:pPr>
        <w:spacing w:after="0"/>
      </w:pPr>
      <w:r>
        <w:separator/>
      </w:r>
    </w:p>
    <w:p w14:paraId="6A8881F3" w14:textId="77777777" w:rsidR="00A04AB4" w:rsidRDefault="00A04AB4"/>
  </w:endnote>
  <w:endnote w:type="continuationSeparator" w:id="0">
    <w:p w14:paraId="7D41AAF7" w14:textId="77777777" w:rsidR="00A04AB4" w:rsidRDefault="00A04AB4" w:rsidP="00CD21D3">
      <w:pPr>
        <w:spacing w:after="0"/>
      </w:pPr>
      <w:r>
        <w:continuationSeparator/>
      </w:r>
    </w:p>
    <w:p w14:paraId="5B48B91E" w14:textId="77777777" w:rsidR="00A04AB4" w:rsidRDefault="00A04AB4"/>
  </w:endnote>
  <w:endnote w:type="continuationNotice" w:id="1">
    <w:p w14:paraId="6B61AD38" w14:textId="77777777" w:rsidR="00A04AB4" w:rsidRDefault="00A04AB4">
      <w:pPr>
        <w:spacing w:after="0"/>
      </w:pPr>
    </w:p>
    <w:p w14:paraId="1D3F3E99" w14:textId="77777777" w:rsidR="00A04AB4" w:rsidRDefault="00A04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764BA" w14:textId="613F41E8" w:rsidR="00A43F20" w:rsidRPr="005F2E64" w:rsidRDefault="00B778E3" w:rsidP="005F2E64">
    <w:pPr>
      <w:pStyle w:val="Footer"/>
      <w:tabs>
        <w:tab w:val="clear" w:pos="4680"/>
        <w:tab w:val="clear" w:pos="9360"/>
        <w:tab w:val="right" w:pos="10204"/>
      </w:tabs>
      <w:rPr>
        <w:b/>
        <w:bCs/>
        <w:sz w:val="16"/>
        <w:szCs w:val="16"/>
      </w:rPr>
    </w:pPr>
    <w:sdt>
      <w:sdtPr>
        <w:rPr>
          <w:b/>
          <w:bCs/>
          <w:sz w:val="16"/>
          <w:szCs w:val="16"/>
        </w:rPr>
        <w:id w:val="-1761515267"/>
        <w:docPartObj>
          <w:docPartGallery w:val="Page Numbers (Bottom of Page)"/>
          <w:docPartUnique/>
        </w:docPartObj>
      </w:sdtPr>
      <w:sdtEndPr>
        <w:rPr>
          <w:noProof/>
        </w:rPr>
      </w:sdtEndPr>
      <w:sdtContent>
        <w:r w:rsidR="005F2E64" w:rsidRPr="005F2E64">
          <w:rPr>
            <w:b/>
            <w:bCs/>
            <w:sz w:val="16"/>
            <w:szCs w:val="16"/>
          </w:rPr>
          <w:t xml:space="preserve">Mekong-Australia Partnership </w:t>
        </w:r>
        <w:r w:rsidR="005F2E64">
          <w:rPr>
            <w:b/>
            <w:bCs/>
            <w:sz w:val="16"/>
            <w:szCs w:val="16"/>
          </w:rPr>
          <w:t xml:space="preserve">| </w:t>
        </w:r>
        <w:r w:rsidR="005F2E64" w:rsidRPr="005F2E64">
          <w:rPr>
            <w:sz w:val="16"/>
            <w:szCs w:val="16"/>
          </w:rPr>
          <w:t>202</w:t>
        </w:r>
        <w:r w:rsidR="00C62CE4">
          <w:rPr>
            <w:sz w:val="16"/>
            <w:szCs w:val="16"/>
          </w:rPr>
          <w:t>3</w:t>
        </w:r>
        <w:r w:rsidR="005F2E64" w:rsidRPr="005F2E64">
          <w:rPr>
            <w:sz w:val="16"/>
            <w:szCs w:val="16"/>
          </w:rPr>
          <w:t xml:space="preserve"> Annual Report</w:t>
        </w:r>
        <w:r w:rsidR="005F2E64">
          <w:rPr>
            <w:b/>
            <w:bCs/>
            <w:sz w:val="16"/>
            <w:szCs w:val="16"/>
          </w:rPr>
          <w:tab/>
        </w:r>
        <w:r w:rsidR="005F2E64" w:rsidRPr="005F2E64">
          <w:rPr>
            <w:b/>
            <w:bCs/>
            <w:sz w:val="16"/>
            <w:szCs w:val="16"/>
          </w:rPr>
          <w:fldChar w:fldCharType="begin"/>
        </w:r>
        <w:r w:rsidR="005F2E64" w:rsidRPr="005F2E64">
          <w:rPr>
            <w:b/>
            <w:bCs/>
            <w:sz w:val="16"/>
            <w:szCs w:val="16"/>
          </w:rPr>
          <w:instrText xml:space="preserve"> PAGE   \* MERGEFORMAT </w:instrText>
        </w:r>
        <w:r w:rsidR="005F2E64" w:rsidRPr="005F2E64">
          <w:rPr>
            <w:b/>
            <w:bCs/>
            <w:sz w:val="16"/>
            <w:szCs w:val="16"/>
          </w:rPr>
          <w:fldChar w:fldCharType="separate"/>
        </w:r>
        <w:r w:rsidR="005F2E64" w:rsidRPr="005F2E64">
          <w:rPr>
            <w:b/>
            <w:bCs/>
            <w:noProof/>
            <w:sz w:val="16"/>
            <w:szCs w:val="16"/>
          </w:rPr>
          <w:t>2</w:t>
        </w:r>
        <w:r w:rsidR="005F2E64" w:rsidRPr="005F2E64">
          <w:rPr>
            <w:b/>
            <w:bCs/>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F67A8" w14:textId="4C8B9788" w:rsidR="00C84F1B" w:rsidRPr="00C84F1B" w:rsidRDefault="00C84F1B" w:rsidP="00C84F1B">
    <w:pPr>
      <w:pStyle w:val="Footer"/>
      <w:tabs>
        <w:tab w:val="clear" w:pos="4680"/>
        <w:tab w:val="clear" w:pos="9360"/>
        <w:tab w:val="right" w:pos="10204"/>
      </w:tabs>
      <w:rPr>
        <w:b/>
        <w:bCs/>
        <w:sz w:val="16"/>
        <w:szCs w:val="16"/>
      </w:rPr>
    </w:pPr>
    <w:r w:rsidRPr="005F2E64">
      <w:rPr>
        <w:b/>
        <w:bCs/>
        <w:sz w:val="16"/>
        <w:szCs w:val="16"/>
      </w:rPr>
      <w:t xml:space="preserve">Mekong-Australia Partnership </w:t>
    </w:r>
    <w:r>
      <w:rPr>
        <w:b/>
        <w:bCs/>
        <w:sz w:val="16"/>
        <w:szCs w:val="16"/>
      </w:rPr>
      <w:t xml:space="preserve">| </w:t>
    </w:r>
    <w:r w:rsidRPr="005F2E64">
      <w:rPr>
        <w:sz w:val="16"/>
        <w:szCs w:val="16"/>
      </w:rPr>
      <w:t>202</w:t>
    </w:r>
    <w:r w:rsidR="00C62CE4">
      <w:rPr>
        <w:sz w:val="16"/>
        <w:szCs w:val="16"/>
      </w:rPr>
      <w:t>3</w:t>
    </w:r>
    <w:r w:rsidRPr="005F2E64">
      <w:rPr>
        <w:sz w:val="16"/>
        <w:szCs w:val="16"/>
      </w:rPr>
      <w:t xml:space="preserve"> Annual Report</w:t>
    </w:r>
    <w:r>
      <w:rPr>
        <w:b/>
        <w:bCs/>
        <w:sz w:val="16"/>
        <w:szCs w:val="16"/>
      </w:rPr>
      <w:tab/>
    </w:r>
    <w:r w:rsidRPr="005F2E64">
      <w:rPr>
        <w:b/>
        <w:bCs/>
        <w:sz w:val="16"/>
        <w:szCs w:val="16"/>
      </w:rPr>
      <w:fldChar w:fldCharType="begin"/>
    </w:r>
    <w:r w:rsidRPr="005F2E64">
      <w:rPr>
        <w:b/>
        <w:bCs/>
        <w:sz w:val="16"/>
        <w:szCs w:val="16"/>
      </w:rPr>
      <w:instrText xml:space="preserve"> PAGE   \* MERGEFORMAT </w:instrText>
    </w:r>
    <w:r w:rsidRPr="005F2E64">
      <w:rPr>
        <w:b/>
        <w:bCs/>
        <w:sz w:val="16"/>
        <w:szCs w:val="16"/>
      </w:rPr>
      <w:fldChar w:fldCharType="separate"/>
    </w:r>
    <w:r>
      <w:rPr>
        <w:b/>
        <w:bCs/>
        <w:sz w:val="16"/>
        <w:szCs w:val="16"/>
      </w:rPr>
      <w:t>i</w:t>
    </w:r>
    <w:proofErr w:type="spellStart"/>
    <w:r>
      <w:rPr>
        <w:b/>
        <w:bCs/>
        <w:sz w:val="16"/>
        <w:szCs w:val="16"/>
      </w:rPr>
      <w:t>i</w:t>
    </w:r>
    <w:proofErr w:type="spellEnd"/>
    <w:r w:rsidRPr="005F2E64">
      <w:rPr>
        <w:b/>
        <w:bCs/>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06CF" w14:textId="4CAB0321" w:rsidR="00600F62" w:rsidRPr="005F2E64" w:rsidRDefault="00B778E3" w:rsidP="001B43AA">
    <w:pPr>
      <w:tabs>
        <w:tab w:val="left" w:pos="8505"/>
      </w:tabs>
      <w:rPr>
        <w:b/>
        <w:bCs/>
        <w:sz w:val="16"/>
        <w:szCs w:val="16"/>
      </w:rPr>
    </w:pPr>
    <w:sdt>
      <w:sdtPr>
        <w:rPr>
          <w:b/>
          <w:bCs/>
          <w:sz w:val="16"/>
          <w:szCs w:val="16"/>
        </w:rPr>
        <w:id w:val="1765493735"/>
        <w:docPartObj>
          <w:docPartGallery w:val="Page Numbers (Bottom of Page)"/>
          <w:docPartUnique/>
        </w:docPartObj>
      </w:sdtPr>
      <w:sdtEndPr>
        <w:rPr>
          <w:noProof/>
        </w:rPr>
      </w:sdtEndPr>
      <w:sdtContent>
        <w:r w:rsidR="003E1BE2" w:rsidRPr="005F2E64">
          <w:rPr>
            <w:b/>
            <w:bCs/>
            <w:sz w:val="16"/>
            <w:szCs w:val="16"/>
          </w:rPr>
          <w:t xml:space="preserve">Mekong-Australia Partnership </w:t>
        </w:r>
        <w:r w:rsidR="003E1BE2">
          <w:rPr>
            <w:b/>
            <w:bCs/>
            <w:sz w:val="16"/>
            <w:szCs w:val="16"/>
          </w:rPr>
          <w:t xml:space="preserve">| </w:t>
        </w:r>
        <w:r w:rsidR="003E1BE2" w:rsidRPr="005F2E64">
          <w:rPr>
            <w:sz w:val="16"/>
            <w:szCs w:val="16"/>
          </w:rPr>
          <w:t>202</w:t>
        </w:r>
        <w:r w:rsidR="003E1BE2">
          <w:rPr>
            <w:sz w:val="16"/>
            <w:szCs w:val="16"/>
          </w:rPr>
          <w:t>3</w:t>
        </w:r>
        <w:r w:rsidR="003E1BE2" w:rsidRPr="005F2E64">
          <w:rPr>
            <w:sz w:val="16"/>
            <w:szCs w:val="16"/>
          </w:rPr>
          <w:t xml:space="preserve"> Annual Report</w:t>
        </w:r>
        <w:r w:rsidR="00600F62">
          <w:rPr>
            <w:sz w:val="16"/>
            <w:szCs w:val="16"/>
          </w:rPr>
          <w:tab/>
        </w:r>
        <w:r w:rsidR="00600F62" w:rsidRPr="005F2E64">
          <w:rPr>
            <w:b/>
            <w:bCs/>
            <w:sz w:val="16"/>
            <w:szCs w:val="16"/>
          </w:rPr>
          <w:fldChar w:fldCharType="begin"/>
        </w:r>
        <w:r w:rsidR="00600F62" w:rsidRPr="005F2E64">
          <w:rPr>
            <w:b/>
            <w:bCs/>
            <w:sz w:val="16"/>
            <w:szCs w:val="16"/>
          </w:rPr>
          <w:instrText xml:space="preserve"> PAGE   \* MERGEFORMAT </w:instrText>
        </w:r>
        <w:r w:rsidR="00600F62" w:rsidRPr="005F2E64">
          <w:rPr>
            <w:b/>
            <w:bCs/>
            <w:sz w:val="16"/>
            <w:szCs w:val="16"/>
          </w:rPr>
          <w:fldChar w:fldCharType="separate"/>
        </w:r>
        <w:r w:rsidR="00600F62">
          <w:rPr>
            <w:b/>
            <w:bCs/>
            <w:sz w:val="16"/>
            <w:szCs w:val="16"/>
          </w:rPr>
          <w:t>27</w:t>
        </w:r>
        <w:r w:rsidR="00600F62" w:rsidRPr="005F2E64">
          <w:rPr>
            <w:b/>
            <w:bCs/>
            <w:noProof/>
            <w:sz w:val="16"/>
            <w:szCs w:val="16"/>
          </w:rPr>
          <w:fldChar w:fldCharType="end"/>
        </w:r>
      </w:sdtContent>
    </w:sdt>
  </w:p>
  <w:p w14:paraId="6BAF20E7" w14:textId="47006994" w:rsidR="00920A36" w:rsidRPr="00C84F1B" w:rsidRDefault="00920A36" w:rsidP="00777AE9">
    <w:pPr>
      <w:pStyle w:val="Footer"/>
      <w:tabs>
        <w:tab w:val="clear" w:pos="4680"/>
        <w:tab w:val="clear" w:pos="9360"/>
        <w:tab w:val="right" w:pos="13892"/>
      </w:tabs>
      <w:jc w:val="left"/>
      <w:rPr>
        <w:b/>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6B00F" w14:textId="77777777" w:rsidR="00A04AB4" w:rsidRPr="005A0421" w:rsidRDefault="00A04AB4" w:rsidP="005A0421">
      <w:pPr>
        <w:pStyle w:val="Footer"/>
      </w:pPr>
    </w:p>
  </w:footnote>
  <w:footnote w:type="continuationSeparator" w:id="0">
    <w:p w14:paraId="586BF9B6" w14:textId="77777777" w:rsidR="00A04AB4" w:rsidRPr="00CB5B1C" w:rsidRDefault="00A04AB4" w:rsidP="00CB5B1C">
      <w:pPr>
        <w:pStyle w:val="Footer"/>
        <w:jc w:val="left"/>
      </w:pPr>
    </w:p>
  </w:footnote>
  <w:footnote w:type="continuationNotice" w:id="1">
    <w:p w14:paraId="5878C6FC" w14:textId="77777777" w:rsidR="00A04AB4" w:rsidRPr="008D5359" w:rsidRDefault="00A04AB4" w:rsidP="008D5359">
      <w:pPr>
        <w:pStyle w:val="Footer"/>
        <w:jc w:val="left"/>
      </w:pPr>
    </w:p>
  </w:footnote>
  <w:footnote w:id="2">
    <w:p w14:paraId="3427EE6F" w14:textId="77777777" w:rsidR="00BF55AF" w:rsidRPr="00032ACB" w:rsidRDefault="00BF55AF" w:rsidP="00BF55AF">
      <w:pPr>
        <w:pStyle w:val="FootnoteText"/>
        <w:rPr>
          <w:sz w:val="18"/>
          <w:szCs w:val="18"/>
          <w:lang w:val="en-US"/>
        </w:rPr>
      </w:pPr>
      <w:r>
        <w:rPr>
          <w:rStyle w:val="FootnoteReference"/>
        </w:rPr>
        <w:footnoteRef/>
      </w:r>
      <w:r>
        <w:t xml:space="preserve"> The</w:t>
      </w:r>
      <w:r w:rsidRPr="00032ACB">
        <w:rPr>
          <w:sz w:val="18"/>
          <w:szCs w:val="18"/>
          <w:lang w:val="en-US"/>
        </w:rPr>
        <w:t>World Bank Group, Analysis on Myanmar</w:t>
      </w:r>
      <w:r>
        <w:rPr>
          <w:sz w:val="18"/>
          <w:szCs w:val="18"/>
          <w:lang w:val="en-US"/>
        </w:rPr>
        <w:t>, 2024</w:t>
      </w:r>
    </w:p>
  </w:footnote>
  <w:footnote w:id="3">
    <w:p w14:paraId="7AF2EE44" w14:textId="77777777" w:rsidR="00BF55AF" w:rsidRPr="000E177D" w:rsidRDefault="00BF55AF" w:rsidP="00BF55AF">
      <w:pPr>
        <w:pStyle w:val="FootnoteText"/>
        <w:rPr>
          <w:sz w:val="18"/>
          <w:szCs w:val="18"/>
          <w:lang w:val="en-US"/>
        </w:rPr>
      </w:pPr>
      <w:r>
        <w:rPr>
          <w:rStyle w:val="FootnoteReference"/>
        </w:rPr>
        <w:footnoteRef/>
      </w:r>
      <w:r>
        <w:t xml:space="preserve"> </w:t>
      </w:r>
      <w:r w:rsidRPr="00032ACB">
        <w:rPr>
          <w:sz w:val="18"/>
          <w:szCs w:val="18"/>
          <w:lang w:val="en-US"/>
        </w:rPr>
        <w:t>Oxford Poverty and Human Development Initiative, Glob</w:t>
      </w:r>
      <w:r w:rsidRPr="000E177D">
        <w:rPr>
          <w:sz w:val="18"/>
          <w:szCs w:val="18"/>
          <w:lang w:val="en-US"/>
        </w:rPr>
        <w:t>al MPI Country Briefing 2024: Cambodia</w:t>
      </w:r>
    </w:p>
  </w:footnote>
  <w:footnote w:id="4">
    <w:p w14:paraId="54AB8DA7" w14:textId="77777777" w:rsidR="00BF55AF" w:rsidRPr="000E177D" w:rsidRDefault="00BF55AF" w:rsidP="00BF55AF">
      <w:pPr>
        <w:pStyle w:val="FootnoteText"/>
        <w:rPr>
          <w:sz w:val="18"/>
          <w:szCs w:val="18"/>
          <w:lang w:val="en-US"/>
        </w:rPr>
      </w:pPr>
      <w:r w:rsidRPr="000E177D">
        <w:rPr>
          <w:rStyle w:val="FootnoteReference"/>
          <w:sz w:val="18"/>
          <w:szCs w:val="18"/>
        </w:rPr>
        <w:footnoteRef/>
      </w:r>
      <w:r w:rsidRPr="000E177D">
        <w:rPr>
          <w:sz w:val="18"/>
          <w:szCs w:val="18"/>
        </w:rPr>
        <w:t xml:space="preserve"> </w:t>
      </w:r>
      <w:r w:rsidRPr="000E177D">
        <w:rPr>
          <w:sz w:val="18"/>
          <w:szCs w:val="18"/>
          <w:lang w:val="en-US"/>
        </w:rPr>
        <w:t xml:space="preserve">The World Bank Group, Laos Economic Monitor October 2024. </w:t>
      </w:r>
    </w:p>
  </w:footnote>
  <w:footnote w:id="5">
    <w:p w14:paraId="54662FAF" w14:textId="77777777" w:rsidR="00BF55AF" w:rsidRPr="000E177D" w:rsidRDefault="00BF55AF" w:rsidP="00BF55AF">
      <w:pPr>
        <w:pStyle w:val="FootnoteText"/>
        <w:rPr>
          <w:sz w:val="18"/>
          <w:szCs w:val="18"/>
          <w:lang w:val="en-US"/>
        </w:rPr>
      </w:pPr>
      <w:r w:rsidRPr="000E177D">
        <w:rPr>
          <w:rStyle w:val="FootnoteReference"/>
          <w:sz w:val="18"/>
          <w:szCs w:val="18"/>
        </w:rPr>
        <w:footnoteRef/>
      </w:r>
      <w:r w:rsidRPr="000E177D">
        <w:rPr>
          <w:sz w:val="18"/>
          <w:szCs w:val="18"/>
        </w:rPr>
        <w:t xml:space="preserve"> </w:t>
      </w:r>
      <w:r w:rsidRPr="000E177D">
        <w:rPr>
          <w:sz w:val="18"/>
          <w:szCs w:val="18"/>
          <w:lang w:val="en-US"/>
        </w:rPr>
        <w:t>McKinsey &amp; Company, Quarterly Economic Review – Southeast Asia Q4 2024.</w:t>
      </w:r>
    </w:p>
  </w:footnote>
  <w:footnote w:id="6">
    <w:p w14:paraId="6F403B9E" w14:textId="77777777" w:rsidR="00BF55AF" w:rsidRPr="000E177D" w:rsidRDefault="00BF55AF" w:rsidP="00BF55AF">
      <w:pPr>
        <w:pStyle w:val="FootnoteText"/>
        <w:rPr>
          <w:lang w:val="en-US"/>
        </w:rPr>
      </w:pPr>
      <w:r w:rsidRPr="000E177D">
        <w:rPr>
          <w:rStyle w:val="FootnoteReference"/>
          <w:sz w:val="18"/>
          <w:szCs w:val="18"/>
        </w:rPr>
        <w:footnoteRef/>
      </w:r>
      <w:r w:rsidRPr="000E177D">
        <w:rPr>
          <w:sz w:val="18"/>
          <w:szCs w:val="18"/>
        </w:rPr>
        <w:t xml:space="preserve"> </w:t>
      </w:r>
      <w:r w:rsidRPr="000E177D">
        <w:rPr>
          <w:sz w:val="18"/>
          <w:szCs w:val="18"/>
          <w:lang w:val="en-US"/>
        </w:rPr>
        <w:t>Asian Development Bank, Poverty in Vietnam 2024</w:t>
      </w:r>
    </w:p>
  </w:footnote>
  <w:footnote w:id="7">
    <w:p w14:paraId="0E3BFD95" w14:textId="77777777" w:rsidR="00BF55AF" w:rsidRPr="00A0369F" w:rsidRDefault="00BF55AF" w:rsidP="00BF55AF">
      <w:pPr>
        <w:pStyle w:val="FootnoteText"/>
        <w:rPr>
          <w:lang w:val="en-US"/>
        </w:rPr>
      </w:pPr>
      <w:r>
        <w:rPr>
          <w:rStyle w:val="FootnoteReference"/>
        </w:rPr>
        <w:footnoteRef/>
      </w:r>
      <w:r>
        <w:t xml:space="preserve"> </w:t>
      </w:r>
      <w:r w:rsidRPr="00A0369F">
        <w:rPr>
          <w:sz w:val="16"/>
          <w:szCs w:val="16"/>
          <w:lang w:val="en-US"/>
        </w:rPr>
        <w:t>The</w:t>
      </w:r>
      <w:r>
        <w:rPr>
          <w:sz w:val="16"/>
          <w:szCs w:val="16"/>
          <w:lang w:val="en-US"/>
        </w:rPr>
        <w:t xml:space="preserve"> MAP Program Logic has been updated since the design was published to reflect the integration of portfolio intermediate outcomes to thematic intermediate outcomes.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7BB96" w14:textId="27D3766E" w:rsidR="0033577E" w:rsidRDefault="0033577E">
    <w:pPr>
      <w:pStyle w:val="Header"/>
    </w:pPr>
    <w:r>
      <w:rPr>
        <w:b/>
        <w:bCs/>
        <w:noProof/>
        <w:sz w:val="16"/>
        <w:szCs w:val="16"/>
      </w:rPr>
      <w:drawing>
        <wp:anchor distT="0" distB="0" distL="114300" distR="114300" simplePos="0" relativeHeight="251658255" behindDoc="1" locked="0" layoutInCell="1" allowOverlap="1" wp14:anchorId="76730F9B" wp14:editId="4BED18BB">
          <wp:simplePos x="0" y="0"/>
          <wp:positionH relativeFrom="page">
            <wp:posOffset>9525</wp:posOffset>
          </wp:positionH>
          <wp:positionV relativeFrom="paragraph">
            <wp:posOffset>-352534</wp:posOffset>
          </wp:positionV>
          <wp:extent cx="7551077" cy="10681120"/>
          <wp:effectExtent l="0" t="0" r="0" b="6350"/>
          <wp:wrapNone/>
          <wp:docPr id="1233018959" name="Picture 1233018959" descr="A black screen with a whit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7250" name="Picture 113087250" descr="A black screen with a white border"/>
                  <pic:cNvPicPr/>
                </pic:nvPicPr>
                <pic:blipFill>
                  <a:blip r:embed="rId1">
                    <a:extLst>
                      <a:ext uri="{28A0092B-C50C-407E-A947-70E740481C1C}">
                        <a14:useLocalDpi xmlns:a14="http://schemas.microsoft.com/office/drawing/2010/main" val="0"/>
                      </a:ext>
                    </a:extLst>
                  </a:blip>
                  <a:stretch>
                    <a:fillRect/>
                  </a:stretch>
                </pic:blipFill>
                <pic:spPr>
                  <a:xfrm>
                    <a:off x="0" y="0"/>
                    <a:ext cx="7551077" cy="106811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C073C" w14:textId="77777777" w:rsidR="00BF55AF" w:rsidRPr="005F2E64" w:rsidRDefault="00BF55AF" w:rsidP="005F2E64">
    <w:pPr>
      <w:pStyle w:val="Header"/>
    </w:pPr>
    <w:r>
      <w:rPr>
        <w:b/>
        <w:bCs/>
        <w:noProof/>
        <w:sz w:val="16"/>
        <w:szCs w:val="16"/>
      </w:rPr>
      <w:drawing>
        <wp:anchor distT="0" distB="0" distL="114300" distR="114300" simplePos="0" relativeHeight="251660304" behindDoc="1" locked="0" layoutInCell="1" allowOverlap="1" wp14:anchorId="777CD08D" wp14:editId="0A59A3DE">
          <wp:simplePos x="0" y="0"/>
          <wp:positionH relativeFrom="page">
            <wp:align>left</wp:align>
          </wp:positionH>
          <wp:positionV relativeFrom="paragraph">
            <wp:posOffset>-354841</wp:posOffset>
          </wp:positionV>
          <wp:extent cx="7561355" cy="10695660"/>
          <wp:effectExtent l="0" t="0" r="1905" b="0"/>
          <wp:wrapNone/>
          <wp:docPr id="520371528" name="Picture 520371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67203" name="Picture 104996720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1355" cy="10695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BF02BD4" wp14:editId="37CE35FD">
          <wp:extent cx="2816860" cy="250190"/>
          <wp:effectExtent l="0" t="0" r="2540" b="0"/>
          <wp:docPr id="92377294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89379" name="Picture 1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6860" cy="25019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9933" w14:textId="2918483A" w:rsidR="0033577E" w:rsidRPr="005F2E64" w:rsidRDefault="0033577E" w:rsidP="005F2E64">
    <w:pPr>
      <w:pStyle w:val="Header"/>
    </w:pPr>
    <w:r>
      <w:rPr>
        <w:noProof/>
      </w:rPr>
      <w:drawing>
        <wp:inline distT="0" distB="0" distL="0" distR="0" wp14:anchorId="52D27BE5" wp14:editId="05D1E76B">
          <wp:extent cx="267450" cy="2588114"/>
          <wp:effectExtent l="1905" t="0" r="1270" b="1270"/>
          <wp:docPr id="360909219" name="Picture 16" descr="02 INTRODUCTION AND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8122" name="Picture 16" descr="02 INTRODUCTION AND CONTEXT"/>
                  <pic:cNvPicPr/>
                </pic:nvPicPr>
                <pic:blipFill rotWithShape="1">
                  <a:blip r:embed="rId1">
                    <a:extLst>
                      <a:ext uri="{28A0092B-C50C-407E-A947-70E740481C1C}">
                        <a14:useLocalDpi xmlns:a14="http://schemas.microsoft.com/office/drawing/2010/main" val="0"/>
                      </a:ext>
                    </a:extLst>
                  </a:blip>
                  <a:srcRect t="18707"/>
                  <a:stretch/>
                </pic:blipFill>
                <pic:spPr bwMode="auto">
                  <a:xfrm rot="5400000">
                    <a:off x="0" y="0"/>
                    <a:ext cx="289505" cy="2801545"/>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16"/>
        <w:szCs w:val="16"/>
      </w:rPr>
      <w:drawing>
        <wp:anchor distT="0" distB="0" distL="114300" distR="114300" simplePos="0" relativeHeight="251658249" behindDoc="1" locked="0" layoutInCell="1" allowOverlap="1" wp14:anchorId="17653FF7" wp14:editId="553296AC">
          <wp:simplePos x="0" y="0"/>
          <wp:positionH relativeFrom="page">
            <wp:align>left</wp:align>
          </wp:positionH>
          <wp:positionV relativeFrom="paragraph">
            <wp:posOffset>-354841</wp:posOffset>
          </wp:positionV>
          <wp:extent cx="7561355" cy="10695660"/>
          <wp:effectExtent l="0" t="0" r="1905" b="0"/>
          <wp:wrapNone/>
          <wp:docPr id="1250423678" name="Picture 1250423678" descr="A white background with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86150" name="Picture 728786150" descr="A white background with black dots"/>
                  <pic:cNvPicPr/>
                </pic:nvPicPr>
                <pic:blipFill>
                  <a:blip r:embed="rId2">
                    <a:extLst>
                      <a:ext uri="{28A0092B-C50C-407E-A947-70E740481C1C}">
                        <a14:useLocalDpi xmlns:a14="http://schemas.microsoft.com/office/drawing/2010/main" val="0"/>
                      </a:ext>
                    </a:extLst>
                  </a:blip>
                  <a:stretch>
                    <a:fillRect/>
                  </a:stretch>
                </pic:blipFill>
                <pic:spPr>
                  <a:xfrm>
                    <a:off x="0" y="0"/>
                    <a:ext cx="7561355" cy="1069566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E473B" w14:textId="6CF261B4" w:rsidR="00A035AD" w:rsidRDefault="0011448A">
    <w:pPr>
      <w:pStyle w:val="Header"/>
    </w:pPr>
    <w:r w:rsidRPr="006B5F27">
      <w:rPr>
        <w:noProof/>
      </w:rPr>
      <w:drawing>
        <wp:inline distT="0" distB="0" distL="0" distR="0" wp14:anchorId="299B3851" wp14:editId="1D4B8F8C">
          <wp:extent cx="249016" cy="2818520"/>
          <wp:effectExtent l="0" t="8255" r="0" b="0"/>
          <wp:docPr id="1604357193" name="Picture 2" descr="02 INTRODUCTION AND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28096" name="Picture 2" descr="02 INTRODUCTION AND CONTEXT"/>
                  <pic:cNvPicPr/>
                </pic:nvPicPr>
                <pic:blipFill rotWithShape="1">
                  <a:blip r:embed="rId1" cstate="print">
                    <a:extLst>
                      <a:ext uri="{28A0092B-C50C-407E-A947-70E740481C1C}">
                        <a14:useLocalDpi xmlns:a14="http://schemas.microsoft.com/office/drawing/2010/main" val="0"/>
                      </a:ext>
                    </a:extLst>
                  </a:blip>
                  <a:srcRect t="5090" b="-174"/>
                  <a:stretch/>
                </pic:blipFill>
                <pic:spPr bwMode="auto">
                  <a:xfrm rot="5400000">
                    <a:off x="0" y="0"/>
                    <a:ext cx="260772" cy="2951577"/>
                  </a:xfrm>
                  <a:prstGeom prst="rect">
                    <a:avLst/>
                  </a:prstGeom>
                  <a:ln>
                    <a:noFill/>
                  </a:ln>
                  <a:extLst>
                    <a:ext uri="{53640926-AAD7-44D8-BBD7-CCE9431645EC}">
                      <a14:shadowObscured xmlns:a14="http://schemas.microsoft.com/office/drawing/2010/main"/>
                    </a:ext>
                  </a:extLst>
                </pic:spPr>
              </pic:pic>
            </a:graphicData>
          </a:graphic>
        </wp:inline>
      </w:drawing>
    </w:r>
    <w:r w:rsidR="00705219">
      <w:rPr>
        <w:noProof/>
      </w:rPr>
      <w:drawing>
        <wp:anchor distT="0" distB="0" distL="114300" distR="114300" simplePos="0" relativeHeight="251658256" behindDoc="1" locked="0" layoutInCell="1" allowOverlap="1" wp14:anchorId="39106336" wp14:editId="6A06BAA5">
          <wp:simplePos x="0" y="0"/>
          <wp:positionH relativeFrom="page">
            <wp:posOffset>0</wp:posOffset>
          </wp:positionH>
          <wp:positionV relativeFrom="paragraph">
            <wp:posOffset>-359850</wp:posOffset>
          </wp:positionV>
          <wp:extent cx="10687050" cy="7555268"/>
          <wp:effectExtent l="0" t="0" r="0" b="7620"/>
          <wp:wrapNone/>
          <wp:docPr id="1059086671" name="Picture 1" descr="Figure 1: MAP EOPOs, Pillar Goals and Pillar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0606" name="Picture 1" descr="Figure 1: MAP EOPOs, Pillar Goals and Pillar Outcomes"/>
                  <pic:cNvPicPr/>
                </pic:nvPicPr>
                <pic:blipFill>
                  <a:blip r:embed="rId2">
                    <a:extLst>
                      <a:ext uri="{28A0092B-C50C-407E-A947-70E740481C1C}">
                        <a14:useLocalDpi xmlns:a14="http://schemas.microsoft.com/office/drawing/2010/main" val="0"/>
                      </a:ext>
                    </a:extLst>
                  </a:blip>
                  <a:stretch>
                    <a:fillRect/>
                  </a:stretch>
                </pic:blipFill>
                <pic:spPr>
                  <a:xfrm>
                    <a:off x="0" y="0"/>
                    <a:ext cx="10687050" cy="7555268"/>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B72C" w14:textId="542BFC1E" w:rsidR="00E53B2C" w:rsidRPr="005F2E64" w:rsidRDefault="00E53B2C" w:rsidP="005F2E64">
    <w:pPr>
      <w:pStyle w:val="Header"/>
    </w:pPr>
    <w:r>
      <w:rPr>
        <w:b/>
        <w:bCs/>
        <w:noProof/>
        <w:sz w:val="16"/>
        <w:szCs w:val="16"/>
      </w:rPr>
      <w:drawing>
        <wp:anchor distT="0" distB="0" distL="114300" distR="114300" simplePos="0" relativeHeight="251658246" behindDoc="1" locked="0" layoutInCell="1" allowOverlap="1" wp14:anchorId="0E47B2E4" wp14:editId="1AA9BB34">
          <wp:simplePos x="0" y="0"/>
          <wp:positionH relativeFrom="page">
            <wp:align>right</wp:align>
          </wp:positionH>
          <wp:positionV relativeFrom="paragraph">
            <wp:posOffset>-382137</wp:posOffset>
          </wp:positionV>
          <wp:extent cx="7561355" cy="10695660"/>
          <wp:effectExtent l="0" t="0" r="1905" b="0"/>
          <wp:wrapNone/>
          <wp:docPr id="1726774349" name="Picture 1726774349" descr="A white background with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37821" name="Picture 691337821" descr="A white background with black dots"/>
                  <pic:cNvPicPr/>
                </pic:nvPicPr>
                <pic:blipFill>
                  <a:blip r:embed="rId1">
                    <a:extLst>
                      <a:ext uri="{28A0092B-C50C-407E-A947-70E740481C1C}">
                        <a14:useLocalDpi xmlns:a14="http://schemas.microsoft.com/office/drawing/2010/main" val="0"/>
                      </a:ext>
                    </a:extLst>
                  </a:blip>
                  <a:stretch>
                    <a:fillRect/>
                  </a:stretch>
                </pic:blipFill>
                <pic:spPr>
                  <a:xfrm>
                    <a:off x="0" y="0"/>
                    <a:ext cx="7561355" cy="10695660"/>
                  </a:xfrm>
                  <a:prstGeom prst="rect">
                    <a:avLst/>
                  </a:prstGeom>
                </pic:spPr>
              </pic:pic>
            </a:graphicData>
          </a:graphic>
          <wp14:sizeRelH relativeFrom="margin">
            <wp14:pctWidth>0</wp14:pctWidth>
          </wp14:sizeRelH>
          <wp14:sizeRelV relativeFrom="margin">
            <wp14:pctHeight>0</wp14:pctHeight>
          </wp14:sizeRelV>
        </wp:anchor>
      </w:drawing>
    </w:r>
    <w:r w:rsidR="003B20E7">
      <w:rPr>
        <w:noProof/>
      </w:rPr>
      <w:drawing>
        <wp:inline distT="0" distB="0" distL="0" distR="0" wp14:anchorId="03817FDD" wp14:editId="5875D993">
          <wp:extent cx="252735" cy="3136151"/>
          <wp:effectExtent l="6350" t="0" r="1270" b="1270"/>
          <wp:docPr id="238004054" name="Picture 9" descr="04 SUMMARY OF MAP PILLA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82740" name="Picture 9" descr="04 SUMMARY OF MAP PILLAR PROGRESS"/>
                  <pic:cNvPicPr/>
                </pic:nvPicPr>
                <pic:blipFill>
                  <a:blip r:embed="rId2">
                    <a:extLst>
                      <a:ext uri="{28A0092B-C50C-407E-A947-70E740481C1C}">
                        <a14:useLocalDpi xmlns:a14="http://schemas.microsoft.com/office/drawing/2010/main" val="0"/>
                      </a:ext>
                    </a:extLst>
                  </a:blip>
                  <a:stretch>
                    <a:fillRect/>
                  </a:stretch>
                </pic:blipFill>
                <pic:spPr>
                  <a:xfrm rot="5400000">
                    <a:off x="0" y="0"/>
                    <a:ext cx="259905" cy="3225128"/>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51B46" w14:textId="583D1899" w:rsidR="00EF220C" w:rsidRDefault="00626582">
    <w:pPr>
      <w:pStyle w:val="Header"/>
    </w:pPr>
    <w:r>
      <w:rPr>
        <w:b/>
        <w:bCs/>
        <w:noProof/>
        <w:sz w:val="16"/>
        <w:szCs w:val="16"/>
      </w:rPr>
      <w:drawing>
        <wp:anchor distT="0" distB="0" distL="114300" distR="114300" simplePos="0" relativeHeight="251658245" behindDoc="1" locked="0" layoutInCell="1" allowOverlap="1" wp14:anchorId="4F816161" wp14:editId="01347246">
          <wp:simplePos x="0" y="0"/>
          <wp:positionH relativeFrom="page">
            <wp:align>right</wp:align>
          </wp:positionH>
          <wp:positionV relativeFrom="paragraph">
            <wp:posOffset>-354842</wp:posOffset>
          </wp:positionV>
          <wp:extent cx="7551077" cy="10681120"/>
          <wp:effectExtent l="0" t="0" r="0" b="6350"/>
          <wp:wrapNone/>
          <wp:docPr id="1778479950" name="Picture 1778479950" descr="A black screen with a whit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10332" name="Picture 1333910332" descr="A black screen with a white border"/>
                  <pic:cNvPicPr/>
                </pic:nvPicPr>
                <pic:blipFill>
                  <a:blip r:embed="rId1">
                    <a:extLst>
                      <a:ext uri="{28A0092B-C50C-407E-A947-70E740481C1C}">
                        <a14:useLocalDpi xmlns:a14="http://schemas.microsoft.com/office/drawing/2010/main" val="0"/>
                      </a:ext>
                    </a:extLst>
                  </a:blip>
                  <a:stretch>
                    <a:fillRect/>
                  </a:stretch>
                </pic:blipFill>
                <pic:spPr>
                  <a:xfrm>
                    <a:off x="0" y="0"/>
                    <a:ext cx="7551077" cy="10681120"/>
                  </a:xfrm>
                  <a:prstGeom prst="rect">
                    <a:avLst/>
                  </a:prstGeom>
                </pic:spPr>
              </pic:pic>
            </a:graphicData>
          </a:graphic>
          <wp14:sizeRelH relativeFrom="margin">
            <wp14:pctWidth>0</wp14:pctWidth>
          </wp14:sizeRelH>
          <wp14:sizeRelV relativeFrom="margin">
            <wp14:pctHeight>0</wp14:pctHeight>
          </wp14:sizeRelV>
        </wp:anchor>
      </w:drawing>
    </w:r>
    <w:r w:rsidR="00E53B2C">
      <w:rPr>
        <w:b/>
        <w:bCs/>
        <w:noProof/>
        <w:sz w:val="16"/>
        <w:szCs w:val="16"/>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F249A" w14:textId="65C0EA87" w:rsidR="00604330" w:rsidRPr="005F2E64" w:rsidRDefault="00E53B2C" w:rsidP="005F2E64">
    <w:pPr>
      <w:pStyle w:val="Header"/>
    </w:pPr>
    <w:r>
      <w:rPr>
        <w:b/>
        <w:bCs/>
        <w:noProof/>
        <w:sz w:val="16"/>
        <w:szCs w:val="16"/>
      </w:rPr>
      <w:drawing>
        <wp:anchor distT="0" distB="0" distL="114300" distR="114300" simplePos="0" relativeHeight="251658247" behindDoc="1" locked="0" layoutInCell="1" allowOverlap="1" wp14:anchorId="50949120" wp14:editId="06C24E6D">
          <wp:simplePos x="0" y="0"/>
          <wp:positionH relativeFrom="page">
            <wp:align>left</wp:align>
          </wp:positionH>
          <wp:positionV relativeFrom="paragraph">
            <wp:posOffset>-354841</wp:posOffset>
          </wp:positionV>
          <wp:extent cx="7561355" cy="10695660"/>
          <wp:effectExtent l="0" t="0" r="1905" b="0"/>
          <wp:wrapNone/>
          <wp:docPr id="371451560" name="Picture 371451560" descr="A white background with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51560" name="Picture 371451560" descr="A white background with black dots"/>
                  <pic:cNvPicPr/>
                </pic:nvPicPr>
                <pic:blipFill>
                  <a:blip r:embed="rId1">
                    <a:extLst>
                      <a:ext uri="{28A0092B-C50C-407E-A947-70E740481C1C}">
                        <a14:useLocalDpi xmlns:a14="http://schemas.microsoft.com/office/drawing/2010/main" val="0"/>
                      </a:ext>
                    </a:extLst>
                  </a:blip>
                  <a:stretch>
                    <a:fillRect/>
                  </a:stretch>
                </pic:blipFill>
                <pic:spPr>
                  <a:xfrm>
                    <a:off x="0" y="0"/>
                    <a:ext cx="7561355" cy="1069566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4CBC1" w14:textId="6AAC3F31" w:rsidR="00024A5D" w:rsidRDefault="00626582">
    <w:pPr>
      <w:pStyle w:val="Header"/>
    </w:pPr>
    <w:r>
      <w:rPr>
        <w:b/>
        <w:bCs/>
        <w:noProof/>
        <w:sz w:val="16"/>
        <w:szCs w:val="16"/>
      </w:rPr>
      <w:drawing>
        <wp:anchor distT="0" distB="0" distL="114300" distR="114300" simplePos="0" relativeHeight="251658244" behindDoc="1" locked="0" layoutInCell="1" allowOverlap="1" wp14:anchorId="6D013D2C" wp14:editId="1F82180F">
          <wp:simplePos x="0" y="0"/>
          <wp:positionH relativeFrom="page">
            <wp:align>right</wp:align>
          </wp:positionH>
          <wp:positionV relativeFrom="paragraph">
            <wp:posOffset>-354842</wp:posOffset>
          </wp:positionV>
          <wp:extent cx="7551077" cy="10681120"/>
          <wp:effectExtent l="0" t="0" r="0" b="6350"/>
          <wp:wrapNone/>
          <wp:docPr id="1569429797" name="Picture 1569429797" descr="A black screen with a whit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29797" name="Picture 1569429797" descr="A black screen with a white border"/>
                  <pic:cNvPicPr/>
                </pic:nvPicPr>
                <pic:blipFill>
                  <a:blip r:embed="rId1">
                    <a:extLst>
                      <a:ext uri="{28A0092B-C50C-407E-A947-70E740481C1C}">
                        <a14:useLocalDpi xmlns:a14="http://schemas.microsoft.com/office/drawing/2010/main" val="0"/>
                      </a:ext>
                    </a:extLst>
                  </a:blip>
                  <a:stretch>
                    <a:fillRect/>
                  </a:stretch>
                </pic:blipFill>
                <pic:spPr>
                  <a:xfrm>
                    <a:off x="0" y="0"/>
                    <a:ext cx="7551077" cy="10681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7844250"/>
    <w:lvl w:ilvl="0">
      <w:start w:val="1"/>
      <w:numFmt w:val="decimal"/>
      <w:pStyle w:val="ListNumber5"/>
      <w:lvlText w:val="%1."/>
      <w:lvlJc w:val="left"/>
      <w:pPr>
        <w:tabs>
          <w:tab w:val="num" w:pos="772"/>
        </w:tabs>
        <w:ind w:left="772" w:hanging="360"/>
      </w:pPr>
    </w:lvl>
  </w:abstractNum>
  <w:abstractNum w:abstractNumId="1" w15:restartNumberingAfterBreak="0">
    <w:nsid w:val="FFFFFF7D"/>
    <w:multiLevelType w:val="singleLevel"/>
    <w:tmpl w:val="4EC667E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90AD9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904222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AEC18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74C30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0C29A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5EE13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6074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FE579E"/>
    <w:lvl w:ilvl="0">
      <w:start w:val="1"/>
      <w:numFmt w:val="bullet"/>
      <w:pStyle w:val="ListBullet"/>
      <w:lvlText w:val=""/>
      <w:lvlJc w:val="left"/>
      <w:pPr>
        <w:tabs>
          <w:tab w:val="num" w:pos="360"/>
        </w:tabs>
        <w:ind w:left="360" w:hanging="360"/>
      </w:pPr>
      <w:rPr>
        <w:rFonts w:ascii="Symbol" w:hAnsi="Symbol" w:hint="default"/>
        <w:color w:val="313D48" w:themeColor="accent4"/>
        <w:sz w:val="18"/>
        <w:szCs w:val="18"/>
      </w:rPr>
    </w:lvl>
  </w:abstractNum>
  <w:abstractNum w:abstractNumId="10" w15:restartNumberingAfterBreak="0">
    <w:nsid w:val="00044375"/>
    <w:multiLevelType w:val="hybridMultilevel"/>
    <w:tmpl w:val="5866D4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027A63"/>
    <w:multiLevelType w:val="multilevel"/>
    <w:tmpl w:val="F6AC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43E5CAD"/>
    <w:multiLevelType w:val="hybridMultilevel"/>
    <w:tmpl w:val="B636E882"/>
    <w:lvl w:ilvl="0" w:tplc="6290A194">
      <w:start w:val="1"/>
      <w:numFmt w:val="decimal"/>
      <w:pStyle w:val="Number"/>
      <w:lvlText w:val="%1."/>
      <w:lvlJc w:val="left"/>
      <w:pPr>
        <w:ind w:left="720" w:hanging="360"/>
      </w:pPr>
      <w:rPr>
        <w:rFonts w:hint="default"/>
        <w:color w:val="FFFFFF"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592533"/>
    <w:multiLevelType w:val="hybridMultilevel"/>
    <w:tmpl w:val="892A9EEC"/>
    <w:lvl w:ilvl="0" w:tplc="708C414A">
      <w:numFmt w:val="bullet"/>
      <w:pStyle w:val="ListParagraph"/>
      <w:lvlText w:val="•"/>
      <w:lvlJc w:val="left"/>
      <w:pPr>
        <w:ind w:left="360" w:hanging="360"/>
      </w:pPr>
      <w:rPr>
        <w:rFonts w:ascii="Calibri Light" w:eastAsiaTheme="minorHAnsi" w:hAnsi="Calibri Light" w:cs="Calibri Light" w:hint="default"/>
        <w:color w:val="auto"/>
      </w:rPr>
    </w:lvl>
    <w:lvl w:ilvl="1" w:tplc="B1163E10">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2DA6A5C"/>
    <w:multiLevelType w:val="multilevel"/>
    <w:tmpl w:val="6B982820"/>
    <w:lvl w:ilvl="0">
      <w:start w:val="1"/>
      <w:numFmt w:val="decimal"/>
      <w:pStyle w:val="Annex"/>
      <w:lvlText w:val="Anne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6906BC5"/>
    <w:multiLevelType w:val="hybridMultilevel"/>
    <w:tmpl w:val="2396ABCA"/>
    <w:lvl w:ilvl="0" w:tplc="10E6BFB2">
      <w:start w:val="1"/>
      <w:numFmt w:val="bullet"/>
      <w:pStyle w:val="Bullet2"/>
      <w:lvlText w:val="–"/>
      <w:lvlJc w:val="left"/>
      <w:pPr>
        <w:ind w:left="1800" w:hanging="360"/>
      </w:pPr>
      <w:rPr>
        <w:rFonts w:ascii="Arial" w:eastAsiaTheme="minorEastAsia" w:hAnsi="Arial" w:hint="default"/>
        <w:color w:val="FFFFFF" w:themeColor="background2"/>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38902875"/>
    <w:multiLevelType w:val="hybridMultilevel"/>
    <w:tmpl w:val="88BC3626"/>
    <w:lvl w:ilvl="0" w:tplc="9E3A89C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125707"/>
    <w:multiLevelType w:val="hybridMultilevel"/>
    <w:tmpl w:val="D29C5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A85F12"/>
    <w:multiLevelType w:val="multilevel"/>
    <w:tmpl w:val="AE906C32"/>
    <w:lvl w:ilvl="0">
      <w:start w:val="1"/>
      <w:numFmt w:val="decimal"/>
      <w:pStyle w:val="Heading1"/>
      <w:lvlText w:val="%1"/>
      <w:lvlJc w:val="left"/>
      <w:pPr>
        <w:ind w:left="1991"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BC00497"/>
    <w:multiLevelType w:val="hybridMultilevel"/>
    <w:tmpl w:val="91026516"/>
    <w:lvl w:ilvl="0" w:tplc="73B8E06A">
      <w:start w:val="1"/>
      <w:numFmt w:val="bullet"/>
      <w:pStyle w:val="Bullet"/>
      <w:lvlText w:val=""/>
      <w:lvlJc w:val="left"/>
      <w:pPr>
        <w:ind w:left="360" w:hanging="360"/>
      </w:pPr>
      <w:rPr>
        <w:rFonts w:ascii="Symbol" w:hAnsi="Symbol" w:hint="default"/>
        <w:sz w:val="16"/>
      </w:rPr>
    </w:lvl>
    <w:lvl w:ilvl="1" w:tplc="D1CE5AE2">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6141EC6"/>
    <w:multiLevelType w:val="hybridMultilevel"/>
    <w:tmpl w:val="87A2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3977E8"/>
    <w:multiLevelType w:val="hybridMultilevel"/>
    <w:tmpl w:val="48484072"/>
    <w:lvl w:ilvl="0" w:tplc="2C2612D0">
      <w:start w:val="1"/>
      <w:numFmt w:val="decimal"/>
      <w:pStyle w:val="TableNoSpacing"/>
      <w:lvlText w:val="Annex %1."/>
      <w:lvlJc w:val="left"/>
      <w:pPr>
        <w:ind w:left="720" w:hanging="360"/>
      </w:pPr>
      <w:rPr>
        <w:rFonts w:cs="Times New Roman" w:hint="default"/>
        <w:b/>
        <w:bCs w:val="0"/>
        <w:i w:val="0"/>
        <w:iCs w:val="0"/>
        <w:caps w:val="0"/>
        <w:strike w:val="0"/>
        <w:dstrike w:val="0"/>
        <w:outline w:val="0"/>
        <w:shadow w:val="0"/>
        <w:emboss w:val="0"/>
        <w:imprint w:val="0"/>
        <w:vanish w:val="0"/>
        <w:color w:val="000000" w:themeColor="text2"/>
        <w:spacing w:val="0"/>
        <w:kern w:val="0"/>
        <w:position w:val="0"/>
        <w:u w:val="none"/>
        <w:effect w:val="none"/>
        <w:vertAlign w:val="baseline"/>
        <w:em w:val="none"/>
        <w14:ligatures w14:val="none"/>
        <w14:numForm w14:val="default"/>
        <w14:numSpacing w14:val="default"/>
        <w14:stylisticSets/>
        <w14:cntxtAlts w14:val="0"/>
      </w:rPr>
    </w:lvl>
    <w:lvl w:ilvl="1" w:tplc="1E888E34">
      <w:start w:val="1"/>
      <w:numFmt w:val="lowerLetter"/>
      <w:lvlText w:val="%2."/>
      <w:lvlJc w:val="left"/>
      <w:pPr>
        <w:ind w:left="1440" w:hanging="360"/>
      </w:pPr>
      <w:rPr>
        <w:rFonts w:hint="default"/>
      </w:rPr>
    </w:lvl>
    <w:lvl w:ilvl="2" w:tplc="E6226320">
      <w:start w:val="1"/>
      <w:numFmt w:val="lowerRoman"/>
      <w:lvlText w:val="%3."/>
      <w:lvlJc w:val="right"/>
      <w:pPr>
        <w:ind w:left="2160" w:hanging="180"/>
      </w:pPr>
      <w:rPr>
        <w:rFonts w:hint="default"/>
      </w:rPr>
    </w:lvl>
    <w:lvl w:ilvl="3" w:tplc="3252E250">
      <w:start w:val="1"/>
      <w:numFmt w:val="decimal"/>
      <w:lvlText w:val="%4."/>
      <w:lvlJc w:val="left"/>
      <w:pPr>
        <w:ind w:left="2880" w:hanging="360"/>
      </w:pPr>
      <w:rPr>
        <w:rFonts w:hint="default"/>
      </w:rPr>
    </w:lvl>
    <w:lvl w:ilvl="4" w:tplc="B15C8D66">
      <w:start w:val="1"/>
      <w:numFmt w:val="lowerLetter"/>
      <w:lvlText w:val="%5."/>
      <w:lvlJc w:val="left"/>
      <w:pPr>
        <w:ind w:left="3600" w:hanging="360"/>
      </w:pPr>
      <w:rPr>
        <w:rFonts w:hint="default"/>
      </w:rPr>
    </w:lvl>
    <w:lvl w:ilvl="5" w:tplc="05EED3F0">
      <w:start w:val="1"/>
      <w:numFmt w:val="lowerRoman"/>
      <w:lvlText w:val="%6."/>
      <w:lvlJc w:val="right"/>
      <w:pPr>
        <w:ind w:left="4320" w:hanging="180"/>
      </w:pPr>
      <w:rPr>
        <w:rFonts w:hint="default"/>
      </w:rPr>
    </w:lvl>
    <w:lvl w:ilvl="6" w:tplc="421469F4">
      <w:start w:val="1"/>
      <w:numFmt w:val="decimal"/>
      <w:lvlText w:val="%7."/>
      <w:lvlJc w:val="left"/>
      <w:pPr>
        <w:ind w:left="5040" w:hanging="360"/>
      </w:pPr>
      <w:rPr>
        <w:rFonts w:hint="default"/>
      </w:rPr>
    </w:lvl>
    <w:lvl w:ilvl="7" w:tplc="1996FCA4">
      <w:start w:val="1"/>
      <w:numFmt w:val="lowerLetter"/>
      <w:lvlText w:val="%8."/>
      <w:lvlJc w:val="left"/>
      <w:pPr>
        <w:ind w:left="5760" w:hanging="360"/>
      </w:pPr>
      <w:rPr>
        <w:rFonts w:hint="default"/>
      </w:rPr>
    </w:lvl>
    <w:lvl w:ilvl="8" w:tplc="DAB27ED4">
      <w:start w:val="1"/>
      <w:numFmt w:val="lowerRoman"/>
      <w:lvlText w:val="%9."/>
      <w:lvlJc w:val="right"/>
      <w:pPr>
        <w:ind w:left="6480" w:hanging="180"/>
      </w:pPr>
      <w:rPr>
        <w:rFonts w:hint="default"/>
      </w:rPr>
    </w:lvl>
  </w:abstractNum>
  <w:num w:numId="1" w16cid:durableId="1163083746">
    <w:abstractNumId w:val="9"/>
  </w:num>
  <w:num w:numId="2" w16cid:durableId="1913272271">
    <w:abstractNumId w:val="15"/>
  </w:num>
  <w:num w:numId="3" w16cid:durableId="1049526095">
    <w:abstractNumId w:val="12"/>
  </w:num>
  <w:num w:numId="4" w16cid:durableId="1231770536">
    <w:abstractNumId w:val="19"/>
  </w:num>
  <w:num w:numId="5" w16cid:durableId="1844317937">
    <w:abstractNumId w:val="18"/>
  </w:num>
  <w:num w:numId="6" w16cid:durableId="2108966391">
    <w:abstractNumId w:val="21"/>
  </w:num>
  <w:num w:numId="7" w16cid:durableId="2743644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23660161">
    <w:abstractNumId w:val="7"/>
  </w:num>
  <w:num w:numId="9" w16cid:durableId="1042634398">
    <w:abstractNumId w:val="6"/>
  </w:num>
  <w:num w:numId="10" w16cid:durableId="40597279">
    <w:abstractNumId w:val="5"/>
  </w:num>
  <w:num w:numId="11" w16cid:durableId="1264000336">
    <w:abstractNumId w:val="4"/>
  </w:num>
  <w:num w:numId="12" w16cid:durableId="205341700">
    <w:abstractNumId w:val="8"/>
  </w:num>
  <w:num w:numId="13" w16cid:durableId="1386903493">
    <w:abstractNumId w:val="3"/>
  </w:num>
  <w:num w:numId="14" w16cid:durableId="501941961">
    <w:abstractNumId w:val="2"/>
  </w:num>
  <w:num w:numId="15" w16cid:durableId="1517883683">
    <w:abstractNumId w:val="1"/>
  </w:num>
  <w:num w:numId="16" w16cid:durableId="557933087">
    <w:abstractNumId w:val="0"/>
  </w:num>
  <w:num w:numId="17" w16cid:durableId="2140686048">
    <w:abstractNumId w:val="13"/>
  </w:num>
  <w:num w:numId="18" w16cid:durableId="1167674283">
    <w:abstractNumId w:val="10"/>
  </w:num>
  <w:num w:numId="19" w16cid:durableId="32777480">
    <w:abstractNumId w:val="16"/>
  </w:num>
  <w:num w:numId="20" w16cid:durableId="982780510">
    <w:abstractNumId w:val="20"/>
  </w:num>
  <w:num w:numId="21" w16cid:durableId="625769211">
    <w:abstractNumId w:val="17"/>
  </w:num>
  <w:num w:numId="22" w16cid:durableId="2027167542">
    <w:abstractNumId w:val="11"/>
  </w:num>
  <w:num w:numId="23" w16cid:durableId="2060669881">
    <w:abstractNumId w:val="13"/>
  </w:num>
  <w:num w:numId="24" w16cid:durableId="199302118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activeWritingStyle w:appName="MSWord" w:lang="en-US" w:vendorID="64" w:dllVersion="0" w:nlCheck="1" w:checkStyle="0"/>
  <w:activeWritingStyle w:appName="MSWord" w:lang="en-AU" w:vendorID="64" w:dllVersion="0" w:nlCheck="1" w:checkStyle="0"/>
  <w:proofState w:spelling="clean" w:grammar="clean"/>
  <w:documentProtection w:formatting="1" w:enforcement="0"/>
  <w:defaultTabStop w:val="720"/>
  <w:defaultTableStyle w:val="Heading1Char"/>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7IwMDYyMzAwMzU1t7BU0lEKTi0uzszPAymwrAUAomGJJywAAAA="/>
  </w:docVars>
  <w:rsids>
    <w:rsidRoot w:val="00CE139E"/>
    <w:rsid w:val="000002D3"/>
    <w:rsid w:val="00000315"/>
    <w:rsid w:val="00000748"/>
    <w:rsid w:val="00000788"/>
    <w:rsid w:val="000008C1"/>
    <w:rsid w:val="000009CA"/>
    <w:rsid w:val="00000AAB"/>
    <w:rsid w:val="00000BA0"/>
    <w:rsid w:val="00000D81"/>
    <w:rsid w:val="00000E15"/>
    <w:rsid w:val="00000E25"/>
    <w:rsid w:val="00000E3B"/>
    <w:rsid w:val="00000F99"/>
    <w:rsid w:val="0000100D"/>
    <w:rsid w:val="0000103C"/>
    <w:rsid w:val="000010A0"/>
    <w:rsid w:val="000013B2"/>
    <w:rsid w:val="000014FA"/>
    <w:rsid w:val="00001542"/>
    <w:rsid w:val="000015A7"/>
    <w:rsid w:val="00001880"/>
    <w:rsid w:val="00001895"/>
    <w:rsid w:val="00001A26"/>
    <w:rsid w:val="00001C83"/>
    <w:rsid w:val="00001D4B"/>
    <w:rsid w:val="00001E80"/>
    <w:rsid w:val="00001EBE"/>
    <w:rsid w:val="00001EEA"/>
    <w:rsid w:val="00001FC7"/>
    <w:rsid w:val="00002508"/>
    <w:rsid w:val="000025DE"/>
    <w:rsid w:val="00002757"/>
    <w:rsid w:val="000029F9"/>
    <w:rsid w:val="00002A91"/>
    <w:rsid w:val="00002A97"/>
    <w:rsid w:val="00002C56"/>
    <w:rsid w:val="00002EC4"/>
    <w:rsid w:val="0000330E"/>
    <w:rsid w:val="00003348"/>
    <w:rsid w:val="00003397"/>
    <w:rsid w:val="000034A5"/>
    <w:rsid w:val="00003798"/>
    <w:rsid w:val="000038AE"/>
    <w:rsid w:val="00003BF2"/>
    <w:rsid w:val="00003D6A"/>
    <w:rsid w:val="00003E80"/>
    <w:rsid w:val="000046A4"/>
    <w:rsid w:val="00004B7D"/>
    <w:rsid w:val="00004C1E"/>
    <w:rsid w:val="00004C5A"/>
    <w:rsid w:val="00004CDB"/>
    <w:rsid w:val="00004DD3"/>
    <w:rsid w:val="00004EBB"/>
    <w:rsid w:val="0000503E"/>
    <w:rsid w:val="00005048"/>
    <w:rsid w:val="000052B4"/>
    <w:rsid w:val="000053B5"/>
    <w:rsid w:val="000055A3"/>
    <w:rsid w:val="00005628"/>
    <w:rsid w:val="00005788"/>
    <w:rsid w:val="00005882"/>
    <w:rsid w:val="000058D8"/>
    <w:rsid w:val="00005959"/>
    <w:rsid w:val="00005966"/>
    <w:rsid w:val="00005AB8"/>
    <w:rsid w:val="00005C19"/>
    <w:rsid w:val="0000616B"/>
    <w:rsid w:val="00006521"/>
    <w:rsid w:val="0000655E"/>
    <w:rsid w:val="0000681C"/>
    <w:rsid w:val="0000689F"/>
    <w:rsid w:val="00006A29"/>
    <w:rsid w:val="00006C66"/>
    <w:rsid w:val="00006E66"/>
    <w:rsid w:val="00006FFE"/>
    <w:rsid w:val="00007070"/>
    <w:rsid w:val="0000731F"/>
    <w:rsid w:val="00007684"/>
    <w:rsid w:val="0000771C"/>
    <w:rsid w:val="00007BC5"/>
    <w:rsid w:val="00010044"/>
    <w:rsid w:val="0001050A"/>
    <w:rsid w:val="000106BD"/>
    <w:rsid w:val="0001092A"/>
    <w:rsid w:val="00010A45"/>
    <w:rsid w:val="00010B63"/>
    <w:rsid w:val="00010C11"/>
    <w:rsid w:val="00010D36"/>
    <w:rsid w:val="000111F1"/>
    <w:rsid w:val="0001122C"/>
    <w:rsid w:val="0001138A"/>
    <w:rsid w:val="00011420"/>
    <w:rsid w:val="00011523"/>
    <w:rsid w:val="00011549"/>
    <w:rsid w:val="000116DF"/>
    <w:rsid w:val="000116E3"/>
    <w:rsid w:val="0001197B"/>
    <w:rsid w:val="00011B58"/>
    <w:rsid w:val="00011F04"/>
    <w:rsid w:val="00012251"/>
    <w:rsid w:val="000123EB"/>
    <w:rsid w:val="00012499"/>
    <w:rsid w:val="000126C0"/>
    <w:rsid w:val="00012871"/>
    <w:rsid w:val="00012924"/>
    <w:rsid w:val="00012949"/>
    <w:rsid w:val="00012BD0"/>
    <w:rsid w:val="00012C5D"/>
    <w:rsid w:val="00012D82"/>
    <w:rsid w:val="00012DEF"/>
    <w:rsid w:val="000130C1"/>
    <w:rsid w:val="00013163"/>
    <w:rsid w:val="0001323B"/>
    <w:rsid w:val="000133BB"/>
    <w:rsid w:val="000136E2"/>
    <w:rsid w:val="00013B4F"/>
    <w:rsid w:val="00013C98"/>
    <w:rsid w:val="00013CC8"/>
    <w:rsid w:val="00014120"/>
    <w:rsid w:val="00014223"/>
    <w:rsid w:val="00014356"/>
    <w:rsid w:val="0001456D"/>
    <w:rsid w:val="0001459C"/>
    <w:rsid w:val="000149F6"/>
    <w:rsid w:val="00014B27"/>
    <w:rsid w:val="00014C13"/>
    <w:rsid w:val="00014D1D"/>
    <w:rsid w:val="00014EA5"/>
    <w:rsid w:val="00014F74"/>
    <w:rsid w:val="00015037"/>
    <w:rsid w:val="000151B0"/>
    <w:rsid w:val="000153AB"/>
    <w:rsid w:val="00015467"/>
    <w:rsid w:val="0001550E"/>
    <w:rsid w:val="00015555"/>
    <w:rsid w:val="00015675"/>
    <w:rsid w:val="00015677"/>
    <w:rsid w:val="0001568E"/>
    <w:rsid w:val="000157D8"/>
    <w:rsid w:val="0001595E"/>
    <w:rsid w:val="00015DF7"/>
    <w:rsid w:val="00016342"/>
    <w:rsid w:val="000163D9"/>
    <w:rsid w:val="000164F1"/>
    <w:rsid w:val="00016665"/>
    <w:rsid w:val="0001699E"/>
    <w:rsid w:val="00016C60"/>
    <w:rsid w:val="00016E58"/>
    <w:rsid w:val="00016EA2"/>
    <w:rsid w:val="00017007"/>
    <w:rsid w:val="0001703F"/>
    <w:rsid w:val="00017230"/>
    <w:rsid w:val="00017375"/>
    <w:rsid w:val="000178D6"/>
    <w:rsid w:val="00017963"/>
    <w:rsid w:val="000179C3"/>
    <w:rsid w:val="00017A65"/>
    <w:rsid w:val="00017AA7"/>
    <w:rsid w:val="00017B38"/>
    <w:rsid w:val="00017E92"/>
    <w:rsid w:val="00017F31"/>
    <w:rsid w:val="00017FBE"/>
    <w:rsid w:val="00020098"/>
    <w:rsid w:val="00020891"/>
    <w:rsid w:val="000209D7"/>
    <w:rsid w:val="00020A09"/>
    <w:rsid w:val="00020A4D"/>
    <w:rsid w:val="00020EAE"/>
    <w:rsid w:val="00020FB9"/>
    <w:rsid w:val="0002107E"/>
    <w:rsid w:val="000210F1"/>
    <w:rsid w:val="000211DD"/>
    <w:rsid w:val="0002121B"/>
    <w:rsid w:val="0002143C"/>
    <w:rsid w:val="00021565"/>
    <w:rsid w:val="00021598"/>
    <w:rsid w:val="00021BDD"/>
    <w:rsid w:val="00021D7C"/>
    <w:rsid w:val="00021EC6"/>
    <w:rsid w:val="0002219D"/>
    <w:rsid w:val="0002259C"/>
    <w:rsid w:val="000229A7"/>
    <w:rsid w:val="000229B6"/>
    <w:rsid w:val="00022AC6"/>
    <w:rsid w:val="00022E0C"/>
    <w:rsid w:val="00022E20"/>
    <w:rsid w:val="00023110"/>
    <w:rsid w:val="000231EE"/>
    <w:rsid w:val="00023249"/>
    <w:rsid w:val="000233F9"/>
    <w:rsid w:val="00023A1D"/>
    <w:rsid w:val="00024060"/>
    <w:rsid w:val="00024417"/>
    <w:rsid w:val="0002445A"/>
    <w:rsid w:val="00024633"/>
    <w:rsid w:val="0002469E"/>
    <w:rsid w:val="000248B6"/>
    <w:rsid w:val="00024A5D"/>
    <w:rsid w:val="00025040"/>
    <w:rsid w:val="000250C7"/>
    <w:rsid w:val="00025409"/>
    <w:rsid w:val="000255A4"/>
    <w:rsid w:val="0002580B"/>
    <w:rsid w:val="00025BF2"/>
    <w:rsid w:val="00025D6C"/>
    <w:rsid w:val="00025F52"/>
    <w:rsid w:val="00026042"/>
    <w:rsid w:val="00026083"/>
    <w:rsid w:val="00026093"/>
    <w:rsid w:val="00026160"/>
    <w:rsid w:val="000261B4"/>
    <w:rsid w:val="0002626B"/>
    <w:rsid w:val="00026550"/>
    <w:rsid w:val="000265C7"/>
    <w:rsid w:val="000268D2"/>
    <w:rsid w:val="0002693E"/>
    <w:rsid w:val="000269BF"/>
    <w:rsid w:val="00026B3B"/>
    <w:rsid w:val="0002722B"/>
    <w:rsid w:val="00027367"/>
    <w:rsid w:val="00027635"/>
    <w:rsid w:val="00027A4B"/>
    <w:rsid w:val="00027CCD"/>
    <w:rsid w:val="00027DE6"/>
    <w:rsid w:val="00027F87"/>
    <w:rsid w:val="00027F9E"/>
    <w:rsid w:val="0002F91E"/>
    <w:rsid w:val="00030140"/>
    <w:rsid w:val="000301C1"/>
    <w:rsid w:val="000302C0"/>
    <w:rsid w:val="0003034E"/>
    <w:rsid w:val="00030785"/>
    <w:rsid w:val="000307B9"/>
    <w:rsid w:val="00030967"/>
    <w:rsid w:val="00030B13"/>
    <w:rsid w:val="00030BAB"/>
    <w:rsid w:val="00030C3A"/>
    <w:rsid w:val="00030CF7"/>
    <w:rsid w:val="00030DAC"/>
    <w:rsid w:val="00030E3D"/>
    <w:rsid w:val="00031200"/>
    <w:rsid w:val="000313F9"/>
    <w:rsid w:val="000314B4"/>
    <w:rsid w:val="00031599"/>
    <w:rsid w:val="000315E2"/>
    <w:rsid w:val="00031850"/>
    <w:rsid w:val="00031B08"/>
    <w:rsid w:val="00031C0B"/>
    <w:rsid w:val="00031C84"/>
    <w:rsid w:val="00031DC2"/>
    <w:rsid w:val="00031E71"/>
    <w:rsid w:val="00031E9B"/>
    <w:rsid w:val="00031F62"/>
    <w:rsid w:val="00031F65"/>
    <w:rsid w:val="00031F94"/>
    <w:rsid w:val="0003201B"/>
    <w:rsid w:val="0003204E"/>
    <w:rsid w:val="000320ED"/>
    <w:rsid w:val="00032357"/>
    <w:rsid w:val="0003240C"/>
    <w:rsid w:val="0003249B"/>
    <w:rsid w:val="000324F5"/>
    <w:rsid w:val="0003265D"/>
    <w:rsid w:val="000326A2"/>
    <w:rsid w:val="00032BD3"/>
    <w:rsid w:val="00032CE9"/>
    <w:rsid w:val="00032D47"/>
    <w:rsid w:val="00032D9B"/>
    <w:rsid w:val="00032E1F"/>
    <w:rsid w:val="00032E6A"/>
    <w:rsid w:val="00032F3B"/>
    <w:rsid w:val="00032F7B"/>
    <w:rsid w:val="00033053"/>
    <w:rsid w:val="000330B8"/>
    <w:rsid w:val="00033191"/>
    <w:rsid w:val="000336B6"/>
    <w:rsid w:val="0003375A"/>
    <w:rsid w:val="00033950"/>
    <w:rsid w:val="00033B90"/>
    <w:rsid w:val="00033DE2"/>
    <w:rsid w:val="00033E0B"/>
    <w:rsid w:val="00033E85"/>
    <w:rsid w:val="00034196"/>
    <w:rsid w:val="000342D0"/>
    <w:rsid w:val="00034402"/>
    <w:rsid w:val="00034555"/>
    <w:rsid w:val="00034611"/>
    <w:rsid w:val="00034C3C"/>
    <w:rsid w:val="00034F17"/>
    <w:rsid w:val="00035233"/>
    <w:rsid w:val="00035313"/>
    <w:rsid w:val="000355E2"/>
    <w:rsid w:val="000355F6"/>
    <w:rsid w:val="00035629"/>
    <w:rsid w:val="00035654"/>
    <w:rsid w:val="00035672"/>
    <w:rsid w:val="000356B9"/>
    <w:rsid w:val="000357BC"/>
    <w:rsid w:val="0003583D"/>
    <w:rsid w:val="00035852"/>
    <w:rsid w:val="000358DD"/>
    <w:rsid w:val="000359B1"/>
    <w:rsid w:val="00035DA2"/>
    <w:rsid w:val="00035E53"/>
    <w:rsid w:val="00036000"/>
    <w:rsid w:val="00036054"/>
    <w:rsid w:val="000361AC"/>
    <w:rsid w:val="00036233"/>
    <w:rsid w:val="00036A94"/>
    <w:rsid w:val="0003703F"/>
    <w:rsid w:val="0003706E"/>
    <w:rsid w:val="000370F7"/>
    <w:rsid w:val="000371E5"/>
    <w:rsid w:val="00037577"/>
    <w:rsid w:val="00037C8F"/>
    <w:rsid w:val="00037F35"/>
    <w:rsid w:val="00040076"/>
    <w:rsid w:val="000401EE"/>
    <w:rsid w:val="00040297"/>
    <w:rsid w:val="000403EB"/>
    <w:rsid w:val="00040476"/>
    <w:rsid w:val="0004091A"/>
    <w:rsid w:val="00040C4E"/>
    <w:rsid w:val="00040C9E"/>
    <w:rsid w:val="00040CA1"/>
    <w:rsid w:val="00040D35"/>
    <w:rsid w:val="00040D5A"/>
    <w:rsid w:val="00040DD3"/>
    <w:rsid w:val="0004109F"/>
    <w:rsid w:val="000411B0"/>
    <w:rsid w:val="0004166E"/>
    <w:rsid w:val="000416C4"/>
    <w:rsid w:val="000416CA"/>
    <w:rsid w:val="00041943"/>
    <w:rsid w:val="00041960"/>
    <w:rsid w:val="00041A36"/>
    <w:rsid w:val="00041BF8"/>
    <w:rsid w:val="00041CA4"/>
    <w:rsid w:val="00041CB2"/>
    <w:rsid w:val="00041EF5"/>
    <w:rsid w:val="00041F23"/>
    <w:rsid w:val="00041F7B"/>
    <w:rsid w:val="000424CD"/>
    <w:rsid w:val="000427BD"/>
    <w:rsid w:val="000427D9"/>
    <w:rsid w:val="00042BBF"/>
    <w:rsid w:val="00042C62"/>
    <w:rsid w:val="00042C84"/>
    <w:rsid w:val="00043344"/>
    <w:rsid w:val="000437EB"/>
    <w:rsid w:val="00043935"/>
    <w:rsid w:val="00043AB1"/>
    <w:rsid w:val="00043C39"/>
    <w:rsid w:val="00043C3C"/>
    <w:rsid w:val="00043D04"/>
    <w:rsid w:val="00043FD4"/>
    <w:rsid w:val="0004400F"/>
    <w:rsid w:val="00044081"/>
    <w:rsid w:val="00044559"/>
    <w:rsid w:val="000445D5"/>
    <w:rsid w:val="00044620"/>
    <w:rsid w:val="000446F2"/>
    <w:rsid w:val="00044B9E"/>
    <w:rsid w:val="00044BEA"/>
    <w:rsid w:val="00044DFE"/>
    <w:rsid w:val="000450F5"/>
    <w:rsid w:val="0004516F"/>
    <w:rsid w:val="00045293"/>
    <w:rsid w:val="00045337"/>
    <w:rsid w:val="00045455"/>
    <w:rsid w:val="000454C3"/>
    <w:rsid w:val="000455F1"/>
    <w:rsid w:val="0004566B"/>
    <w:rsid w:val="00045D87"/>
    <w:rsid w:val="00045DC6"/>
    <w:rsid w:val="00045DD8"/>
    <w:rsid w:val="00045E66"/>
    <w:rsid w:val="00045E93"/>
    <w:rsid w:val="000463D6"/>
    <w:rsid w:val="0004653A"/>
    <w:rsid w:val="00046686"/>
    <w:rsid w:val="00046B52"/>
    <w:rsid w:val="00047088"/>
    <w:rsid w:val="000472F9"/>
    <w:rsid w:val="00047555"/>
    <w:rsid w:val="000477FC"/>
    <w:rsid w:val="00047A54"/>
    <w:rsid w:val="00047CCE"/>
    <w:rsid w:val="0005008A"/>
    <w:rsid w:val="00050151"/>
    <w:rsid w:val="00050365"/>
    <w:rsid w:val="000507D3"/>
    <w:rsid w:val="00050896"/>
    <w:rsid w:val="00050A2B"/>
    <w:rsid w:val="00050A91"/>
    <w:rsid w:val="00050CE3"/>
    <w:rsid w:val="00050D0C"/>
    <w:rsid w:val="00050E86"/>
    <w:rsid w:val="000511A2"/>
    <w:rsid w:val="000513C2"/>
    <w:rsid w:val="00051AED"/>
    <w:rsid w:val="00051C3A"/>
    <w:rsid w:val="00051C68"/>
    <w:rsid w:val="00051C84"/>
    <w:rsid w:val="000520FC"/>
    <w:rsid w:val="000521C3"/>
    <w:rsid w:val="000526F2"/>
    <w:rsid w:val="000527DB"/>
    <w:rsid w:val="000527DD"/>
    <w:rsid w:val="000528CB"/>
    <w:rsid w:val="00052BC6"/>
    <w:rsid w:val="00052C5C"/>
    <w:rsid w:val="00052C9F"/>
    <w:rsid w:val="00052D78"/>
    <w:rsid w:val="0005303C"/>
    <w:rsid w:val="000530E0"/>
    <w:rsid w:val="00053368"/>
    <w:rsid w:val="000533A4"/>
    <w:rsid w:val="00053988"/>
    <w:rsid w:val="00053B0E"/>
    <w:rsid w:val="00053E8F"/>
    <w:rsid w:val="00053F60"/>
    <w:rsid w:val="00054312"/>
    <w:rsid w:val="0005431A"/>
    <w:rsid w:val="00054501"/>
    <w:rsid w:val="000547A6"/>
    <w:rsid w:val="00054855"/>
    <w:rsid w:val="00054891"/>
    <w:rsid w:val="000549F1"/>
    <w:rsid w:val="00054A18"/>
    <w:rsid w:val="00054AEE"/>
    <w:rsid w:val="00054D0B"/>
    <w:rsid w:val="00054E32"/>
    <w:rsid w:val="00054F83"/>
    <w:rsid w:val="000554C2"/>
    <w:rsid w:val="000554F5"/>
    <w:rsid w:val="000556D4"/>
    <w:rsid w:val="00055819"/>
    <w:rsid w:val="00055D4D"/>
    <w:rsid w:val="00055F88"/>
    <w:rsid w:val="00055FDF"/>
    <w:rsid w:val="00055FF0"/>
    <w:rsid w:val="00056294"/>
    <w:rsid w:val="00056528"/>
    <w:rsid w:val="000566BF"/>
    <w:rsid w:val="000567A3"/>
    <w:rsid w:val="000567F6"/>
    <w:rsid w:val="00056A3C"/>
    <w:rsid w:val="00057053"/>
    <w:rsid w:val="0005708F"/>
    <w:rsid w:val="000574D0"/>
    <w:rsid w:val="0005757D"/>
    <w:rsid w:val="00057927"/>
    <w:rsid w:val="00057947"/>
    <w:rsid w:val="00057ABD"/>
    <w:rsid w:val="00060230"/>
    <w:rsid w:val="00060400"/>
    <w:rsid w:val="000605CF"/>
    <w:rsid w:val="000607D2"/>
    <w:rsid w:val="00060A65"/>
    <w:rsid w:val="00060DD6"/>
    <w:rsid w:val="00060F26"/>
    <w:rsid w:val="00061022"/>
    <w:rsid w:val="00061055"/>
    <w:rsid w:val="000611BE"/>
    <w:rsid w:val="000611F0"/>
    <w:rsid w:val="000614BD"/>
    <w:rsid w:val="00061582"/>
    <w:rsid w:val="000615E1"/>
    <w:rsid w:val="0006174E"/>
    <w:rsid w:val="00061792"/>
    <w:rsid w:val="000619E7"/>
    <w:rsid w:val="00061B2A"/>
    <w:rsid w:val="00061BA7"/>
    <w:rsid w:val="00061FE5"/>
    <w:rsid w:val="0006212D"/>
    <w:rsid w:val="000621A6"/>
    <w:rsid w:val="000621F9"/>
    <w:rsid w:val="00062485"/>
    <w:rsid w:val="000624FC"/>
    <w:rsid w:val="00062615"/>
    <w:rsid w:val="0006288B"/>
    <w:rsid w:val="00062BA4"/>
    <w:rsid w:val="00062CF5"/>
    <w:rsid w:val="00062E93"/>
    <w:rsid w:val="0006316E"/>
    <w:rsid w:val="0006368D"/>
    <w:rsid w:val="00063996"/>
    <w:rsid w:val="00063ADA"/>
    <w:rsid w:val="00063B45"/>
    <w:rsid w:val="00063C83"/>
    <w:rsid w:val="00063F6C"/>
    <w:rsid w:val="00063F9D"/>
    <w:rsid w:val="00064033"/>
    <w:rsid w:val="00064627"/>
    <w:rsid w:val="0006476A"/>
    <w:rsid w:val="00064ACD"/>
    <w:rsid w:val="00064B17"/>
    <w:rsid w:val="00064C9A"/>
    <w:rsid w:val="00064CAA"/>
    <w:rsid w:val="00064E97"/>
    <w:rsid w:val="00064EE7"/>
    <w:rsid w:val="00065088"/>
    <w:rsid w:val="000650BC"/>
    <w:rsid w:val="000651A0"/>
    <w:rsid w:val="00065219"/>
    <w:rsid w:val="00065448"/>
    <w:rsid w:val="00065479"/>
    <w:rsid w:val="0006556F"/>
    <w:rsid w:val="000655C0"/>
    <w:rsid w:val="00065842"/>
    <w:rsid w:val="00065AD7"/>
    <w:rsid w:val="00065B3B"/>
    <w:rsid w:val="00065C1F"/>
    <w:rsid w:val="00065FBC"/>
    <w:rsid w:val="000664A5"/>
    <w:rsid w:val="000665EF"/>
    <w:rsid w:val="000666B1"/>
    <w:rsid w:val="0006675D"/>
    <w:rsid w:val="00066793"/>
    <w:rsid w:val="00066AC5"/>
    <w:rsid w:val="00066B19"/>
    <w:rsid w:val="00066F09"/>
    <w:rsid w:val="0006711B"/>
    <w:rsid w:val="000671EE"/>
    <w:rsid w:val="00067405"/>
    <w:rsid w:val="00067477"/>
    <w:rsid w:val="00067486"/>
    <w:rsid w:val="00067674"/>
    <w:rsid w:val="000677C7"/>
    <w:rsid w:val="00067996"/>
    <w:rsid w:val="00067A27"/>
    <w:rsid w:val="00067A35"/>
    <w:rsid w:val="00067C78"/>
    <w:rsid w:val="000701CE"/>
    <w:rsid w:val="0007026B"/>
    <w:rsid w:val="000702ED"/>
    <w:rsid w:val="00070366"/>
    <w:rsid w:val="00070599"/>
    <w:rsid w:val="00070675"/>
    <w:rsid w:val="00070886"/>
    <w:rsid w:val="000709DB"/>
    <w:rsid w:val="00070B56"/>
    <w:rsid w:val="00070D80"/>
    <w:rsid w:val="00070D85"/>
    <w:rsid w:val="00070EF7"/>
    <w:rsid w:val="00070FE4"/>
    <w:rsid w:val="000711B6"/>
    <w:rsid w:val="00071ADB"/>
    <w:rsid w:val="00071C2A"/>
    <w:rsid w:val="00071D02"/>
    <w:rsid w:val="00071F2B"/>
    <w:rsid w:val="00071F2F"/>
    <w:rsid w:val="0007242C"/>
    <w:rsid w:val="000724CE"/>
    <w:rsid w:val="00072517"/>
    <w:rsid w:val="000727C4"/>
    <w:rsid w:val="000727C9"/>
    <w:rsid w:val="000727E6"/>
    <w:rsid w:val="00072AC4"/>
    <w:rsid w:val="00072B3D"/>
    <w:rsid w:val="00072C2F"/>
    <w:rsid w:val="00072F42"/>
    <w:rsid w:val="00073054"/>
    <w:rsid w:val="0007324A"/>
    <w:rsid w:val="000734B9"/>
    <w:rsid w:val="000738A9"/>
    <w:rsid w:val="00073937"/>
    <w:rsid w:val="00073B8E"/>
    <w:rsid w:val="00073C22"/>
    <w:rsid w:val="00073EFC"/>
    <w:rsid w:val="00073F8D"/>
    <w:rsid w:val="0007406A"/>
    <w:rsid w:val="00074168"/>
    <w:rsid w:val="0007420D"/>
    <w:rsid w:val="0007426A"/>
    <w:rsid w:val="00074324"/>
    <w:rsid w:val="000746BD"/>
    <w:rsid w:val="0007486C"/>
    <w:rsid w:val="000748BB"/>
    <w:rsid w:val="00074989"/>
    <w:rsid w:val="00074A45"/>
    <w:rsid w:val="00074B21"/>
    <w:rsid w:val="00074FD5"/>
    <w:rsid w:val="00075101"/>
    <w:rsid w:val="000754B8"/>
    <w:rsid w:val="000755B8"/>
    <w:rsid w:val="000755BD"/>
    <w:rsid w:val="00075719"/>
    <w:rsid w:val="00075820"/>
    <w:rsid w:val="00075A84"/>
    <w:rsid w:val="00075AC6"/>
    <w:rsid w:val="00076022"/>
    <w:rsid w:val="00076066"/>
    <w:rsid w:val="000760F8"/>
    <w:rsid w:val="0007612D"/>
    <w:rsid w:val="00076162"/>
    <w:rsid w:val="000761E4"/>
    <w:rsid w:val="0007626B"/>
    <w:rsid w:val="00076326"/>
    <w:rsid w:val="0007639D"/>
    <w:rsid w:val="000763D7"/>
    <w:rsid w:val="000769B8"/>
    <w:rsid w:val="000769FD"/>
    <w:rsid w:val="00076DF7"/>
    <w:rsid w:val="00076EF3"/>
    <w:rsid w:val="00076F9F"/>
    <w:rsid w:val="000770E4"/>
    <w:rsid w:val="000775AF"/>
    <w:rsid w:val="00077C35"/>
    <w:rsid w:val="00077DFF"/>
    <w:rsid w:val="00077E09"/>
    <w:rsid w:val="00080011"/>
    <w:rsid w:val="0008008A"/>
    <w:rsid w:val="000801D3"/>
    <w:rsid w:val="00080202"/>
    <w:rsid w:val="00080234"/>
    <w:rsid w:val="00080299"/>
    <w:rsid w:val="000804C3"/>
    <w:rsid w:val="00080705"/>
    <w:rsid w:val="00080729"/>
    <w:rsid w:val="000807C9"/>
    <w:rsid w:val="00080820"/>
    <w:rsid w:val="00080872"/>
    <w:rsid w:val="000808E9"/>
    <w:rsid w:val="0008092B"/>
    <w:rsid w:val="00080A49"/>
    <w:rsid w:val="00080E89"/>
    <w:rsid w:val="000812DF"/>
    <w:rsid w:val="00081358"/>
    <w:rsid w:val="0008146D"/>
    <w:rsid w:val="0008159E"/>
    <w:rsid w:val="000815A2"/>
    <w:rsid w:val="0008166C"/>
    <w:rsid w:val="0008185F"/>
    <w:rsid w:val="000818FC"/>
    <w:rsid w:val="0008196B"/>
    <w:rsid w:val="00081993"/>
    <w:rsid w:val="00081EA9"/>
    <w:rsid w:val="00082205"/>
    <w:rsid w:val="0008229F"/>
    <w:rsid w:val="0008235E"/>
    <w:rsid w:val="0008238B"/>
    <w:rsid w:val="000823EF"/>
    <w:rsid w:val="0008266B"/>
    <w:rsid w:val="000827C5"/>
    <w:rsid w:val="0008288D"/>
    <w:rsid w:val="00082D9C"/>
    <w:rsid w:val="00082E65"/>
    <w:rsid w:val="0008363D"/>
    <w:rsid w:val="000838FF"/>
    <w:rsid w:val="00083974"/>
    <w:rsid w:val="00083BD1"/>
    <w:rsid w:val="0008404B"/>
    <w:rsid w:val="0008417F"/>
    <w:rsid w:val="000841C5"/>
    <w:rsid w:val="000841E2"/>
    <w:rsid w:val="000843DE"/>
    <w:rsid w:val="000847F4"/>
    <w:rsid w:val="0008485D"/>
    <w:rsid w:val="00084F22"/>
    <w:rsid w:val="00084FEE"/>
    <w:rsid w:val="0008505B"/>
    <w:rsid w:val="000851B9"/>
    <w:rsid w:val="000852E9"/>
    <w:rsid w:val="0008538C"/>
    <w:rsid w:val="000853CC"/>
    <w:rsid w:val="000855B3"/>
    <w:rsid w:val="00085795"/>
    <w:rsid w:val="000857FE"/>
    <w:rsid w:val="000858A0"/>
    <w:rsid w:val="000858B0"/>
    <w:rsid w:val="000858CA"/>
    <w:rsid w:val="00085A08"/>
    <w:rsid w:val="00085B10"/>
    <w:rsid w:val="00086215"/>
    <w:rsid w:val="00086378"/>
    <w:rsid w:val="000865C6"/>
    <w:rsid w:val="000865E6"/>
    <w:rsid w:val="00086792"/>
    <w:rsid w:val="0008689B"/>
    <w:rsid w:val="0008695D"/>
    <w:rsid w:val="00086A3A"/>
    <w:rsid w:val="00086A53"/>
    <w:rsid w:val="00086B0F"/>
    <w:rsid w:val="00086CD8"/>
    <w:rsid w:val="00086D06"/>
    <w:rsid w:val="00086EE5"/>
    <w:rsid w:val="00086F4D"/>
    <w:rsid w:val="0008709E"/>
    <w:rsid w:val="00087136"/>
    <w:rsid w:val="00087324"/>
    <w:rsid w:val="000874AA"/>
    <w:rsid w:val="0008766D"/>
    <w:rsid w:val="00087934"/>
    <w:rsid w:val="000879BC"/>
    <w:rsid w:val="00087B1E"/>
    <w:rsid w:val="00087E2E"/>
    <w:rsid w:val="00087EDA"/>
    <w:rsid w:val="00090061"/>
    <w:rsid w:val="000903A3"/>
    <w:rsid w:val="0009051A"/>
    <w:rsid w:val="000909B7"/>
    <w:rsid w:val="00090BA5"/>
    <w:rsid w:val="00090DBF"/>
    <w:rsid w:val="00090E70"/>
    <w:rsid w:val="00090F3A"/>
    <w:rsid w:val="00091189"/>
    <w:rsid w:val="0009119D"/>
    <w:rsid w:val="000911C4"/>
    <w:rsid w:val="0009154D"/>
    <w:rsid w:val="000916C0"/>
    <w:rsid w:val="000916F6"/>
    <w:rsid w:val="00091729"/>
    <w:rsid w:val="000918BE"/>
    <w:rsid w:val="00091A1D"/>
    <w:rsid w:val="00091AAB"/>
    <w:rsid w:val="00091B7D"/>
    <w:rsid w:val="00091C04"/>
    <w:rsid w:val="00091C12"/>
    <w:rsid w:val="00091CB0"/>
    <w:rsid w:val="00091EB4"/>
    <w:rsid w:val="000925B9"/>
    <w:rsid w:val="000925CE"/>
    <w:rsid w:val="0009280B"/>
    <w:rsid w:val="00092988"/>
    <w:rsid w:val="000929CB"/>
    <w:rsid w:val="000929EE"/>
    <w:rsid w:val="00092AA8"/>
    <w:rsid w:val="000930B1"/>
    <w:rsid w:val="000934A4"/>
    <w:rsid w:val="000936A4"/>
    <w:rsid w:val="0009389E"/>
    <w:rsid w:val="00093A94"/>
    <w:rsid w:val="00093B30"/>
    <w:rsid w:val="00094273"/>
    <w:rsid w:val="000942FD"/>
    <w:rsid w:val="0009465A"/>
    <w:rsid w:val="00094D28"/>
    <w:rsid w:val="00094DD6"/>
    <w:rsid w:val="00094DE4"/>
    <w:rsid w:val="00094F05"/>
    <w:rsid w:val="000952E0"/>
    <w:rsid w:val="000954A3"/>
    <w:rsid w:val="00095548"/>
    <w:rsid w:val="000955A4"/>
    <w:rsid w:val="000955EC"/>
    <w:rsid w:val="000956B5"/>
    <w:rsid w:val="000956E9"/>
    <w:rsid w:val="00095746"/>
    <w:rsid w:val="00095BFF"/>
    <w:rsid w:val="00095C12"/>
    <w:rsid w:val="00095C94"/>
    <w:rsid w:val="00095D49"/>
    <w:rsid w:val="00095E91"/>
    <w:rsid w:val="00095EA9"/>
    <w:rsid w:val="00095FAD"/>
    <w:rsid w:val="00096602"/>
    <w:rsid w:val="00096C48"/>
    <w:rsid w:val="00096F47"/>
    <w:rsid w:val="00096F7F"/>
    <w:rsid w:val="000970F4"/>
    <w:rsid w:val="00097243"/>
    <w:rsid w:val="00097FE4"/>
    <w:rsid w:val="000A0209"/>
    <w:rsid w:val="000A02F2"/>
    <w:rsid w:val="000A0423"/>
    <w:rsid w:val="000A0911"/>
    <w:rsid w:val="000A0B1D"/>
    <w:rsid w:val="000A0BC5"/>
    <w:rsid w:val="000A0F54"/>
    <w:rsid w:val="000A104C"/>
    <w:rsid w:val="000A1253"/>
    <w:rsid w:val="000A1279"/>
    <w:rsid w:val="000A1655"/>
    <w:rsid w:val="000A19FC"/>
    <w:rsid w:val="000A1A3E"/>
    <w:rsid w:val="000A1B42"/>
    <w:rsid w:val="000A1BC2"/>
    <w:rsid w:val="000A1EB5"/>
    <w:rsid w:val="000A200F"/>
    <w:rsid w:val="000A22E8"/>
    <w:rsid w:val="000A2495"/>
    <w:rsid w:val="000A26D7"/>
    <w:rsid w:val="000A2791"/>
    <w:rsid w:val="000A2932"/>
    <w:rsid w:val="000A2DDE"/>
    <w:rsid w:val="000A2DEB"/>
    <w:rsid w:val="000A2E17"/>
    <w:rsid w:val="000A2FC2"/>
    <w:rsid w:val="000A319F"/>
    <w:rsid w:val="000A3278"/>
    <w:rsid w:val="000A33DB"/>
    <w:rsid w:val="000A3668"/>
    <w:rsid w:val="000A3AA0"/>
    <w:rsid w:val="000A3C80"/>
    <w:rsid w:val="000A3CF0"/>
    <w:rsid w:val="000A3DF3"/>
    <w:rsid w:val="000A3EA3"/>
    <w:rsid w:val="000A405E"/>
    <w:rsid w:val="000A4325"/>
    <w:rsid w:val="000A444F"/>
    <w:rsid w:val="000A47DB"/>
    <w:rsid w:val="000A4988"/>
    <w:rsid w:val="000A4BEB"/>
    <w:rsid w:val="000A4C7D"/>
    <w:rsid w:val="000A4E6D"/>
    <w:rsid w:val="000A4EE6"/>
    <w:rsid w:val="000A51EF"/>
    <w:rsid w:val="000A53B5"/>
    <w:rsid w:val="000A5520"/>
    <w:rsid w:val="000A5677"/>
    <w:rsid w:val="000A56D9"/>
    <w:rsid w:val="000A5792"/>
    <w:rsid w:val="000A58F2"/>
    <w:rsid w:val="000A5AF9"/>
    <w:rsid w:val="000A5CD0"/>
    <w:rsid w:val="000A5D36"/>
    <w:rsid w:val="000A5F3E"/>
    <w:rsid w:val="000A5FCD"/>
    <w:rsid w:val="000A6236"/>
    <w:rsid w:val="000A6428"/>
    <w:rsid w:val="000A6533"/>
    <w:rsid w:val="000A6627"/>
    <w:rsid w:val="000A67A9"/>
    <w:rsid w:val="000A68A2"/>
    <w:rsid w:val="000A69C0"/>
    <w:rsid w:val="000A6AB3"/>
    <w:rsid w:val="000A6AB4"/>
    <w:rsid w:val="000A6AFF"/>
    <w:rsid w:val="000A6C94"/>
    <w:rsid w:val="000A6DB1"/>
    <w:rsid w:val="000A6DD8"/>
    <w:rsid w:val="000A6FA5"/>
    <w:rsid w:val="000A705D"/>
    <w:rsid w:val="000A745F"/>
    <w:rsid w:val="000A75D9"/>
    <w:rsid w:val="000A76AC"/>
    <w:rsid w:val="000A76C0"/>
    <w:rsid w:val="000A7734"/>
    <w:rsid w:val="000A7A43"/>
    <w:rsid w:val="000A7AFA"/>
    <w:rsid w:val="000A7BDF"/>
    <w:rsid w:val="000A7D25"/>
    <w:rsid w:val="000A7D96"/>
    <w:rsid w:val="000A7F3C"/>
    <w:rsid w:val="000A7FA0"/>
    <w:rsid w:val="000B0297"/>
    <w:rsid w:val="000B038F"/>
    <w:rsid w:val="000B0418"/>
    <w:rsid w:val="000B05A0"/>
    <w:rsid w:val="000B05B6"/>
    <w:rsid w:val="000B060C"/>
    <w:rsid w:val="000B0677"/>
    <w:rsid w:val="000B0929"/>
    <w:rsid w:val="000B0B66"/>
    <w:rsid w:val="000B0D07"/>
    <w:rsid w:val="000B0D4D"/>
    <w:rsid w:val="000B0D8E"/>
    <w:rsid w:val="000B0DAD"/>
    <w:rsid w:val="000B0F37"/>
    <w:rsid w:val="000B15C4"/>
    <w:rsid w:val="000B16CE"/>
    <w:rsid w:val="000B187B"/>
    <w:rsid w:val="000B1AB1"/>
    <w:rsid w:val="000B1DAC"/>
    <w:rsid w:val="000B1E92"/>
    <w:rsid w:val="000B1F30"/>
    <w:rsid w:val="000B20DC"/>
    <w:rsid w:val="000B219A"/>
    <w:rsid w:val="000B22F6"/>
    <w:rsid w:val="000B26F6"/>
    <w:rsid w:val="000B27C3"/>
    <w:rsid w:val="000B280E"/>
    <w:rsid w:val="000B2825"/>
    <w:rsid w:val="000B28A8"/>
    <w:rsid w:val="000B298F"/>
    <w:rsid w:val="000B2CB0"/>
    <w:rsid w:val="000B2CBC"/>
    <w:rsid w:val="000B3016"/>
    <w:rsid w:val="000B3019"/>
    <w:rsid w:val="000B33FE"/>
    <w:rsid w:val="000B3472"/>
    <w:rsid w:val="000B3590"/>
    <w:rsid w:val="000B36A0"/>
    <w:rsid w:val="000B36BD"/>
    <w:rsid w:val="000B38E8"/>
    <w:rsid w:val="000B3AC3"/>
    <w:rsid w:val="000B3CF5"/>
    <w:rsid w:val="000B3DCD"/>
    <w:rsid w:val="000B3EF0"/>
    <w:rsid w:val="000B4019"/>
    <w:rsid w:val="000B463B"/>
    <w:rsid w:val="000B47CD"/>
    <w:rsid w:val="000B4A00"/>
    <w:rsid w:val="000B4AAF"/>
    <w:rsid w:val="000B518A"/>
    <w:rsid w:val="000B5356"/>
    <w:rsid w:val="000B54DD"/>
    <w:rsid w:val="000B54F4"/>
    <w:rsid w:val="000B56D0"/>
    <w:rsid w:val="000B57E6"/>
    <w:rsid w:val="000B58FD"/>
    <w:rsid w:val="000B59D2"/>
    <w:rsid w:val="000B5C58"/>
    <w:rsid w:val="000B5CEE"/>
    <w:rsid w:val="000B5F27"/>
    <w:rsid w:val="000B6204"/>
    <w:rsid w:val="000B666B"/>
    <w:rsid w:val="000B6769"/>
    <w:rsid w:val="000B677E"/>
    <w:rsid w:val="000B67FD"/>
    <w:rsid w:val="000B68D4"/>
    <w:rsid w:val="000B6952"/>
    <w:rsid w:val="000B69E4"/>
    <w:rsid w:val="000B6A3C"/>
    <w:rsid w:val="000B6A71"/>
    <w:rsid w:val="000B6A88"/>
    <w:rsid w:val="000B6B4F"/>
    <w:rsid w:val="000B6D4F"/>
    <w:rsid w:val="000B6FB5"/>
    <w:rsid w:val="000B723B"/>
    <w:rsid w:val="000B7259"/>
    <w:rsid w:val="000B7286"/>
    <w:rsid w:val="000B7645"/>
    <w:rsid w:val="000B7649"/>
    <w:rsid w:val="000B7650"/>
    <w:rsid w:val="000B7739"/>
    <w:rsid w:val="000B77FB"/>
    <w:rsid w:val="000B78F2"/>
    <w:rsid w:val="000B7C3F"/>
    <w:rsid w:val="000B7D13"/>
    <w:rsid w:val="000B7D78"/>
    <w:rsid w:val="000B7ED2"/>
    <w:rsid w:val="000C01F9"/>
    <w:rsid w:val="000C036B"/>
    <w:rsid w:val="000C0602"/>
    <w:rsid w:val="000C0A1C"/>
    <w:rsid w:val="000C0B44"/>
    <w:rsid w:val="000C0B8D"/>
    <w:rsid w:val="000C0D41"/>
    <w:rsid w:val="000C0D48"/>
    <w:rsid w:val="000C0DD3"/>
    <w:rsid w:val="000C0F2B"/>
    <w:rsid w:val="000C1110"/>
    <w:rsid w:val="000C1192"/>
    <w:rsid w:val="000C123C"/>
    <w:rsid w:val="000C13BD"/>
    <w:rsid w:val="000C1816"/>
    <w:rsid w:val="000C19BF"/>
    <w:rsid w:val="000C1A13"/>
    <w:rsid w:val="000C1B11"/>
    <w:rsid w:val="000C1D9B"/>
    <w:rsid w:val="000C2017"/>
    <w:rsid w:val="000C21B4"/>
    <w:rsid w:val="000C2482"/>
    <w:rsid w:val="000C24A4"/>
    <w:rsid w:val="000C2625"/>
    <w:rsid w:val="000C2665"/>
    <w:rsid w:val="000C278F"/>
    <w:rsid w:val="000C29F5"/>
    <w:rsid w:val="000C2A24"/>
    <w:rsid w:val="000C2E6A"/>
    <w:rsid w:val="000C2F40"/>
    <w:rsid w:val="000C3042"/>
    <w:rsid w:val="000C3136"/>
    <w:rsid w:val="000C3320"/>
    <w:rsid w:val="000C338E"/>
    <w:rsid w:val="000C3598"/>
    <w:rsid w:val="000C3626"/>
    <w:rsid w:val="000C3629"/>
    <w:rsid w:val="000C36B1"/>
    <w:rsid w:val="000C371F"/>
    <w:rsid w:val="000C3D9A"/>
    <w:rsid w:val="000C3F60"/>
    <w:rsid w:val="000C3FEC"/>
    <w:rsid w:val="000C40BA"/>
    <w:rsid w:val="000C4107"/>
    <w:rsid w:val="000C4223"/>
    <w:rsid w:val="000C4332"/>
    <w:rsid w:val="000C43C4"/>
    <w:rsid w:val="000C43D3"/>
    <w:rsid w:val="000C4772"/>
    <w:rsid w:val="000C48CB"/>
    <w:rsid w:val="000C4900"/>
    <w:rsid w:val="000C49CE"/>
    <w:rsid w:val="000C4A6C"/>
    <w:rsid w:val="000C4BFD"/>
    <w:rsid w:val="000C4C1F"/>
    <w:rsid w:val="000C4D38"/>
    <w:rsid w:val="000C5059"/>
    <w:rsid w:val="000C5240"/>
    <w:rsid w:val="000C5260"/>
    <w:rsid w:val="000C526D"/>
    <w:rsid w:val="000C52BE"/>
    <w:rsid w:val="000C55BF"/>
    <w:rsid w:val="000C55D4"/>
    <w:rsid w:val="000C5CCB"/>
    <w:rsid w:val="000C5DBE"/>
    <w:rsid w:val="000C5F92"/>
    <w:rsid w:val="000C6064"/>
    <w:rsid w:val="000C608E"/>
    <w:rsid w:val="000C6091"/>
    <w:rsid w:val="000C63FD"/>
    <w:rsid w:val="000C68EC"/>
    <w:rsid w:val="000C6A78"/>
    <w:rsid w:val="000C6B51"/>
    <w:rsid w:val="000C6D69"/>
    <w:rsid w:val="000C6D82"/>
    <w:rsid w:val="000C6E89"/>
    <w:rsid w:val="000C6FD6"/>
    <w:rsid w:val="000C6FF4"/>
    <w:rsid w:val="000C7255"/>
    <w:rsid w:val="000C7439"/>
    <w:rsid w:val="000C7768"/>
    <w:rsid w:val="000C7A35"/>
    <w:rsid w:val="000C7B08"/>
    <w:rsid w:val="000C7CCC"/>
    <w:rsid w:val="000C7D7B"/>
    <w:rsid w:val="000C7E9A"/>
    <w:rsid w:val="000D0034"/>
    <w:rsid w:val="000D0099"/>
    <w:rsid w:val="000D031F"/>
    <w:rsid w:val="000D0322"/>
    <w:rsid w:val="000D06F2"/>
    <w:rsid w:val="000D070A"/>
    <w:rsid w:val="000D0871"/>
    <w:rsid w:val="000D098A"/>
    <w:rsid w:val="000D0C03"/>
    <w:rsid w:val="000D0DAB"/>
    <w:rsid w:val="000D0E7F"/>
    <w:rsid w:val="000D0F3D"/>
    <w:rsid w:val="000D0FFE"/>
    <w:rsid w:val="000D10D5"/>
    <w:rsid w:val="000D1206"/>
    <w:rsid w:val="000D1448"/>
    <w:rsid w:val="000D1465"/>
    <w:rsid w:val="000D1690"/>
    <w:rsid w:val="000D17CE"/>
    <w:rsid w:val="000D1DE6"/>
    <w:rsid w:val="000D2081"/>
    <w:rsid w:val="000D20AF"/>
    <w:rsid w:val="000D2121"/>
    <w:rsid w:val="000D219C"/>
    <w:rsid w:val="000D230F"/>
    <w:rsid w:val="000D2421"/>
    <w:rsid w:val="000D2530"/>
    <w:rsid w:val="000D2765"/>
    <w:rsid w:val="000D28AD"/>
    <w:rsid w:val="000D2A08"/>
    <w:rsid w:val="000D2D0E"/>
    <w:rsid w:val="000D3022"/>
    <w:rsid w:val="000D3193"/>
    <w:rsid w:val="000D33A0"/>
    <w:rsid w:val="000D3481"/>
    <w:rsid w:val="000D34AF"/>
    <w:rsid w:val="000D3778"/>
    <w:rsid w:val="000D3C22"/>
    <w:rsid w:val="000D3CAC"/>
    <w:rsid w:val="000D4058"/>
    <w:rsid w:val="000D4337"/>
    <w:rsid w:val="000D43EC"/>
    <w:rsid w:val="000D44E7"/>
    <w:rsid w:val="000D4639"/>
    <w:rsid w:val="000D4A67"/>
    <w:rsid w:val="000D4BC8"/>
    <w:rsid w:val="000D4CF0"/>
    <w:rsid w:val="000D4CF7"/>
    <w:rsid w:val="000D4D30"/>
    <w:rsid w:val="000D4F31"/>
    <w:rsid w:val="000D539E"/>
    <w:rsid w:val="000D5479"/>
    <w:rsid w:val="000D5540"/>
    <w:rsid w:val="000D575E"/>
    <w:rsid w:val="000D5997"/>
    <w:rsid w:val="000D5BE7"/>
    <w:rsid w:val="000D5BEB"/>
    <w:rsid w:val="000D6157"/>
    <w:rsid w:val="000D63A6"/>
    <w:rsid w:val="000D646E"/>
    <w:rsid w:val="000D676F"/>
    <w:rsid w:val="000D67F2"/>
    <w:rsid w:val="000D680A"/>
    <w:rsid w:val="000D6834"/>
    <w:rsid w:val="000D68E9"/>
    <w:rsid w:val="000D6C95"/>
    <w:rsid w:val="000D6F7E"/>
    <w:rsid w:val="000D76ED"/>
    <w:rsid w:val="000D77AC"/>
    <w:rsid w:val="000D77E2"/>
    <w:rsid w:val="000D7901"/>
    <w:rsid w:val="000D7A2E"/>
    <w:rsid w:val="000D7D3E"/>
    <w:rsid w:val="000D7E94"/>
    <w:rsid w:val="000E0271"/>
    <w:rsid w:val="000E034E"/>
    <w:rsid w:val="000E043C"/>
    <w:rsid w:val="000E04C8"/>
    <w:rsid w:val="000E09BC"/>
    <w:rsid w:val="000E09C9"/>
    <w:rsid w:val="000E0A3E"/>
    <w:rsid w:val="000E1009"/>
    <w:rsid w:val="000E107F"/>
    <w:rsid w:val="000E1236"/>
    <w:rsid w:val="000E18DC"/>
    <w:rsid w:val="000E193C"/>
    <w:rsid w:val="000E1962"/>
    <w:rsid w:val="000E1B1D"/>
    <w:rsid w:val="000E1CBA"/>
    <w:rsid w:val="000E1DC3"/>
    <w:rsid w:val="000E1E0B"/>
    <w:rsid w:val="000E1F4D"/>
    <w:rsid w:val="000E2084"/>
    <w:rsid w:val="000E22DE"/>
    <w:rsid w:val="000E23CF"/>
    <w:rsid w:val="000E268E"/>
    <w:rsid w:val="000E27A1"/>
    <w:rsid w:val="000E28F5"/>
    <w:rsid w:val="000E2988"/>
    <w:rsid w:val="000E29CF"/>
    <w:rsid w:val="000E2AE2"/>
    <w:rsid w:val="000E2F16"/>
    <w:rsid w:val="000E2F56"/>
    <w:rsid w:val="000E30C5"/>
    <w:rsid w:val="000E3127"/>
    <w:rsid w:val="000E333D"/>
    <w:rsid w:val="000E3551"/>
    <w:rsid w:val="000E37E3"/>
    <w:rsid w:val="000E3909"/>
    <w:rsid w:val="000E3C5F"/>
    <w:rsid w:val="000E3F5C"/>
    <w:rsid w:val="000E3FE9"/>
    <w:rsid w:val="000E4065"/>
    <w:rsid w:val="000E4161"/>
    <w:rsid w:val="000E428F"/>
    <w:rsid w:val="000E4597"/>
    <w:rsid w:val="000E45C7"/>
    <w:rsid w:val="000E4A17"/>
    <w:rsid w:val="000E4BC5"/>
    <w:rsid w:val="000E4C4A"/>
    <w:rsid w:val="000E4DFC"/>
    <w:rsid w:val="000E4FCD"/>
    <w:rsid w:val="000E5260"/>
    <w:rsid w:val="000E526B"/>
    <w:rsid w:val="000E53E2"/>
    <w:rsid w:val="000E5949"/>
    <w:rsid w:val="000E5AAF"/>
    <w:rsid w:val="000E5AF9"/>
    <w:rsid w:val="000E5F35"/>
    <w:rsid w:val="000E6004"/>
    <w:rsid w:val="000E6006"/>
    <w:rsid w:val="000E6128"/>
    <w:rsid w:val="000E627E"/>
    <w:rsid w:val="000E63F9"/>
    <w:rsid w:val="000E6569"/>
    <w:rsid w:val="000E688A"/>
    <w:rsid w:val="000E6F0B"/>
    <w:rsid w:val="000E6F7A"/>
    <w:rsid w:val="000E76E4"/>
    <w:rsid w:val="000E7869"/>
    <w:rsid w:val="000E7A07"/>
    <w:rsid w:val="000E7A09"/>
    <w:rsid w:val="000E7C9E"/>
    <w:rsid w:val="000E7E4D"/>
    <w:rsid w:val="000F039E"/>
    <w:rsid w:val="000F053B"/>
    <w:rsid w:val="000F06DE"/>
    <w:rsid w:val="000F086F"/>
    <w:rsid w:val="000F0A9C"/>
    <w:rsid w:val="000F0D6C"/>
    <w:rsid w:val="000F0E2D"/>
    <w:rsid w:val="000F0E49"/>
    <w:rsid w:val="000F11BE"/>
    <w:rsid w:val="000F1316"/>
    <w:rsid w:val="000F13DE"/>
    <w:rsid w:val="000F1918"/>
    <w:rsid w:val="000F1C7C"/>
    <w:rsid w:val="000F1D19"/>
    <w:rsid w:val="000F1D94"/>
    <w:rsid w:val="000F1EA6"/>
    <w:rsid w:val="000F234B"/>
    <w:rsid w:val="000F24B1"/>
    <w:rsid w:val="000F2576"/>
    <w:rsid w:val="000F25A2"/>
    <w:rsid w:val="000F28CA"/>
    <w:rsid w:val="000F292A"/>
    <w:rsid w:val="000F2A15"/>
    <w:rsid w:val="000F2BD6"/>
    <w:rsid w:val="000F2C07"/>
    <w:rsid w:val="000F2F68"/>
    <w:rsid w:val="000F335D"/>
    <w:rsid w:val="000F3440"/>
    <w:rsid w:val="000F3898"/>
    <w:rsid w:val="000F392E"/>
    <w:rsid w:val="000F3958"/>
    <w:rsid w:val="000F39B8"/>
    <w:rsid w:val="000F3B5F"/>
    <w:rsid w:val="000F3BE7"/>
    <w:rsid w:val="000F3CD8"/>
    <w:rsid w:val="000F3D4B"/>
    <w:rsid w:val="000F3EC9"/>
    <w:rsid w:val="000F4372"/>
    <w:rsid w:val="000F4858"/>
    <w:rsid w:val="000F486C"/>
    <w:rsid w:val="000F48D2"/>
    <w:rsid w:val="000F4C36"/>
    <w:rsid w:val="000F4CC1"/>
    <w:rsid w:val="000F4D42"/>
    <w:rsid w:val="000F4E89"/>
    <w:rsid w:val="000F5241"/>
    <w:rsid w:val="000F535A"/>
    <w:rsid w:val="000F55D2"/>
    <w:rsid w:val="000F5812"/>
    <w:rsid w:val="000F58A4"/>
    <w:rsid w:val="000F58A6"/>
    <w:rsid w:val="000F5C1B"/>
    <w:rsid w:val="000F5E77"/>
    <w:rsid w:val="000F5F4C"/>
    <w:rsid w:val="000F602B"/>
    <w:rsid w:val="000F6399"/>
    <w:rsid w:val="000F63EF"/>
    <w:rsid w:val="000F64BD"/>
    <w:rsid w:val="000F6699"/>
    <w:rsid w:val="000F66CF"/>
    <w:rsid w:val="000F68A3"/>
    <w:rsid w:val="000F6961"/>
    <w:rsid w:val="000F69C6"/>
    <w:rsid w:val="000F6A05"/>
    <w:rsid w:val="000F6B03"/>
    <w:rsid w:val="000F6D3B"/>
    <w:rsid w:val="000F6F76"/>
    <w:rsid w:val="000F71B2"/>
    <w:rsid w:val="000F7286"/>
    <w:rsid w:val="000F735A"/>
    <w:rsid w:val="000F74F9"/>
    <w:rsid w:val="000F7665"/>
    <w:rsid w:val="000F76D8"/>
    <w:rsid w:val="000F77BD"/>
    <w:rsid w:val="000F79F4"/>
    <w:rsid w:val="000F7FB4"/>
    <w:rsid w:val="00100089"/>
    <w:rsid w:val="001001CD"/>
    <w:rsid w:val="001002AB"/>
    <w:rsid w:val="0010045A"/>
    <w:rsid w:val="00100581"/>
    <w:rsid w:val="0010088A"/>
    <w:rsid w:val="001009D0"/>
    <w:rsid w:val="00100AA5"/>
    <w:rsid w:val="00100C7C"/>
    <w:rsid w:val="00100D18"/>
    <w:rsid w:val="00100D6A"/>
    <w:rsid w:val="0010158B"/>
    <w:rsid w:val="001015F4"/>
    <w:rsid w:val="00101892"/>
    <w:rsid w:val="00101903"/>
    <w:rsid w:val="00101B53"/>
    <w:rsid w:val="00101D38"/>
    <w:rsid w:val="00101F64"/>
    <w:rsid w:val="00102714"/>
    <w:rsid w:val="0010295A"/>
    <w:rsid w:val="00102B1B"/>
    <w:rsid w:val="00102D4E"/>
    <w:rsid w:val="00102DBB"/>
    <w:rsid w:val="00103072"/>
    <w:rsid w:val="00103218"/>
    <w:rsid w:val="0010325F"/>
    <w:rsid w:val="001032A8"/>
    <w:rsid w:val="001032D0"/>
    <w:rsid w:val="0010345D"/>
    <w:rsid w:val="00103CBB"/>
    <w:rsid w:val="00103DBD"/>
    <w:rsid w:val="00103EA9"/>
    <w:rsid w:val="00103FA7"/>
    <w:rsid w:val="00103FE9"/>
    <w:rsid w:val="001041FE"/>
    <w:rsid w:val="0010449F"/>
    <w:rsid w:val="00104515"/>
    <w:rsid w:val="001046EE"/>
    <w:rsid w:val="001047E3"/>
    <w:rsid w:val="00104AC4"/>
    <w:rsid w:val="00104E16"/>
    <w:rsid w:val="00104E22"/>
    <w:rsid w:val="0010536F"/>
    <w:rsid w:val="00105422"/>
    <w:rsid w:val="00105787"/>
    <w:rsid w:val="001057BB"/>
    <w:rsid w:val="001057F4"/>
    <w:rsid w:val="001058DC"/>
    <w:rsid w:val="001058EC"/>
    <w:rsid w:val="00105A22"/>
    <w:rsid w:val="00105B9F"/>
    <w:rsid w:val="00105C74"/>
    <w:rsid w:val="00105EB6"/>
    <w:rsid w:val="00105F14"/>
    <w:rsid w:val="00105FE5"/>
    <w:rsid w:val="00106110"/>
    <w:rsid w:val="00106178"/>
    <w:rsid w:val="0010629D"/>
    <w:rsid w:val="001063E1"/>
    <w:rsid w:val="001066DF"/>
    <w:rsid w:val="001067A3"/>
    <w:rsid w:val="001069E2"/>
    <w:rsid w:val="00106C50"/>
    <w:rsid w:val="00106C73"/>
    <w:rsid w:val="00106FA4"/>
    <w:rsid w:val="0010710E"/>
    <w:rsid w:val="0010719F"/>
    <w:rsid w:val="001071D5"/>
    <w:rsid w:val="00107237"/>
    <w:rsid w:val="0010740C"/>
    <w:rsid w:val="00107524"/>
    <w:rsid w:val="00107750"/>
    <w:rsid w:val="00107831"/>
    <w:rsid w:val="00107916"/>
    <w:rsid w:val="00107B67"/>
    <w:rsid w:val="00107C38"/>
    <w:rsid w:val="00107C46"/>
    <w:rsid w:val="00107D43"/>
    <w:rsid w:val="00110005"/>
    <w:rsid w:val="001102E8"/>
    <w:rsid w:val="00110365"/>
    <w:rsid w:val="001103CC"/>
    <w:rsid w:val="0011069B"/>
    <w:rsid w:val="00110D92"/>
    <w:rsid w:val="00110DB3"/>
    <w:rsid w:val="00110F04"/>
    <w:rsid w:val="00110F45"/>
    <w:rsid w:val="00110FAA"/>
    <w:rsid w:val="00110FB0"/>
    <w:rsid w:val="00111036"/>
    <w:rsid w:val="001111DC"/>
    <w:rsid w:val="001116C0"/>
    <w:rsid w:val="00111733"/>
    <w:rsid w:val="00111901"/>
    <w:rsid w:val="00111AF8"/>
    <w:rsid w:val="0011209B"/>
    <w:rsid w:val="00112102"/>
    <w:rsid w:val="001121B0"/>
    <w:rsid w:val="00112215"/>
    <w:rsid w:val="00112628"/>
    <w:rsid w:val="0011270F"/>
    <w:rsid w:val="00112781"/>
    <w:rsid w:val="001127FB"/>
    <w:rsid w:val="001128FA"/>
    <w:rsid w:val="00112993"/>
    <w:rsid w:val="001129DE"/>
    <w:rsid w:val="00112AF0"/>
    <w:rsid w:val="00112C01"/>
    <w:rsid w:val="00112DE0"/>
    <w:rsid w:val="00112F63"/>
    <w:rsid w:val="00112F69"/>
    <w:rsid w:val="00113030"/>
    <w:rsid w:val="00113542"/>
    <w:rsid w:val="0011357A"/>
    <w:rsid w:val="001136CE"/>
    <w:rsid w:val="0011376E"/>
    <w:rsid w:val="001137AC"/>
    <w:rsid w:val="001138AD"/>
    <w:rsid w:val="00113900"/>
    <w:rsid w:val="00113C60"/>
    <w:rsid w:val="00114117"/>
    <w:rsid w:val="00114245"/>
    <w:rsid w:val="001142DF"/>
    <w:rsid w:val="0011430E"/>
    <w:rsid w:val="0011448A"/>
    <w:rsid w:val="001144DA"/>
    <w:rsid w:val="001144DD"/>
    <w:rsid w:val="00114592"/>
    <w:rsid w:val="001146DA"/>
    <w:rsid w:val="0011489E"/>
    <w:rsid w:val="001148DB"/>
    <w:rsid w:val="001148F4"/>
    <w:rsid w:val="00114923"/>
    <w:rsid w:val="00114943"/>
    <w:rsid w:val="00114985"/>
    <w:rsid w:val="00114A04"/>
    <w:rsid w:val="00114AAE"/>
    <w:rsid w:val="00114AB0"/>
    <w:rsid w:val="00114C69"/>
    <w:rsid w:val="00114DD5"/>
    <w:rsid w:val="00115141"/>
    <w:rsid w:val="00115149"/>
    <w:rsid w:val="00115629"/>
    <w:rsid w:val="001156BB"/>
    <w:rsid w:val="001157B2"/>
    <w:rsid w:val="00115A2E"/>
    <w:rsid w:val="00115D55"/>
    <w:rsid w:val="00115ED9"/>
    <w:rsid w:val="00116199"/>
    <w:rsid w:val="00116317"/>
    <w:rsid w:val="0011649E"/>
    <w:rsid w:val="00116664"/>
    <w:rsid w:val="00116B77"/>
    <w:rsid w:val="00116DC3"/>
    <w:rsid w:val="00116DD9"/>
    <w:rsid w:val="00116E47"/>
    <w:rsid w:val="00116EED"/>
    <w:rsid w:val="0011714C"/>
    <w:rsid w:val="001172E8"/>
    <w:rsid w:val="001172F3"/>
    <w:rsid w:val="0011763A"/>
    <w:rsid w:val="00117721"/>
    <w:rsid w:val="00117758"/>
    <w:rsid w:val="001178ED"/>
    <w:rsid w:val="0011792E"/>
    <w:rsid w:val="00117A10"/>
    <w:rsid w:val="00117D1A"/>
    <w:rsid w:val="00117DF0"/>
    <w:rsid w:val="001200C9"/>
    <w:rsid w:val="0012014B"/>
    <w:rsid w:val="00120261"/>
    <w:rsid w:val="00120266"/>
    <w:rsid w:val="0012074B"/>
    <w:rsid w:val="001208EF"/>
    <w:rsid w:val="00120B0A"/>
    <w:rsid w:val="00120B5B"/>
    <w:rsid w:val="00120C80"/>
    <w:rsid w:val="00120F0D"/>
    <w:rsid w:val="00121401"/>
    <w:rsid w:val="00121637"/>
    <w:rsid w:val="001216AC"/>
    <w:rsid w:val="001219B4"/>
    <w:rsid w:val="00121E1E"/>
    <w:rsid w:val="00121FAC"/>
    <w:rsid w:val="00121FCB"/>
    <w:rsid w:val="00122006"/>
    <w:rsid w:val="0012200E"/>
    <w:rsid w:val="0012209D"/>
    <w:rsid w:val="00122296"/>
    <w:rsid w:val="001222EF"/>
    <w:rsid w:val="00122327"/>
    <w:rsid w:val="0012247B"/>
    <w:rsid w:val="00122505"/>
    <w:rsid w:val="0012281E"/>
    <w:rsid w:val="00122929"/>
    <w:rsid w:val="00122AD0"/>
    <w:rsid w:val="00122B30"/>
    <w:rsid w:val="00122E57"/>
    <w:rsid w:val="00122FD7"/>
    <w:rsid w:val="001231D2"/>
    <w:rsid w:val="00123485"/>
    <w:rsid w:val="00123547"/>
    <w:rsid w:val="0012354D"/>
    <w:rsid w:val="001235C9"/>
    <w:rsid w:val="00123639"/>
    <w:rsid w:val="0012374C"/>
    <w:rsid w:val="001237B6"/>
    <w:rsid w:val="001238E2"/>
    <w:rsid w:val="00123912"/>
    <w:rsid w:val="00123A91"/>
    <w:rsid w:val="00123ADC"/>
    <w:rsid w:val="00123BF2"/>
    <w:rsid w:val="00123DF2"/>
    <w:rsid w:val="00123FB2"/>
    <w:rsid w:val="00124160"/>
    <w:rsid w:val="0012448D"/>
    <w:rsid w:val="001246B3"/>
    <w:rsid w:val="0012487C"/>
    <w:rsid w:val="00124A59"/>
    <w:rsid w:val="00124B1D"/>
    <w:rsid w:val="00124B24"/>
    <w:rsid w:val="00124CFD"/>
    <w:rsid w:val="001250DB"/>
    <w:rsid w:val="001253C2"/>
    <w:rsid w:val="00125496"/>
    <w:rsid w:val="00125559"/>
    <w:rsid w:val="001256F8"/>
    <w:rsid w:val="001258F1"/>
    <w:rsid w:val="00125946"/>
    <w:rsid w:val="00125A68"/>
    <w:rsid w:val="00125CB7"/>
    <w:rsid w:val="00125E33"/>
    <w:rsid w:val="00125E95"/>
    <w:rsid w:val="00126087"/>
    <w:rsid w:val="001260E3"/>
    <w:rsid w:val="00126394"/>
    <w:rsid w:val="00126448"/>
    <w:rsid w:val="00126587"/>
    <w:rsid w:val="00126623"/>
    <w:rsid w:val="0012662B"/>
    <w:rsid w:val="00126A3D"/>
    <w:rsid w:val="00126AAF"/>
    <w:rsid w:val="00126B02"/>
    <w:rsid w:val="00126BB7"/>
    <w:rsid w:val="00126C95"/>
    <w:rsid w:val="00126D10"/>
    <w:rsid w:val="00126D53"/>
    <w:rsid w:val="00126FBC"/>
    <w:rsid w:val="00126FED"/>
    <w:rsid w:val="0012711C"/>
    <w:rsid w:val="00127206"/>
    <w:rsid w:val="001272CA"/>
    <w:rsid w:val="0012739D"/>
    <w:rsid w:val="001273CC"/>
    <w:rsid w:val="00127466"/>
    <w:rsid w:val="001274AD"/>
    <w:rsid w:val="001277A4"/>
    <w:rsid w:val="00127939"/>
    <w:rsid w:val="00127CE6"/>
    <w:rsid w:val="00127E80"/>
    <w:rsid w:val="00130345"/>
    <w:rsid w:val="0013038F"/>
    <w:rsid w:val="001303BB"/>
    <w:rsid w:val="001304A5"/>
    <w:rsid w:val="001305D7"/>
    <w:rsid w:val="00130910"/>
    <w:rsid w:val="00130A0E"/>
    <w:rsid w:val="00130DAF"/>
    <w:rsid w:val="00130E1F"/>
    <w:rsid w:val="00130E47"/>
    <w:rsid w:val="00130F1D"/>
    <w:rsid w:val="00130F1E"/>
    <w:rsid w:val="00130FB7"/>
    <w:rsid w:val="001310EC"/>
    <w:rsid w:val="00131143"/>
    <w:rsid w:val="0013118D"/>
    <w:rsid w:val="0013143E"/>
    <w:rsid w:val="00131650"/>
    <w:rsid w:val="00131827"/>
    <w:rsid w:val="001318BB"/>
    <w:rsid w:val="001318EE"/>
    <w:rsid w:val="00131931"/>
    <w:rsid w:val="001319E9"/>
    <w:rsid w:val="00131B37"/>
    <w:rsid w:val="00131B4E"/>
    <w:rsid w:val="00131B60"/>
    <w:rsid w:val="00131C41"/>
    <w:rsid w:val="00131D93"/>
    <w:rsid w:val="00131F66"/>
    <w:rsid w:val="00131F83"/>
    <w:rsid w:val="00132230"/>
    <w:rsid w:val="00132288"/>
    <w:rsid w:val="001325CB"/>
    <w:rsid w:val="00132651"/>
    <w:rsid w:val="0013297D"/>
    <w:rsid w:val="00132C58"/>
    <w:rsid w:val="00132DFF"/>
    <w:rsid w:val="00132E4E"/>
    <w:rsid w:val="00133011"/>
    <w:rsid w:val="001330C9"/>
    <w:rsid w:val="00133180"/>
    <w:rsid w:val="001332AD"/>
    <w:rsid w:val="001332B5"/>
    <w:rsid w:val="0013347D"/>
    <w:rsid w:val="001336E3"/>
    <w:rsid w:val="00133755"/>
    <w:rsid w:val="00133A5A"/>
    <w:rsid w:val="00133B23"/>
    <w:rsid w:val="00133B87"/>
    <w:rsid w:val="00133D65"/>
    <w:rsid w:val="00133E30"/>
    <w:rsid w:val="00133EFD"/>
    <w:rsid w:val="00133F96"/>
    <w:rsid w:val="001340CF"/>
    <w:rsid w:val="00134163"/>
    <w:rsid w:val="0013426C"/>
    <w:rsid w:val="001344D0"/>
    <w:rsid w:val="001344FA"/>
    <w:rsid w:val="001344FF"/>
    <w:rsid w:val="001345DB"/>
    <w:rsid w:val="0013460C"/>
    <w:rsid w:val="00134790"/>
    <w:rsid w:val="0013498E"/>
    <w:rsid w:val="00134B1C"/>
    <w:rsid w:val="00134E2C"/>
    <w:rsid w:val="0013519A"/>
    <w:rsid w:val="0013528E"/>
    <w:rsid w:val="001353D9"/>
    <w:rsid w:val="00135824"/>
    <w:rsid w:val="00135A0D"/>
    <w:rsid w:val="00135A6F"/>
    <w:rsid w:val="00135A83"/>
    <w:rsid w:val="001360D1"/>
    <w:rsid w:val="001360E3"/>
    <w:rsid w:val="001361ED"/>
    <w:rsid w:val="0013635F"/>
    <w:rsid w:val="00136523"/>
    <w:rsid w:val="0013682E"/>
    <w:rsid w:val="00136983"/>
    <w:rsid w:val="00136DBA"/>
    <w:rsid w:val="00136E28"/>
    <w:rsid w:val="00136E64"/>
    <w:rsid w:val="00136FA8"/>
    <w:rsid w:val="00137051"/>
    <w:rsid w:val="001370D4"/>
    <w:rsid w:val="001374BF"/>
    <w:rsid w:val="00137534"/>
    <w:rsid w:val="00137541"/>
    <w:rsid w:val="001378B9"/>
    <w:rsid w:val="00137B87"/>
    <w:rsid w:val="00137ED4"/>
    <w:rsid w:val="00137EDF"/>
    <w:rsid w:val="00137F2F"/>
    <w:rsid w:val="0014021F"/>
    <w:rsid w:val="0014029F"/>
    <w:rsid w:val="001403B3"/>
    <w:rsid w:val="001403F9"/>
    <w:rsid w:val="0014049A"/>
    <w:rsid w:val="00140631"/>
    <w:rsid w:val="001406F7"/>
    <w:rsid w:val="00140704"/>
    <w:rsid w:val="00140908"/>
    <w:rsid w:val="00140AE7"/>
    <w:rsid w:val="00140D25"/>
    <w:rsid w:val="00140D8F"/>
    <w:rsid w:val="00140E89"/>
    <w:rsid w:val="00140EC8"/>
    <w:rsid w:val="00140F11"/>
    <w:rsid w:val="00141057"/>
    <w:rsid w:val="00141118"/>
    <w:rsid w:val="00141188"/>
    <w:rsid w:val="00141253"/>
    <w:rsid w:val="0014156A"/>
    <w:rsid w:val="00141639"/>
    <w:rsid w:val="001416A6"/>
    <w:rsid w:val="001418FA"/>
    <w:rsid w:val="00141A30"/>
    <w:rsid w:val="00141A8A"/>
    <w:rsid w:val="00141AD5"/>
    <w:rsid w:val="00141FAC"/>
    <w:rsid w:val="00142172"/>
    <w:rsid w:val="001422B1"/>
    <w:rsid w:val="001422C4"/>
    <w:rsid w:val="001422F5"/>
    <w:rsid w:val="0014250C"/>
    <w:rsid w:val="00142796"/>
    <w:rsid w:val="00142852"/>
    <w:rsid w:val="001428D5"/>
    <w:rsid w:val="00142B19"/>
    <w:rsid w:val="00142C8C"/>
    <w:rsid w:val="00142E01"/>
    <w:rsid w:val="001432B3"/>
    <w:rsid w:val="00143452"/>
    <w:rsid w:val="0014350A"/>
    <w:rsid w:val="00143531"/>
    <w:rsid w:val="0014383B"/>
    <w:rsid w:val="0014383D"/>
    <w:rsid w:val="0014398B"/>
    <w:rsid w:val="00143C2C"/>
    <w:rsid w:val="00143E58"/>
    <w:rsid w:val="00143FB1"/>
    <w:rsid w:val="001440BB"/>
    <w:rsid w:val="0014433D"/>
    <w:rsid w:val="0014436B"/>
    <w:rsid w:val="0014445A"/>
    <w:rsid w:val="00144579"/>
    <w:rsid w:val="00144586"/>
    <w:rsid w:val="0014458E"/>
    <w:rsid w:val="00144593"/>
    <w:rsid w:val="00144945"/>
    <w:rsid w:val="00144BA0"/>
    <w:rsid w:val="00144F02"/>
    <w:rsid w:val="0014507C"/>
    <w:rsid w:val="00145303"/>
    <w:rsid w:val="0014540F"/>
    <w:rsid w:val="0014546A"/>
    <w:rsid w:val="001458F9"/>
    <w:rsid w:val="00145AD3"/>
    <w:rsid w:val="00145B86"/>
    <w:rsid w:val="00145F91"/>
    <w:rsid w:val="00146002"/>
    <w:rsid w:val="00146048"/>
    <w:rsid w:val="001460ED"/>
    <w:rsid w:val="0014614F"/>
    <w:rsid w:val="0014621E"/>
    <w:rsid w:val="00146735"/>
    <w:rsid w:val="001467EB"/>
    <w:rsid w:val="001469CA"/>
    <w:rsid w:val="00146A7F"/>
    <w:rsid w:val="00146C8C"/>
    <w:rsid w:val="00146CA2"/>
    <w:rsid w:val="00146D28"/>
    <w:rsid w:val="00146DCB"/>
    <w:rsid w:val="00146E19"/>
    <w:rsid w:val="00146F78"/>
    <w:rsid w:val="001471A3"/>
    <w:rsid w:val="00147418"/>
    <w:rsid w:val="001474CA"/>
    <w:rsid w:val="00147524"/>
    <w:rsid w:val="001476FF"/>
    <w:rsid w:val="0014793F"/>
    <w:rsid w:val="0014794C"/>
    <w:rsid w:val="00147AC4"/>
    <w:rsid w:val="00147D3F"/>
    <w:rsid w:val="00147F5C"/>
    <w:rsid w:val="00150057"/>
    <w:rsid w:val="001500D5"/>
    <w:rsid w:val="0015015B"/>
    <w:rsid w:val="0015015F"/>
    <w:rsid w:val="001503FD"/>
    <w:rsid w:val="001504F6"/>
    <w:rsid w:val="00150640"/>
    <w:rsid w:val="00150852"/>
    <w:rsid w:val="0015089A"/>
    <w:rsid w:val="00150A69"/>
    <w:rsid w:val="00150BC4"/>
    <w:rsid w:val="00150D0A"/>
    <w:rsid w:val="00150E0C"/>
    <w:rsid w:val="00150E9B"/>
    <w:rsid w:val="00151071"/>
    <w:rsid w:val="001510A5"/>
    <w:rsid w:val="0015145F"/>
    <w:rsid w:val="001518DB"/>
    <w:rsid w:val="00151D5E"/>
    <w:rsid w:val="00151D6A"/>
    <w:rsid w:val="00151D87"/>
    <w:rsid w:val="00152009"/>
    <w:rsid w:val="0015214B"/>
    <w:rsid w:val="0015218B"/>
    <w:rsid w:val="001523B6"/>
    <w:rsid w:val="0015242D"/>
    <w:rsid w:val="001524D2"/>
    <w:rsid w:val="0015259A"/>
    <w:rsid w:val="001526A1"/>
    <w:rsid w:val="00152712"/>
    <w:rsid w:val="0015274C"/>
    <w:rsid w:val="0015284A"/>
    <w:rsid w:val="00152D84"/>
    <w:rsid w:val="00153700"/>
    <w:rsid w:val="00153A37"/>
    <w:rsid w:val="00153B0D"/>
    <w:rsid w:val="00153B76"/>
    <w:rsid w:val="00153C25"/>
    <w:rsid w:val="00153CBE"/>
    <w:rsid w:val="00153DBD"/>
    <w:rsid w:val="0015417F"/>
    <w:rsid w:val="001541B5"/>
    <w:rsid w:val="001541D0"/>
    <w:rsid w:val="00154520"/>
    <w:rsid w:val="0015458B"/>
    <w:rsid w:val="00154624"/>
    <w:rsid w:val="001546F9"/>
    <w:rsid w:val="00154D2F"/>
    <w:rsid w:val="00154E5F"/>
    <w:rsid w:val="00154E9F"/>
    <w:rsid w:val="00154EEE"/>
    <w:rsid w:val="001555CE"/>
    <w:rsid w:val="00155E15"/>
    <w:rsid w:val="00155EE1"/>
    <w:rsid w:val="00155EEC"/>
    <w:rsid w:val="00155EF8"/>
    <w:rsid w:val="001562BA"/>
    <w:rsid w:val="00156522"/>
    <w:rsid w:val="0015653D"/>
    <w:rsid w:val="001566D8"/>
    <w:rsid w:val="00156A7D"/>
    <w:rsid w:val="00156A9C"/>
    <w:rsid w:val="00156B7C"/>
    <w:rsid w:val="00156DC5"/>
    <w:rsid w:val="00156F18"/>
    <w:rsid w:val="00156F3C"/>
    <w:rsid w:val="0015703E"/>
    <w:rsid w:val="001570FC"/>
    <w:rsid w:val="0015716D"/>
    <w:rsid w:val="001572DF"/>
    <w:rsid w:val="00157361"/>
    <w:rsid w:val="0015746E"/>
    <w:rsid w:val="001575C0"/>
    <w:rsid w:val="0015760C"/>
    <w:rsid w:val="00157AB1"/>
    <w:rsid w:val="00157BFD"/>
    <w:rsid w:val="00157DD9"/>
    <w:rsid w:val="00157F6D"/>
    <w:rsid w:val="00160242"/>
    <w:rsid w:val="001605EA"/>
    <w:rsid w:val="0016092F"/>
    <w:rsid w:val="00160C6E"/>
    <w:rsid w:val="00160D3D"/>
    <w:rsid w:val="0016129B"/>
    <w:rsid w:val="0016135E"/>
    <w:rsid w:val="00161A00"/>
    <w:rsid w:val="00161C21"/>
    <w:rsid w:val="00161C5F"/>
    <w:rsid w:val="00161CAA"/>
    <w:rsid w:val="00161DB9"/>
    <w:rsid w:val="00162018"/>
    <w:rsid w:val="001620A9"/>
    <w:rsid w:val="001622C7"/>
    <w:rsid w:val="0016245E"/>
    <w:rsid w:val="0016255F"/>
    <w:rsid w:val="0016258D"/>
    <w:rsid w:val="001625F6"/>
    <w:rsid w:val="001628E7"/>
    <w:rsid w:val="00162903"/>
    <w:rsid w:val="00162961"/>
    <w:rsid w:val="00162B46"/>
    <w:rsid w:val="00162E5D"/>
    <w:rsid w:val="00162E8D"/>
    <w:rsid w:val="00162FED"/>
    <w:rsid w:val="00163074"/>
    <w:rsid w:val="001633F5"/>
    <w:rsid w:val="00163861"/>
    <w:rsid w:val="0016398B"/>
    <w:rsid w:val="00163A69"/>
    <w:rsid w:val="00163F06"/>
    <w:rsid w:val="00163F28"/>
    <w:rsid w:val="00163F29"/>
    <w:rsid w:val="00163F91"/>
    <w:rsid w:val="001640E1"/>
    <w:rsid w:val="00164203"/>
    <w:rsid w:val="0016423B"/>
    <w:rsid w:val="00164377"/>
    <w:rsid w:val="00164564"/>
    <w:rsid w:val="00164625"/>
    <w:rsid w:val="001649EB"/>
    <w:rsid w:val="00164BF5"/>
    <w:rsid w:val="00164C14"/>
    <w:rsid w:val="00164CD1"/>
    <w:rsid w:val="00164D12"/>
    <w:rsid w:val="00164FD5"/>
    <w:rsid w:val="00165003"/>
    <w:rsid w:val="00165087"/>
    <w:rsid w:val="0016511C"/>
    <w:rsid w:val="001651D3"/>
    <w:rsid w:val="00165396"/>
    <w:rsid w:val="001655D3"/>
    <w:rsid w:val="001657A9"/>
    <w:rsid w:val="0016583A"/>
    <w:rsid w:val="0016589F"/>
    <w:rsid w:val="00165AE5"/>
    <w:rsid w:val="00165EB0"/>
    <w:rsid w:val="0016607F"/>
    <w:rsid w:val="001660C2"/>
    <w:rsid w:val="0016614C"/>
    <w:rsid w:val="0016620B"/>
    <w:rsid w:val="001662F8"/>
    <w:rsid w:val="001663D2"/>
    <w:rsid w:val="00166508"/>
    <w:rsid w:val="00166581"/>
    <w:rsid w:val="0016682F"/>
    <w:rsid w:val="0016698F"/>
    <w:rsid w:val="00166CA2"/>
    <w:rsid w:val="00166D05"/>
    <w:rsid w:val="00166D13"/>
    <w:rsid w:val="00166D29"/>
    <w:rsid w:val="00167210"/>
    <w:rsid w:val="001672C6"/>
    <w:rsid w:val="001672D6"/>
    <w:rsid w:val="001673B8"/>
    <w:rsid w:val="001673CF"/>
    <w:rsid w:val="0016778C"/>
    <w:rsid w:val="00167A2E"/>
    <w:rsid w:val="00167DE6"/>
    <w:rsid w:val="00167E05"/>
    <w:rsid w:val="00167EDD"/>
    <w:rsid w:val="001700F4"/>
    <w:rsid w:val="001701ED"/>
    <w:rsid w:val="0017038E"/>
    <w:rsid w:val="001703C8"/>
    <w:rsid w:val="001704C4"/>
    <w:rsid w:val="001704D6"/>
    <w:rsid w:val="00170817"/>
    <w:rsid w:val="001709B5"/>
    <w:rsid w:val="00170B4E"/>
    <w:rsid w:val="00170D75"/>
    <w:rsid w:val="00170D89"/>
    <w:rsid w:val="001712DA"/>
    <w:rsid w:val="00171362"/>
    <w:rsid w:val="00171523"/>
    <w:rsid w:val="0017154D"/>
    <w:rsid w:val="00171716"/>
    <w:rsid w:val="00171C2B"/>
    <w:rsid w:val="00171EB2"/>
    <w:rsid w:val="001721CD"/>
    <w:rsid w:val="00172354"/>
    <w:rsid w:val="0017246B"/>
    <w:rsid w:val="00172544"/>
    <w:rsid w:val="0017262F"/>
    <w:rsid w:val="001727DC"/>
    <w:rsid w:val="001728CA"/>
    <w:rsid w:val="00172BBA"/>
    <w:rsid w:val="00172E06"/>
    <w:rsid w:val="00172FA8"/>
    <w:rsid w:val="00173046"/>
    <w:rsid w:val="0017307E"/>
    <w:rsid w:val="00173759"/>
    <w:rsid w:val="00173843"/>
    <w:rsid w:val="0017386A"/>
    <w:rsid w:val="00173971"/>
    <w:rsid w:val="00173A60"/>
    <w:rsid w:val="00173BC2"/>
    <w:rsid w:val="00173E23"/>
    <w:rsid w:val="0017401B"/>
    <w:rsid w:val="0017412A"/>
    <w:rsid w:val="00174180"/>
    <w:rsid w:val="00174189"/>
    <w:rsid w:val="001741E8"/>
    <w:rsid w:val="001743E0"/>
    <w:rsid w:val="00174421"/>
    <w:rsid w:val="0017443C"/>
    <w:rsid w:val="0017456D"/>
    <w:rsid w:val="001745A3"/>
    <w:rsid w:val="0017463D"/>
    <w:rsid w:val="00174797"/>
    <w:rsid w:val="00174A96"/>
    <w:rsid w:val="00174B17"/>
    <w:rsid w:val="00174B51"/>
    <w:rsid w:val="00174DF9"/>
    <w:rsid w:val="00174E9B"/>
    <w:rsid w:val="00174EA9"/>
    <w:rsid w:val="00174F00"/>
    <w:rsid w:val="0017509F"/>
    <w:rsid w:val="00175178"/>
    <w:rsid w:val="0017543C"/>
    <w:rsid w:val="0017584F"/>
    <w:rsid w:val="00175924"/>
    <w:rsid w:val="001759FA"/>
    <w:rsid w:val="00175C14"/>
    <w:rsid w:val="00175CCE"/>
    <w:rsid w:val="00175E9E"/>
    <w:rsid w:val="00175FEA"/>
    <w:rsid w:val="00176545"/>
    <w:rsid w:val="001766B2"/>
    <w:rsid w:val="00176936"/>
    <w:rsid w:val="00176A77"/>
    <w:rsid w:val="00176B69"/>
    <w:rsid w:val="00176D05"/>
    <w:rsid w:val="00176EFE"/>
    <w:rsid w:val="00176F31"/>
    <w:rsid w:val="00177378"/>
    <w:rsid w:val="00177395"/>
    <w:rsid w:val="00177636"/>
    <w:rsid w:val="00177722"/>
    <w:rsid w:val="001778E9"/>
    <w:rsid w:val="00177913"/>
    <w:rsid w:val="0017792A"/>
    <w:rsid w:val="00177C0C"/>
    <w:rsid w:val="00177E5D"/>
    <w:rsid w:val="00177F38"/>
    <w:rsid w:val="00177F94"/>
    <w:rsid w:val="00180159"/>
    <w:rsid w:val="0018025C"/>
    <w:rsid w:val="0018037A"/>
    <w:rsid w:val="001803E5"/>
    <w:rsid w:val="001804C6"/>
    <w:rsid w:val="001804C9"/>
    <w:rsid w:val="00180632"/>
    <w:rsid w:val="00180720"/>
    <w:rsid w:val="001808E9"/>
    <w:rsid w:val="001809A1"/>
    <w:rsid w:val="00180AE5"/>
    <w:rsid w:val="00180B15"/>
    <w:rsid w:val="00180F05"/>
    <w:rsid w:val="00180FD1"/>
    <w:rsid w:val="00181008"/>
    <w:rsid w:val="001810CE"/>
    <w:rsid w:val="00181171"/>
    <w:rsid w:val="001812C6"/>
    <w:rsid w:val="001813F2"/>
    <w:rsid w:val="0018159A"/>
    <w:rsid w:val="001815FB"/>
    <w:rsid w:val="00181ADA"/>
    <w:rsid w:val="00181B48"/>
    <w:rsid w:val="00181C13"/>
    <w:rsid w:val="00181CB9"/>
    <w:rsid w:val="00181E3A"/>
    <w:rsid w:val="00181F60"/>
    <w:rsid w:val="00182021"/>
    <w:rsid w:val="00182655"/>
    <w:rsid w:val="00182ABE"/>
    <w:rsid w:val="00182C22"/>
    <w:rsid w:val="00182E01"/>
    <w:rsid w:val="00182E22"/>
    <w:rsid w:val="00182FE3"/>
    <w:rsid w:val="0018322C"/>
    <w:rsid w:val="00183243"/>
    <w:rsid w:val="0018331B"/>
    <w:rsid w:val="001833B4"/>
    <w:rsid w:val="001834BA"/>
    <w:rsid w:val="00183556"/>
    <w:rsid w:val="00183641"/>
    <w:rsid w:val="00183780"/>
    <w:rsid w:val="00183838"/>
    <w:rsid w:val="00183A72"/>
    <w:rsid w:val="00183D18"/>
    <w:rsid w:val="00183E54"/>
    <w:rsid w:val="00184356"/>
    <w:rsid w:val="001843CE"/>
    <w:rsid w:val="00184457"/>
    <w:rsid w:val="00184727"/>
    <w:rsid w:val="00184A64"/>
    <w:rsid w:val="00184A68"/>
    <w:rsid w:val="00184D6E"/>
    <w:rsid w:val="00184F94"/>
    <w:rsid w:val="001853BD"/>
    <w:rsid w:val="00185408"/>
    <w:rsid w:val="001854D4"/>
    <w:rsid w:val="001854E9"/>
    <w:rsid w:val="00185543"/>
    <w:rsid w:val="00185A23"/>
    <w:rsid w:val="00185CF8"/>
    <w:rsid w:val="00185D10"/>
    <w:rsid w:val="00186123"/>
    <w:rsid w:val="001861E2"/>
    <w:rsid w:val="001864BF"/>
    <w:rsid w:val="00186527"/>
    <w:rsid w:val="001865B7"/>
    <w:rsid w:val="00186623"/>
    <w:rsid w:val="00186686"/>
    <w:rsid w:val="0018669A"/>
    <w:rsid w:val="001867C5"/>
    <w:rsid w:val="001868CB"/>
    <w:rsid w:val="00187038"/>
    <w:rsid w:val="00187440"/>
    <w:rsid w:val="001874B5"/>
    <w:rsid w:val="001874CD"/>
    <w:rsid w:val="0018765A"/>
    <w:rsid w:val="00187D1A"/>
    <w:rsid w:val="00187E1E"/>
    <w:rsid w:val="00187EF8"/>
    <w:rsid w:val="00187F1D"/>
    <w:rsid w:val="00189431"/>
    <w:rsid w:val="0019020A"/>
    <w:rsid w:val="001903AF"/>
    <w:rsid w:val="001904FA"/>
    <w:rsid w:val="001906AF"/>
    <w:rsid w:val="0019079F"/>
    <w:rsid w:val="00190807"/>
    <w:rsid w:val="00190953"/>
    <w:rsid w:val="00190991"/>
    <w:rsid w:val="00190AC9"/>
    <w:rsid w:val="00190B9E"/>
    <w:rsid w:val="00190C05"/>
    <w:rsid w:val="00190C15"/>
    <w:rsid w:val="00190C48"/>
    <w:rsid w:val="00190CAD"/>
    <w:rsid w:val="00190DA0"/>
    <w:rsid w:val="00190E02"/>
    <w:rsid w:val="00190E37"/>
    <w:rsid w:val="001912F7"/>
    <w:rsid w:val="001914A4"/>
    <w:rsid w:val="00191900"/>
    <w:rsid w:val="0019197F"/>
    <w:rsid w:val="0019283B"/>
    <w:rsid w:val="001928A2"/>
    <w:rsid w:val="00192A19"/>
    <w:rsid w:val="00192A82"/>
    <w:rsid w:val="00192C89"/>
    <w:rsid w:val="00192D01"/>
    <w:rsid w:val="00192F29"/>
    <w:rsid w:val="0019308A"/>
    <w:rsid w:val="00193140"/>
    <w:rsid w:val="0019327C"/>
    <w:rsid w:val="00193707"/>
    <w:rsid w:val="001938EF"/>
    <w:rsid w:val="00193B0E"/>
    <w:rsid w:val="00193D7E"/>
    <w:rsid w:val="00193FEE"/>
    <w:rsid w:val="0019403F"/>
    <w:rsid w:val="00194452"/>
    <w:rsid w:val="001945D1"/>
    <w:rsid w:val="00194739"/>
    <w:rsid w:val="00194935"/>
    <w:rsid w:val="00194964"/>
    <w:rsid w:val="00194B35"/>
    <w:rsid w:val="00194CE5"/>
    <w:rsid w:val="00194F4A"/>
    <w:rsid w:val="00194F60"/>
    <w:rsid w:val="00194F83"/>
    <w:rsid w:val="00194FEA"/>
    <w:rsid w:val="00195066"/>
    <w:rsid w:val="00195105"/>
    <w:rsid w:val="00195120"/>
    <w:rsid w:val="001954DF"/>
    <w:rsid w:val="00195607"/>
    <w:rsid w:val="00195803"/>
    <w:rsid w:val="00195971"/>
    <w:rsid w:val="00195AB8"/>
    <w:rsid w:val="00195BAC"/>
    <w:rsid w:val="00195DC1"/>
    <w:rsid w:val="00195EAC"/>
    <w:rsid w:val="00195EF8"/>
    <w:rsid w:val="001960E6"/>
    <w:rsid w:val="0019613B"/>
    <w:rsid w:val="0019621C"/>
    <w:rsid w:val="001962E0"/>
    <w:rsid w:val="0019637E"/>
    <w:rsid w:val="00196463"/>
    <w:rsid w:val="00196670"/>
    <w:rsid w:val="001967BF"/>
    <w:rsid w:val="00196A6A"/>
    <w:rsid w:val="00196C42"/>
    <w:rsid w:val="00196CFF"/>
    <w:rsid w:val="00196F87"/>
    <w:rsid w:val="00197257"/>
    <w:rsid w:val="00197355"/>
    <w:rsid w:val="001973E4"/>
    <w:rsid w:val="00197411"/>
    <w:rsid w:val="001975FE"/>
    <w:rsid w:val="00197729"/>
    <w:rsid w:val="0019780B"/>
    <w:rsid w:val="001978CB"/>
    <w:rsid w:val="001979AC"/>
    <w:rsid w:val="00197AD3"/>
    <w:rsid w:val="00197AFC"/>
    <w:rsid w:val="00197D50"/>
    <w:rsid w:val="00197DDF"/>
    <w:rsid w:val="00197F95"/>
    <w:rsid w:val="001A00A0"/>
    <w:rsid w:val="001A059D"/>
    <w:rsid w:val="001A07C4"/>
    <w:rsid w:val="001A07D8"/>
    <w:rsid w:val="001A09BF"/>
    <w:rsid w:val="001A0B34"/>
    <w:rsid w:val="001A0BAD"/>
    <w:rsid w:val="001A0D1A"/>
    <w:rsid w:val="001A0E2A"/>
    <w:rsid w:val="001A0FBE"/>
    <w:rsid w:val="001A1042"/>
    <w:rsid w:val="001A10FB"/>
    <w:rsid w:val="001A1236"/>
    <w:rsid w:val="001A12B0"/>
    <w:rsid w:val="001A1362"/>
    <w:rsid w:val="001A1399"/>
    <w:rsid w:val="001A15F8"/>
    <w:rsid w:val="001A1622"/>
    <w:rsid w:val="001A1659"/>
    <w:rsid w:val="001A16C2"/>
    <w:rsid w:val="001A186A"/>
    <w:rsid w:val="001A18F4"/>
    <w:rsid w:val="001A2555"/>
    <w:rsid w:val="001A297D"/>
    <w:rsid w:val="001A2999"/>
    <w:rsid w:val="001A2D21"/>
    <w:rsid w:val="001A2DC1"/>
    <w:rsid w:val="001A2E52"/>
    <w:rsid w:val="001A2F12"/>
    <w:rsid w:val="001A30A0"/>
    <w:rsid w:val="001A3241"/>
    <w:rsid w:val="001A3459"/>
    <w:rsid w:val="001A361F"/>
    <w:rsid w:val="001A3AE3"/>
    <w:rsid w:val="001A3B4E"/>
    <w:rsid w:val="001A3C52"/>
    <w:rsid w:val="001A3DED"/>
    <w:rsid w:val="001A4040"/>
    <w:rsid w:val="001A40AC"/>
    <w:rsid w:val="001A41E8"/>
    <w:rsid w:val="001A4275"/>
    <w:rsid w:val="001A4496"/>
    <w:rsid w:val="001A4634"/>
    <w:rsid w:val="001A4753"/>
    <w:rsid w:val="001A4816"/>
    <w:rsid w:val="001A48D6"/>
    <w:rsid w:val="001A4A18"/>
    <w:rsid w:val="001A4F3A"/>
    <w:rsid w:val="001A4F60"/>
    <w:rsid w:val="001A5102"/>
    <w:rsid w:val="001A5264"/>
    <w:rsid w:val="001A5351"/>
    <w:rsid w:val="001A540F"/>
    <w:rsid w:val="001A5706"/>
    <w:rsid w:val="001A5928"/>
    <w:rsid w:val="001A59B9"/>
    <w:rsid w:val="001A59E1"/>
    <w:rsid w:val="001A5AD4"/>
    <w:rsid w:val="001A5ADA"/>
    <w:rsid w:val="001A5BAD"/>
    <w:rsid w:val="001A5BBF"/>
    <w:rsid w:val="001A5E42"/>
    <w:rsid w:val="001A5ED4"/>
    <w:rsid w:val="001A5F58"/>
    <w:rsid w:val="001A64BF"/>
    <w:rsid w:val="001A6592"/>
    <w:rsid w:val="001A6827"/>
    <w:rsid w:val="001A687F"/>
    <w:rsid w:val="001A6AA5"/>
    <w:rsid w:val="001A6C44"/>
    <w:rsid w:val="001A6D06"/>
    <w:rsid w:val="001A6D81"/>
    <w:rsid w:val="001A6D9E"/>
    <w:rsid w:val="001A6E68"/>
    <w:rsid w:val="001A6E70"/>
    <w:rsid w:val="001A6E9A"/>
    <w:rsid w:val="001A7190"/>
    <w:rsid w:val="001A78BF"/>
    <w:rsid w:val="001A79BE"/>
    <w:rsid w:val="001A7AA1"/>
    <w:rsid w:val="001A7B37"/>
    <w:rsid w:val="001A7B61"/>
    <w:rsid w:val="001A7B83"/>
    <w:rsid w:val="001A7DF7"/>
    <w:rsid w:val="001A7E38"/>
    <w:rsid w:val="001B007B"/>
    <w:rsid w:val="001B02C2"/>
    <w:rsid w:val="001B0300"/>
    <w:rsid w:val="001B071D"/>
    <w:rsid w:val="001B0D85"/>
    <w:rsid w:val="001B1038"/>
    <w:rsid w:val="001B12FB"/>
    <w:rsid w:val="001B1349"/>
    <w:rsid w:val="001B13DF"/>
    <w:rsid w:val="001B17D2"/>
    <w:rsid w:val="001B1A51"/>
    <w:rsid w:val="001B1C27"/>
    <w:rsid w:val="001B1DBE"/>
    <w:rsid w:val="001B1DE5"/>
    <w:rsid w:val="001B234A"/>
    <w:rsid w:val="001B2365"/>
    <w:rsid w:val="001B2525"/>
    <w:rsid w:val="001B2665"/>
    <w:rsid w:val="001B296E"/>
    <w:rsid w:val="001B2A19"/>
    <w:rsid w:val="001B2CEF"/>
    <w:rsid w:val="001B3055"/>
    <w:rsid w:val="001B3145"/>
    <w:rsid w:val="001B3250"/>
    <w:rsid w:val="001B352A"/>
    <w:rsid w:val="001B357B"/>
    <w:rsid w:val="001B359E"/>
    <w:rsid w:val="001B37EE"/>
    <w:rsid w:val="001B39F5"/>
    <w:rsid w:val="001B3A48"/>
    <w:rsid w:val="001B3B4C"/>
    <w:rsid w:val="001B3C18"/>
    <w:rsid w:val="001B3CBD"/>
    <w:rsid w:val="001B3DEB"/>
    <w:rsid w:val="001B3E51"/>
    <w:rsid w:val="001B3F68"/>
    <w:rsid w:val="001B3FEB"/>
    <w:rsid w:val="001B43AA"/>
    <w:rsid w:val="001B44E7"/>
    <w:rsid w:val="001B4529"/>
    <w:rsid w:val="001B452B"/>
    <w:rsid w:val="001B49B8"/>
    <w:rsid w:val="001B4A1E"/>
    <w:rsid w:val="001B4C1F"/>
    <w:rsid w:val="001B502E"/>
    <w:rsid w:val="001B50B4"/>
    <w:rsid w:val="001B50CD"/>
    <w:rsid w:val="001B5264"/>
    <w:rsid w:val="001B557F"/>
    <w:rsid w:val="001B5682"/>
    <w:rsid w:val="001B57DD"/>
    <w:rsid w:val="001B582A"/>
    <w:rsid w:val="001B5853"/>
    <w:rsid w:val="001B585A"/>
    <w:rsid w:val="001B5914"/>
    <w:rsid w:val="001B59C9"/>
    <w:rsid w:val="001B5C76"/>
    <w:rsid w:val="001B62D0"/>
    <w:rsid w:val="001B633B"/>
    <w:rsid w:val="001B636C"/>
    <w:rsid w:val="001B65B4"/>
    <w:rsid w:val="001B6615"/>
    <w:rsid w:val="001B6674"/>
    <w:rsid w:val="001B6D99"/>
    <w:rsid w:val="001B6D9A"/>
    <w:rsid w:val="001B6DA8"/>
    <w:rsid w:val="001B7137"/>
    <w:rsid w:val="001B71F7"/>
    <w:rsid w:val="001B73A3"/>
    <w:rsid w:val="001B788F"/>
    <w:rsid w:val="001B7893"/>
    <w:rsid w:val="001B7973"/>
    <w:rsid w:val="001B798D"/>
    <w:rsid w:val="001B7BE0"/>
    <w:rsid w:val="001B7E96"/>
    <w:rsid w:val="001B7E9C"/>
    <w:rsid w:val="001B7FB1"/>
    <w:rsid w:val="001C0396"/>
    <w:rsid w:val="001C04E8"/>
    <w:rsid w:val="001C0768"/>
    <w:rsid w:val="001C08EE"/>
    <w:rsid w:val="001C09E7"/>
    <w:rsid w:val="001C0AB8"/>
    <w:rsid w:val="001C0B44"/>
    <w:rsid w:val="001C0D62"/>
    <w:rsid w:val="001C0E63"/>
    <w:rsid w:val="001C1104"/>
    <w:rsid w:val="001C1391"/>
    <w:rsid w:val="001C1469"/>
    <w:rsid w:val="001C16BC"/>
    <w:rsid w:val="001C17B7"/>
    <w:rsid w:val="001C1840"/>
    <w:rsid w:val="001C1BC0"/>
    <w:rsid w:val="001C1D83"/>
    <w:rsid w:val="001C1E8F"/>
    <w:rsid w:val="001C1FFC"/>
    <w:rsid w:val="001C2217"/>
    <w:rsid w:val="001C2281"/>
    <w:rsid w:val="001C2680"/>
    <w:rsid w:val="001C2746"/>
    <w:rsid w:val="001C27ED"/>
    <w:rsid w:val="001C281B"/>
    <w:rsid w:val="001C2829"/>
    <w:rsid w:val="001C28A3"/>
    <w:rsid w:val="001C2A7F"/>
    <w:rsid w:val="001C2BA8"/>
    <w:rsid w:val="001C2C85"/>
    <w:rsid w:val="001C2E40"/>
    <w:rsid w:val="001C2E47"/>
    <w:rsid w:val="001C2ED3"/>
    <w:rsid w:val="001C2F32"/>
    <w:rsid w:val="001C3429"/>
    <w:rsid w:val="001C393C"/>
    <w:rsid w:val="001C3B14"/>
    <w:rsid w:val="001C3D7A"/>
    <w:rsid w:val="001C3E86"/>
    <w:rsid w:val="001C3FCF"/>
    <w:rsid w:val="001C44DB"/>
    <w:rsid w:val="001C4588"/>
    <w:rsid w:val="001C4721"/>
    <w:rsid w:val="001C495C"/>
    <w:rsid w:val="001C4ED7"/>
    <w:rsid w:val="001C4F03"/>
    <w:rsid w:val="001C500F"/>
    <w:rsid w:val="001C527C"/>
    <w:rsid w:val="001C52CA"/>
    <w:rsid w:val="001C53A5"/>
    <w:rsid w:val="001C555B"/>
    <w:rsid w:val="001C595E"/>
    <w:rsid w:val="001C5A54"/>
    <w:rsid w:val="001C5B97"/>
    <w:rsid w:val="001C5BEA"/>
    <w:rsid w:val="001C5CA3"/>
    <w:rsid w:val="001C5F82"/>
    <w:rsid w:val="001C62AB"/>
    <w:rsid w:val="001C62F2"/>
    <w:rsid w:val="001C64C0"/>
    <w:rsid w:val="001C6657"/>
    <w:rsid w:val="001C6784"/>
    <w:rsid w:val="001C678E"/>
    <w:rsid w:val="001C68BA"/>
    <w:rsid w:val="001C7100"/>
    <w:rsid w:val="001C732D"/>
    <w:rsid w:val="001C79C4"/>
    <w:rsid w:val="001C7CE7"/>
    <w:rsid w:val="001D052A"/>
    <w:rsid w:val="001D0886"/>
    <w:rsid w:val="001D0B28"/>
    <w:rsid w:val="001D0B43"/>
    <w:rsid w:val="001D0CC0"/>
    <w:rsid w:val="001D0D77"/>
    <w:rsid w:val="001D0D8E"/>
    <w:rsid w:val="001D0FE1"/>
    <w:rsid w:val="001D1069"/>
    <w:rsid w:val="001D10DE"/>
    <w:rsid w:val="001D15C7"/>
    <w:rsid w:val="001D1CA8"/>
    <w:rsid w:val="001D1DDD"/>
    <w:rsid w:val="001D1FA3"/>
    <w:rsid w:val="001D2253"/>
    <w:rsid w:val="001D2267"/>
    <w:rsid w:val="001D2317"/>
    <w:rsid w:val="001D2485"/>
    <w:rsid w:val="001D267B"/>
    <w:rsid w:val="001D2748"/>
    <w:rsid w:val="001D293E"/>
    <w:rsid w:val="001D2AA0"/>
    <w:rsid w:val="001D2FAC"/>
    <w:rsid w:val="001D3028"/>
    <w:rsid w:val="001D3145"/>
    <w:rsid w:val="001D348B"/>
    <w:rsid w:val="001D3565"/>
    <w:rsid w:val="001D3583"/>
    <w:rsid w:val="001D379E"/>
    <w:rsid w:val="001D37F4"/>
    <w:rsid w:val="001D3809"/>
    <w:rsid w:val="001D3BDE"/>
    <w:rsid w:val="001D3C11"/>
    <w:rsid w:val="001D3CE8"/>
    <w:rsid w:val="001D3DF0"/>
    <w:rsid w:val="001D3EC3"/>
    <w:rsid w:val="001D3FFB"/>
    <w:rsid w:val="001D4165"/>
    <w:rsid w:val="001D416C"/>
    <w:rsid w:val="001D423D"/>
    <w:rsid w:val="001D4379"/>
    <w:rsid w:val="001D4436"/>
    <w:rsid w:val="001D463C"/>
    <w:rsid w:val="001D46BB"/>
    <w:rsid w:val="001D48F1"/>
    <w:rsid w:val="001D49C0"/>
    <w:rsid w:val="001D4ACF"/>
    <w:rsid w:val="001D4B1F"/>
    <w:rsid w:val="001D4CCB"/>
    <w:rsid w:val="001D4EBD"/>
    <w:rsid w:val="001D5081"/>
    <w:rsid w:val="001D50C6"/>
    <w:rsid w:val="001D5201"/>
    <w:rsid w:val="001D52A9"/>
    <w:rsid w:val="001D538F"/>
    <w:rsid w:val="001D5607"/>
    <w:rsid w:val="001D5688"/>
    <w:rsid w:val="001D56E9"/>
    <w:rsid w:val="001D5ADD"/>
    <w:rsid w:val="001D5C10"/>
    <w:rsid w:val="001D5E7A"/>
    <w:rsid w:val="001D5F0B"/>
    <w:rsid w:val="001D63CE"/>
    <w:rsid w:val="001D662B"/>
    <w:rsid w:val="001D66F6"/>
    <w:rsid w:val="001D680C"/>
    <w:rsid w:val="001D6990"/>
    <w:rsid w:val="001D6C17"/>
    <w:rsid w:val="001D709B"/>
    <w:rsid w:val="001D71BA"/>
    <w:rsid w:val="001D71FA"/>
    <w:rsid w:val="001D721F"/>
    <w:rsid w:val="001D7274"/>
    <w:rsid w:val="001D7294"/>
    <w:rsid w:val="001D72A9"/>
    <w:rsid w:val="001D72F0"/>
    <w:rsid w:val="001D739E"/>
    <w:rsid w:val="001D73DA"/>
    <w:rsid w:val="001D743E"/>
    <w:rsid w:val="001D74CD"/>
    <w:rsid w:val="001D752A"/>
    <w:rsid w:val="001D769D"/>
    <w:rsid w:val="001D78C1"/>
    <w:rsid w:val="001D7CF7"/>
    <w:rsid w:val="001D7E1C"/>
    <w:rsid w:val="001E05D4"/>
    <w:rsid w:val="001E063B"/>
    <w:rsid w:val="001E071D"/>
    <w:rsid w:val="001E08B0"/>
    <w:rsid w:val="001E0B02"/>
    <w:rsid w:val="001E0E52"/>
    <w:rsid w:val="001E0F24"/>
    <w:rsid w:val="001E0F3E"/>
    <w:rsid w:val="001E115E"/>
    <w:rsid w:val="001E12B8"/>
    <w:rsid w:val="001E13BA"/>
    <w:rsid w:val="001E1586"/>
    <w:rsid w:val="001E16DA"/>
    <w:rsid w:val="001E19B9"/>
    <w:rsid w:val="001E1A22"/>
    <w:rsid w:val="001E1E8E"/>
    <w:rsid w:val="001E202B"/>
    <w:rsid w:val="001E2143"/>
    <w:rsid w:val="001E2155"/>
    <w:rsid w:val="001E22BA"/>
    <w:rsid w:val="001E2517"/>
    <w:rsid w:val="001E253D"/>
    <w:rsid w:val="001E2571"/>
    <w:rsid w:val="001E269D"/>
    <w:rsid w:val="001E2C2C"/>
    <w:rsid w:val="001E2C4C"/>
    <w:rsid w:val="001E2CC1"/>
    <w:rsid w:val="001E2CE4"/>
    <w:rsid w:val="001E2D77"/>
    <w:rsid w:val="001E2DAD"/>
    <w:rsid w:val="001E358F"/>
    <w:rsid w:val="001E3906"/>
    <w:rsid w:val="001E39EF"/>
    <w:rsid w:val="001E3AB9"/>
    <w:rsid w:val="001E3ACE"/>
    <w:rsid w:val="001E3CA8"/>
    <w:rsid w:val="001E3F33"/>
    <w:rsid w:val="001E425F"/>
    <w:rsid w:val="001E431D"/>
    <w:rsid w:val="001E4547"/>
    <w:rsid w:val="001E4923"/>
    <w:rsid w:val="001E4BFB"/>
    <w:rsid w:val="001E50F7"/>
    <w:rsid w:val="001E5226"/>
    <w:rsid w:val="001E54F6"/>
    <w:rsid w:val="001E5844"/>
    <w:rsid w:val="001E5871"/>
    <w:rsid w:val="001E58BD"/>
    <w:rsid w:val="001E5AD4"/>
    <w:rsid w:val="001E5AFE"/>
    <w:rsid w:val="001E5B95"/>
    <w:rsid w:val="001E5F74"/>
    <w:rsid w:val="001E5FBC"/>
    <w:rsid w:val="001E6196"/>
    <w:rsid w:val="001E6287"/>
    <w:rsid w:val="001E62C6"/>
    <w:rsid w:val="001E6435"/>
    <w:rsid w:val="001E65C4"/>
    <w:rsid w:val="001E660B"/>
    <w:rsid w:val="001E6619"/>
    <w:rsid w:val="001E672A"/>
    <w:rsid w:val="001E6744"/>
    <w:rsid w:val="001E6FD8"/>
    <w:rsid w:val="001E7104"/>
    <w:rsid w:val="001E7187"/>
    <w:rsid w:val="001E74E0"/>
    <w:rsid w:val="001E7531"/>
    <w:rsid w:val="001E7579"/>
    <w:rsid w:val="001E7D01"/>
    <w:rsid w:val="001E7EAD"/>
    <w:rsid w:val="001F003F"/>
    <w:rsid w:val="001F00D2"/>
    <w:rsid w:val="001F02E6"/>
    <w:rsid w:val="001F041C"/>
    <w:rsid w:val="001F09A9"/>
    <w:rsid w:val="001F09F1"/>
    <w:rsid w:val="001F0A0F"/>
    <w:rsid w:val="001F0A3C"/>
    <w:rsid w:val="001F0A91"/>
    <w:rsid w:val="001F0AE2"/>
    <w:rsid w:val="001F119E"/>
    <w:rsid w:val="001F12EA"/>
    <w:rsid w:val="001F147E"/>
    <w:rsid w:val="001F1560"/>
    <w:rsid w:val="001F16CB"/>
    <w:rsid w:val="001F1D14"/>
    <w:rsid w:val="001F1EE0"/>
    <w:rsid w:val="001F1F06"/>
    <w:rsid w:val="001F2290"/>
    <w:rsid w:val="001F23E6"/>
    <w:rsid w:val="001F243B"/>
    <w:rsid w:val="001F2BB6"/>
    <w:rsid w:val="001F2C69"/>
    <w:rsid w:val="001F2E3A"/>
    <w:rsid w:val="001F2ED1"/>
    <w:rsid w:val="001F30B7"/>
    <w:rsid w:val="001F374F"/>
    <w:rsid w:val="001F380D"/>
    <w:rsid w:val="001F3BEC"/>
    <w:rsid w:val="001F3C02"/>
    <w:rsid w:val="001F3E46"/>
    <w:rsid w:val="001F3F64"/>
    <w:rsid w:val="001F41B5"/>
    <w:rsid w:val="001F439C"/>
    <w:rsid w:val="001F456B"/>
    <w:rsid w:val="001F456C"/>
    <w:rsid w:val="001F45BE"/>
    <w:rsid w:val="001F4813"/>
    <w:rsid w:val="001F4915"/>
    <w:rsid w:val="001F4E02"/>
    <w:rsid w:val="001F51EE"/>
    <w:rsid w:val="001F524A"/>
    <w:rsid w:val="001F538C"/>
    <w:rsid w:val="001F5547"/>
    <w:rsid w:val="001F5554"/>
    <w:rsid w:val="001F569A"/>
    <w:rsid w:val="001F5938"/>
    <w:rsid w:val="001F5B45"/>
    <w:rsid w:val="001F5BC3"/>
    <w:rsid w:val="001F5CAD"/>
    <w:rsid w:val="001F5E3C"/>
    <w:rsid w:val="001F5F41"/>
    <w:rsid w:val="001F5F73"/>
    <w:rsid w:val="001F6256"/>
    <w:rsid w:val="001F627E"/>
    <w:rsid w:val="001F62C2"/>
    <w:rsid w:val="001F6708"/>
    <w:rsid w:val="001F6851"/>
    <w:rsid w:val="001F6A5B"/>
    <w:rsid w:val="001F6D33"/>
    <w:rsid w:val="001F6D5B"/>
    <w:rsid w:val="001F6FB4"/>
    <w:rsid w:val="001F7152"/>
    <w:rsid w:val="001F729B"/>
    <w:rsid w:val="001F74CE"/>
    <w:rsid w:val="001F7728"/>
    <w:rsid w:val="001F7790"/>
    <w:rsid w:val="001F77D9"/>
    <w:rsid w:val="001F7888"/>
    <w:rsid w:val="001F7969"/>
    <w:rsid w:val="001F7A5F"/>
    <w:rsid w:val="001F7A92"/>
    <w:rsid w:val="001F7B09"/>
    <w:rsid w:val="001F7B5C"/>
    <w:rsid w:val="001F7EA7"/>
    <w:rsid w:val="001F7EDC"/>
    <w:rsid w:val="001FF582"/>
    <w:rsid w:val="002000EF"/>
    <w:rsid w:val="00200168"/>
    <w:rsid w:val="00200336"/>
    <w:rsid w:val="00200700"/>
    <w:rsid w:val="002008BB"/>
    <w:rsid w:val="002009F2"/>
    <w:rsid w:val="00200B60"/>
    <w:rsid w:val="00200B96"/>
    <w:rsid w:val="00200ECA"/>
    <w:rsid w:val="00200ECC"/>
    <w:rsid w:val="00200FB3"/>
    <w:rsid w:val="0020111D"/>
    <w:rsid w:val="002011D7"/>
    <w:rsid w:val="002012DD"/>
    <w:rsid w:val="00201418"/>
    <w:rsid w:val="002014E0"/>
    <w:rsid w:val="00201531"/>
    <w:rsid w:val="00201957"/>
    <w:rsid w:val="0020199C"/>
    <w:rsid w:val="00201A66"/>
    <w:rsid w:val="00201CF0"/>
    <w:rsid w:val="00201EF1"/>
    <w:rsid w:val="00201F0F"/>
    <w:rsid w:val="00201F95"/>
    <w:rsid w:val="00201F9D"/>
    <w:rsid w:val="00202191"/>
    <w:rsid w:val="00202213"/>
    <w:rsid w:val="002022BE"/>
    <w:rsid w:val="0020235B"/>
    <w:rsid w:val="002023E3"/>
    <w:rsid w:val="002023E6"/>
    <w:rsid w:val="002023F4"/>
    <w:rsid w:val="0020264D"/>
    <w:rsid w:val="0020282C"/>
    <w:rsid w:val="00202A38"/>
    <w:rsid w:val="00202BD4"/>
    <w:rsid w:val="00202C1A"/>
    <w:rsid w:val="00202F46"/>
    <w:rsid w:val="002030E4"/>
    <w:rsid w:val="00203381"/>
    <w:rsid w:val="002035E7"/>
    <w:rsid w:val="00203610"/>
    <w:rsid w:val="0020362F"/>
    <w:rsid w:val="0020369C"/>
    <w:rsid w:val="002037CC"/>
    <w:rsid w:val="00203903"/>
    <w:rsid w:val="00203B9F"/>
    <w:rsid w:val="00203EAB"/>
    <w:rsid w:val="002041FE"/>
    <w:rsid w:val="002043AA"/>
    <w:rsid w:val="0020451C"/>
    <w:rsid w:val="0020468A"/>
    <w:rsid w:val="00204813"/>
    <w:rsid w:val="00204986"/>
    <w:rsid w:val="002049E9"/>
    <w:rsid w:val="00204BC2"/>
    <w:rsid w:val="00204C8E"/>
    <w:rsid w:val="00204D48"/>
    <w:rsid w:val="00204DBD"/>
    <w:rsid w:val="00204E05"/>
    <w:rsid w:val="002051E7"/>
    <w:rsid w:val="0020532A"/>
    <w:rsid w:val="00205368"/>
    <w:rsid w:val="0020540D"/>
    <w:rsid w:val="002056A5"/>
    <w:rsid w:val="002056D7"/>
    <w:rsid w:val="002057C9"/>
    <w:rsid w:val="002059E5"/>
    <w:rsid w:val="00205B8D"/>
    <w:rsid w:val="00205C3E"/>
    <w:rsid w:val="00205D65"/>
    <w:rsid w:val="00205EA2"/>
    <w:rsid w:val="00205FFA"/>
    <w:rsid w:val="00206125"/>
    <w:rsid w:val="0020617D"/>
    <w:rsid w:val="002061F0"/>
    <w:rsid w:val="0020636D"/>
    <w:rsid w:val="002066CE"/>
    <w:rsid w:val="002067B7"/>
    <w:rsid w:val="00206890"/>
    <w:rsid w:val="00206934"/>
    <w:rsid w:val="00206CEA"/>
    <w:rsid w:val="00206DCA"/>
    <w:rsid w:val="00206DE3"/>
    <w:rsid w:val="00206E00"/>
    <w:rsid w:val="00206F6B"/>
    <w:rsid w:val="002071A6"/>
    <w:rsid w:val="0020776B"/>
    <w:rsid w:val="00207B74"/>
    <w:rsid w:val="00207C17"/>
    <w:rsid w:val="00207CF8"/>
    <w:rsid w:val="00207D03"/>
    <w:rsid w:val="00207F91"/>
    <w:rsid w:val="002101FB"/>
    <w:rsid w:val="0021026C"/>
    <w:rsid w:val="00210361"/>
    <w:rsid w:val="00210994"/>
    <w:rsid w:val="00210A26"/>
    <w:rsid w:val="00210BF0"/>
    <w:rsid w:val="00210CBB"/>
    <w:rsid w:val="00210DC0"/>
    <w:rsid w:val="00210E87"/>
    <w:rsid w:val="002111F9"/>
    <w:rsid w:val="00211237"/>
    <w:rsid w:val="00211364"/>
    <w:rsid w:val="00211489"/>
    <w:rsid w:val="00211667"/>
    <w:rsid w:val="002117A7"/>
    <w:rsid w:val="002117BF"/>
    <w:rsid w:val="00211877"/>
    <w:rsid w:val="00211A8C"/>
    <w:rsid w:val="00211C2D"/>
    <w:rsid w:val="00211C33"/>
    <w:rsid w:val="00211D84"/>
    <w:rsid w:val="00211F08"/>
    <w:rsid w:val="00211FE5"/>
    <w:rsid w:val="0021214C"/>
    <w:rsid w:val="00212AFD"/>
    <w:rsid w:val="00212B52"/>
    <w:rsid w:val="00212B6D"/>
    <w:rsid w:val="00212FD4"/>
    <w:rsid w:val="0021323A"/>
    <w:rsid w:val="0021368F"/>
    <w:rsid w:val="002137B9"/>
    <w:rsid w:val="002138BD"/>
    <w:rsid w:val="00213953"/>
    <w:rsid w:val="00213A0C"/>
    <w:rsid w:val="00213A5D"/>
    <w:rsid w:val="002140B2"/>
    <w:rsid w:val="00214277"/>
    <w:rsid w:val="002142E4"/>
    <w:rsid w:val="0021430F"/>
    <w:rsid w:val="0021448E"/>
    <w:rsid w:val="00214768"/>
    <w:rsid w:val="00214974"/>
    <w:rsid w:val="00214AEC"/>
    <w:rsid w:val="00214BBE"/>
    <w:rsid w:val="00214BE6"/>
    <w:rsid w:val="00214EB7"/>
    <w:rsid w:val="00214ED8"/>
    <w:rsid w:val="002150F6"/>
    <w:rsid w:val="0021532B"/>
    <w:rsid w:val="0021544A"/>
    <w:rsid w:val="00215495"/>
    <w:rsid w:val="002154BA"/>
    <w:rsid w:val="00215686"/>
    <w:rsid w:val="00215757"/>
    <w:rsid w:val="002157B8"/>
    <w:rsid w:val="00215A0E"/>
    <w:rsid w:val="00215E97"/>
    <w:rsid w:val="00215F32"/>
    <w:rsid w:val="00215FCF"/>
    <w:rsid w:val="00216055"/>
    <w:rsid w:val="00216485"/>
    <w:rsid w:val="002165E2"/>
    <w:rsid w:val="0021679D"/>
    <w:rsid w:val="002168D9"/>
    <w:rsid w:val="002169FD"/>
    <w:rsid w:val="00216AAF"/>
    <w:rsid w:val="00216B34"/>
    <w:rsid w:val="00216B76"/>
    <w:rsid w:val="00216E61"/>
    <w:rsid w:val="002172B8"/>
    <w:rsid w:val="00217435"/>
    <w:rsid w:val="00217DD3"/>
    <w:rsid w:val="00217E01"/>
    <w:rsid w:val="00217E0B"/>
    <w:rsid w:val="00217E77"/>
    <w:rsid w:val="0022027C"/>
    <w:rsid w:val="0022067B"/>
    <w:rsid w:val="00220730"/>
    <w:rsid w:val="00220A9A"/>
    <w:rsid w:val="00220AD6"/>
    <w:rsid w:val="00220B90"/>
    <w:rsid w:val="00220C6A"/>
    <w:rsid w:val="00220E3D"/>
    <w:rsid w:val="00220E5A"/>
    <w:rsid w:val="00220E5B"/>
    <w:rsid w:val="002211A9"/>
    <w:rsid w:val="00221796"/>
    <w:rsid w:val="00221835"/>
    <w:rsid w:val="002218C6"/>
    <w:rsid w:val="00221969"/>
    <w:rsid w:val="00221AE8"/>
    <w:rsid w:val="0022222C"/>
    <w:rsid w:val="00222343"/>
    <w:rsid w:val="002226D9"/>
    <w:rsid w:val="00222741"/>
    <w:rsid w:val="0022276B"/>
    <w:rsid w:val="00222BEA"/>
    <w:rsid w:val="00222BF8"/>
    <w:rsid w:val="00222D70"/>
    <w:rsid w:val="0022305A"/>
    <w:rsid w:val="00223123"/>
    <w:rsid w:val="002232EB"/>
    <w:rsid w:val="0022386D"/>
    <w:rsid w:val="00223AB7"/>
    <w:rsid w:val="00223B87"/>
    <w:rsid w:val="00223C2C"/>
    <w:rsid w:val="00223D6E"/>
    <w:rsid w:val="00223F90"/>
    <w:rsid w:val="00224066"/>
    <w:rsid w:val="0022411B"/>
    <w:rsid w:val="00224147"/>
    <w:rsid w:val="00224668"/>
    <w:rsid w:val="00224784"/>
    <w:rsid w:val="0022480C"/>
    <w:rsid w:val="0022488D"/>
    <w:rsid w:val="002248BE"/>
    <w:rsid w:val="00224A34"/>
    <w:rsid w:val="00224A7A"/>
    <w:rsid w:val="00224B61"/>
    <w:rsid w:val="00224D8D"/>
    <w:rsid w:val="00224DEE"/>
    <w:rsid w:val="00224E47"/>
    <w:rsid w:val="00224E91"/>
    <w:rsid w:val="00225043"/>
    <w:rsid w:val="002252DB"/>
    <w:rsid w:val="002252F8"/>
    <w:rsid w:val="00225304"/>
    <w:rsid w:val="00225646"/>
    <w:rsid w:val="00225965"/>
    <w:rsid w:val="002259D2"/>
    <w:rsid w:val="00225A5F"/>
    <w:rsid w:val="00225D68"/>
    <w:rsid w:val="00225E99"/>
    <w:rsid w:val="00225EDD"/>
    <w:rsid w:val="00225F62"/>
    <w:rsid w:val="00226063"/>
    <w:rsid w:val="0022623C"/>
    <w:rsid w:val="00226461"/>
    <w:rsid w:val="00226462"/>
    <w:rsid w:val="0022648C"/>
    <w:rsid w:val="002265D4"/>
    <w:rsid w:val="00226662"/>
    <w:rsid w:val="00226949"/>
    <w:rsid w:val="0022699A"/>
    <w:rsid w:val="00226B50"/>
    <w:rsid w:val="00226C28"/>
    <w:rsid w:val="00226CE5"/>
    <w:rsid w:val="00226D19"/>
    <w:rsid w:val="00226D51"/>
    <w:rsid w:val="00226FBA"/>
    <w:rsid w:val="00227065"/>
    <w:rsid w:val="002271B3"/>
    <w:rsid w:val="00227250"/>
    <w:rsid w:val="00227301"/>
    <w:rsid w:val="002276AB"/>
    <w:rsid w:val="002278FC"/>
    <w:rsid w:val="00227981"/>
    <w:rsid w:val="00227A47"/>
    <w:rsid w:val="00227CF0"/>
    <w:rsid w:val="002303BA"/>
    <w:rsid w:val="002304CF"/>
    <w:rsid w:val="0023065D"/>
    <w:rsid w:val="00230700"/>
    <w:rsid w:val="002308FF"/>
    <w:rsid w:val="002309EB"/>
    <w:rsid w:val="002309EC"/>
    <w:rsid w:val="00230AB1"/>
    <w:rsid w:val="00230B24"/>
    <w:rsid w:val="00230B8F"/>
    <w:rsid w:val="00230BC8"/>
    <w:rsid w:val="00230FFD"/>
    <w:rsid w:val="00231087"/>
    <w:rsid w:val="002310F6"/>
    <w:rsid w:val="00231103"/>
    <w:rsid w:val="002311D1"/>
    <w:rsid w:val="0023123D"/>
    <w:rsid w:val="002312C3"/>
    <w:rsid w:val="00231523"/>
    <w:rsid w:val="002316BB"/>
    <w:rsid w:val="00231C37"/>
    <w:rsid w:val="00231D8A"/>
    <w:rsid w:val="00231E00"/>
    <w:rsid w:val="00231EDE"/>
    <w:rsid w:val="00232242"/>
    <w:rsid w:val="002323CD"/>
    <w:rsid w:val="002324A2"/>
    <w:rsid w:val="00232536"/>
    <w:rsid w:val="0023291D"/>
    <w:rsid w:val="00232988"/>
    <w:rsid w:val="00232D52"/>
    <w:rsid w:val="00232E60"/>
    <w:rsid w:val="00232F98"/>
    <w:rsid w:val="00232FD9"/>
    <w:rsid w:val="002330C5"/>
    <w:rsid w:val="002330CC"/>
    <w:rsid w:val="002330E4"/>
    <w:rsid w:val="0023328C"/>
    <w:rsid w:val="002335B4"/>
    <w:rsid w:val="0023381A"/>
    <w:rsid w:val="002338D1"/>
    <w:rsid w:val="00233B47"/>
    <w:rsid w:val="00233FCB"/>
    <w:rsid w:val="0023402A"/>
    <w:rsid w:val="00234DED"/>
    <w:rsid w:val="00234EC5"/>
    <w:rsid w:val="002350C1"/>
    <w:rsid w:val="002354DB"/>
    <w:rsid w:val="002355C8"/>
    <w:rsid w:val="00235910"/>
    <w:rsid w:val="00235B53"/>
    <w:rsid w:val="00235D3B"/>
    <w:rsid w:val="00235EFE"/>
    <w:rsid w:val="00236129"/>
    <w:rsid w:val="002363E8"/>
    <w:rsid w:val="002368FC"/>
    <w:rsid w:val="00236BF0"/>
    <w:rsid w:val="00236ED3"/>
    <w:rsid w:val="00236FE8"/>
    <w:rsid w:val="002373BF"/>
    <w:rsid w:val="002374CF"/>
    <w:rsid w:val="00237533"/>
    <w:rsid w:val="0023755C"/>
    <w:rsid w:val="00237571"/>
    <w:rsid w:val="0023769E"/>
    <w:rsid w:val="0023797C"/>
    <w:rsid w:val="0023799A"/>
    <w:rsid w:val="002379E7"/>
    <w:rsid w:val="00237AE6"/>
    <w:rsid w:val="00237BA0"/>
    <w:rsid w:val="00237C05"/>
    <w:rsid w:val="00237F96"/>
    <w:rsid w:val="00240329"/>
    <w:rsid w:val="002404B1"/>
    <w:rsid w:val="00240638"/>
    <w:rsid w:val="00240D2F"/>
    <w:rsid w:val="00240D46"/>
    <w:rsid w:val="00240E71"/>
    <w:rsid w:val="002417EA"/>
    <w:rsid w:val="002418A7"/>
    <w:rsid w:val="00241986"/>
    <w:rsid w:val="002419B0"/>
    <w:rsid w:val="00241B3C"/>
    <w:rsid w:val="00241C92"/>
    <w:rsid w:val="00241D86"/>
    <w:rsid w:val="00241DF4"/>
    <w:rsid w:val="00241E2D"/>
    <w:rsid w:val="00241FF1"/>
    <w:rsid w:val="0024212E"/>
    <w:rsid w:val="002422DE"/>
    <w:rsid w:val="002423CD"/>
    <w:rsid w:val="002426AE"/>
    <w:rsid w:val="0024279F"/>
    <w:rsid w:val="0024293E"/>
    <w:rsid w:val="00242B7D"/>
    <w:rsid w:val="00242DB0"/>
    <w:rsid w:val="00242FE6"/>
    <w:rsid w:val="00242FE7"/>
    <w:rsid w:val="00243227"/>
    <w:rsid w:val="002432A3"/>
    <w:rsid w:val="002432C2"/>
    <w:rsid w:val="0024355F"/>
    <w:rsid w:val="002435AC"/>
    <w:rsid w:val="0024367F"/>
    <w:rsid w:val="00243782"/>
    <w:rsid w:val="00243878"/>
    <w:rsid w:val="002439E4"/>
    <w:rsid w:val="00243A09"/>
    <w:rsid w:val="00243A46"/>
    <w:rsid w:val="00243CF3"/>
    <w:rsid w:val="00243E37"/>
    <w:rsid w:val="00243F27"/>
    <w:rsid w:val="00244124"/>
    <w:rsid w:val="0024413E"/>
    <w:rsid w:val="002441C8"/>
    <w:rsid w:val="002441E2"/>
    <w:rsid w:val="002445B9"/>
    <w:rsid w:val="002446D4"/>
    <w:rsid w:val="00244710"/>
    <w:rsid w:val="002448F4"/>
    <w:rsid w:val="00244C60"/>
    <w:rsid w:val="00244C65"/>
    <w:rsid w:val="00244D11"/>
    <w:rsid w:val="00244EF9"/>
    <w:rsid w:val="002451F6"/>
    <w:rsid w:val="0024520E"/>
    <w:rsid w:val="002455E4"/>
    <w:rsid w:val="002458BC"/>
    <w:rsid w:val="002458D3"/>
    <w:rsid w:val="0024596F"/>
    <w:rsid w:val="002459D2"/>
    <w:rsid w:val="00245C50"/>
    <w:rsid w:val="00245DC5"/>
    <w:rsid w:val="00246120"/>
    <w:rsid w:val="00246122"/>
    <w:rsid w:val="00246688"/>
    <w:rsid w:val="002466A1"/>
    <w:rsid w:val="002467BD"/>
    <w:rsid w:val="00246AFE"/>
    <w:rsid w:val="00246BC0"/>
    <w:rsid w:val="00246DF5"/>
    <w:rsid w:val="00247117"/>
    <w:rsid w:val="00247212"/>
    <w:rsid w:val="00247226"/>
    <w:rsid w:val="0024739A"/>
    <w:rsid w:val="002473DA"/>
    <w:rsid w:val="0024741D"/>
    <w:rsid w:val="00247525"/>
    <w:rsid w:val="00247711"/>
    <w:rsid w:val="0024779C"/>
    <w:rsid w:val="00247940"/>
    <w:rsid w:val="00247951"/>
    <w:rsid w:val="00247AB6"/>
    <w:rsid w:val="00247B53"/>
    <w:rsid w:val="00247B92"/>
    <w:rsid w:val="00247C86"/>
    <w:rsid w:val="00250003"/>
    <w:rsid w:val="002501A8"/>
    <w:rsid w:val="002504FC"/>
    <w:rsid w:val="0025080B"/>
    <w:rsid w:val="00250A7F"/>
    <w:rsid w:val="00250AFD"/>
    <w:rsid w:val="00250F75"/>
    <w:rsid w:val="00250F81"/>
    <w:rsid w:val="002510C8"/>
    <w:rsid w:val="002511F0"/>
    <w:rsid w:val="0025122D"/>
    <w:rsid w:val="00251267"/>
    <w:rsid w:val="00251744"/>
    <w:rsid w:val="00251781"/>
    <w:rsid w:val="002518E1"/>
    <w:rsid w:val="0025191B"/>
    <w:rsid w:val="0025191F"/>
    <w:rsid w:val="00251A7C"/>
    <w:rsid w:val="00251B1F"/>
    <w:rsid w:val="00251C9D"/>
    <w:rsid w:val="00251EC0"/>
    <w:rsid w:val="002523AF"/>
    <w:rsid w:val="002523D4"/>
    <w:rsid w:val="00252651"/>
    <w:rsid w:val="0025280B"/>
    <w:rsid w:val="00252834"/>
    <w:rsid w:val="002529A6"/>
    <w:rsid w:val="00252F20"/>
    <w:rsid w:val="00252F58"/>
    <w:rsid w:val="002530D1"/>
    <w:rsid w:val="00253178"/>
    <w:rsid w:val="00253277"/>
    <w:rsid w:val="002533A2"/>
    <w:rsid w:val="0025343E"/>
    <w:rsid w:val="00253490"/>
    <w:rsid w:val="002536D0"/>
    <w:rsid w:val="00253712"/>
    <w:rsid w:val="00253768"/>
    <w:rsid w:val="002537E6"/>
    <w:rsid w:val="00253CB1"/>
    <w:rsid w:val="00253D6E"/>
    <w:rsid w:val="00253E47"/>
    <w:rsid w:val="00253F2E"/>
    <w:rsid w:val="00253F5C"/>
    <w:rsid w:val="002540AF"/>
    <w:rsid w:val="002543B1"/>
    <w:rsid w:val="00254BFF"/>
    <w:rsid w:val="00254D5F"/>
    <w:rsid w:val="00255300"/>
    <w:rsid w:val="002553A4"/>
    <w:rsid w:val="00255494"/>
    <w:rsid w:val="0025549E"/>
    <w:rsid w:val="002555D1"/>
    <w:rsid w:val="002556E3"/>
    <w:rsid w:val="0025577F"/>
    <w:rsid w:val="002557EB"/>
    <w:rsid w:val="002558D6"/>
    <w:rsid w:val="002558F5"/>
    <w:rsid w:val="00255970"/>
    <w:rsid w:val="00255A70"/>
    <w:rsid w:val="00255A8C"/>
    <w:rsid w:val="00255C32"/>
    <w:rsid w:val="00255DBB"/>
    <w:rsid w:val="00255E5F"/>
    <w:rsid w:val="00255E8B"/>
    <w:rsid w:val="00255F99"/>
    <w:rsid w:val="00255FA9"/>
    <w:rsid w:val="002560D9"/>
    <w:rsid w:val="00256195"/>
    <w:rsid w:val="0025661C"/>
    <w:rsid w:val="0025667E"/>
    <w:rsid w:val="002566AA"/>
    <w:rsid w:val="002567A0"/>
    <w:rsid w:val="0025683E"/>
    <w:rsid w:val="0025696C"/>
    <w:rsid w:val="0025697F"/>
    <w:rsid w:val="00256C76"/>
    <w:rsid w:val="00256D2E"/>
    <w:rsid w:val="00256D30"/>
    <w:rsid w:val="00256E04"/>
    <w:rsid w:val="002570FC"/>
    <w:rsid w:val="00257404"/>
    <w:rsid w:val="00257472"/>
    <w:rsid w:val="0025748C"/>
    <w:rsid w:val="002574AA"/>
    <w:rsid w:val="002578D0"/>
    <w:rsid w:val="00257A13"/>
    <w:rsid w:val="00257CA7"/>
    <w:rsid w:val="00257DAD"/>
    <w:rsid w:val="00260209"/>
    <w:rsid w:val="0026024B"/>
    <w:rsid w:val="002604A7"/>
    <w:rsid w:val="0026095F"/>
    <w:rsid w:val="002609BC"/>
    <w:rsid w:val="002609E9"/>
    <w:rsid w:val="00260B14"/>
    <w:rsid w:val="00260B91"/>
    <w:rsid w:val="00260BBD"/>
    <w:rsid w:val="00260D88"/>
    <w:rsid w:val="00260DE5"/>
    <w:rsid w:val="00260FE8"/>
    <w:rsid w:val="00261017"/>
    <w:rsid w:val="002613ED"/>
    <w:rsid w:val="002618D8"/>
    <w:rsid w:val="002619FD"/>
    <w:rsid w:val="00261D1E"/>
    <w:rsid w:val="00261EB9"/>
    <w:rsid w:val="00261F97"/>
    <w:rsid w:val="0026201A"/>
    <w:rsid w:val="002621BB"/>
    <w:rsid w:val="002622A6"/>
    <w:rsid w:val="00262330"/>
    <w:rsid w:val="0026236E"/>
    <w:rsid w:val="00262423"/>
    <w:rsid w:val="002625F5"/>
    <w:rsid w:val="00262829"/>
    <w:rsid w:val="00262AF6"/>
    <w:rsid w:val="00262B0F"/>
    <w:rsid w:val="00262BB0"/>
    <w:rsid w:val="00262BEE"/>
    <w:rsid w:val="00262D96"/>
    <w:rsid w:val="00262DA6"/>
    <w:rsid w:val="00262EDC"/>
    <w:rsid w:val="00263035"/>
    <w:rsid w:val="002630F1"/>
    <w:rsid w:val="002632A6"/>
    <w:rsid w:val="00263361"/>
    <w:rsid w:val="002633A6"/>
    <w:rsid w:val="002635E2"/>
    <w:rsid w:val="0026381A"/>
    <w:rsid w:val="002639C4"/>
    <w:rsid w:val="00263A99"/>
    <w:rsid w:val="00263B91"/>
    <w:rsid w:val="00263BBD"/>
    <w:rsid w:val="00263C19"/>
    <w:rsid w:val="00263DA0"/>
    <w:rsid w:val="00263DD6"/>
    <w:rsid w:val="00263E7C"/>
    <w:rsid w:val="002643C1"/>
    <w:rsid w:val="00264470"/>
    <w:rsid w:val="002646A6"/>
    <w:rsid w:val="002649F8"/>
    <w:rsid w:val="00264EA2"/>
    <w:rsid w:val="0026500A"/>
    <w:rsid w:val="002651BF"/>
    <w:rsid w:val="002651D0"/>
    <w:rsid w:val="002652B7"/>
    <w:rsid w:val="002652C8"/>
    <w:rsid w:val="0026573E"/>
    <w:rsid w:val="002657EC"/>
    <w:rsid w:val="00265999"/>
    <w:rsid w:val="00265BE1"/>
    <w:rsid w:val="0026601B"/>
    <w:rsid w:val="0026609A"/>
    <w:rsid w:val="002663A6"/>
    <w:rsid w:val="00266410"/>
    <w:rsid w:val="00266551"/>
    <w:rsid w:val="00266924"/>
    <w:rsid w:val="0026693D"/>
    <w:rsid w:val="00266B9C"/>
    <w:rsid w:val="00266C2A"/>
    <w:rsid w:val="00266C85"/>
    <w:rsid w:val="00266FDC"/>
    <w:rsid w:val="00267029"/>
    <w:rsid w:val="00267154"/>
    <w:rsid w:val="00267162"/>
    <w:rsid w:val="002676AF"/>
    <w:rsid w:val="00267738"/>
    <w:rsid w:val="0026792C"/>
    <w:rsid w:val="00267B5C"/>
    <w:rsid w:val="00267B8E"/>
    <w:rsid w:val="00267DD4"/>
    <w:rsid w:val="00267F1A"/>
    <w:rsid w:val="00270257"/>
    <w:rsid w:val="00270298"/>
    <w:rsid w:val="002702C8"/>
    <w:rsid w:val="002702E2"/>
    <w:rsid w:val="00270566"/>
    <w:rsid w:val="0027063F"/>
    <w:rsid w:val="00270B4E"/>
    <w:rsid w:val="00270BD4"/>
    <w:rsid w:val="00271100"/>
    <w:rsid w:val="00271413"/>
    <w:rsid w:val="0027178D"/>
    <w:rsid w:val="002717B9"/>
    <w:rsid w:val="00271A04"/>
    <w:rsid w:val="00271CBC"/>
    <w:rsid w:val="00271EEB"/>
    <w:rsid w:val="00271F94"/>
    <w:rsid w:val="00271FD4"/>
    <w:rsid w:val="0027219B"/>
    <w:rsid w:val="002721E5"/>
    <w:rsid w:val="00272374"/>
    <w:rsid w:val="00272517"/>
    <w:rsid w:val="002726C2"/>
    <w:rsid w:val="00272730"/>
    <w:rsid w:val="002727B3"/>
    <w:rsid w:val="002728B9"/>
    <w:rsid w:val="00272AAB"/>
    <w:rsid w:val="00272B15"/>
    <w:rsid w:val="00272B1B"/>
    <w:rsid w:val="00272D57"/>
    <w:rsid w:val="00272F2F"/>
    <w:rsid w:val="00273189"/>
    <w:rsid w:val="0027329C"/>
    <w:rsid w:val="002732D3"/>
    <w:rsid w:val="0027331F"/>
    <w:rsid w:val="002735A4"/>
    <w:rsid w:val="00273848"/>
    <w:rsid w:val="0027396E"/>
    <w:rsid w:val="00273987"/>
    <w:rsid w:val="00273A67"/>
    <w:rsid w:val="00273B98"/>
    <w:rsid w:val="00273C8B"/>
    <w:rsid w:val="00273F87"/>
    <w:rsid w:val="00274180"/>
    <w:rsid w:val="0027435B"/>
    <w:rsid w:val="00274455"/>
    <w:rsid w:val="0027448D"/>
    <w:rsid w:val="00274584"/>
    <w:rsid w:val="00274ACA"/>
    <w:rsid w:val="00274CE3"/>
    <w:rsid w:val="00274D1C"/>
    <w:rsid w:val="00274E11"/>
    <w:rsid w:val="00275235"/>
    <w:rsid w:val="002752A7"/>
    <w:rsid w:val="00275331"/>
    <w:rsid w:val="00275335"/>
    <w:rsid w:val="0027559C"/>
    <w:rsid w:val="002756B9"/>
    <w:rsid w:val="002756F0"/>
    <w:rsid w:val="00275718"/>
    <w:rsid w:val="002757A1"/>
    <w:rsid w:val="00275824"/>
    <w:rsid w:val="00275D04"/>
    <w:rsid w:val="00275D44"/>
    <w:rsid w:val="00275D60"/>
    <w:rsid w:val="00275D78"/>
    <w:rsid w:val="00275DC1"/>
    <w:rsid w:val="00276022"/>
    <w:rsid w:val="0027609F"/>
    <w:rsid w:val="002761A4"/>
    <w:rsid w:val="00276305"/>
    <w:rsid w:val="002765F9"/>
    <w:rsid w:val="002766D4"/>
    <w:rsid w:val="002766E7"/>
    <w:rsid w:val="00276B0E"/>
    <w:rsid w:val="0027712C"/>
    <w:rsid w:val="00277365"/>
    <w:rsid w:val="0027741B"/>
    <w:rsid w:val="00277474"/>
    <w:rsid w:val="00277527"/>
    <w:rsid w:val="00277760"/>
    <w:rsid w:val="002778FE"/>
    <w:rsid w:val="002779BB"/>
    <w:rsid w:val="002779EB"/>
    <w:rsid w:val="00277A0E"/>
    <w:rsid w:val="00277D7B"/>
    <w:rsid w:val="00277F9B"/>
    <w:rsid w:val="00280065"/>
    <w:rsid w:val="00280104"/>
    <w:rsid w:val="0028012D"/>
    <w:rsid w:val="002802E6"/>
    <w:rsid w:val="0028047B"/>
    <w:rsid w:val="002806B5"/>
    <w:rsid w:val="002806DA"/>
    <w:rsid w:val="002806EA"/>
    <w:rsid w:val="0028082A"/>
    <w:rsid w:val="00280992"/>
    <w:rsid w:val="002809AD"/>
    <w:rsid w:val="002809B9"/>
    <w:rsid w:val="00280A02"/>
    <w:rsid w:val="00280C4D"/>
    <w:rsid w:val="00280C7A"/>
    <w:rsid w:val="00280FA4"/>
    <w:rsid w:val="00281024"/>
    <w:rsid w:val="00281455"/>
    <w:rsid w:val="002816D0"/>
    <w:rsid w:val="00281B14"/>
    <w:rsid w:val="00281CFF"/>
    <w:rsid w:val="00281EF0"/>
    <w:rsid w:val="00281F7B"/>
    <w:rsid w:val="0028208B"/>
    <w:rsid w:val="00282292"/>
    <w:rsid w:val="002822E6"/>
    <w:rsid w:val="00282417"/>
    <w:rsid w:val="002828C5"/>
    <w:rsid w:val="0028290F"/>
    <w:rsid w:val="00282A22"/>
    <w:rsid w:val="00282B18"/>
    <w:rsid w:val="00282D92"/>
    <w:rsid w:val="00282F6D"/>
    <w:rsid w:val="00282F9D"/>
    <w:rsid w:val="00283037"/>
    <w:rsid w:val="0028349F"/>
    <w:rsid w:val="002834A9"/>
    <w:rsid w:val="0028376A"/>
    <w:rsid w:val="002837E7"/>
    <w:rsid w:val="0028380F"/>
    <w:rsid w:val="002838B6"/>
    <w:rsid w:val="002839B1"/>
    <w:rsid w:val="00283AE4"/>
    <w:rsid w:val="00283D60"/>
    <w:rsid w:val="002847FF"/>
    <w:rsid w:val="002849A6"/>
    <w:rsid w:val="00284C7F"/>
    <w:rsid w:val="00284CBB"/>
    <w:rsid w:val="00284CFC"/>
    <w:rsid w:val="00284E24"/>
    <w:rsid w:val="00284E7F"/>
    <w:rsid w:val="00285143"/>
    <w:rsid w:val="00285165"/>
    <w:rsid w:val="002852AC"/>
    <w:rsid w:val="00285325"/>
    <w:rsid w:val="0028578F"/>
    <w:rsid w:val="002857B1"/>
    <w:rsid w:val="002859B4"/>
    <w:rsid w:val="00285BD3"/>
    <w:rsid w:val="00285C20"/>
    <w:rsid w:val="00285DFC"/>
    <w:rsid w:val="00285E13"/>
    <w:rsid w:val="002860DA"/>
    <w:rsid w:val="00286196"/>
    <w:rsid w:val="002868E9"/>
    <w:rsid w:val="00286A7F"/>
    <w:rsid w:val="00286AA7"/>
    <w:rsid w:val="00286AE3"/>
    <w:rsid w:val="00286BF6"/>
    <w:rsid w:val="00286C88"/>
    <w:rsid w:val="00286F29"/>
    <w:rsid w:val="00287167"/>
    <w:rsid w:val="0028719E"/>
    <w:rsid w:val="00287273"/>
    <w:rsid w:val="0028750F"/>
    <w:rsid w:val="002875CA"/>
    <w:rsid w:val="00287860"/>
    <w:rsid w:val="0028799E"/>
    <w:rsid w:val="002879C4"/>
    <w:rsid w:val="00287D00"/>
    <w:rsid w:val="00287E86"/>
    <w:rsid w:val="0029085E"/>
    <w:rsid w:val="00290A72"/>
    <w:rsid w:val="00290E5B"/>
    <w:rsid w:val="0029117A"/>
    <w:rsid w:val="00291352"/>
    <w:rsid w:val="002913A9"/>
    <w:rsid w:val="002917D2"/>
    <w:rsid w:val="002917F2"/>
    <w:rsid w:val="00291AF4"/>
    <w:rsid w:val="00291BC6"/>
    <w:rsid w:val="00291F92"/>
    <w:rsid w:val="0029208E"/>
    <w:rsid w:val="002922FE"/>
    <w:rsid w:val="00292331"/>
    <w:rsid w:val="00292498"/>
    <w:rsid w:val="0029282E"/>
    <w:rsid w:val="00292D7F"/>
    <w:rsid w:val="00292E12"/>
    <w:rsid w:val="00292E3B"/>
    <w:rsid w:val="00292F72"/>
    <w:rsid w:val="0029315A"/>
    <w:rsid w:val="00293302"/>
    <w:rsid w:val="00293307"/>
    <w:rsid w:val="00293419"/>
    <w:rsid w:val="0029399C"/>
    <w:rsid w:val="002939E1"/>
    <w:rsid w:val="00293C47"/>
    <w:rsid w:val="00293CAE"/>
    <w:rsid w:val="002942A1"/>
    <w:rsid w:val="00294504"/>
    <w:rsid w:val="002945C0"/>
    <w:rsid w:val="002947CB"/>
    <w:rsid w:val="00294822"/>
    <w:rsid w:val="00294895"/>
    <w:rsid w:val="00294A0E"/>
    <w:rsid w:val="00294A78"/>
    <w:rsid w:val="00294C16"/>
    <w:rsid w:val="00294D13"/>
    <w:rsid w:val="00294E7C"/>
    <w:rsid w:val="002951C1"/>
    <w:rsid w:val="0029526E"/>
    <w:rsid w:val="002952CC"/>
    <w:rsid w:val="0029558B"/>
    <w:rsid w:val="00295667"/>
    <w:rsid w:val="00295816"/>
    <w:rsid w:val="002958EE"/>
    <w:rsid w:val="0029590C"/>
    <w:rsid w:val="002959EC"/>
    <w:rsid w:val="00295CA1"/>
    <w:rsid w:val="00296048"/>
    <w:rsid w:val="00296238"/>
    <w:rsid w:val="00296247"/>
    <w:rsid w:val="00296915"/>
    <w:rsid w:val="00296949"/>
    <w:rsid w:val="00296AB9"/>
    <w:rsid w:val="00296B49"/>
    <w:rsid w:val="00296B91"/>
    <w:rsid w:val="00296C79"/>
    <w:rsid w:val="00297130"/>
    <w:rsid w:val="0029766D"/>
    <w:rsid w:val="002A003D"/>
    <w:rsid w:val="002A015B"/>
    <w:rsid w:val="002A041F"/>
    <w:rsid w:val="002A0422"/>
    <w:rsid w:val="002A04C0"/>
    <w:rsid w:val="002A0549"/>
    <w:rsid w:val="002A07B7"/>
    <w:rsid w:val="002A07C4"/>
    <w:rsid w:val="002A091B"/>
    <w:rsid w:val="002A09A1"/>
    <w:rsid w:val="002A0B88"/>
    <w:rsid w:val="002A0BA5"/>
    <w:rsid w:val="002A0C28"/>
    <w:rsid w:val="002A0D64"/>
    <w:rsid w:val="002A0DD4"/>
    <w:rsid w:val="002A0DEC"/>
    <w:rsid w:val="002A0E28"/>
    <w:rsid w:val="002A0EFE"/>
    <w:rsid w:val="002A1056"/>
    <w:rsid w:val="002A10EC"/>
    <w:rsid w:val="002A1416"/>
    <w:rsid w:val="002A1B45"/>
    <w:rsid w:val="002A1C1A"/>
    <w:rsid w:val="002A1D5F"/>
    <w:rsid w:val="002A1E3B"/>
    <w:rsid w:val="002A1E82"/>
    <w:rsid w:val="002A25B8"/>
    <w:rsid w:val="002A2674"/>
    <w:rsid w:val="002A275C"/>
    <w:rsid w:val="002A285F"/>
    <w:rsid w:val="002A2E23"/>
    <w:rsid w:val="002A30ED"/>
    <w:rsid w:val="002A31B0"/>
    <w:rsid w:val="002A31F4"/>
    <w:rsid w:val="002A336A"/>
    <w:rsid w:val="002A388D"/>
    <w:rsid w:val="002A39BE"/>
    <w:rsid w:val="002A3AEB"/>
    <w:rsid w:val="002A3E93"/>
    <w:rsid w:val="002A3F3E"/>
    <w:rsid w:val="002A4098"/>
    <w:rsid w:val="002A4574"/>
    <w:rsid w:val="002A46B6"/>
    <w:rsid w:val="002A4B6D"/>
    <w:rsid w:val="002A4D29"/>
    <w:rsid w:val="002A4E22"/>
    <w:rsid w:val="002A501A"/>
    <w:rsid w:val="002A52DC"/>
    <w:rsid w:val="002A599C"/>
    <w:rsid w:val="002A5A21"/>
    <w:rsid w:val="002A5ADC"/>
    <w:rsid w:val="002A5BAD"/>
    <w:rsid w:val="002A61C7"/>
    <w:rsid w:val="002A62D2"/>
    <w:rsid w:val="002A63BA"/>
    <w:rsid w:val="002A65A5"/>
    <w:rsid w:val="002A674C"/>
    <w:rsid w:val="002A6843"/>
    <w:rsid w:val="002A6996"/>
    <w:rsid w:val="002A6A03"/>
    <w:rsid w:val="002A6A9D"/>
    <w:rsid w:val="002A6CF4"/>
    <w:rsid w:val="002A6FD4"/>
    <w:rsid w:val="002A7139"/>
    <w:rsid w:val="002A71BC"/>
    <w:rsid w:val="002A724E"/>
    <w:rsid w:val="002A729B"/>
    <w:rsid w:val="002A7314"/>
    <w:rsid w:val="002A74CF"/>
    <w:rsid w:val="002A7693"/>
    <w:rsid w:val="002A78B6"/>
    <w:rsid w:val="002A7A5D"/>
    <w:rsid w:val="002A7B8A"/>
    <w:rsid w:val="002A7D6C"/>
    <w:rsid w:val="002B00E2"/>
    <w:rsid w:val="002B022A"/>
    <w:rsid w:val="002B03D7"/>
    <w:rsid w:val="002B045E"/>
    <w:rsid w:val="002B04A3"/>
    <w:rsid w:val="002B050E"/>
    <w:rsid w:val="002B09B1"/>
    <w:rsid w:val="002B0B9B"/>
    <w:rsid w:val="002B0BE5"/>
    <w:rsid w:val="002B0D9D"/>
    <w:rsid w:val="002B0F8A"/>
    <w:rsid w:val="002B1028"/>
    <w:rsid w:val="002B11AB"/>
    <w:rsid w:val="002B12B2"/>
    <w:rsid w:val="002B131A"/>
    <w:rsid w:val="002B1660"/>
    <w:rsid w:val="002B1682"/>
    <w:rsid w:val="002B1876"/>
    <w:rsid w:val="002B18B6"/>
    <w:rsid w:val="002B19AE"/>
    <w:rsid w:val="002B1A99"/>
    <w:rsid w:val="002B1AD2"/>
    <w:rsid w:val="002B1C77"/>
    <w:rsid w:val="002B1F9F"/>
    <w:rsid w:val="002B2092"/>
    <w:rsid w:val="002B25E8"/>
    <w:rsid w:val="002B2C09"/>
    <w:rsid w:val="002B2E07"/>
    <w:rsid w:val="002B3084"/>
    <w:rsid w:val="002B3332"/>
    <w:rsid w:val="002B3426"/>
    <w:rsid w:val="002B3440"/>
    <w:rsid w:val="002B345C"/>
    <w:rsid w:val="002B35FE"/>
    <w:rsid w:val="002B37DB"/>
    <w:rsid w:val="002B3963"/>
    <w:rsid w:val="002B3977"/>
    <w:rsid w:val="002B3A04"/>
    <w:rsid w:val="002B3AFE"/>
    <w:rsid w:val="002B3B1C"/>
    <w:rsid w:val="002B3C2D"/>
    <w:rsid w:val="002B420D"/>
    <w:rsid w:val="002B4211"/>
    <w:rsid w:val="002B4314"/>
    <w:rsid w:val="002B4943"/>
    <w:rsid w:val="002B49D6"/>
    <w:rsid w:val="002B4ACD"/>
    <w:rsid w:val="002B4B2D"/>
    <w:rsid w:val="002B4E2F"/>
    <w:rsid w:val="002B4F31"/>
    <w:rsid w:val="002B4FEA"/>
    <w:rsid w:val="002B5189"/>
    <w:rsid w:val="002B53E5"/>
    <w:rsid w:val="002B58A2"/>
    <w:rsid w:val="002B599D"/>
    <w:rsid w:val="002B5A69"/>
    <w:rsid w:val="002B5BC0"/>
    <w:rsid w:val="002B5BF0"/>
    <w:rsid w:val="002B60DB"/>
    <w:rsid w:val="002B62F0"/>
    <w:rsid w:val="002B631C"/>
    <w:rsid w:val="002B64A9"/>
    <w:rsid w:val="002B66DD"/>
    <w:rsid w:val="002B6C4E"/>
    <w:rsid w:val="002B7070"/>
    <w:rsid w:val="002B712E"/>
    <w:rsid w:val="002B7157"/>
    <w:rsid w:val="002B71A6"/>
    <w:rsid w:val="002B72A4"/>
    <w:rsid w:val="002B7381"/>
    <w:rsid w:val="002B777E"/>
    <w:rsid w:val="002B7BD2"/>
    <w:rsid w:val="002B7C28"/>
    <w:rsid w:val="002B7F63"/>
    <w:rsid w:val="002C00F5"/>
    <w:rsid w:val="002C0247"/>
    <w:rsid w:val="002C02FD"/>
    <w:rsid w:val="002C033F"/>
    <w:rsid w:val="002C04D6"/>
    <w:rsid w:val="002C0B1A"/>
    <w:rsid w:val="002C0F02"/>
    <w:rsid w:val="002C0FA4"/>
    <w:rsid w:val="002C1285"/>
    <w:rsid w:val="002C129C"/>
    <w:rsid w:val="002C12A0"/>
    <w:rsid w:val="002C12E2"/>
    <w:rsid w:val="002C1392"/>
    <w:rsid w:val="002C14E8"/>
    <w:rsid w:val="002C156A"/>
    <w:rsid w:val="002C164A"/>
    <w:rsid w:val="002C16BF"/>
    <w:rsid w:val="002C17FE"/>
    <w:rsid w:val="002C1910"/>
    <w:rsid w:val="002C1925"/>
    <w:rsid w:val="002C19D2"/>
    <w:rsid w:val="002C1B72"/>
    <w:rsid w:val="002C1C58"/>
    <w:rsid w:val="002C1D15"/>
    <w:rsid w:val="002C239F"/>
    <w:rsid w:val="002C23DF"/>
    <w:rsid w:val="002C2486"/>
    <w:rsid w:val="002C24E0"/>
    <w:rsid w:val="002C24EE"/>
    <w:rsid w:val="002C26C9"/>
    <w:rsid w:val="002C292A"/>
    <w:rsid w:val="002C29A6"/>
    <w:rsid w:val="002C2A87"/>
    <w:rsid w:val="002C2C04"/>
    <w:rsid w:val="002C2C42"/>
    <w:rsid w:val="002C2CFB"/>
    <w:rsid w:val="002C2F58"/>
    <w:rsid w:val="002C308C"/>
    <w:rsid w:val="002C32AF"/>
    <w:rsid w:val="002C33AA"/>
    <w:rsid w:val="002C33F9"/>
    <w:rsid w:val="002C3490"/>
    <w:rsid w:val="002C351C"/>
    <w:rsid w:val="002C38DE"/>
    <w:rsid w:val="002C3939"/>
    <w:rsid w:val="002C39F6"/>
    <w:rsid w:val="002C3AE7"/>
    <w:rsid w:val="002C3BE8"/>
    <w:rsid w:val="002C3F7F"/>
    <w:rsid w:val="002C4118"/>
    <w:rsid w:val="002C4368"/>
    <w:rsid w:val="002C444F"/>
    <w:rsid w:val="002C4456"/>
    <w:rsid w:val="002C44DB"/>
    <w:rsid w:val="002C455A"/>
    <w:rsid w:val="002C45CB"/>
    <w:rsid w:val="002C470B"/>
    <w:rsid w:val="002C4901"/>
    <w:rsid w:val="002C4AA6"/>
    <w:rsid w:val="002C4C3B"/>
    <w:rsid w:val="002C4C79"/>
    <w:rsid w:val="002C4F79"/>
    <w:rsid w:val="002C4F95"/>
    <w:rsid w:val="002C5049"/>
    <w:rsid w:val="002C5156"/>
    <w:rsid w:val="002C516E"/>
    <w:rsid w:val="002C55D9"/>
    <w:rsid w:val="002C5795"/>
    <w:rsid w:val="002C5A66"/>
    <w:rsid w:val="002C5AAF"/>
    <w:rsid w:val="002C5B9E"/>
    <w:rsid w:val="002C5D3D"/>
    <w:rsid w:val="002C5F1F"/>
    <w:rsid w:val="002C5FD5"/>
    <w:rsid w:val="002C6005"/>
    <w:rsid w:val="002C615E"/>
    <w:rsid w:val="002C64D4"/>
    <w:rsid w:val="002C66BF"/>
    <w:rsid w:val="002C67E2"/>
    <w:rsid w:val="002C68E3"/>
    <w:rsid w:val="002C6A04"/>
    <w:rsid w:val="002C6A78"/>
    <w:rsid w:val="002C6EFB"/>
    <w:rsid w:val="002C6FC3"/>
    <w:rsid w:val="002C71B5"/>
    <w:rsid w:val="002C7213"/>
    <w:rsid w:val="002C72B4"/>
    <w:rsid w:val="002C733B"/>
    <w:rsid w:val="002C753B"/>
    <w:rsid w:val="002C7552"/>
    <w:rsid w:val="002C75AB"/>
    <w:rsid w:val="002C763B"/>
    <w:rsid w:val="002C77AE"/>
    <w:rsid w:val="002C7805"/>
    <w:rsid w:val="002C7994"/>
    <w:rsid w:val="002C7A49"/>
    <w:rsid w:val="002C7A83"/>
    <w:rsid w:val="002C7CD8"/>
    <w:rsid w:val="002C7DAE"/>
    <w:rsid w:val="002C7E81"/>
    <w:rsid w:val="002C7ED8"/>
    <w:rsid w:val="002C7F9F"/>
    <w:rsid w:val="002C7FC8"/>
    <w:rsid w:val="002D0525"/>
    <w:rsid w:val="002D0610"/>
    <w:rsid w:val="002D067A"/>
    <w:rsid w:val="002D068E"/>
    <w:rsid w:val="002D0719"/>
    <w:rsid w:val="002D07C8"/>
    <w:rsid w:val="002D087C"/>
    <w:rsid w:val="002D08F2"/>
    <w:rsid w:val="002D0A69"/>
    <w:rsid w:val="002D0B3D"/>
    <w:rsid w:val="002D0B4A"/>
    <w:rsid w:val="002D0C0E"/>
    <w:rsid w:val="002D0CE8"/>
    <w:rsid w:val="002D0DF5"/>
    <w:rsid w:val="002D0E0C"/>
    <w:rsid w:val="002D0E8C"/>
    <w:rsid w:val="002D1324"/>
    <w:rsid w:val="002D1411"/>
    <w:rsid w:val="002D168F"/>
    <w:rsid w:val="002D1BB7"/>
    <w:rsid w:val="002D1C64"/>
    <w:rsid w:val="002D1EB9"/>
    <w:rsid w:val="002D1F69"/>
    <w:rsid w:val="002D2055"/>
    <w:rsid w:val="002D206A"/>
    <w:rsid w:val="002D22AB"/>
    <w:rsid w:val="002D2347"/>
    <w:rsid w:val="002D237E"/>
    <w:rsid w:val="002D23A1"/>
    <w:rsid w:val="002D262D"/>
    <w:rsid w:val="002D2690"/>
    <w:rsid w:val="002D2695"/>
    <w:rsid w:val="002D271B"/>
    <w:rsid w:val="002D2855"/>
    <w:rsid w:val="002D2964"/>
    <w:rsid w:val="002D2B0A"/>
    <w:rsid w:val="002D2C04"/>
    <w:rsid w:val="002D2D97"/>
    <w:rsid w:val="002D2ED6"/>
    <w:rsid w:val="002D324E"/>
    <w:rsid w:val="002D32A6"/>
    <w:rsid w:val="002D37D0"/>
    <w:rsid w:val="002D3919"/>
    <w:rsid w:val="002D391C"/>
    <w:rsid w:val="002D3A7C"/>
    <w:rsid w:val="002D3C96"/>
    <w:rsid w:val="002D3D7E"/>
    <w:rsid w:val="002D3DD7"/>
    <w:rsid w:val="002D3EE1"/>
    <w:rsid w:val="002D3FB9"/>
    <w:rsid w:val="002D4014"/>
    <w:rsid w:val="002D4178"/>
    <w:rsid w:val="002D4449"/>
    <w:rsid w:val="002D4458"/>
    <w:rsid w:val="002D449F"/>
    <w:rsid w:val="002D46A6"/>
    <w:rsid w:val="002D48B4"/>
    <w:rsid w:val="002D4AA3"/>
    <w:rsid w:val="002D4EBA"/>
    <w:rsid w:val="002D4FF2"/>
    <w:rsid w:val="002D51CC"/>
    <w:rsid w:val="002D5230"/>
    <w:rsid w:val="002D53D6"/>
    <w:rsid w:val="002D53E2"/>
    <w:rsid w:val="002D54B9"/>
    <w:rsid w:val="002D55FC"/>
    <w:rsid w:val="002D572D"/>
    <w:rsid w:val="002D5751"/>
    <w:rsid w:val="002D58EB"/>
    <w:rsid w:val="002D5A84"/>
    <w:rsid w:val="002D5AE8"/>
    <w:rsid w:val="002D5C0F"/>
    <w:rsid w:val="002D5D6A"/>
    <w:rsid w:val="002D5E30"/>
    <w:rsid w:val="002D60F5"/>
    <w:rsid w:val="002D61C4"/>
    <w:rsid w:val="002D64E7"/>
    <w:rsid w:val="002D6520"/>
    <w:rsid w:val="002D681F"/>
    <w:rsid w:val="002D6843"/>
    <w:rsid w:val="002D6E6D"/>
    <w:rsid w:val="002D6F7B"/>
    <w:rsid w:val="002D7039"/>
    <w:rsid w:val="002D7052"/>
    <w:rsid w:val="002D70BB"/>
    <w:rsid w:val="002D71D7"/>
    <w:rsid w:val="002D746E"/>
    <w:rsid w:val="002D752C"/>
    <w:rsid w:val="002D762D"/>
    <w:rsid w:val="002D7732"/>
    <w:rsid w:val="002D780D"/>
    <w:rsid w:val="002D7CB8"/>
    <w:rsid w:val="002D7E09"/>
    <w:rsid w:val="002D7EB0"/>
    <w:rsid w:val="002D7EE6"/>
    <w:rsid w:val="002E00D4"/>
    <w:rsid w:val="002E01CE"/>
    <w:rsid w:val="002E0572"/>
    <w:rsid w:val="002E058A"/>
    <w:rsid w:val="002E07B8"/>
    <w:rsid w:val="002E081A"/>
    <w:rsid w:val="002E0959"/>
    <w:rsid w:val="002E0AA1"/>
    <w:rsid w:val="002E0B63"/>
    <w:rsid w:val="002E0B64"/>
    <w:rsid w:val="002E0B93"/>
    <w:rsid w:val="002E0CE7"/>
    <w:rsid w:val="002E0DA6"/>
    <w:rsid w:val="002E0E2F"/>
    <w:rsid w:val="002E0F6A"/>
    <w:rsid w:val="002E1372"/>
    <w:rsid w:val="002E145F"/>
    <w:rsid w:val="002E167A"/>
    <w:rsid w:val="002E1AB3"/>
    <w:rsid w:val="002E1B75"/>
    <w:rsid w:val="002E1B79"/>
    <w:rsid w:val="002E2038"/>
    <w:rsid w:val="002E21E7"/>
    <w:rsid w:val="002E2417"/>
    <w:rsid w:val="002E2425"/>
    <w:rsid w:val="002E2604"/>
    <w:rsid w:val="002E27D1"/>
    <w:rsid w:val="002E280D"/>
    <w:rsid w:val="002E288E"/>
    <w:rsid w:val="002E2A38"/>
    <w:rsid w:val="002E2B1A"/>
    <w:rsid w:val="002E2C57"/>
    <w:rsid w:val="002E313B"/>
    <w:rsid w:val="002E31B9"/>
    <w:rsid w:val="002E32FC"/>
    <w:rsid w:val="002E3902"/>
    <w:rsid w:val="002E3AA2"/>
    <w:rsid w:val="002E3DD3"/>
    <w:rsid w:val="002E3E2E"/>
    <w:rsid w:val="002E3E50"/>
    <w:rsid w:val="002E3F65"/>
    <w:rsid w:val="002E4080"/>
    <w:rsid w:val="002E40AB"/>
    <w:rsid w:val="002E439B"/>
    <w:rsid w:val="002E4558"/>
    <w:rsid w:val="002E45EB"/>
    <w:rsid w:val="002E463D"/>
    <w:rsid w:val="002E46A5"/>
    <w:rsid w:val="002E4807"/>
    <w:rsid w:val="002E482C"/>
    <w:rsid w:val="002E4B1E"/>
    <w:rsid w:val="002E4BF2"/>
    <w:rsid w:val="002E4DE0"/>
    <w:rsid w:val="002E4EF3"/>
    <w:rsid w:val="002E4F87"/>
    <w:rsid w:val="002E5501"/>
    <w:rsid w:val="002E5512"/>
    <w:rsid w:val="002E5515"/>
    <w:rsid w:val="002E56A2"/>
    <w:rsid w:val="002E5773"/>
    <w:rsid w:val="002E5864"/>
    <w:rsid w:val="002E5B34"/>
    <w:rsid w:val="002E5E5C"/>
    <w:rsid w:val="002E607C"/>
    <w:rsid w:val="002E6145"/>
    <w:rsid w:val="002E642C"/>
    <w:rsid w:val="002E66C2"/>
    <w:rsid w:val="002E680A"/>
    <w:rsid w:val="002E68F6"/>
    <w:rsid w:val="002E6A27"/>
    <w:rsid w:val="002E6AEF"/>
    <w:rsid w:val="002E6C89"/>
    <w:rsid w:val="002E6DA9"/>
    <w:rsid w:val="002E71BF"/>
    <w:rsid w:val="002E74C9"/>
    <w:rsid w:val="002E7584"/>
    <w:rsid w:val="002E76BF"/>
    <w:rsid w:val="002E775E"/>
    <w:rsid w:val="002E7AE4"/>
    <w:rsid w:val="002E7C89"/>
    <w:rsid w:val="002E7D77"/>
    <w:rsid w:val="002E7E63"/>
    <w:rsid w:val="002E7F8B"/>
    <w:rsid w:val="002E7FFE"/>
    <w:rsid w:val="002F0094"/>
    <w:rsid w:val="002F0192"/>
    <w:rsid w:val="002F02A0"/>
    <w:rsid w:val="002F03DB"/>
    <w:rsid w:val="002F04CA"/>
    <w:rsid w:val="002F05CC"/>
    <w:rsid w:val="002F06E9"/>
    <w:rsid w:val="002F06EB"/>
    <w:rsid w:val="002F0B3B"/>
    <w:rsid w:val="002F0C6B"/>
    <w:rsid w:val="002F1093"/>
    <w:rsid w:val="002F1257"/>
    <w:rsid w:val="002F1279"/>
    <w:rsid w:val="002F1338"/>
    <w:rsid w:val="002F137A"/>
    <w:rsid w:val="002F13DE"/>
    <w:rsid w:val="002F13F1"/>
    <w:rsid w:val="002F14AE"/>
    <w:rsid w:val="002F1709"/>
    <w:rsid w:val="002F170B"/>
    <w:rsid w:val="002F1895"/>
    <w:rsid w:val="002F189A"/>
    <w:rsid w:val="002F18F2"/>
    <w:rsid w:val="002F1957"/>
    <w:rsid w:val="002F1A65"/>
    <w:rsid w:val="002F1A87"/>
    <w:rsid w:val="002F1C70"/>
    <w:rsid w:val="002F1EC0"/>
    <w:rsid w:val="002F1EF2"/>
    <w:rsid w:val="002F230D"/>
    <w:rsid w:val="002F2325"/>
    <w:rsid w:val="002F2491"/>
    <w:rsid w:val="002F26AC"/>
    <w:rsid w:val="002F291C"/>
    <w:rsid w:val="002F2965"/>
    <w:rsid w:val="002F2BFD"/>
    <w:rsid w:val="002F2E8E"/>
    <w:rsid w:val="002F2F5F"/>
    <w:rsid w:val="002F302E"/>
    <w:rsid w:val="002F314E"/>
    <w:rsid w:val="002F364B"/>
    <w:rsid w:val="002F38F3"/>
    <w:rsid w:val="002F393B"/>
    <w:rsid w:val="002F3AA6"/>
    <w:rsid w:val="002F3B0C"/>
    <w:rsid w:val="002F3BFF"/>
    <w:rsid w:val="002F3C49"/>
    <w:rsid w:val="002F3F16"/>
    <w:rsid w:val="002F3F8B"/>
    <w:rsid w:val="002F4018"/>
    <w:rsid w:val="002F43C5"/>
    <w:rsid w:val="002F44B0"/>
    <w:rsid w:val="002F4790"/>
    <w:rsid w:val="002F488E"/>
    <w:rsid w:val="002F4A18"/>
    <w:rsid w:val="002F510B"/>
    <w:rsid w:val="002F53CD"/>
    <w:rsid w:val="002F55E3"/>
    <w:rsid w:val="002F56FF"/>
    <w:rsid w:val="002F5776"/>
    <w:rsid w:val="002F5828"/>
    <w:rsid w:val="002F5D72"/>
    <w:rsid w:val="002F5F89"/>
    <w:rsid w:val="002F5FEF"/>
    <w:rsid w:val="002F6059"/>
    <w:rsid w:val="002F6152"/>
    <w:rsid w:val="002F62EB"/>
    <w:rsid w:val="002F63C1"/>
    <w:rsid w:val="002F648D"/>
    <w:rsid w:val="002F6584"/>
    <w:rsid w:val="002F67A1"/>
    <w:rsid w:val="002F68DB"/>
    <w:rsid w:val="002F6B32"/>
    <w:rsid w:val="002F6C4B"/>
    <w:rsid w:val="002F6D2E"/>
    <w:rsid w:val="002F6DDC"/>
    <w:rsid w:val="002F6F26"/>
    <w:rsid w:val="002F7123"/>
    <w:rsid w:val="002F716C"/>
    <w:rsid w:val="002F7173"/>
    <w:rsid w:val="002F730F"/>
    <w:rsid w:val="002F74AA"/>
    <w:rsid w:val="002F7CAD"/>
    <w:rsid w:val="002F7D4F"/>
    <w:rsid w:val="002F7E4A"/>
    <w:rsid w:val="002FBAAF"/>
    <w:rsid w:val="00300032"/>
    <w:rsid w:val="003000BD"/>
    <w:rsid w:val="003001C5"/>
    <w:rsid w:val="0030026C"/>
    <w:rsid w:val="00300317"/>
    <w:rsid w:val="00300623"/>
    <w:rsid w:val="0030068F"/>
    <w:rsid w:val="00300721"/>
    <w:rsid w:val="003007AA"/>
    <w:rsid w:val="003008EE"/>
    <w:rsid w:val="00300DD2"/>
    <w:rsid w:val="00300E8C"/>
    <w:rsid w:val="00300EE6"/>
    <w:rsid w:val="003010C4"/>
    <w:rsid w:val="003011A9"/>
    <w:rsid w:val="0030127D"/>
    <w:rsid w:val="003012DC"/>
    <w:rsid w:val="0030136A"/>
    <w:rsid w:val="003014C4"/>
    <w:rsid w:val="00301566"/>
    <w:rsid w:val="0030167D"/>
    <w:rsid w:val="003019F5"/>
    <w:rsid w:val="00301BBC"/>
    <w:rsid w:val="00301BDF"/>
    <w:rsid w:val="00302314"/>
    <w:rsid w:val="00302474"/>
    <w:rsid w:val="00302600"/>
    <w:rsid w:val="00302A6B"/>
    <w:rsid w:val="00302CDD"/>
    <w:rsid w:val="00302E61"/>
    <w:rsid w:val="00302F65"/>
    <w:rsid w:val="00303105"/>
    <w:rsid w:val="0030343A"/>
    <w:rsid w:val="003036B0"/>
    <w:rsid w:val="0030371B"/>
    <w:rsid w:val="00303747"/>
    <w:rsid w:val="00303903"/>
    <w:rsid w:val="0030392B"/>
    <w:rsid w:val="003039BF"/>
    <w:rsid w:val="00303B7F"/>
    <w:rsid w:val="00303E21"/>
    <w:rsid w:val="00303F60"/>
    <w:rsid w:val="00303FD4"/>
    <w:rsid w:val="00303FFD"/>
    <w:rsid w:val="00304156"/>
    <w:rsid w:val="0030446E"/>
    <w:rsid w:val="00304533"/>
    <w:rsid w:val="0030459F"/>
    <w:rsid w:val="00304781"/>
    <w:rsid w:val="003047EB"/>
    <w:rsid w:val="0030490D"/>
    <w:rsid w:val="00304C37"/>
    <w:rsid w:val="00304CFB"/>
    <w:rsid w:val="00304EAC"/>
    <w:rsid w:val="003050B2"/>
    <w:rsid w:val="0030574C"/>
    <w:rsid w:val="003059EA"/>
    <w:rsid w:val="00305A4F"/>
    <w:rsid w:val="00305A9B"/>
    <w:rsid w:val="00305AF0"/>
    <w:rsid w:val="00305E32"/>
    <w:rsid w:val="00305F1B"/>
    <w:rsid w:val="0030643B"/>
    <w:rsid w:val="00306ACE"/>
    <w:rsid w:val="00306AF9"/>
    <w:rsid w:val="00306B8F"/>
    <w:rsid w:val="00306C2D"/>
    <w:rsid w:val="00306EE8"/>
    <w:rsid w:val="003071D6"/>
    <w:rsid w:val="00307417"/>
    <w:rsid w:val="003074F4"/>
    <w:rsid w:val="003075A5"/>
    <w:rsid w:val="00307A92"/>
    <w:rsid w:val="00307AE1"/>
    <w:rsid w:val="00307CFA"/>
    <w:rsid w:val="00307E9B"/>
    <w:rsid w:val="0031018C"/>
    <w:rsid w:val="003103D9"/>
    <w:rsid w:val="0031043F"/>
    <w:rsid w:val="0031058B"/>
    <w:rsid w:val="0031067A"/>
    <w:rsid w:val="00310B22"/>
    <w:rsid w:val="00310E7C"/>
    <w:rsid w:val="00311073"/>
    <w:rsid w:val="0031135B"/>
    <w:rsid w:val="0031162A"/>
    <w:rsid w:val="00311662"/>
    <w:rsid w:val="00311B61"/>
    <w:rsid w:val="00311C4C"/>
    <w:rsid w:val="00311CB3"/>
    <w:rsid w:val="00311E2D"/>
    <w:rsid w:val="00312605"/>
    <w:rsid w:val="003126A0"/>
    <w:rsid w:val="00312719"/>
    <w:rsid w:val="003129A3"/>
    <w:rsid w:val="00312B5C"/>
    <w:rsid w:val="00312B80"/>
    <w:rsid w:val="00312C3C"/>
    <w:rsid w:val="003133FF"/>
    <w:rsid w:val="003134A3"/>
    <w:rsid w:val="00313669"/>
    <w:rsid w:val="003138FE"/>
    <w:rsid w:val="00313C28"/>
    <w:rsid w:val="00313E05"/>
    <w:rsid w:val="00313E10"/>
    <w:rsid w:val="00313E4D"/>
    <w:rsid w:val="003140A5"/>
    <w:rsid w:val="00314338"/>
    <w:rsid w:val="003144E5"/>
    <w:rsid w:val="003146D8"/>
    <w:rsid w:val="003146E7"/>
    <w:rsid w:val="0031487B"/>
    <w:rsid w:val="003148EA"/>
    <w:rsid w:val="00314DCF"/>
    <w:rsid w:val="00314DF3"/>
    <w:rsid w:val="00314F6D"/>
    <w:rsid w:val="00314FA5"/>
    <w:rsid w:val="00314FD0"/>
    <w:rsid w:val="003151E3"/>
    <w:rsid w:val="00315308"/>
    <w:rsid w:val="00315434"/>
    <w:rsid w:val="00315775"/>
    <w:rsid w:val="00315C28"/>
    <w:rsid w:val="00315C8C"/>
    <w:rsid w:val="00315D40"/>
    <w:rsid w:val="00315D53"/>
    <w:rsid w:val="00315D79"/>
    <w:rsid w:val="00315F87"/>
    <w:rsid w:val="0031660F"/>
    <w:rsid w:val="003166CB"/>
    <w:rsid w:val="00316853"/>
    <w:rsid w:val="00316937"/>
    <w:rsid w:val="00316948"/>
    <w:rsid w:val="0031694D"/>
    <w:rsid w:val="00316B3F"/>
    <w:rsid w:val="00316BDC"/>
    <w:rsid w:val="00316CD7"/>
    <w:rsid w:val="00316DB6"/>
    <w:rsid w:val="00316EF5"/>
    <w:rsid w:val="00317062"/>
    <w:rsid w:val="003171A4"/>
    <w:rsid w:val="00317222"/>
    <w:rsid w:val="003173FB"/>
    <w:rsid w:val="00317507"/>
    <w:rsid w:val="00317689"/>
    <w:rsid w:val="003179DB"/>
    <w:rsid w:val="0032009A"/>
    <w:rsid w:val="0032017F"/>
    <w:rsid w:val="00320196"/>
    <w:rsid w:val="0032033E"/>
    <w:rsid w:val="003203D5"/>
    <w:rsid w:val="00320597"/>
    <w:rsid w:val="0032064F"/>
    <w:rsid w:val="00320790"/>
    <w:rsid w:val="003207CF"/>
    <w:rsid w:val="00320809"/>
    <w:rsid w:val="00320A43"/>
    <w:rsid w:val="00320AC6"/>
    <w:rsid w:val="00320CEC"/>
    <w:rsid w:val="003211E4"/>
    <w:rsid w:val="003215FE"/>
    <w:rsid w:val="003217B1"/>
    <w:rsid w:val="00321D9C"/>
    <w:rsid w:val="00321DC9"/>
    <w:rsid w:val="00322124"/>
    <w:rsid w:val="00322207"/>
    <w:rsid w:val="003225CF"/>
    <w:rsid w:val="00322790"/>
    <w:rsid w:val="00322A8B"/>
    <w:rsid w:val="00322B11"/>
    <w:rsid w:val="00322D24"/>
    <w:rsid w:val="00322D73"/>
    <w:rsid w:val="00322DD0"/>
    <w:rsid w:val="0032300D"/>
    <w:rsid w:val="0032329D"/>
    <w:rsid w:val="003241DC"/>
    <w:rsid w:val="003247A5"/>
    <w:rsid w:val="00324A0E"/>
    <w:rsid w:val="00324BC4"/>
    <w:rsid w:val="00324BDF"/>
    <w:rsid w:val="00324D80"/>
    <w:rsid w:val="00325180"/>
    <w:rsid w:val="00325243"/>
    <w:rsid w:val="003253C5"/>
    <w:rsid w:val="00325740"/>
    <w:rsid w:val="003257DB"/>
    <w:rsid w:val="003257EF"/>
    <w:rsid w:val="003259DF"/>
    <w:rsid w:val="00325A32"/>
    <w:rsid w:val="00325C59"/>
    <w:rsid w:val="00325CF4"/>
    <w:rsid w:val="00325D41"/>
    <w:rsid w:val="00325FAE"/>
    <w:rsid w:val="003261F0"/>
    <w:rsid w:val="00326271"/>
    <w:rsid w:val="00326290"/>
    <w:rsid w:val="00327008"/>
    <w:rsid w:val="0032709C"/>
    <w:rsid w:val="003270CD"/>
    <w:rsid w:val="0032718C"/>
    <w:rsid w:val="003272FF"/>
    <w:rsid w:val="00327399"/>
    <w:rsid w:val="003273C0"/>
    <w:rsid w:val="00327428"/>
    <w:rsid w:val="00327447"/>
    <w:rsid w:val="00327551"/>
    <w:rsid w:val="003276AE"/>
    <w:rsid w:val="003276B5"/>
    <w:rsid w:val="00327884"/>
    <w:rsid w:val="00327A42"/>
    <w:rsid w:val="00327BD5"/>
    <w:rsid w:val="00327C6E"/>
    <w:rsid w:val="00327D22"/>
    <w:rsid w:val="00327E10"/>
    <w:rsid w:val="00327F3D"/>
    <w:rsid w:val="003302D3"/>
    <w:rsid w:val="003307C5"/>
    <w:rsid w:val="003308DB"/>
    <w:rsid w:val="003310C3"/>
    <w:rsid w:val="00331543"/>
    <w:rsid w:val="003316D5"/>
    <w:rsid w:val="0033188B"/>
    <w:rsid w:val="0033191C"/>
    <w:rsid w:val="003319DA"/>
    <w:rsid w:val="00331D39"/>
    <w:rsid w:val="00331DC9"/>
    <w:rsid w:val="003320CA"/>
    <w:rsid w:val="0033213F"/>
    <w:rsid w:val="003321DC"/>
    <w:rsid w:val="0033242B"/>
    <w:rsid w:val="0033253E"/>
    <w:rsid w:val="00332675"/>
    <w:rsid w:val="0033283D"/>
    <w:rsid w:val="003329FE"/>
    <w:rsid w:val="00332AD6"/>
    <w:rsid w:val="00332BD0"/>
    <w:rsid w:val="00333477"/>
    <w:rsid w:val="003335EA"/>
    <w:rsid w:val="003336C2"/>
    <w:rsid w:val="003336C7"/>
    <w:rsid w:val="0033382A"/>
    <w:rsid w:val="00333858"/>
    <w:rsid w:val="0033387A"/>
    <w:rsid w:val="003339B9"/>
    <w:rsid w:val="00333A10"/>
    <w:rsid w:val="00333A21"/>
    <w:rsid w:val="00333C3D"/>
    <w:rsid w:val="00333E62"/>
    <w:rsid w:val="00333FAD"/>
    <w:rsid w:val="003341C2"/>
    <w:rsid w:val="003344B0"/>
    <w:rsid w:val="00334699"/>
    <w:rsid w:val="00334822"/>
    <w:rsid w:val="00334FEA"/>
    <w:rsid w:val="00335117"/>
    <w:rsid w:val="00335401"/>
    <w:rsid w:val="0033549B"/>
    <w:rsid w:val="00335545"/>
    <w:rsid w:val="003355B6"/>
    <w:rsid w:val="0033577E"/>
    <w:rsid w:val="0033594E"/>
    <w:rsid w:val="00335BDE"/>
    <w:rsid w:val="00335E96"/>
    <w:rsid w:val="00335EF2"/>
    <w:rsid w:val="00335F69"/>
    <w:rsid w:val="003362D9"/>
    <w:rsid w:val="003365A7"/>
    <w:rsid w:val="003365CC"/>
    <w:rsid w:val="0033661F"/>
    <w:rsid w:val="00336A96"/>
    <w:rsid w:val="00336B14"/>
    <w:rsid w:val="00336B22"/>
    <w:rsid w:val="00336C26"/>
    <w:rsid w:val="00336C43"/>
    <w:rsid w:val="00336CF4"/>
    <w:rsid w:val="00337209"/>
    <w:rsid w:val="00337233"/>
    <w:rsid w:val="00337284"/>
    <w:rsid w:val="003374D0"/>
    <w:rsid w:val="003375CF"/>
    <w:rsid w:val="00337782"/>
    <w:rsid w:val="003377D5"/>
    <w:rsid w:val="00337B05"/>
    <w:rsid w:val="00337B38"/>
    <w:rsid w:val="00337B5F"/>
    <w:rsid w:val="00337E6D"/>
    <w:rsid w:val="00337EFE"/>
    <w:rsid w:val="003401B8"/>
    <w:rsid w:val="00340396"/>
    <w:rsid w:val="003403E0"/>
    <w:rsid w:val="00340609"/>
    <w:rsid w:val="00340894"/>
    <w:rsid w:val="003409DD"/>
    <w:rsid w:val="00340AF1"/>
    <w:rsid w:val="00340C54"/>
    <w:rsid w:val="00340D93"/>
    <w:rsid w:val="00341224"/>
    <w:rsid w:val="00341486"/>
    <w:rsid w:val="0034158A"/>
    <w:rsid w:val="003415C0"/>
    <w:rsid w:val="00341730"/>
    <w:rsid w:val="0034179B"/>
    <w:rsid w:val="00341898"/>
    <w:rsid w:val="003418C6"/>
    <w:rsid w:val="00341A16"/>
    <w:rsid w:val="00341AC1"/>
    <w:rsid w:val="00341B24"/>
    <w:rsid w:val="00341B26"/>
    <w:rsid w:val="00341BF0"/>
    <w:rsid w:val="00341BF3"/>
    <w:rsid w:val="00341C5D"/>
    <w:rsid w:val="00341F81"/>
    <w:rsid w:val="00341FCC"/>
    <w:rsid w:val="003420C3"/>
    <w:rsid w:val="0034221C"/>
    <w:rsid w:val="00342357"/>
    <w:rsid w:val="00342417"/>
    <w:rsid w:val="003424FC"/>
    <w:rsid w:val="00342504"/>
    <w:rsid w:val="0034262B"/>
    <w:rsid w:val="003426D4"/>
    <w:rsid w:val="003427C0"/>
    <w:rsid w:val="003428C9"/>
    <w:rsid w:val="003428E2"/>
    <w:rsid w:val="003428F6"/>
    <w:rsid w:val="00342A2E"/>
    <w:rsid w:val="00342B1C"/>
    <w:rsid w:val="00342BBB"/>
    <w:rsid w:val="00342D5A"/>
    <w:rsid w:val="00342EFD"/>
    <w:rsid w:val="00343158"/>
    <w:rsid w:val="003431AE"/>
    <w:rsid w:val="00343450"/>
    <w:rsid w:val="003434A4"/>
    <w:rsid w:val="003437C2"/>
    <w:rsid w:val="003438E1"/>
    <w:rsid w:val="00343B50"/>
    <w:rsid w:val="00343D4A"/>
    <w:rsid w:val="00343DED"/>
    <w:rsid w:val="00343ED9"/>
    <w:rsid w:val="00343F09"/>
    <w:rsid w:val="00343F46"/>
    <w:rsid w:val="0034400E"/>
    <w:rsid w:val="0034408F"/>
    <w:rsid w:val="003440C2"/>
    <w:rsid w:val="003440FD"/>
    <w:rsid w:val="003443AA"/>
    <w:rsid w:val="003443E9"/>
    <w:rsid w:val="00344553"/>
    <w:rsid w:val="003448CE"/>
    <w:rsid w:val="00344957"/>
    <w:rsid w:val="00345039"/>
    <w:rsid w:val="00345070"/>
    <w:rsid w:val="003450A1"/>
    <w:rsid w:val="003450AE"/>
    <w:rsid w:val="003451D4"/>
    <w:rsid w:val="00345307"/>
    <w:rsid w:val="00345515"/>
    <w:rsid w:val="003455E9"/>
    <w:rsid w:val="00345744"/>
    <w:rsid w:val="003457F9"/>
    <w:rsid w:val="00345ABD"/>
    <w:rsid w:val="00345C37"/>
    <w:rsid w:val="00345EC5"/>
    <w:rsid w:val="00345ECE"/>
    <w:rsid w:val="0034627C"/>
    <w:rsid w:val="00346301"/>
    <w:rsid w:val="003464AA"/>
    <w:rsid w:val="00346564"/>
    <w:rsid w:val="00346923"/>
    <w:rsid w:val="003469F3"/>
    <w:rsid w:val="00346A5F"/>
    <w:rsid w:val="00346E11"/>
    <w:rsid w:val="00346E32"/>
    <w:rsid w:val="00346EC1"/>
    <w:rsid w:val="0034718E"/>
    <w:rsid w:val="0034741D"/>
    <w:rsid w:val="0034766A"/>
    <w:rsid w:val="003476C2"/>
    <w:rsid w:val="00347A58"/>
    <w:rsid w:val="00347BEB"/>
    <w:rsid w:val="00347D06"/>
    <w:rsid w:val="00347F83"/>
    <w:rsid w:val="003500E5"/>
    <w:rsid w:val="0035010B"/>
    <w:rsid w:val="003502F5"/>
    <w:rsid w:val="003504D8"/>
    <w:rsid w:val="00350562"/>
    <w:rsid w:val="003508B4"/>
    <w:rsid w:val="00350BB2"/>
    <w:rsid w:val="00350C90"/>
    <w:rsid w:val="00351259"/>
    <w:rsid w:val="00351291"/>
    <w:rsid w:val="00351340"/>
    <w:rsid w:val="0035163C"/>
    <w:rsid w:val="00351CFF"/>
    <w:rsid w:val="00351E0E"/>
    <w:rsid w:val="00351E34"/>
    <w:rsid w:val="00351E4F"/>
    <w:rsid w:val="00352164"/>
    <w:rsid w:val="0035217E"/>
    <w:rsid w:val="00352186"/>
    <w:rsid w:val="00352415"/>
    <w:rsid w:val="00352579"/>
    <w:rsid w:val="00352AB8"/>
    <w:rsid w:val="00352B3D"/>
    <w:rsid w:val="00352C38"/>
    <w:rsid w:val="00352D7F"/>
    <w:rsid w:val="00352EEF"/>
    <w:rsid w:val="0035300E"/>
    <w:rsid w:val="00353232"/>
    <w:rsid w:val="003532A0"/>
    <w:rsid w:val="003533D6"/>
    <w:rsid w:val="00353937"/>
    <w:rsid w:val="00353B58"/>
    <w:rsid w:val="00353E67"/>
    <w:rsid w:val="003542C8"/>
    <w:rsid w:val="00354475"/>
    <w:rsid w:val="00354954"/>
    <w:rsid w:val="00354AF1"/>
    <w:rsid w:val="00354B19"/>
    <w:rsid w:val="00354BD6"/>
    <w:rsid w:val="00354D79"/>
    <w:rsid w:val="00354E1B"/>
    <w:rsid w:val="003551CE"/>
    <w:rsid w:val="00355416"/>
    <w:rsid w:val="00355521"/>
    <w:rsid w:val="00355688"/>
    <w:rsid w:val="0035590C"/>
    <w:rsid w:val="00355B6B"/>
    <w:rsid w:val="00355BF4"/>
    <w:rsid w:val="00355C63"/>
    <w:rsid w:val="00355EC1"/>
    <w:rsid w:val="003565AE"/>
    <w:rsid w:val="0035678D"/>
    <w:rsid w:val="00356855"/>
    <w:rsid w:val="00356A10"/>
    <w:rsid w:val="00356A78"/>
    <w:rsid w:val="00356CA6"/>
    <w:rsid w:val="00356D80"/>
    <w:rsid w:val="00356F4C"/>
    <w:rsid w:val="00357060"/>
    <w:rsid w:val="003571E7"/>
    <w:rsid w:val="0035725B"/>
    <w:rsid w:val="0035749C"/>
    <w:rsid w:val="00357750"/>
    <w:rsid w:val="00357DC9"/>
    <w:rsid w:val="00357E34"/>
    <w:rsid w:val="00357EE1"/>
    <w:rsid w:val="003602AF"/>
    <w:rsid w:val="0036030F"/>
    <w:rsid w:val="0036034E"/>
    <w:rsid w:val="003603F1"/>
    <w:rsid w:val="00360690"/>
    <w:rsid w:val="003606AD"/>
    <w:rsid w:val="003606C3"/>
    <w:rsid w:val="0036072A"/>
    <w:rsid w:val="00360757"/>
    <w:rsid w:val="0036081F"/>
    <w:rsid w:val="003608A7"/>
    <w:rsid w:val="00360D41"/>
    <w:rsid w:val="00360DEA"/>
    <w:rsid w:val="00361909"/>
    <w:rsid w:val="00361CAF"/>
    <w:rsid w:val="00361E0D"/>
    <w:rsid w:val="00361F04"/>
    <w:rsid w:val="00361F32"/>
    <w:rsid w:val="00361F79"/>
    <w:rsid w:val="00361F7E"/>
    <w:rsid w:val="00361FD5"/>
    <w:rsid w:val="003620CF"/>
    <w:rsid w:val="00362465"/>
    <w:rsid w:val="003627FE"/>
    <w:rsid w:val="00362B09"/>
    <w:rsid w:val="00362B4F"/>
    <w:rsid w:val="00362C86"/>
    <w:rsid w:val="00362D17"/>
    <w:rsid w:val="00362D5D"/>
    <w:rsid w:val="00362FDE"/>
    <w:rsid w:val="00362FE5"/>
    <w:rsid w:val="00363049"/>
    <w:rsid w:val="00363301"/>
    <w:rsid w:val="0036348A"/>
    <w:rsid w:val="00363697"/>
    <w:rsid w:val="00363956"/>
    <w:rsid w:val="00363C30"/>
    <w:rsid w:val="00363CC7"/>
    <w:rsid w:val="003640BB"/>
    <w:rsid w:val="003641DE"/>
    <w:rsid w:val="003641F0"/>
    <w:rsid w:val="00364316"/>
    <w:rsid w:val="00364408"/>
    <w:rsid w:val="00364436"/>
    <w:rsid w:val="00364591"/>
    <w:rsid w:val="00364849"/>
    <w:rsid w:val="0036485C"/>
    <w:rsid w:val="00364DC4"/>
    <w:rsid w:val="00364E77"/>
    <w:rsid w:val="00364ED9"/>
    <w:rsid w:val="0036518A"/>
    <w:rsid w:val="00365707"/>
    <w:rsid w:val="0036588E"/>
    <w:rsid w:val="0036594A"/>
    <w:rsid w:val="00365B90"/>
    <w:rsid w:val="00365CD4"/>
    <w:rsid w:val="00365D17"/>
    <w:rsid w:val="00365EC2"/>
    <w:rsid w:val="00366257"/>
    <w:rsid w:val="00366523"/>
    <w:rsid w:val="00366607"/>
    <w:rsid w:val="003666AC"/>
    <w:rsid w:val="003666E2"/>
    <w:rsid w:val="00366B64"/>
    <w:rsid w:val="00366C33"/>
    <w:rsid w:val="00366D25"/>
    <w:rsid w:val="00366D7A"/>
    <w:rsid w:val="00366E79"/>
    <w:rsid w:val="00366EF3"/>
    <w:rsid w:val="003670D0"/>
    <w:rsid w:val="00367157"/>
    <w:rsid w:val="00367204"/>
    <w:rsid w:val="00367535"/>
    <w:rsid w:val="00367640"/>
    <w:rsid w:val="003678CB"/>
    <w:rsid w:val="00367997"/>
    <w:rsid w:val="00367AD0"/>
    <w:rsid w:val="00367B0A"/>
    <w:rsid w:val="00367B0F"/>
    <w:rsid w:val="00367BAC"/>
    <w:rsid w:val="00367D52"/>
    <w:rsid w:val="00370022"/>
    <w:rsid w:val="003700C9"/>
    <w:rsid w:val="003702EA"/>
    <w:rsid w:val="0037056C"/>
    <w:rsid w:val="003705A0"/>
    <w:rsid w:val="0037072F"/>
    <w:rsid w:val="003709EA"/>
    <w:rsid w:val="00370A9F"/>
    <w:rsid w:val="00370AB6"/>
    <w:rsid w:val="00370BC2"/>
    <w:rsid w:val="00370C34"/>
    <w:rsid w:val="00370C8E"/>
    <w:rsid w:val="00370E4C"/>
    <w:rsid w:val="00370E65"/>
    <w:rsid w:val="00370F7B"/>
    <w:rsid w:val="00371114"/>
    <w:rsid w:val="0037135C"/>
    <w:rsid w:val="003713A2"/>
    <w:rsid w:val="00371418"/>
    <w:rsid w:val="0037149B"/>
    <w:rsid w:val="00371518"/>
    <w:rsid w:val="0037153A"/>
    <w:rsid w:val="00371633"/>
    <w:rsid w:val="0037165C"/>
    <w:rsid w:val="0037187C"/>
    <w:rsid w:val="00371914"/>
    <w:rsid w:val="003719FA"/>
    <w:rsid w:val="00371B16"/>
    <w:rsid w:val="00371B30"/>
    <w:rsid w:val="00371B7C"/>
    <w:rsid w:val="00371DCB"/>
    <w:rsid w:val="00372033"/>
    <w:rsid w:val="0037221D"/>
    <w:rsid w:val="003723DA"/>
    <w:rsid w:val="00372434"/>
    <w:rsid w:val="00372487"/>
    <w:rsid w:val="00372584"/>
    <w:rsid w:val="00372614"/>
    <w:rsid w:val="0037268D"/>
    <w:rsid w:val="00372E2E"/>
    <w:rsid w:val="00372E41"/>
    <w:rsid w:val="00372EE7"/>
    <w:rsid w:val="00372FC8"/>
    <w:rsid w:val="00373027"/>
    <w:rsid w:val="00373229"/>
    <w:rsid w:val="003732F9"/>
    <w:rsid w:val="0037344C"/>
    <w:rsid w:val="00373900"/>
    <w:rsid w:val="00373A33"/>
    <w:rsid w:val="00373A7B"/>
    <w:rsid w:val="00373B41"/>
    <w:rsid w:val="00373BA6"/>
    <w:rsid w:val="00373C2F"/>
    <w:rsid w:val="00373D67"/>
    <w:rsid w:val="0037407C"/>
    <w:rsid w:val="003740DE"/>
    <w:rsid w:val="003741B7"/>
    <w:rsid w:val="003741EA"/>
    <w:rsid w:val="00374304"/>
    <w:rsid w:val="003743A5"/>
    <w:rsid w:val="0037455E"/>
    <w:rsid w:val="00374771"/>
    <w:rsid w:val="00374926"/>
    <w:rsid w:val="003749C9"/>
    <w:rsid w:val="00374A14"/>
    <w:rsid w:val="00374DBE"/>
    <w:rsid w:val="0037530D"/>
    <w:rsid w:val="003755BF"/>
    <w:rsid w:val="00375617"/>
    <w:rsid w:val="00375745"/>
    <w:rsid w:val="00375946"/>
    <w:rsid w:val="00375CEA"/>
    <w:rsid w:val="00375E58"/>
    <w:rsid w:val="00376198"/>
    <w:rsid w:val="00376250"/>
    <w:rsid w:val="00376313"/>
    <w:rsid w:val="003763EA"/>
    <w:rsid w:val="003766D7"/>
    <w:rsid w:val="00376827"/>
    <w:rsid w:val="00376A11"/>
    <w:rsid w:val="00376CD2"/>
    <w:rsid w:val="00376E4A"/>
    <w:rsid w:val="003770D2"/>
    <w:rsid w:val="0037726C"/>
    <w:rsid w:val="003773DC"/>
    <w:rsid w:val="0037778F"/>
    <w:rsid w:val="00377D04"/>
    <w:rsid w:val="00377F1C"/>
    <w:rsid w:val="00377FBB"/>
    <w:rsid w:val="00380575"/>
    <w:rsid w:val="003806D5"/>
    <w:rsid w:val="00380773"/>
    <w:rsid w:val="003808AA"/>
    <w:rsid w:val="00380A7E"/>
    <w:rsid w:val="00380BA0"/>
    <w:rsid w:val="00380BE8"/>
    <w:rsid w:val="00380C3D"/>
    <w:rsid w:val="00380D72"/>
    <w:rsid w:val="00381018"/>
    <w:rsid w:val="00381037"/>
    <w:rsid w:val="00381184"/>
    <w:rsid w:val="00381223"/>
    <w:rsid w:val="00381351"/>
    <w:rsid w:val="00381653"/>
    <w:rsid w:val="0038175C"/>
    <w:rsid w:val="003818D3"/>
    <w:rsid w:val="0038191D"/>
    <w:rsid w:val="00381983"/>
    <w:rsid w:val="003819FD"/>
    <w:rsid w:val="00381A50"/>
    <w:rsid w:val="00381D70"/>
    <w:rsid w:val="00381DC1"/>
    <w:rsid w:val="00382204"/>
    <w:rsid w:val="003822C1"/>
    <w:rsid w:val="003823C6"/>
    <w:rsid w:val="003823DB"/>
    <w:rsid w:val="0038241F"/>
    <w:rsid w:val="003826C3"/>
    <w:rsid w:val="00382928"/>
    <w:rsid w:val="00382A64"/>
    <w:rsid w:val="00382A89"/>
    <w:rsid w:val="00382B9E"/>
    <w:rsid w:val="00382CC9"/>
    <w:rsid w:val="00382F6F"/>
    <w:rsid w:val="003830B5"/>
    <w:rsid w:val="0038311D"/>
    <w:rsid w:val="0038317F"/>
    <w:rsid w:val="003831BC"/>
    <w:rsid w:val="003831C8"/>
    <w:rsid w:val="003832DA"/>
    <w:rsid w:val="00383373"/>
    <w:rsid w:val="00383422"/>
    <w:rsid w:val="003834FD"/>
    <w:rsid w:val="0038353E"/>
    <w:rsid w:val="003836D3"/>
    <w:rsid w:val="00383711"/>
    <w:rsid w:val="00383856"/>
    <w:rsid w:val="00383DD7"/>
    <w:rsid w:val="00383FA9"/>
    <w:rsid w:val="003840DA"/>
    <w:rsid w:val="00384107"/>
    <w:rsid w:val="0038432C"/>
    <w:rsid w:val="0038446B"/>
    <w:rsid w:val="0038460E"/>
    <w:rsid w:val="0038461B"/>
    <w:rsid w:val="003846A1"/>
    <w:rsid w:val="00384878"/>
    <w:rsid w:val="0038487F"/>
    <w:rsid w:val="00384A2F"/>
    <w:rsid w:val="00384CFA"/>
    <w:rsid w:val="00384E5E"/>
    <w:rsid w:val="00384EF3"/>
    <w:rsid w:val="0038502C"/>
    <w:rsid w:val="00385BAB"/>
    <w:rsid w:val="00385C8E"/>
    <w:rsid w:val="00385D4B"/>
    <w:rsid w:val="00385E05"/>
    <w:rsid w:val="00386063"/>
    <w:rsid w:val="003860F9"/>
    <w:rsid w:val="00386164"/>
    <w:rsid w:val="00386191"/>
    <w:rsid w:val="00386341"/>
    <w:rsid w:val="00386540"/>
    <w:rsid w:val="00386B9A"/>
    <w:rsid w:val="00386BCF"/>
    <w:rsid w:val="00386C7B"/>
    <w:rsid w:val="00386C8D"/>
    <w:rsid w:val="00386CD6"/>
    <w:rsid w:val="00386CF4"/>
    <w:rsid w:val="00386FD7"/>
    <w:rsid w:val="00387114"/>
    <w:rsid w:val="00387852"/>
    <w:rsid w:val="0038798C"/>
    <w:rsid w:val="00387AB9"/>
    <w:rsid w:val="00387B0F"/>
    <w:rsid w:val="00387BC7"/>
    <w:rsid w:val="00387C7B"/>
    <w:rsid w:val="00387F3F"/>
    <w:rsid w:val="00390162"/>
    <w:rsid w:val="00390245"/>
    <w:rsid w:val="00390785"/>
    <w:rsid w:val="00390B92"/>
    <w:rsid w:val="00390E5F"/>
    <w:rsid w:val="00391047"/>
    <w:rsid w:val="003911CA"/>
    <w:rsid w:val="0039129F"/>
    <w:rsid w:val="00391324"/>
    <w:rsid w:val="0039132B"/>
    <w:rsid w:val="003913DC"/>
    <w:rsid w:val="0039141D"/>
    <w:rsid w:val="00391448"/>
    <w:rsid w:val="00391504"/>
    <w:rsid w:val="003915E8"/>
    <w:rsid w:val="003917FC"/>
    <w:rsid w:val="00391818"/>
    <w:rsid w:val="003918DD"/>
    <w:rsid w:val="003919BA"/>
    <w:rsid w:val="003919FB"/>
    <w:rsid w:val="00391A20"/>
    <w:rsid w:val="00391A79"/>
    <w:rsid w:val="00391C55"/>
    <w:rsid w:val="00391E3D"/>
    <w:rsid w:val="00391E9F"/>
    <w:rsid w:val="00391EA3"/>
    <w:rsid w:val="00391FE0"/>
    <w:rsid w:val="00392054"/>
    <w:rsid w:val="00392098"/>
    <w:rsid w:val="003920FC"/>
    <w:rsid w:val="003921AF"/>
    <w:rsid w:val="003922DE"/>
    <w:rsid w:val="0039263A"/>
    <w:rsid w:val="003926C5"/>
    <w:rsid w:val="003927AD"/>
    <w:rsid w:val="00392AA3"/>
    <w:rsid w:val="00392BF8"/>
    <w:rsid w:val="00392C3A"/>
    <w:rsid w:val="00392E0B"/>
    <w:rsid w:val="00393029"/>
    <w:rsid w:val="0039302F"/>
    <w:rsid w:val="003930C8"/>
    <w:rsid w:val="0039335D"/>
    <w:rsid w:val="003935C2"/>
    <w:rsid w:val="003936C3"/>
    <w:rsid w:val="00393823"/>
    <w:rsid w:val="00393A4C"/>
    <w:rsid w:val="00393C83"/>
    <w:rsid w:val="003942C7"/>
    <w:rsid w:val="003944A6"/>
    <w:rsid w:val="003948D5"/>
    <w:rsid w:val="00394C3E"/>
    <w:rsid w:val="00394ED9"/>
    <w:rsid w:val="0039512E"/>
    <w:rsid w:val="00395367"/>
    <w:rsid w:val="00395406"/>
    <w:rsid w:val="00395487"/>
    <w:rsid w:val="00395569"/>
    <w:rsid w:val="0039575A"/>
    <w:rsid w:val="00395839"/>
    <w:rsid w:val="00395847"/>
    <w:rsid w:val="00395989"/>
    <w:rsid w:val="00395C8C"/>
    <w:rsid w:val="00395E29"/>
    <w:rsid w:val="00395E7B"/>
    <w:rsid w:val="00396395"/>
    <w:rsid w:val="003964F0"/>
    <w:rsid w:val="00396597"/>
    <w:rsid w:val="00396682"/>
    <w:rsid w:val="0039669D"/>
    <w:rsid w:val="00396A4D"/>
    <w:rsid w:val="00396B60"/>
    <w:rsid w:val="00396CC3"/>
    <w:rsid w:val="00396CF7"/>
    <w:rsid w:val="00396D52"/>
    <w:rsid w:val="00396EBA"/>
    <w:rsid w:val="00396F30"/>
    <w:rsid w:val="00397126"/>
    <w:rsid w:val="003972A4"/>
    <w:rsid w:val="00397770"/>
    <w:rsid w:val="0039781C"/>
    <w:rsid w:val="003979E2"/>
    <w:rsid w:val="00397C08"/>
    <w:rsid w:val="00397E1E"/>
    <w:rsid w:val="003A004E"/>
    <w:rsid w:val="003A008A"/>
    <w:rsid w:val="003A04C0"/>
    <w:rsid w:val="003A0646"/>
    <w:rsid w:val="003A0785"/>
    <w:rsid w:val="003A07E4"/>
    <w:rsid w:val="003A0A2E"/>
    <w:rsid w:val="003A0BE8"/>
    <w:rsid w:val="003A0D2C"/>
    <w:rsid w:val="003A0D93"/>
    <w:rsid w:val="003A0F79"/>
    <w:rsid w:val="003A10D8"/>
    <w:rsid w:val="003A10DA"/>
    <w:rsid w:val="003A10DC"/>
    <w:rsid w:val="003A11C3"/>
    <w:rsid w:val="003A1504"/>
    <w:rsid w:val="003A163E"/>
    <w:rsid w:val="003A1837"/>
    <w:rsid w:val="003A1C87"/>
    <w:rsid w:val="003A1DBA"/>
    <w:rsid w:val="003A1F98"/>
    <w:rsid w:val="003A2069"/>
    <w:rsid w:val="003A20B5"/>
    <w:rsid w:val="003A248C"/>
    <w:rsid w:val="003A2B59"/>
    <w:rsid w:val="003A2D96"/>
    <w:rsid w:val="003A3004"/>
    <w:rsid w:val="003A3658"/>
    <w:rsid w:val="003A3748"/>
    <w:rsid w:val="003A3786"/>
    <w:rsid w:val="003A38B7"/>
    <w:rsid w:val="003A3956"/>
    <w:rsid w:val="003A3978"/>
    <w:rsid w:val="003A3B75"/>
    <w:rsid w:val="003A3C9D"/>
    <w:rsid w:val="003A3DB9"/>
    <w:rsid w:val="003A3ED1"/>
    <w:rsid w:val="003A3EDA"/>
    <w:rsid w:val="003A3F81"/>
    <w:rsid w:val="003A3FDC"/>
    <w:rsid w:val="003A412D"/>
    <w:rsid w:val="003A4373"/>
    <w:rsid w:val="003A4433"/>
    <w:rsid w:val="003A4591"/>
    <w:rsid w:val="003A46EE"/>
    <w:rsid w:val="003A4716"/>
    <w:rsid w:val="003A4941"/>
    <w:rsid w:val="003A4B5F"/>
    <w:rsid w:val="003A4E79"/>
    <w:rsid w:val="003A4F1B"/>
    <w:rsid w:val="003A5082"/>
    <w:rsid w:val="003A5578"/>
    <w:rsid w:val="003A562F"/>
    <w:rsid w:val="003A5916"/>
    <w:rsid w:val="003A59A3"/>
    <w:rsid w:val="003A5B19"/>
    <w:rsid w:val="003A5BFD"/>
    <w:rsid w:val="003A5D0E"/>
    <w:rsid w:val="003A5F58"/>
    <w:rsid w:val="003A6056"/>
    <w:rsid w:val="003A6162"/>
    <w:rsid w:val="003A62B9"/>
    <w:rsid w:val="003A63FB"/>
    <w:rsid w:val="003A644E"/>
    <w:rsid w:val="003A6461"/>
    <w:rsid w:val="003A6550"/>
    <w:rsid w:val="003A6587"/>
    <w:rsid w:val="003A65F9"/>
    <w:rsid w:val="003A6681"/>
    <w:rsid w:val="003A6697"/>
    <w:rsid w:val="003A68C1"/>
    <w:rsid w:val="003A6CC9"/>
    <w:rsid w:val="003A6EE6"/>
    <w:rsid w:val="003A7191"/>
    <w:rsid w:val="003A7482"/>
    <w:rsid w:val="003A766C"/>
    <w:rsid w:val="003A7865"/>
    <w:rsid w:val="003B01BF"/>
    <w:rsid w:val="003B02B8"/>
    <w:rsid w:val="003B0657"/>
    <w:rsid w:val="003B07C1"/>
    <w:rsid w:val="003B09BE"/>
    <w:rsid w:val="003B0A49"/>
    <w:rsid w:val="003B0C3E"/>
    <w:rsid w:val="003B0CE8"/>
    <w:rsid w:val="003B0D85"/>
    <w:rsid w:val="003B0F7A"/>
    <w:rsid w:val="003B10F2"/>
    <w:rsid w:val="003B1207"/>
    <w:rsid w:val="003B1419"/>
    <w:rsid w:val="003B1483"/>
    <w:rsid w:val="003B15F2"/>
    <w:rsid w:val="003B16F4"/>
    <w:rsid w:val="003B1755"/>
    <w:rsid w:val="003B17CF"/>
    <w:rsid w:val="003B18C1"/>
    <w:rsid w:val="003B18FD"/>
    <w:rsid w:val="003B1942"/>
    <w:rsid w:val="003B1A5D"/>
    <w:rsid w:val="003B1ADB"/>
    <w:rsid w:val="003B1B7D"/>
    <w:rsid w:val="003B1E0C"/>
    <w:rsid w:val="003B1E89"/>
    <w:rsid w:val="003B1E9E"/>
    <w:rsid w:val="003B20E7"/>
    <w:rsid w:val="003B20FA"/>
    <w:rsid w:val="003B22D4"/>
    <w:rsid w:val="003B2318"/>
    <w:rsid w:val="003B237F"/>
    <w:rsid w:val="003B255E"/>
    <w:rsid w:val="003B27CA"/>
    <w:rsid w:val="003B298A"/>
    <w:rsid w:val="003B29E9"/>
    <w:rsid w:val="003B2BB7"/>
    <w:rsid w:val="003B2C26"/>
    <w:rsid w:val="003B2C43"/>
    <w:rsid w:val="003B2CD6"/>
    <w:rsid w:val="003B2D22"/>
    <w:rsid w:val="003B2DEE"/>
    <w:rsid w:val="003B3078"/>
    <w:rsid w:val="003B30EC"/>
    <w:rsid w:val="003B3238"/>
    <w:rsid w:val="003B3251"/>
    <w:rsid w:val="003B3423"/>
    <w:rsid w:val="003B37FD"/>
    <w:rsid w:val="003B3844"/>
    <w:rsid w:val="003B3860"/>
    <w:rsid w:val="003B38D6"/>
    <w:rsid w:val="003B3959"/>
    <w:rsid w:val="003B3B74"/>
    <w:rsid w:val="003B3C1C"/>
    <w:rsid w:val="003B3D95"/>
    <w:rsid w:val="003B4061"/>
    <w:rsid w:val="003B4110"/>
    <w:rsid w:val="003B435A"/>
    <w:rsid w:val="003B4374"/>
    <w:rsid w:val="003B43BF"/>
    <w:rsid w:val="003B43D5"/>
    <w:rsid w:val="003B4406"/>
    <w:rsid w:val="003B4499"/>
    <w:rsid w:val="003B459A"/>
    <w:rsid w:val="003B4A83"/>
    <w:rsid w:val="003B4B91"/>
    <w:rsid w:val="003B4C95"/>
    <w:rsid w:val="003B4FF6"/>
    <w:rsid w:val="003B503D"/>
    <w:rsid w:val="003B51CA"/>
    <w:rsid w:val="003B528B"/>
    <w:rsid w:val="003B53F5"/>
    <w:rsid w:val="003B541B"/>
    <w:rsid w:val="003B547C"/>
    <w:rsid w:val="003B5499"/>
    <w:rsid w:val="003B552A"/>
    <w:rsid w:val="003B560D"/>
    <w:rsid w:val="003B5747"/>
    <w:rsid w:val="003B5802"/>
    <w:rsid w:val="003B584D"/>
    <w:rsid w:val="003B58C7"/>
    <w:rsid w:val="003B59D8"/>
    <w:rsid w:val="003B5CBD"/>
    <w:rsid w:val="003B5D67"/>
    <w:rsid w:val="003B5F07"/>
    <w:rsid w:val="003B5F3A"/>
    <w:rsid w:val="003B625D"/>
    <w:rsid w:val="003B6260"/>
    <w:rsid w:val="003B6332"/>
    <w:rsid w:val="003B686B"/>
    <w:rsid w:val="003B68D9"/>
    <w:rsid w:val="003B6B8B"/>
    <w:rsid w:val="003B6D1F"/>
    <w:rsid w:val="003B6F93"/>
    <w:rsid w:val="003B70EA"/>
    <w:rsid w:val="003B73BA"/>
    <w:rsid w:val="003B74D0"/>
    <w:rsid w:val="003B758F"/>
    <w:rsid w:val="003B7626"/>
    <w:rsid w:val="003B76C2"/>
    <w:rsid w:val="003B77FA"/>
    <w:rsid w:val="003B7834"/>
    <w:rsid w:val="003B7BC4"/>
    <w:rsid w:val="003B7C02"/>
    <w:rsid w:val="003B7C75"/>
    <w:rsid w:val="003B7F85"/>
    <w:rsid w:val="003BFA9D"/>
    <w:rsid w:val="003C012A"/>
    <w:rsid w:val="003C0138"/>
    <w:rsid w:val="003C026D"/>
    <w:rsid w:val="003C0544"/>
    <w:rsid w:val="003C0622"/>
    <w:rsid w:val="003C0776"/>
    <w:rsid w:val="003C0810"/>
    <w:rsid w:val="003C08BF"/>
    <w:rsid w:val="003C0971"/>
    <w:rsid w:val="003C0994"/>
    <w:rsid w:val="003C0B96"/>
    <w:rsid w:val="003C0C3F"/>
    <w:rsid w:val="003C0C5C"/>
    <w:rsid w:val="003C0F33"/>
    <w:rsid w:val="003C0F69"/>
    <w:rsid w:val="003C0FF2"/>
    <w:rsid w:val="003C1244"/>
    <w:rsid w:val="003C1564"/>
    <w:rsid w:val="003C15CF"/>
    <w:rsid w:val="003C1632"/>
    <w:rsid w:val="003C164E"/>
    <w:rsid w:val="003C1748"/>
    <w:rsid w:val="003C1754"/>
    <w:rsid w:val="003C1987"/>
    <w:rsid w:val="003C1A79"/>
    <w:rsid w:val="003C1DA2"/>
    <w:rsid w:val="003C2363"/>
    <w:rsid w:val="003C2568"/>
    <w:rsid w:val="003C25FA"/>
    <w:rsid w:val="003C266B"/>
    <w:rsid w:val="003C2840"/>
    <w:rsid w:val="003C2FEF"/>
    <w:rsid w:val="003C30B0"/>
    <w:rsid w:val="003C320B"/>
    <w:rsid w:val="003C3671"/>
    <w:rsid w:val="003C3B2D"/>
    <w:rsid w:val="003C3CBF"/>
    <w:rsid w:val="003C3E24"/>
    <w:rsid w:val="003C3E2D"/>
    <w:rsid w:val="003C3E99"/>
    <w:rsid w:val="003C4000"/>
    <w:rsid w:val="003C41C3"/>
    <w:rsid w:val="003C4284"/>
    <w:rsid w:val="003C4376"/>
    <w:rsid w:val="003C4653"/>
    <w:rsid w:val="003C4712"/>
    <w:rsid w:val="003C48E0"/>
    <w:rsid w:val="003C4B31"/>
    <w:rsid w:val="003C4C73"/>
    <w:rsid w:val="003C4EDD"/>
    <w:rsid w:val="003C53A4"/>
    <w:rsid w:val="003C542D"/>
    <w:rsid w:val="003C54AC"/>
    <w:rsid w:val="003C56F3"/>
    <w:rsid w:val="003C58DB"/>
    <w:rsid w:val="003C596C"/>
    <w:rsid w:val="003C5AE4"/>
    <w:rsid w:val="003C5AEC"/>
    <w:rsid w:val="003C5D53"/>
    <w:rsid w:val="003C5DDE"/>
    <w:rsid w:val="003C5F6E"/>
    <w:rsid w:val="003C60AE"/>
    <w:rsid w:val="003C60B7"/>
    <w:rsid w:val="003C60CF"/>
    <w:rsid w:val="003C60F3"/>
    <w:rsid w:val="003C615F"/>
    <w:rsid w:val="003C63B7"/>
    <w:rsid w:val="003C67B8"/>
    <w:rsid w:val="003C698E"/>
    <w:rsid w:val="003C6AD8"/>
    <w:rsid w:val="003C6CC7"/>
    <w:rsid w:val="003C6EEE"/>
    <w:rsid w:val="003C71C5"/>
    <w:rsid w:val="003C7253"/>
    <w:rsid w:val="003C7272"/>
    <w:rsid w:val="003C77DC"/>
    <w:rsid w:val="003C7A01"/>
    <w:rsid w:val="003C7B3C"/>
    <w:rsid w:val="003C7CEA"/>
    <w:rsid w:val="003C7D94"/>
    <w:rsid w:val="003C7DD8"/>
    <w:rsid w:val="003D0011"/>
    <w:rsid w:val="003D0118"/>
    <w:rsid w:val="003D0362"/>
    <w:rsid w:val="003D037C"/>
    <w:rsid w:val="003D047D"/>
    <w:rsid w:val="003D0C21"/>
    <w:rsid w:val="003D0C28"/>
    <w:rsid w:val="003D0CBB"/>
    <w:rsid w:val="003D0E08"/>
    <w:rsid w:val="003D0F80"/>
    <w:rsid w:val="003D0F88"/>
    <w:rsid w:val="003D1381"/>
    <w:rsid w:val="003D13D2"/>
    <w:rsid w:val="003D1403"/>
    <w:rsid w:val="003D1548"/>
    <w:rsid w:val="003D17B6"/>
    <w:rsid w:val="003D17C9"/>
    <w:rsid w:val="003D1A51"/>
    <w:rsid w:val="003D1A6D"/>
    <w:rsid w:val="003D1C7B"/>
    <w:rsid w:val="003D1CE9"/>
    <w:rsid w:val="003D1DFC"/>
    <w:rsid w:val="003D217C"/>
    <w:rsid w:val="003D233A"/>
    <w:rsid w:val="003D25E9"/>
    <w:rsid w:val="003D260B"/>
    <w:rsid w:val="003D2721"/>
    <w:rsid w:val="003D2FA8"/>
    <w:rsid w:val="003D3051"/>
    <w:rsid w:val="003D30E8"/>
    <w:rsid w:val="003D3268"/>
    <w:rsid w:val="003D378E"/>
    <w:rsid w:val="003D384F"/>
    <w:rsid w:val="003D3893"/>
    <w:rsid w:val="003D39D3"/>
    <w:rsid w:val="003D3B4D"/>
    <w:rsid w:val="003D3C5F"/>
    <w:rsid w:val="003D3F48"/>
    <w:rsid w:val="003D430E"/>
    <w:rsid w:val="003D43B0"/>
    <w:rsid w:val="003D4445"/>
    <w:rsid w:val="003D45F5"/>
    <w:rsid w:val="003D464D"/>
    <w:rsid w:val="003D46BE"/>
    <w:rsid w:val="003D4CD6"/>
    <w:rsid w:val="003D4D24"/>
    <w:rsid w:val="003D4D88"/>
    <w:rsid w:val="003D4F9F"/>
    <w:rsid w:val="003D534C"/>
    <w:rsid w:val="003D53F3"/>
    <w:rsid w:val="003D5435"/>
    <w:rsid w:val="003D5651"/>
    <w:rsid w:val="003D5B2B"/>
    <w:rsid w:val="003D5BFA"/>
    <w:rsid w:val="003D5D03"/>
    <w:rsid w:val="003D5D22"/>
    <w:rsid w:val="003D5D2A"/>
    <w:rsid w:val="003D5D6F"/>
    <w:rsid w:val="003D5D7C"/>
    <w:rsid w:val="003D6152"/>
    <w:rsid w:val="003D623F"/>
    <w:rsid w:val="003D63A9"/>
    <w:rsid w:val="003D6541"/>
    <w:rsid w:val="003D6642"/>
    <w:rsid w:val="003D6732"/>
    <w:rsid w:val="003D6862"/>
    <w:rsid w:val="003D6928"/>
    <w:rsid w:val="003D6A05"/>
    <w:rsid w:val="003D6B83"/>
    <w:rsid w:val="003D6B96"/>
    <w:rsid w:val="003D6C69"/>
    <w:rsid w:val="003D6E36"/>
    <w:rsid w:val="003D6F64"/>
    <w:rsid w:val="003D6F80"/>
    <w:rsid w:val="003D6F8B"/>
    <w:rsid w:val="003D6F8D"/>
    <w:rsid w:val="003D704B"/>
    <w:rsid w:val="003D7132"/>
    <w:rsid w:val="003D74D3"/>
    <w:rsid w:val="003D75FC"/>
    <w:rsid w:val="003D7784"/>
    <w:rsid w:val="003D7B96"/>
    <w:rsid w:val="003D7E49"/>
    <w:rsid w:val="003D7F79"/>
    <w:rsid w:val="003E00CF"/>
    <w:rsid w:val="003E014C"/>
    <w:rsid w:val="003E0386"/>
    <w:rsid w:val="003E038F"/>
    <w:rsid w:val="003E08BB"/>
    <w:rsid w:val="003E092A"/>
    <w:rsid w:val="003E0C57"/>
    <w:rsid w:val="003E0CD2"/>
    <w:rsid w:val="003E1041"/>
    <w:rsid w:val="003E10D0"/>
    <w:rsid w:val="003E1136"/>
    <w:rsid w:val="003E1219"/>
    <w:rsid w:val="003E1359"/>
    <w:rsid w:val="003E1660"/>
    <w:rsid w:val="003E17DB"/>
    <w:rsid w:val="003E1AF1"/>
    <w:rsid w:val="003E1BE2"/>
    <w:rsid w:val="003E1E8A"/>
    <w:rsid w:val="003E2114"/>
    <w:rsid w:val="003E223D"/>
    <w:rsid w:val="003E2291"/>
    <w:rsid w:val="003E2543"/>
    <w:rsid w:val="003E254D"/>
    <w:rsid w:val="003E261E"/>
    <w:rsid w:val="003E2733"/>
    <w:rsid w:val="003E2938"/>
    <w:rsid w:val="003E2A80"/>
    <w:rsid w:val="003E2AFD"/>
    <w:rsid w:val="003E303A"/>
    <w:rsid w:val="003E3100"/>
    <w:rsid w:val="003E3222"/>
    <w:rsid w:val="003E32B2"/>
    <w:rsid w:val="003E32B3"/>
    <w:rsid w:val="003E331F"/>
    <w:rsid w:val="003E3995"/>
    <w:rsid w:val="003E3A3A"/>
    <w:rsid w:val="003E3AD0"/>
    <w:rsid w:val="003E3E8D"/>
    <w:rsid w:val="003E3FCD"/>
    <w:rsid w:val="003E43A2"/>
    <w:rsid w:val="003E43DC"/>
    <w:rsid w:val="003E461C"/>
    <w:rsid w:val="003E462E"/>
    <w:rsid w:val="003E4647"/>
    <w:rsid w:val="003E4767"/>
    <w:rsid w:val="003E48C6"/>
    <w:rsid w:val="003E4B56"/>
    <w:rsid w:val="003E4B8F"/>
    <w:rsid w:val="003E4BD4"/>
    <w:rsid w:val="003E4E2C"/>
    <w:rsid w:val="003E5134"/>
    <w:rsid w:val="003E53EF"/>
    <w:rsid w:val="003E5898"/>
    <w:rsid w:val="003E5CD3"/>
    <w:rsid w:val="003E5F98"/>
    <w:rsid w:val="003E60FC"/>
    <w:rsid w:val="003E61A0"/>
    <w:rsid w:val="003E67D9"/>
    <w:rsid w:val="003E6A18"/>
    <w:rsid w:val="003E6A26"/>
    <w:rsid w:val="003E6A8F"/>
    <w:rsid w:val="003E6C88"/>
    <w:rsid w:val="003E6DED"/>
    <w:rsid w:val="003E713A"/>
    <w:rsid w:val="003E731B"/>
    <w:rsid w:val="003E73A1"/>
    <w:rsid w:val="003E73DF"/>
    <w:rsid w:val="003E763F"/>
    <w:rsid w:val="003E78D2"/>
    <w:rsid w:val="003E7C40"/>
    <w:rsid w:val="003E7CEE"/>
    <w:rsid w:val="003E7E11"/>
    <w:rsid w:val="003EC141"/>
    <w:rsid w:val="003F015A"/>
    <w:rsid w:val="003F04E8"/>
    <w:rsid w:val="003F0BC9"/>
    <w:rsid w:val="003F0E52"/>
    <w:rsid w:val="003F0EFE"/>
    <w:rsid w:val="003F0FEE"/>
    <w:rsid w:val="003F11AC"/>
    <w:rsid w:val="003F1307"/>
    <w:rsid w:val="003F140C"/>
    <w:rsid w:val="003F1CD7"/>
    <w:rsid w:val="003F1D03"/>
    <w:rsid w:val="003F1F37"/>
    <w:rsid w:val="003F1F79"/>
    <w:rsid w:val="003F23AB"/>
    <w:rsid w:val="003F27D7"/>
    <w:rsid w:val="003F2AAC"/>
    <w:rsid w:val="003F2B44"/>
    <w:rsid w:val="003F2E19"/>
    <w:rsid w:val="003F31A5"/>
    <w:rsid w:val="003F3236"/>
    <w:rsid w:val="003F329D"/>
    <w:rsid w:val="003F35AC"/>
    <w:rsid w:val="003F3758"/>
    <w:rsid w:val="003F37F5"/>
    <w:rsid w:val="003F39BA"/>
    <w:rsid w:val="003F3AFD"/>
    <w:rsid w:val="003F3C2E"/>
    <w:rsid w:val="003F3CE6"/>
    <w:rsid w:val="003F3D00"/>
    <w:rsid w:val="003F3E40"/>
    <w:rsid w:val="003F3F14"/>
    <w:rsid w:val="003F408F"/>
    <w:rsid w:val="003F41E1"/>
    <w:rsid w:val="003F42F6"/>
    <w:rsid w:val="003F4361"/>
    <w:rsid w:val="003F463E"/>
    <w:rsid w:val="003F4692"/>
    <w:rsid w:val="003F4781"/>
    <w:rsid w:val="003F4826"/>
    <w:rsid w:val="003F4954"/>
    <w:rsid w:val="003F4A26"/>
    <w:rsid w:val="003F4B24"/>
    <w:rsid w:val="003F4BAC"/>
    <w:rsid w:val="003F4D77"/>
    <w:rsid w:val="003F4D8E"/>
    <w:rsid w:val="003F4FC8"/>
    <w:rsid w:val="003F5000"/>
    <w:rsid w:val="003F5281"/>
    <w:rsid w:val="003F52FB"/>
    <w:rsid w:val="003F5306"/>
    <w:rsid w:val="003F5666"/>
    <w:rsid w:val="003F566F"/>
    <w:rsid w:val="003F5726"/>
    <w:rsid w:val="003F57BA"/>
    <w:rsid w:val="003F5A48"/>
    <w:rsid w:val="003F5F0B"/>
    <w:rsid w:val="003F5FCA"/>
    <w:rsid w:val="003F5FFE"/>
    <w:rsid w:val="003F60FD"/>
    <w:rsid w:val="003F618A"/>
    <w:rsid w:val="003F6470"/>
    <w:rsid w:val="003F65A9"/>
    <w:rsid w:val="003F67F1"/>
    <w:rsid w:val="003F6941"/>
    <w:rsid w:val="003F6F97"/>
    <w:rsid w:val="003F70A4"/>
    <w:rsid w:val="003F7153"/>
    <w:rsid w:val="003F7BFA"/>
    <w:rsid w:val="003F7E02"/>
    <w:rsid w:val="003F7FF9"/>
    <w:rsid w:val="004001C6"/>
    <w:rsid w:val="00400265"/>
    <w:rsid w:val="00400359"/>
    <w:rsid w:val="004007B3"/>
    <w:rsid w:val="004008AA"/>
    <w:rsid w:val="00400AD0"/>
    <w:rsid w:val="00400CCF"/>
    <w:rsid w:val="00400D93"/>
    <w:rsid w:val="00400E23"/>
    <w:rsid w:val="00400F12"/>
    <w:rsid w:val="00400F41"/>
    <w:rsid w:val="00400F4B"/>
    <w:rsid w:val="00400F8B"/>
    <w:rsid w:val="00401255"/>
    <w:rsid w:val="00401351"/>
    <w:rsid w:val="00401450"/>
    <w:rsid w:val="00401696"/>
    <w:rsid w:val="0040196E"/>
    <w:rsid w:val="00401A46"/>
    <w:rsid w:val="00401CD5"/>
    <w:rsid w:val="00401E62"/>
    <w:rsid w:val="004023F4"/>
    <w:rsid w:val="00402536"/>
    <w:rsid w:val="00402596"/>
    <w:rsid w:val="00402624"/>
    <w:rsid w:val="00402792"/>
    <w:rsid w:val="004027D7"/>
    <w:rsid w:val="00402A76"/>
    <w:rsid w:val="00402A96"/>
    <w:rsid w:val="00402AF7"/>
    <w:rsid w:val="00402B5D"/>
    <w:rsid w:val="00402D69"/>
    <w:rsid w:val="00403331"/>
    <w:rsid w:val="0040333F"/>
    <w:rsid w:val="00403366"/>
    <w:rsid w:val="004034FB"/>
    <w:rsid w:val="004035CA"/>
    <w:rsid w:val="0040379C"/>
    <w:rsid w:val="00403C55"/>
    <w:rsid w:val="00403E49"/>
    <w:rsid w:val="00404053"/>
    <w:rsid w:val="004044CD"/>
    <w:rsid w:val="0040453E"/>
    <w:rsid w:val="0040467C"/>
    <w:rsid w:val="004046BC"/>
    <w:rsid w:val="004047F1"/>
    <w:rsid w:val="00404A34"/>
    <w:rsid w:val="00404AFA"/>
    <w:rsid w:val="00404B31"/>
    <w:rsid w:val="00404B8A"/>
    <w:rsid w:val="00404FCA"/>
    <w:rsid w:val="00404FFA"/>
    <w:rsid w:val="0040530F"/>
    <w:rsid w:val="0040531C"/>
    <w:rsid w:val="00405363"/>
    <w:rsid w:val="004054F7"/>
    <w:rsid w:val="00405603"/>
    <w:rsid w:val="00405878"/>
    <w:rsid w:val="0040591D"/>
    <w:rsid w:val="00405C61"/>
    <w:rsid w:val="00405E3A"/>
    <w:rsid w:val="00405F7B"/>
    <w:rsid w:val="00406032"/>
    <w:rsid w:val="0040638D"/>
    <w:rsid w:val="00406471"/>
    <w:rsid w:val="004065CC"/>
    <w:rsid w:val="004068B8"/>
    <w:rsid w:val="0040694A"/>
    <w:rsid w:val="00406CDD"/>
    <w:rsid w:val="00406D22"/>
    <w:rsid w:val="00406F36"/>
    <w:rsid w:val="00406F38"/>
    <w:rsid w:val="004071A0"/>
    <w:rsid w:val="00407262"/>
    <w:rsid w:val="00407865"/>
    <w:rsid w:val="004078D5"/>
    <w:rsid w:val="00407E28"/>
    <w:rsid w:val="004101D7"/>
    <w:rsid w:val="004102C5"/>
    <w:rsid w:val="00410582"/>
    <w:rsid w:val="0041063F"/>
    <w:rsid w:val="004107B6"/>
    <w:rsid w:val="004107EF"/>
    <w:rsid w:val="00410CB9"/>
    <w:rsid w:val="00411154"/>
    <w:rsid w:val="004114C1"/>
    <w:rsid w:val="004115A5"/>
    <w:rsid w:val="00411764"/>
    <w:rsid w:val="00411E78"/>
    <w:rsid w:val="00411EEA"/>
    <w:rsid w:val="0041208E"/>
    <w:rsid w:val="004120B5"/>
    <w:rsid w:val="004125A1"/>
    <w:rsid w:val="004129A3"/>
    <w:rsid w:val="00412C83"/>
    <w:rsid w:val="00412DF0"/>
    <w:rsid w:val="00412F93"/>
    <w:rsid w:val="00413154"/>
    <w:rsid w:val="0041323D"/>
    <w:rsid w:val="00413251"/>
    <w:rsid w:val="00413475"/>
    <w:rsid w:val="00413606"/>
    <w:rsid w:val="004136CF"/>
    <w:rsid w:val="00413D40"/>
    <w:rsid w:val="00413DCC"/>
    <w:rsid w:val="00413DE9"/>
    <w:rsid w:val="00413E50"/>
    <w:rsid w:val="004140C3"/>
    <w:rsid w:val="0041421D"/>
    <w:rsid w:val="004142C2"/>
    <w:rsid w:val="004142F0"/>
    <w:rsid w:val="00414356"/>
    <w:rsid w:val="00414398"/>
    <w:rsid w:val="004144FE"/>
    <w:rsid w:val="0041484D"/>
    <w:rsid w:val="0041485D"/>
    <w:rsid w:val="00414BD7"/>
    <w:rsid w:val="00414CDF"/>
    <w:rsid w:val="00414D13"/>
    <w:rsid w:val="00414D53"/>
    <w:rsid w:val="00414D5D"/>
    <w:rsid w:val="00414FFF"/>
    <w:rsid w:val="00415055"/>
    <w:rsid w:val="00415115"/>
    <w:rsid w:val="00415138"/>
    <w:rsid w:val="004151CB"/>
    <w:rsid w:val="0041548B"/>
    <w:rsid w:val="00415AF2"/>
    <w:rsid w:val="00415B1F"/>
    <w:rsid w:val="00415B22"/>
    <w:rsid w:val="00415D4D"/>
    <w:rsid w:val="00415EF1"/>
    <w:rsid w:val="00415F2F"/>
    <w:rsid w:val="0041611D"/>
    <w:rsid w:val="0041612F"/>
    <w:rsid w:val="0041619D"/>
    <w:rsid w:val="004161C0"/>
    <w:rsid w:val="0041629E"/>
    <w:rsid w:val="0041676F"/>
    <w:rsid w:val="004168F0"/>
    <w:rsid w:val="00416A79"/>
    <w:rsid w:val="00416BAD"/>
    <w:rsid w:val="00416C45"/>
    <w:rsid w:val="00416DEE"/>
    <w:rsid w:val="00416F45"/>
    <w:rsid w:val="0041703F"/>
    <w:rsid w:val="004170F4"/>
    <w:rsid w:val="00417347"/>
    <w:rsid w:val="00417404"/>
    <w:rsid w:val="004175AE"/>
    <w:rsid w:val="004175E6"/>
    <w:rsid w:val="0041764F"/>
    <w:rsid w:val="0041765C"/>
    <w:rsid w:val="0041766F"/>
    <w:rsid w:val="004176AB"/>
    <w:rsid w:val="00417755"/>
    <w:rsid w:val="004177AF"/>
    <w:rsid w:val="00417873"/>
    <w:rsid w:val="004178FF"/>
    <w:rsid w:val="00417A30"/>
    <w:rsid w:val="00417BE0"/>
    <w:rsid w:val="00417C52"/>
    <w:rsid w:val="00417EC5"/>
    <w:rsid w:val="00417F3D"/>
    <w:rsid w:val="00420328"/>
    <w:rsid w:val="00420450"/>
    <w:rsid w:val="00420732"/>
    <w:rsid w:val="004207CB"/>
    <w:rsid w:val="004209B5"/>
    <w:rsid w:val="004209D9"/>
    <w:rsid w:val="00420A58"/>
    <w:rsid w:val="00420BF5"/>
    <w:rsid w:val="00420CCC"/>
    <w:rsid w:val="00420D5C"/>
    <w:rsid w:val="0042120F"/>
    <w:rsid w:val="00421351"/>
    <w:rsid w:val="00421713"/>
    <w:rsid w:val="0042193E"/>
    <w:rsid w:val="00421C1C"/>
    <w:rsid w:val="00421DBC"/>
    <w:rsid w:val="00421E22"/>
    <w:rsid w:val="00421EA5"/>
    <w:rsid w:val="00421EDF"/>
    <w:rsid w:val="00422166"/>
    <w:rsid w:val="004221FC"/>
    <w:rsid w:val="00422214"/>
    <w:rsid w:val="0042225D"/>
    <w:rsid w:val="00422265"/>
    <w:rsid w:val="00422368"/>
    <w:rsid w:val="004223E0"/>
    <w:rsid w:val="0042241A"/>
    <w:rsid w:val="00422509"/>
    <w:rsid w:val="004225AD"/>
    <w:rsid w:val="004229D2"/>
    <w:rsid w:val="00422FF7"/>
    <w:rsid w:val="004230DC"/>
    <w:rsid w:val="0042317D"/>
    <w:rsid w:val="004231BC"/>
    <w:rsid w:val="0042320C"/>
    <w:rsid w:val="004233EC"/>
    <w:rsid w:val="0042365A"/>
    <w:rsid w:val="00423888"/>
    <w:rsid w:val="0042389B"/>
    <w:rsid w:val="0042389F"/>
    <w:rsid w:val="004239BA"/>
    <w:rsid w:val="00424191"/>
    <w:rsid w:val="0042420A"/>
    <w:rsid w:val="00424447"/>
    <w:rsid w:val="004245C4"/>
    <w:rsid w:val="004245C6"/>
    <w:rsid w:val="00424983"/>
    <w:rsid w:val="00424A64"/>
    <w:rsid w:val="00424D8D"/>
    <w:rsid w:val="00424D9B"/>
    <w:rsid w:val="00424FC9"/>
    <w:rsid w:val="004253E5"/>
    <w:rsid w:val="00425788"/>
    <w:rsid w:val="0042580D"/>
    <w:rsid w:val="00425869"/>
    <w:rsid w:val="00425920"/>
    <w:rsid w:val="0042594F"/>
    <w:rsid w:val="004259D9"/>
    <w:rsid w:val="00425A86"/>
    <w:rsid w:val="00425B08"/>
    <w:rsid w:val="00425C28"/>
    <w:rsid w:val="00425EC1"/>
    <w:rsid w:val="004261D8"/>
    <w:rsid w:val="00426673"/>
    <w:rsid w:val="00426755"/>
    <w:rsid w:val="00426970"/>
    <w:rsid w:val="00426B1A"/>
    <w:rsid w:val="00426B6E"/>
    <w:rsid w:val="00426E45"/>
    <w:rsid w:val="00426FEB"/>
    <w:rsid w:val="0042701F"/>
    <w:rsid w:val="00427329"/>
    <w:rsid w:val="004273EB"/>
    <w:rsid w:val="004274ED"/>
    <w:rsid w:val="00427810"/>
    <w:rsid w:val="00427A05"/>
    <w:rsid w:val="00427A58"/>
    <w:rsid w:val="00427B69"/>
    <w:rsid w:val="00427BC7"/>
    <w:rsid w:val="00427D9C"/>
    <w:rsid w:val="00427E42"/>
    <w:rsid w:val="00427E8A"/>
    <w:rsid w:val="00427F14"/>
    <w:rsid w:val="00427FCA"/>
    <w:rsid w:val="00430092"/>
    <w:rsid w:val="004300D0"/>
    <w:rsid w:val="004302AA"/>
    <w:rsid w:val="004307CF"/>
    <w:rsid w:val="00430A99"/>
    <w:rsid w:val="00430AE7"/>
    <w:rsid w:val="00430D66"/>
    <w:rsid w:val="00430DD1"/>
    <w:rsid w:val="00430E45"/>
    <w:rsid w:val="00430F57"/>
    <w:rsid w:val="00431096"/>
    <w:rsid w:val="00431348"/>
    <w:rsid w:val="00431B55"/>
    <w:rsid w:val="00431B56"/>
    <w:rsid w:val="00431C04"/>
    <w:rsid w:val="00431C9A"/>
    <w:rsid w:val="00431CAF"/>
    <w:rsid w:val="00431CD4"/>
    <w:rsid w:val="00431CE1"/>
    <w:rsid w:val="00431E76"/>
    <w:rsid w:val="00432086"/>
    <w:rsid w:val="00432309"/>
    <w:rsid w:val="00432381"/>
    <w:rsid w:val="0043238D"/>
    <w:rsid w:val="004324F4"/>
    <w:rsid w:val="0043252F"/>
    <w:rsid w:val="004329C0"/>
    <w:rsid w:val="00432C02"/>
    <w:rsid w:val="00432C53"/>
    <w:rsid w:val="00432D07"/>
    <w:rsid w:val="00432E6C"/>
    <w:rsid w:val="00432FB8"/>
    <w:rsid w:val="0043312A"/>
    <w:rsid w:val="00433187"/>
    <w:rsid w:val="004332E9"/>
    <w:rsid w:val="0043356D"/>
    <w:rsid w:val="004337A3"/>
    <w:rsid w:val="004337BF"/>
    <w:rsid w:val="00433800"/>
    <w:rsid w:val="004339D2"/>
    <w:rsid w:val="00433ACE"/>
    <w:rsid w:val="00433BEA"/>
    <w:rsid w:val="00434034"/>
    <w:rsid w:val="004341C9"/>
    <w:rsid w:val="00434297"/>
    <w:rsid w:val="004342D3"/>
    <w:rsid w:val="00434609"/>
    <w:rsid w:val="004346EC"/>
    <w:rsid w:val="00434B6E"/>
    <w:rsid w:val="004350AB"/>
    <w:rsid w:val="0043538A"/>
    <w:rsid w:val="004353CE"/>
    <w:rsid w:val="004353EF"/>
    <w:rsid w:val="004354CF"/>
    <w:rsid w:val="004356F7"/>
    <w:rsid w:val="00435883"/>
    <w:rsid w:val="00435AB7"/>
    <w:rsid w:val="00435E93"/>
    <w:rsid w:val="00435F03"/>
    <w:rsid w:val="0043620B"/>
    <w:rsid w:val="00436309"/>
    <w:rsid w:val="004365FA"/>
    <w:rsid w:val="00436646"/>
    <w:rsid w:val="004368AD"/>
    <w:rsid w:val="004368B9"/>
    <w:rsid w:val="004368DD"/>
    <w:rsid w:val="00436D8E"/>
    <w:rsid w:val="00437051"/>
    <w:rsid w:val="004371EF"/>
    <w:rsid w:val="00437272"/>
    <w:rsid w:val="004372AD"/>
    <w:rsid w:val="00437320"/>
    <w:rsid w:val="0043732F"/>
    <w:rsid w:val="00437477"/>
    <w:rsid w:val="004374A4"/>
    <w:rsid w:val="004375E4"/>
    <w:rsid w:val="00437CA8"/>
    <w:rsid w:val="00437DC4"/>
    <w:rsid w:val="00437E80"/>
    <w:rsid w:val="00437FA2"/>
    <w:rsid w:val="00437FF4"/>
    <w:rsid w:val="0044004C"/>
    <w:rsid w:val="0044029E"/>
    <w:rsid w:val="004402E8"/>
    <w:rsid w:val="00440707"/>
    <w:rsid w:val="004408D1"/>
    <w:rsid w:val="00440BFE"/>
    <w:rsid w:val="00440F6D"/>
    <w:rsid w:val="00440F8B"/>
    <w:rsid w:val="00440FA7"/>
    <w:rsid w:val="0044119A"/>
    <w:rsid w:val="00441221"/>
    <w:rsid w:val="00441371"/>
    <w:rsid w:val="0044166D"/>
    <w:rsid w:val="00441694"/>
    <w:rsid w:val="00441719"/>
    <w:rsid w:val="00441961"/>
    <w:rsid w:val="00441B51"/>
    <w:rsid w:val="00442083"/>
    <w:rsid w:val="0044213C"/>
    <w:rsid w:val="004422C9"/>
    <w:rsid w:val="0044233E"/>
    <w:rsid w:val="004425F2"/>
    <w:rsid w:val="004426B9"/>
    <w:rsid w:val="004428C6"/>
    <w:rsid w:val="00442B14"/>
    <w:rsid w:val="00442BD9"/>
    <w:rsid w:val="0044306F"/>
    <w:rsid w:val="0044330E"/>
    <w:rsid w:val="004434A8"/>
    <w:rsid w:val="00443672"/>
    <w:rsid w:val="00443696"/>
    <w:rsid w:val="00443778"/>
    <w:rsid w:val="004437A3"/>
    <w:rsid w:val="00443D73"/>
    <w:rsid w:val="00443E47"/>
    <w:rsid w:val="00444104"/>
    <w:rsid w:val="00444526"/>
    <w:rsid w:val="004448A2"/>
    <w:rsid w:val="0044491C"/>
    <w:rsid w:val="00444942"/>
    <w:rsid w:val="00444992"/>
    <w:rsid w:val="00444B08"/>
    <w:rsid w:val="00444BD3"/>
    <w:rsid w:val="00444DA0"/>
    <w:rsid w:val="00444E61"/>
    <w:rsid w:val="00445173"/>
    <w:rsid w:val="0044528C"/>
    <w:rsid w:val="004458DC"/>
    <w:rsid w:val="00445953"/>
    <w:rsid w:val="00445A2A"/>
    <w:rsid w:val="00445A6A"/>
    <w:rsid w:val="00445A71"/>
    <w:rsid w:val="00445D34"/>
    <w:rsid w:val="00445DB2"/>
    <w:rsid w:val="00445F97"/>
    <w:rsid w:val="004461AC"/>
    <w:rsid w:val="004463FB"/>
    <w:rsid w:val="00446767"/>
    <w:rsid w:val="004468F3"/>
    <w:rsid w:val="00446A49"/>
    <w:rsid w:val="00446C07"/>
    <w:rsid w:val="00447180"/>
    <w:rsid w:val="0044743B"/>
    <w:rsid w:val="00447679"/>
    <w:rsid w:val="004476A2"/>
    <w:rsid w:val="00447A66"/>
    <w:rsid w:val="00450795"/>
    <w:rsid w:val="00450D7C"/>
    <w:rsid w:val="004516DC"/>
    <w:rsid w:val="00451963"/>
    <w:rsid w:val="004519BC"/>
    <w:rsid w:val="00451AAD"/>
    <w:rsid w:val="00451C99"/>
    <w:rsid w:val="00451C9D"/>
    <w:rsid w:val="00452066"/>
    <w:rsid w:val="00452226"/>
    <w:rsid w:val="00452498"/>
    <w:rsid w:val="0045262A"/>
    <w:rsid w:val="004527B3"/>
    <w:rsid w:val="00452A77"/>
    <w:rsid w:val="00452A7D"/>
    <w:rsid w:val="00452C9C"/>
    <w:rsid w:val="0045304C"/>
    <w:rsid w:val="0045317A"/>
    <w:rsid w:val="00453671"/>
    <w:rsid w:val="004536A6"/>
    <w:rsid w:val="0045381B"/>
    <w:rsid w:val="00453A8C"/>
    <w:rsid w:val="00453D12"/>
    <w:rsid w:val="00453D80"/>
    <w:rsid w:val="0045400C"/>
    <w:rsid w:val="00454017"/>
    <w:rsid w:val="0045403D"/>
    <w:rsid w:val="004540B8"/>
    <w:rsid w:val="004541B9"/>
    <w:rsid w:val="00454472"/>
    <w:rsid w:val="00454519"/>
    <w:rsid w:val="0045471B"/>
    <w:rsid w:val="00454788"/>
    <w:rsid w:val="0045479D"/>
    <w:rsid w:val="004548EF"/>
    <w:rsid w:val="004549C5"/>
    <w:rsid w:val="00454B98"/>
    <w:rsid w:val="00454C02"/>
    <w:rsid w:val="00454C3A"/>
    <w:rsid w:val="00455149"/>
    <w:rsid w:val="0045517E"/>
    <w:rsid w:val="00455267"/>
    <w:rsid w:val="00455309"/>
    <w:rsid w:val="00455327"/>
    <w:rsid w:val="004553AD"/>
    <w:rsid w:val="00455540"/>
    <w:rsid w:val="004555FA"/>
    <w:rsid w:val="0045573F"/>
    <w:rsid w:val="00455A16"/>
    <w:rsid w:val="00455BE3"/>
    <w:rsid w:val="00455CBB"/>
    <w:rsid w:val="00455DFB"/>
    <w:rsid w:val="00455E67"/>
    <w:rsid w:val="00455E99"/>
    <w:rsid w:val="00455FE5"/>
    <w:rsid w:val="004560BD"/>
    <w:rsid w:val="00456346"/>
    <w:rsid w:val="004563CB"/>
    <w:rsid w:val="004563DD"/>
    <w:rsid w:val="00456750"/>
    <w:rsid w:val="00456A7B"/>
    <w:rsid w:val="00456AC4"/>
    <w:rsid w:val="00456F6C"/>
    <w:rsid w:val="0045718F"/>
    <w:rsid w:val="00457247"/>
    <w:rsid w:val="0045726A"/>
    <w:rsid w:val="00457317"/>
    <w:rsid w:val="00457631"/>
    <w:rsid w:val="004577AB"/>
    <w:rsid w:val="00457E5B"/>
    <w:rsid w:val="00457FDB"/>
    <w:rsid w:val="0046016C"/>
    <w:rsid w:val="00460228"/>
    <w:rsid w:val="004605EE"/>
    <w:rsid w:val="00460856"/>
    <w:rsid w:val="00460BC6"/>
    <w:rsid w:val="00460BC8"/>
    <w:rsid w:val="00460EB3"/>
    <w:rsid w:val="00460F6E"/>
    <w:rsid w:val="00461026"/>
    <w:rsid w:val="00461079"/>
    <w:rsid w:val="00461196"/>
    <w:rsid w:val="00461453"/>
    <w:rsid w:val="0046177E"/>
    <w:rsid w:val="004618E8"/>
    <w:rsid w:val="00461D2E"/>
    <w:rsid w:val="00461DB3"/>
    <w:rsid w:val="00461E61"/>
    <w:rsid w:val="00461E73"/>
    <w:rsid w:val="00461F97"/>
    <w:rsid w:val="004620C4"/>
    <w:rsid w:val="00462143"/>
    <w:rsid w:val="0046222C"/>
    <w:rsid w:val="0046239C"/>
    <w:rsid w:val="00462523"/>
    <w:rsid w:val="004625CA"/>
    <w:rsid w:val="00462673"/>
    <w:rsid w:val="00462687"/>
    <w:rsid w:val="004626E7"/>
    <w:rsid w:val="0046280C"/>
    <w:rsid w:val="004628BD"/>
    <w:rsid w:val="00462B34"/>
    <w:rsid w:val="00462CF0"/>
    <w:rsid w:val="0046301F"/>
    <w:rsid w:val="004631B0"/>
    <w:rsid w:val="004631C9"/>
    <w:rsid w:val="00463202"/>
    <w:rsid w:val="004636AB"/>
    <w:rsid w:val="004636B6"/>
    <w:rsid w:val="0046373A"/>
    <w:rsid w:val="0046384D"/>
    <w:rsid w:val="004638AF"/>
    <w:rsid w:val="0046398B"/>
    <w:rsid w:val="00463AF1"/>
    <w:rsid w:val="00463B4C"/>
    <w:rsid w:val="00463B6C"/>
    <w:rsid w:val="0046401E"/>
    <w:rsid w:val="00464039"/>
    <w:rsid w:val="004640EB"/>
    <w:rsid w:val="00464177"/>
    <w:rsid w:val="0046418D"/>
    <w:rsid w:val="004643D9"/>
    <w:rsid w:val="004644AE"/>
    <w:rsid w:val="00464802"/>
    <w:rsid w:val="004648CF"/>
    <w:rsid w:val="00464C55"/>
    <w:rsid w:val="00464F15"/>
    <w:rsid w:val="00464F9C"/>
    <w:rsid w:val="004650C2"/>
    <w:rsid w:val="004650DD"/>
    <w:rsid w:val="004650ED"/>
    <w:rsid w:val="00465113"/>
    <w:rsid w:val="00465187"/>
    <w:rsid w:val="00465392"/>
    <w:rsid w:val="0046548E"/>
    <w:rsid w:val="004655F9"/>
    <w:rsid w:val="0046573C"/>
    <w:rsid w:val="00465A0B"/>
    <w:rsid w:val="00465AEB"/>
    <w:rsid w:val="00465BEC"/>
    <w:rsid w:val="00465ED0"/>
    <w:rsid w:val="00465EEF"/>
    <w:rsid w:val="00465EF7"/>
    <w:rsid w:val="00466028"/>
    <w:rsid w:val="0046603C"/>
    <w:rsid w:val="00466104"/>
    <w:rsid w:val="00466151"/>
    <w:rsid w:val="004661BC"/>
    <w:rsid w:val="004663B8"/>
    <w:rsid w:val="004663D1"/>
    <w:rsid w:val="004667A0"/>
    <w:rsid w:val="004669D9"/>
    <w:rsid w:val="00466A10"/>
    <w:rsid w:val="00466C5F"/>
    <w:rsid w:val="00466E0D"/>
    <w:rsid w:val="004670FA"/>
    <w:rsid w:val="0046712E"/>
    <w:rsid w:val="004672E1"/>
    <w:rsid w:val="004674BB"/>
    <w:rsid w:val="004679D5"/>
    <w:rsid w:val="00467ABC"/>
    <w:rsid w:val="00467BBA"/>
    <w:rsid w:val="00467F05"/>
    <w:rsid w:val="0046DB7E"/>
    <w:rsid w:val="0047027D"/>
    <w:rsid w:val="00470350"/>
    <w:rsid w:val="004703DD"/>
    <w:rsid w:val="004704C8"/>
    <w:rsid w:val="00470592"/>
    <w:rsid w:val="004705B5"/>
    <w:rsid w:val="00470821"/>
    <w:rsid w:val="004709A7"/>
    <w:rsid w:val="00470C53"/>
    <w:rsid w:val="00470CA5"/>
    <w:rsid w:val="00470DF7"/>
    <w:rsid w:val="0047114F"/>
    <w:rsid w:val="00471245"/>
    <w:rsid w:val="00471272"/>
    <w:rsid w:val="004712D6"/>
    <w:rsid w:val="00471319"/>
    <w:rsid w:val="0047139B"/>
    <w:rsid w:val="0047179B"/>
    <w:rsid w:val="00471D5D"/>
    <w:rsid w:val="00471EB2"/>
    <w:rsid w:val="00472088"/>
    <w:rsid w:val="00472129"/>
    <w:rsid w:val="00472229"/>
    <w:rsid w:val="004724A7"/>
    <w:rsid w:val="004724C6"/>
    <w:rsid w:val="0047253B"/>
    <w:rsid w:val="004726AC"/>
    <w:rsid w:val="0047276A"/>
    <w:rsid w:val="00472912"/>
    <w:rsid w:val="00472D5C"/>
    <w:rsid w:val="00472F5B"/>
    <w:rsid w:val="004732A9"/>
    <w:rsid w:val="00473405"/>
    <w:rsid w:val="0047353F"/>
    <w:rsid w:val="00473627"/>
    <w:rsid w:val="00473813"/>
    <w:rsid w:val="00473B64"/>
    <w:rsid w:val="00473D6D"/>
    <w:rsid w:val="00473DB8"/>
    <w:rsid w:val="00473EDC"/>
    <w:rsid w:val="00473F27"/>
    <w:rsid w:val="004740F1"/>
    <w:rsid w:val="0047416D"/>
    <w:rsid w:val="0047434E"/>
    <w:rsid w:val="0047441C"/>
    <w:rsid w:val="0047448E"/>
    <w:rsid w:val="00474529"/>
    <w:rsid w:val="00474729"/>
    <w:rsid w:val="00474961"/>
    <w:rsid w:val="00474ABC"/>
    <w:rsid w:val="00474B57"/>
    <w:rsid w:val="00474C08"/>
    <w:rsid w:val="00474DD7"/>
    <w:rsid w:val="00475090"/>
    <w:rsid w:val="004750CD"/>
    <w:rsid w:val="0047511E"/>
    <w:rsid w:val="0047525F"/>
    <w:rsid w:val="004753AE"/>
    <w:rsid w:val="0047565F"/>
    <w:rsid w:val="00475697"/>
    <w:rsid w:val="004756DC"/>
    <w:rsid w:val="004758F6"/>
    <w:rsid w:val="00475996"/>
    <w:rsid w:val="00475A01"/>
    <w:rsid w:val="00475C47"/>
    <w:rsid w:val="00475F7B"/>
    <w:rsid w:val="00476253"/>
    <w:rsid w:val="004765AD"/>
    <w:rsid w:val="00476699"/>
    <w:rsid w:val="004766F1"/>
    <w:rsid w:val="00476765"/>
    <w:rsid w:val="004769E2"/>
    <w:rsid w:val="004769E7"/>
    <w:rsid w:val="00476A11"/>
    <w:rsid w:val="00476A40"/>
    <w:rsid w:val="00476B92"/>
    <w:rsid w:val="00476CC1"/>
    <w:rsid w:val="00476E70"/>
    <w:rsid w:val="00476F4B"/>
    <w:rsid w:val="0047702E"/>
    <w:rsid w:val="004770A5"/>
    <w:rsid w:val="004774EA"/>
    <w:rsid w:val="00477514"/>
    <w:rsid w:val="00477621"/>
    <w:rsid w:val="004776BA"/>
    <w:rsid w:val="0047785D"/>
    <w:rsid w:val="00477C46"/>
    <w:rsid w:val="00477EBA"/>
    <w:rsid w:val="00477FAC"/>
    <w:rsid w:val="0048002D"/>
    <w:rsid w:val="004802BF"/>
    <w:rsid w:val="0048039D"/>
    <w:rsid w:val="004805ED"/>
    <w:rsid w:val="00480A12"/>
    <w:rsid w:val="00480B89"/>
    <w:rsid w:val="00480EC4"/>
    <w:rsid w:val="00481108"/>
    <w:rsid w:val="004812E6"/>
    <w:rsid w:val="004813A8"/>
    <w:rsid w:val="004815E2"/>
    <w:rsid w:val="0048183F"/>
    <w:rsid w:val="0048192E"/>
    <w:rsid w:val="00481B6D"/>
    <w:rsid w:val="00481EE1"/>
    <w:rsid w:val="004821E4"/>
    <w:rsid w:val="004821E8"/>
    <w:rsid w:val="0048238C"/>
    <w:rsid w:val="004826D9"/>
    <w:rsid w:val="00482AA0"/>
    <w:rsid w:val="00482CE5"/>
    <w:rsid w:val="00482E1B"/>
    <w:rsid w:val="004831BB"/>
    <w:rsid w:val="0048321E"/>
    <w:rsid w:val="004834B3"/>
    <w:rsid w:val="004837F6"/>
    <w:rsid w:val="00483D04"/>
    <w:rsid w:val="00483D3A"/>
    <w:rsid w:val="00483EDD"/>
    <w:rsid w:val="00483F00"/>
    <w:rsid w:val="00483FF6"/>
    <w:rsid w:val="004840F3"/>
    <w:rsid w:val="004843B7"/>
    <w:rsid w:val="00484AD7"/>
    <w:rsid w:val="00484C2F"/>
    <w:rsid w:val="00484C49"/>
    <w:rsid w:val="00484DB9"/>
    <w:rsid w:val="00484E31"/>
    <w:rsid w:val="00484E86"/>
    <w:rsid w:val="00484F58"/>
    <w:rsid w:val="00485117"/>
    <w:rsid w:val="00485282"/>
    <w:rsid w:val="004857B8"/>
    <w:rsid w:val="00485B88"/>
    <w:rsid w:val="00485F98"/>
    <w:rsid w:val="0048624C"/>
    <w:rsid w:val="004863AF"/>
    <w:rsid w:val="00486469"/>
    <w:rsid w:val="00486480"/>
    <w:rsid w:val="004865FC"/>
    <w:rsid w:val="0048664A"/>
    <w:rsid w:val="00486671"/>
    <w:rsid w:val="0048668D"/>
    <w:rsid w:val="00486762"/>
    <w:rsid w:val="00486784"/>
    <w:rsid w:val="00486A4F"/>
    <w:rsid w:val="00486A8F"/>
    <w:rsid w:val="00486B7A"/>
    <w:rsid w:val="004871E5"/>
    <w:rsid w:val="00487382"/>
    <w:rsid w:val="00487541"/>
    <w:rsid w:val="0048776C"/>
    <w:rsid w:val="0048779D"/>
    <w:rsid w:val="004877E1"/>
    <w:rsid w:val="00487830"/>
    <w:rsid w:val="00487835"/>
    <w:rsid w:val="004878CD"/>
    <w:rsid w:val="00487AE6"/>
    <w:rsid w:val="00487F09"/>
    <w:rsid w:val="00487F4E"/>
    <w:rsid w:val="00487F67"/>
    <w:rsid w:val="00487F7E"/>
    <w:rsid w:val="00487F95"/>
    <w:rsid w:val="00490050"/>
    <w:rsid w:val="00490133"/>
    <w:rsid w:val="00490253"/>
    <w:rsid w:val="00490480"/>
    <w:rsid w:val="004904E9"/>
    <w:rsid w:val="00490523"/>
    <w:rsid w:val="00490855"/>
    <w:rsid w:val="00490937"/>
    <w:rsid w:val="00490E4D"/>
    <w:rsid w:val="00490EB6"/>
    <w:rsid w:val="00490FBE"/>
    <w:rsid w:val="00490FDB"/>
    <w:rsid w:val="00490FF9"/>
    <w:rsid w:val="00491293"/>
    <w:rsid w:val="004912C5"/>
    <w:rsid w:val="00491394"/>
    <w:rsid w:val="004913F9"/>
    <w:rsid w:val="00491623"/>
    <w:rsid w:val="004916D1"/>
    <w:rsid w:val="00491713"/>
    <w:rsid w:val="0049197F"/>
    <w:rsid w:val="004919CD"/>
    <w:rsid w:val="00491A88"/>
    <w:rsid w:val="00491BDA"/>
    <w:rsid w:val="00491D0A"/>
    <w:rsid w:val="00491E00"/>
    <w:rsid w:val="00491FD8"/>
    <w:rsid w:val="00491FE5"/>
    <w:rsid w:val="0049222D"/>
    <w:rsid w:val="004924D6"/>
    <w:rsid w:val="00492774"/>
    <w:rsid w:val="00492900"/>
    <w:rsid w:val="00492944"/>
    <w:rsid w:val="00492991"/>
    <w:rsid w:val="00492BE3"/>
    <w:rsid w:val="00492DA6"/>
    <w:rsid w:val="00492FD2"/>
    <w:rsid w:val="0049300D"/>
    <w:rsid w:val="00493010"/>
    <w:rsid w:val="004931A3"/>
    <w:rsid w:val="004934A3"/>
    <w:rsid w:val="00493728"/>
    <w:rsid w:val="0049372D"/>
    <w:rsid w:val="004937B8"/>
    <w:rsid w:val="00493826"/>
    <w:rsid w:val="00493A2E"/>
    <w:rsid w:val="00493D7F"/>
    <w:rsid w:val="00493E76"/>
    <w:rsid w:val="00493FBC"/>
    <w:rsid w:val="0049420A"/>
    <w:rsid w:val="00494212"/>
    <w:rsid w:val="00494419"/>
    <w:rsid w:val="004947D7"/>
    <w:rsid w:val="00494826"/>
    <w:rsid w:val="004948A1"/>
    <w:rsid w:val="00494AFB"/>
    <w:rsid w:val="00494DD2"/>
    <w:rsid w:val="00494E21"/>
    <w:rsid w:val="00495192"/>
    <w:rsid w:val="00495357"/>
    <w:rsid w:val="0049541C"/>
    <w:rsid w:val="00495658"/>
    <w:rsid w:val="004959E7"/>
    <w:rsid w:val="00495E17"/>
    <w:rsid w:val="00495F42"/>
    <w:rsid w:val="00495F4C"/>
    <w:rsid w:val="00495FBD"/>
    <w:rsid w:val="00496065"/>
    <w:rsid w:val="00496392"/>
    <w:rsid w:val="0049657B"/>
    <w:rsid w:val="00496639"/>
    <w:rsid w:val="0049682A"/>
    <w:rsid w:val="004969D0"/>
    <w:rsid w:val="00496B8A"/>
    <w:rsid w:val="00496EDF"/>
    <w:rsid w:val="00496EE6"/>
    <w:rsid w:val="00497359"/>
    <w:rsid w:val="00497530"/>
    <w:rsid w:val="004976D8"/>
    <w:rsid w:val="004A01F3"/>
    <w:rsid w:val="004A0270"/>
    <w:rsid w:val="004A02FF"/>
    <w:rsid w:val="004A0340"/>
    <w:rsid w:val="004A0403"/>
    <w:rsid w:val="004A04B7"/>
    <w:rsid w:val="004A069D"/>
    <w:rsid w:val="004A06E7"/>
    <w:rsid w:val="004A07A9"/>
    <w:rsid w:val="004A0863"/>
    <w:rsid w:val="004A0866"/>
    <w:rsid w:val="004A086B"/>
    <w:rsid w:val="004A0913"/>
    <w:rsid w:val="004A0A48"/>
    <w:rsid w:val="004A0CE0"/>
    <w:rsid w:val="004A0E02"/>
    <w:rsid w:val="004A0F57"/>
    <w:rsid w:val="004A0FE0"/>
    <w:rsid w:val="004A11EF"/>
    <w:rsid w:val="004A1205"/>
    <w:rsid w:val="004A1333"/>
    <w:rsid w:val="004A139A"/>
    <w:rsid w:val="004A1406"/>
    <w:rsid w:val="004A144E"/>
    <w:rsid w:val="004A151E"/>
    <w:rsid w:val="004A155D"/>
    <w:rsid w:val="004A1582"/>
    <w:rsid w:val="004A16B5"/>
    <w:rsid w:val="004A177F"/>
    <w:rsid w:val="004A178C"/>
    <w:rsid w:val="004A1850"/>
    <w:rsid w:val="004A18DC"/>
    <w:rsid w:val="004A1A34"/>
    <w:rsid w:val="004A1A86"/>
    <w:rsid w:val="004A1AC4"/>
    <w:rsid w:val="004A1BB5"/>
    <w:rsid w:val="004A1BE6"/>
    <w:rsid w:val="004A1C8B"/>
    <w:rsid w:val="004A1DCC"/>
    <w:rsid w:val="004A1F53"/>
    <w:rsid w:val="004A1FB6"/>
    <w:rsid w:val="004A1FE2"/>
    <w:rsid w:val="004A21C0"/>
    <w:rsid w:val="004A235B"/>
    <w:rsid w:val="004A23A4"/>
    <w:rsid w:val="004A24C9"/>
    <w:rsid w:val="004A28E3"/>
    <w:rsid w:val="004A2A70"/>
    <w:rsid w:val="004A2AD3"/>
    <w:rsid w:val="004A2B92"/>
    <w:rsid w:val="004A2E8E"/>
    <w:rsid w:val="004A2EFD"/>
    <w:rsid w:val="004A2F1A"/>
    <w:rsid w:val="004A2F73"/>
    <w:rsid w:val="004A303A"/>
    <w:rsid w:val="004A30FA"/>
    <w:rsid w:val="004A31B7"/>
    <w:rsid w:val="004A31CA"/>
    <w:rsid w:val="004A367E"/>
    <w:rsid w:val="004A36C1"/>
    <w:rsid w:val="004A370F"/>
    <w:rsid w:val="004A3808"/>
    <w:rsid w:val="004A39B7"/>
    <w:rsid w:val="004A39C6"/>
    <w:rsid w:val="004A39DF"/>
    <w:rsid w:val="004A3F5F"/>
    <w:rsid w:val="004A4077"/>
    <w:rsid w:val="004A420D"/>
    <w:rsid w:val="004A4252"/>
    <w:rsid w:val="004A44D2"/>
    <w:rsid w:val="004A4645"/>
    <w:rsid w:val="004A4B07"/>
    <w:rsid w:val="004A4BB6"/>
    <w:rsid w:val="004A4C96"/>
    <w:rsid w:val="004A4FD9"/>
    <w:rsid w:val="004A5038"/>
    <w:rsid w:val="004A506B"/>
    <w:rsid w:val="004A50DE"/>
    <w:rsid w:val="004A5181"/>
    <w:rsid w:val="004A53EB"/>
    <w:rsid w:val="004A5498"/>
    <w:rsid w:val="004A5641"/>
    <w:rsid w:val="004A5781"/>
    <w:rsid w:val="004A59D0"/>
    <w:rsid w:val="004A5A60"/>
    <w:rsid w:val="004A5B5A"/>
    <w:rsid w:val="004A5BF7"/>
    <w:rsid w:val="004A5D4B"/>
    <w:rsid w:val="004A5F4A"/>
    <w:rsid w:val="004A6088"/>
    <w:rsid w:val="004A6224"/>
    <w:rsid w:val="004A622E"/>
    <w:rsid w:val="004A653D"/>
    <w:rsid w:val="004A654D"/>
    <w:rsid w:val="004A661E"/>
    <w:rsid w:val="004A68AE"/>
    <w:rsid w:val="004A6995"/>
    <w:rsid w:val="004A6B19"/>
    <w:rsid w:val="004A6B22"/>
    <w:rsid w:val="004A6B6A"/>
    <w:rsid w:val="004A6BA9"/>
    <w:rsid w:val="004A6C45"/>
    <w:rsid w:val="004A6C90"/>
    <w:rsid w:val="004A6D3F"/>
    <w:rsid w:val="004A6F6F"/>
    <w:rsid w:val="004A6FD7"/>
    <w:rsid w:val="004A7070"/>
    <w:rsid w:val="004A728C"/>
    <w:rsid w:val="004A7393"/>
    <w:rsid w:val="004A769E"/>
    <w:rsid w:val="004A7C9B"/>
    <w:rsid w:val="004B01DA"/>
    <w:rsid w:val="004B0298"/>
    <w:rsid w:val="004B03D9"/>
    <w:rsid w:val="004B0689"/>
    <w:rsid w:val="004B08B3"/>
    <w:rsid w:val="004B0974"/>
    <w:rsid w:val="004B0A1B"/>
    <w:rsid w:val="004B0A1C"/>
    <w:rsid w:val="004B0BE5"/>
    <w:rsid w:val="004B0C1C"/>
    <w:rsid w:val="004B0CD5"/>
    <w:rsid w:val="004B0D12"/>
    <w:rsid w:val="004B0D4A"/>
    <w:rsid w:val="004B0F4E"/>
    <w:rsid w:val="004B1708"/>
    <w:rsid w:val="004B1870"/>
    <w:rsid w:val="004B1919"/>
    <w:rsid w:val="004B1A88"/>
    <w:rsid w:val="004B1C26"/>
    <w:rsid w:val="004B1CA8"/>
    <w:rsid w:val="004B1D2D"/>
    <w:rsid w:val="004B1D3E"/>
    <w:rsid w:val="004B1ECB"/>
    <w:rsid w:val="004B1F58"/>
    <w:rsid w:val="004B20A6"/>
    <w:rsid w:val="004B280C"/>
    <w:rsid w:val="004B285F"/>
    <w:rsid w:val="004B2961"/>
    <w:rsid w:val="004B298F"/>
    <w:rsid w:val="004B2A41"/>
    <w:rsid w:val="004B312E"/>
    <w:rsid w:val="004B3158"/>
    <w:rsid w:val="004B3405"/>
    <w:rsid w:val="004B37D1"/>
    <w:rsid w:val="004B37FC"/>
    <w:rsid w:val="004B380D"/>
    <w:rsid w:val="004B3BCE"/>
    <w:rsid w:val="004B3C1A"/>
    <w:rsid w:val="004B3C60"/>
    <w:rsid w:val="004B3E5D"/>
    <w:rsid w:val="004B3E68"/>
    <w:rsid w:val="004B400E"/>
    <w:rsid w:val="004B4031"/>
    <w:rsid w:val="004B4066"/>
    <w:rsid w:val="004B41BB"/>
    <w:rsid w:val="004B42CD"/>
    <w:rsid w:val="004B4556"/>
    <w:rsid w:val="004B483E"/>
    <w:rsid w:val="004B4DD4"/>
    <w:rsid w:val="004B4EAB"/>
    <w:rsid w:val="004B4F2B"/>
    <w:rsid w:val="004B50BC"/>
    <w:rsid w:val="004B52CD"/>
    <w:rsid w:val="004B534A"/>
    <w:rsid w:val="004B567F"/>
    <w:rsid w:val="004B5800"/>
    <w:rsid w:val="004B5A5F"/>
    <w:rsid w:val="004B5AB9"/>
    <w:rsid w:val="004B5B3A"/>
    <w:rsid w:val="004B5CEC"/>
    <w:rsid w:val="004B5E33"/>
    <w:rsid w:val="004B60E8"/>
    <w:rsid w:val="004B617C"/>
    <w:rsid w:val="004B623A"/>
    <w:rsid w:val="004B63DA"/>
    <w:rsid w:val="004B65D8"/>
    <w:rsid w:val="004B6662"/>
    <w:rsid w:val="004B667C"/>
    <w:rsid w:val="004B6932"/>
    <w:rsid w:val="004B69D2"/>
    <w:rsid w:val="004B6A2B"/>
    <w:rsid w:val="004B6ACC"/>
    <w:rsid w:val="004B6E8A"/>
    <w:rsid w:val="004B6E97"/>
    <w:rsid w:val="004B6F86"/>
    <w:rsid w:val="004B725A"/>
    <w:rsid w:val="004B731C"/>
    <w:rsid w:val="004B7398"/>
    <w:rsid w:val="004B7834"/>
    <w:rsid w:val="004B78AB"/>
    <w:rsid w:val="004B7FA2"/>
    <w:rsid w:val="004C0035"/>
    <w:rsid w:val="004C01A6"/>
    <w:rsid w:val="004C0205"/>
    <w:rsid w:val="004C0648"/>
    <w:rsid w:val="004C07DE"/>
    <w:rsid w:val="004C0834"/>
    <w:rsid w:val="004C0DE8"/>
    <w:rsid w:val="004C0E54"/>
    <w:rsid w:val="004C1040"/>
    <w:rsid w:val="004C14B0"/>
    <w:rsid w:val="004C16FA"/>
    <w:rsid w:val="004C181B"/>
    <w:rsid w:val="004C1966"/>
    <w:rsid w:val="004C1A61"/>
    <w:rsid w:val="004C1B1F"/>
    <w:rsid w:val="004C1E8B"/>
    <w:rsid w:val="004C1FE2"/>
    <w:rsid w:val="004C209B"/>
    <w:rsid w:val="004C21D2"/>
    <w:rsid w:val="004C22A6"/>
    <w:rsid w:val="004C2557"/>
    <w:rsid w:val="004C2676"/>
    <w:rsid w:val="004C2726"/>
    <w:rsid w:val="004C275A"/>
    <w:rsid w:val="004C29A3"/>
    <w:rsid w:val="004C2CE5"/>
    <w:rsid w:val="004C2E56"/>
    <w:rsid w:val="004C2FEE"/>
    <w:rsid w:val="004C30CB"/>
    <w:rsid w:val="004C3108"/>
    <w:rsid w:val="004C325B"/>
    <w:rsid w:val="004C3489"/>
    <w:rsid w:val="004C34B5"/>
    <w:rsid w:val="004C3501"/>
    <w:rsid w:val="004C3598"/>
    <w:rsid w:val="004C35EC"/>
    <w:rsid w:val="004C372E"/>
    <w:rsid w:val="004C3781"/>
    <w:rsid w:val="004C3B9C"/>
    <w:rsid w:val="004C3BDE"/>
    <w:rsid w:val="004C3C54"/>
    <w:rsid w:val="004C3CBF"/>
    <w:rsid w:val="004C3CD4"/>
    <w:rsid w:val="004C3D49"/>
    <w:rsid w:val="004C3E96"/>
    <w:rsid w:val="004C3FFA"/>
    <w:rsid w:val="004C407C"/>
    <w:rsid w:val="004C40BC"/>
    <w:rsid w:val="004C4147"/>
    <w:rsid w:val="004C427E"/>
    <w:rsid w:val="004C4687"/>
    <w:rsid w:val="004C46AD"/>
    <w:rsid w:val="004C473B"/>
    <w:rsid w:val="004C49DD"/>
    <w:rsid w:val="004C4B5B"/>
    <w:rsid w:val="004C4B64"/>
    <w:rsid w:val="004C4BBA"/>
    <w:rsid w:val="004C4D96"/>
    <w:rsid w:val="004C4FE0"/>
    <w:rsid w:val="004C5215"/>
    <w:rsid w:val="004C54B4"/>
    <w:rsid w:val="004C5A94"/>
    <w:rsid w:val="004C5A98"/>
    <w:rsid w:val="004C5B58"/>
    <w:rsid w:val="004C5BC5"/>
    <w:rsid w:val="004C5BF1"/>
    <w:rsid w:val="004C5E72"/>
    <w:rsid w:val="004C5EB2"/>
    <w:rsid w:val="004C5F8E"/>
    <w:rsid w:val="004C5FCE"/>
    <w:rsid w:val="004C61AF"/>
    <w:rsid w:val="004C6238"/>
    <w:rsid w:val="004C62A6"/>
    <w:rsid w:val="004C67B7"/>
    <w:rsid w:val="004C6908"/>
    <w:rsid w:val="004C69CB"/>
    <w:rsid w:val="004C6B06"/>
    <w:rsid w:val="004C6D98"/>
    <w:rsid w:val="004C6E11"/>
    <w:rsid w:val="004C6EDB"/>
    <w:rsid w:val="004C6EF0"/>
    <w:rsid w:val="004C6F4C"/>
    <w:rsid w:val="004C71A8"/>
    <w:rsid w:val="004C723E"/>
    <w:rsid w:val="004C735B"/>
    <w:rsid w:val="004C73F3"/>
    <w:rsid w:val="004C740B"/>
    <w:rsid w:val="004C743E"/>
    <w:rsid w:val="004C7512"/>
    <w:rsid w:val="004C7772"/>
    <w:rsid w:val="004C777E"/>
    <w:rsid w:val="004C77B1"/>
    <w:rsid w:val="004C7C82"/>
    <w:rsid w:val="004C7E18"/>
    <w:rsid w:val="004C7FD1"/>
    <w:rsid w:val="004D00F4"/>
    <w:rsid w:val="004D037E"/>
    <w:rsid w:val="004D0567"/>
    <w:rsid w:val="004D093F"/>
    <w:rsid w:val="004D0C5B"/>
    <w:rsid w:val="004D0D3C"/>
    <w:rsid w:val="004D0DAE"/>
    <w:rsid w:val="004D11A6"/>
    <w:rsid w:val="004D14CF"/>
    <w:rsid w:val="004D1551"/>
    <w:rsid w:val="004D1601"/>
    <w:rsid w:val="004D17E4"/>
    <w:rsid w:val="004D1A0E"/>
    <w:rsid w:val="004D1AB4"/>
    <w:rsid w:val="004D1B58"/>
    <w:rsid w:val="004D1B6A"/>
    <w:rsid w:val="004D1D17"/>
    <w:rsid w:val="004D1E76"/>
    <w:rsid w:val="004D1FB6"/>
    <w:rsid w:val="004D1FDF"/>
    <w:rsid w:val="004D212E"/>
    <w:rsid w:val="004D2278"/>
    <w:rsid w:val="004D2796"/>
    <w:rsid w:val="004D28FD"/>
    <w:rsid w:val="004D2CB7"/>
    <w:rsid w:val="004D2D2F"/>
    <w:rsid w:val="004D2E95"/>
    <w:rsid w:val="004D2F53"/>
    <w:rsid w:val="004D2F9E"/>
    <w:rsid w:val="004D30C0"/>
    <w:rsid w:val="004D3214"/>
    <w:rsid w:val="004D35BC"/>
    <w:rsid w:val="004D364E"/>
    <w:rsid w:val="004D3BD4"/>
    <w:rsid w:val="004D3C62"/>
    <w:rsid w:val="004D3CDC"/>
    <w:rsid w:val="004D3D23"/>
    <w:rsid w:val="004D4220"/>
    <w:rsid w:val="004D4360"/>
    <w:rsid w:val="004D44D3"/>
    <w:rsid w:val="004D44F3"/>
    <w:rsid w:val="004D4590"/>
    <w:rsid w:val="004D45C8"/>
    <w:rsid w:val="004D4BA6"/>
    <w:rsid w:val="004D4C22"/>
    <w:rsid w:val="004D4F0C"/>
    <w:rsid w:val="004D4F22"/>
    <w:rsid w:val="004D4F77"/>
    <w:rsid w:val="004D5043"/>
    <w:rsid w:val="004D5378"/>
    <w:rsid w:val="004D53BA"/>
    <w:rsid w:val="004D5492"/>
    <w:rsid w:val="004D567A"/>
    <w:rsid w:val="004D58B6"/>
    <w:rsid w:val="004D592A"/>
    <w:rsid w:val="004D59FB"/>
    <w:rsid w:val="004D5BD9"/>
    <w:rsid w:val="004D5DF3"/>
    <w:rsid w:val="004D5E8D"/>
    <w:rsid w:val="004D5FA2"/>
    <w:rsid w:val="004D6062"/>
    <w:rsid w:val="004D6205"/>
    <w:rsid w:val="004D649F"/>
    <w:rsid w:val="004D64F7"/>
    <w:rsid w:val="004D66F7"/>
    <w:rsid w:val="004D68ED"/>
    <w:rsid w:val="004D6BA9"/>
    <w:rsid w:val="004D6ED6"/>
    <w:rsid w:val="004D7449"/>
    <w:rsid w:val="004D7692"/>
    <w:rsid w:val="004D7A3E"/>
    <w:rsid w:val="004D7A9C"/>
    <w:rsid w:val="004D7AEA"/>
    <w:rsid w:val="004D7D50"/>
    <w:rsid w:val="004E011A"/>
    <w:rsid w:val="004E0161"/>
    <w:rsid w:val="004E040E"/>
    <w:rsid w:val="004E05A9"/>
    <w:rsid w:val="004E05B2"/>
    <w:rsid w:val="004E06A0"/>
    <w:rsid w:val="004E0794"/>
    <w:rsid w:val="004E0A05"/>
    <w:rsid w:val="004E0B2B"/>
    <w:rsid w:val="004E0B36"/>
    <w:rsid w:val="004E0C64"/>
    <w:rsid w:val="004E0C9C"/>
    <w:rsid w:val="004E0CF7"/>
    <w:rsid w:val="004E0E25"/>
    <w:rsid w:val="004E10D5"/>
    <w:rsid w:val="004E10EA"/>
    <w:rsid w:val="004E117E"/>
    <w:rsid w:val="004E1298"/>
    <w:rsid w:val="004E1549"/>
    <w:rsid w:val="004E1585"/>
    <w:rsid w:val="004E175A"/>
    <w:rsid w:val="004E179E"/>
    <w:rsid w:val="004E17DA"/>
    <w:rsid w:val="004E1A0C"/>
    <w:rsid w:val="004E1AE2"/>
    <w:rsid w:val="004E1C3C"/>
    <w:rsid w:val="004E224B"/>
    <w:rsid w:val="004E2287"/>
    <w:rsid w:val="004E2466"/>
    <w:rsid w:val="004E24BA"/>
    <w:rsid w:val="004E255A"/>
    <w:rsid w:val="004E2FF6"/>
    <w:rsid w:val="004E3296"/>
    <w:rsid w:val="004E3306"/>
    <w:rsid w:val="004E3402"/>
    <w:rsid w:val="004E3412"/>
    <w:rsid w:val="004E3513"/>
    <w:rsid w:val="004E3619"/>
    <w:rsid w:val="004E3637"/>
    <w:rsid w:val="004E37B5"/>
    <w:rsid w:val="004E37E0"/>
    <w:rsid w:val="004E3DB5"/>
    <w:rsid w:val="004E3DBF"/>
    <w:rsid w:val="004E3DEB"/>
    <w:rsid w:val="004E40D5"/>
    <w:rsid w:val="004E41AD"/>
    <w:rsid w:val="004E41F7"/>
    <w:rsid w:val="004E4500"/>
    <w:rsid w:val="004E450A"/>
    <w:rsid w:val="004E4584"/>
    <w:rsid w:val="004E45BA"/>
    <w:rsid w:val="004E4798"/>
    <w:rsid w:val="004E47D2"/>
    <w:rsid w:val="004E4AAB"/>
    <w:rsid w:val="004E4B5C"/>
    <w:rsid w:val="004E4FA4"/>
    <w:rsid w:val="004E5555"/>
    <w:rsid w:val="004E5637"/>
    <w:rsid w:val="004E5A4E"/>
    <w:rsid w:val="004E5B99"/>
    <w:rsid w:val="004E5F67"/>
    <w:rsid w:val="004E60B0"/>
    <w:rsid w:val="004E618C"/>
    <w:rsid w:val="004E624E"/>
    <w:rsid w:val="004E634F"/>
    <w:rsid w:val="004E63A1"/>
    <w:rsid w:val="004E654B"/>
    <w:rsid w:val="004E665F"/>
    <w:rsid w:val="004E6822"/>
    <w:rsid w:val="004E6847"/>
    <w:rsid w:val="004E69FD"/>
    <w:rsid w:val="004E6A2C"/>
    <w:rsid w:val="004E6B88"/>
    <w:rsid w:val="004E6E07"/>
    <w:rsid w:val="004E71B6"/>
    <w:rsid w:val="004E743F"/>
    <w:rsid w:val="004E754F"/>
    <w:rsid w:val="004E775B"/>
    <w:rsid w:val="004E7779"/>
    <w:rsid w:val="004E7880"/>
    <w:rsid w:val="004E788B"/>
    <w:rsid w:val="004E7AAB"/>
    <w:rsid w:val="004E7ACC"/>
    <w:rsid w:val="004E7F9A"/>
    <w:rsid w:val="004E7F9E"/>
    <w:rsid w:val="004F009F"/>
    <w:rsid w:val="004F014C"/>
    <w:rsid w:val="004F026A"/>
    <w:rsid w:val="004F0932"/>
    <w:rsid w:val="004F0B0B"/>
    <w:rsid w:val="004F0B70"/>
    <w:rsid w:val="004F0BF3"/>
    <w:rsid w:val="004F0CB7"/>
    <w:rsid w:val="004F105A"/>
    <w:rsid w:val="004F1205"/>
    <w:rsid w:val="004F1287"/>
    <w:rsid w:val="004F157B"/>
    <w:rsid w:val="004F1746"/>
    <w:rsid w:val="004F1802"/>
    <w:rsid w:val="004F19DC"/>
    <w:rsid w:val="004F1A69"/>
    <w:rsid w:val="004F1B51"/>
    <w:rsid w:val="004F1B5C"/>
    <w:rsid w:val="004F1CBF"/>
    <w:rsid w:val="004F1D3A"/>
    <w:rsid w:val="004F1E00"/>
    <w:rsid w:val="004F1F39"/>
    <w:rsid w:val="004F2618"/>
    <w:rsid w:val="004F2991"/>
    <w:rsid w:val="004F2E15"/>
    <w:rsid w:val="004F3076"/>
    <w:rsid w:val="004F3310"/>
    <w:rsid w:val="004F333D"/>
    <w:rsid w:val="004F337A"/>
    <w:rsid w:val="004F33F8"/>
    <w:rsid w:val="004F35C2"/>
    <w:rsid w:val="004F37F5"/>
    <w:rsid w:val="004F397B"/>
    <w:rsid w:val="004F39AA"/>
    <w:rsid w:val="004F3AED"/>
    <w:rsid w:val="004F3D64"/>
    <w:rsid w:val="004F403A"/>
    <w:rsid w:val="004F4216"/>
    <w:rsid w:val="004F425F"/>
    <w:rsid w:val="004F427A"/>
    <w:rsid w:val="004F4440"/>
    <w:rsid w:val="004F461B"/>
    <w:rsid w:val="004F47CE"/>
    <w:rsid w:val="004F490D"/>
    <w:rsid w:val="004F4BA6"/>
    <w:rsid w:val="004F4BE9"/>
    <w:rsid w:val="004F4C36"/>
    <w:rsid w:val="004F5221"/>
    <w:rsid w:val="004F57D4"/>
    <w:rsid w:val="004F5859"/>
    <w:rsid w:val="004F58F6"/>
    <w:rsid w:val="004F5A8D"/>
    <w:rsid w:val="004F5ADD"/>
    <w:rsid w:val="004F5DD6"/>
    <w:rsid w:val="004F6071"/>
    <w:rsid w:val="004F65F8"/>
    <w:rsid w:val="004F668E"/>
    <w:rsid w:val="004F684B"/>
    <w:rsid w:val="004F6CDB"/>
    <w:rsid w:val="004F6F8F"/>
    <w:rsid w:val="004F6F9C"/>
    <w:rsid w:val="004F6FD0"/>
    <w:rsid w:val="004F70D0"/>
    <w:rsid w:val="004F722E"/>
    <w:rsid w:val="004F74B1"/>
    <w:rsid w:val="004F7504"/>
    <w:rsid w:val="004F7576"/>
    <w:rsid w:val="004F7593"/>
    <w:rsid w:val="004F7607"/>
    <w:rsid w:val="004F76DF"/>
    <w:rsid w:val="004F7717"/>
    <w:rsid w:val="004F7986"/>
    <w:rsid w:val="004F7E5F"/>
    <w:rsid w:val="004F7F7E"/>
    <w:rsid w:val="004F7FB4"/>
    <w:rsid w:val="0050003A"/>
    <w:rsid w:val="005000ED"/>
    <w:rsid w:val="00500268"/>
    <w:rsid w:val="005003D2"/>
    <w:rsid w:val="0050057D"/>
    <w:rsid w:val="0050076B"/>
    <w:rsid w:val="00500B75"/>
    <w:rsid w:val="00500B8E"/>
    <w:rsid w:val="00500BFD"/>
    <w:rsid w:val="00500C2D"/>
    <w:rsid w:val="00500E72"/>
    <w:rsid w:val="0050104D"/>
    <w:rsid w:val="00501230"/>
    <w:rsid w:val="005012B8"/>
    <w:rsid w:val="005012CB"/>
    <w:rsid w:val="0050142B"/>
    <w:rsid w:val="005014E8"/>
    <w:rsid w:val="005016BA"/>
    <w:rsid w:val="005017BB"/>
    <w:rsid w:val="005019EC"/>
    <w:rsid w:val="00501A9D"/>
    <w:rsid w:val="00501B0C"/>
    <w:rsid w:val="00501DBB"/>
    <w:rsid w:val="00501F60"/>
    <w:rsid w:val="00502171"/>
    <w:rsid w:val="0050232F"/>
    <w:rsid w:val="00502341"/>
    <w:rsid w:val="005023FC"/>
    <w:rsid w:val="00502970"/>
    <w:rsid w:val="00502D50"/>
    <w:rsid w:val="005031E1"/>
    <w:rsid w:val="00503211"/>
    <w:rsid w:val="0050352A"/>
    <w:rsid w:val="005038E3"/>
    <w:rsid w:val="005039ED"/>
    <w:rsid w:val="00503A4F"/>
    <w:rsid w:val="00503A8B"/>
    <w:rsid w:val="00503E0E"/>
    <w:rsid w:val="00504009"/>
    <w:rsid w:val="00504257"/>
    <w:rsid w:val="00504554"/>
    <w:rsid w:val="005046FF"/>
    <w:rsid w:val="00504766"/>
    <w:rsid w:val="00504992"/>
    <w:rsid w:val="00504BAE"/>
    <w:rsid w:val="00504E2D"/>
    <w:rsid w:val="00504F6C"/>
    <w:rsid w:val="00504FC2"/>
    <w:rsid w:val="00504FFA"/>
    <w:rsid w:val="0050517D"/>
    <w:rsid w:val="005054C2"/>
    <w:rsid w:val="0050556C"/>
    <w:rsid w:val="00505591"/>
    <w:rsid w:val="005056B8"/>
    <w:rsid w:val="00505755"/>
    <w:rsid w:val="00505902"/>
    <w:rsid w:val="00505980"/>
    <w:rsid w:val="00505B01"/>
    <w:rsid w:val="00505B79"/>
    <w:rsid w:val="00505C69"/>
    <w:rsid w:val="00505FE1"/>
    <w:rsid w:val="00506200"/>
    <w:rsid w:val="00506201"/>
    <w:rsid w:val="00506269"/>
    <w:rsid w:val="005062B5"/>
    <w:rsid w:val="005063CB"/>
    <w:rsid w:val="005068D9"/>
    <w:rsid w:val="00506979"/>
    <w:rsid w:val="00506B5D"/>
    <w:rsid w:val="00506D0B"/>
    <w:rsid w:val="00506F09"/>
    <w:rsid w:val="0050736C"/>
    <w:rsid w:val="00507414"/>
    <w:rsid w:val="00507495"/>
    <w:rsid w:val="005074BD"/>
    <w:rsid w:val="00507791"/>
    <w:rsid w:val="0050788E"/>
    <w:rsid w:val="00507B8C"/>
    <w:rsid w:val="00507B99"/>
    <w:rsid w:val="00507BE4"/>
    <w:rsid w:val="00507CB8"/>
    <w:rsid w:val="00507FD0"/>
    <w:rsid w:val="005101DF"/>
    <w:rsid w:val="00510249"/>
    <w:rsid w:val="00510530"/>
    <w:rsid w:val="0051055F"/>
    <w:rsid w:val="0051066C"/>
    <w:rsid w:val="00510721"/>
    <w:rsid w:val="00510A7B"/>
    <w:rsid w:val="00510C71"/>
    <w:rsid w:val="00510EA8"/>
    <w:rsid w:val="00510EEE"/>
    <w:rsid w:val="00510EF1"/>
    <w:rsid w:val="00511064"/>
    <w:rsid w:val="005110DB"/>
    <w:rsid w:val="00511145"/>
    <w:rsid w:val="0051136F"/>
    <w:rsid w:val="005113C8"/>
    <w:rsid w:val="00511670"/>
    <w:rsid w:val="005117F4"/>
    <w:rsid w:val="00511830"/>
    <w:rsid w:val="00511863"/>
    <w:rsid w:val="005118B9"/>
    <w:rsid w:val="00511B28"/>
    <w:rsid w:val="0051243A"/>
    <w:rsid w:val="0051245C"/>
    <w:rsid w:val="00512506"/>
    <w:rsid w:val="00512544"/>
    <w:rsid w:val="00512569"/>
    <w:rsid w:val="005126BD"/>
    <w:rsid w:val="00512887"/>
    <w:rsid w:val="00512CB1"/>
    <w:rsid w:val="0051306B"/>
    <w:rsid w:val="0051357A"/>
    <w:rsid w:val="005137A9"/>
    <w:rsid w:val="00513999"/>
    <w:rsid w:val="00513A81"/>
    <w:rsid w:val="00513AD0"/>
    <w:rsid w:val="00513EB4"/>
    <w:rsid w:val="00513F86"/>
    <w:rsid w:val="0051429E"/>
    <w:rsid w:val="00514468"/>
    <w:rsid w:val="00514682"/>
    <w:rsid w:val="005146B6"/>
    <w:rsid w:val="005147AA"/>
    <w:rsid w:val="00514A7F"/>
    <w:rsid w:val="00514C72"/>
    <w:rsid w:val="00514E90"/>
    <w:rsid w:val="00514F05"/>
    <w:rsid w:val="00514F44"/>
    <w:rsid w:val="00514F88"/>
    <w:rsid w:val="00514FB3"/>
    <w:rsid w:val="005152F6"/>
    <w:rsid w:val="005152F7"/>
    <w:rsid w:val="00515444"/>
    <w:rsid w:val="0051547D"/>
    <w:rsid w:val="0051589C"/>
    <w:rsid w:val="00515BA8"/>
    <w:rsid w:val="00515CC1"/>
    <w:rsid w:val="00515E8B"/>
    <w:rsid w:val="00515EF4"/>
    <w:rsid w:val="00515F36"/>
    <w:rsid w:val="005163EF"/>
    <w:rsid w:val="005164EB"/>
    <w:rsid w:val="0051687B"/>
    <w:rsid w:val="00516D0B"/>
    <w:rsid w:val="00516F74"/>
    <w:rsid w:val="00516FAC"/>
    <w:rsid w:val="005170A8"/>
    <w:rsid w:val="005170BC"/>
    <w:rsid w:val="0051711F"/>
    <w:rsid w:val="005171B8"/>
    <w:rsid w:val="005172B9"/>
    <w:rsid w:val="005172BF"/>
    <w:rsid w:val="0051741B"/>
    <w:rsid w:val="005174E1"/>
    <w:rsid w:val="00517602"/>
    <w:rsid w:val="00517769"/>
    <w:rsid w:val="00517A5E"/>
    <w:rsid w:val="00517B10"/>
    <w:rsid w:val="00517EE2"/>
    <w:rsid w:val="00517FFB"/>
    <w:rsid w:val="005202A2"/>
    <w:rsid w:val="00520584"/>
    <w:rsid w:val="0052078B"/>
    <w:rsid w:val="00520A0D"/>
    <w:rsid w:val="00520B39"/>
    <w:rsid w:val="00520C04"/>
    <w:rsid w:val="00520D8F"/>
    <w:rsid w:val="00520E37"/>
    <w:rsid w:val="00520E43"/>
    <w:rsid w:val="00521088"/>
    <w:rsid w:val="00521219"/>
    <w:rsid w:val="005212B6"/>
    <w:rsid w:val="005215DB"/>
    <w:rsid w:val="0052167C"/>
    <w:rsid w:val="0052176B"/>
    <w:rsid w:val="00521786"/>
    <w:rsid w:val="0052178B"/>
    <w:rsid w:val="00521AEE"/>
    <w:rsid w:val="00521B52"/>
    <w:rsid w:val="00521C19"/>
    <w:rsid w:val="00521CCC"/>
    <w:rsid w:val="00521CDD"/>
    <w:rsid w:val="00521F5C"/>
    <w:rsid w:val="00521FBA"/>
    <w:rsid w:val="005220CD"/>
    <w:rsid w:val="005222EB"/>
    <w:rsid w:val="005223DE"/>
    <w:rsid w:val="00522591"/>
    <w:rsid w:val="00522984"/>
    <w:rsid w:val="00522DFF"/>
    <w:rsid w:val="00522F05"/>
    <w:rsid w:val="0052351C"/>
    <w:rsid w:val="00523541"/>
    <w:rsid w:val="005235CF"/>
    <w:rsid w:val="005235FB"/>
    <w:rsid w:val="00523729"/>
    <w:rsid w:val="00523B18"/>
    <w:rsid w:val="00523B40"/>
    <w:rsid w:val="00523B57"/>
    <w:rsid w:val="00523B7E"/>
    <w:rsid w:val="00523BA4"/>
    <w:rsid w:val="00523BB2"/>
    <w:rsid w:val="00523F4D"/>
    <w:rsid w:val="00524142"/>
    <w:rsid w:val="0052421F"/>
    <w:rsid w:val="005243D5"/>
    <w:rsid w:val="00524572"/>
    <w:rsid w:val="005245B4"/>
    <w:rsid w:val="005245C5"/>
    <w:rsid w:val="0052462F"/>
    <w:rsid w:val="0052498C"/>
    <w:rsid w:val="00524A8A"/>
    <w:rsid w:val="00524C6A"/>
    <w:rsid w:val="00524E9E"/>
    <w:rsid w:val="00524F45"/>
    <w:rsid w:val="00525298"/>
    <w:rsid w:val="005253E6"/>
    <w:rsid w:val="0052546D"/>
    <w:rsid w:val="005254EC"/>
    <w:rsid w:val="0052557C"/>
    <w:rsid w:val="00525618"/>
    <w:rsid w:val="00525646"/>
    <w:rsid w:val="005256E2"/>
    <w:rsid w:val="005259AF"/>
    <w:rsid w:val="00525E5C"/>
    <w:rsid w:val="00525EB4"/>
    <w:rsid w:val="00525EF3"/>
    <w:rsid w:val="00525F9B"/>
    <w:rsid w:val="00526045"/>
    <w:rsid w:val="00526081"/>
    <w:rsid w:val="0052628B"/>
    <w:rsid w:val="005262E6"/>
    <w:rsid w:val="005264C8"/>
    <w:rsid w:val="00526715"/>
    <w:rsid w:val="00526B23"/>
    <w:rsid w:val="00526B4F"/>
    <w:rsid w:val="00526E79"/>
    <w:rsid w:val="00526F74"/>
    <w:rsid w:val="00527555"/>
    <w:rsid w:val="00527A8C"/>
    <w:rsid w:val="00527F0E"/>
    <w:rsid w:val="00527F4A"/>
    <w:rsid w:val="0053024F"/>
    <w:rsid w:val="0053039B"/>
    <w:rsid w:val="005303A5"/>
    <w:rsid w:val="0053059E"/>
    <w:rsid w:val="00530690"/>
    <w:rsid w:val="00530716"/>
    <w:rsid w:val="00530741"/>
    <w:rsid w:val="00530970"/>
    <w:rsid w:val="00530AFA"/>
    <w:rsid w:val="0053114F"/>
    <w:rsid w:val="00531332"/>
    <w:rsid w:val="005313BB"/>
    <w:rsid w:val="005313F2"/>
    <w:rsid w:val="0053145A"/>
    <w:rsid w:val="005315BD"/>
    <w:rsid w:val="005316C3"/>
    <w:rsid w:val="005317C4"/>
    <w:rsid w:val="00531908"/>
    <w:rsid w:val="00531B72"/>
    <w:rsid w:val="00531C2E"/>
    <w:rsid w:val="00531DEC"/>
    <w:rsid w:val="00531E06"/>
    <w:rsid w:val="005320AF"/>
    <w:rsid w:val="005324A6"/>
    <w:rsid w:val="005324DD"/>
    <w:rsid w:val="005327EC"/>
    <w:rsid w:val="00532A56"/>
    <w:rsid w:val="00532C22"/>
    <w:rsid w:val="00532CAB"/>
    <w:rsid w:val="00532D6E"/>
    <w:rsid w:val="00532E58"/>
    <w:rsid w:val="00532EB8"/>
    <w:rsid w:val="00532ED4"/>
    <w:rsid w:val="00532FEA"/>
    <w:rsid w:val="0053322B"/>
    <w:rsid w:val="00533298"/>
    <w:rsid w:val="005332B4"/>
    <w:rsid w:val="00533431"/>
    <w:rsid w:val="005338C3"/>
    <w:rsid w:val="00533B21"/>
    <w:rsid w:val="00533BB4"/>
    <w:rsid w:val="00533C24"/>
    <w:rsid w:val="00533DFF"/>
    <w:rsid w:val="00533E2C"/>
    <w:rsid w:val="00533F73"/>
    <w:rsid w:val="00534053"/>
    <w:rsid w:val="005341E7"/>
    <w:rsid w:val="00534295"/>
    <w:rsid w:val="00534438"/>
    <w:rsid w:val="005344A7"/>
    <w:rsid w:val="00534508"/>
    <w:rsid w:val="00534663"/>
    <w:rsid w:val="00534730"/>
    <w:rsid w:val="00534956"/>
    <w:rsid w:val="00534DA8"/>
    <w:rsid w:val="00534E75"/>
    <w:rsid w:val="00535208"/>
    <w:rsid w:val="00535310"/>
    <w:rsid w:val="005354E0"/>
    <w:rsid w:val="0053591C"/>
    <w:rsid w:val="00535B35"/>
    <w:rsid w:val="00535CBD"/>
    <w:rsid w:val="00535CEA"/>
    <w:rsid w:val="00535E04"/>
    <w:rsid w:val="005363CE"/>
    <w:rsid w:val="0053647F"/>
    <w:rsid w:val="0053678C"/>
    <w:rsid w:val="005367BE"/>
    <w:rsid w:val="005368A8"/>
    <w:rsid w:val="00536E17"/>
    <w:rsid w:val="005370EE"/>
    <w:rsid w:val="00537121"/>
    <w:rsid w:val="005371FF"/>
    <w:rsid w:val="005374C5"/>
    <w:rsid w:val="0053754F"/>
    <w:rsid w:val="005375B4"/>
    <w:rsid w:val="005377F8"/>
    <w:rsid w:val="00537A75"/>
    <w:rsid w:val="00537E65"/>
    <w:rsid w:val="005401D4"/>
    <w:rsid w:val="005401F6"/>
    <w:rsid w:val="0054065E"/>
    <w:rsid w:val="0054072C"/>
    <w:rsid w:val="005407CD"/>
    <w:rsid w:val="00540AD2"/>
    <w:rsid w:val="00540ECA"/>
    <w:rsid w:val="00541070"/>
    <w:rsid w:val="0054143C"/>
    <w:rsid w:val="00541649"/>
    <w:rsid w:val="005416D9"/>
    <w:rsid w:val="00541848"/>
    <w:rsid w:val="00541887"/>
    <w:rsid w:val="005419BF"/>
    <w:rsid w:val="005419C0"/>
    <w:rsid w:val="00541A6D"/>
    <w:rsid w:val="00541B1C"/>
    <w:rsid w:val="00541BBD"/>
    <w:rsid w:val="00541C0C"/>
    <w:rsid w:val="00541C46"/>
    <w:rsid w:val="00541C8C"/>
    <w:rsid w:val="00541E30"/>
    <w:rsid w:val="00542027"/>
    <w:rsid w:val="005420F6"/>
    <w:rsid w:val="00542205"/>
    <w:rsid w:val="00542478"/>
    <w:rsid w:val="00542575"/>
    <w:rsid w:val="005428D5"/>
    <w:rsid w:val="005428D8"/>
    <w:rsid w:val="00542A59"/>
    <w:rsid w:val="00542E30"/>
    <w:rsid w:val="00542E72"/>
    <w:rsid w:val="00542F44"/>
    <w:rsid w:val="00542F93"/>
    <w:rsid w:val="00543278"/>
    <w:rsid w:val="005433B7"/>
    <w:rsid w:val="005434B1"/>
    <w:rsid w:val="0054369A"/>
    <w:rsid w:val="0054389B"/>
    <w:rsid w:val="00543972"/>
    <w:rsid w:val="00543AB5"/>
    <w:rsid w:val="00543C1A"/>
    <w:rsid w:val="00543DD8"/>
    <w:rsid w:val="00543E0A"/>
    <w:rsid w:val="00543E2F"/>
    <w:rsid w:val="00543F26"/>
    <w:rsid w:val="0054401F"/>
    <w:rsid w:val="0054405D"/>
    <w:rsid w:val="0054423D"/>
    <w:rsid w:val="0054428D"/>
    <w:rsid w:val="00544446"/>
    <w:rsid w:val="00544718"/>
    <w:rsid w:val="00544783"/>
    <w:rsid w:val="005449F4"/>
    <w:rsid w:val="00544DAD"/>
    <w:rsid w:val="0054508A"/>
    <w:rsid w:val="00545230"/>
    <w:rsid w:val="0054529E"/>
    <w:rsid w:val="00545495"/>
    <w:rsid w:val="00545581"/>
    <w:rsid w:val="005455CA"/>
    <w:rsid w:val="00545A62"/>
    <w:rsid w:val="005462C4"/>
    <w:rsid w:val="005462E1"/>
    <w:rsid w:val="0054638E"/>
    <w:rsid w:val="005465C0"/>
    <w:rsid w:val="005466BB"/>
    <w:rsid w:val="00546712"/>
    <w:rsid w:val="005467CB"/>
    <w:rsid w:val="00546921"/>
    <w:rsid w:val="00546A33"/>
    <w:rsid w:val="00546B90"/>
    <w:rsid w:val="00546CBA"/>
    <w:rsid w:val="00546E3F"/>
    <w:rsid w:val="00547158"/>
    <w:rsid w:val="00547631"/>
    <w:rsid w:val="00547903"/>
    <w:rsid w:val="0054794D"/>
    <w:rsid w:val="00547993"/>
    <w:rsid w:val="005479CE"/>
    <w:rsid w:val="00547C08"/>
    <w:rsid w:val="00547CDA"/>
    <w:rsid w:val="00547D4C"/>
    <w:rsid w:val="00547DC5"/>
    <w:rsid w:val="00547F41"/>
    <w:rsid w:val="0055051B"/>
    <w:rsid w:val="00550580"/>
    <w:rsid w:val="00550785"/>
    <w:rsid w:val="0055088E"/>
    <w:rsid w:val="005509BE"/>
    <w:rsid w:val="00550B01"/>
    <w:rsid w:val="00550D11"/>
    <w:rsid w:val="00550E35"/>
    <w:rsid w:val="00550E70"/>
    <w:rsid w:val="0055112C"/>
    <w:rsid w:val="005511A7"/>
    <w:rsid w:val="00551260"/>
    <w:rsid w:val="005514EE"/>
    <w:rsid w:val="005517AB"/>
    <w:rsid w:val="005518DB"/>
    <w:rsid w:val="00551AD1"/>
    <w:rsid w:val="00551B26"/>
    <w:rsid w:val="00551C6D"/>
    <w:rsid w:val="00551EE5"/>
    <w:rsid w:val="00551FCD"/>
    <w:rsid w:val="005522C6"/>
    <w:rsid w:val="00552303"/>
    <w:rsid w:val="00552338"/>
    <w:rsid w:val="00552358"/>
    <w:rsid w:val="0055260F"/>
    <w:rsid w:val="0055282F"/>
    <w:rsid w:val="00552839"/>
    <w:rsid w:val="00552877"/>
    <w:rsid w:val="00552C90"/>
    <w:rsid w:val="005535D8"/>
    <w:rsid w:val="00553784"/>
    <w:rsid w:val="005537C9"/>
    <w:rsid w:val="00553827"/>
    <w:rsid w:val="0055391B"/>
    <w:rsid w:val="00553BAE"/>
    <w:rsid w:val="00553BF1"/>
    <w:rsid w:val="00553D1B"/>
    <w:rsid w:val="00553E3C"/>
    <w:rsid w:val="00553EA1"/>
    <w:rsid w:val="00554093"/>
    <w:rsid w:val="00554284"/>
    <w:rsid w:val="0055440E"/>
    <w:rsid w:val="0055446D"/>
    <w:rsid w:val="0055457D"/>
    <w:rsid w:val="005546AB"/>
    <w:rsid w:val="00554A83"/>
    <w:rsid w:val="00554ABD"/>
    <w:rsid w:val="00554D99"/>
    <w:rsid w:val="00554D9D"/>
    <w:rsid w:val="00554E9E"/>
    <w:rsid w:val="00554ED6"/>
    <w:rsid w:val="00554F7C"/>
    <w:rsid w:val="0055517E"/>
    <w:rsid w:val="005552CE"/>
    <w:rsid w:val="005556C9"/>
    <w:rsid w:val="00555834"/>
    <w:rsid w:val="00555AC1"/>
    <w:rsid w:val="00555BE9"/>
    <w:rsid w:val="00555F0A"/>
    <w:rsid w:val="00556087"/>
    <w:rsid w:val="0055613B"/>
    <w:rsid w:val="005562BC"/>
    <w:rsid w:val="005562CD"/>
    <w:rsid w:val="00556452"/>
    <w:rsid w:val="005566BB"/>
    <w:rsid w:val="005567BD"/>
    <w:rsid w:val="00556D9C"/>
    <w:rsid w:val="00556E14"/>
    <w:rsid w:val="00557385"/>
    <w:rsid w:val="005573BA"/>
    <w:rsid w:val="00557631"/>
    <w:rsid w:val="005576FF"/>
    <w:rsid w:val="0055774C"/>
    <w:rsid w:val="005577D5"/>
    <w:rsid w:val="005579F5"/>
    <w:rsid w:val="00557D65"/>
    <w:rsid w:val="00557FD0"/>
    <w:rsid w:val="00560116"/>
    <w:rsid w:val="00560308"/>
    <w:rsid w:val="005604DA"/>
    <w:rsid w:val="00560750"/>
    <w:rsid w:val="005609C5"/>
    <w:rsid w:val="00560A9D"/>
    <w:rsid w:val="00560BED"/>
    <w:rsid w:val="00560EA6"/>
    <w:rsid w:val="00560EE9"/>
    <w:rsid w:val="00561029"/>
    <w:rsid w:val="0056141E"/>
    <w:rsid w:val="00561465"/>
    <w:rsid w:val="0056185E"/>
    <w:rsid w:val="005619A5"/>
    <w:rsid w:val="00561F99"/>
    <w:rsid w:val="00561FA7"/>
    <w:rsid w:val="00561FDF"/>
    <w:rsid w:val="00562066"/>
    <w:rsid w:val="00562081"/>
    <w:rsid w:val="005620E1"/>
    <w:rsid w:val="005621A6"/>
    <w:rsid w:val="00562288"/>
    <w:rsid w:val="005623AA"/>
    <w:rsid w:val="0056250E"/>
    <w:rsid w:val="00562582"/>
    <w:rsid w:val="005625F8"/>
    <w:rsid w:val="00562610"/>
    <w:rsid w:val="00562AD4"/>
    <w:rsid w:val="00562C84"/>
    <w:rsid w:val="00562C9F"/>
    <w:rsid w:val="00562ECF"/>
    <w:rsid w:val="00563084"/>
    <w:rsid w:val="00563768"/>
    <w:rsid w:val="00563794"/>
    <w:rsid w:val="005638D3"/>
    <w:rsid w:val="00563955"/>
    <w:rsid w:val="00563968"/>
    <w:rsid w:val="00563B37"/>
    <w:rsid w:val="00563F9D"/>
    <w:rsid w:val="00564278"/>
    <w:rsid w:val="005642A7"/>
    <w:rsid w:val="005642FF"/>
    <w:rsid w:val="0056432C"/>
    <w:rsid w:val="00564369"/>
    <w:rsid w:val="0056437C"/>
    <w:rsid w:val="00564521"/>
    <w:rsid w:val="00564622"/>
    <w:rsid w:val="005646FD"/>
    <w:rsid w:val="005648E4"/>
    <w:rsid w:val="00564A44"/>
    <w:rsid w:val="00564EA9"/>
    <w:rsid w:val="00564FC5"/>
    <w:rsid w:val="005651A5"/>
    <w:rsid w:val="005651AD"/>
    <w:rsid w:val="00565236"/>
    <w:rsid w:val="0056537C"/>
    <w:rsid w:val="00565651"/>
    <w:rsid w:val="005657F6"/>
    <w:rsid w:val="00565880"/>
    <w:rsid w:val="00565B0B"/>
    <w:rsid w:val="00565B68"/>
    <w:rsid w:val="00565C36"/>
    <w:rsid w:val="00566591"/>
    <w:rsid w:val="0056659C"/>
    <w:rsid w:val="00566618"/>
    <w:rsid w:val="0056674C"/>
    <w:rsid w:val="00566783"/>
    <w:rsid w:val="00566828"/>
    <w:rsid w:val="0056683E"/>
    <w:rsid w:val="005668D2"/>
    <w:rsid w:val="005668E8"/>
    <w:rsid w:val="00566988"/>
    <w:rsid w:val="00566A1D"/>
    <w:rsid w:val="00566E47"/>
    <w:rsid w:val="00566EF3"/>
    <w:rsid w:val="00566FA5"/>
    <w:rsid w:val="00566FBA"/>
    <w:rsid w:val="0056724C"/>
    <w:rsid w:val="005673A5"/>
    <w:rsid w:val="0056758B"/>
    <w:rsid w:val="00567864"/>
    <w:rsid w:val="00567A36"/>
    <w:rsid w:val="00567A8B"/>
    <w:rsid w:val="00567B4C"/>
    <w:rsid w:val="00567B54"/>
    <w:rsid w:val="0057004F"/>
    <w:rsid w:val="00570126"/>
    <w:rsid w:val="005701DA"/>
    <w:rsid w:val="00570292"/>
    <w:rsid w:val="005702A3"/>
    <w:rsid w:val="0057030F"/>
    <w:rsid w:val="00570316"/>
    <w:rsid w:val="005705FA"/>
    <w:rsid w:val="005707BC"/>
    <w:rsid w:val="005707FB"/>
    <w:rsid w:val="00570A91"/>
    <w:rsid w:val="00570B85"/>
    <w:rsid w:val="00570BAF"/>
    <w:rsid w:val="00570CCC"/>
    <w:rsid w:val="00570E23"/>
    <w:rsid w:val="00570E67"/>
    <w:rsid w:val="00570F6D"/>
    <w:rsid w:val="0057161E"/>
    <w:rsid w:val="00571841"/>
    <w:rsid w:val="005718C2"/>
    <w:rsid w:val="00571997"/>
    <w:rsid w:val="005719D0"/>
    <w:rsid w:val="00571DAF"/>
    <w:rsid w:val="00571F04"/>
    <w:rsid w:val="005720F5"/>
    <w:rsid w:val="005721A6"/>
    <w:rsid w:val="005722C6"/>
    <w:rsid w:val="005722CC"/>
    <w:rsid w:val="005725BE"/>
    <w:rsid w:val="0057266A"/>
    <w:rsid w:val="00572B90"/>
    <w:rsid w:val="00572FA4"/>
    <w:rsid w:val="00572FED"/>
    <w:rsid w:val="00573237"/>
    <w:rsid w:val="00573527"/>
    <w:rsid w:val="005735A8"/>
    <w:rsid w:val="00573673"/>
    <w:rsid w:val="00573877"/>
    <w:rsid w:val="00573966"/>
    <w:rsid w:val="00573AB1"/>
    <w:rsid w:val="00573C70"/>
    <w:rsid w:val="00573D2E"/>
    <w:rsid w:val="00573F3A"/>
    <w:rsid w:val="00573FC6"/>
    <w:rsid w:val="00573FD5"/>
    <w:rsid w:val="0057414B"/>
    <w:rsid w:val="005741D3"/>
    <w:rsid w:val="0057447A"/>
    <w:rsid w:val="00574577"/>
    <w:rsid w:val="0057465A"/>
    <w:rsid w:val="0057466A"/>
    <w:rsid w:val="005746B3"/>
    <w:rsid w:val="005747AF"/>
    <w:rsid w:val="005747E6"/>
    <w:rsid w:val="0057482B"/>
    <w:rsid w:val="00574A18"/>
    <w:rsid w:val="00574CF7"/>
    <w:rsid w:val="00574D17"/>
    <w:rsid w:val="00574EDA"/>
    <w:rsid w:val="005750C3"/>
    <w:rsid w:val="005750CE"/>
    <w:rsid w:val="00575491"/>
    <w:rsid w:val="00575630"/>
    <w:rsid w:val="005758C3"/>
    <w:rsid w:val="00575D56"/>
    <w:rsid w:val="00575D87"/>
    <w:rsid w:val="00575E7B"/>
    <w:rsid w:val="00575E7D"/>
    <w:rsid w:val="00575F92"/>
    <w:rsid w:val="005760F6"/>
    <w:rsid w:val="00576222"/>
    <w:rsid w:val="0057648F"/>
    <w:rsid w:val="00576E10"/>
    <w:rsid w:val="00577003"/>
    <w:rsid w:val="00577138"/>
    <w:rsid w:val="0057719B"/>
    <w:rsid w:val="00577567"/>
    <w:rsid w:val="005777C0"/>
    <w:rsid w:val="00577849"/>
    <w:rsid w:val="005779F4"/>
    <w:rsid w:val="00577AEB"/>
    <w:rsid w:val="00577B56"/>
    <w:rsid w:val="00577DDA"/>
    <w:rsid w:val="00577ECD"/>
    <w:rsid w:val="005800FC"/>
    <w:rsid w:val="00580193"/>
    <w:rsid w:val="005802A0"/>
    <w:rsid w:val="005802C7"/>
    <w:rsid w:val="00580313"/>
    <w:rsid w:val="005804BD"/>
    <w:rsid w:val="00580807"/>
    <w:rsid w:val="005808F0"/>
    <w:rsid w:val="00580C16"/>
    <w:rsid w:val="00580D16"/>
    <w:rsid w:val="00580D44"/>
    <w:rsid w:val="00580DEB"/>
    <w:rsid w:val="00580E16"/>
    <w:rsid w:val="00580E6D"/>
    <w:rsid w:val="00580E9D"/>
    <w:rsid w:val="00580F7C"/>
    <w:rsid w:val="00581632"/>
    <w:rsid w:val="005816DA"/>
    <w:rsid w:val="00581803"/>
    <w:rsid w:val="00581A3E"/>
    <w:rsid w:val="00581E34"/>
    <w:rsid w:val="00581F2F"/>
    <w:rsid w:val="00582128"/>
    <w:rsid w:val="00582221"/>
    <w:rsid w:val="00582310"/>
    <w:rsid w:val="00582492"/>
    <w:rsid w:val="0058257B"/>
    <w:rsid w:val="005826DF"/>
    <w:rsid w:val="00582BFE"/>
    <w:rsid w:val="00582C37"/>
    <w:rsid w:val="00582C4F"/>
    <w:rsid w:val="00583429"/>
    <w:rsid w:val="005836CC"/>
    <w:rsid w:val="0058390F"/>
    <w:rsid w:val="00583B2F"/>
    <w:rsid w:val="00583CF9"/>
    <w:rsid w:val="00583DB1"/>
    <w:rsid w:val="00583E3D"/>
    <w:rsid w:val="00584173"/>
    <w:rsid w:val="005843F3"/>
    <w:rsid w:val="00584476"/>
    <w:rsid w:val="00584A0D"/>
    <w:rsid w:val="00584A16"/>
    <w:rsid w:val="00584D9A"/>
    <w:rsid w:val="00584EB1"/>
    <w:rsid w:val="00585083"/>
    <w:rsid w:val="00585093"/>
    <w:rsid w:val="00585188"/>
    <w:rsid w:val="005854DD"/>
    <w:rsid w:val="0058571E"/>
    <w:rsid w:val="0058582C"/>
    <w:rsid w:val="00585876"/>
    <w:rsid w:val="00585A01"/>
    <w:rsid w:val="00585E51"/>
    <w:rsid w:val="00585EFE"/>
    <w:rsid w:val="00585F0B"/>
    <w:rsid w:val="00585F29"/>
    <w:rsid w:val="005860E4"/>
    <w:rsid w:val="005860F3"/>
    <w:rsid w:val="0058621E"/>
    <w:rsid w:val="0058628C"/>
    <w:rsid w:val="005862BE"/>
    <w:rsid w:val="005863D2"/>
    <w:rsid w:val="00586520"/>
    <w:rsid w:val="0058655D"/>
    <w:rsid w:val="0058662F"/>
    <w:rsid w:val="005866F7"/>
    <w:rsid w:val="00586942"/>
    <w:rsid w:val="00586990"/>
    <w:rsid w:val="00586AD5"/>
    <w:rsid w:val="00586C8E"/>
    <w:rsid w:val="00586ECF"/>
    <w:rsid w:val="00586F42"/>
    <w:rsid w:val="00586FCD"/>
    <w:rsid w:val="00587146"/>
    <w:rsid w:val="005872F5"/>
    <w:rsid w:val="00587300"/>
    <w:rsid w:val="00587404"/>
    <w:rsid w:val="00587405"/>
    <w:rsid w:val="00587417"/>
    <w:rsid w:val="0058742F"/>
    <w:rsid w:val="005875A0"/>
    <w:rsid w:val="00587709"/>
    <w:rsid w:val="0058772C"/>
    <w:rsid w:val="00587E6D"/>
    <w:rsid w:val="00587F91"/>
    <w:rsid w:val="00587FB4"/>
    <w:rsid w:val="005900DD"/>
    <w:rsid w:val="005903EE"/>
    <w:rsid w:val="005904B4"/>
    <w:rsid w:val="005909C5"/>
    <w:rsid w:val="00590C4D"/>
    <w:rsid w:val="00590CD9"/>
    <w:rsid w:val="00590DEB"/>
    <w:rsid w:val="00590E74"/>
    <w:rsid w:val="00590F0E"/>
    <w:rsid w:val="00591056"/>
    <w:rsid w:val="00591127"/>
    <w:rsid w:val="005912AD"/>
    <w:rsid w:val="005914AF"/>
    <w:rsid w:val="00591676"/>
    <w:rsid w:val="00591860"/>
    <w:rsid w:val="005919AA"/>
    <w:rsid w:val="00591A46"/>
    <w:rsid w:val="00591BEB"/>
    <w:rsid w:val="00591DE0"/>
    <w:rsid w:val="00591DFE"/>
    <w:rsid w:val="00591EF3"/>
    <w:rsid w:val="00592273"/>
    <w:rsid w:val="005923CC"/>
    <w:rsid w:val="00592D15"/>
    <w:rsid w:val="00592DBF"/>
    <w:rsid w:val="00592E39"/>
    <w:rsid w:val="00593112"/>
    <w:rsid w:val="00593B95"/>
    <w:rsid w:val="00593BC2"/>
    <w:rsid w:val="00593D6A"/>
    <w:rsid w:val="00593D90"/>
    <w:rsid w:val="005942F1"/>
    <w:rsid w:val="005945B2"/>
    <w:rsid w:val="005946D3"/>
    <w:rsid w:val="0059475F"/>
    <w:rsid w:val="005948E4"/>
    <w:rsid w:val="00594967"/>
    <w:rsid w:val="00594A5E"/>
    <w:rsid w:val="00594B83"/>
    <w:rsid w:val="00594C85"/>
    <w:rsid w:val="00594CB5"/>
    <w:rsid w:val="005950E3"/>
    <w:rsid w:val="00595224"/>
    <w:rsid w:val="00595282"/>
    <w:rsid w:val="005952BE"/>
    <w:rsid w:val="0059550A"/>
    <w:rsid w:val="0059557B"/>
    <w:rsid w:val="00595839"/>
    <w:rsid w:val="00595AA7"/>
    <w:rsid w:val="00595E76"/>
    <w:rsid w:val="00595FA7"/>
    <w:rsid w:val="00596133"/>
    <w:rsid w:val="0059626E"/>
    <w:rsid w:val="00596465"/>
    <w:rsid w:val="005964E9"/>
    <w:rsid w:val="00596543"/>
    <w:rsid w:val="005965B2"/>
    <w:rsid w:val="0059664D"/>
    <w:rsid w:val="005966A3"/>
    <w:rsid w:val="005967BC"/>
    <w:rsid w:val="0059684B"/>
    <w:rsid w:val="00596B24"/>
    <w:rsid w:val="00596B83"/>
    <w:rsid w:val="00596C3D"/>
    <w:rsid w:val="00596DD5"/>
    <w:rsid w:val="00596EEA"/>
    <w:rsid w:val="0059759D"/>
    <w:rsid w:val="00597744"/>
    <w:rsid w:val="005978BF"/>
    <w:rsid w:val="0059790E"/>
    <w:rsid w:val="0059798E"/>
    <w:rsid w:val="00597A41"/>
    <w:rsid w:val="00597BB0"/>
    <w:rsid w:val="00597BFC"/>
    <w:rsid w:val="00597CFD"/>
    <w:rsid w:val="00597D83"/>
    <w:rsid w:val="00597FD1"/>
    <w:rsid w:val="005A008B"/>
    <w:rsid w:val="005A01F7"/>
    <w:rsid w:val="005A030C"/>
    <w:rsid w:val="005A0421"/>
    <w:rsid w:val="005A0781"/>
    <w:rsid w:val="005A0B48"/>
    <w:rsid w:val="005A0CA6"/>
    <w:rsid w:val="005A0CD6"/>
    <w:rsid w:val="005A0CD8"/>
    <w:rsid w:val="005A0D15"/>
    <w:rsid w:val="005A0E70"/>
    <w:rsid w:val="005A0F04"/>
    <w:rsid w:val="005A1207"/>
    <w:rsid w:val="005A132B"/>
    <w:rsid w:val="005A13B1"/>
    <w:rsid w:val="005A1628"/>
    <w:rsid w:val="005A1660"/>
    <w:rsid w:val="005A1684"/>
    <w:rsid w:val="005A171C"/>
    <w:rsid w:val="005A1853"/>
    <w:rsid w:val="005A1861"/>
    <w:rsid w:val="005A1B11"/>
    <w:rsid w:val="005A1EB1"/>
    <w:rsid w:val="005A2023"/>
    <w:rsid w:val="005A206C"/>
    <w:rsid w:val="005A2146"/>
    <w:rsid w:val="005A22C6"/>
    <w:rsid w:val="005A2300"/>
    <w:rsid w:val="005A2321"/>
    <w:rsid w:val="005A24DB"/>
    <w:rsid w:val="005A2536"/>
    <w:rsid w:val="005A26DA"/>
    <w:rsid w:val="005A26F0"/>
    <w:rsid w:val="005A2735"/>
    <w:rsid w:val="005A27B6"/>
    <w:rsid w:val="005A2974"/>
    <w:rsid w:val="005A29B8"/>
    <w:rsid w:val="005A2A26"/>
    <w:rsid w:val="005A2AE5"/>
    <w:rsid w:val="005A2D84"/>
    <w:rsid w:val="005A2F2E"/>
    <w:rsid w:val="005A2FBF"/>
    <w:rsid w:val="005A351F"/>
    <w:rsid w:val="005A35E5"/>
    <w:rsid w:val="005A38FC"/>
    <w:rsid w:val="005A3C7B"/>
    <w:rsid w:val="005A3C82"/>
    <w:rsid w:val="005A41FB"/>
    <w:rsid w:val="005A4745"/>
    <w:rsid w:val="005A48C0"/>
    <w:rsid w:val="005A4C8E"/>
    <w:rsid w:val="005A4CBD"/>
    <w:rsid w:val="005A4D32"/>
    <w:rsid w:val="005A4DC6"/>
    <w:rsid w:val="005A4E1A"/>
    <w:rsid w:val="005A4EBC"/>
    <w:rsid w:val="005A4FE5"/>
    <w:rsid w:val="005A5549"/>
    <w:rsid w:val="005A56BC"/>
    <w:rsid w:val="005A5924"/>
    <w:rsid w:val="005A5976"/>
    <w:rsid w:val="005A5A5B"/>
    <w:rsid w:val="005A5BD4"/>
    <w:rsid w:val="005A5C40"/>
    <w:rsid w:val="005A5EA7"/>
    <w:rsid w:val="005A6035"/>
    <w:rsid w:val="005A616C"/>
    <w:rsid w:val="005A6439"/>
    <w:rsid w:val="005A6563"/>
    <w:rsid w:val="005A66E8"/>
    <w:rsid w:val="005A6895"/>
    <w:rsid w:val="005A6BEC"/>
    <w:rsid w:val="005A6E84"/>
    <w:rsid w:val="005A7365"/>
    <w:rsid w:val="005A7602"/>
    <w:rsid w:val="005A769F"/>
    <w:rsid w:val="005A770E"/>
    <w:rsid w:val="005A778E"/>
    <w:rsid w:val="005A7C3C"/>
    <w:rsid w:val="005A7D60"/>
    <w:rsid w:val="005A7DF6"/>
    <w:rsid w:val="005A7E62"/>
    <w:rsid w:val="005B0502"/>
    <w:rsid w:val="005B05B7"/>
    <w:rsid w:val="005B05DC"/>
    <w:rsid w:val="005B06B6"/>
    <w:rsid w:val="005B09FB"/>
    <w:rsid w:val="005B0B9C"/>
    <w:rsid w:val="005B0BDC"/>
    <w:rsid w:val="005B0D82"/>
    <w:rsid w:val="005B0E34"/>
    <w:rsid w:val="005B123F"/>
    <w:rsid w:val="005B15AE"/>
    <w:rsid w:val="005B1663"/>
    <w:rsid w:val="005B175C"/>
    <w:rsid w:val="005B184E"/>
    <w:rsid w:val="005B1A8A"/>
    <w:rsid w:val="005B1B58"/>
    <w:rsid w:val="005B1B64"/>
    <w:rsid w:val="005B21D8"/>
    <w:rsid w:val="005B2201"/>
    <w:rsid w:val="005B26F7"/>
    <w:rsid w:val="005B270B"/>
    <w:rsid w:val="005B2757"/>
    <w:rsid w:val="005B2835"/>
    <w:rsid w:val="005B286C"/>
    <w:rsid w:val="005B2E08"/>
    <w:rsid w:val="005B3053"/>
    <w:rsid w:val="005B3107"/>
    <w:rsid w:val="005B3214"/>
    <w:rsid w:val="005B3419"/>
    <w:rsid w:val="005B347A"/>
    <w:rsid w:val="005B34BA"/>
    <w:rsid w:val="005B365F"/>
    <w:rsid w:val="005B38CB"/>
    <w:rsid w:val="005B392B"/>
    <w:rsid w:val="005B3B02"/>
    <w:rsid w:val="005B3DB1"/>
    <w:rsid w:val="005B3EDA"/>
    <w:rsid w:val="005B4082"/>
    <w:rsid w:val="005B4534"/>
    <w:rsid w:val="005B4629"/>
    <w:rsid w:val="005B47E2"/>
    <w:rsid w:val="005B486F"/>
    <w:rsid w:val="005B493F"/>
    <w:rsid w:val="005B4DB9"/>
    <w:rsid w:val="005B4F16"/>
    <w:rsid w:val="005B4F50"/>
    <w:rsid w:val="005B4F97"/>
    <w:rsid w:val="005B5014"/>
    <w:rsid w:val="005B504B"/>
    <w:rsid w:val="005B52F5"/>
    <w:rsid w:val="005B5402"/>
    <w:rsid w:val="005B55A3"/>
    <w:rsid w:val="005B55E2"/>
    <w:rsid w:val="005B5664"/>
    <w:rsid w:val="005B56BA"/>
    <w:rsid w:val="005B5788"/>
    <w:rsid w:val="005B59D1"/>
    <w:rsid w:val="005B5A95"/>
    <w:rsid w:val="005B60C6"/>
    <w:rsid w:val="005B6275"/>
    <w:rsid w:val="005B62A4"/>
    <w:rsid w:val="005B6334"/>
    <w:rsid w:val="005B635B"/>
    <w:rsid w:val="005B63A0"/>
    <w:rsid w:val="005B6509"/>
    <w:rsid w:val="005B6542"/>
    <w:rsid w:val="005B6807"/>
    <w:rsid w:val="005B6809"/>
    <w:rsid w:val="005B68B0"/>
    <w:rsid w:val="005B6C7F"/>
    <w:rsid w:val="005B6E88"/>
    <w:rsid w:val="005B6FE3"/>
    <w:rsid w:val="005B701A"/>
    <w:rsid w:val="005B7061"/>
    <w:rsid w:val="005B709C"/>
    <w:rsid w:val="005B7788"/>
    <w:rsid w:val="005B77E8"/>
    <w:rsid w:val="005B7916"/>
    <w:rsid w:val="005B7A1A"/>
    <w:rsid w:val="005B7A24"/>
    <w:rsid w:val="005B7AE5"/>
    <w:rsid w:val="005B7BF8"/>
    <w:rsid w:val="005B7CFF"/>
    <w:rsid w:val="005B7E16"/>
    <w:rsid w:val="005B7E77"/>
    <w:rsid w:val="005C0091"/>
    <w:rsid w:val="005C0200"/>
    <w:rsid w:val="005C031E"/>
    <w:rsid w:val="005C04D3"/>
    <w:rsid w:val="005C0853"/>
    <w:rsid w:val="005C0856"/>
    <w:rsid w:val="005C0ABA"/>
    <w:rsid w:val="005C116A"/>
    <w:rsid w:val="005C1197"/>
    <w:rsid w:val="005C12B5"/>
    <w:rsid w:val="005C1501"/>
    <w:rsid w:val="005C18D0"/>
    <w:rsid w:val="005C1D42"/>
    <w:rsid w:val="005C210F"/>
    <w:rsid w:val="005C255B"/>
    <w:rsid w:val="005C264E"/>
    <w:rsid w:val="005C28D3"/>
    <w:rsid w:val="005C2BB0"/>
    <w:rsid w:val="005C2CC5"/>
    <w:rsid w:val="005C2EF9"/>
    <w:rsid w:val="005C3157"/>
    <w:rsid w:val="005C327E"/>
    <w:rsid w:val="005C3849"/>
    <w:rsid w:val="005C393D"/>
    <w:rsid w:val="005C3973"/>
    <w:rsid w:val="005C3D43"/>
    <w:rsid w:val="005C3E96"/>
    <w:rsid w:val="005C3F1B"/>
    <w:rsid w:val="005C4175"/>
    <w:rsid w:val="005C41CD"/>
    <w:rsid w:val="005C429F"/>
    <w:rsid w:val="005C4430"/>
    <w:rsid w:val="005C4482"/>
    <w:rsid w:val="005C4540"/>
    <w:rsid w:val="005C49D6"/>
    <w:rsid w:val="005C49E0"/>
    <w:rsid w:val="005C4B82"/>
    <w:rsid w:val="005C4ED6"/>
    <w:rsid w:val="005C588F"/>
    <w:rsid w:val="005C599D"/>
    <w:rsid w:val="005C59AE"/>
    <w:rsid w:val="005C5AB7"/>
    <w:rsid w:val="005C5AFC"/>
    <w:rsid w:val="005C5B10"/>
    <w:rsid w:val="005C5ED4"/>
    <w:rsid w:val="005C613A"/>
    <w:rsid w:val="005C61AF"/>
    <w:rsid w:val="005C6567"/>
    <w:rsid w:val="005C667F"/>
    <w:rsid w:val="005C669F"/>
    <w:rsid w:val="005C66B2"/>
    <w:rsid w:val="005C679A"/>
    <w:rsid w:val="005C6867"/>
    <w:rsid w:val="005C6952"/>
    <w:rsid w:val="005C697C"/>
    <w:rsid w:val="005C69E4"/>
    <w:rsid w:val="005C6AEC"/>
    <w:rsid w:val="005C6B11"/>
    <w:rsid w:val="005C6B54"/>
    <w:rsid w:val="005C6C77"/>
    <w:rsid w:val="005C6C7E"/>
    <w:rsid w:val="005C6D20"/>
    <w:rsid w:val="005C6EC7"/>
    <w:rsid w:val="005C6F7A"/>
    <w:rsid w:val="005C7251"/>
    <w:rsid w:val="005C7263"/>
    <w:rsid w:val="005C745A"/>
    <w:rsid w:val="005C7737"/>
    <w:rsid w:val="005C7BD9"/>
    <w:rsid w:val="005C7C2B"/>
    <w:rsid w:val="005C7C39"/>
    <w:rsid w:val="005C7F0C"/>
    <w:rsid w:val="005C7FB7"/>
    <w:rsid w:val="005D0160"/>
    <w:rsid w:val="005D03B1"/>
    <w:rsid w:val="005D0457"/>
    <w:rsid w:val="005D0543"/>
    <w:rsid w:val="005D05C1"/>
    <w:rsid w:val="005D0613"/>
    <w:rsid w:val="005D0647"/>
    <w:rsid w:val="005D069C"/>
    <w:rsid w:val="005D0713"/>
    <w:rsid w:val="005D08B1"/>
    <w:rsid w:val="005D0D4F"/>
    <w:rsid w:val="005D0DCB"/>
    <w:rsid w:val="005D0DF2"/>
    <w:rsid w:val="005D0F40"/>
    <w:rsid w:val="005D13AF"/>
    <w:rsid w:val="005D164C"/>
    <w:rsid w:val="005D16A0"/>
    <w:rsid w:val="005D177D"/>
    <w:rsid w:val="005D1CF2"/>
    <w:rsid w:val="005D1E33"/>
    <w:rsid w:val="005D1F1F"/>
    <w:rsid w:val="005D1FD7"/>
    <w:rsid w:val="005D200C"/>
    <w:rsid w:val="005D2299"/>
    <w:rsid w:val="005D234C"/>
    <w:rsid w:val="005D2524"/>
    <w:rsid w:val="005D25AB"/>
    <w:rsid w:val="005D281A"/>
    <w:rsid w:val="005D29B4"/>
    <w:rsid w:val="005D2AAA"/>
    <w:rsid w:val="005D2B92"/>
    <w:rsid w:val="005D2C2F"/>
    <w:rsid w:val="005D2CD5"/>
    <w:rsid w:val="005D2F35"/>
    <w:rsid w:val="005D2F67"/>
    <w:rsid w:val="005D3440"/>
    <w:rsid w:val="005D346A"/>
    <w:rsid w:val="005D35C1"/>
    <w:rsid w:val="005D35EE"/>
    <w:rsid w:val="005D370A"/>
    <w:rsid w:val="005D379A"/>
    <w:rsid w:val="005D4006"/>
    <w:rsid w:val="005D43B0"/>
    <w:rsid w:val="005D457A"/>
    <w:rsid w:val="005D4764"/>
    <w:rsid w:val="005D4856"/>
    <w:rsid w:val="005D4A1E"/>
    <w:rsid w:val="005D4B7B"/>
    <w:rsid w:val="005D4C26"/>
    <w:rsid w:val="005D5113"/>
    <w:rsid w:val="005D5133"/>
    <w:rsid w:val="005D544B"/>
    <w:rsid w:val="005D5477"/>
    <w:rsid w:val="005D578D"/>
    <w:rsid w:val="005D5B2E"/>
    <w:rsid w:val="005D5C17"/>
    <w:rsid w:val="005D5CC4"/>
    <w:rsid w:val="005D609B"/>
    <w:rsid w:val="005D6246"/>
    <w:rsid w:val="005D641A"/>
    <w:rsid w:val="005D66EA"/>
    <w:rsid w:val="005D67DD"/>
    <w:rsid w:val="005D6854"/>
    <w:rsid w:val="005D6948"/>
    <w:rsid w:val="005D69A5"/>
    <w:rsid w:val="005D6ABE"/>
    <w:rsid w:val="005D6C55"/>
    <w:rsid w:val="005D6D24"/>
    <w:rsid w:val="005D6DB0"/>
    <w:rsid w:val="005D6E99"/>
    <w:rsid w:val="005D70CD"/>
    <w:rsid w:val="005D72D8"/>
    <w:rsid w:val="005D7496"/>
    <w:rsid w:val="005D76E9"/>
    <w:rsid w:val="005D7783"/>
    <w:rsid w:val="005D79DC"/>
    <w:rsid w:val="005D7A2D"/>
    <w:rsid w:val="005D7ACE"/>
    <w:rsid w:val="005D7BCE"/>
    <w:rsid w:val="005D7DBA"/>
    <w:rsid w:val="005D7E04"/>
    <w:rsid w:val="005E026E"/>
    <w:rsid w:val="005E0361"/>
    <w:rsid w:val="005E036A"/>
    <w:rsid w:val="005E065A"/>
    <w:rsid w:val="005E0693"/>
    <w:rsid w:val="005E06A1"/>
    <w:rsid w:val="005E0710"/>
    <w:rsid w:val="005E0715"/>
    <w:rsid w:val="005E0967"/>
    <w:rsid w:val="005E1075"/>
    <w:rsid w:val="005E11FF"/>
    <w:rsid w:val="005E135C"/>
    <w:rsid w:val="005E138B"/>
    <w:rsid w:val="005E1854"/>
    <w:rsid w:val="005E19E9"/>
    <w:rsid w:val="005E1C68"/>
    <w:rsid w:val="005E212B"/>
    <w:rsid w:val="005E2199"/>
    <w:rsid w:val="005E2387"/>
    <w:rsid w:val="005E25B9"/>
    <w:rsid w:val="005E2652"/>
    <w:rsid w:val="005E290C"/>
    <w:rsid w:val="005E29F4"/>
    <w:rsid w:val="005E2E0C"/>
    <w:rsid w:val="005E3158"/>
    <w:rsid w:val="005E3261"/>
    <w:rsid w:val="005E3373"/>
    <w:rsid w:val="005E33F2"/>
    <w:rsid w:val="005E346A"/>
    <w:rsid w:val="005E3500"/>
    <w:rsid w:val="005E3548"/>
    <w:rsid w:val="005E35F4"/>
    <w:rsid w:val="005E36BF"/>
    <w:rsid w:val="005E36D8"/>
    <w:rsid w:val="005E377A"/>
    <w:rsid w:val="005E37EF"/>
    <w:rsid w:val="005E380E"/>
    <w:rsid w:val="005E387B"/>
    <w:rsid w:val="005E39B2"/>
    <w:rsid w:val="005E3A4E"/>
    <w:rsid w:val="005E3A7B"/>
    <w:rsid w:val="005E3B02"/>
    <w:rsid w:val="005E3E70"/>
    <w:rsid w:val="005E3E84"/>
    <w:rsid w:val="005E417B"/>
    <w:rsid w:val="005E425E"/>
    <w:rsid w:val="005E446F"/>
    <w:rsid w:val="005E46A4"/>
    <w:rsid w:val="005E495C"/>
    <w:rsid w:val="005E4AB6"/>
    <w:rsid w:val="005E4AB7"/>
    <w:rsid w:val="005E4B74"/>
    <w:rsid w:val="005E4B95"/>
    <w:rsid w:val="005E4C36"/>
    <w:rsid w:val="005E4F52"/>
    <w:rsid w:val="005E4F5F"/>
    <w:rsid w:val="005E50F8"/>
    <w:rsid w:val="005E513B"/>
    <w:rsid w:val="005E545C"/>
    <w:rsid w:val="005E5461"/>
    <w:rsid w:val="005E583E"/>
    <w:rsid w:val="005E5C6F"/>
    <w:rsid w:val="005E5D5A"/>
    <w:rsid w:val="005E5DC0"/>
    <w:rsid w:val="005E5F2B"/>
    <w:rsid w:val="005E6119"/>
    <w:rsid w:val="005E6232"/>
    <w:rsid w:val="005E62CE"/>
    <w:rsid w:val="005E64E6"/>
    <w:rsid w:val="005E64ED"/>
    <w:rsid w:val="005E66BC"/>
    <w:rsid w:val="005E66EE"/>
    <w:rsid w:val="005E67D7"/>
    <w:rsid w:val="005E682F"/>
    <w:rsid w:val="005E6966"/>
    <w:rsid w:val="005E6CE1"/>
    <w:rsid w:val="005E6EFB"/>
    <w:rsid w:val="005E70B0"/>
    <w:rsid w:val="005E71A7"/>
    <w:rsid w:val="005E7799"/>
    <w:rsid w:val="005E790D"/>
    <w:rsid w:val="005E79F1"/>
    <w:rsid w:val="005E7E10"/>
    <w:rsid w:val="005E7F02"/>
    <w:rsid w:val="005F0354"/>
    <w:rsid w:val="005F04EC"/>
    <w:rsid w:val="005F0608"/>
    <w:rsid w:val="005F08FA"/>
    <w:rsid w:val="005F0C2C"/>
    <w:rsid w:val="005F0EE9"/>
    <w:rsid w:val="005F0FDA"/>
    <w:rsid w:val="005F1059"/>
    <w:rsid w:val="005F11DC"/>
    <w:rsid w:val="005F194B"/>
    <w:rsid w:val="005F1DEC"/>
    <w:rsid w:val="005F1DFC"/>
    <w:rsid w:val="005F1FDB"/>
    <w:rsid w:val="005F23B4"/>
    <w:rsid w:val="005F2588"/>
    <w:rsid w:val="005F263E"/>
    <w:rsid w:val="005F2820"/>
    <w:rsid w:val="005F2CDB"/>
    <w:rsid w:val="005F2D32"/>
    <w:rsid w:val="005F2E25"/>
    <w:rsid w:val="005F2E64"/>
    <w:rsid w:val="005F3062"/>
    <w:rsid w:val="005F3260"/>
    <w:rsid w:val="005F326E"/>
    <w:rsid w:val="005F338F"/>
    <w:rsid w:val="005F3400"/>
    <w:rsid w:val="005F365B"/>
    <w:rsid w:val="005F36EE"/>
    <w:rsid w:val="005F389A"/>
    <w:rsid w:val="005F39D6"/>
    <w:rsid w:val="005F39F3"/>
    <w:rsid w:val="005F3DC0"/>
    <w:rsid w:val="005F3F89"/>
    <w:rsid w:val="005F3F9F"/>
    <w:rsid w:val="005F4291"/>
    <w:rsid w:val="005F4371"/>
    <w:rsid w:val="005F4416"/>
    <w:rsid w:val="005F4827"/>
    <w:rsid w:val="005F4839"/>
    <w:rsid w:val="005F4884"/>
    <w:rsid w:val="005F4C74"/>
    <w:rsid w:val="005F505B"/>
    <w:rsid w:val="005F5186"/>
    <w:rsid w:val="005F58C6"/>
    <w:rsid w:val="005F5B35"/>
    <w:rsid w:val="005F5B9F"/>
    <w:rsid w:val="005F5CF3"/>
    <w:rsid w:val="005F5E1B"/>
    <w:rsid w:val="005F6153"/>
    <w:rsid w:val="005F62B9"/>
    <w:rsid w:val="005F63A0"/>
    <w:rsid w:val="005F6536"/>
    <w:rsid w:val="005F6577"/>
    <w:rsid w:val="005F6592"/>
    <w:rsid w:val="005F684D"/>
    <w:rsid w:val="005F6AF6"/>
    <w:rsid w:val="005F6D7D"/>
    <w:rsid w:val="005F7039"/>
    <w:rsid w:val="005F70FD"/>
    <w:rsid w:val="005F75BE"/>
    <w:rsid w:val="005F779D"/>
    <w:rsid w:val="005F7910"/>
    <w:rsid w:val="005F7933"/>
    <w:rsid w:val="005F7B8E"/>
    <w:rsid w:val="005F7C02"/>
    <w:rsid w:val="005F7F6E"/>
    <w:rsid w:val="005F7F88"/>
    <w:rsid w:val="005FD6DE"/>
    <w:rsid w:val="006000A5"/>
    <w:rsid w:val="00600151"/>
    <w:rsid w:val="006001BE"/>
    <w:rsid w:val="0060021A"/>
    <w:rsid w:val="006002BD"/>
    <w:rsid w:val="006004C2"/>
    <w:rsid w:val="006005C4"/>
    <w:rsid w:val="006006AD"/>
    <w:rsid w:val="00600999"/>
    <w:rsid w:val="006009B5"/>
    <w:rsid w:val="00600CBB"/>
    <w:rsid w:val="00600D4D"/>
    <w:rsid w:val="00600F62"/>
    <w:rsid w:val="00600FAB"/>
    <w:rsid w:val="006011AB"/>
    <w:rsid w:val="00601318"/>
    <w:rsid w:val="006015E1"/>
    <w:rsid w:val="006017E0"/>
    <w:rsid w:val="00601A48"/>
    <w:rsid w:val="00601AA1"/>
    <w:rsid w:val="00601CC2"/>
    <w:rsid w:val="00601EC8"/>
    <w:rsid w:val="006021D9"/>
    <w:rsid w:val="006024A9"/>
    <w:rsid w:val="006026FE"/>
    <w:rsid w:val="00602ADB"/>
    <w:rsid w:val="00602B04"/>
    <w:rsid w:val="00602B19"/>
    <w:rsid w:val="00602F4B"/>
    <w:rsid w:val="00603079"/>
    <w:rsid w:val="00603299"/>
    <w:rsid w:val="006035E9"/>
    <w:rsid w:val="0060381E"/>
    <w:rsid w:val="00603857"/>
    <w:rsid w:val="006038DB"/>
    <w:rsid w:val="00603B47"/>
    <w:rsid w:val="00603C02"/>
    <w:rsid w:val="00603C70"/>
    <w:rsid w:val="00603CA0"/>
    <w:rsid w:val="00603DC8"/>
    <w:rsid w:val="00604022"/>
    <w:rsid w:val="00604330"/>
    <w:rsid w:val="0060436C"/>
    <w:rsid w:val="0060493B"/>
    <w:rsid w:val="006049F4"/>
    <w:rsid w:val="00604A9B"/>
    <w:rsid w:val="00604C18"/>
    <w:rsid w:val="00604EB4"/>
    <w:rsid w:val="00604F7F"/>
    <w:rsid w:val="00605448"/>
    <w:rsid w:val="00605637"/>
    <w:rsid w:val="006059BD"/>
    <w:rsid w:val="006059E1"/>
    <w:rsid w:val="00605ABC"/>
    <w:rsid w:val="00605CE6"/>
    <w:rsid w:val="00605D3E"/>
    <w:rsid w:val="00605E73"/>
    <w:rsid w:val="00605ED0"/>
    <w:rsid w:val="00605F8A"/>
    <w:rsid w:val="006060A7"/>
    <w:rsid w:val="0060636B"/>
    <w:rsid w:val="00606378"/>
    <w:rsid w:val="006064FC"/>
    <w:rsid w:val="0060650B"/>
    <w:rsid w:val="00606522"/>
    <w:rsid w:val="00606760"/>
    <w:rsid w:val="00606CFC"/>
    <w:rsid w:val="00606E11"/>
    <w:rsid w:val="00606E12"/>
    <w:rsid w:val="00607261"/>
    <w:rsid w:val="006073E7"/>
    <w:rsid w:val="0060768B"/>
    <w:rsid w:val="00607890"/>
    <w:rsid w:val="00607B13"/>
    <w:rsid w:val="00607BB9"/>
    <w:rsid w:val="00607DB1"/>
    <w:rsid w:val="00607E8B"/>
    <w:rsid w:val="00607EA2"/>
    <w:rsid w:val="006102FB"/>
    <w:rsid w:val="006104C8"/>
    <w:rsid w:val="00610576"/>
    <w:rsid w:val="006106EA"/>
    <w:rsid w:val="00610863"/>
    <w:rsid w:val="00610B85"/>
    <w:rsid w:val="00610C6B"/>
    <w:rsid w:val="00611058"/>
    <w:rsid w:val="0061113F"/>
    <w:rsid w:val="006111EF"/>
    <w:rsid w:val="0061140B"/>
    <w:rsid w:val="006119D2"/>
    <w:rsid w:val="00611E72"/>
    <w:rsid w:val="00612008"/>
    <w:rsid w:val="00612066"/>
    <w:rsid w:val="00612076"/>
    <w:rsid w:val="00612350"/>
    <w:rsid w:val="00612671"/>
    <w:rsid w:val="006128CA"/>
    <w:rsid w:val="00612BBA"/>
    <w:rsid w:val="00612CAD"/>
    <w:rsid w:val="00612E8F"/>
    <w:rsid w:val="00612EAB"/>
    <w:rsid w:val="00612F40"/>
    <w:rsid w:val="00612F86"/>
    <w:rsid w:val="00613168"/>
    <w:rsid w:val="0061330F"/>
    <w:rsid w:val="006136FF"/>
    <w:rsid w:val="00613824"/>
    <w:rsid w:val="006138D1"/>
    <w:rsid w:val="00613979"/>
    <w:rsid w:val="00613C4F"/>
    <w:rsid w:val="00613D80"/>
    <w:rsid w:val="00613DD5"/>
    <w:rsid w:val="006140FF"/>
    <w:rsid w:val="00614244"/>
    <w:rsid w:val="006142AE"/>
    <w:rsid w:val="006145DD"/>
    <w:rsid w:val="006146CD"/>
    <w:rsid w:val="006147A2"/>
    <w:rsid w:val="0061489D"/>
    <w:rsid w:val="00614B0A"/>
    <w:rsid w:val="00614B6C"/>
    <w:rsid w:val="00614C55"/>
    <w:rsid w:val="00614E1E"/>
    <w:rsid w:val="00615018"/>
    <w:rsid w:val="006150B9"/>
    <w:rsid w:val="00615197"/>
    <w:rsid w:val="006151C4"/>
    <w:rsid w:val="006151F9"/>
    <w:rsid w:val="006152C3"/>
    <w:rsid w:val="006152E3"/>
    <w:rsid w:val="00615405"/>
    <w:rsid w:val="00615437"/>
    <w:rsid w:val="006156D8"/>
    <w:rsid w:val="006156E2"/>
    <w:rsid w:val="00615781"/>
    <w:rsid w:val="006157B8"/>
    <w:rsid w:val="00615817"/>
    <w:rsid w:val="006158D7"/>
    <w:rsid w:val="00615CC0"/>
    <w:rsid w:val="00615E73"/>
    <w:rsid w:val="00615E75"/>
    <w:rsid w:val="00615F35"/>
    <w:rsid w:val="0061600A"/>
    <w:rsid w:val="00616211"/>
    <w:rsid w:val="00616274"/>
    <w:rsid w:val="006162D0"/>
    <w:rsid w:val="00616408"/>
    <w:rsid w:val="00616832"/>
    <w:rsid w:val="00616908"/>
    <w:rsid w:val="00616F32"/>
    <w:rsid w:val="00616FA6"/>
    <w:rsid w:val="00616FCD"/>
    <w:rsid w:val="00617315"/>
    <w:rsid w:val="00617735"/>
    <w:rsid w:val="006177EC"/>
    <w:rsid w:val="0061781C"/>
    <w:rsid w:val="00617894"/>
    <w:rsid w:val="00617AA9"/>
    <w:rsid w:val="00617BC6"/>
    <w:rsid w:val="00617BE7"/>
    <w:rsid w:val="00617EE6"/>
    <w:rsid w:val="00617EF5"/>
    <w:rsid w:val="00617F4C"/>
    <w:rsid w:val="00617F8D"/>
    <w:rsid w:val="006200B3"/>
    <w:rsid w:val="0062022F"/>
    <w:rsid w:val="00620385"/>
    <w:rsid w:val="00620986"/>
    <w:rsid w:val="00620B8F"/>
    <w:rsid w:val="00620F16"/>
    <w:rsid w:val="00620F3A"/>
    <w:rsid w:val="006210A0"/>
    <w:rsid w:val="00621415"/>
    <w:rsid w:val="0062143D"/>
    <w:rsid w:val="006215B1"/>
    <w:rsid w:val="0062161A"/>
    <w:rsid w:val="00621639"/>
    <w:rsid w:val="00621AD4"/>
    <w:rsid w:val="00621C65"/>
    <w:rsid w:val="00621C6E"/>
    <w:rsid w:val="00621DDA"/>
    <w:rsid w:val="00621EFC"/>
    <w:rsid w:val="00622151"/>
    <w:rsid w:val="00622225"/>
    <w:rsid w:val="00622326"/>
    <w:rsid w:val="00622427"/>
    <w:rsid w:val="006225E1"/>
    <w:rsid w:val="00622671"/>
    <w:rsid w:val="0062269E"/>
    <w:rsid w:val="006227A8"/>
    <w:rsid w:val="00622930"/>
    <w:rsid w:val="00622C55"/>
    <w:rsid w:val="00622DA1"/>
    <w:rsid w:val="00622E4F"/>
    <w:rsid w:val="006234CB"/>
    <w:rsid w:val="00623602"/>
    <w:rsid w:val="00623603"/>
    <w:rsid w:val="00623637"/>
    <w:rsid w:val="006236D9"/>
    <w:rsid w:val="00623739"/>
    <w:rsid w:val="00623931"/>
    <w:rsid w:val="0062403C"/>
    <w:rsid w:val="0062403D"/>
    <w:rsid w:val="006242C1"/>
    <w:rsid w:val="006243B9"/>
    <w:rsid w:val="0062440E"/>
    <w:rsid w:val="00624502"/>
    <w:rsid w:val="006245CF"/>
    <w:rsid w:val="0062472D"/>
    <w:rsid w:val="00624956"/>
    <w:rsid w:val="00624B14"/>
    <w:rsid w:val="00624C08"/>
    <w:rsid w:val="00624CFE"/>
    <w:rsid w:val="00624E9B"/>
    <w:rsid w:val="00624F6C"/>
    <w:rsid w:val="0062522C"/>
    <w:rsid w:val="006252EB"/>
    <w:rsid w:val="00625578"/>
    <w:rsid w:val="006255C4"/>
    <w:rsid w:val="006257E4"/>
    <w:rsid w:val="006258BB"/>
    <w:rsid w:val="00625939"/>
    <w:rsid w:val="006259E0"/>
    <w:rsid w:val="00625F5A"/>
    <w:rsid w:val="0062646C"/>
    <w:rsid w:val="00626582"/>
    <w:rsid w:val="00626728"/>
    <w:rsid w:val="0062679B"/>
    <w:rsid w:val="006267D9"/>
    <w:rsid w:val="00626AD5"/>
    <w:rsid w:val="00627063"/>
    <w:rsid w:val="00627287"/>
    <w:rsid w:val="00627454"/>
    <w:rsid w:val="00627C10"/>
    <w:rsid w:val="00627C77"/>
    <w:rsid w:val="00627F30"/>
    <w:rsid w:val="0063015A"/>
    <w:rsid w:val="0063016A"/>
    <w:rsid w:val="0063076F"/>
    <w:rsid w:val="00630793"/>
    <w:rsid w:val="0063093B"/>
    <w:rsid w:val="006309EE"/>
    <w:rsid w:val="00630C9B"/>
    <w:rsid w:val="00630CF4"/>
    <w:rsid w:val="00630EF5"/>
    <w:rsid w:val="00630FCD"/>
    <w:rsid w:val="00630FEB"/>
    <w:rsid w:val="0063114E"/>
    <w:rsid w:val="006311D1"/>
    <w:rsid w:val="0063151E"/>
    <w:rsid w:val="0063178D"/>
    <w:rsid w:val="006317E5"/>
    <w:rsid w:val="00631BCF"/>
    <w:rsid w:val="00631C5B"/>
    <w:rsid w:val="00631CE3"/>
    <w:rsid w:val="00631D91"/>
    <w:rsid w:val="00631DDC"/>
    <w:rsid w:val="00632010"/>
    <w:rsid w:val="006320E3"/>
    <w:rsid w:val="006321F8"/>
    <w:rsid w:val="006323D8"/>
    <w:rsid w:val="00632708"/>
    <w:rsid w:val="00632712"/>
    <w:rsid w:val="00632769"/>
    <w:rsid w:val="006328B8"/>
    <w:rsid w:val="006328D7"/>
    <w:rsid w:val="00632A75"/>
    <w:rsid w:val="00632B2D"/>
    <w:rsid w:val="00632D38"/>
    <w:rsid w:val="00632DB0"/>
    <w:rsid w:val="00632DCD"/>
    <w:rsid w:val="00632E48"/>
    <w:rsid w:val="00632EA2"/>
    <w:rsid w:val="00633051"/>
    <w:rsid w:val="0063340C"/>
    <w:rsid w:val="006334B4"/>
    <w:rsid w:val="006336E1"/>
    <w:rsid w:val="006338C0"/>
    <w:rsid w:val="00633999"/>
    <w:rsid w:val="006339BF"/>
    <w:rsid w:val="006339D9"/>
    <w:rsid w:val="00633A8F"/>
    <w:rsid w:val="00633C0E"/>
    <w:rsid w:val="00633E04"/>
    <w:rsid w:val="00633F11"/>
    <w:rsid w:val="00633F26"/>
    <w:rsid w:val="00633FC4"/>
    <w:rsid w:val="0063406B"/>
    <w:rsid w:val="0063408E"/>
    <w:rsid w:val="006341F2"/>
    <w:rsid w:val="00634256"/>
    <w:rsid w:val="0063445E"/>
    <w:rsid w:val="0063486C"/>
    <w:rsid w:val="00634A5B"/>
    <w:rsid w:val="00634DEE"/>
    <w:rsid w:val="00634EEC"/>
    <w:rsid w:val="0063511D"/>
    <w:rsid w:val="00635369"/>
    <w:rsid w:val="006354CE"/>
    <w:rsid w:val="006358AA"/>
    <w:rsid w:val="00635948"/>
    <w:rsid w:val="00635988"/>
    <w:rsid w:val="00635C8E"/>
    <w:rsid w:val="00635E2E"/>
    <w:rsid w:val="006360F8"/>
    <w:rsid w:val="006362A1"/>
    <w:rsid w:val="00636362"/>
    <w:rsid w:val="0063672C"/>
    <w:rsid w:val="00636840"/>
    <w:rsid w:val="0063693F"/>
    <w:rsid w:val="00636AB5"/>
    <w:rsid w:val="00636AC2"/>
    <w:rsid w:val="00636B5E"/>
    <w:rsid w:val="00636DC5"/>
    <w:rsid w:val="00636DCD"/>
    <w:rsid w:val="00636E85"/>
    <w:rsid w:val="00637003"/>
    <w:rsid w:val="006370C8"/>
    <w:rsid w:val="006371A2"/>
    <w:rsid w:val="006371E3"/>
    <w:rsid w:val="00637225"/>
    <w:rsid w:val="006375EC"/>
    <w:rsid w:val="006375F2"/>
    <w:rsid w:val="006377C9"/>
    <w:rsid w:val="006377CE"/>
    <w:rsid w:val="00637852"/>
    <w:rsid w:val="00637C8B"/>
    <w:rsid w:val="00637D8E"/>
    <w:rsid w:val="006402A4"/>
    <w:rsid w:val="006402FF"/>
    <w:rsid w:val="006403C8"/>
    <w:rsid w:val="00640401"/>
    <w:rsid w:val="006405AF"/>
    <w:rsid w:val="00640814"/>
    <w:rsid w:val="00640857"/>
    <w:rsid w:val="00640968"/>
    <w:rsid w:val="00640ABF"/>
    <w:rsid w:val="00640BF2"/>
    <w:rsid w:val="00640C1C"/>
    <w:rsid w:val="00640C98"/>
    <w:rsid w:val="00640CCB"/>
    <w:rsid w:val="00640D7C"/>
    <w:rsid w:val="00640E9A"/>
    <w:rsid w:val="00640EF8"/>
    <w:rsid w:val="00640F8C"/>
    <w:rsid w:val="006410F6"/>
    <w:rsid w:val="00641269"/>
    <w:rsid w:val="006413FB"/>
    <w:rsid w:val="0064144A"/>
    <w:rsid w:val="00641541"/>
    <w:rsid w:val="00641687"/>
    <w:rsid w:val="00641E3C"/>
    <w:rsid w:val="00641FBB"/>
    <w:rsid w:val="00641FEA"/>
    <w:rsid w:val="00642030"/>
    <w:rsid w:val="0064244F"/>
    <w:rsid w:val="006428A9"/>
    <w:rsid w:val="00642930"/>
    <w:rsid w:val="00642D0E"/>
    <w:rsid w:val="006432EF"/>
    <w:rsid w:val="00643374"/>
    <w:rsid w:val="00643576"/>
    <w:rsid w:val="0064359A"/>
    <w:rsid w:val="00643638"/>
    <w:rsid w:val="00643801"/>
    <w:rsid w:val="00643A5C"/>
    <w:rsid w:val="00643B4E"/>
    <w:rsid w:val="00643BCF"/>
    <w:rsid w:val="00643C66"/>
    <w:rsid w:val="00643C78"/>
    <w:rsid w:val="00643E44"/>
    <w:rsid w:val="006440CC"/>
    <w:rsid w:val="0064424D"/>
    <w:rsid w:val="00644305"/>
    <w:rsid w:val="00644308"/>
    <w:rsid w:val="00644666"/>
    <w:rsid w:val="006446BB"/>
    <w:rsid w:val="006446BF"/>
    <w:rsid w:val="006446FB"/>
    <w:rsid w:val="00644717"/>
    <w:rsid w:val="006449C5"/>
    <w:rsid w:val="00644B20"/>
    <w:rsid w:val="00644C4F"/>
    <w:rsid w:val="00644C5C"/>
    <w:rsid w:val="00644C84"/>
    <w:rsid w:val="00644D98"/>
    <w:rsid w:val="00644EEC"/>
    <w:rsid w:val="00644FCA"/>
    <w:rsid w:val="006451D4"/>
    <w:rsid w:val="00645283"/>
    <w:rsid w:val="006452B0"/>
    <w:rsid w:val="006453BA"/>
    <w:rsid w:val="00645467"/>
    <w:rsid w:val="006457EC"/>
    <w:rsid w:val="006458C5"/>
    <w:rsid w:val="006459FE"/>
    <w:rsid w:val="00645A9C"/>
    <w:rsid w:val="00645DE8"/>
    <w:rsid w:val="00645EB9"/>
    <w:rsid w:val="00646161"/>
    <w:rsid w:val="0064660F"/>
    <w:rsid w:val="006468A6"/>
    <w:rsid w:val="00646938"/>
    <w:rsid w:val="00646A52"/>
    <w:rsid w:val="00646CB5"/>
    <w:rsid w:val="00647341"/>
    <w:rsid w:val="00647473"/>
    <w:rsid w:val="00647492"/>
    <w:rsid w:val="0064753F"/>
    <w:rsid w:val="0064760E"/>
    <w:rsid w:val="006477F2"/>
    <w:rsid w:val="00647E57"/>
    <w:rsid w:val="00647F84"/>
    <w:rsid w:val="006500E9"/>
    <w:rsid w:val="0065039E"/>
    <w:rsid w:val="00650738"/>
    <w:rsid w:val="00650740"/>
    <w:rsid w:val="00650825"/>
    <w:rsid w:val="00650922"/>
    <w:rsid w:val="00650A5E"/>
    <w:rsid w:val="00650BAC"/>
    <w:rsid w:val="00651047"/>
    <w:rsid w:val="00651190"/>
    <w:rsid w:val="00651295"/>
    <w:rsid w:val="006513AB"/>
    <w:rsid w:val="00651485"/>
    <w:rsid w:val="00651510"/>
    <w:rsid w:val="0065188B"/>
    <w:rsid w:val="006519F0"/>
    <w:rsid w:val="00651A29"/>
    <w:rsid w:val="00651E37"/>
    <w:rsid w:val="00651E6A"/>
    <w:rsid w:val="00651F9B"/>
    <w:rsid w:val="00651FE4"/>
    <w:rsid w:val="006527A6"/>
    <w:rsid w:val="006527F2"/>
    <w:rsid w:val="00652848"/>
    <w:rsid w:val="00652A4C"/>
    <w:rsid w:val="00652D53"/>
    <w:rsid w:val="00652DE0"/>
    <w:rsid w:val="00652DF2"/>
    <w:rsid w:val="00652E5C"/>
    <w:rsid w:val="00652F0F"/>
    <w:rsid w:val="00652FC3"/>
    <w:rsid w:val="00653142"/>
    <w:rsid w:val="006531E9"/>
    <w:rsid w:val="006532B8"/>
    <w:rsid w:val="0065336A"/>
    <w:rsid w:val="0065339F"/>
    <w:rsid w:val="006534BA"/>
    <w:rsid w:val="006538DE"/>
    <w:rsid w:val="00653AEA"/>
    <w:rsid w:val="00653C0F"/>
    <w:rsid w:val="006544F9"/>
    <w:rsid w:val="00654589"/>
    <w:rsid w:val="006547DA"/>
    <w:rsid w:val="00654874"/>
    <w:rsid w:val="00654C48"/>
    <w:rsid w:val="006551D5"/>
    <w:rsid w:val="006553C5"/>
    <w:rsid w:val="00655541"/>
    <w:rsid w:val="006556CA"/>
    <w:rsid w:val="006556CC"/>
    <w:rsid w:val="0065571F"/>
    <w:rsid w:val="00655BAF"/>
    <w:rsid w:val="00655C3A"/>
    <w:rsid w:val="006560F4"/>
    <w:rsid w:val="00656214"/>
    <w:rsid w:val="006563A2"/>
    <w:rsid w:val="0065659E"/>
    <w:rsid w:val="0065668D"/>
    <w:rsid w:val="006567BD"/>
    <w:rsid w:val="006567E1"/>
    <w:rsid w:val="00656812"/>
    <w:rsid w:val="00656AD8"/>
    <w:rsid w:val="00656C37"/>
    <w:rsid w:val="00656FA3"/>
    <w:rsid w:val="00657054"/>
    <w:rsid w:val="0065710E"/>
    <w:rsid w:val="00657123"/>
    <w:rsid w:val="00657489"/>
    <w:rsid w:val="00657777"/>
    <w:rsid w:val="00657A17"/>
    <w:rsid w:val="00657BF0"/>
    <w:rsid w:val="00657C67"/>
    <w:rsid w:val="00657D54"/>
    <w:rsid w:val="00657ED2"/>
    <w:rsid w:val="00657FAF"/>
    <w:rsid w:val="0066011E"/>
    <w:rsid w:val="006602FF"/>
    <w:rsid w:val="00660305"/>
    <w:rsid w:val="0066038A"/>
    <w:rsid w:val="0066039E"/>
    <w:rsid w:val="00660407"/>
    <w:rsid w:val="006605FA"/>
    <w:rsid w:val="00660658"/>
    <w:rsid w:val="006608CD"/>
    <w:rsid w:val="00660D3B"/>
    <w:rsid w:val="006610D3"/>
    <w:rsid w:val="006611A4"/>
    <w:rsid w:val="00661223"/>
    <w:rsid w:val="00661272"/>
    <w:rsid w:val="0066152F"/>
    <w:rsid w:val="006615CF"/>
    <w:rsid w:val="0066185C"/>
    <w:rsid w:val="006618CB"/>
    <w:rsid w:val="00661B80"/>
    <w:rsid w:val="00661D6A"/>
    <w:rsid w:val="00661EB9"/>
    <w:rsid w:val="00661ECB"/>
    <w:rsid w:val="00661EEA"/>
    <w:rsid w:val="006623B8"/>
    <w:rsid w:val="00662699"/>
    <w:rsid w:val="0066271E"/>
    <w:rsid w:val="006627E3"/>
    <w:rsid w:val="0066295C"/>
    <w:rsid w:val="00662BBD"/>
    <w:rsid w:val="00662CB0"/>
    <w:rsid w:val="00662D12"/>
    <w:rsid w:val="00662EF5"/>
    <w:rsid w:val="006632CB"/>
    <w:rsid w:val="0066382D"/>
    <w:rsid w:val="00663AD6"/>
    <w:rsid w:val="00663B86"/>
    <w:rsid w:val="00663EAC"/>
    <w:rsid w:val="00663F35"/>
    <w:rsid w:val="0066411D"/>
    <w:rsid w:val="0066428E"/>
    <w:rsid w:val="00664366"/>
    <w:rsid w:val="006643AD"/>
    <w:rsid w:val="00664488"/>
    <w:rsid w:val="00664560"/>
    <w:rsid w:val="0066498B"/>
    <w:rsid w:val="00664BBF"/>
    <w:rsid w:val="00664BE7"/>
    <w:rsid w:val="00664E71"/>
    <w:rsid w:val="00664E9E"/>
    <w:rsid w:val="00665061"/>
    <w:rsid w:val="006650A2"/>
    <w:rsid w:val="00665115"/>
    <w:rsid w:val="00665167"/>
    <w:rsid w:val="00665472"/>
    <w:rsid w:val="00665757"/>
    <w:rsid w:val="006659F5"/>
    <w:rsid w:val="00665A17"/>
    <w:rsid w:val="00665B1C"/>
    <w:rsid w:val="00665DE2"/>
    <w:rsid w:val="0066603A"/>
    <w:rsid w:val="0066632E"/>
    <w:rsid w:val="00666540"/>
    <w:rsid w:val="00666544"/>
    <w:rsid w:val="0066662A"/>
    <w:rsid w:val="00666786"/>
    <w:rsid w:val="00666817"/>
    <w:rsid w:val="00666DE6"/>
    <w:rsid w:val="00666F11"/>
    <w:rsid w:val="00666FAE"/>
    <w:rsid w:val="00667162"/>
    <w:rsid w:val="00667393"/>
    <w:rsid w:val="00667446"/>
    <w:rsid w:val="00667482"/>
    <w:rsid w:val="00667573"/>
    <w:rsid w:val="00667825"/>
    <w:rsid w:val="00667E4A"/>
    <w:rsid w:val="00667F1F"/>
    <w:rsid w:val="00667FFA"/>
    <w:rsid w:val="0067003D"/>
    <w:rsid w:val="0067066D"/>
    <w:rsid w:val="0067071F"/>
    <w:rsid w:val="00670BBF"/>
    <w:rsid w:val="00670D1F"/>
    <w:rsid w:val="00670E28"/>
    <w:rsid w:val="00670E4F"/>
    <w:rsid w:val="00671206"/>
    <w:rsid w:val="006715C5"/>
    <w:rsid w:val="006716D1"/>
    <w:rsid w:val="00671955"/>
    <w:rsid w:val="0067198C"/>
    <w:rsid w:val="00671E06"/>
    <w:rsid w:val="0067214F"/>
    <w:rsid w:val="006722C2"/>
    <w:rsid w:val="006725AD"/>
    <w:rsid w:val="0067270C"/>
    <w:rsid w:val="006727E0"/>
    <w:rsid w:val="0067288C"/>
    <w:rsid w:val="0067291E"/>
    <w:rsid w:val="00672C72"/>
    <w:rsid w:val="00672D03"/>
    <w:rsid w:val="00672FF9"/>
    <w:rsid w:val="00673063"/>
    <w:rsid w:val="0067320F"/>
    <w:rsid w:val="0067329D"/>
    <w:rsid w:val="006732DD"/>
    <w:rsid w:val="0067339C"/>
    <w:rsid w:val="006735FB"/>
    <w:rsid w:val="00673723"/>
    <w:rsid w:val="0067378C"/>
    <w:rsid w:val="00673B41"/>
    <w:rsid w:val="00673EA6"/>
    <w:rsid w:val="006745B9"/>
    <w:rsid w:val="006747B6"/>
    <w:rsid w:val="00674CC7"/>
    <w:rsid w:val="00674D6B"/>
    <w:rsid w:val="00674E9C"/>
    <w:rsid w:val="006750D3"/>
    <w:rsid w:val="006751F2"/>
    <w:rsid w:val="006753F5"/>
    <w:rsid w:val="0067547D"/>
    <w:rsid w:val="00675715"/>
    <w:rsid w:val="00675723"/>
    <w:rsid w:val="0067579D"/>
    <w:rsid w:val="006758B1"/>
    <w:rsid w:val="00675A0F"/>
    <w:rsid w:val="00675B95"/>
    <w:rsid w:val="00675C01"/>
    <w:rsid w:val="00675E73"/>
    <w:rsid w:val="00676222"/>
    <w:rsid w:val="006762C6"/>
    <w:rsid w:val="006763BE"/>
    <w:rsid w:val="00676400"/>
    <w:rsid w:val="00676468"/>
    <w:rsid w:val="0067662B"/>
    <w:rsid w:val="006767E5"/>
    <w:rsid w:val="00676971"/>
    <w:rsid w:val="006769EF"/>
    <w:rsid w:val="00676B18"/>
    <w:rsid w:val="00676CBE"/>
    <w:rsid w:val="00676CF5"/>
    <w:rsid w:val="00676E28"/>
    <w:rsid w:val="00677420"/>
    <w:rsid w:val="0067755A"/>
    <w:rsid w:val="00677873"/>
    <w:rsid w:val="00677931"/>
    <w:rsid w:val="00677C12"/>
    <w:rsid w:val="00677D84"/>
    <w:rsid w:val="00677E0C"/>
    <w:rsid w:val="00677EB8"/>
    <w:rsid w:val="00677EC2"/>
    <w:rsid w:val="00677F83"/>
    <w:rsid w:val="0068024D"/>
    <w:rsid w:val="006803ED"/>
    <w:rsid w:val="00680494"/>
    <w:rsid w:val="006804A6"/>
    <w:rsid w:val="006804CD"/>
    <w:rsid w:val="006804E3"/>
    <w:rsid w:val="006806D3"/>
    <w:rsid w:val="006809D5"/>
    <w:rsid w:val="00680D1E"/>
    <w:rsid w:val="00681057"/>
    <w:rsid w:val="00681126"/>
    <w:rsid w:val="00681178"/>
    <w:rsid w:val="006812DA"/>
    <w:rsid w:val="006817F1"/>
    <w:rsid w:val="0068180C"/>
    <w:rsid w:val="0068190F"/>
    <w:rsid w:val="00682CCF"/>
    <w:rsid w:val="0068308D"/>
    <w:rsid w:val="00683285"/>
    <w:rsid w:val="006832A1"/>
    <w:rsid w:val="00683C6F"/>
    <w:rsid w:val="00683DD3"/>
    <w:rsid w:val="00683F2A"/>
    <w:rsid w:val="00683FFA"/>
    <w:rsid w:val="00684673"/>
    <w:rsid w:val="00684833"/>
    <w:rsid w:val="00684926"/>
    <w:rsid w:val="0068493A"/>
    <w:rsid w:val="00684980"/>
    <w:rsid w:val="00684AE1"/>
    <w:rsid w:val="00684AFF"/>
    <w:rsid w:val="00684CBD"/>
    <w:rsid w:val="00684D09"/>
    <w:rsid w:val="00685100"/>
    <w:rsid w:val="00685243"/>
    <w:rsid w:val="006853BC"/>
    <w:rsid w:val="006854E4"/>
    <w:rsid w:val="006854F5"/>
    <w:rsid w:val="00685563"/>
    <w:rsid w:val="006855FD"/>
    <w:rsid w:val="00685684"/>
    <w:rsid w:val="006856AC"/>
    <w:rsid w:val="00685752"/>
    <w:rsid w:val="0068581B"/>
    <w:rsid w:val="00685893"/>
    <w:rsid w:val="006859DA"/>
    <w:rsid w:val="00686033"/>
    <w:rsid w:val="006860D1"/>
    <w:rsid w:val="006860FC"/>
    <w:rsid w:val="00686595"/>
    <w:rsid w:val="00686688"/>
    <w:rsid w:val="0068669F"/>
    <w:rsid w:val="006866A9"/>
    <w:rsid w:val="006866D1"/>
    <w:rsid w:val="006868BB"/>
    <w:rsid w:val="0068692A"/>
    <w:rsid w:val="006869F3"/>
    <w:rsid w:val="00686BCD"/>
    <w:rsid w:val="00686CBF"/>
    <w:rsid w:val="00686F3F"/>
    <w:rsid w:val="0068713E"/>
    <w:rsid w:val="0068773F"/>
    <w:rsid w:val="0068785E"/>
    <w:rsid w:val="00687AA7"/>
    <w:rsid w:val="00687DCC"/>
    <w:rsid w:val="00687F0B"/>
    <w:rsid w:val="00690263"/>
    <w:rsid w:val="00690444"/>
    <w:rsid w:val="0069059F"/>
    <w:rsid w:val="006908F1"/>
    <w:rsid w:val="0069095E"/>
    <w:rsid w:val="00690A58"/>
    <w:rsid w:val="00690B72"/>
    <w:rsid w:val="00690CA4"/>
    <w:rsid w:val="00690F69"/>
    <w:rsid w:val="006917CA"/>
    <w:rsid w:val="00691860"/>
    <w:rsid w:val="00691991"/>
    <w:rsid w:val="00691A0D"/>
    <w:rsid w:val="00691B09"/>
    <w:rsid w:val="00691B93"/>
    <w:rsid w:val="00691F3C"/>
    <w:rsid w:val="006920A5"/>
    <w:rsid w:val="00692188"/>
    <w:rsid w:val="006921D4"/>
    <w:rsid w:val="00692246"/>
    <w:rsid w:val="006925DE"/>
    <w:rsid w:val="006926E1"/>
    <w:rsid w:val="00692732"/>
    <w:rsid w:val="0069286E"/>
    <w:rsid w:val="0069289F"/>
    <w:rsid w:val="00692966"/>
    <w:rsid w:val="00692C55"/>
    <w:rsid w:val="00692FFC"/>
    <w:rsid w:val="00693067"/>
    <w:rsid w:val="00693348"/>
    <w:rsid w:val="0069346E"/>
    <w:rsid w:val="006934D5"/>
    <w:rsid w:val="006934D7"/>
    <w:rsid w:val="00693539"/>
    <w:rsid w:val="006935AE"/>
    <w:rsid w:val="00693718"/>
    <w:rsid w:val="00693AD9"/>
    <w:rsid w:val="00693B01"/>
    <w:rsid w:val="00693BAB"/>
    <w:rsid w:val="00693BFB"/>
    <w:rsid w:val="00693C7F"/>
    <w:rsid w:val="00693C93"/>
    <w:rsid w:val="00694014"/>
    <w:rsid w:val="006941EE"/>
    <w:rsid w:val="0069433C"/>
    <w:rsid w:val="00694BD7"/>
    <w:rsid w:val="00694D46"/>
    <w:rsid w:val="00694E01"/>
    <w:rsid w:val="00694FAD"/>
    <w:rsid w:val="006955FF"/>
    <w:rsid w:val="006958E6"/>
    <w:rsid w:val="00695BF5"/>
    <w:rsid w:val="00695C03"/>
    <w:rsid w:val="00695E69"/>
    <w:rsid w:val="00695E9B"/>
    <w:rsid w:val="00696220"/>
    <w:rsid w:val="006963E0"/>
    <w:rsid w:val="00696454"/>
    <w:rsid w:val="00696703"/>
    <w:rsid w:val="006969C3"/>
    <w:rsid w:val="00696DDB"/>
    <w:rsid w:val="00696E17"/>
    <w:rsid w:val="00696E4A"/>
    <w:rsid w:val="00696F34"/>
    <w:rsid w:val="00696F48"/>
    <w:rsid w:val="00696F60"/>
    <w:rsid w:val="0069737A"/>
    <w:rsid w:val="006974B4"/>
    <w:rsid w:val="006979FA"/>
    <w:rsid w:val="00697AFB"/>
    <w:rsid w:val="00697B3E"/>
    <w:rsid w:val="00697CE2"/>
    <w:rsid w:val="00697F9D"/>
    <w:rsid w:val="006A004A"/>
    <w:rsid w:val="006A01A1"/>
    <w:rsid w:val="006A02C3"/>
    <w:rsid w:val="006A052A"/>
    <w:rsid w:val="006A0659"/>
    <w:rsid w:val="006A0679"/>
    <w:rsid w:val="006A06A3"/>
    <w:rsid w:val="006A0915"/>
    <w:rsid w:val="006A0ABF"/>
    <w:rsid w:val="006A0E6F"/>
    <w:rsid w:val="006A1320"/>
    <w:rsid w:val="006A1764"/>
    <w:rsid w:val="006A1AD5"/>
    <w:rsid w:val="006A1CBC"/>
    <w:rsid w:val="006A1E6B"/>
    <w:rsid w:val="006A1E74"/>
    <w:rsid w:val="006A1E8F"/>
    <w:rsid w:val="006A1F2F"/>
    <w:rsid w:val="006A1F85"/>
    <w:rsid w:val="006A1FA5"/>
    <w:rsid w:val="006A27B1"/>
    <w:rsid w:val="006A28CA"/>
    <w:rsid w:val="006A2A1D"/>
    <w:rsid w:val="006A2B56"/>
    <w:rsid w:val="006A2D42"/>
    <w:rsid w:val="006A2E1D"/>
    <w:rsid w:val="006A2E2A"/>
    <w:rsid w:val="006A2E55"/>
    <w:rsid w:val="006A2E87"/>
    <w:rsid w:val="006A319F"/>
    <w:rsid w:val="006A32BC"/>
    <w:rsid w:val="006A3377"/>
    <w:rsid w:val="006A343F"/>
    <w:rsid w:val="006A34C9"/>
    <w:rsid w:val="006A3555"/>
    <w:rsid w:val="006A35B1"/>
    <w:rsid w:val="006A3AC3"/>
    <w:rsid w:val="006A3B05"/>
    <w:rsid w:val="006A3BEE"/>
    <w:rsid w:val="006A3CBD"/>
    <w:rsid w:val="006A3D3A"/>
    <w:rsid w:val="006A3FDA"/>
    <w:rsid w:val="006A4020"/>
    <w:rsid w:val="006A4258"/>
    <w:rsid w:val="006A42C9"/>
    <w:rsid w:val="006A435D"/>
    <w:rsid w:val="006A441B"/>
    <w:rsid w:val="006A4444"/>
    <w:rsid w:val="006A46C1"/>
    <w:rsid w:val="006A477C"/>
    <w:rsid w:val="006A4B3B"/>
    <w:rsid w:val="006A4CB2"/>
    <w:rsid w:val="006A4E1C"/>
    <w:rsid w:val="006A4FF3"/>
    <w:rsid w:val="006A5191"/>
    <w:rsid w:val="006A526A"/>
    <w:rsid w:val="006A529F"/>
    <w:rsid w:val="006A52FD"/>
    <w:rsid w:val="006A5459"/>
    <w:rsid w:val="006A5671"/>
    <w:rsid w:val="006A5686"/>
    <w:rsid w:val="006A56CC"/>
    <w:rsid w:val="006A58E6"/>
    <w:rsid w:val="006A59D3"/>
    <w:rsid w:val="006A5D09"/>
    <w:rsid w:val="006A5EB8"/>
    <w:rsid w:val="006A5F93"/>
    <w:rsid w:val="006A6335"/>
    <w:rsid w:val="006A6374"/>
    <w:rsid w:val="006A64E6"/>
    <w:rsid w:val="006A6778"/>
    <w:rsid w:val="006A6971"/>
    <w:rsid w:val="006A6B68"/>
    <w:rsid w:val="006A6BB3"/>
    <w:rsid w:val="006A6E66"/>
    <w:rsid w:val="006A716B"/>
    <w:rsid w:val="006A7183"/>
    <w:rsid w:val="006A71B5"/>
    <w:rsid w:val="006A71CF"/>
    <w:rsid w:val="006A7266"/>
    <w:rsid w:val="006A766B"/>
    <w:rsid w:val="006A76B5"/>
    <w:rsid w:val="006A76EB"/>
    <w:rsid w:val="006A7857"/>
    <w:rsid w:val="006A7A0A"/>
    <w:rsid w:val="006A7B4D"/>
    <w:rsid w:val="006A7C49"/>
    <w:rsid w:val="006A7D6D"/>
    <w:rsid w:val="006A7E88"/>
    <w:rsid w:val="006A7F5E"/>
    <w:rsid w:val="006B0124"/>
    <w:rsid w:val="006B0520"/>
    <w:rsid w:val="006B05CB"/>
    <w:rsid w:val="006B0718"/>
    <w:rsid w:val="006B0749"/>
    <w:rsid w:val="006B0977"/>
    <w:rsid w:val="006B0993"/>
    <w:rsid w:val="006B0AEC"/>
    <w:rsid w:val="006B0BAF"/>
    <w:rsid w:val="006B0D91"/>
    <w:rsid w:val="006B0FD1"/>
    <w:rsid w:val="006B1230"/>
    <w:rsid w:val="006B17E6"/>
    <w:rsid w:val="006B1B98"/>
    <w:rsid w:val="006B1C49"/>
    <w:rsid w:val="006B22E5"/>
    <w:rsid w:val="006B25D9"/>
    <w:rsid w:val="006B2647"/>
    <w:rsid w:val="006B2B3B"/>
    <w:rsid w:val="006B2BCD"/>
    <w:rsid w:val="006B2BEF"/>
    <w:rsid w:val="006B2F6D"/>
    <w:rsid w:val="006B3088"/>
    <w:rsid w:val="006B3159"/>
    <w:rsid w:val="006B31C8"/>
    <w:rsid w:val="006B3273"/>
    <w:rsid w:val="006B3359"/>
    <w:rsid w:val="006B36CD"/>
    <w:rsid w:val="006B3783"/>
    <w:rsid w:val="006B3875"/>
    <w:rsid w:val="006B3B6B"/>
    <w:rsid w:val="006B3EA5"/>
    <w:rsid w:val="006B3EB6"/>
    <w:rsid w:val="006B439F"/>
    <w:rsid w:val="006B4AAA"/>
    <w:rsid w:val="006B4B0A"/>
    <w:rsid w:val="006B4D68"/>
    <w:rsid w:val="006B4D8B"/>
    <w:rsid w:val="006B4DB1"/>
    <w:rsid w:val="006B4E2A"/>
    <w:rsid w:val="006B4EB2"/>
    <w:rsid w:val="006B50EA"/>
    <w:rsid w:val="006B5305"/>
    <w:rsid w:val="006B5341"/>
    <w:rsid w:val="006B5443"/>
    <w:rsid w:val="006B54F0"/>
    <w:rsid w:val="006B56F6"/>
    <w:rsid w:val="006B5A46"/>
    <w:rsid w:val="006B5C42"/>
    <w:rsid w:val="006B5C93"/>
    <w:rsid w:val="006B5CF5"/>
    <w:rsid w:val="006B5E17"/>
    <w:rsid w:val="006B5F27"/>
    <w:rsid w:val="006B5FA0"/>
    <w:rsid w:val="006B6073"/>
    <w:rsid w:val="006B62E1"/>
    <w:rsid w:val="006B64B4"/>
    <w:rsid w:val="006B65F6"/>
    <w:rsid w:val="006B6836"/>
    <w:rsid w:val="006B69D1"/>
    <w:rsid w:val="006B6B50"/>
    <w:rsid w:val="006B6CA0"/>
    <w:rsid w:val="006B6FF2"/>
    <w:rsid w:val="006B7354"/>
    <w:rsid w:val="006B73D3"/>
    <w:rsid w:val="006B7664"/>
    <w:rsid w:val="006B7688"/>
    <w:rsid w:val="006B79F5"/>
    <w:rsid w:val="006B7BF7"/>
    <w:rsid w:val="006B7DCE"/>
    <w:rsid w:val="006B7E82"/>
    <w:rsid w:val="006B7FAA"/>
    <w:rsid w:val="006C0019"/>
    <w:rsid w:val="006C006D"/>
    <w:rsid w:val="006C009C"/>
    <w:rsid w:val="006C0164"/>
    <w:rsid w:val="006C0177"/>
    <w:rsid w:val="006C037C"/>
    <w:rsid w:val="006C03B9"/>
    <w:rsid w:val="006C04D0"/>
    <w:rsid w:val="006C04F0"/>
    <w:rsid w:val="006C08A5"/>
    <w:rsid w:val="006C0987"/>
    <w:rsid w:val="006C0A3E"/>
    <w:rsid w:val="006C0B0C"/>
    <w:rsid w:val="006C0FB5"/>
    <w:rsid w:val="006C1024"/>
    <w:rsid w:val="006C1444"/>
    <w:rsid w:val="006C1623"/>
    <w:rsid w:val="006C175A"/>
    <w:rsid w:val="006C1979"/>
    <w:rsid w:val="006C1E4B"/>
    <w:rsid w:val="006C1F4E"/>
    <w:rsid w:val="006C20B1"/>
    <w:rsid w:val="006C2123"/>
    <w:rsid w:val="006C2251"/>
    <w:rsid w:val="006C2484"/>
    <w:rsid w:val="006C2642"/>
    <w:rsid w:val="006C2648"/>
    <w:rsid w:val="006C269A"/>
    <w:rsid w:val="006C272F"/>
    <w:rsid w:val="006C2999"/>
    <w:rsid w:val="006C2BF3"/>
    <w:rsid w:val="006C2DE8"/>
    <w:rsid w:val="006C2EE3"/>
    <w:rsid w:val="006C2F7A"/>
    <w:rsid w:val="006C306D"/>
    <w:rsid w:val="006C3329"/>
    <w:rsid w:val="006C3422"/>
    <w:rsid w:val="006C3574"/>
    <w:rsid w:val="006C3596"/>
    <w:rsid w:val="006C36BD"/>
    <w:rsid w:val="006C3881"/>
    <w:rsid w:val="006C38E6"/>
    <w:rsid w:val="006C39CF"/>
    <w:rsid w:val="006C3A61"/>
    <w:rsid w:val="006C3BEB"/>
    <w:rsid w:val="006C4361"/>
    <w:rsid w:val="006C4561"/>
    <w:rsid w:val="006C46AE"/>
    <w:rsid w:val="006C4721"/>
    <w:rsid w:val="006C47D3"/>
    <w:rsid w:val="006C47E9"/>
    <w:rsid w:val="006C48AC"/>
    <w:rsid w:val="006C48EF"/>
    <w:rsid w:val="006C494A"/>
    <w:rsid w:val="006C4B5F"/>
    <w:rsid w:val="006C4BF1"/>
    <w:rsid w:val="006C4C95"/>
    <w:rsid w:val="006C4CA7"/>
    <w:rsid w:val="006C4E7E"/>
    <w:rsid w:val="006C506B"/>
    <w:rsid w:val="006C521A"/>
    <w:rsid w:val="006C526D"/>
    <w:rsid w:val="006C54FB"/>
    <w:rsid w:val="006C55F4"/>
    <w:rsid w:val="006C5702"/>
    <w:rsid w:val="006C5806"/>
    <w:rsid w:val="006C5A05"/>
    <w:rsid w:val="006C5B7A"/>
    <w:rsid w:val="006C5B9C"/>
    <w:rsid w:val="006C5F50"/>
    <w:rsid w:val="006C617F"/>
    <w:rsid w:val="006C647A"/>
    <w:rsid w:val="006C6481"/>
    <w:rsid w:val="006C64F2"/>
    <w:rsid w:val="006C660C"/>
    <w:rsid w:val="006C671B"/>
    <w:rsid w:val="006C697F"/>
    <w:rsid w:val="006C6AE2"/>
    <w:rsid w:val="006C6AF9"/>
    <w:rsid w:val="006C6C42"/>
    <w:rsid w:val="006C6C8C"/>
    <w:rsid w:val="006C6FB7"/>
    <w:rsid w:val="006C7242"/>
    <w:rsid w:val="006C7356"/>
    <w:rsid w:val="006C758A"/>
    <w:rsid w:val="006C79D3"/>
    <w:rsid w:val="006C7A5A"/>
    <w:rsid w:val="006C7B89"/>
    <w:rsid w:val="006C7D23"/>
    <w:rsid w:val="006D0009"/>
    <w:rsid w:val="006D00B5"/>
    <w:rsid w:val="006D0135"/>
    <w:rsid w:val="006D0172"/>
    <w:rsid w:val="006D01BA"/>
    <w:rsid w:val="006D0635"/>
    <w:rsid w:val="006D0809"/>
    <w:rsid w:val="006D0958"/>
    <w:rsid w:val="006D0D40"/>
    <w:rsid w:val="006D112A"/>
    <w:rsid w:val="006D1340"/>
    <w:rsid w:val="006D13AF"/>
    <w:rsid w:val="006D15E8"/>
    <w:rsid w:val="006D1705"/>
    <w:rsid w:val="006D1A96"/>
    <w:rsid w:val="006D1B01"/>
    <w:rsid w:val="006D1D73"/>
    <w:rsid w:val="006D1E7B"/>
    <w:rsid w:val="006D1EF3"/>
    <w:rsid w:val="006D22FD"/>
    <w:rsid w:val="006D246B"/>
    <w:rsid w:val="006D24C9"/>
    <w:rsid w:val="006D25BC"/>
    <w:rsid w:val="006D25C4"/>
    <w:rsid w:val="006D25D5"/>
    <w:rsid w:val="006D26F9"/>
    <w:rsid w:val="006D272A"/>
    <w:rsid w:val="006D2852"/>
    <w:rsid w:val="006D2908"/>
    <w:rsid w:val="006D296F"/>
    <w:rsid w:val="006D2978"/>
    <w:rsid w:val="006D29D3"/>
    <w:rsid w:val="006D2A90"/>
    <w:rsid w:val="006D2D00"/>
    <w:rsid w:val="006D2DF8"/>
    <w:rsid w:val="006D2EC2"/>
    <w:rsid w:val="006D30E0"/>
    <w:rsid w:val="006D3192"/>
    <w:rsid w:val="006D32A1"/>
    <w:rsid w:val="006D3687"/>
    <w:rsid w:val="006D3966"/>
    <w:rsid w:val="006D39AD"/>
    <w:rsid w:val="006D3AEA"/>
    <w:rsid w:val="006D3B43"/>
    <w:rsid w:val="006D3D1C"/>
    <w:rsid w:val="006D4081"/>
    <w:rsid w:val="006D41C5"/>
    <w:rsid w:val="006D4275"/>
    <w:rsid w:val="006D43A8"/>
    <w:rsid w:val="006D43CE"/>
    <w:rsid w:val="006D45D4"/>
    <w:rsid w:val="006D4732"/>
    <w:rsid w:val="006D483F"/>
    <w:rsid w:val="006D48BE"/>
    <w:rsid w:val="006D496E"/>
    <w:rsid w:val="006D4990"/>
    <w:rsid w:val="006D49FC"/>
    <w:rsid w:val="006D4C08"/>
    <w:rsid w:val="006D4D52"/>
    <w:rsid w:val="006D4DC8"/>
    <w:rsid w:val="006D4FCA"/>
    <w:rsid w:val="006D514E"/>
    <w:rsid w:val="006D5154"/>
    <w:rsid w:val="006D54C1"/>
    <w:rsid w:val="006D5742"/>
    <w:rsid w:val="006D5783"/>
    <w:rsid w:val="006D5972"/>
    <w:rsid w:val="006D5BCC"/>
    <w:rsid w:val="006D5C88"/>
    <w:rsid w:val="006D5DEB"/>
    <w:rsid w:val="006D5FDC"/>
    <w:rsid w:val="006D60AE"/>
    <w:rsid w:val="006D6727"/>
    <w:rsid w:val="006D69CD"/>
    <w:rsid w:val="006D6D32"/>
    <w:rsid w:val="006D6E7C"/>
    <w:rsid w:val="006D70C5"/>
    <w:rsid w:val="006D711E"/>
    <w:rsid w:val="006D7457"/>
    <w:rsid w:val="006D7530"/>
    <w:rsid w:val="006D760E"/>
    <w:rsid w:val="006D7743"/>
    <w:rsid w:val="006D7765"/>
    <w:rsid w:val="006D77E1"/>
    <w:rsid w:val="006D78E8"/>
    <w:rsid w:val="006D793D"/>
    <w:rsid w:val="006D794C"/>
    <w:rsid w:val="006D7C2B"/>
    <w:rsid w:val="006D7D18"/>
    <w:rsid w:val="006D7EF3"/>
    <w:rsid w:val="006E005E"/>
    <w:rsid w:val="006E0200"/>
    <w:rsid w:val="006E02AE"/>
    <w:rsid w:val="006E0484"/>
    <w:rsid w:val="006E0532"/>
    <w:rsid w:val="006E057A"/>
    <w:rsid w:val="006E0614"/>
    <w:rsid w:val="006E0964"/>
    <w:rsid w:val="006E09FE"/>
    <w:rsid w:val="006E0BB1"/>
    <w:rsid w:val="006E0BC3"/>
    <w:rsid w:val="006E0BED"/>
    <w:rsid w:val="006E0F34"/>
    <w:rsid w:val="006E10A8"/>
    <w:rsid w:val="006E14E2"/>
    <w:rsid w:val="006E162E"/>
    <w:rsid w:val="006E16C6"/>
    <w:rsid w:val="006E16FD"/>
    <w:rsid w:val="006E174F"/>
    <w:rsid w:val="006E178C"/>
    <w:rsid w:val="006E18FF"/>
    <w:rsid w:val="006E1BFB"/>
    <w:rsid w:val="006E1C81"/>
    <w:rsid w:val="006E1D87"/>
    <w:rsid w:val="006E1F8D"/>
    <w:rsid w:val="006E2131"/>
    <w:rsid w:val="006E214B"/>
    <w:rsid w:val="006E22ED"/>
    <w:rsid w:val="006E2305"/>
    <w:rsid w:val="006E24C2"/>
    <w:rsid w:val="006E2556"/>
    <w:rsid w:val="006E2688"/>
    <w:rsid w:val="006E2754"/>
    <w:rsid w:val="006E2CA3"/>
    <w:rsid w:val="006E2D55"/>
    <w:rsid w:val="006E2F53"/>
    <w:rsid w:val="006E34B3"/>
    <w:rsid w:val="006E3593"/>
    <w:rsid w:val="006E39CD"/>
    <w:rsid w:val="006E3ACC"/>
    <w:rsid w:val="006E3BFF"/>
    <w:rsid w:val="006E3C70"/>
    <w:rsid w:val="006E3D90"/>
    <w:rsid w:val="006E3DF8"/>
    <w:rsid w:val="006E3E35"/>
    <w:rsid w:val="006E3E8F"/>
    <w:rsid w:val="006E3EE1"/>
    <w:rsid w:val="006E4013"/>
    <w:rsid w:val="006E403E"/>
    <w:rsid w:val="006E4097"/>
    <w:rsid w:val="006E40AD"/>
    <w:rsid w:val="006E40B7"/>
    <w:rsid w:val="006E40D1"/>
    <w:rsid w:val="006E40F8"/>
    <w:rsid w:val="006E4289"/>
    <w:rsid w:val="006E4BF4"/>
    <w:rsid w:val="006E5444"/>
    <w:rsid w:val="006E552F"/>
    <w:rsid w:val="006E56EC"/>
    <w:rsid w:val="006E5854"/>
    <w:rsid w:val="006E60A7"/>
    <w:rsid w:val="006E61E9"/>
    <w:rsid w:val="006E622B"/>
    <w:rsid w:val="006E6254"/>
    <w:rsid w:val="006E6277"/>
    <w:rsid w:val="006E6449"/>
    <w:rsid w:val="006E68E0"/>
    <w:rsid w:val="006E6C14"/>
    <w:rsid w:val="006E6CC3"/>
    <w:rsid w:val="006E6CE9"/>
    <w:rsid w:val="006E709F"/>
    <w:rsid w:val="006E714E"/>
    <w:rsid w:val="006E72AF"/>
    <w:rsid w:val="006E72F0"/>
    <w:rsid w:val="006E7563"/>
    <w:rsid w:val="006E77FB"/>
    <w:rsid w:val="006E7920"/>
    <w:rsid w:val="006E7922"/>
    <w:rsid w:val="006F004C"/>
    <w:rsid w:val="006F0121"/>
    <w:rsid w:val="006F0190"/>
    <w:rsid w:val="006F0642"/>
    <w:rsid w:val="006F08C0"/>
    <w:rsid w:val="006F0A4E"/>
    <w:rsid w:val="006F0D28"/>
    <w:rsid w:val="006F0D46"/>
    <w:rsid w:val="006F0F6F"/>
    <w:rsid w:val="006F10E5"/>
    <w:rsid w:val="006F114A"/>
    <w:rsid w:val="006F11A5"/>
    <w:rsid w:val="006F122B"/>
    <w:rsid w:val="006F1263"/>
    <w:rsid w:val="006F1336"/>
    <w:rsid w:val="006F1377"/>
    <w:rsid w:val="006F1836"/>
    <w:rsid w:val="006F1A34"/>
    <w:rsid w:val="006F1EB4"/>
    <w:rsid w:val="006F1FE8"/>
    <w:rsid w:val="006F2107"/>
    <w:rsid w:val="006F2712"/>
    <w:rsid w:val="006F2908"/>
    <w:rsid w:val="006F2AC4"/>
    <w:rsid w:val="006F2B4C"/>
    <w:rsid w:val="006F2EB8"/>
    <w:rsid w:val="006F2ED1"/>
    <w:rsid w:val="006F3019"/>
    <w:rsid w:val="006F35A5"/>
    <w:rsid w:val="006F37A2"/>
    <w:rsid w:val="006F37CC"/>
    <w:rsid w:val="006F37E3"/>
    <w:rsid w:val="006F3C58"/>
    <w:rsid w:val="006F3E0A"/>
    <w:rsid w:val="006F4169"/>
    <w:rsid w:val="006F42DD"/>
    <w:rsid w:val="006F45CB"/>
    <w:rsid w:val="006F4699"/>
    <w:rsid w:val="006F498C"/>
    <w:rsid w:val="006F4991"/>
    <w:rsid w:val="006F4BAC"/>
    <w:rsid w:val="006F4BFB"/>
    <w:rsid w:val="006F4C99"/>
    <w:rsid w:val="006F4DC3"/>
    <w:rsid w:val="006F4DE2"/>
    <w:rsid w:val="006F4EDE"/>
    <w:rsid w:val="006F4F67"/>
    <w:rsid w:val="006F4FD4"/>
    <w:rsid w:val="006F51CD"/>
    <w:rsid w:val="006F5262"/>
    <w:rsid w:val="006F5575"/>
    <w:rsid w:val="006F5611"/>
    <w:rsid w:val="006F5C69"/>
    <w:rsid w:val="006F5C96"/>
    <w:rsid w:val="006F5F95"/>
    <w:rsid w:val="006F6214"/>
    <w:rsid w:val="006F627C"/>
    <w:rsid w:val="006F6304"/>
    <w:rsid w:val="006F6394"/>
    <w:rsid w:val="006F6594"/>
    <w:rsid w:val="006F65BE"/>
    <w:rsid w:val="006F6629"/>
    <w:rsid w:val="006F66C3"/>
    <w:rsid w:val="006F69FF"/>
    <w:rsid w:val="006F6B5F"/>
    <w:rsid w:val="006F6BC3"/>
    <w:rsid w:val="006F6BDA"/>
    <w:rsid w:val="006F6D5C"/>
    <w:rsid w:val="006F6F0B"/>
    <w:rsid w:val="006F705C"/>
    <w:rsid w:val="006F7108"/>
    <w:rsid w:val="006F71F0"/>
    <w:rsid w:val="006F76F8"/>
    <w:rsid w:val="006F77BC"/>
    <w:rsid w:val="006F7960"/>
    <w:rsid w:val="006F79CA"/>
    <w:rsid w:val="006F7B6C"/>
    <w:rsid w:val="006F7CC1"/>
    <w:rsid w:val="006F7EE7"/>
    <w:rsid w:val="007007DD"/>
    <w:rsid w:val="00700AED"/>
    <w:rsid w:val="00700B72"/>
    <w:rsid w:val="00700D6D"/>
    <w:rsid w:val="00700E6D"/>
    <w:rsid w:val="00700F06"/>
    <w:rsid w:val="007012B6"/>
    <w:rsid w:val="00701397"/>
    <w:rsid w:val="00701591"/>
    <w:rsid w:val="00701985"/>
    <w:rsid w:val="00701A48"/>
    <w:rsid w:val="00701ECD"/>
    <w:rsid w:val="0070252B"/>
    <w:rsid w:val="007025BD"/>
    <w:rsid w:val="00702724"/>
    <w:rsid w:val="007029F8"/>
    <w:rsid w:val="00702C3A"/>
    <w:rsid w:val="00702D05"/>
    <w:rsid w:val="00702D17"/>
    <w:rsid w:val="00702F1C"/>
    <w:rsid w:val="00702FAB"/>
    <w:rsid w:val="00703111"/>
    <w:rsid w:val="007032B4"/>
    <w:rsid w:val="007033C1"/>
    <w:rsid w:val="0070340B"/>
    <w:rsid w:val="0070348B"/>
    <w:rsid w:val="00703895"/>
    <w:rsid w:val="007038B8"/>
    <w:rsid w:val="00703B70"/>
    <w:rsid w:val="00703BA6"/>
    <w:rsid w:val="00703BB0"/>
    <w:rsid w:val="00703CB2"/>
    <w:rsid w:val="00703D62"/>
    <w:rsid w:val="00703E85"/>
    <w:rsid w:val="0070425F"/>
    <w:rsid w:val="0070448E"/>
    <w:rsid w:val="007044BB"/>
    <w:rsid w:val="00704510"/>
    <w:rsid w:val="00704650"/>
    <w:rsid w:val="007046A0"/>
    <w:rsid w:val="00704B21"/>
    <w:rsid w:val="00704B3D"/>
    <w:rsid w:val="00704C5C"/>
    <w:rsid w:val="00704C80"/>
    <w:rsid w:val="00704CC9"/>
    <w:rsid w:val="00704D7C"/>
    <w:rsid w:val="00704FD2"/>
    <w:rsid w:val="007050D1"/>
    <w:rsid w:val="00705219"/>
    <w:rsid w:val="00705349"/>
    <w:rsid w:val="007054E6"/>
    <w:rsid w:val="00705540"/>
    <w:rsid w:val="007055E9"/>
    <w:rsid w:val="00705F3D"/>
    <w:rsid w:val="00706231"/>
    <w:rsid w:val="0070626C"/>
    <w:rsid w:val="0070630F"/>
    <w:rsid w:val="0070639C"/>
    <w:rsid w:val="007063A8"/>
    <w:rsid w:val="0070680B"/>
    <w:rsid w:val="00706873"/>
    <w:rsid w:val="00706DE4"/>
    <w:rsid w:val="00706ECB"/>
    <w:rsid w:val="00706EF7"/>
    <w:rsid w:val="007070FA"/>
    <w:rsid w:val="0070720A"/>
    <w:rsid w:val="007072EB"/>
    <w:rsid w:val="007072FB"/>
    <w:rsid w:val="007074EB"/>
    <w:rsid w:val="00707578"/>
    <w:rsid w:val="00707875"/>
    <w:rsid w:val="0070794F"/>
    <w:rsid w:val="00707B90"/>
    <w:rsid w:val="00707BDC"/>
    <w:rsid w:val="00707C44"/>
    <w:rsid w:val="00707C59"/>
    <w:rsid w:val="00707E24"/>
    <w:rsid w:val="00707E58"/>
    <w:rsid w:val="00707F2C"/>
    <w:rsid w:val="00707FB6"/>
    <w:rsid w:val="007100C7"/>
    <w:rsid w:val="007104A0"/>
    <w:rsid w:val="007104D8"/>
    <w:rsid w:val="0071073A"/>
    <w:rsid w:val="00710E14"/>
    <w:rsid w:val="00710F97"/>
    <w:rsid w:val="0071108A"/>
    <w:rsid w:val="00711123"/>
    <w:rsid w:val="0071114E"/>
    <w:rsid w:val="00711155"/>
    <w:rsid w:val="00711222"/>
    <w:rsid w:val="007112B9"/>
    <w:rsid w:val="007115CB"/>
    <w:rsid w:val="0071165B"/>
    <w:rsid w:val="00711892"/>
    <w:rsid w:val="00711951"/>
    <w:rsid w:val="00711993"/>
    <w:rsid w:val="00711997"/>
    <w:rsid w:val="00711D0E"/>
    <w:rsid w:val="007121C3"/>
    <w:rsid w:val="00712418"/>
    <w:rsid w:val="00712594"/>
    <w:rsid w:val="007125B9"/>
    <w:rsid w:val="00712761"/>
    <w:rsid w:val="00712B0B"/>
    <w:rsid w:val="00712E3A"/>
    <w:rsid w:val="007130DE"/>
    <w:rsid w:val="00713114"/>
    <w:rsid w:val="00713414"/>
    <w:rsid w:val="0071362F"/>
    <w:rsid w:val="00713EB0"/>
    <w:rsid w:val="00713F35"/>
    <w:rsid w:val="00714071"/>
    <w:rsid w:val="007142E0"/>
    <w:rsid w:val="007142EF"/>
    <w:rsid w:val="007145C2"/>
    <w:rsid w:val="0071490B"/>
    <w:rsid w:val="00714E0E"/>
    <w:rsid w:val="0071503E"/>
    <w:rsid w:val="007150AB"/>
    <w:rsid w:val="00715246"/>
    <w:rsid w:val="007152B9"/>
    <w:rsid w:val="007153BB"/>
    <w:rsid w:val="007153FD"/>
    <w:rsid w:val="0071548F"/>
    <w:rsid w:val="007155A1"/>
    <w:rsid w:val="007156F6"/>
    <w:rsid w:val="0071583F"/>
    <w:rsid w:val="0071598E"/>
    <w:rsid w:val="00715A48"/>
    <w:rsid w:val="00715C42"/>
    <w:rsid w:val="00715D70"/>
    <w:rsid w:val="00715D8D"/>
    <w:rsid w:val="00715E96"/>
    <w:rsid w:val="00716054"/>
    <w:rsid w:val="007161E8"/>
    <w:rsid w:val="0071623D"/>
    <w:rsid w:val="007165BE"/>
    <w:rsid w:val="00716710"/>
    <w:rsid w:val="007167A1"/>
    <w:rsid w:val="00716882"/>
    <w:rsid w:val="007168DD"/>
    <w:rsid w:val="0071693A"/>
    <w:rsid w:val="00716D45"/>
    <w:rsid w:val="00716D67"/>
    <w:rsid w:val="00716E70"/>
    <w:rsid w:val="00716FCD"/>
    <w:rsid w:val="00717008"/>
    <w:rsid w:val="0071704D"/>
    <w:rsid w:val="007177C6"/>
    <w:rsid w:val="00717854"/>
    <w:rsid w:val="00717E1D"/>
    <w:rsid w:val="00717F7C"/>
    <w:rsid w:val="0072001F"/>
    <w:rsid w:val="00720030"/>
    <w:rsid w:val="007203CF"/>
    <w:rsid w:val="00720417"/>
    <w:rsid w:val="007205D4"/>
    <w:rsid w:val="00720619"/>
    <w:rsid w:val="0072079D"/>
    <w:rsid w:val="00720BD0"/>
    <w:rsid w:val="00720C33"/>
    <w:rsid w:val="00720DE9"/>
    <w:rsid w:val="00720DF1"/>
    <w:rsid w:val="00720E02"/>
    <w:rsid w:val="00720FA0"/>
    <w:rsid w:val="00721146"/>
    <w:rsid w:val="00721253"/>
    <w:rsid w:val="007214C1"/>
    <w:rsid w:val="00721583"/>
    <w:rsid w:val="007216C9"/>
    <w:rsid w:val="0072171D"/>
    <w:rsid w:val="007217C2"/>
    <w:rsid w:val="00721BEB"/>
    <w:rsid w:val="00721BF7"/>
    <w:rsid w:val="00721E93"/>
    <w:rsid w:val="00721F68"/>
    <w:rsid w:val="0072204B"/>
    <w:rsid w:val="00722209"/>
    <w:rsid w:val="00722340"/>
    <w:rsid w:val="00722650"/>
    <w:rsid w:val="00722661"/>
    <w:rsid w:val="007227C4"/>
    <w:rsid w:val="007228D4"/>
    <w:rsid w:val="0072295C"/>
    <w:rsid w:val="00722A29"/>
    <w:rsid w:val="00722B06"/>
    <w:rsid w:val="00722E51"/>
    <w:rsid w:val="00722F0B"/>
    <w:rsid w:val="0072311C"/>
    <w:rsid w:val="0072323C"/>
    <w:rsid w:val="0072325A"/>
    <w:rsid w:val="00723459"/>
    <w:rsid w:val="0072346D"/>
    <w:rsid w:val="007237C2"/>
    <w:rsid w:val="00723A8C"/>
    <w:rsid w:val="00723B80"/>
    <w:rsid w:val="00723C1B"/>
    <w:rsid w:val="00724372"/>
    <w:rsid w:val="007243ED"/>
    <w:rsid w:val="007246CC"/>
    <w:rsid w:val="00724708"/>
    <w:rsid w:val="0072470D"/>
    <w:rsid w:val="00724739"/>
    <w:rsid w:val="007249C1"/>
    <w:rsid w:val="007249C6"/>
    <w:rsid w:val="00724A9C"/>
    <w:rsid w:val="00724AA4"/>
    <w:rsid w:val="00724C98"/>
    <w:rsid w:val="00724DFB"/>
    <w:rsid w:val="00724ECD"/>
    <w:rsid w:val="00724F3E"/>
    <w:rsid w:val="007252AF"/>
    <w:rsid w:val="007252BA"/>
    <w:rsid w:val="007257F9"/>
    <w:rsid w:val="00725AEA"/>
    <w:rsid w:val="00725BB1"/>
    <w:rsid w:val="007262C5"/>
    <w:rsid w:val="007262DB"/>
    <w:rsid w:val="00726532"/>
    <w:rsid w:val="00726894"/>
    <w:rsid w:val="00726DCD"/>
    <w:rsid w:val="00726E4F"/>
    <w:rsid w:val="00726EC2"/>
    <w:rsid w:val="00726F9E"/>
    <w:rsid w:val="00727064"/>
    <w:rsid w:val="0072737B"/>
    <w:rsid w:val="00727384"/>
    <w:rsid w:val="00727448"/>
    <w:rsid w:val="0072748E"/>
    <w:rsid w:val="007274BA"/>
    <w:rsid w:val="0072760F"/>
    <w:rsid w:val="0072785F"/>
    <w:rsid w:val="00727899"/>
    <w:rsid w:val="007278B1"/>
    <w:rsid w:val="0072792C"/>
    <w:rsid w:val="00727B0F"/>
    <w:rsid w:val="00727C04"/>
    <w:rsid w:val="00727E5C"/>
    <w:rsid w:val="007301D7"/>
    <w:rsid w:val="007302C9"/>
    <w:rsid w:val="0073044D"/>
    <w:rsid w:val="0073063B"/>
    <w:rsid w:val="00730747"/>
    <w:rsid w:val="00730A40"/>
    <w:rsid w:val="00730A45"/>
    <w:rsid w:val="00730AA3"/>
    <w:rsid w:val="00730BA3"/>
    <w:rsid w:val="00731284"/>
    <w:rsid w:val="00731304"/>
    <w:rsid w:val="007313BE"/>
    <w:rsid w:val="00731411"/>
    <w:rsid w:val="00731857"/>
    <w:rsid w:val="00731D31"/>
    <w:rsid w:val="00732176"/>
    <w:rsid w:val="007324F6"/>
    <w:rsid w:val="007326AC"/>
    <w:rsid w:val="007327F9"/>
    <w:rsid w:val="0073286A"/>
    <w:rsid w:val="00732E46"/>
    <w:rsid w:val="007332C1"/>
    <w:rsid w:val="00733740"/>
    <w:rsid w:val="0073377A"/>
    <w:rsid w:val="0073383F"/>
    <w:rsid w:val="0073390F"/>
    <w:rsid w:val="00733AC9"/>
    <w:rsid w:val="00733B0E"/>
    <w:rsid w:val="00734076"/>
    <w:rsid w:val="00734087"/>
    <w:rsid w:val="0073437D"/>
    <w:rsid w:val="00734399"/>
    <w:rsid w:val="007343C1"/>
    <w:rsid w:val="007344CB"/>
    <w:rsid w:val="00734639"/>
    <w:rsid w:val="00734733"/>
    <w:rsid w:val="0073478F"/>
    <w:rsid w:val="007347AA"/>
    <w:rsid w:val="00734A14"/>
    <w:rsid w:val="00734A62"/>
    <w:rsid w:val="00734AE4"/>
    <w:rsid w:val="00734B4F"/>
    <w:rsid w:val="00734BCE"/>
    <w:rsid w:val="00734E88"/>
    <w:rsid w:val="00734EAB"/>
    <w:rsid w:val="00734F75"/>
    <w:rsid w:val="007350A4"/>
    <w:rsid w:val="00735269"/>
    <w:rsid w:val="00735306"/>
    <w:rsid w:val="00735349"/>
    <w:rsid w:val="007353E4"/>
    <w:rsid w:val="0073555D"/>
    <w:rsid w:val="0073574E"/>
    <w:rsid w:val="007358F5"/>
    <w:rsid w:val="00735945"/>
    <w:rsid w:val="007359AA"/>
    <w:rsid w:val="00735A08"/>
    <w:rsid w:val="00735A31"/>
    <w:rsid w:val="00735B6E"/>
    <w:rsid w:val="00735C6B"/>
    <w:rsid w:val="00735D4A"/>
    <w:rsid w:val="00735EEA"/>
    <w:rsid w:val="00736987"/>
    <w:rsid w:val="00736B3D"/>
    <w:rsid w:val="00736BC1"/>
    <w:rsid w:val="00736C8D"/>
    <w:rsid w:val="0073770A"/>
    <w:rsid w:val="0073778A"/>
    <w:rsid w:val="007378E0"/>
    <w:rsid w:val="0073793C"/>
    <w:rsid w:val="00737A73"/>
    <w:rsid w:val="00737B29"/>
    <w:rsid w:val="00737B62"/>
    <w:rsid w:val="00737D8A"/>
    <w:rsid w:val="00737E09"/>
    <w:rsid w:val="00737F35"/>
    <w:rsid w:val="00737F7E"/>
    <w:rsid w:val="00740375"/>
    <w:rsid w:val="007404DA"/>
    <w:rsid w:val="00740518"/>
    <w:rsid w:val="00740604"/>
    <w:rsid w:val="0074074D"/>
    <w:rsid w:val="0074078E"/>
    <w:rsid w:val="00740C2F"/>
    <w:rsid w:val="00740D87"/>
    <w:rsid w:val="00740E24"/>
    <w:rsid w:val="00740E9F"/>
    <w:rsid w:val="00740F60"/>
    <w:rsid w:val="00740FFA"/>
    <w:rsid w:val="00741224"/>
    <w:rsid w:val="0074131F"/>
    <w:rsid w:val="007413BD"/>
    <w:rsid w:val="00741591"/>
    <w:rsid w:val="0074166C"/>
    <w:rsid w:val="0074169A"/>
    <w:rsid w:val="007417CC"/>
    <w:rsid w:val="00741884"/>
    <w:rsid w:val="00741AAB"/>
    <w:rsid w:val="00741B61"/>
    <w:rsid w:val="00742136"/>
    <w:rsid w:val="00742216"/>
    <w:rsid w:val="00742585"/>
    <w:rsid w:val="0074265C"/>
    <w:rsid w:val="0074285B"/>
    <w:rsid w:val="007429CD"/>
    <w:rsid w:val="00742AE4"/>
    <w:rsid w:val="00742CDF"/>
    <w:rsid w:val="00742ED2"/>
    <w:rsid w:val="00743027"/>
    <w:rsid w:val="007433FA"/>
    <w:rsid w:val="007436E1"/>
    <w:rsid w:val="00743B84"/>
    <w:rsid w:val="00743CE7"/>
    <w:rsid w:val="00743F36"/>
    <w:rsid w:val="00743F47"/>
    <w:rsid w:val="007443BD"/>
    <w:rsid w:val="007444F3"/>
    <w:rsid w:val="007444FD"/>
    <w:rsid w:val="00744655"/>
    <w:rsid w:val="007446B5"/>
    <w:rsid w:val="007447A0"/>
    <w:rsid w:val="007447BF"/>
    <w:rsid w:val="0074482C"/>
    <w:rsid w:val="0074485A"/>
    <w:rsid w:val="00744E47"/>
    <w:rsid w:val="00744F33"/>
    <w:rsid w:val="00745251"/>
    <w:rsid w:val="00745440"/>
    <w:rsid w:val="007456FA"/>
    <w:rsid w:val="007457D8"/>
    <w:rsid w:val="007457F7"/>
    <w:rsid w:val="00745832"/>
    <w:rsid w:val="007458A9"/>
    <w:rsid w:val="007458E1"/>
    <w:rsid w:val="00745AEA"/>
    <w:rsid w:val="00745D11"/>
    <w:rsid w:val="007460FF"/>
    <w:rsid w:val="007461C4"/>
    <w:rsid w:val="0074624C"/>
    <w:rsid w:val="0074632C"/>
    <w:rsid w:val="00746333"/>
    <w:rsid w:val="00746345"/>
    <w:rsid w:val="0074651A"/>
    <w:rsid w:val="007466BE"/>
    <w:rsid w:val="007469B2"/>
    <w:rsid w:val="00746BA2"/>
    <w:rsid w:val="00746ED5"/>
    <w:rsid w:val="00747152"/>
    <w:rsid w:val="00747391"/>
    <w:rsid w:val="00747392"/>
    <w:rsid w:val="0074745B"/>
    <w:rsid w:val="007475FF"/>
    <w:rsid w:val="007478EF"/>
    <w:rsid w:val="00747989"/>
    <w:rsid w:val="00747A59"/>
    <w:rsid w:val="00747B32"/>
    <w:rsid w:val="00750286"/>
    <w:rsid w:val="007503AD"/>
    <w:rsid w:val="0075066F"/>
    <w:rsid w:val="0075076A"/>
    <w:rsid w:val="007508EC"/>
    <w:rsid w:val="00750FB7"/>
    <w:rsid w:val="00751270"/>
    <w:rsid w:val="00751335"/>
    <w:rsid w:val="00751782"/>
    <w:rsid w:val="007518D9"/>
    <w:rsid w:val="007518FE"/>
    <w:rsid w:val="007519F4"/>
    <w:rsid w:val="00751FD8"/>
    <w:rsid w:val="00751FDB"/>
    <w:rsid w:val="00752010"/>
    <w:rsid w:val="00752101"/>
    <w:rsid w:val="00752301"/>
    <w:rsid w:val="00752318"/>
    <w:rsid w:val="007524AB"/>
    <w:rsid w:val="00752598"/>
    <w:rsid w:val="007527A3"/>
    <w:rsid w:val="00752810"/>
    <w:rsid w:val="00752887"/>
    <w:rsid w:val="00752B89"/>
    <w:rsid w:val="00752CD1"/>
    <w:rsid w:val="00752E0F"/>
    <w:rsid w:val="00752EA3"/>
    <w:rsid w:val="007530B3"/>
    <w:rsid w:val="007530B4"/>
    <w:rsid w:val="007530B5"/>
    <w:rsid w:val="007531FE"/>
    <w:rsid w:val="0075343B"/>
    <w:rsid w:val="007538B0"/>
    <w:rsid w:val="007538F6"/>
    <w:rsid w:val="00753A3F"/>
    <w:rsid w:val="00753AD8"/>
    <w:rsid w:val="00754162"/>
    <w:rsid w:val="007542E9"/>
    <w:rsid w:val="0075442A"/>
    <w:rsid w:val="0075455E"/>
    <w:rsid w:val="007545E5"/>
    <w:rsid w:val="0075478E"/>
    <w:rsid w:val="0075482B"/>
    <w:rsid w:val="00754C42"/>
    <w:rsid w:val="00754E35"/>
    <w:rsid w:val="007550FC"/>
    <w:rsid w:val="0075530A"/>
    <w:rsid w:val="00755331"/>
    <w:rsid w:val="0075543F"/>
    <w:rsid w:val="0075561C"/>
    <w:rsid w:val="007556B4"/>
    <w:rsid w:val="00755874"/>
    <w:rsid w:val="00755938"/>
    <w:rsid w:val="00755BF9"/>
    <w:rsid w:val="00755DF5"/>
    <w:rsid w:val="00755E56"/>
    <w:rsid w:val="00755E60"/>
    <w:rsid w:val="00755F42"/>
    <w:rsid w:val="00755FD1"/>
    <w:rsid w:val="00756384"/>
    <w:rsid w:val="00756640"/>
    <w:rsid w:val="007567C0"/>
    <w:rsid w:val="0075686B"/>
    <w:rsid w:val="00756997"/>
    <w:rsid w:val="00756D4B"/>
    <w:rsid w:val="00756D5B"/>
    <w:rsid w:val="00756D5E"/>
    <w:rsid w:val="00756DB4"/>
    <w:rsid w:val="007570EB"/>
    <w:rsid w:val="0075718A"/>
    <w:rsid w:val="007572ED"/>
    <w:rsid w:val="00757345"/>
    <w:rsid w:val="0075768C"/>
    <w:rsid w:val="00757750"/>
    <w:rsid w:val="0075795C"/>
    <w:rsid w:val="00757CF7"/>
    <w:rsid w:val="00757D52"/>
    <w:rsid w:val="00757EFC"/>
    <w:rsid w:val="00757F15"/>
    <w:rsid w:val="00760079"/>
    <w:rsid w:val="0076011B"/>
    <w:rsid w:val="00760159"/>
    <w:rsid w:val="0076032E"/>
    <w:rsid w:val="00760570"/>
    <w:rsid w:val="00760A09"/>
    <w:rsid w:val="00760B25"/>
    <w:rsid w:val="00760C5C"/>
    <w:rsid w:val="00761397"/>
    <w:rsid w:val="00761799"/>
    <w:rsid w:val="0076197E"/>
    <w:rsid w:val="00761C44"/>
    <w:rsid w:val="00761F6D"/>
    <w:rsid w:val="0076217F"/>
    <w:rsid w:val="0076226F"/>
    <w:rsid w:val="00762500"/>
    <w:rsid w:val="00762774"/>
    <w:rsid w:val="00762AEE"/>
    <w:rsid w:val="00762CA5"/>
    <w:rsid w:val="00762CE4"/>
    <w:rsid w:val="00762EE3"/>
    <w:rsid w:val="00763091"/>
    <w:rsid w:val="00763199"/>
    <w:rsid w:val="007631B9"/>
    <w:rsid w:val="00763251"/>
    <w:rsid w:val="00763258"/>
    <w:rsid w:val="00763565"/>
    <w:rsid w:val="00763651"/>
    <w:rsid w:val="0076377D"/>
    <w:rsid w:val="00763806"/>
    <w:rsid w:val="00763A60"/>
    <w:rsid w:val="00763C0A"/>
    <w:rsid w:val="00763D93"/>
    <w:rsid w:val="00764223"/>
    <w:rsid w:val="00764234"/>
    <w:rsid w:val="007642E3"/>
    <w:rsid w:val="00764335"/>
    <w:rsid w:val="0076436D"/>
    <w:rsid w:val="0076453A"/>
    <w:rsid w:val="00764545"/>
    <w:rsid w:val="0076468D"/>
    <w:rsid w:val="00764698"/>
    <w:rsid w:val="0076477B"/>
    <w:rsid w:val="00764A92"/>
    <w:rsid w:val="00764B01"/>
    <w:rsid w:val="00764BC9"/>
    <w:rsid w:val="00764CC0"/>
    <w:rsid w:val="00764D8C"/>
    <w:rsid w:val="00764ECD"/>
    <w:rsid w:val="00764F5F"/>
    <w:rsid w:val="00764FB7"/>
    <w:rsid w:val="00764FE0"/>
    <w:rsid w:val="007650A6"/>
    <w:rsid w:val="00765399"/>
    <w:rsid w:val="00765646"/>
    <w:rsid w:val="00765660"/>
    <w:rsid w:val="00765693"/>
    <w:rsid w:val="0076581A"/>
    <w:rsid w:val="00765ABE"/>
    <w:rsid w:val="00765BE3"/>
    <w:rsid w:val="00765DF4"/>
    <w:rsid w:val="0076600A"/>
    <w:rsid w:val="007661C3"/>
    <w:rsid w:val="007661F8"/>
    <w:rsid w:val="0076643C"/>
    <w:rsid w:val="00766460"/>
    <w:rsid w:val="00766729"/>
    <w:rsid w:val="00766824"/>
    <w:rsid w:val="00766914"/>
    <w:rsid w:val="00766F3F"/>
    <w:rsid w:val="00766FF2"/>
    <w:rsid w:val="00767406"/>
    <w:rsid w:val="0076777F"/>
    <w:rsid w:val="00767A29"/>
    <w:rsid w:val="00767A40"/>
    <w:rsid w:val="00767AFA"/>
    <w:rsid w:val="00767D42"/>
    <w:rsid w:val="0077012C"/>
    <w:rsid w:val="0077016E"/>
    <w:rsid w:val="0077028C"/>
    <w:rsid w:val="00770309"/>
    <w:rsid w:val="00770588"/>
    <w:rsid w:val="0077064F"/>
    <w:rsid w:val="00770693"/>
    <w:rsid w:val="00770845"/>
    <w:rsid w:val="00770B17"/>
    <w:rsid w:val="00770C05"/>
    <w:rsid w:val="00770D7A"/>
    <w:rsid w:val="00770D7D"/>
    <w:rsid w:val="00770E17"/>
    <w:rsid w:val="00770E8A"/>
    <w:rsid w:val="00770F5D"/>
    <w:rsid w:val="00771231"/>
    <w:rsid w:val="00771303"/>
    <w:rsid w:val="00771365"/>
    <w:rsid w:val="0077145B"/>
    <w:rsid w:val="00771771"/>
    <w:rsid w:val="0077184B"/>
    <w:rsid w:val="00771854"/>
    <w:rsid w:val="00771A1A"/>
    <w:rsid w:val="00772108"/>
    <w:rsid w:val="007721A4"/>
    <w:rsid w:val="00772593"/>
    <w:rsid w:val="00772621"/>
    <w:rsid w:val="007728FF"/>
    <w:rsid w:val="00772B8A"/>
    <w:rsid w:val="00772F9A"/>
    <w:rsid w:val="00772FE8"/>
    <w:rsid w:val="00773304"/>
    <w:rsid w:val="007735E0"/>
    <w:rsid w:val="00773904"/>
    <w:rsid w:val="00773B79"/>
    <w:rsid w:val="00773CCD"/>
    <w:rsid w:val="00773D10"/>
    <w:rsid w:val="00773D17"/>
    <w:rsid w:val="00774416"/>
    <w:rsid w:val="007745E7"/>
    <w:rsid w:val="00774A47"/>
    <w:rsid w:val="00774A8A"/>
    <w:rsid w:val="00774AE1"/>
    <w:rsid w:val="00774F60"/>
    <w:rsid w:val="00774F91"/>
    <w:rsid w:val="0077517D"/>
    <w:rsid w:val="007752B7"/>
    <w:rsid w:val="0077593A"/>
    <w:rsid w:val="00775940"/>
    <w:rsid w:val="00775C5D"/>
    <w:rsid w:val="00775E6D"/>
    <w:rsid w:val="00775E7B"/>
    <w:rsid w:val="00775E94"/>
    <w:rsid w:val="00775FD8"/>
    <w:rsid w:val="007764AA"/>
    <w:rsid w:val="007764D4"/>
    <w:rsid w:val="00776787"/>
    <w:rsid w:val="00776B0A"/>
    <w:rsid w:val="00776B97"/>
    <w:rsid w:val="00776BD3"/>
    <w:rsid w:val="00776D01"/>
    <w:rsid w:val="00776D2F"/>
    <w:rsid w:val="00776D8B"/>
    <w:rsid w:val="00776DC7"/>
    <w:rsid w:val="00777150"/>
    <w:rsid w:val="007771EB"/>
    <w:rsid w:val="0077727E"/>
    <w:rsid w:val="00777655"/>
    <w:rsid w:val="007777EF"/>
    <w:rsid w:val="0077788A"/>
    <w:rsid w:val="00777AE9"/>
    <w:rsid w:val="0078043B"/>
    <w:rsid w:val="00780656"/>
    <w:rsid w:val="00780828"/>
    <w:rsid w:val="00780948"/>
    <w:rsid w:val="00780AFB"/>
    <w:rsid w:val="00780C2A"/>
    <w:rsid w:val="00780CB3"/>
    <w:rsid w:val="00780D39"/>
    <w:rsid w:val="00780E7D"/>
    <w:rsid w:val="00780EE8"/>
    <w:rsid w:val="00781014"/>
    <w:rsid w:val="007810E2"/>
    <w:rsid w:val="0078114D"/>
    <w:rsid w:val="007811E3"/>
    <w:rsid w:val="007813C4"/>
    <w:rsid w:val="00781995"/>
    <w:rsid w:val="00781CFA"/>
    <w:rsid w:val="00781E5E"/>
    <w:rsid w:val="00781FE3"/>
    <w:rsid w:val="00782384"/>
    <w:rsid w:val="007825EA"/>
    <w:rsid w:val="00782793"/>
    <w:rsid w:val="007827A0"/>
    <w:rsid w:val="007827DF"/>
    <w:rsid w:val="0078297C"/>
    <w:rsid w:val="00782A1C"/>
    <w:rsid w:val="00782C84"/>
    <w:rsid w:val="00782EFC"/>
    <w:rsid w:val="00783300"/>
    <w:rsid w:val="007833D8"/>
    <w:rsid w:val="00783409"/>
    <w:rsid w:val="0078341E"/>
    <w:rsid w:val="00783789"/>
    <w:rsid w:val="0078383D"/>
    <w:rsid w:val="0078389E"/>
    <w:rsid w:val="00783A64"/>
    <w:rsid w:val="00783B58"/>
    <w:rsid w:val="00783D49"/>
    <w:rsid w:val="00783EC0"/>
    <w:rsid w:val="007844EF"/>
    <w:rsid w:val="00784514"/>
    <w:rsid w:val="00784593"/>
    <w:rsid w:val="007845FD"/>
    <w:rsid w:val="0078460B"/>
    <w:rsid w:val="0078482C"/>
    <w:rsid w:val="00784853"/>
    <w:rsid w:val="00784910"/>
    <w:rsid w:val="00784986"/>
    <w:rsid w:val="00784AC3"/>
    <w:rsid w:val="00784BAD"/>
    <w:rsid w:val="00784BC3"/>
    <w:rsid w:val="00784C93"/>
    <w:rsid w:val="00784F26"/>
    <w:rsid w:val="00785264"/>
    <w:rsid w:val="007853D1"/>
    <w:rsid w:val="00785444"/>
    <w:rsid w:val="0078552B"/>
    <w:rsid w:val="0078563F"/>
    <w:rsid w:val="00785806"/>
    <w:rsid w:val="00785ED2"/>
    <w:rsid w:val="00785F92"/>
    <w:rsid w:val="0078603B"/>
    <w:rsid w:val="007860B3"/>
    <w:rsid w:val="00786184"/>
    <w:rsid w:val="007863C7"/>
    <w:rsid w:val="00786844"/>
    <w:rsid w:val="00786A1F"/>
    <w:rsid w:val="00786A41"/>
    <w:rsid w:val="00786ABA"/>
    <w:rsid w:val="00786B12"/>
    <w:rsid w:val="00786B4E"/>
    <w:rsid w:val="00786E39"/>
    <w:rsid w:val="00786FA5"/>
    <w:rsid w:val="00786FD2"/>
    <w:rsid w:val="007871E3"/>
    <w:rsid w:val="007874D8"/>
    <w:rsid w:val="0078755D"/>
    <w:rsid w:val="00787626"/>
    <w:rsid w:val="007876E6"/>
    <w:rsid w:val="0078795C"/>
    <w:rsid w:val="00787AD4"/>
    <w:rsid w:val="00787C46"/>
    <w:rsid w:val="00787D14"/>
    <w:rsid w:val="00790158"/>
    <w:rsid w:val="00790305"/>
    <w:rsid w:val="007903AC"/>
    <w:rsid w:val="0079059C"/>
    <w:rsid w:val="00790708"/>
    <w:rsid w:val="00790749"/>
    <w:rsid w:val="007907B2"/>
    <w:rsid w:val="007908AA"/>
    <w:rsid w:val="00790A45"/>
    <w:rsid w:val="00790C88"/>
    <w:rsid w:val="00790F16"/>
    <w:rsid w:val="00790F5A"/>
    <w:rsid w:val="00790FCF"/>
    <w:rsid w:val="007913AC"/>
    <w:rsid w:val="00791435"/>
    <w:rsid w:val="00791589"/>
    <w:rsid w:val="00791688"/>
    <w:rsid w:val="0079176C"/>
    <w:rsid w:val="00791936"/>
    <w:rsid w:val="0079196A"/>
    <w:rsid w:val="00791970"/>
    <w:rsid w:val="00791B3C"/>
    <w:rsid w:val="00791BD3"/>
    <w:rsid w:val="00791C03"/>
    <w:rsid w:val="00791E9A"/>
    <w:rsid w:val="00791F34"/>
    <w:rsid w:val="00792044"/>
    <w:rsid w:val="00792053"/>
    <w:rsid w:val="0079240E"/>
    <w:rsid w:val="00792483"/>
    <w:rsid w:val="0079266A"/>
    <w:rsid w:val="0079272A"/>
    <w:rsid w:val="007927B0"/>
    <w:rsid w:val="007929CC"/>
    <w:rsid w:val="00792B80"/>
    <w:rsid w:val="00792C68"/>
    <w:rsid w:val="00792EFF"/>
    <w:rsid w:val="00792F45"/>
    <w:rsid w:val="007934C6"/>
    <w:rsid w:val="007937E6"/>
    <w:rsid w:val="0079389F"/>
    <w:rsid w:val="00793A70"/>
    <w:rsid w:val="00793C30"/>
    <w:rsid w:val="00793DE7"/>
    <w:rsid w:val="00793EEF"/>
    <w:rsid w:val="00793F15"/>
    <w:rsid w:val="00793FF2"/>
    <w:rsid w:val="00794093"/>
    <w:rsid w:val="0079435E"/>
    <w:rsid w:val="00794386"/>
    <w:rsid w:val="00794400"/>
    <w:rsid w:val="007945FE"/>
    <w:rsid w:val="0079491A"/>
    <w:rsid w:val="00794933"/>
    <w:rsid w:val="00794BB6"/>
    <w:rsid w:val="00794C58"/>
    <w:rsid w:val="00794D1D"/>
    <w:rsid w:val="00794D9D"/>
    <w:rsid w:val="00794E2F"/>
    <w:rsid w:val="00794F05"/>
    <w:rsid w:val="00794F33"/>
    <w:rsid w:val="00794F51"/>
    <w:rsid w:val="00794FCB"/>
    <w:rsid w:val="0079502D"/>
    <w:rsid w:val="00795073"/>
    <w:rsid w:val="007950C7"/>
    <w:rsid w:val="007953AB"/>
    <w:rsid w:val="0079574A"/>
    <w:rsid w:val="007958BA"/>
    <w:rsid w:val="007958F1"/>
    <w:rsid w:val="00795AC8"/>
    <w:rsid w:val="00795D9F"/>
    <w:rsid w:val="00795DDE"/>
    <w:rsid w:val="007960ED"/>
    <w:rsid w:val="0079620D"/>
    <w:rsid w:val="00796330"/>
    <w:rsid w:val="007964F7"/>
    <w:rsid w:val="00796DED"/>
    <w:rsid w:val="00796E2B"/>
    <w:rsid w:val="00797186"/>
    <w:rsid w:val="0079719D"/>
    <w:rsid w:val="007972E5"/>
    <w:rsid w:val="007973D8"/>
    <w:rsid w:val="0079761B"/>
    <w:rsid w:val="00797687"/>
    <w:rsid w:val="00797751"/>
    <w:rsid w:val="00797A94"/>
    <w:rsid w:val="00797AD7"/>
    <w:rsid w:val="00797BF7"/>
    <w:rsid w:val="00797CB8"/>
    <w:rsid w:val="00797DE0"/>
    <w:rsid w:val="00797E9F"/>
    <w:rsid w:val="00797EE4"/>
    <w:rsid w:val="00797FD6"/>
    <w:rsid w:val="007A01A0"/>
    <w:rsid w:val="007A01DF"/>
    <w:rsid w:val="007A02EA"/>
    <w:rsid w:val="007A02F4"/>
    <w:rsid w:val="007A07E9"/>
    <w:rsid w:val="007A099B"/>
    <w:rsid w:val="007A0E22"/>
    <w:rsid w:val="007A0ED5"/>
    <w:rsid w:val="007A1178"/>
    <w:rsid w:val="007A1209"/>
    <w:rsid w:val="007A14B0"/>
    <w:rsid w:val="007A15A7"/>
    <w:rsid w:val="007A16BF"/>
    <w:rsid w:val="007A16ED"/>
    <w:rsid w:val="007A17A2"/>
    <w:rsid w:val="007A19EB"/>
    <w:rsid w:val="007A1C4A"/>
    <w:rsid w:val="007A1DE0"/>
    <w:rsid w:val="007A1EFD"/>
    <w:rsid w:val="007A1F44"/>
    <w:rsid w:val="007A2107"/>
    <w:rsid w:val="007A2428"/>
    <w:rsid w:val="007A24C8"/>
    <w:rsid w:val="007A2610"/>
    <w:rsid w:val="007A2638"/>
    <w:rsid w:val="007A29B2"/>
    <w:rsid w:val="007A29E4"/>
    <w:rsid w:val="007A2BB8"/>
    <w:rsid w:val="007A2F9F"/>
    <w:rsid w:val="007A2FAB"/>
    <w:rsid w:val="007A2FD8"/>
    <w:rsid w:val="007A3041"/>
    <w:rsid w:val="007A3151"/>
    <w:rsid w:val="007A3330"/>
    <w:rsid w:val="007A33EC"/>
    <w:rsid w:val="007A34E5"/>
    <w:rsid w:val="007A37DE"/>
    <w:rsid w:val="007A39A5"/>
    <w:rsid w:val="007A3A31"/>
    <w:rsid w:val="007A3B42"/>
    <w:rsid w:val="007A3CE8"/>
    <w:rsid w:val="007A3D73"/>
    <w:rsid w:val="007A407F"/>
    <w:rsid w:val="007A4327"/>
    <w:rsid w:val="007A44B9"/>
    <w:rsid w:val="007A4626"/>
    <w:rsid w:val="007A47DC"/>
    <w:rsid w:val="007A4B04"/>
    <w:rsid w:val="007A4CE5"/>
    <w:rsid w:val="007A4F1E"/>
    <w:rsid w:val="007A4FCB"/>
    <w:rsid w:val="007A4FF4"/>
    <w:rsid w:val="007A5154"/>
    <w:rsid w:val="007A54BB"/>
    <w:rsid w:val="007A56C5"/>
    <w:rsid w:val="007A5731"/>
    <w:rsid w:val="007A5882"/>
    <w:rsid w:val="007A58DB"/>
    <w:rsid w:val="007A5DCA"/>
    <w:rsid w:val="007A5E27"/>
    <w:rsid w:val="007A6086"/>
    <w:rsid w:val="007A6255"/>
    <w:rsid w:val="007A62E2"/>
    <w:rsid w:val="007A6373"/>
    <w:rsid w:val="007A6520"/>
    <w:rsid w:val="007A653B"/>
    <w:rsid w:val="007A6594"/>
    <w:rsid w:val="007A6760"/>
    <w:rsid w:val="007A6847"/>
    <w:rsid w:val="007A6858"/>
    <w:rsid w:val="007A6A98"/>
    <w:rsid w:val="007A6D5E"/>
    <w:rsid w:val="007A6DB5"/>
    <w:rsid w:val="007A6E79"/>
    <w:rsid w:val="007A7094"/>
    <w:rsid w:val="007A7401"/>
    <w:rsid w:val="007A7820"/>
    <w:rsid w:val="007A7904"/>
    <w:rsid w:val="007A799C"/>
    <w:rsid w:val="007A7A94"/>
    <w:rsid w:val="007A7E56"/>
    <w:rsid w:val="007A7ECE"/>
    <w:rsid w:val="007A7EE1"/>
    <w:rsid w:val="007A7FD3"/>
    <w:rsid w:val="007B01B1"/>
    <w:rsid w:val="007B0BE8"/>
    <w:rsid w:val="007B12FB"/>
    <w:rsid w:val="007B1375"/>
    <w:rsid w:val="007B13DE"/>
    <w:rsid w:val="007B181C"/>
    <w:rsid w:val="007B18ED"/>
    <w:rsid w:val="007B1931"/>
    <w:rsid w:val="007B19D7"/>
    <w:rsid w:val="007B1A1C"/>
    <w:rsid w:val="007B1A77"/>
    <w:rsid w:val="007B1CB2"/>
    <w:rsid w:val="007B1DC2"/>
    <w:rsid w:val="007B1F1C"/>
    <w:rsid w:val="007B2173"/>
    <w:rsid w:val="007B243F"/>
    <w:rsid w:val="007B2598"/>
    <w:rsid w:val="007B25EC"/>
    <w:rsid w:val="007B267F"/>
    <w:rsid w:val="007B26B7"/>
    <w:rsid w:val="007B2708"/>
    <w:rsid w:val="007B2A0E"/>
    <w:rsid w:val="007B2B67"/>
    <w:rsid w:val="007B2BB1"/>
    <w:rsid w:val="007B2C0F"/>
    <w:rsid w:val="007B2C59"/>
    <w:rsid w:val="007B30D3"/>
    <w:rsid w:val="007B316E"/>
    <w:rsid w:val="007B3510"/>
    <w:rsid w:val="007B3687"/>
    <w:rsid w:val="007B3A70"/>
    <w:rsid w:val="007B3CAF"/>
    <w:rsid w:val="007B3D43"/>
    <w:rsid w:val="007B3F97"/>
    <w:rsid w:val="007B3F98"/>
    <w:rsid w:val="007B4116"/>
    <w:rsid w:val="007B4846"/>
    <w:rsid w:val="007B4856"/>
    <w:rsid w:val="007B494E"/>
    <w:rsid w:val="007B49E2"/>
    <w:rsid w:val="007B4B85"/>
    <w:rsid w:val="007B4C6B"/>
    <w:rsid w:val="007B4E19"/>
    <w:rsid w:val="007B550D"/>
    <w:rsid w:val="007B56D0"/>
    <w:rsid w:val="007B59CE"/>
    <w:rsid w:val="007B5C36"/>
    <w:rsid w:val="007B5E8F"/>
    <w:rsid w:val="007B6184"/>
    <w:rsid w:val="007B61A9"/>
    <w:rsid w:val="007B61C0"/>
    <w:rsid w:val="007B641B"/>
    <w:rsid w:val="007B65F6"/>
    <w:rsid w:val="007B67FA"/>
    <w:rsid w:val="007B6A1E"/>
    <w:rsid w:val="007B6D5E"/>
    <w:rsid w:val="007B6FAB"/>
    <w:rsid w:val="007B705B"/>
    <w:rsid w:val="007B70E3"/>
    <w:rsid w:val="007B7216"/>
    <w:rsid w:val="007B7389"/>
    <w:rsid w:val="007B7671"/>
    <w:rsid w:val="007B7904"/>
    <w:rsid w:val="007B7A61"/>
    <w:rsid w:val="007B7FE3"/>
    <w:rsid w:val="007C0078"/>
    <w:rsid w:val="007C010A"/>
    <w:rsid w:val="007C025B"/>
    <w:rsid w:val="007C03E5"/>
    <w:rsid w:val="007C046B"/>
    <w:rsid w:val="007C04F6"/>
    <w:rsid w:val="007C07DB"/>
    <w:rsid w:val="007C0907"/>
    <w:rsid w:val="007C0AFF"/>
    <w:rsid w:val="007C0B19"/>
    <w:rsid w:val="007C0C8E"/>
    <w:rsid w:val="007C10AA"/>
    <w:rsid w:val="007C125B"/>
    <w:rsid w:val="007C1380"/>
    <w:rsid w:val="007C14C5"/>
    <w:rsid w:val="007C1756"/>
    <w:rsid w:val="007C185E"/>
    <w:rsid w:val="007C1AF4"/>
    <w:rsid w:val="007C1B40"/>
    <w:rsid w:val="007C1B8E"/>
    <w:rsid w:val="007C1C12"/>
    <w:rsid w:val="007C1C87"/>
    <w:rsid w:val="007C1F37"/>
    <w:rsid w:val="007C200B"/>
    <w:rsid w:val="007C20E9"/>
    <w:rsid w:val="007C22A8"/>
    <w:rsid w:val="007C22FC"/>
    <w:rsid w:val="007C253D"/>
    <w:rsid w:val="007C2A0F"/>
    <w:rsid w:val="007C2A27"/>
    <w:rsid w:val="007C2B7D"/>
    <w:rsid w:val="007C2B8B"/>
    <w:rsid w:val="007C2D81"/>
    <w:rsid w:val="007C2E30"/>
    <w:rsid w:val="007C2EB8"/>
    <w:rsid w:val="007C2ECA"/>
    <w:rsid w:val="007C3336"/>
    <w:rsid w:val="007C340B"/>
    <w:rsid w:val="007C3570"/>
    <w:rsid w:val="007C35C0"/>
    <w:rsid w:val="007C3875"/>
    <w:rsid w:val="007C3956"/>
    <w:rsid w:val="007C3BE4"/>
    <w:rsid w:val="007C3DAC"/>
    <w:rsid w:val="007C3EA7"/>
    <w:rsid w:val="007C3FD7"/>
    <w:rsid w:val="007C4145"/>
    <w:rsid w:val="007C415C"/>
    <w:rsid w:val="007C4386"/>
    <w:rsid w:val="007C43CF"/>
    <w:rsid w:val="007C4430"/>
    <w:rsid w:val="007C44C0"/>
    <w:rsid w:val="007C4553"/>
    <w:rsid w:val="007C4974"/>
    <w:rsid w:val="007C49E6"/>
    <w:rsid w:val="007C503D"/>
    <w:rsid w:val="007C5388"/>
    <w:rsid w:val="007C54D3"/>
    <w:rsid w:val="007C576A"/>
    <w:rsid w:val="007C5B71"/>
    <w:rsid w:val="007C5BAC"/>
    <w:rsid w:val="007C5BF7"/>
    <w:rsid w:val="007C5D6C"/>
    <w:rsid w:val="007C60B2"/>
    <w:rsid w:val="007C615C"/>
    <w:rsid w:val="007C6277"/>
    <w:rsid w:val="007C6726"/>
    <w:rsid w:val="007C692F"/>
    <w:rsid w:val="007C69D0"/>
    <w:rsid w:val="007C6A9A"/>
    <w:rsid w:val="007C6DF5"/>
    <w:rsid w:val="007C7169"/>
    <w:rsid w:val="007C7187"/>
    <w:rsid w:val="007C75C2"/>
    <w:rsid w:val="007C791A"/>
    <w:rsid w:val="007C7932"/>
    <w:rsid w:val="007C7B7A"/>
    <w:rsid w:val="007C7CFB"/>
    <w:rsid w:val="007C7E43"/>
    <w:rsid w:val="007D0028"/>
    <w:rsid w:val="007D0087"/>
    <w:rsid w:val="007D0236"/>
    <w:rsid w:val="007D02D1"/>
    <w:rsid w:val="007D02E2"/>
    <w:rsid w:val="007D03BC"/>
    <w:rsid w:val="007D03C4"/>
    <w:rsid w:val="007D03CC"/>
    <w:rsid w:val="007D06C8"/>
    <w:rsid w:val="007D0A4A"/>
    <w:rsid w:val="007D0CED"/>
    <w:rsid w:val="007D0D44"/>
    <w:rsid w:val="007D0D71"/>
    <w:rsid w:val="007D0E51"/>
    <w:rsid w:val="007D0E6A"/>
    <w:rsid w:val="007D0F59"/>
    <w:rsid w:val="007D10BB"/>
    <w:rsid w:val="007D117F"/>
    <w:rsid w:val="007D11C8"/>
    <w:rsid w:val="007D15E0"/>
    <w:rsid w:val="007D163E"/>
    <w:rsid w:val="007D172D"/>
    <w:rsid w:val="007D18B8"/>
    <w:rsid w:val="007D18C4"/>
    <w:rsid w:val="007D1901"/>
    <w:rsid w:val="007D1B32"/>
    <w:rsid w:val="007D1B48"/>
    <w:rsid w:val="007D1B7E"/>
    <w:rsid w:val="007D1C3C"/>
    <w:rsid w:val="007D1D70"/>
    <w:rsid w:val="007D208A"/>
    <w:rsid w:val="007D2093"/>
    <w:rsid w:val="007D21AA"/>
    <w:rsid w:val="007D21C1"/>
    <w:rsid w:val="007D228D"/>
    <w:rsid w:val="007D2715"/>
    <w:rsid w:val="007D2847"/>
    <w:rsid w:val="007D2DB4"/>
    <w:rsid w:val="007D2E25"/>
    <w:rsid w:val="007D2E2A"/>
    <w:rsid w:val="007D3038"/>
    <w:rsid w:val="007D3141"/>
    <w:rsid w:val="007D34EE"/>
    <w:rsid w:val="007D3C3D"/>
    <w:rsid w:val="007D4465"/>
    <w:rsid w:val="007D453C"/>
    <w:rsid w:val="007D474C"/>
    <w:rsid w:val="007D4C6F"/>
    <w:rsid w:val="007D4CB8"/>
    <w:rsid w:val="007D4D7A"/>
    <w:rsid w:val="007D4F13"/>
    <w:rsid w:val="007D4FAC"/>
    <w:rsid w:val="007D529B"/>
    <w:rsid w:val="007D5309"/>
    <w:rsid w:val="007D5319"/>
    <w:rsid w:val="007D5479"/>
    <w:rsid w:val="007D56BF"/>
    <w:rsid w:val="007D5AB3"/>
    <w:rsid w:val="007D5CE1"/>
    <w:rsid w:val="007D5F7B"/>
    <w:rsid w:val="007D607D"/>
    <w:rsid w:val="007D61FC"/>
    <w:rsid w:val="007D6221"/>
    <w:rsid w:val="007D6354"/>
    <w:rsid w:val="007D6666"/>
    <w:rsid w:val="007D685B"/>
    <w:rsid w:val="007D69AE"/>
    <w:rsid w:val="007D6A59"/>
    <w:rsid w:val="007D6A86"/>
    <w:rsid w:val="007D6EB2"/>
    <w:rsid w:val="007D6F7E"/>
    <w:rsid w:val="007D6FAC"/>
    <w:rsid w:val="007D6FD7"/>
    <w:rsid w:val="007D732B"/>
    <w:rsid w:val="007D7472"/>
    <w:rsid w:val="007D768B"/>
    <w:rsid w:val="007D76BD"/>
    <w:rsid w:val="007D77F2"/>
    <w:rsid w:val="007D7938"/>
    <w:rsid w:val="007D7A92"/>
    <w:rsid w:val="007D7AC6"/>
    <w:rsid w:val="007D7DAA"/>
    <w:rsid w:val="007D7DCC"/>
    <w:rsid w:val="007D7EE3"/>
    <w:rsid w:val="007D7EE8"/>
    <w:rsid w:val="007E0047"/>
    <w:rsid w:val="007E0249"/>
    <w:rsid w:val="007E0423"/>
    <w:rsid w:val="007E04C1"/>
    <w:rsid w:val="007E077B"/>
    <w:rsid w:val="007E0AF2"/>
    <w:rsid w:val="007E0BF5"/>
    <w:rsid w:val="007E0BF8"/>
    <w:rsid w:val="007E0C0D"/>
    <w:rsid w:val="007E0C26"/>
    <w:rsid w:val="007E0D5A"/>
    <w:rsid w:val="007E0DC6"/>
    <w:rsid w:val="007E0FA5"/>
    <w:rsid w:val="007E114F"/>
    <w:rsid w:val="007E11FF"/>
    <w:rsid w:val="007E1241"/>
    <w:rsid w:val="007E140E"/>
    <w:rsid w:val="007E142C"/>
    <w:rsid w:val="007E1465"/>
    <w:rsid w:val="007E170F"/>
    <w:rsid w:val="007E1AA9"/>
    <w:rsid w:val="007E1B44"/>
    <w:rsid w:val="007E1F3C"/>
    <w:rsid w:val="007E2365"/>
    <w:rsid w:val="007E25AA"/>
    <w:rsid w:val="007E291E"/>
    <w:rsid w:val="007E295C"/>
    <w:rsid w:val="007E2A8B"/>
    <w:rsid w:val="007E2B3B"/>
    <w:rsid w:val="007E2E16"/>
    <w:rsid w:val="007E2FF0"/>
    <w:rsid w:val="007E30BA"/>
    <w:rsid w:val="007E3255"/>
    <w:rsid w:val="007E351A"/>
    <w:rsid w:val="007E35E7"/>
    <w:rsid w:val="007E39F4"/>
    <w:rsid w:val="007E3AA4"/>
    <w:rsid w:val="007E3CD4"/>
    <w:rsid w:val="007E3DA4"/>
    <w:rsid w:val="007E3E3B"/>
    <w:rsid w:val="007E3E7D"/>
    <w:rsid w:val="007E3EE2"/>
    <w:rsid w:val="007E4136"/>
    <w:rsid w:val="007E42A9"/>
    <w:rsid w:val="007E42BC"/>
    <w:rsid w:val="007E4414"/>
    <w:rsid w:val="007E457E"/>
    <w:rsid w:val="007E4973"/>
    <w:rsid w:val="007E4980"/>
    <w:rsid w:val="007E49B0"/>
    <w:rsid w:val="007E49EA"/>
    <w:rsid w:val="007E4A1B"/>
    <w:rsid w:val="007E4A1E"/>
    <w:rsid w:val="007E4B17"/>
    <w:rsid w:val="007E4B7C"/>
    <w:rsid w:val="007E4D88"/>
    <w:rsid w:val="007E4EB2"/>
    <w:rsid w:val="007E530B"/>
    <w:rsid w:val="007E574F"/>
    <w:rsid w:val="007E5806"/>
    <w:rsid w:val="007E584A"/>
    <w:rsid w:val="007E5A6E"/>
    <w:rsid w:val="007E5C7D"/>
    <w:rsid w:val="007E5D68"/>
    <w:rsid w:val="007E612D"/>
    <w:rsid w:val="007E61D3"/>
    <w:rsid w:val="007E6280"/>
    <w:rsid w:val="007E66D9"/>
    <w:rsid w:val="007E6890"/>
    <w:rsid w:val="007E6A12"/>
    <w:rsid w:val="007E6BF6"/>
    <w:rsid w:val="007E6C3A"/>
    <w:rsid w:val="007E6E64"/>
    <w:rsid w:val="007E728C"/>
    <w:rsid w:val="007E75D2"/>
    <w:rsid w:val="007E7600"/>
    <w:rsid w:val="007E7B68"/>
    <w:rsid w:val="007E7DBF"/>
    <w:rsid w:val="007E7E6E"/>
    <w:rsid w:val="007F022A"/>
    <w:rsid w:val="007F08B6"/>
    <w:rsid w:val="007F0AB3"/>
    <w:rsid w:val="007F0CAE"/>
    <w:rsid w:val="007F0CC8"/>
    <w:rsid w:val="007F0CFE"/>
    <w:rsid w:val="007F0D36"/>
    <w:rsid w:val="007F0E06"/>
    <w:rsid w:val="007F138C"/>
    <w:rsid w:val="007F1406"/>
    <w:rsid w:val="007F14F5"/>
    <w:rsid w:val="007F1A9B"/>
    <w:rsid w:val="007F1EF5"/>
    <w:rsid w:val="007F247B"/>
    <w:rsid w:val="007F24E8"/>
    <w:rsid w:val="007F2BB8"/>
    <w:rsid w:val="007F2D13"/>
    <w:rsid w:val="007F2DB6"/>
    <w:rsid w:val="007F2F95"/>
    <w:rsid w:val="007F2FFF"/>
    <w:rsid w:val="007F331F"/>
    <w:rsid w:val="007F350B"/>
    <w:rsid w:val="007F3636"/>
    <w:rsid w:val="007F3933"/>
    <w:rsid w:val="007F3B5B"/>
    <w:rsid w:val="007F3C33"/>
    <w:rsid w:val="007F3E14"/>
    <w:rsid w:val="007F3E6B"/>
    <w:rsid w:val="007F42EC"/>
    <w:rsid w:val="007F48C1"/>
    <w:rsid w:val="007F4931"/>
    <w:rsid w:val="007F4950"/>
    <w:rsid w:val="007F4FB3"/>
    <w:rsid w:val="007F512B"/>
    <w:rsid w:val="007F518C"/>
    <w:rsid w:val="007F52E1"/>
    <w:rsid w:val="007F5378"/>
    <w:rsid w:val="007F5549"/>
    <w:rsid w:val="007F563E"/>
    <w:rsid w:val="007F56C1"/>
    <w:rsid w:val="007F56F2"/>
    <w:rsid w:val="007F56F7"/>
    <w:rsid w:val="007F5B62"/>
    <w:rsid w:val="007F5D40"/>
    <w:rsid w:val="007F5D53"/>
    <w:rsid w:val="007F5DAC"/>
    <w:rsid w:val="007F5E35"/>
    <w:rsid w:val="007F5E67"/>
    <w:rsid w:val="007F60C6"/>
    <w:rsid w:val="007F6139"/>
    <w:rsid w:val="007F6519"/>
    <w:rsid w:val="007F6742"/>
    <w:rsid w:val="007F6A31"/>
    <w:rsid w:val="007F6A35"/>
    <w:rsid w:val="007F7312"/>
    <w:rsid w:val="007F7453"/>
    <w:rsid w:val="007F75D7"/>
    <w:rsid w:val="007F765B"/>
    <w:rsid w:val="007F78C2"/>
    <w:rsid w:val="007F7DA8"/>
    <w:rsid w:val="007F7DE1"/>
    <w:rsid w:val="007F7F1A"/>
    <w:rsid w:val="00800089"/>
    <w:rsid w:val="00800645"/>
    <w:rsid w:val="00800740"/>
    <w:rsid w:val="008008EB"/>
    <w:rsid w:val="00800A6E"/>
    <w:rsid w:val="00800A6F"/>
    <w:rsid w:val="00800AD3"/>
    <w:rsid w:val="00800B3F"/>
    <w:rsid w:val="00800B8D"/>
    <w:rsid w:val="00800BB3"/>
    <w:rsid w:val="00800C85"/>
    <w:rsid w:val="0080121C"/>
    <w:rsid w:val="0080129B"/>
    <w:rsid w:val="00801381"/>
    <w:rsid w:val="00801387"/>
    <w:rsid w:val="008014ED"/>
    <w:rsid w:val="00801505"/>
    <w:rsid w:val="00801706"/>
    <w:rsid w:val="008019A6"/>
    <w:rsid w:val="00801C90"/>
    <w:rsid w:val="00801D7C"/>
    <w:rsid w:val="00801ED9"/>
    <w:rsid w:val="00801F70"/>
    <w:rsid w:val="0080228D"/>
    <w:rsid w:val="008022E7"/>
    <w:rsid w:val="00802392"/>
    <w:rsid w:val="008024D0"/>
    <w:rsid w:val="00802C92"/>
    <w:rsid w:val="00802E04"/>
    <w:rsid w:val="00802F20"/>
    <w:rsid w:val="00802F8F"/>
    <w:rsid w:val="0080314F"/>
    <w:rsid w:val="00803224"/>
    <w:rsid w:val="00803585"/>
    <w:rsid w:val="008037F7"/>
    <w:rsid w:val="00803974"/>
    <w:rsid w:val="00803BC1"/>
    <w:rsid w:val="00803C07"/>
    <w:rsid w:val="00803C40"/>
    <w:rsid w:val="00803C4F"/>
    <w:rsid w:val="00803D86"/>
    <w:rsid w:val="008041A4"/>
    <w:rsid w:val="0080439F"/>
    <w:rsid w:val="008044C6"/>
    <w:rsid w:val="008044E3"/>
    <w:rsid w:val="00804709"/>
    <w:rsid w:val="008047E2"/>
    <w:rsid w:val="008048BC"/>
    <w:rsid w:val="00804AAC"/>
    <w:rsid w:val="00804AF3"/>
    <w:rsid w:val="00804BBF"/>
    <w:rsid w:val="00804C5E"/>
    <w:rsid w:val="00804CB2"/>
    <w:rsid w:val="00804D0A"/>
    <w:rsid w:val="00804DAD"/>
    <w:rsid w:val="00804EC7"/>
    <w:rsid w:val="00804FBA"/>
    <w:rsid w:val="00805423"/>
    <w:rsid w:val="0080555C"/>
    <w:rsid w:val="00805560"/>
    <w:rsid w:val="00805769"/>
    <w:rsid w:val="00805908"/>
    <w:rsid w:val="00805C3F"/>
    <w:rsid w:val="00805CF4"/>
    <w:rsid w:val="00805E49"/>
    <w:rsid w:val="00805F24"/>
    <w:rsid w:val="00805F38"/>
    <w:rsid w:val="00805F78"/>
    <w:rsid w:val="0080625E"/>
    <w:rsid w:val="00806431"/>
    <w:rsid w:val="0080646D"/>
    <w:rsid w:val="008065E7"/>
    <w:rsid w:val="0080682A"/>
    <w:rsid w:val="008068B8"/>
    <w:rsid w:val="00806D33"/>
    <w:rsid w:val="00806EEB"/>
    <w:rsid w:val="00806F45"/>
    <w:rsid w:val="00806FE5"/>
    <w:rsid w:val="00807168"/>
    <w:rsid w:val="0080746A"/>
    <w:rsid w:val="00807506"/>
    <w:rsid w:val="008075B7"/>
    <w:rsid w:val="008079C5"/>
    <w:rsid w:val="00807CEC"/>
    <w:rsid w:val="00807D76"/>
    <w:rsid w:val="00807DCB"/>
    <w:rsid w:val="00807DF2"/>
    <w:rsid w:val="00807E30"/>
    <w:rsid w:val="0081011A"/>
    <w:rsid w:val="00810150"/>
    <w:rsid w:val="008103CB"/>
    <w:rsid w:val="0081045F"/>
    <w:rsid w:val="008105BE"/>
    <w:rsid w:val="008107AA"/>
    <w:rsid w:val="0081080C"/>
    <w:rsid w:val="0081089C"/>
    <w:rsid w:val="00810B0A"/>
    <w:rsid w:val="00810ED1"/>
    <w:rsid w:val="0081101B"/>
    <w:rsid w:val="00811169"/>
    <w:rsid w:val="008113F7"/>
    <w:rsid w:val="0081172E"/>
    <w:rsid w:val="008117D0"/>
    <w:rsid w:val="00811842"/>
    <w:rsid w:val="00811C39"/>
    <w:rsid w:val="00811C3A"/>
    <w:rsid w:val="00811D2A"/>
    <w:rsid w:val="00811F35"/>
    <w:rsid w:val="0081276C"/>
    <w:rsid w:val="0081297F"/>
    <w:rsid w:val="008129DC"/>
    <w:rsid w:val="00812A38"/>
    <w:rsid w:val="00812A9E"/>
    <w:rsid w:val="00812AFE"/>
    <w:rsid w:val="00812CC2"/>
    <w:rsid w:val="00812D51"/>
    <w:rsid w:val="00812ED7"/>
    <w:rsid w:val="00813046"/>
    <w:rsid w:val="008133B0"/>
    <w:rsid w:val="00813720"/>
    <w:rsid w:val="0081385C"/>
    <w:rsid w:val="008138BE"/>
    <w:rsid w:val="00813957"/>
    <w:rsid w:val="00813D53"/>
    <w:rsid w:val="00813EA7"/>
    <w:rsid w:val="00813EF3"/>
    <w:rsid w:val="00813EFE"/>
    <w:rsid w:val="008140C4"/>
    <w:rsid w:val="008145E6"/>
    <w:rsid w:val="008146B6"/>
    <w:rsid w:val="00814784"/>
    <w:rsid w:val="00814A8B"/>
    <w:rsid w:val="00814B27"/>
    <w:rsid w:val="00814BCF"/>
    <w:rsid w:val="00814C1B"/>
    <w:rsid w:val="00814D2C"/>
    <w:rsid w:val="00814F2F"/>
    <w:rsid w:val="00814F76"/>
    <w:rsid w:val="00815012"/>
    <w:rsid w:val="0081511D"/>
    <w:rsid w:val="008155FF"/>
    <w:rsid w:val="0081563E"/>
    <w:rsid w:val="00815C4C"/>
    <w:rsid w:val="00815D65"/>
    <w:rsid w:val="00816038"/>
    <w:rsid w:val="008161E0"/>
    <w:rsid w:val="00816B7F"/>
    <w:rsid w:val="0081703F"/>
    <w:rsid w:val="008172EF"/>
    <w:rsid w:val="00817360"/>
    <w:rsid w:val="0081741A"/>
    <w:rsid w:val="008177DC"/>
    <w:rsid w:val="00817B89"/>
    <w:rsid w:val="00817C1D"/>
    <w:rsid w:val="00817F4E"/>
    <w:rsid w:val="00817FE2"/>
    <w:rsid w:val="0082056B"/>
    <w:rsid w:val="00820661"/>
    <w:rsid w:val="00820A07"/>
    <w:rsid w:val="00820A54"/>
    <w:rsid w:val="00820B2B"/>
    <w:rsid w:val="00820BEB"/>
    <w:rsid w:val="00820C59"/>
    <w:rsid w:val="00820CDC"/>
    <w:rsid w:val="00820D0C"/>
    <w:rsid w:val="00820D5B"/>
    <w:rsid w:val="00820DC0"/>
    <w:rsid w:val="00820FB4"/>
    <w:rsid w:val="00821197"/>
    <w:rsid w:val="008211D3"/>
    <w:rsid w:val="00821394"/>
    <w:rsid w:val="008216D6"/>
    <w:rsid w:val="0082170B"/>
    <w:rsid w:val="00821875"/>
    <w:rsid w:val="008218AB"/>
    <w:rsid w:val="008218CC"/>
    <w:rsid w:val="0082195D"/>
    <w:rsid w:val="0082198B"/>
    <w:rsid w:val="008219A9"/>
    <w:rsid w:val="00821D17"/>
    <w:rsid w:val="00821E8B"/>
    <w:rsid w:val="00821F2C"/>
    <w:rsid w:val="0082209E"/>
    <w:rsid w:val="008220FD"/>
    <w:rsid w:val="00822395"/>
    <w:rsid w:val="008225A0"/>
    <w:rsid w:val="00822772"/>
    <w:rsid w:val="008227AA"/>
    <w:rsid w:val="00822B6E"/>
    <w:rsid w:val="00823252"/>
    <w:rsid w:val="00823374"/>
    <w:rsid w:val="0082355E"/>
    <w:rsid w:val="008236BA"/>
    <w:rsid w:val="008236DF"/>
    <w:rsid w:val="0082371B"/>
    <w:rsid w:val="00823738"/>
    <w:rsid w:val="008237EA"/>
    <w:rsid w:val="00823869"/>
    <w:rsid w:val="008238A1"/>
    <w:rsid w:val="00823941"/>
    <w:rsid w:val="00823B41"/>
    <w:rsid w:val="00824146"/>
    <w:rsid w:val="008246A9"/>
    <w:rsid w:val="00824DD7"/>
    <w:rsid w:val="00824DE9"/>
    <w:rsid w:val="00824F36"/>
    <w:rsid w:val="008250A6"/>
    <w:rsid w:val="008250FF"/>
    <w:rsid w:val="0082514A"/>
    <w:rsid w:val="00825341"/>
    <w:rsid w:val="008253F2"/>
    <w:rsid w:val="008256D5"/>
    <w:rsid w:val="008258A6"/>
    <w:rsid w:val="00825B32"/>
    <w:rsid w:val="00826366"/>
    <w:rsid w:val="0082665B"/>
    <w:rsid w:val="00826875"/>
    <w:rsid w:val="00826991"/>
    <w:rsid w:val="0082699A"/>
    <w:rsid w:val="00826B76"/>
    <w:rsid w:val="00826D7E"/>
    <w:rsid w:val="00826DD2"/>
    <w:rsid w:val="0082716A"/>
    <w:rsid w:val="0082727A"/>
    <w:rsid w:val="00827284"/>
    <w:rsid w:val="0082738E"/>
    <w:rsid w:val="008273D6"/>
    <w:rsid w:val="0082756A"/>
    <w:rsid w:val="00827A91"/>
    <w:rsid w:val="00827AAE"/>
    <w:rsid w:val="00827C5C"/>
    <w:rsid w:val="00827E80"/>
    <w:rsid w:val="00827EB4"/>
    <w:rsid w:val="00830259"/>
    <w:rsid w:val="00830284"/>
    <w:rsid w:val="008302EA"/>
    <w:rsid w:val="00830447"/>
    <w:rsid w:val="008305A2"/>
    <w:rsid w:val="0083088A"/>
    <w:rsid w:val="00830997"/>
    <w:rsid w:val="008309C3"/>
    <w:rsid w:val="00830A29"/>
    <w:rsid w:val="00830AD0"/>
    <w:rsid w:val="00830ADF"/>
    <w:rsid w:val="00830C7E"/>
    <w:rsid w:val="00830CFF"/>
    <w:rsid w:val="00830E7D"/>
    <w:rsid w:val="00830F18"/>
    <w:rsid w:val="00831172"/>
    <w:rsid w:val="0083120A"/>
    <w:rsid w:val="0083123D"/>
    <w:rsid w:val="00831384"/>
    <w:rsid w:val="0083160E"/>
    <w:rsid w:val="00831693"/>
    <w:rsid w:val="008316F1"/>
    <w:rsid w:val="008318E4"/>
    <w:rsid w:val="00831C03"/>
    <w:rsid w:val="00831E45"/>
    <w:rsid w:val="00831E5E"/>
    <w:rsid w:val="00831F18"/>
    <w:rsid w:val="00831F54"/>
    <w:rsid w:val="008322AF"/>
    <w:rsid w:val="00832389"/>
    <w:rsid w:val="0083264C"/>
    <w:rsid w:val="008326B9"/>
    <w:rsid w:val="008326C0"/>
    <w:rsid w:val="0083274A"/>
    <w:rsid w:val="00832857"/>
    <w:rsid w:val="008329B2"/>
    <w:rsid w:val="00832BB0"/>
    <w:rsid w:val="00832CD1"/>
    <w:rsid w:val="00832E8B"/>
    <w:rsid w:val="00832FA0"/>
    <w:rsid w:val="00832FAE"/>
    <w:rsid w:val="00832FEC"/>
    <w:rsid w:val="0083305F"/>
    <w:rsid w:val="00833293"/>
    <w:rsid w:val="008334C1"/>
    <w:rsid w:val="008335C8"/>
    <w:rsid w:val="00833614"/>
    <w:rsid w:val="00833682"/>
    <w:rsid w:val="008336EF"/>
    <w:rsid w:val="00833794"/>
    <w:rsid w:val="00833923"/>
    <w:rsid w:val="00833997"/>
    <w:rsid w:val="00833A52"/>
    <w:rsid w:val="00833C5B"/>
    <w:rsid w:val="00833DA2"/>
    <w:rsid w:val="00833F6C"/>
    <w:rsid w:val="0083401C"/>
    <w:rsid w:val="00834150"/>
    <w:rsid w:val="00834254"/>
    <w:rsid w:val="008342BF"/>
    <w:rsid w:val="00834528"/>
    <w:rsid w:val="00834613"/>
    <w:rsid w:val="008347E9"/>
    <w:rsid w:val="00834840"/>
    <w:rsid w:val="00834B12"/>
    <w:rsid w:val="00834CF6"/>
    <w:rsid w:val="00834D2F"/>
    <w:rsid w:val="00834E5D"/>
    <w:rsid w:val="00834EA1"/>
    <w:rsid w:val="00834FC4"/>
    <w:rsid w:val="0083513F"/>
    <w:rsid w:val="0083522C"/>
    <w:rsid w:val="008352AA"/>
    <w:rsid w:val="008353B0"/>
    <w:rsid w:val="00835788"/>
    <w:rsid w:val="008357E2"/>
    <w:rsid w:val="00835BDC"/>
    <w:rsid w:val="00835BE4"/>
    <w:rsid w:val="00835F24"/>
    <w:rsid w:val="00835F64"/>
    <w:rsid w:val="0083614D"/>
    <w:rsid w:val="0083670E"/>
    <w:rsid w:val="00836954"/>
    <w:rsid w:val="00836B9C"/>
    <w:rsid w:val="00836F0E"/>
    <w:rsid w:val="00836F32"/>
    <w:rsid w:val="0083705A"/>
    <w:rsid w:val="00837133"/>
    <w:rsid w:val="00837298"/>
    <w:rsid w:val="00837317"/>
    <w:rsid w:val="00837353"/>
    <w:rsid w:val="00837780"/>
    <w:rsid w:val="008378C9"/>
    <w:rsid w:val="0083799C"/>
    <w:rsid w:val="00837AB0"/>
    <w:rsid w:val="00837ABA"/>
    <w:rsid w:val="00837EFB"/>
    <w:rsid w:val="00837F2C"/>
    <w:rsid w:val="008401B9"/>
    <w:rsid w:val="008405ED"/>
    <w:rsid w:val="00840B41"/>
    <w:rsid w:val="00840B81"/>
    <w:rsid w:val="00840BC2"/>
    <w:rsid w:val="00840C65"/>
    <w:rsid w:val="00840D18"/>
    <w:rsid w:val="00840D3D"/>
    <w:rsid w:val="00840F3F"/>
    <w:rsid w:val="00841131"/>
    <w:rsid w:val="00841141"/>
    <w:rsid w:val="008411FC"/>
    <w:rsid w:val="00841412"/>
    <w:rsid w:val="00841624"/>
    <w:rsid w:val="008416BA"/>
    <w:rsid w:val="00841803"/>
    <w:rsid w:val="008418E1"/>
    <w:rsid w:val="00841ABA"/>
    <w:rsid w:val="00841CFE"/>
    <w:rsid w:val="00841D3E"/>
    <w:rsid w:val="00841E97"/>
    <w:rsid w:val="00841FB2"/>
    <w:rsid w:val="0084206F"/>
    <w:rsid w:val="008420F6"/>
    <w:rsid w:val="008423DC"/>
    <w:rsid w:val="00842409"/>
    <w:rsid w:val="00842418"/>
    <w:rsid w:val="00842426"/>
    <w:rsid w:val="00842493"/>
    <w:rsid w:val="00842581"/>
    <w:rsid w:val="0084267F"/>
    <w:rsid w:val="008428FC"/>
    <w:rsid w:val="00842A4A"/>
    <w:rsid w:val="00842A7D"/>
    <w:rsid w:val="00842F14"/>
    <w:rsid w:val="00842F1A"/>
    <w:rsid w:val="00842F48"/>
    <w:rsid w:val="00842FA0"/>
    <w:rsid w:val="008430F8"/>
    <w:rsid w:val="0084312F"/>
    <w:rsid w:val="0084360C"/>
    <w:rsid w:val="0084376E"/>
    <w:rsid w:val="0084382B"/>
    <w:rsid w:val="0084385E"/>
    <w:rsid w:val="00843AE6"/>
    <w:rsid w:val="00843CE7"/>
    <w:rsid w:val="00844062"/>
    <w:rsid w:val="00844412"/>
    <w:rsid w:val="00844495"/>
    <w:rsid w:val="00844549"/>
    <w:rsid w:val="00844687"/>
    <w:rsid w:val="0084494E"/>
    <w:rsid w:val="00844B6F"/>
    <w:rsid w:val="00844DEE"/>
    <w:rsid w:val="008450AC"/>
    <w:rsid w:val="00845316"/>
    <w:rsid w:val="0084532E"/>
    <w:rsid w:val="00845395"/>
    <w:rsid w:val="00845451"/>
    <w:rsid w:val="008454D5"/>
    <w:rsid w:val="008456B8"/>
    <w:rsid w:val="0084596B"/>
    <w:rsid w:val="008459FE"/>
    <w:rsid w:val="00845BC8"/>
    <w:rsid w:val="00845C83"/>
    <w:rsid w:val="00845E4D"/>
    <w:rsid w:val="00845EF8"/>
    <w:rsid w:val="0084624D"/>
    <w:rsid w:val="00846252"/>
    <w:rsid w:val="008465CC"/>
    <w:rsid w:val="00846717"/>
    <w:rsid w:val="0084694F"/>
    <w:rsid w:val="00846A1C"/>
    <w:rsid w:val="00846B4A"/>
    <w:rsid w:val="00846E0F"/>
    <w:rsid w:val="00847043"/>
    <w:rsid w:val="00847048"/>
    <w:rsid w:val="008470CC"/>
    <w:rsid w:val="00847232"/>
    <w:rsid w:val="008472CE"/>
    <w:rsid w:val="008472D3"/>
    <w:rsid w:val="0084736C"/>
    <w:rsid w:val="008473B5"/>
    <w:rsid w:val="0084743A"/>
    <w:rsid w:val="008474A7"/>
    <w:rsid w:val="008474FA"/>
    <w:rsid w:val="00847A01"/>
    <w:rsid w:val="00847A55"/>
    <w:rsid w:val="00847DDB"/>
    <w:rsid w:val="00847F24"/>
    <w:rsid w:val="008503CD"/>
    <w:rsid w:val="0085041D"/>
    <w:rsid w:val="0085053E"/>
    <w:rsid w:val="0085064C"/>
    <w:rsid w:val="0085077C"/>
    <w:rsid w:val="00850D53"/>
    <w:rsid w:val="00850F29"/>
    <w:rsid w:val="00850F65"/>
    <w:rsid w:val="008510E6"/>
    <w:rsid w:val="00851121"/>
    <w:rsid w:val="008511BC"/>
    <w:rsid w:val="008516BF"/>
    <w:rsid w:val="00851862"/>
    <w:rsid w:val="0085194C"/>
    <w:rsid w:val="00851D84"/>
    <w:rsid w:val="00851DC7"/>
    <w:rsid w:val="00851FD0"/>
    <w:rsid w:val="008521E4"/>
    <w:rsid w:val="0085232E"/>
    <w:rsid w:val="008523D6"/>
    <w:rsid w:val="0085248C"/>
    <w:rsid w:val="00852631"/>
    <w:rsid w:val="00852775"/>
    <w:rsid w:val="008528F1"/>
    <w:rsid w:val="00852BA3"/>
    <w:rsid w:val="00852F15"/>
    <w:rsid w:val="00853093"/>
    <w:rsid w:val="00853256"/>
    <w:rsid w:val="008535C6"/>
    <w:rsid w:val="008535E4"/>
    <w:rsid w:val="00853701"/>
    <w:rsid w:val="0085376A"/>
    <w:rsid w:val="00853770"/>
    <w:rsid w:val="00853D61"/>
    <w:rsid w:val="008541AD"/>
    <w:rsid w:val="00854468"/>
    <w:rsid w:val="008545D5"/>
    <w:rsid w:val="008545FC"/>
    <w:rsid w:val="00854618"/>
    <w:rsid w:val="00854671"/>
    <w:rsid w:val="008547EC"/>
    <w:rsid w:val="00854814"/>
    <w:rsid w:val="00854817"/>
    <w:rsid w:val="00854A2A"/>
    <w:rsid w:val="00854C9B"/>
    <w:rsid w:val="00854DF4"/>
    <w:rsid w:val="00854E43"/>
    <w:rsid w:val="00854F5E"/>
    <w:rsid w:val="008550AC"/>
    <w:rsid w:val="00855192"/>
    <w:rsid w:val="008551B7"/>
    <w:rsid w:val="00855272"/>
    <w:rsid w:val="0085546A"/>
    <w:rsid w:val="0085556F"/>
    <w:rsid w:val="00855578"/>
    <w:rsid w:val="008555CC"/>
    <w:rsid w:val="00855642"/>
    <w:rsid w:val="00855726"/>
    <w:rsid w:val="00855786"/>
    <w:rsid w:val="0085579C"/>
    <w:rsid w:val="0085594F"/>
    <w:rsid w:val="00855B8D"/>
    <w:rsid w:val="00855BC8"/>
    <w:rsid w:val="00855C0B"/>
    <w:rsid w:val="00855DAF"/>
    <w:rsid w:val="00855DC3"/>
    <w:rsid w:val="00855DC5"/>
    <w:rsid w:val="00855E20"/>
    <w:rsid w:val="00856034"/>
    <w:rsid w:val="00856662"/>
    <w:rsid w:val="00856987"/>
    <w:rsid w:val="00856A61"/>
    <w:rsid w:val="00856CFA"/>
    <w:rsid w:val="00856F5A"/>
    <w:rsid w:val="008570D3"/>
    <w:rsid w:val="008571A6"/>
    <w:rsid w:val="008572AC"/>
    <w:rsid w:val="0085745C"/>
    <w:rsid w:val="00857AA8"/>
    <w:rsid w:val="00857CE7"/>
    <w:rsid w:val="00857E71"/>
    <w:rsid w:val="00857ED1"/>
    <w:rsid w:val="00857F3A"/>
    <w:rsid w:val="00857F3E"/>
    <w:rsid w:val="00857FC3"/>
    <w:rsid w:val="0086026F"/>
    <w:rsid w:val="00860760"/>
    <w:rsid w:val="0086087E"/>
    <w:rsid w:val="00860AA8"/>
    <w:rsid w:val="00860CA4"/>
    <w:rsid w:val="00860D52"/>
    <w:rsid w:val="00860EB8"/>
    <w:rsid w:val="00860F0D"/>
    <w:rsid w:val="00860FF3"/>
    <w:rsid w:val="00861042"/>
    <w:rsid w:val="00861193"/>
    <w:rsid w:val="008613C8"/>
    <w:rsid w:val="008614A8"/>
    <w:rsid w:val="008616BE"/>
    <w:rsid w:val="00861977"/>
    <w:rsid w:val="00861DE0"/>
    <w:rsid w:val="00861FB8"/>
    <w:rsid w:val="00862019"/>
    <w:rsid w:val="0086216C"/>
    <w:rsid w:val="0086218F"/>
    <w:rsid w:val="008623B1"/>
    <w:rsid w:val="00862497"/>
    <w:rsid w:val="008626C3"/>
    <w:rsid w:val="008627F9"/>
    <w:rsid w:val="008629D9"/>
    <w:rsid w:val="00862A68"/>
    <w:rsid w:val="00862CA0"/>
    <w:rsid w:val="00862D5D"/>
    <w:rsid w:val="00862F81"/>
    <w:rsid w:val="00862FBD"/>
    <w:rsid w:val="0086300D"/>
    <w:rsid w:val="00863065"/>
    <w:rsid w:val="008631C3"/>
    <w:rsid w:val="008635C8"/>
    <w:rsid w:val="008639D4"/>
    <w:rsid w:val="00863A26"/>
    <w:rsid w:val="00863E6F"/>
    <w:rsid w:val="00863F75"/>
    <w:rsid w:val="00864171"/>
    <w:rsid w:val="00864364"/>
    <w:rsid w:val="0086436A"/>
    <w:rsid w:val="0086448F"/>
    <w:rsid w:val="008645F9"/>
    <w:rsid w:val="00864789"/>
    <w:rsid w:val="008647FA"/>
    <w:rsid w:val="008648D8"/>
    <w:rsid w:val="00864982"/>
    <w:rsid w:val="00864CBA"/>
    <w:rsid w:val="00864CD4"/>
    <w:rsid w:val="00864D7F"/>
    <w:rsid w:val="00864F9D"/>
    <w:rsid w:val="00865045"/>
    <w:rsid w:val="008659E8"/>
    <w:rsid w:val="00865A3C"/>
    <w:rsid w:val="00865A71"/>
    <w:rsid w:val="00865B1A"/>
    <w:rsid w:val="00865C17"/>
    <w:rsid w:val="00865D45"/>
    <w:rsid w:val="008660A5"/>
    <w:rsid w:val="00866503"/>
    <w:rsid w:val="008666A2"/>
    <w:rsid w:val="00866C6D"/>
    <w:rsid w:val="00866CC2"/>
    <w:rsid w:val="00866D9C"/>
    <w:rsid w:val="008671D1"/>
    <w:rsid w:val="00867352"/>
    <w:rsid w:val="008673A4"/>
    <w:rsid w:val="00867580"/>
    <w:rsid w:val="0086799A"/>
    <w:rsid w:val="00867A95"/>
    <w:rsid w:val="00867B03"/>
    <w:rsid w:val="00867B9E"/>
    <w:rsid w:val="00867DD7"/>
    <w:rsid w:val="00867DD9"/>
    <w:rsid w:val="00867E96"/>
    <w:rsid w:val="00867ED1"/>
    <w:rsid w:val="00867F59"/>
    <w:rsid w:val="00870202"/>
    <w:rsid w:val="008704DA"/>
    <w:rsid w:val="0087076E"/>
    <w:rsid w:val="00870A43"/>
    <w:rsid w:val="00870B41"/>
    <w:rsid w:val="00870CA5"/>
    <w:rsid w:val="00870CB7"/>
    <w:rsid w:val="00870DC5"/>
    <w:rsid w:val="00870F3B"/>
    <w:rsid w:val="00870F8E"/>
    <w:rsid w:val="00871029"/>
    <w:rsid w:val="00871145"/>
    <w:rsid w:val="00871246"/>
    <w:rsid w:val="0087125C"/>
    <w:rsid w:val="008712E9"/>
    <w:rsid w:val="00871358"/>
    <w:rsid w:val="00871418"/>
    <w:rsid w:val="0087143E"/>
    <w:rsid w:val="00871475"/>
    <w:rsid w:val="008714C8"/>
    <w:rsid w:val="008717C9"/>
    <w:rsid w:val="008717F7"/>
    <w:rsid w:val="00871A40"/>
    <w:rsid w:val="00871BEE"/>
    <w:rsid w:val="00871D23"/>
    <w:rsid w:val="00871DA5"/>
    <w:rsid w:val="0087212F"/>
    <w:rsid w:val="008723F3"/>
    <w:rsid w:val="0087254D"/>
    <w:rsid w:val="00872593"/>
    <w:rsid w:val="008725F4"/>
    <w:rsid w:val="008727C3"/>
    <w:rsid w:val="008727F6"/>
    <w:rsid w:val="008728D1"/>
    <w:rsid w:val="008728D5"/>
    <w:rsid w:val="00872D61"/>
    <w:rsid w:val="00872D81"/>
    <w:rsid w:val="00872DB5"/>
    <w:rsid w:val="00872DBC"/>
    <w:rsid w:val="008730B3"/>
    <w:rsid w:val="008734C5"/>
    <w:rsid w:val="008736D4"/>
    <w:rsid w:val="00873861"/>
    <w:rsid w:val="00873865"/>
    <w:rsid w:val="008738AF"/>
    <w:rsid w:val="0087395F"/>
    <w:rsid w:val="00873AC3"/>
    <w:rsid w:val="00873B5C"/>
    <w:rsid w:val="00873BEC"/>
    <w:rsid w:val="00873CAA"/>
    <w:rsid w:val="00873E2C"/>
    <w:rsid w:val="00873E60"/>
    <w:rsid w:val="00873E93"/>
    <w:rsid w:val="00873F5F"/>
    <w:rsid w:val="00873F74"/>
    <w:rsid w:val="00873FE3"/>
    <w:rsid w:val="0087448C"/>
    <w:rsid w:val="0087470C"/>
    <w:rsid w:val="00874933"/>
    <w:rsid w:val="00874D0A"/>
    <w:rsid w:val="00874DEF"/>
    <w:rsid w:val="0087516D"/>
    <w:rsid w:val="0087526D"/>
    <w:rsid w:val="00875456"/>
    <w:rsid w:val="008754C1"/>
    <w:rsid w:val="0087557D"/>
    <w:rsid w:val="008755F3"/>
    <w:rsid w:val="00875A2F"/>
    <w:rsid w:val="00875AD7"/>
    <w:rsid w:val="00875B7F"/>
    <w:rsid w:val="00875C0D"/>
    <w:rsid w:val="00875C67"/>
    <w:rsid w:val="00875D0D"/>
    <w:rsid w:val="00875D29"/>
    <w:rsid w:val="00875DDA"/>
    <w:rsid w:val="00875E7C"/>
    <w:rsid w:val="00875E91"/>
    <w:rsid w:val="00876342"/>
    <w:rsid w:val="008766B8"/>
    <w:rsid w:val="00876778"/>
    <w:rsid w:val="00876900"/>
    <w:rsid w:val="00876B79"/>
    <w:rsid w:val="00876BB3"/>
    <w:rsid w:val="00876E73"/>
    <w:rsid w:val="00876E88"/>
    <w:rsid w:val="0087704A"/>
    <w:rsid w:val="00877097"/>
    <w:rsid w:val="0087709F"/>
    <w:rsid w:val="00877236"/>
    <w:rsid w:val="0087730D"/>
    <w:rsid w:val="00877419"/>
    <w:rsid w:val="00877437"/>
    <w:rsid w:val="00877529"/>
    <w:rsid w:val="00877680"/>
    <w:rsid w:val="00877764"/>
    <w:rsid w:val="0087778D"/>
    <w:rsid w:val="008778DC"/>
    <w:rsid w:val="00877BF4"/>
    <w:rsid w:val="00877F1F"/>
    <w:rsid w:val="0087CF46"/>
    <w:rsid w:val="00880357"/>
    <w:rsid w:val="00880A50"/>
    <w:rsid w:val="00880B77"/>
    <w:rsid w:val="00880D4C"/>
    <w:rsid w:val="00880E45"/>
    <w:rsid w:val="00880EF7"/>
    <w:rsid w:val="00880F0A"/>
    <w:rsid w:val="00881219"/>
    <w:rsid w:val="00881398"/>
    <w:rsid w:val="00881404"/>
    <w:rsid w:val="008815D1"/>
    <w:rsid w:val="008816A2"/>
    <w:rsid w:val="008816DB"/>
    <w:rsid w:val="008816E2"/>
    <w:rsid w:val="0088173F"/>
    <w:rsid w:val="008818AF"/>
    <w:rsid w:val="008818BB"/>
    <w:rsid w:val="008818D0"/>
    <w:rsid w:val="00881A91"/>
    <w:rsid w:val="00881E1F"/>
    <w:rsid w:val="00882102"/>
    <w:rsid w:val="008821EA"/>
    <w:rsid w:val="00882318"/>
    <w:rsid w:val="0088241F"/>
    <w:rsid w:val="00882A56"/>
    <w:rsid w:val="00882B67"/>
    <w:rsid w:val="00882B73"/>
    <w:rsid w:val="00882CBE"/>
    <w:rsid w:val="00882DC0"/>
    <w:rsid w:val="00882F39"/>
    <w:rsid w:val="00882F67"/>
    <w:rsid w:val="00882FE2"/>
    <w:rsid w:val="00883089"/>
    <w:rsid w:val="008830C5"/>
    <w:rsid w:val="008830DD"/>
    <w:rsid w:val="00883690"/>
    <w:rsid w:val="008836DF"/>
    <w:rsid w:val="00883983"/>
    <w:rsid w:val="00883AAC"/>
    <w:rsid w:val="00883CAB"/>
    <w:rsid w:val="00883CB0"/>
    <w:rsid w:val="00884202"/>
    <w:rsid w:val="008845B2"/>
    <w:rsid w:val="008845F6"/>
    <w:rsid w:val="0088483E"/>
    <w:rsid w:val="0088486E"/>
    <w:rsid w:val="008848C9"/>
    <w:rsid w:val="00884B0A"/>
    <w:rsid w:val="00884BCC"/>
    <w:rsid w:val="00884C67"/>
    <w:rsid w:val="00884C9C"/>
    <w:rsid w:val="00884CE6"/>
    <w:rsid w:val="00884E4B"/>
    <w:rsid w:val="00884F0F"/>
    <w:rsid w:val="00884F11"/>
    <w:rsid w:val="00885107"/>
    <w:rsid w:val="008852AE"/>
    <w:rsid w:val="0088531E"/>
    <w:rsid w:val="00885327"/>
    <w:rsid w:val="00885328"/>
    <w:rsid w:val="00885460"/>
    <w:rsid w:val="0088559A"/>
    <w:rsid w:val="0088571D"/>
    <w:rsid w:val="00885904"/>
    <w:rsid w:val="00885C47"/>
    <w:rsid w:val="00885D36"/>
    <w:rsid w:val="00885F05"/>
    <w:rsid w:val="00885F0F"/>
    <w:rsid w:val="00886048"/>
    <w:rsid w:val="00886147"/>
    <w:rsid w:val="008862AA"/>
    <w:rsid w:val="008862E5"/>
    <w:rsid w:val="00886A7B"/>
    <w:rsid w:val="00886FC3"/>
    <w:rsid w:val="00887398"/>
    <w:rsid w:val="00887408"/>
    <w:rsid w:val="00887547"/>
    <w:rsid w:val="008875F5"/>
    <w:rsid w:val="00887866"/>
    <w:rsid w:val="008878EB"/>
    <w:rsid w:val="008879C0"/>
    <w:rsid w:val="00887BCF"/>
    <w:rsid w:val="00887DBC"/>
    <w:rsid w:val="00887F85"/>
    <w:rsid w:val="008901EC"/>
    <w:rsid w:val="0089026D"/>
    <w:rsid w:val="00890747"/>
    <w:rsid w:val="00890AEF"/>
    <w:rsid w:val="00890B61"/>
    <w:rsid w:val="00890E06"/>
    <w:rsid w:val="00890E1B"/>
    <w:rsid w:val="008917D8"/>
    <w:rsid w:val="00891826"/>
    <w:rsid w:val="00891B26"/>
    <w:rsid w:val="00891BFE"/>
    <w:rsid w:val="00891DA7"/>
    <w:rsid w:val="00891E86"/>
    <w:rsid w:val="0089216D"/>
    <w:rsid w:val="00892199"/>
    <w:rsid w:val="008922B3"/>
    <w:rsid w:val="00892348"/>
    <w:rsid w:val="0089255C"/>
    <w:rsid w:val="00892892"/>
    <w:rsid w:val="008928A3"/>
    <w:rsid w:val="00892B91"/>
    <w:rsid w:val="00892BCF"/>
    <w:rsid w:val="00892CCA"/>
    <w:rsid w:val="00892D5C"/>
    <w:rsid w:val="00892D9A"/>
    <w:rsid w:val="00892F57"/>
    <w:rsid w:val="00892FBB"/>
    <w:rsid w:val="00892FFA"/>
    <w:rsid w:val="00893264"/>
    <w:rsid w:val="00893284"/>
    <w:rsid w:val="008932F8"/>
    <w:rsid w:val="00893331"/>
    <w:rsid w:val="008933AD"/>
    <w:rsid w:val="008933F6"/>
    <w:rsid w:val="00893641"/>
    <w:rsid w:val="00893862"/>
    <w:rsid w:val="00893899"/>
    <w:rsid w:val="00893956"/>
    <w:rsid w:val="00893AE2"/>
    <w:rsid w:val="00893B44"/>
    <w:rsid w:val="00893D35"/>
    <w:rsid w:val="00893DF0"/>
    <w:rsid w:val="00893E72"/>
    <w:rsid w:val="00893F01"/>
    <w:rsid w:val="00893F71"/>
    <w:rsid w:val="00893FAC"/>
    <w:rsid w:val="008940F4"/>
    <w:rsid w:val="0089422D"/>
    <w:rsid w:val="008942CD"/>
    <w:rsid w:val="00894301"/>
    <w:rsid w:val="00894398"/>
    <w:rsid w:val="0089452F"/>
    <w:rsid w:val="00894A17"/>
    <w:rsid w:val="00894C66"/>
    <w:rsid w:val="00894EC3"/>
    <w:rsid w:val="0089504A"/>
    <w:rsid w:val="00895141"/>
    <w:rsid w:val="008954FF"/>
    <w:rsid w:val="00895530"/>
    <w:rsid w:val="00895671"/>
    <w:rsid w:val="00895F9E"/>
    <w:rsid w:val="00895FD4"/>
    <w:rsid w:val="008963A2"/>
    <w:rsid w:val="00896840"/>
    <w:rsid w:val="00896B6B"/>
    <w:rsid w:val="00896C35"/>
    <w:rsid w:val="00896E87"/>
    <w:rsid w:val="00896EFE"/>
    <w:rsid w:val="00897273"/>
    <w:rsid w:val="008972DB"/>
    <w:rsid w:val="008973D8"/>
    <w:rsid w:val="0089747D"/>
    <w:rsid w:val="008974C5"/>
    <w:rsid w:val="008976D2"/>
    <w:rsid w:val="008977DE"/>
    <w:rsid w:val="00897886"/>
    <w:rsid w:val="008978A0"/>
    <w:rsid w:val="00897E3F"/>
    <w:rsid w:val="008A009F"/>
    <w:rsid w:val="008A015A"/>
    <w:rsid w:val="008A01A8"/>
    <w:rsid w:val="008A0370"/>
    <w:rsid w:val="008A03DA"/>
    <w:rsid w:val="008A047A"/>
    <w:rsid w:val="008A04AD"/>
    <w:rsid w:val="008A057C"/>
    <w:rsid w:val="008A0673"/>
    <w:rsid w:val="008A0777"/>
    <w:rsid w:val="008A07F9"/>
    <w:rsid w:val="008A0862"/>
    <w:rsid w:val="008A08DC"/>
    <w:rsid w:val="008A0A90"/>
    <w:rsid w:val="008A0AF4"/>
    <w:rsid w:val="008A0C7E"/>
    <w:rsid w:val="008A0CA4"/>
    <w:rsid w:val="008A1004"/>
    <w:rsid w:val="008A124E"/>
    <w:rsid w:val="008A12C0"/>
    <w:rsid w:val="008A13B6"/>
    <w:rsid w:val="008A13C8"/>
    <w:rsid w:val="008A1644"/>
    <w:rsid w:val="008A16CA"/>
    <w:rsid w:val="008A171E"/>
    <w:rsid w:val="008A18C0"/>
    <w:rsid w:val="008A18C6"/>
    <w:rsid w:val="008A18DB"/>
    <w:rsid w:val="008A1A4C"/>
    <w:rsid w:val="008A1A94"/>
    <w:rsid w:val="008A1BD6"/>
    <w:rsid w:val="008A1DBA"/>
    <w:rsid w:val="008A1E0B"/>
    <w:rsid w:val="008A1FF4"/>
    <w:rsid w:val="008A219B"/>
    <w:rsid w:val="008A231D"/>
    <w:rsid w:val="008A25F7"/>
    <w:rsid w:val="008A2933"/>
    <w:rsid w:val="008A2A0D"/>
    <w:rsid w:val="008A2C99"/>
    <w:rsid w:val="008A2CCD"/>
    <w:rsid w:val="008A2F93"/>
    <w:rsid w:val="008A30D0"/>
    <w:rsid w:val="008A30EB"/>
    <w:rsid w:val="008A3250"/>
    <w:rsid w:val="008A3492"/>
    <w:rsid w:val="008A34BB"/>
    <w:rsid w:val="008A354D"/>
    <w:rsid w:val="008A3769"/>
    <w:rsid w:val="008A38EB"/>
    <w:rsid w:val="008A3B10"/>
    <w:rsid w:val="008A3C6D"/>
    <w:rsid w:val="008A4080"/>
    <w:rsid w:val="008A427C"/>
    <w:rsid w:val="008A42F3"/>
    <w:rsid w:val="008A43C2"/>
    <w:rsid w:val="008A4557"/>
    <w:rsid w:val="008A45A6"/>
    <w:rsid w:val="008A4777"/>
    <w:rsid w:val="008A482C"/>
    <w:rsid w:val="008A49BB"/>
    <w:rsid w:val="008A4B4E"/>
    <w:rsid w:val="008A4BF3"/>
    <w:rsid w:val="008A4BFB"/>
    <w:rsid w:val="008A4C22"/>
    <w:rsid w:val="008A508E"/>
    <w:rsid w:val="008A50E9"/>
    <w:rsid w:val="008A5251"/>
    <w:rsid w:val="008A52CE"/>
    <w:rsid w:val="008A52D2"/>
    <w:rsid w:val="008A538E"/>
    <w:rsid w:val="008A54CB"/>
    <w:rsid w:val="008A5556"/>
    <w:rsid w:val="008A5564"/>
    <w:rsid w:val="008A5574"/>
    <w:rsid w:val="008A5661"/>
    <w:rsid w:val="008A56C1"/>
    <w:rsid w:val="008A57B7"/>
    <w:rsid w:val="008A580E"/>
    <w:rsid w:val="008A5AE5"/>
    <w:rsid w:val="008A5AF1"/>
    <w:rsid w:val="008A5B45"/>
    <w:rsid w:val="008A5C28"/>
    <w:rsid w:val="008A5CEA"/>
    <w:rsid w:val="008A5DCF"/>
    <w:rsid w:val="008A5EB4"/>
    <w:rsid w:val="008A612E"/>
    <w:rsid w:val="008A614F"/>
    <w:rsid w:val="008A62E2"/>
    <w:rsid w:val="008A6443"/>
    <w:rsid w:val="008A6524"/>
    <w:rsid w:val="008A65EF"/>
    <w:rsid w:val="008A6832"/>
    <w:rsid w:val="008A6A63"/>
    <w:rsid w:val="008A6BE1"/>
    <w:rsid w:val="008A707D"/>
    <w:rsid w:val="008A70B5"/>
    <w:rsid w:val="008A734B"/>
    <w:rsid w:val="008A7694"/>
    <w:rsid w:val="008A7962"/>
    <w:rsid w:val="008A7B22"/>
    <w:rsid w:val="008A7CB7"/>
    <w:rsid w:val="008A7CCB"/>
    <w:rsid w:val="008A7E04"/>
    <w:rsid w:val="008A7F0F"/>
    <w:rsid w:val="008A7F86"/>
    <w:rsid w:val="008B00EC"/>
    <w:rsid w:val="008B02BC"/>
    <w:rsid w:val="008B02C9"/>
    <w:rsid w:val="008B068D"/>
    <w:rsid w:val="008B079A"/>
    <w:rsid w:val="008B096E"/>
    <w:rsid w:val="008B099C"/>
    <w:rsid w:val="008B0AFB"/>
    <w:rsid w:val="008B0B48"/>
    <w:rsid w:val="008B0E0E"/>
    <w:rsid w:val="008B12B5"/>
    <w:rsid w:val="008B1312"/>
    <w:rsid w:val="008B134C"/>
    <w:rsid w:val="008B13DA"/>
    <w:rsid w:val="008B146D"/>
    <w:rsid w:val="008B156B"/>
    <w:rsid w:val="008B19DB"/>
    <w:rsid w:val="008B1A19"/>
    <w:rsid w:val="008B1A1D"/>
    <w:rsid w:val="008B1B88"/>
    <w:rsid w:val="008B1C91"/>
    <w:rsid w:val="008B1D9C"/>
    <w:rsid w:val="008B1DB3"/>
    <w:rsid w:val="008B1ED1"/>
    <w:rsid w:val="008B1F75"/>
    <w:rsid w:val="008B1F9F"/>
    <w:rsid w:val="008B2037"/>
    <w:rsid w:val="008B2140"/>
    <w:rsid w:val="008B225F"/>
    <w:rsid w:val="008B24DA"/>
    <w:rsid w:val="008B251E"/>
    <w:rsid w:val="008B26A6"/>
    <w:rsid w:val="008B280A"/>
    <w:rsid w:val="008B29BC"/>
    <w:rsid w:val="008B2ECF"/>
    <w:rsid w:val="008B2FAC"/>
    <w:rsid w:val="008B3024"/>
    <w:rsid w:val="008B3345"/>
    <w:rsid w:val="008B3377"/>
    <w:rsid w:val="008B3478"/>
    <w:rsid w:val="008B3AAA"/>
    <w:rsid w:val="008B3D4A"/>
    <w:rsid w:val="008B3DEA"/>
    <w:rsid w:val="008B3E2B"/>
    <w:rsid w:val="008B3F42"/>
    <w:rsid w:val="008B4176"/>
    <w:rsid w:val="008B439E"/>
    <w:rsid w:val="008B449B"/>
    <w:rsid w:val="008B4697"/>
    <w:rsid w:val="008B484D"/>
    <w:rsid w:val="008B4A6D"/>
    <w:rsid w:val="008B4C44"/>
    <w:rsid w:val="008B4E1D"/>
    <w:rsid w:val="008B4F9F"/>
    <w:rsid w:val="008B4FAA"/>
    <w:rsid w:val="008B4FB1"/>
    <w:rsid w:val="008B5065"/>
    <w:rsid w:val="008B5465"/>
    <w:rsid w:val="008B5865"/>
    <w:rsid w:val="008B5AD9"/>
    <w:rsid w:val="008B5CC9"/>
    <w:rsid w:val="008B5D2F"/>
    <w:rsid w:val="008B5FD3"/>
    <w:rsid w:val="008B65C0"/>
    <w:rsid w:val="008B667C"/>
    <w:rsid w:val="008B676B"/>
    <w:rsid w:val="008B6FF1"/>
    <w:rsid w:val="008B7042"/>
    <w:rsid w:val="008B7567"/>
    <w:rsid w:val="008B75E9"/>
    <w:rsid w:val="008B7695"/>
    <w:rsid w:val="008B7C4B"/>
    <w:rsid w:val="008B7DD8"/>
    <w:rsid w:val="008B7EED"/>
    <w:rsid w:val="008C01B7"/>
    <w:rsid w:val="008C029D"/>
    <w:rsid w:val="008C05FB"/>
    <w:rsid w:val="008C06BF"/>
    <w:rsid w:val="008C0819"/>
    <w:rsid w:val="008C09F3"/>
    <w:rsid w:val="008C0B55"/>
    <w:rsid w:val="008C0E02"/>
    <w:rsid w:val="008C107B"/>
    <w:rsid w:val="008C11D3"/>
    <w:rsid w:val="008C1221"/>
    <w:rsid w:val="008C129C"/>
    <w:rsid w:val="008C1594"/>
    <w:rsid w:val="008C1656"/>
    <w:rsid w:val="008C169F"/>
    <w:rsid w:val="008C172E"/>
    <w:rsid w:val="008C17FF"/>
    <w:rsid w:val="008C1C5F"/>
    <w:rsid w:val="008C1DDE"/>
    <w:rsid w:val="008C22D6"/>
    <w:rsid w:val="008C2486"/>
    <w:rsid w:val="008C25F7"/>
    <w:rsid w:val="008C2640"/>
    <w:rsid w:val="008C290B"/>
    <w:rsid w:val="008C2D7F"/>
    <w:rsid w:val="008C2DD4"/>
    <w:rsid w:val="008C2DFD"/>
    <w:rsid w:val="008C2EAE"/>
    <w:rsid w:val="008C2F5C"/>
    <w:rsid w:val="008C2F64"/>
    <w:rsid w:val="008C2FE9"/>
    <w:rsid w:val="008C34CC"/>
    <w:rsid w:val="008C34EF"/>
    <w:rsid w:val="008C360A"/>
    <w:rsid w:val="008C3639"/>
    <w:rsid w:val="008C3983"/>
    <w:rsid w:val="008C3AE5"/>
    <w:rsid w:val="008C3B49"/>
    <w:rsid w:val="008C3C22"/>
    <w:rsid w:val="008C3CF4"/>
    <w:rsid w:val="008C3E46"/>
    <w:rsid w:val="008C4032"/>
    <w:rsid w:val="008C403D"/>
    <w:rsid w:val="008C4159"/>
    <w:rsid w:val="008C41C1"/>
    <w:rsid w:val="008C42B5"/>
    <w:rsid w:val="008C445B"/>
    <w:rsid w:val="008C463E"/>
    <w:rsid w:val="008C466A"/>
    <w:rsid w:val="008C4887"/>
    <w:rsid w:val="008C49E3"/>
    <w:rsid w:val="008C4BAC"/>
    <w:rsid w:val="008C4BF0"/>
    <w:rsid w:val="008C4CC3"/>
    <w:rsid w:val="008C4D46"/>
    <w:rsid w:val="008C4D67"/>
    <w:rsid w:val="008C4E81"/>
    <w:rsid w:val="008C4F76"/>
    <w:rsid w:val="008C5118"/>
    <w:rsid w:val="008C5190"/>
    <w:rsid w:val="008C51A9"/>
    <w:rsid w:val="008C5503"/>
    <w:rsid w:val="008C55AC"/>
    <w:rsid w:val="008C55D1"/>
    <w:rsid w:val="008C5607"/>
    <w:rsid w:val="008C59AF"/>
    <w:rsid w:val="008C5D59"/>
    <w:rsid w:val="008C5DBF"/>
    <w:rsid w:val="008C5E29"/>
    <w:rsid w:val="008C604E"/>
    <w:rsid w:val="008C63EB"/>
    <w:rsid w:val="008C6476"/>
    <w:rsid w:val="008C64B8"/>
    <w:rsid w:val="008C6605"/>
    <w:rsid w:val="008C6962"/>
    <w:rsid w:val="008C6BD5"/>
    <w:rsid w:val="008C6C95"/>
    <w:rsid w:val="008C6CFA"/>
    <w:rsid w:val="008C6D30"/>
    <w:rsid w:val="008C6DFD"/>
    <w:rsid w:val="008C7108"/>
    <w:rsid w:val="008C7135"/>
    <w:rsid w:val="008C7153"/>
    <w:rsid w:val="008C71FA"/>
    <w:rsid w:val="008C72A1"/>
    <w:rsid w:val="008C7429"/>
    <w:rsid w:val="008C769F"/>
    <w:rsid w:val="008C7788"/>
    <w:rsid w:val="008C787F"/>
    <w:rsid w:val="008C788C"/>
    <w:rsid w:val="008C7995"/>
    <w:rsid w:val="008C7D50"/>
    <w:rsid w:val="008C7EE1"/>
    <w:rsid w:val="008D005C"/>
    <w:rsid w:val="008D029E"/>
    <w:rsid w:val="008D03B1"/>
    <w:rsid w:val="008D0400"/>
    <w:rsid w:val="008D0822"/>
    <w:rsid w:val="008D0971"/>
    <w:rsid w:val="008D0A37"/>
    <w:rsid w:val="008D0B18"/>
    <w:rsid w:val="008D0B75"/>
    <w:rsid w:val="008D1028"/>
    <w:rsid w:val="008D1197"/>
    <w:rsid w:val="008D123C"/>
    <w:rsid w:val="008D1359"/>
    <w:rsid w:val="008D15A4"/>
    <w:rsid w:val="008D16D1"/>
    <w:rsid w:val="008D17A4"/>
    <w:rsid w:val="008D1DA4"/>
    <w:rsid w:val="008D1F4D"/>
    <w:rsid w:val="008D1F6B"/>
    <w:rsid w:val="008D2351"/>
    <w:rsid w:val="008D2413"/>
    <w:rsid w:val="008D256F"/>
    <w:rsid w:val="008D28C5"/>
    <w:rsid w:val="008D2959"/>
    <w:rsid w:val="008D2988"/>
    <w:rsid w:val="008D2C56"/>
    <w:rsid w:val="008D2DCB"/>
    <w:rsid w:val="008D34F7"/>
    <w:rsid w:val="008D35DA"/>
    <w:rsid w:val="008D35F9"/>
    <w:rsid w:val="008D374C"/>
    <w:rsid w:val="008D3E8B"/>
    <w:rsid w:val="008D3EF1"/>
    <w:rsid w:val="008D402D"/>
    <w:rsid w:val="008D406B"/>
    <w:rsid w:val="008D423E"/>
    <w:rsid w:val="008D46F8"/>
    <w:rsid w:val="008D4766"/>
    <w:rsid w:val="008D4871"/>
    <w:rsid w:val="008D4B3F"/>
    <w:rsid w:val="008D4C34"/>
    <w:rsid w:val="008D4DAB"/>
    <w:rsid w:val="008D4EB2"/>
    <w:rsid w:val="008D5158"/>
    <w:rsid w:val="008D5359"/>
    <w:rsid w:val="008D54A8"/>
    <w:rsid w:val="008D56F5"/>
    <w:rsid w:val="008D56FB"/>
    <w:rsid w:val="008D577F"/>
    <w:rsid w:val="008D5E1E"/>
    <w:rsid w:val="008D5F80"/>
    <w:rsid w:val="008D5FA4"/>
    <w:rsid w:val="008D649F"/>
    <w:rsid w:val="008D6537"/>
    <w:rsid w:val="008D6576"/>
    <w:rsid w:val="008D65F2"/>
    <w:rsid w:val="008D67C1"/>
    <w:rsid w:val="008D687D"/>
    <w:rsid w:val="008D6960"/>
    <w:rsid w:val="008D6A6C"/>
    <w:rsid w:val="008D6F8C"/>
    <w:rsid w:val="008D71C0"/>
    <w:rsid w:val="008D7280"/>
    <w:rsid w:val="008D7346"/>
    <w:rsid w:val="008D769E"/>
    <w:rsid w:val="008D7790"/>
    <w:rsid w:val="008D78F9"/>
    <w:rsid w:val="008D7CAD"/>
    <w:rsid w:val="008D7DD9"/>
    <w:rsid w:val="008D7DF4"/>
    <w:rsid w:val="008E018A"/>
    <w:rsid w:val="008E0499"/>
    <w:rsid w:val="008E0592"/>
    <w:rsid w:val="008E066F"/>
    <w:rsid w:val="008E0741"/>
    <w:rsid w:val="008E0938"/>
    <w:rsid w:val="008E0998"/>
    <w:rsid w:val="008E09A7"/>
    <w:rsid w:val="008E0A67"/>
    <w:rsid w:val="008E0A82"/>
    <w:rsid w:val="008E0D1E"/>
    <w:rsid w:val="008E0E62"/>
    <w:rsid w:val="008E0F3B"/>
    <w:rsid w:val="008E0FB7"/>
    <w:rsid w:val="008E11FF"/>
    <w:rsid w:val="008E126B"/>
    <w:rsid w:val="008E183A"/>
    <w:rsid w:val="008E1846"/>
    <w:rsid w:val="008E1A1A"/>
    <w:rsid w:val="008E1BA1"/>
    <w:rsid w:val="008E2210"/>
    <w:rsid w:val="008E2544"/>
    <w:rsid w:val="008E2971"/>
    <w:rsid w:val="008E297C"/>
    <w:rsid w:val="008E2A5F"/>
    <w:rsid w:val="008E2B7F"/>
    <w:rsid w:val="008E2BCF"/>
    <w:rsid w:val="008E2C6D"/>
    <w:rsid w:val="008E2C85"/>
    <w:rsid w:val="008E2E49"/>
    <w:rsid w:val="008E2EF5"/>
    <w:rsid w:val="008E3128"/>
    <w:rsid w:val="008E34D6"/>
    <w:rsid w:val="008E3699"/>
    <w:rsid w:val="008E387A"/>
    <w:rsid w:val="008E39B4"/>
    <w:rsid w:val="008E3FEF"/>
    <w:rsid w:val="008E4108"/>
    <w:rsid w:val="008E4359"/>
    <w:rsid w:val="008E46AD"/>
    <w:rsid w:val="008E4812"/>
    <w:rsid w:val="008E490F"/>
    <w:rsid w:val="008E4A29"/>
    <w:rsid w:val="008E4AD7"/>
    <w:rsid w:val="008E4CA3"/>
    <w:rsid w:val="008E4FCA"/>
    <w:rsid w:val="008E5404"/>
    <w:rsid w:val="008E5530"/>
    <w:rsid w:val="008E5605"/>
    <w:rsid w:val="008E5665"/>
    <w:rsid w:val="008E5A4F"/>
    <w:rsid w:val="008E5A6D"/>
    <w:rsid w:val="008E5A82"/>
    <w:rsid w:val="008E5AF9"/>
    <w:rsid w:val="008E5D78"/>
    <w:rsid w:val="008E5E7A"/>
    <w:rsid w:val="008E664B"/>
    <w:rsid w:val="008E6706"/>
    <w:rsid w:val="008E6925"/>
    <w:rsid w:val="008E6939"/>
    <w:rsid w:val="008E69D6"/>
    <w:rsid w:val="008E6D2C"/>
    <w:rsid w:val="008E6E0B"/>
    <w:rsid w:val="008E6EFD"/>
    <w:rsid w:val="008E7021"/>
    <w:rsid w:val="008E75BB"/>
    <w:rsid w:val="008E7631"/>
    <w:rsid w:val="008E7A77"/>
    <w:rsid w:val="008E7A8A"/>
    <w:rsid w:val="008E7BC3"/>
    <w:rsid w:val="008E7EE6"/>
    <w:rsid w:val="008F002D"/>
    <w:rsid w:val="008F0207"/>
    <w:rsid w:val="008F02D7"/>
    <w:rsid w:val="008F05D9"/>
    <w:rsid w:val="008F0869"/>
    <w:rsid w:val="008F0A0D"/>
    <w:rsid w:val="008F0A7F"/>
    <w:rsid w:val="008F1313"/>
    <w:rsid w:val="008F16B3"/>
    <w:rsid w:val="008F17CF"/>
    <w:rsid w:val="008F17F3"/>
    <w:rsid w:val="008F1882"/>
    <w:rsid w:val="008F1B51"/>
    <w:rsid w:val="008F1D03"/>
    <w:rsid w:val="008F2ABA"/>
    <w:rsid w:val="008F2B3A"/>
    <w:rsid w:val="008F2EC5"/>
    <w:rsid w:val="008F3140"/>
    <w:rsid w:val="008F319C"/>
    <w:rsid w:val="008F3420"/>
    <w:rsid w:val="008F342F"/>
    <w:rsid w:val="008F3454"/>
    <w:rsid w:val="008F3587"/>
    <w:rsid w:val="008F35B8"/>
    <w:rsid w:val="008F3643"/>
    <w:rsid w:val="008F3646"/>
    <w:rsid w:val="008F36E4"/>
    <w:rsid w:val="008F3A05"/>
    <w:rsid w:val="008F3B6E"/>
    <w:rsid w:val="008F3D44"/>
    <w:rsid w:val="008F3DED"/>
    <w:rsid w:val="008F3FBC"/>
    <w:rsid w:val="008F3FEE"/>
    <w:rsid w:val="008F4245"/>
    <w:rsid w:val="008F42EF"/>
    <w:rsid w:val="008F44D1"/>
    <w:rsid w:val="008F4603"/>
    <w:rsid w:val="008F47CA"/>
    <w:rsid w:val="008F47FC"/>
    <w:rsid w:val="008F4965"/>
    <w:rsid w:val="008F4C34"/>
    <w:rsid w:val="008F4DA3"/>
    <w:rsid w:val="008F4ED1"/>
    <w:rsid w:val="008F53FC"/>
    <w:rsid w:val="008F576A"/>
    <w:rsid w:val="008F5AD7"/>
    <w:rsid w:val="008F5D32"/>
    <w:rsid w:val="008F5E2E"/>
    <w:rsid w:val="008F5E39"/>
    <w:rsid w:val="008F60E3"/>
    <w:rsid w:val="008F63F9"/>
    <w:rsid w:val="008F640F"/>
    <w:rsid w:val="008F671C"/>
    <w:rsid w:val="008F686F"/>
    <w:rsid w:val="008F6A66"/>
    <w:rsid w:val="008F6A74"/>
    <w:rsid w:val="008F6B20"/>
    <w:rsid w:val="008F6BB1"/>
    <w:rsid w:val="008F6C2F"/>
    <w:rsid w:val="008F6D0F"/>
    <w:rsid w:val="008F6D31"/>
    <w:rsid w:val="008F6D60"/>
    <w:rsid w:val="008F6DE3"/>
    <w:rsid w:val="008F7254"/>
    <w:rsid w:val="008F726D"/>
    <w:rsid w:val="008F7623"/>
    <w:rsid w:val="008F765E"/>
    <w:rsid w:val="008F772A"/>
    <w:rsid w:val="008F778F"/>
    <w:rsid w:val="008F77C8"/>
    <w:rsid w:val="008F7AE6"/>
    <w:rsid w:val="008F7B5A"/>
    <w:rsid w:val="008F7B60"/>
    <w:rsid w:val="008F7BF2"/>
    <w:rsid w:val="008F7E12"/>
    <w:rsid w:val="008F7E2F"/>
    <w:rsid w:val="008F7E5F"/>
    <w:rsid w:val="0090012B"/>
    <w:rsid w:val="009009C3"/>
    <w:rsid w:val="00900EB7"/>
    <w:rsid w:val="00900F3C"/>
    <w:rsid w:val="00900F96"/>
    <w:rsid w:val="00900FC9"/>
    <w:rsid w:val="00901043"/>
    <w:rsid w:val="00901079"/>
    <w:rsid w:val="009011FF"/>
    <w:rsid w:val="0090123B"/>
    <w:rsid w:val="009013A0"/>
    <w:rsid w:val="0090164A"/>
    <w:rsid w:val="00901734"/>
    <w:rsid w:val="00901860"/>
    <w:rsid w:val="0090188D"/>
    <w:rsid w:val="00901BDB"/>
    <w:rsid w:val="00901C9A"/>
    <w:rsid w:val="00902156"/>
    <w:rsid w:val="0090236A"/>
    <w:rsid w:val="00902435"/>
    <w:rsid w:val="00902597"/>
    <w:rsid w:val="009025EA"/>
    <w:rsid w:val="0090273D"/>
    <w:rsid w:val="0090277F"/>
    <w:rsid w:val="009029B3"/>
    <w:rsid w:val="00902AC0"/>
    <w:rsid w:val="00902B7A"/>
    <w:rsid w:val="00902E18"/>
    <w:rsid w:val="00902FDB"/>
    <w:rsid w:val="009030C6"/>
    <w:rsid w:val="00903125"/>
    <w:rsid w:val="009031A8"/>
    <w:rsid w:val="009032B8"/>
    <w:rsid w:val="00903717"/>
    <w:rsid w:val="0090383E"/>
    <w:rsid w:val="00903AE2"/>
    <w:rsid w:val="00903AF9"/>
    <w:rsid w:val="00903C3C"/>
    <w:rsid w:val="00903CB9"/>
    <w:rsid w:val="00903D20"/>
    <w:rsid w:val="00903F24"/>
    <w:rsid w:val="009040D8"/>
    <w:rsid w:val="0090423F"/>
    <w:rsid w:val="009042D7"/>
    <w:rsid w:val="00904384"/>
    <w:rsid w:val="0090443D"/>
    <w:rsid w:val="00904621"/>
    <w:rsid w:val="00904C5C"/>
    <w:rsid w:val="00904DD7"/>
    <w:rsid w:val="0090508B"/>
    <w:rsid w:val="009050B2"/>
    <w:rsid w:val="00905131"/>
    <w:rsid w:val="00905155"/>
    <w:rsid w:val="009054D9"/>
    <w:rsid w:val="00905669"/>
    <w:rsid w:val="00905753"/>
    <w:rsid w:val="00905993"/>
    <w:rsid w:val="00905C4C"/>
    <w:rsid w:val="00905CD9"/>
    <w:rsid w:val="00905D9A"/>
    <w:rsid w:val="00905FCE"/>
    <w:rsid w:val="00906429"/>
    <w:rsid w:val="009064AA"/>
    <w:rsid w:val="00906580"/>
    <w:rsid w:val="0090676B"/>
    <w:rsid w:val="00906877"/>
    <w:rsid w:val="00906912"/>
    <w:rsid w:val="00906F79"/>
    <w:rsid w:val="00906FE6"/>
    <w:rsid w:val="009070BE"/>
    <w:rsid w:val="009071DA"/>
    <w:rsid w:val="009072B7"/>
    <w:rsid w:val="0090771A"/>
    <w:rsid w:val="009077DA"/>
    <w:rsid w:val="0090784B"/>
    <w:rsid w:val="00907B25"/>
    <w:rsid w:val="00907BE6"/>
    <w:rsid w:val="00907E70"/>
    <w:rsid w:val="009105DD"/>
    <w:rsid w:val="009106B0"/>
    <w:rsid w:val="00910945"/>
    <w:rsid w:val="00910D30"/>
    <w:rsid w:val="00910E96"/>
    <w:rsid w:val="00910F6A"/>
    <w:rsid w:val="009110D7"/>
    <w:rsid w:val="009110E6"/>
    <w:rsid w:val="0091140B"/>
    <w:rsid w:val="00911460"/>
    <w:rsid w:val="00911526"/>
    <w:rsid w:val="009115AA"/>
    <w:rsid w:val="0091161F"/>
    <w:rsid w:val="00911940"/>
    <w:rsid w:val="00911D2F"/>
    <w:rsid w:val="00911D95"/>
    <w:rsid w:val="00911F4D"/>
    <w:rsid w:val="00912222"/>
    <w:rsid w:val="00912A29"/>
    <w:rsid w:val="00912ACC"/>
    <w:rsid w:val="00912C72"/>
    <w:rsid w:val="00912DA7"/>
    <w:rsid w:val="009131E7"/>
    <w:rsid w:val="009132B3"/>
    <w:rsid w:val="009132F4"/>
    <w:rsid w:val="009135C0"/>
    <w:rsid w:val="0091385F"/>
    <w:rsid w:val="009138AC"/>
    <w:rsid w:val="009138B9"/>
    <w:rsid w:val="00913ABE"/>
    <w:rsid w:val="00913B9F"/>
    <w:rsid w:val="00913FAB"/>
    <w:rsid w:val="00913FC3"/>
    <w:rsid w:val="00914192"/>
    <w:rsid w:val="00914213"/>
    <w:rsid w:val="0091426C"/>
    <w:rsid w:val="00914309"/>
    <w:rsid w:val="00914364"/>
    <w:rsid w:val="0091437B"/>
    <w:rsid w:val="009144E5"/>
    <w:rsid w:val="009147F4"/>
    <w:rsid w:val="0091481F"/>
    <w:rsid w:val="0091494B"/>
    <w:rsid w:val="00914A13"/>
    <w:rsid w:val="00914BCF"/>
    <w:rsid w:val="00914C1A"/>
    <w:rsid w:val="00914DA7"/>
    <w:rsid w:val="00914DA9"/>
    <w:rsid w:val="00914FC0"/>
    <w:rsid w:val="009158FB"/>
    <w:rsid w:val="00915908"/>
    <w:rsid w:val="00915ACC"/>
    <w:rsid w:val="00915DA2"/>
    <w:rsid w:val="00915DA6"/>
    <w:rsid w:val="00915EA4"/>
    <w:rsid w:val="009160D8"/>
    <w:rsid w:val="009161C9"/>
    <w:rsid w:val="00916473"/>
    <w:rsid w:val="00916547"/>
    <w:rsid w:val="00916566"/>
    <w:rsid w:val="0091676A"/>
    <w:rsid w:val="00916A8A"/>
    <w:rsid w:val="00916E4E"/>
    <w:rsid w:val="00916E96"/>
    <w:rsid w:val="00917024"/>
    <w:rsid w:val="009174C0"/>
    <w:rsid w:val="009179EC"/>
    <w:rsid w:val="00917A5E"/>
    <w:rsid w:val="00917ABF"/>
    <w:rsid w:val="00917B59"/>
    <w:rsid w:val="00917D53"/>
    <w:rsid w:val="00917F59"/>
    <w:rsid w:val="00917FCA"/>
    <w:rsid w:val="00920050"/>
    <w:rsid w:val="0092032E"/>
    <w:rsid w:val="00920367"/>
    <w:rsid w:val="00920396"/>
    <w:rsid w:val="0092053D"/>
    <w:rsid w:val="00920742"/>
    <w:rsid w:val="00920851"/>
    <w:rsid w:val="00920A02"/>
    <w:rsid w:val="00920A36"/>
    <w:rsid w:val="00920AD5"/>
    <w:rsid w:val="00920BC8"/>
    <w:rsid w:val="00920DD2"/>
    <w:rsid w:val="00920E1F"/>
    <w:rsid w:val="00920F55"/>
    <w:rsid w:val="00920F76"/>
    <w:rsid w:val="0092117C"/>
    <w:rsid w:val="009211B2"/>
    <w:rsid w:val="00921307"/>
    <w:rsid w:val="0092139C"/>
    <w:rsid w:val="009213E6"/>
    <w:rsid w:val="009214D4"/>
    <w:rsid w:val="00921825"/>
    <w:rsid w:val="009218D4"/>
    <w:rsid w:val="009218FB"/>
    <w:rsid w:val="00921922"/>
    <w:rsid w:val="00921ACD"/>
    <w:rsid w:val="00921EC0"/>
    <w:rsid w:val="00921F89"/>
    <w:rsid w:val="00921FE4"/>
    <w:rsid w:val="00922130"/>
    <w:rsid w:val="009224AA"/>
    <w:rsid w:val="00922519"/>
    <w:rsid w:val="00922683"/>
    <w:rsid w:val="009227B2"/>
    <w:rsid w:val="009227E4"/>
    <w:rsid w:val="0092299B"/>
    <w:rsid w:val="009229E1"/>
    <w:rsid w:val="00922C30"/>
    <w:rsid w:val="00922F4D"/>
    <w:rsid w:val="0092308C"/>
    <w:rsid w:val="00923310"/>
    <w:rsid w:val="00923348"/>
    <w:rsid w:val="0092355B"/>
    <w:rsid w:val="009235F5"/>
    <w:rsid w:val="0092387A"/>
    <w:rsid w:val="00923AB0"/>
    <w:rsid w:val="00923D2C"/>
    <w:rsid w:val="00923D3A"/>
    <w:rsid w:val="009240D4"/>
    <w:rsid w:val="009241D7"/>
    <w:rsid w:val="009243E4"/>
    <w:rsid w:val="009244A5"/>
    <w:rsid w:val="009246B0"/>
    <w:rsid w:val="00924839"/>
    <w:rsid w:val="00924860"/>
    <w:rsid w:val="00924F6D"/>
    <w:rsid w:val="00925278"/>
    <w:rsid w:val="00925324"/>
    <w:rsid w:val="00925584"/>
    <w:rsid w:val="0092559B"/>
    <w:rsid w:val="009255A1"/>
    <w:rsid w:val="00925AF3"/>
    <w:rsid w:val="00925BFD"/>
    <w:rsid w:val="00925D8C"/>
    <w:rsid w:val="00925E28"/>
    <w:rsid w:val="00925E66"/>
    <w:rsid w:val="00925F72"/>
    <w:rsid w:val="009261DB"/>
    <w:rsid w:val="00926299"/>
    <w:rsid w:val="009262CA"/>
    <w:rsid w:val="00926419"/>
    <w:rsid w:val="009264F8"/>
    <w:rsid w:val="0092658E"/>
    <w:rsid w:val="009266D4"/>
    <w:rsid w:val="00926719"/>
    <w:rsid w:val="00926C54"/>
    <w:rsid w:val="00927204"/>
    <w:rsid w:val="009272B3"/>
    <w:rsid w:val="00927549"/>
    <w:rsid w:val="0092759C"/>
    <w:rsid w:val="0092772E"/>
    <w:rsid w:val="00927800"/>
    <w:rsid w:val="00927897"/>
    <w:rsid w:val="00927996"/>
    <w:rsid w:val="00927AE6"/>
    <w:rsid w:val="00927B85"/>
    <w:rsid w:val="00927DFC"/>
    <w:rsid w:val="0092A75F"/>
    <w:rsid w:val="0093003C"/>
    <w:rsid w:val="00930173"/>
    <w:rsid w:val="00930370"/>
    <w:rsid w:val="009307E3"/>
    <w:rsid w:val="0093086E"/>
    <w:rsid w:val="0093095C"/>
    <w:rsid w:val="00930B16"/>
    <w:rsid w:val="00930E76"/>
    <w:rsid w:val="00930FC0"/>
    <w:rsid w:val="00931189"/>
    <w:rsid w:val="00931322"/>
    <w:rsid w:val="00931347"/>
    <w:rsid w:val="009313C3"/>
    <w:rsid w:val="009314A1"/>
    <w:rsid w:val="009315CA"/>
    <w:rsid w:val="009316A2"/>
    <w:rsid w:val="0093194F"/>
    <w:rsid w:val="00931C85"/>
    <w:rsid w:val="00931E45"/>
    <w:rsid w:val="009320AC"/>
    <w:rsid w:val="0093229C"/>
    <w:rsid w:val="009324CA"/>
    <w:rsid w:val="0093254C"/>
    <w:rsid w:val="00932589"/>
    <w:rsid w:val="00932600"/>
    <w:rsid w:val="00932806"/>
    <w:rsid w:val="00932837"/>
    <w:rsid w:val="00932911"/>
    <w:rsid w:val="0093292A"/>
    <w:rsid w:val="00932AB4"/>
    <w:rsid w:val="00932C9D"/>
    <w:rsid w:val="00932CAC"/>
    <w:rsid w:val="00932DDA"/>
    <w:rsid w:val="00932DEA"/>
    <w:rsid w:val="009330DD"/>
    <w:rsid w:val="009332BA"/>
    <w:rsid w:val="00933310"/>
    <w:rsid w:val="009334EB"/>
    <w:rsid w:val="009335E4"/>
    <w:rsid w:val="00933AB6"/>
    <w:rsid w:val="00933C9B"/>
    <w:rsid w:val="00933F1D"/>
    <w:rsid w:val="00933F25"/>
    <w:rsid w:val="009340B2"/>
    <w:rsid w:val="00934267"/>
    <w:rsid w:val="009342EF"/>
    <w:rsid w:val="0093438A"/>
    <w:rsid w:val="009344CC"/>
    <w:rsid w:val="00934688"/>
    <w:rsid w:val="009347F2"/>
    <w:rsid w:val="0093482F"/>
    <w:rsid w:val="009348A7"/>
    <w:rsid w:val="009348B3"/>
    <w:rsid w:val="009348D3"/>
    <w:rsid w:val="009349F4"/>
    <w:rsid w:val="00934A66"/>
    <w:rsid w:val="00934B1C"/>
    <w:rsid w:val="00934D40"/>
    <w:rsid w:val="0093508E"/>
    <w:rsid w:val="009350B2"/>
    <w:rsid w:val="009351B0"/>
    <w:rsid w:val="00935490"/>
    <w:rsid w:val="009355B9"/>
    <w:rsid w:val="009359D1"/>
    <w:rsid w:val="00935A74"/>
    <w:rsid w:val="00935E64"/>
    <w:rsid w:val="0093616E"/>
    <w:rsid w:val="0093679A"/>
    <w:rsid w:val="009369D0"/>
    <w:rsid w:val="00936D4B"/>
    <w:rsid w:val="00936F1D"/>
    <w:rsid w:val="00936FF8"/>
    <w:rsid w:val="00937145"/>
    <w:rsid w:val="0093733F"/>
    <w:rsid w:val="00937483"/>
    <w:rsid w:val="0093776D"/>
    <w:rsid w:val="00937821"/>
    <w:rsid w:val="00937978"/>
    <w:rsid w:val="00937C56"/>
    <w:rsid w:val="00937CF9"/>
    <w:rsid w:val="00937DD4"/>
    <w:rsid w:val="00940012"/>
    <w:rsid w:val="00940109"/>
    <w:rsid w:val="00940361"/>
    <w:rsid w:val="009403A6"/>
    <w:rsid w:val="009408F9"/>
    <w:rsid w:val="00940C48"/>
    <w:rsid w:val="00940C5C"/>
    <w:rsid w:val="00940D9C"/>
    <w:rsid w:val="00940E8E"/>
    <w:rsid w:val="00941107"/>
    <w:rsid w:val="00941227"/>
    <w:rsid w:val="00941287"/>
    <w:rsid w:val="0094141A"/>
    <w:rsid w:val="00941685"/>
    <w:rsid w:val="009418C3"/>
    <w:rsid w:val="009418E8"/>
    <w:rsid w:val="00941F4C"/>
    <w:rsid w:val="00941F4F"/>
    <w:rsid w:val="0094204B"/>
    <w:rsid w:val="0094210F"/>
    <w:rsid w:val="009421BB"/>
    <w:rsid w:val="009422BC"/>
    <w:rsid w:val="009423D8"/>
    <w:rsid w:val="00942835"/>
    <w:rsid w:val="00942B1C"/>
    <w:rsid w:val="00942D69"/>
    <w:rsid w:val="00942F6E"/>
    <w:rsid w:val="00942FAF"/>
    <w:rsid w:val="00943145"/>
    <w:rsid w:val="009432CE"/>
    <w:rsid w:val="0094336F"/>
    <w:rsid w:val="009433A2"/>
    <w:rsid w:val="00943734"/>
    <w:rsid w:val="00943A84"/>
    <w:rsid w:val="00943AEE"/>
    <w:rsid w:val="00943B6D"/>
    <w:rsid w:val="00943DBD"/>
    <w:rsid w:val="00943EAD"/>
    <w:rsid w:val="00943FBF"/>
    <w:rsid w:val="00944032"/>
    <w:rsid w:val="0094426E"/>
    <w:rsid w:val="00944514"/>
    <w:rsid w:val="009445CA"/>
    <w:rsid w:val="00944625"/>
    <w:rsid w:val="00944696"/>
    <w:rsid w:val="00944702"/>
    <w:rsid w:val="0094495F"/>
    <w:rsid w:val="0094496D"/>
    <w:rsid w:val="00944A9D"/>
    <w:rsid w:val="00944B1E"/>
    <w:rsid w:val="00944D73"/>
    <w:rsid w:val="00944E17"/>
    <w:rsid w:val="009451A8"/>
    <w:rsid w:val="009451E2"/>
    <w:rsid w:val="00945213"/>
    <w:rsid w:val="0094522E"/>
    <w:rsid w:val="009454B2"/>
    <w:rsid w:val="0094550E"/>
    <w:rsid w:val="009455AA"/>
    <w:rsid w:val="00945606"/>
    <w:rsid w:val="00945684"/>
    <w:rsid w:val="0094573A"/>
    <w:rsid w:val="00945D94"/>
    <w:rsid w:val="00945E27"/>
    <w:rsid w:val="0094609E"/>
    <w:rsid w:val="0094620C"/>
    <w:rsid w:val="0094634D"/>
    <w:rsid w:val="009464D9"/>
    <w:rsid w:val="00946508"/>
    <w:rsid w:val="0094663B"/>
    <w:rsid w:val="009467EE"/>
    <w:rsid w:val="00946B9D"/>
    <w:rsid w:val="00946E0C"/>
    <w:rsid w:val="00946F4F"/>
    <w:rsid w:val="00947031"/>
    <w:rsid w:val="00947181"/>
    <w:rsid w:val="00947490"/>
    <w:rsid w:val="00947638"/>
    <w:rsid w:val="00947824"/>
    <w:rsid w:val="00947A3D"/>
    <w:rsid w:val="00947ED1"/>
    <w:rsid w:val="00949F9D"/>
    <w:rsid w:val="0094BE77"/>
    <w:rsid w:val="00950125"/>
    <w:rsid w:val="00950360"/>
    <w:rsid w:val="009503FE"/>
    <w:rsid w:val="00950431"/>
    <w:rsid w:val="00950A15"/>
    <w:rsid w:val="00950A58"/>
    <w:rsid w:val="00950A76"/>
    <w:rsid w:val="00950BF9"/>
    <w:rsid w:val="00950D63"/>
    <w:rsid w:val="00950D9D"/>
    <w:rsid w:val="00950F74"/>
    <w:rsid w:val="009511EC"/>
    <w:rsid w:val="009511F2"/>
    <w:rsid w:val="009513E1"/>
    <w:rsid w:val="00951677"/>
    <w:rsid w:val="009518FB"/>
    <w:rsid w:val="009519C3"/>
    <w:rsid w:val="00951A04"/>
    <w:rsid w:val="00951AD4"/>
    <w:rsid w:val="00951AF6"/>
    <w:rsid w:val="00951B05"/>
    <w:rsid w:val="00951B6F"/>
    <w:rsid w:val="00951BE7"/>
    <w:rsid w:val="00951E14"/>
    <w:rsid w:val="00951E2B"/>
    <w:rsid w:val="00951E2F"/>
    <w:rsid w:val="00951E88"/>
    <w:rsid w:val="00951F42"/>
    <w:rsid w:val="00951F74"/>
    <w:rsid w:val="00951F9A"/>
    <w:rsid w:val="00952421"/>
    <w:rsid w:val="00952633"/>
    <w:rsid w:val="009526A5"/>
    <w:rsid w:val="00952859"/>
    <w:rsid w:val="009531AB"/>
    <w:rsid w:val="0095322B"/>
    <w:rsid w:val="009533CB"/>
    <w:rsid w:val="009539D6"/>
    <w:rsid w:val="00953C90"/>
    <w:rsid w:val="00953E24"/>
    <w:rsid w:val="00953E34"/>
    <w:rsid w:val="00954225"/>
    <w:rsid w:val="00954368"/>
    <w:rsid w:val="00954644"/>
    <w:rsid w:val="009547FB"/>
    <w:rsid w:val="00954825"/>
    <w:rsid w:val="0095492F"/>
    <w:rsid w:val="009549D6"/>
    <w:rsid w:val="00954ADB"/>
    <w:rsid w:val="00954DBC"/>
    <w:rsid w:val="00954DCD"/>
    <w:rsid w:val="00954E8D"/>
    <w:rsid w:val="0095508F"/>
    <w:rsid w:val="00955294"/>
    <w:rsid w:val="00955584"/>
    <w:rsid w:val="009556E8"/>
    <w:rsid w:val="00955776"/>
    <w:rsid w:val="009559D9"/>
    <w:rsid w:val="00955A87"/>
    <w:rsid w:val="00955B89"/>
    <w:rsid w:val="00955E50"/>
    <w:rsid w:val="00956138"/>
    <w:rsid w:val="009566C9"/>
    <w:rsid w:val="00956820"/>
    <w:rsid w:val="009568F0"/>
    <w:rsid w:val="009569B2"/>
    <w:rsid w:val="00956A9F"/>
    <w:rsid w:val="00956EAB"/>
    <w:rsid w:val="00956F8B"/>
    <w:rsid w:val="0095700C"/>
    <w:rsid w:val="00957412"/>
    <w:rsid w:val="0095744A"/>
    <w:rsid w:val="0095747B"/>
    <w:rsid w:val="00957580"/>
    <w:rsid w:val="009579B4"/>
    <w:rsid w:val="009579C2"/>
    <w:rsid w:val="00957A5D"/>
    <w:rsid w:val="00957B1F"/>
    <w:rsid w:val="00957E4F"/>
    <w:rsid w:val="00957E86"/>
    <w:rsid w:val="00957F51"/>
    <w:rsid w:val="00960171"/>
    <w:rsid w:val="009601DA"/>
    <w:rsid w:val="00960220"/>
    <w:rsid w:val="009602AB"/>
    <w:rsid w:val="0096074E"/>
    <w:rsid w:val="0096089C"/>
    <w:rsid w:val="009608ED"/>
    <w:rsid w:val="0096095B"/>
    <w:rsid w:val="00960A56"/>
    <w:rsid w:val="00960DBE"/>
    <w:rsid w:val="00960DF8"/>
    <w:rsid w:val="00960ECB"/>
    <w:rsid w:val="00960EF9"/>
    <w:rsid w:val="00961173"/>
    <w:rsid w:val="00961413"/>
    <w:rsid w:val="00961576"/>
    <w:rsid w:val="00961643"/>
    <w:rsid w:val="00961669"/>
    <w:rsid w:val="00961690"/>
    <w:rsid w:val="009617B6"/>
    <w:rsid w:val="00961C55"/>
    <w:rsid w:val="00961C79"/>
    <w:rsid w:val="00961E59"/>
    <w:rsid w:val="00961EDD"/>
    <w:rsid w:val="00962137"/>
    <w:rsid w:val="0096237D"/>
    <w:rsid w:val="00962459"/>
    <w:rsid w:val="009624D7"/>
    <w:rsid w:val="009625DF"/>
    <w:rsid w:val="009626BA"/>
    <w:rsid w:val="009626FD"/>
    <w:rsid w:val="009627A2"/>
    <w:rsid w:val="0096282E"/>
    <w:rsid w:val="0096294D"/>
    <w:rsid w:val="00962B34"/>
    <w:rsid w:val="00962B52"/>
    <w:rsid w:val="00962CEB"/>
    <w:rsid w:val="00962D81"/>
    <w:rsid w:val="00962DC9"/>
    <w:rsid w:val="0096300D"/>
    <w:rsid w:val="009630FD"/>
    <w:rsid w:val="00963475"/>
    <w:rsid w:val="00963848"/>
    <w:rsid w:val="0096392C"/>
    <w:rsid w:val="00963C5C"/>
    <w:rsid w:val="00963C65"/>
    <w:rsid w:val="00964238"/>
    <w:rsid w:val="0096424B"/>
    <w:rsid w:val="00964347"/>
    <w:rsid w:val="0096445C"/>
    <w:rsid w:val="009645BA"/>
    <w:rsid w:val="00964646"/>
    <w:rsid w:val="009646BC"/>
    <w:rsid w:val="0096470B"/>
    <w:rsid w:val="00964824"/>
    <w:rsid w:val="0096493F"/>
    <w:rsid w:val="00964A93"/>
    <w:rsid w:val="00964CD3"/>
    <w:rsid w:val="00964DE9"/>
    <w:rsid w:val="00964E17"/>
    <w:rsid w:val="00964EB7"/>
    <w:rsid w:val="00964F36"/>
    <w:rsid w:val="00965035"/>
    <w:rsid w:val="00965097"/>
    <w:rsid w:val="00965204"/>
    <w:rsid w:val="00965416"/>
    <w:rsid w:val="009654C4"/>
    <w:rsid w:val="00965650"/>
    <w:rsid w:val="00965B26"/>
    <w:rsid w:val="00965CC6"/>
    <w:rsid w:val="00965FC5"/>
    <w:rsid w:val="009660E9"/>
    <w:rsid w:val="0096625A"/>
    <w:rsid w:val="00966465"/>
    <w:rsid w:val="0096656D"/>
    <w:rsid w:val="00966718"/>
    <w:rsid w:val="00966738"/>
    <w:rsid w:val="00966ABF"/>
    <w:rsid w:val="00966BFD"/>
    <w:rsid w:val="00966D34"/>
    <w:rsid w:val="00966DA3"/>
    <w:rsid w:val="00967016"/>
    <w:rsid w:val="00967086"/>
    <w:rsid w:val="00967188"/>
    <w:rsid w:val="009673F2"/>
    <w:rsid w:val="00967614"/>
    <w:rsid w:val="0096779C"/>
    <w:rsid w:val="00967864"/>
    <w:rsid w:val="00967A63"/>
    <w:rsid w:val="00967B7F"/>
    <w:rsid w:val="00967DA4"/>
    <w:rsid w:val="00967E22"/>
    <w:rsid w:val="00967E51"/>
    <w:rsid w:val="00970180"/>
    <w:rsid w:val="0097030C"/>
    <w:rsid w:val="009705B4"/>
    <w:rsid w:val="00970640"/>
    <w:rsid w:val="009706F7"/>
    <w:rsid w:val="009708AC"/>
    <w:rsid w:val="00970AF2"/>
    <w:rsid w:val="00970C3D"/>
    <w:rsid w:val="00970CAB"/>
    <w:rsid w:val="00970CE1"/>
    <w:rsid w:val="00970DB0"/>
    <w:rsid w:val="00970FBD"/>
    <w:rsid w:val="00971000"/>
    <w:rsid w:val="0097111F"/>
    <w:rsid w:val="00971277"/>
    <w:rsid w:val="009714D8"/>
    <w:rsid w:val="009716C2"/>
    <w:rsid w:val="00971817"/>
    <w:rsid w:val="00971B8D"/>
    <w:rsid w:val="00971C37"/>
    <w:rsid w:val="00971F70"/>
    <w:rsid w:val="00972251"/>
    <w:rsid w:val="0097233E"/>
    <w:rsid w:val="00972629"/>
    <w:rsid w:val="0097267F"/>
    <w:rsid w:val="009729AE"/>
    <w:rsid w:val="00972ACA"/>
    <w:rsid w:val="00972C21"/>
    <w:rsid w:val="00972E2C"/>
    <w:rsid w:val="00972F45"/>
    <w:rsid w:val="0097344A"/>
    <w:rsid w:val="0097348D"/>
    <w:rsid w:val="0097349E"/>
    <w:rsid w:val="00973522"/>
    <w:rsid w:val="00973553"/>
    <w:rsid w:val="009737B7"/>
    <w:rsid w:val="00973A68"/>
    <w:rsid w:val="00973A74"/>
    <w:rsid w:val="00973B0B"/>
    <w:rsid w:val="00973E6A"/>
    <w:rsid w:val="00973F53"/>
    <w:rsid w:val="009742B9"/>
    <w:rsid w:val="009743C7"/>
    <w:rsid w:val="00974B6D"/>
    <w:rsid w:val="00975202"/>
    <w:rsid w:val="00975203"/>
    <w:rsid w:val="00975512"/>
    <w:rsid w:val="009755CD"/>
    <w:rsid w:val="009756E5"/>
    <w:rsid w:val="0097578E"/>
    <w:rsid w:val="00975860"/>
    <w:rsid w:val="00975D5C"/>
    <w:rsid w:val="00975EA0"/>
    <w:rsid w:val="00975EEF"/>
    <w:rsid w:val="00975F4C"/>
    <w:rsid w:val="00975FF8"/>
    <w:rsid w:val="0097609B"/>
    <w:rsid w:val="009761B2"/>
    <w:rsid w:val="009761FC"/>
    <w:rsid w:val="009763B7"/>
    <w:rsid w:val="00976402"/>
    <w:rsid w:val="00976546"/>
    <w:rsid w:val="009765A8"/>
    <w:rsid w:val="009766A4"/>
    <w:rsid w:val="00976754"/>
    <w:rsid w:val="00976766"/>
    <w:rsid w:val="009769FE"/>
    <w:rsid w:val="00976B88"/>
    <w:rsid w:val="00976BAA"/>
    <w:rsid w:val="00976C17"/>
    <w:rsid w:val="00976CAA"/>
    <w:rsid w:val="00976DFF"/>
    <w:rsid w:val="00976EF4"/>
    <w:rsid w:val="00976F7E"/>
    <w:rsid w:val="00977101"/>
    <w:rsid w:val="009771BA"/>
    <w:rsid w:val="00977439"/>
    <w:rsid w:val="009776AF"/>
    <w:rsid w:val="009777D3"/>
    <w:rsid w:val="0097FDA0"/>
    <w:rsid w:val="0098014D"/>
    <w:rsid w:val="0098049C"/>
    <w:rsid w:val="0098070A"/>
    <w:rsid w:val="009808A3"/>
    <w:rsid w:val="009808F1"/>
    <w:rsid w:val="00981152"/>
    <w:rsid w:val="00981187"/>
    <w:rsid w:val="0098133D"/>
    <w:rsid w:val="009817E6"/>
    <w:rsid w:val="00981828"/>
    <w:rsid w:val="00981904"/>
    <w:rsid w:val="00981D6E"/>
    <w:rsid w:val="00981E70"/>
    <w:rsid w:val="00981FA0"/>
    <w:rsid w:val="00982342"/>
    <w:rsid w:val="0098234E"/>
    <w:rsid w:val="00982451"/>
    <w:rsid w:val="009824B4"/>
    <w:rsid w:val="00982579"/>
    <w:rsid w:val="009827EE"/>
    <w:rsid w:val="00982818"/>
    <w:rsid w:val="0098294E"/>
    <w:rsid w:val="00982A4D"/>
    <w:rsid w:val="00982D5A"/>
    <w:rsid w:val="00983220"/>
    <w:rsid w:val="00983657"/>
    <w:rsid w:val="00983748"/>
    <w:rsid w:val="00983776"/>
    <w:rsid w:val="00983908"/>
    <w:rsid w:val="00983932"/>
    <w:rsid w:val="009839EB"/>
    <w:rsid w:val="009839F4"/>
    <w:rsid w:val="00983AD7"/>
    <w:rsid w:val="00983B62"/>
    <w:rsid w:val="00983C9E"/>
    <w:rsid w:val="00983D5F"/>
    <w:rsid w:val="00983DA4"/>
    <w:rsid w:val="00983E25"/>
    <w:rsid w:val="00983E97"/>
    <w:rsid w:val="00984088"/>
    <w:rsid w:val="00984250"/>
    <w:rsid w:val="00984285"/>
    <w:rsid w:val="0098467D"/>
    <w:rsid w:val="009846FB"/>
    <w:rsid w:val="009848F1"/>
    <w:rsid w:val="0098498C"/>
    <w:rsid w:val="00984C1B"/>
    <w:rsid w:val="00984D33"/>
    <w:rsid w:val="009852FD"/>
    <w:rsid w:val="00985330"/>
    <w:rsid w:val="009853CE"/>
    <w:rsid w:val="009855AE"/>
    <w:rsid w:val="009856F2"/>
    <w:rsid w:val="0098578A"/>
    <w:rsid w:val="00985877"/>
    <w:rsid w:val="0098596E"/>
    <w:rsid w:val="00985D1D"/>
    <w:rsid w:val="00985D95"/>
    <w:rsid w:val="00985E32"/>
    <w:rsid w:val="00985F56"/>
    <w:rsid w:val="00985F76"/>
    <w:rsid w:val="00985FC7"/>
    <w:rsid w:val="0098601D"/>
    <w:rsid w:val="0098644E"/>
    <w:rsid w:val="009864F2"/>
    <w:rsid w:val="009868D8"/>
    <w:rsid w:val="00986980"/>
    <w:rsid w:val="00986E7D"/>
    <w:rsid w:val="00987220"/>
    <w:rsid w:val="0098722E"/>
    <w:rsid w:val="00987250"/>
    <w:rsid w:val="009874EA"/>
    <w:rsid w:val="00987669"/>
    <w:rsid w:val="00987827"/>
    <w:rsid w:val="00987D85"/>
    <w:rsid w:val="00987EA7"/>
    <w:rsid w:val="00990323"/>
    <w:rsid w:val="009908A8"/>
    <w:rsid w:val="009909B1"/>
    <w:rsid w:val="00990A83"/>
    <w:rsid w:val="00990B0A"/>
    <w:rsid w:val="00990B7B"/>
    <w:rsid w:val="00990D36"/>
    <w:rsid w:val="00990DDD"/>
    <w:rsid w:val="00990DF1"/>
    <w:rsid w:val="0099132B"/>
    <w:rsid w:val="0099145D"/>
    <w:rsid w:val="009914B3"/>
    <w:rsid w:val="0099168B"/>
    <w:rsid w:val="00991A23"/>
    <w:rsid w:val="00991A63"/>
    <w:rsid w:val="00991BF9"/>
    <w:rsid w:val="00991C0C"/>
    <w:rsid w:val="00991DBD"/>
    <w:rsid w:val="00991EB4"/>
    <w:rsid w:val="0099206F"/>
    <w:rsid w:val="009921D2"/>
    <w:rsid w:val="009921D6"/>
    <w:rsid w:val="00992205"/>
    <w:rsid w:val="009928AE"/>
    <w:rsid w:val="009928DF"/>
    <w:rsid w:val="00992968"/>
    <w:rsid w:val="00992B30"/>
    <w:rsid w:val="00992CB4"/>
    <w:rsid w:val="00992D2C"/>
    <w:rsid w:val="00992F83"/>
    <w:rsid w:val="0099310B"/>
    <w:rsid w:val="00993184"/>
    <w:rsid w:val="009938FD"/>
    <w:rsid w:val="0099391F"/>
    <w:rsid w:val="00993AD0"/>
    <w:rsid w:val="00993E9C"/>
    <w:rsid w:val="00993EA5"/>
    <w:rsid w:val="00993F35"/>
    <w:rsid w:val="00993FC1"/>
    <w:rsid w:val="00994036"/>
    <w:rsid w:val="00994073"/>
    <w:rsid w:val="0099419B"/>
    <w:rsid w:val="00994213"/>
    <w:rsid w:val="0099423D"/>
    <w:rsid w:val="00994397"/>
    <w:rsid w:val="009944D6"/>
    <w:rsid w:val="009947ED"/>
    <w:rsid w:val="00994B8D"/>
    <w:rsid w:val="00994E0F"/>
    <w:rsid w:val="00995057"/>
    <w:rsid w:val="009950B3"/>
    <w:rsid w:val="00995267"/>
    <w:rsid w:val="00995308"/>
    <w:rsid w:val="00995411"/>
    <w:rsid w:val="00995613"/>
    <w:rsid w:val="009956D8"/>
    <w:rsid w:val="00995A7C"/>
    <w:rsid w:val="00995C31"/>
    <w:rsid w:val="00995E8A"/>
    <w:rsid w:val="00995E8B"/>
    <w:rsid w:val="0099631A"/>
    <w:rsid w:val="00996413"/>
    <w:rsid w:val="00996483"/>
    <w:rsid w:val="0099663F"/>
    <w:rsid w:val="00996886"/>
    <w:rsid w:val="009968E7"/>
    <w:rsid w:val="009969DD"/>
    <w:rsid w:val="00996ADF"/>
    <w:rsid w:val="00996C70"/>
    <w:rsid w:val="00996E05"/>
    <w:rsid w:val="00996ECB"/>
    <w:rsid w:val="00996FCF"/>
    <w:rsid w:val="00997110"/>
    <w:rsid w:val="00997168"/>
    <w:rsid w:val="0099717F"/>
    <w:rsid w:val="00997372"/>
    <w:rsid w:val="0099739D"/>
    <w:rsid w:val="009974B3"/>
    <w:rsid w:val="00997721"/>
    <w:rsid w:val="00997977"/>
    <w:rsid w:val="00997B09"/>
    <w:rsid w:val="00997C77"/>
    <w:rsid w:val="00997CB3"/>
    <w:rsid w:val="00997DA4"/>
    <w:rsid w:val="009A0200"/>
    <w:rsid w:val="009A0257"/>
    <w:rsid w:val="009A0674"/>
    <w:rsid w:val="009A0793"/>
    <w:rsid w:val="009A07B8"/>
    <w:rsid w:val="009A0817"/>
    <w:rsid w:val="009A0943"/>
    <w:rsid w:val="009A0D12"/>
    <w:rsid w:val="009A0F59"/>
    <w:rsid w:val="009A0FE3"/>
    <w:rsid w:val="009A112E"/>
    <w:rsid w:val="009A11DB"/>
    <w:rsid w:val="009A14D1"/>
    <w:rsid w:val="009A195C"/>
    <w:rsid w:val="009A1ADD"/>
    <w:rsid w:val="009A1D7A"/>
    <w:rsid w:val="009A1DD8"/>
    <w:rsid w:val="009A2028"/>
    <w:rsid w:val="009A21A9"/>
    <w:rsid w:val="009A2276"/>
    <w:rsid w:val="009A23C6"/>
    <w:rsid w:val="009A2505"/>
    <w:rsid w:val="009A250C"/>
    <w:rsid w:val="009A253E"/>
    <w:rsid w:val="009A2768"/>
    <w:rsid w:val="009A27B6"/>
    <w:rsid w:val="009A28F4"/>
    <w:rsid w:val="009A2AE0"/>
    <w:rsid w:val="009A2D99"/>
    <w:rsid w:val="009A3023"/>
    <w:rsid w:val="009A3245"/>
    <w:rsid w:val="009A33B9"/>
    <w:rsid w:val="009A351C"/>
    <w:rsid w:val="009A3574"/>
    <w:rsid w:val="009A3639"/>
    <w:rsid w:val="009A371B"/>
    <w:rsid w:val="009A3772"/>
    <w:rsid w:val="009A37A0"/>
    <w:rsid w:val="009A37B6"/>
    <w:rsid w:val="009A393F"/>
    <w:rsid w:val="009A3959"/>
    <w:rsid w:val="009A39AD"/>
    <w:rsid w:val="009A39B7"/>
    <w:rsid w:val="009A3CC1"/>
    <w:rsid w:val="009A3D81"/>
    <w:rsid w:val="009A3F0C"/>
    <w:rsid w:val="009A43A2"/>
    <w:rsid w:val="009A4527"/>
    <w:rsid w:val="009A45C8"/>
    <w:rsid w:val="009A45E2"/>
    <w:rsid w:val="009A46E8"/>
    <w:rsid w:val="009A473C"/>
    <w:rsid w:val="009A47D9"/>
    <w:rsid w:val="009A48DB"/>
    <w:rsid w:val="009A48DE"/>
    <w:rsid w:val="009A4CA3"/>
    <w:rsid w:val="009A4DA1"/>
    <w:rsid w:val="009A4EB0"/>
    <w:rsid w:val="009A4EBC"/>
    <w:rsid w:val="009A4F89"/>
    <w:rsid w:val="009A4FAA"/>
    <w:rsid w:val="009A4FF5"/>
    <w:rsid w:val="009A52C6"/>
    <w:rsid w:val="009A52E7"/>
    <w:rsid w:val="009A53ED"/>
    <w:rsid w:val="009A5482"/>
    <w:rsid w:val="009A55DB"/>
    <w:rsid w:val="009A561C"/>
    <w:rsid w:val="009A5786"/>
    <w:rsid w:val="009A5B87"/>
    <w:rsid w:val="009A5C3D"/>
    <w:rsid w:val="009A5C8F"/>
    <w:rsid w:val="009A5EF1"/>
    <w:rsid w:val="009A5FF2"/>
    <w:rsid w:val="009A6290"/>
    <w:rsid w:val="009A62FD"/>
    <w:rsid w:val="009A6410"/>
    <w:rsid w:val="009A6509"/>
    <w:rsid w:val="009A6B74"/>
    <w:rsid w:val="009A6BA1"/>
    <w:rsid w:val="009A6BCD"/>
    <w:rsid w:val="009A6C98"/>
    <w:rsid w:val="009A6D88"/>
    <w:rsid w:val="009A717E"/>
    <w:rsid w:val="009A7245"/>
    <w:rsid w:val="009A7449"/>
    <w:rsid w:val="009A7452"/>
    <w:rsid w:val="009A74BF"/>
    <w:rsid w:val="009A75F9"/>
    <w:rsid w:val="009A7983"/>
    <w:rsid w:val="009A7B4A"/>
    <w:rsid w:val="009A7C26"/>
    <w:rsid w:val="009A7DEC"/>
    <w:rsid w:val="009A7EE2"/>
    <w:rsid w:val="009B000B"/>
    <w:rsid w:val="009B0312"/>
    <w:rsid w:val="009B0395"/>
    <w:rsid w:val="009B03A6"/>
    <w:rsid w:val="009B0806"/>
    <w:rsid w:val="009B082E"/>
    <w:rsid w:val="009B0901"/>
    <w:rsid w:val="009B091E"/>
    <w:rsid w:val="009B093A"/>
    <w:rsid w:val="009B09CD"/>
    <w:rsid w:val="009B0BE3"/>
    <w:rsid w:val="009B0C20"/>
    <w:rsid w:val="009B0ED1"/>
    <w:rsid w:val="009B0F3E"/>
    <w:rsid w:val="009B0F44"/>
    <w:rsid w:val="009B1152"/>
    <w:rsid w:val="009B1177"/>
    <w:rsid w:val="009B1208"/>
    <w:rsid w:val="009B15C5"/>
    <w:rsid w:val="009B166C"/>
    <w:rsid w:val="009B1886"/>
    <w:rsid w:val="009B1A04"/>
    <w:rsid w:val="009B1A59"/>
    <w:rsid w:val="009B1BAD"/>
    <w:rsid w:val="009B1CB6"/>
    <w:rsid w:val="009B1ED4"/>
    <w:rsid w:val="009B1F2F"/>
    <w:rsid w:val="009B26C8"/>
    <w:rsid w:val="009B2934"/>
    <w:rsid w:val="009B2D2B"/>
    <w:rsid w:val="009B2FCA"/>
    <w:rsid w:val="009B3147"/>
    <w:rsid w:val="009B33EA"/>
    <w:rsid w:val="009B35C2"/>
    <w:rsid w:val="009B3676"/>
    <w:rsid w:val="009B37AE"/>
    <w:rsid w:val="009B39A7"/>
    <w:rsid w:val="009B3AEA"/>
    <w:rsid w:val="009B3C13"/>
    <w:rsid w:val="009B3D96"/>
    <w:rsid w:val="009B3FD3"/>
    <w:rsid w:val="009B40A8"/>
    <w:rsid w:val="009B41D4"/>
    <w:rsid w:val="009B44E1"/>
    <w:rsid w:val="009B45EC"/>
    <w:rsid w:val="009B4623"/>
    <w:rsid w:val="009B46F1"/>
    <w:rsid w:val="009B47ED"/>
    <w:rsid w:val="009B48BF"/>
    <w:rsid w:val="009B49D9"/>
    <w:rsid w:val="009B49DC"/>
    <w:rsid w:val="009B4A6B"/>
    <w:rsid w:val="009B4EC8"/>
    <w:rsid w:val="009B507E"/>
    <w:rsid w:val="009B5154"/>
    <w:rsid w:val="009B5178"/>
    <w:rsid w:val="009B53EB"/>
    <w:rsid w:val="009B55DA"/>
    <w:rsid w:val="009B56CF"/>
    <w:rsid w:val="009B56D1"/>
    <w:rsid w:val="009B5742"/>
    <w:rsid w:val="009B5885"/>
    <w:rsid w:val="009B588E"/>
    <w:rsid w:val="009B597D"/>
    <w:rsid w:val="009B5AE4"/>
    <w:rsid w:val="009B5B32"/>
    <w:rsid w:val="009B5BE7"/>
    <w:rsid w:val="009B5CCF"/>
    <w:rsid w:val="009B6013"/>
    <w:rsid w:val="009B609D"/>
    <w:rsid w:val="009B6348"/>
    <w:rsid w:val="009B643D"/>
    <w:rsid w:val="009B66D8"/>
    <w:rsid w:val="009B6719"/>
    <w:rsid w:val="009B692D"/>
    <w:rsid w:val="009B6D4F"/>
    <w:rsid w:val="009B6D7C"/>
    <w:rsid w:val="009B6ECC"/>
    <w:rsid w:val="009B711F"/>
    <w:rsid w:val="009B7139"/>
    <w:rsid w:val="009B751B"/>
    <w:rsid w:val="009B77AA"/>
    <w:rsid w:val="009B793B"/>
    <w:rsid w:val="009B7999"/>
    <w:rsid w:val="009B79BF"/>
    <w:rsid w:val="009B7B12"/>
    <w:rsid w:val="009B7DFE"/>
    <w:rsid w:val="009B7E9B"/>
    <w:rsid w:val="009B7F5E"/>
    <w:rsid w:val="009C0249"/>
    <w:rsid w:val="009C0888"/>
    <w:rsid w:val="009C08ED"/>
    <w:rsid w:val="009C0B70"/>
    <w:rsid w:val="009C0C04"/>
    <w:rsid w:val="009C1227"/>
    <w:rsid w:val="009C163B"/>
    <w:rsid w:val="009C17C1"/>
    <w:rsid w:val="009C1933"/>
    <w:rsid w:val="009C1B8B"/>
    <w:rsid w:val="009C1C2E"/>
    <w:rsid w:val="009C1F26"/>
    <w:rsid w:val="009C2354"/>
    <w:rsid w:val="009C2416"/>
    <w:rsid w:val="009C2461"/>
    <w:rsid w:val="009C2556"/>
    <w:rsid w:val="009C2661"/>
    <w:rsid w:val="009C298A"/>
    <w:rsid w:val="009C2AE2"/>
    <w:rsid w:val="009C2C7B"/>
    <w:rsid w:val="009C2F6C"/>
    <w:rsid w:val="009C304F"/>
    <w:rsid w:val="009C3325"/>
    <w:rsid w:val="009C3385"/>
    <w:rsid w:val="009C338D"/>
    <w:rsid w:val="009C35E3"/>
    <w:rsid w:val="009C3780"/>
    <w:rsid w:val="009C3838"/>
    <w:rsid w:val="009C38A7"/>
    <w:rsid w:val="009C3A4A"/>
    <w:rsid w:val="009C3B94"/>
    <w:rsid w:val="009C3BAA"/>
    <w:rsid w:val="009C3C4C"/>
    <w:rsid w:val="009C4068"/>
    <w:rsid w:val="009C4245"/>
    <w:rsid w:val="009C435C"/>
    <w:rsid w:val="009C44CC"/>
    <w:rsid w:val="009C4719"/>
    <w:rsid w:val="009C47D4"/>
    <w:rsid w:val="009C48AC"/>
    <w:rsid w:val="009C48EE"/>
    <w:rsid w:val="009C4A9C"/>
    <w:rsid w:val="009C4AD0"/>
    <w:rsid w:val="009C4B20"/>
    <w:rsid w:val="009C4C75"/>
    <w:rsid w:val="009C4F35"/>
    <w:rsid w:val="009C51D1"/>
    <w:rsid w:val="009C530C"/>
    <w:rsid w:val="009C531C"/>
    <w:rsid w:val="009C536C"/>
    <w:rsid w:val="009C54BC"/>
    <w:rsid w:val="009C5748"/>
    <w:rsid w:val="009C5853"/>
    <w:rsid w:val="009C5C70"/>
    <w:rsid w:val="009C5FF8"/>
    <w:rsid w:val="009C6106"/>
    <w:rsid w:val="009C61AB"/>
    <w:rsid w:val="009C629C"/>
    <w:rsid w:val="009C62CB"/>
    <w:rsid w:val="009C6426"/>
    <w:rsid w:val="009C653D"/>
    <w:rsid w:val="009C65E2"/>
    <w:rsid w:val="009C6645"/>
    <w:rsid w:val="009C66E7"/>
    <w:rsid w:val="009C6791"/>
    <w:rsid w:val="009C67D0"/>
    <w:rsid w:val="009C69C0"/>
    <w:rsid w:val="009C6BA7"/>
    <w:rsid w:val="009C6C95"/>
    <w:rsid w:val="009C6E8D"/>
    <w:rsid w:val="009C6F74"/>
    <w:rsid w:val="009C72F1"/>
    <w:rsid w:val="009C740F"/>
    <w:rsid w:val="009C751D"/>
    <w:rsid w:val="009C762D"/>
    <w:rsid w:val="009C76B9"/>
    <w:rsid w:val="009C7779"/>
    <w:rsid w:val="009C789D"/>
    <w:rsid w:val="009C793D"/>
    <w:rsid w:val="009C7E3E"/>
    <w:rsid w:val="009C7E86"/>
    <w:rsid w:val="009C7F60"/>
    <w:rsid w:val="009D0031"/>
    <w:rsid w:val="009D0059"/>
    <w:rsid w:val="009D0088"/>
    <w:rsid w:val="009D0464"/>
    <w:rsid w:val="009D05F6"/>
    <w:rsid w:val="009D0705"/>
    <w:rsid w:val="009D07BC"/>
    <w:rsid w:val="009D08FF"/>
    <w:rsid w:val="009D0A0A"/>
    <w:rsid w:val="009D0B9B"/>
    <w:rsid w:val="009D10FE"/>
    <w:rsid w:val="009D1128"/>
    <w:rsid w:val="009D11B3"/>
    <w:rsid w:val="009D1497"/>
    <w:rsid w:val="009D14E9"/>
    <w:rsid w:val="009D1544"/>
    <w:rsid w:val="009D1558"/>
    <w:rsid w:val="009D15ED"/>
    <w:rsid w:val="009D1629"/>
    <w:rsid w:val="009D169B"/>
    <w:rsid w:val="009D1A4B"/>
    <w:rsid w:val="009D1AEB"/>
    <w:rsid w:val="009D1D6B"/>
    <w:rsid w:val="009D1EE5"/>
    <w:rsid w:val="009D207D"/>
    <w:rsid w:val="009D2225"/>
    <w:rsid w:val="009D253E"/>
    <w:rsid w:val="009D25EA"/>
    <w:rsid w:val="009D2776"/>
    <w:rsid w:val="009D2832"/>
    <w:rsid w:val="009D285B"/>
    <w:rsid w:val="009D2A8E"/>
    <w:rsid w:val="009D2AD9"/>
    <w:rsid w:val="009D2DD9"/>
    <w:rsid w:val="009D2E03"/>
    <w:rsid w:val="009D2FD4"/>
    <w:rsid w:val="009D3067"/>
    <w:rsid w:val="009D3233"/>
    <w:rsid w:val="009D332E"/>
    <w:rsid w:val="009D34C9"/>
    <w:rsid w:val="009D358C"/>
    <w:rsid w:val="009D38FF"/>
    <w:rsid w:val="009D3FD4"/>
    <w:rsid w:val="009D407B"/>
    <w:rsid w:val="009D4343"/>
    <w:rsid w:val="009D439E"/>
    <w:rsid w:val="009D43DA"/>
    <w:rsid w:val="009D44B4"/>
    <w:rsid w:val="009D4564"/>
    <w:rsid w:val="009D471B"/>
    <w:rsid w:val="009D471F"/>
    <w:rsid w:val="009D47AC"/>
    <w:rsid w:val="009D4995"/>
    <w:rsid w:val="009D4A60"/>
    <w:rsid w:val="009D4EEE"/>
    <w:rsid w:val="009D54F1"/>
    <w:rsid w:val="009D55A1"/>
    <w:rsid w:val="009D5BFF"/>
    <w:rsid w:val="009D5CDE"/>
    <w:rsid w:val="009D5DBE"/>
    <w:rsid w:val="009D6042"/>
    <w:rsid w:val="009D60D9"/>
    <w:rsid w:val="009D63E9"/>
    <w:rsid w:val="009D6599"/>
    <w:rsid w:val="009D65B0"/>
    <w:rsid w:val="009D6A0E"/>
    <w:rsid w:val="009D6C59"/>
    <w:rsid w:val="009D7165"/>
    <w:rsid w:val="009D71E4"/>
    <w:rsid w:val="009D71F8"/>
    <w:rsid w:val="009D7281"/>
    <w:rsid w:val="009D72D9"/>
    <w:rsid w:val="009D7436"/>
    <w:rsid w:val="009D776C"/>
    <w:rsid w:val="009D77BE"/>
    <w:rsid w:val="009D7840"/>
    <w:rsid w:val="009D78FE"/>
    <w:rsid w:val="009D7929"/>
    <w:rsid w:val="009D7A3A"/>
    <w:rsid w:val="009D7BE4"/>
    <w:rsid w:val="009D7FF9"/>
    <w:rsid w:val="009E000B"/>
    <w:rsid w:val="009E00ED"/>
    <w:rsid w:val="009E02F7"/>
    <w:rsid w:val="009E03A9"/>
    <w:rsid w:val="009E03DA"/>
    <w:rsid w:val="009E04E2"/>
    <w:rsid w:val="009E064B"/>
    <w:rsid w:val="009E06AA"/>
    <w:rsid w:val="009E072B"/>
    <w:rsid w:val="009E0835"/>
    <w:rsid w:val="009E08F4"/>
    <w:rsid w:val="009E0908"/>
    <w:rsid w:val="009E0B8A"/>
    <w:rsid w:val="009E0C4E"/>
    <w:rsid w:val="009E0C54"/>
    <w:rsid w:val="009E0F4B"/>
    <w:rsid w:val="009E1053"/>
    <w:rsid w:val="009E10C6"/>
    <w:rsid w:val="009E1439"/>
    <w:rsid w:val="009E168D"/>
    <w:rsid w:val="009E1BD9"/>
    <w:rsid w:val="009E1BFF"/>
    <w:rsid w:val="009E1C15"/>
    <w:rsid w:val="009E1D1F"/>
    <w:rsid w:val="009E1ED3"/>
    <w:rsid w:val="009E1F08"/>
    <w:rsid w:val="009E1FC3"/>
    <w:rsid w:val="009E2549"/>
    <w:rsid w:val="009E2599"/>
    <w:rsid w:val="009E2679"/>
    <w:rsid w:val="009E27EF"/>
    <w:rsid w:val="009E287B"/>
    <w:rsid w:val="009E29C8"/>
    <w:rsid w:val="009E2A2D"/>
    <w:rsid w:val="009E2CAE"/>
    <w:rsid w:val="009E3323"/>
    <w:rsid w:val="009E3638"/>
    <w:rsid w:val="009E368A"/>
    <w:rsid w:val="009E3A27"/>
    <w:rsid w:val="009E3C0F"/>
    <w:rsid w:val="009E3C3A"/>
    <w:rsid w:val="009E3FEA"/>
    <w:rsid w:val="009E4028"/>
    <w:rsid w:val="009E4096"/>
    <w:rsid w:val="009E40BD"/>
    <w:rsid w:val="009E4194"/>
    <w:rsid w:val="009E44F4"/>
    <w:rsid w:val="009E45B8"/>
    <w:rsid w:val="009E4722"/>
    <w:rsid w:val="009E4997"/>
    <w:rsid w:val="009E49E5"/>
    <w:rsid w:val="009E4AC4"/>
    <w:rsid w:val="009E4ADF"/>
    <w:rsid w:val="009E4AE5"/>
    <w:rsid w:val="009E4E19"/>
    <w:rsid w:val="009E4FC0"/>
    <w:rsid w:val="009E4FC5"/>
    <w:rsid w:val="009E4FCB"/>
    <w:rsid w:val="009E507A"/>
    <w:rsid w:val="009E5234"/>
    <w:rsid w:val="009E52A5"/>
    <w:rsid w:val="009E546E"/>
    <w:rsid w:val="009E55A8"/>
    <w:rsid w:val="009E55AF"/>
    <w:rsid w:val="009E56F1"/>
    <w:rsid w:val="009E5860"/>
    <w:rsid w:val="009E58D9"/>
    <w:rsid w:val="009E58F8"/>
    <w:rsid w:val="009E5934"/>
    <w:rsid w:val="009E5992"/>
    <w:rsid w:val="009E5A22"/>
    <w:rsid w:val="009E5CC2"/>
    <w:rsid w:val="009E5EBF"/>
    <w:rsid w:val="009E6033"/>
    <w:rsid w:val="009E60B3"/>
    <w:rsid w:val="009E6110"/>
    <w:rsid w:val="009E6470"/>
    <w:rsid w:val="009E64DE"/>
    <w:rsid w:val="009E663F"/>
    <w:rsid w:val="009E66E7"/>
    <w:rsid w:val="009E684B"/>
    <w:rsid w:val="009E6ABF"/>
    <w:rsid w:val="009E6B85"/>
    <w:rsid w:val="009E6BFA"/>
    <w:rsid w:val="009E6C5A"/>
    <w:rsid w:val="009E6C93"/>
    <w:rsid w:val="009E6D37"/>
    <w:rsid w:val="009E6D59"/>
    <w:rsid w:val="009E740A"/>
    <w:rsid w:val="009E75A4"/>
    <w:rsid w:val="009E7892"/>
    <w:rsid w:val="009E79BD"/>
    <w:rsid w:val="009E7A51"/>
    <w:rsid w:val="009E7A75"/>
    <w:rsid w:val="009E7ABE"/>
    <w:rsid w:val="009E7B6D"/>
    <w:rsid w:val="009E7DF6"/>
    <w:rsid w:val="009E7EC9"/>
    <w:rsid w:val="009E7FCA"/>
    <w:rsid w:val="009F01BD"/>
    <w:rsid w:val="009F03AF"/>
    <w:rsid w:val="009F0DE6"/>
    <w:rsid w:val="009F0E75"/>
    <w:rsid w:val="009F1725"/>
    <w:rsid w:val="009F1882"/>
    <w:rsid w:val="009F19BD"/>
    <w:rsid w:val="009F1A6C"/>
    <w:rsid w:val="009F1B4C"/>
    <w:rsid w:val="009F1B95"/>
    <w:rsid w:val="009F1D12"/>
    <w:rsid w:val="009F205A"/>
    <w:rsid w:val="009F2135"/>
    <w:rsid w:val="009F2302"/>
    <w:rsid w:val="009F265C"/>
    <w:rsid w:val="009F2823"/>
    <w:rsid w:val="009F29C8"/>
    <w:rsid w:val="009F2A98"/>
    <w:rsid w:val="009F2E00"/>
    <w:rsid w:val="009F31B6"/>
    <w:rsid w:val="009F31D8"/>
    <w:rsid w:val="009F330B"/>
    <w:rsid w:val="009F3406"/>
    <w:rsid w:val="009F344C"/>
    <w:rsid w:val="009F3543"/>
    <w:rsid w:val="009F3560"/>
    <w:rsid w:val="009F3653"/>
    <w:rsid w:val="009F37B3"/>
    <w:rsid w:val="009F3C82"/>
    <w:rsid w:val="009F3CBE"/>
    <w:rsid w:val="009F3D15"/>
    <w:rsid w:val="009F3FAB"/>
    <w:rsid w:val="009F4000"/>
    <w:rsid w:val="009F408B"/>
    <w:rsid w:val="009F422F"/>
    <w:rsid w:val="009F4245"/>
    <w:rsid w:val="009F425C"/>
    <w:rsid w:val="009F42E7"/>
    <w:rsid w:val="009F4535"/>
    <w:rsid w:val="009F45AB"/>
    <w:rsid w:val="009F45EE"/>
    <w:rsid w:val="009F4E4E"/>
    <w:rsid w:val="009F5015"/>
    <w:rsid w:val="009F51B1"/>
    <w:rsid w:val="009F5398"/>
    <w:rsid w:val="009F5433"/>
    <w:rsid w:val="009F54B9"/>
    <w:rsid w:val="009F555C"/>
    <w:rsid w:val="009F5741"/>
    <w:rsid w:val="009F5AE4"/>
    <w:rsid w:val="009F5C16"/>
    <w:rsid w:val="009F5C94"/>
    <w:rsid w:val="009F5DB7"/>
    <w:rsid w:val="009F6535"/>
    <w:rsid w:val="009F65AF"/>
    <w:rsid w:val="009F6830"/>
    <w:rsid w:val="009F69AD"/>
    <w:rsid w:val="009F69C3"/>
    <w:rsid w:val="009F6CE9"/>
    <w:rsid w:val="009F6DC7"/>
    <w:rsid w:val="009F6F4D"/>
    <w:rsid w:val="009F6F61"/>
    <w:rsid w:val="009F7037"/>
    <w:rsid w:val="009F74D7"/>
    <w:rsid w:val="009F7568"/>
    <w:rsid w:val="009F773C"/>
    <w:rsid w:val="009F7C4B"/>
    <w:rsid w:val="009F7FDD"/>
    <w:rsid w:val="00A0068A"/>
    <w:rsid w:val="00A0075D"/>
    <w:rsid w:val="00A00808"/>
    <w:rsid w:val="00A0094A"/>
    <w:rsid w:val="00A009BC"/>
    <w:rsid w:val="00A009F1"/>
    <w:rsid w:val="00A00A12"/>
    <w:rsid w:val="00A00CDF"/>
    <w:rsid w:val="00A00E56"/>
    <w:rsid w:val="00A011E7"/>
    <w:rsid w:val="00A0169B"/>
    <w:rsid w:val="00A01730"/>
    <w:rsid w:val="00A017EC"/>
    <w:rsid w:val="00A01833"/>
    <w:rsid w:val="00A01871"/>
    <w:rsid w:val="00A0188B"/>
    <w:rsid w:val="00A01AE5"/>
    <w:rsid w:val="00A01B02"/>
    <w:rsid w:val="00A01EE7"/>
    <w:rsid w:val="00A01F3D"/>
    <w:rsid w:val="00A02018"/>
    <w:rsid w:val="00A021ED"/>
    <w:rsid w:val="00A023A9"/>
    <w:rsid w:val="00A024A3"/>
    <w:rsid w:val="00A02539"/>
    <w:rsid w:val="00A0253D"/>
    <w:rsid w:val="00A0265D"/>
    <w:rsid w:val="00A0275C"/>
    <w:rsid w:val="00A027C9"/>
    <w:rsid w:val="00A027E3"/>
    <w:rsid w:val="00A02804"/>
    <w:rsid w:val="00A02A22"/>
    <w:rsid w:val="00A02B46"/>
    <w:rsid w:val="00A02B9D"/>
    <w:rsid w:val="00A02E3A"/>
    <w:rsid w:val="00A02EA7"/>
    <w:rsid w:val="00A02F83"/>
    <w:rsid w:val="00A0325D"/>
    <w:rsid w:val="00A032C1"/>
    <w:rsid w:val="00A03331"/>
    <w:rsid w:val="00A033DC"/>
    <w:rsid w:val="00A0359D"/>
    <w:rsid w:val="00A035AD"/>
    <w:rsid w:val="00A03762"/>
    <w:rsid w:val="00A03DF5"/>
    <w:rsid w:val="00A040D7"/>
    <w:rsid w:val="00A041DF"/>
    <w:rsid w:val="00A043C6"/>
    <w:rsid w:val="00A043F0"/>
    <w:rsid w:val="00A046BC"/>
    <w:rsid w:val="00A047E4"/>
    <w:rsid w:val="00A04967"/>
    <w:rsid w:val="00A04A99"/>
    <w:rsid w:val="00A04AB4"/>
    <w:rsid w:val="00A04ADA"/>
    <w:rsid w:val="00A04DD2"/>
    <w:rsid w:val="00A04F08"/>
    <w:rsid w:val="00A052AA"/>
    <w:rsid w:val="00A05459"/>
    <w:rsid w:val="00A054D2"/>
    <w:rsid w:val="00A05595"/>
    <w:rsid w:val="00A059AA"/>
    <w:rsid w:val="00A05BD2"/>
    <w:rsid w:val="00A05D81"/>
    <w:rsid w:val="00A05DDC"/>
    <w:rsid w:val="00A05FDA"/>
    <w:rsid w:val="00A061C7"/>
    <w:rsid w:val="00A06204"/>
    <w:rsid w:val="00A06393"/>
    <w:rsid w:val="00A0646A"/>
    <w:rsid w:val="00A064DA"/>
    <w:rsid w:val="00A06641"/>
    <w:rsid w:val="00A0664B"/>
    <w:rsid w:val="00A0667C"/>
    <w:rsid w:val="00A06707"/>
    <w:rsid w:val="00A0672B"/>
    <w:rsid w:val="00A067B9"/>
    <w:rsid w:val="00A067DF"/>
    <w:rsid w:val="00A06B06"/>
    <w:rsid w:val="00A06D05"/>
    <w:rsid w:val="00A06F8F"/>
    <w:rsid w:val="00A07199"/>
    <w:rsid w:val="00A07272"/>
    <w:rsid w:val="00A07364"/>
    <w:rsid w:val="00A073E1"/>
    <w:rsid w:val="00A0758B"/>
    <w:rsid w:val="00A075A9"/>
    <w:rsid w:val="00A075F1"/>
    <w:rsid w:val="00A07A48"/>
    <w:rsid w:val="00A07A4A"/>
    <w:rsid w:val="00A07FF4"/>
    <w:rsid w:val="00A10058"/>
    <w:rsid w:val="00A10140"/>
    <w:rsid w:val="00A101FC"/>
    <w:rsid w:val="00A102DA"/>
    <w:rsid w:val="00A10303"/>
    <w:rsid w:val="00A10588"/>
    <w:rsid w:val="00A10727"/>
    <w:rsid w:val="00A10845"/>
    <w:rsid w:val="00A108B2"/>
    <w:rsid w:val="00A1099F"/>
    <w:rsid w:val="00A109F0"/>
    <w:rsid w:val="00A10A27"/>
    <w:rsid w:val="00A10B56"/>
    <w:rsid w:val="00A1131D"/>
    <w:rsid w:val="00A117F9"/>
    <w:rsid w:val="00A11BB1"/>
    <w:rsid w:val="00A11DF9"/>
    <w:rsid w:val="00A11E70"/>
    <w:rsid w:val="00A12015"/>
    <w:rsid w:val="00A120A2"/>
    <w:rsid w:val="00A12239"/>
    <w:rsid w:val="00A123B1"/>
    <w:rsid w:val="00A123BC"/>
    <w:rsid w:val="00A123CA"/>
    <w:rsid w:val="00A12475"/>
    <w:rsid w:val="00A126F7"/>
    <w:rsid w:val="00A1289D"/>
    <w:rsid w:val="00A128B5"/>
    <w:rsid w:val="00A129D9"/>
    <w:rsid w:val="00A129F3"/>
    <w:rsid w:val="00A12AAF"/>
    <w:rsid w:val="00A12B55"/>
    <w:rsid w:val="00A12C60"/>
    <w:rsid w:val="00A12D78"/>
    <w:rsid w:val="00A12E1F"/>
    <w:rsid w:val="00A12EF2"/>
    <w:rsid w:val="00A130AD"/>
    <w:rsid w:val="00A133EB"/>
    <w:rsid w:val="00A1346A"/>
    <w:rsid w:val="00A13635"/>
    <w:rsid w:val="00A13825"/>
    <w:rsid w:val="00A1386A"/>
    <w:rsid w:val="00A1394D"/>
    <w:rsid w:val="00A13B89"/>
    <w:rsid w:val="00A13D40"/>
    <w:rsid w:val="00A13DEC"/>
    <w:rsid w:val="00A1417B"/>
    <w:rsid w:val="00A1418D"/>
    <w:rsid w:val="00A14368"/>
    <w:rsid w:val="00A143CC"/>
    <w:rsid w:val="00A14561"/>
    <w:rsid w:val="00A14655"/>
    <w:rsid w:val="00A14AA5"/>
    <w:rsid w:val="00A14B3C"/>
    <w:rsid w:val="00A14C87"/>
    <w:rsid w:val="00A14C99"/>
    <w:rsid w:val="00A14E6C"/>
    <w:rsid w:val="00A14F44"/>
    <w:rsid w:val="00A14F4E"/>
    <w:rsid w:val="00A14F84"/>
    <w:rsid w:val="00A154D2"/>
    <w:rsid w:val="00A15630"/>
    <w:rsid w:val="00A156AA"/>
    <w:rsid w:val="00A156C4"/>
    <w:rsid w:val="00A156D2"/>
    <w:rsid w:val="00A15755"/>
    <w:rsid w:val="00A15762"/>
    <w:rsid w:val="00A158E4"/>
    <w:rsid w:val="00A15D45"/>
    <w:rsid w:val="00A15D65"/>
    <w:rsid w:val="00A15D7C"/>
    <w:rsid w:val="00A161AA"/>
    <w:rsid w:val="00A163CF"/>
    <w:rsid w:val="00A1683E"/>
    <w:rsid w:val="00A168AF"/>
    <w:rsid w:val="00A16B3C"/>
    <w:rsid w:val="00A16BE3"/>
    <w:rsid w:val="00A16E22"/>
    <w:rsid w:val="00A17096"/>
    <w:rsid w:val="00A1714B"/>
    <w:rsid w:val="00A174ED"/>
    <w:rsid w:val="00A17778"/>
    <w:rsid w:val="00A17881"/>
    <w:rsid w:val="00A17C74"/>
    <w:rsid w:val="00A17C8D"/>
    <w:rsid w:val="00A17D2C"/>
    <w:rsid w:val="00A17FED"/>
    <w:rsid w:val="00A2009B"/>
    <w:rsid w:val="00A20153"/>
    <w:rsid w:val="00A207CC"/>
    <w:rsid w:val="00A20A16"/>
    <w:rsid w:val="00A20AAC"/>
    <w:rsid w:val="00A20ABA"/>
    <w:rsid w:val="00A20D34"/>
    <w:rsid w:val="00A21038"/>
    <w:rsid w:val="00A21250"/>
    <w:rsid w:val="00A2135A"/>
    <w:rsid w:val="00A21363"/>
    <w:rsid w:val="00A21618"/>
    <w:rsid w:val="00A2163B"/>
    <w:rsid w:val="00A21A38"/>
    <w:rsid w:val="00A21B8E"/>
    <w:rsid w:val="00A21DB5"/>
    <w:rsid w:val="00A21DE1"/>
    <w:rsid w:val="00A22039"/>
    <w:rsid w:val="00A2208C"/>
    <w:rsid w:val="00A22100"/>
    <w:rsid w:val="00A22671"/>
    <w:rsid w:val="00A2270D"/>
    <w:rsid w:val="00A227CD"/>
    <w:rsid w:val="00A22A6E"/>
    <w:rsid w:val="00A22B36"/>
    <w:rsid w:val="00A22CEE"/>
    <w:rsid w:val="00A22FDD"/>
    <w:rsid w:val="00A2321C"/>
    <w:rsid w:val="00A23269"/>
    <w:rsid w:val="00A232BF"/>
    <w:rsid w:val="00A232EE"/>
    <w:rsid w:val="00A2344A"/>
    <w:rsid w:val="00A2357B"/>
    <w:rsid w:val="00A2359B"/>
    <w:rsid w:val="00A23988"/>
    <w:rsid w:val="00A23993"/>
    <w:rsid w:val="00A23A05"/>
    <w:rsid w:val="00A23D08"/>
    <w:rsid w:val="00A23F1D"/>
    <w:rsid w:val="00A23FA7"/>
    <w:rsid w:val="00A240D0"/>
    <w:rsid w:val="00A240DB"/>
    <w:rsid w:val="00A24162"/>
    <w:rsid w:val="00A2419D"/>
    <w:rsid w:val="00A242CF"/>
    <w:rsid w:val="00A242FE"/>
    <w:rsid w:val="00A24335"/>
    <w:rsid w:val="00A24427"/>
    <w:rsid w:val="00A244D7"/>
    <w:rsid w:val="00A248C3"/>
    <w:rsid w:val="00A24921"/>
    <w:rsid w:val="00A249FD"/>
    <w:rsid w:val="00A24CB6"/>
    <w:rsid w:val="00A24D90"/>
    <w:rsid w:val="00A25292"/>
    <w:rsid w:val="00A25317"/>
    <w:rsid w:val="00A25A26"/>
    <w:rsid w:val="00A25B47"/>
    <w:rsid w:val="00A25C17"/>
    <w:rsid w:val="00A25C53"/>
    <w:rsid w:val="00A25E5D"/>
    <w:rsid w:val="00A26142"/>
    <w:rsid w:val="00A26236"/>
    <w:rsid w:val="00A26350"/>
    <w:rsid w:val="00A26626"/>
    <w:rsid w:val="00A26A09"/>
    <w:rsid w:val="00A26B73"/>
    <w:rsid w:val="00A26BEB"/>
    <w:rsid w:val="00A26D16"/>
    <w:rsid w:val="00A2715D"/>
    <w:rsid w:val="00A27588"/>
    <w:rsid w:val="00A277BE"/>
    <w:rsid w:val="00A278AF"/>
    <w:rsid w:val="00A278F3"/>
    <w:rsid w:val="00A27922"/>
    <w:rsid w:val="00A2794E"/>
    <w:rsid w:val="00A27CA7"/>
    <w:rsid w:val="00A2D08E"/>
    <w:rsid w:val="00A30152"/>
    <w:rsid w:val="00A3032A"/>
    <w:rsid w:val="00A305D1"/>
    <w:rsid w:val="00A30C04"/>
    <w:rsid w:val="00A30E11"/>
    <w:rsid w:val="00A31079"/>
    <w:rsid w:val="00A31087"/>
    <w:rsid w:val="00A311B7"/>
    <w:rsid w:val="00A312AE"/>
    <w:rsid w:val="00A31344"/>
    <w:rsid w:val="00A313E8"/>
    <w:rsid w:val="00A314B4"/>
    <w:rsid w:val="00A31932"/>
    <w:rsid w:val="00A31A47"/>
    <w:rsid w:val="00A31A85"/>
    <w:rsid w:val="00A31B59"/>
    <w:rsid w:val="00A31F06"/>
    <w:rsid w:val="00A32126"/>
    <w:rsid w:val="00A32285"/>
    <w:rsid w:val="00A32468"/>
    <w:rsid w:val="00A32726"/>
    <w:rsid w:val="00A3287E"/>
    <w:rsid w:val="00A328C7"/>
    <w:rsid w:val="00A32CCD"/>
    <w:rsid w:val="00A330B8"/>
    <w:rsid w:val="00A331C1"/>
    <w:rsid w:val="00A3371A"/>
    <w:rsid w:val="00A337F0"/>
    <w:rsid w:val="00A33B3B"/>
    <w:rsid w:val="00A33DC1"/>
    <w:rsid w:val="00A33DF2"/>
    <w:rsid w:val="00A33DF7"/>
    <w:rsid w:val="00A34037"/>
    <w:rsid w:val="00A34183"/>
    <w:rsid w:val="00A342D8"/>
    <w:rsid w:val="00A3458D"/>
    <w:rsid w:val="00A347E8"/>
    <w:rsid w:val="00A34870"/>
    <w:rsid w:val="00A34BED"/>
    <w:rsid w:val="00A34ECF"/>
    <w:rsid w:val="00A350D8"/>
    <w:rsid w:val="00A35221"/>
    <w:rsid w:val="00A35223"/>
    <w:rsid w:val="00A3540E"/>
    <w:rsid w:val="00A35445"/>
    <w:rsid w:val="00A35803"/>
    <w:rsid w:val="00A3596D"/>
    <w:rsid w:val="00A35C0A"/>
    <w:rsid w:val="00A35D40"/>
    <w:rsid w:val="00A35D9F"/>
    <w:rsid w:val="00A36081"/>
    <w:rsid w:val="00A3649B"/>
    <w:rsid w:val="00A364A9"/>
    <w:rsid w:val="00A364EA"/>
    <w:rsid w:val="00A3675F"/>
    <w:rsid w:val="00A36E1F"/>
    <w:rsid w:val="00A36E5F"/>
    <w:rsid w:val="00A36FB1"/>
    <w:rsid w:val="00A371F6"/>
    <w:rsid w:val="00A372A5"/>
    <w:rsid w:val="00A37432"/>
    <w:rsid w:val="00A3746E"/>
    <w:rsid w:val="00A37559"/>
    <w:rsid w:val="00A3797D"/>
    <w:rsid w:val="00A37A2B"/>
    <w:rsid w:val="00A37C6B"/>
    <w:rsid w:val="00A37D18"/>
    <w:rsid w:val="00A37EC9"/>
    <w:rsid w:val="00A3C85D"/>
    <w:rsid w:val="00A4009B"/>
    <w:rsid w:val="00A402B7"/>
    <w:rsid w:val="00A403F8"/>
    <w:rsid w:val="00A40418"/>
    <w:rsid w:val="00A404CD"/>
    <w:rsid w:val="00A40554"/>
    <w:rsid w:val="00A4081D"/>
    <w:rsid w:val="00A40885"/>
    <w:rsid w:val="00A408EC"/>
    <w:rsid w:val="00A4096E"/>
    <w:rsid w:val="00A40B63"/>
    <w:rsid w:val="00A40ED4"/>
    <w:rsid w:val="00A40F1E"/>
    <w:rsid w:val="00A41182"/>
    <w:rsid w:val="00A41504"/>
    <w:rsid w:val="00A415BD"/>
    <w:rsid w:val="00A41715"/>
    <w:rsid w:val="00A417BC"/>
    <w:rsid w:val="00A418A0"/>
    <w:rsid w:val="00A41948"/>
    <w:rsid w:val="00A41982"/>
    <w:rsid w:val="00A41A36"/>
    <w:rsid w:val="00A41B35"/>
    <w:rsid w:val="00A41CDB"/>
    <w:rsid w:val="00A41CF3"/>
    <w:rsid w:val="00A41DC9"/>
    <w:rsid w:val="00A41E4C"/>
    <w:rsid w:val="00A422D6"/>
    <w:rsid w:val="00A4241C"/>
    <w:rsid w:val="00A42693"/>
    <w:rsid w:val="00A4281B"/>
    <w:rsid w:val="00A428E1"/>
    <w:rsid w:val="00A42B26"/>
    <w:rsid w:val="00A42B88"/>
    <w:rsid w:val="00A42E0F"/>
    <w:rsid w:val="00A4309F"/>
    <w:rsid w:val="00A4352A"/>
    <w:rsid w:val="00A4380F"/>
    <w:rsid w:val="00A43882"/>
    <w:rsid w:val="00A43992"/>
    <w:rsid w:val="00A43A04"/>
    <w:rsid w:val="00A43B34"/>
    <w:rsid w:val="00A43BD7"/>
    <w:rsid w:val="00A43D8C"/>
    <w:rsid w:val="00A43D9D"/>
    <w:rsid w:val="00A43F20"/>
    <w:rsid w:val="00A4447A"/>
    <w:rsid w:val="00A4464F"/>
    <w:rsid w:val="00A44920"/>
    <w:rsid w:val="00A44B56"/>
    <w:rsid w:val="00A44C0C"/>
    <w:rsid w:val="00A44C0E"/>
    <w:rsid w:val="00A44D69"/>
    <w:rsid w:val="00A44D8E"/>
    <w:rsid w:val="00A44DD2"/>
    <w:rsid w:val="00A44DD3"/>
    <w:rsid w:val="00A44F44"/>
    <w:rsid w:val="00A44F6D"/>
    <w:rsid w:val="00A44F85"/>
    <w:rsid w:val="00A4500E"/>
    <w:rsid w:val="00A450E7"/>
    <w:rsid w:val="00A45151"/>
    <w:rsid w:val="00A4521D"/>
    <w:rsid w:val="00A45449"/>
    <w:rsid w:val="00A45555"/>
    <w:rsid w:val="00A457EE"/>
    <w:rsid w:val="00A459E6"/>
    <w:rsid w:val="00A45D0C"/>
    <w:rsid w:val="00A45F08"/>
    <w:rsid w:val="00A45F24"/>
    <w:rsid w:val="00A4603E"/>
    <w:rsid w:val="00A4605F"/>
    <w:rsid w:val="00A4606B"/>
    <w:rsid w:val="00A46185"/>
    <w:rsid w:val="00A461C8"/>
    <w:rsid w:val="00A4625E"/>
    <w:rsid w:val="00A46346"/>
    <w:rsid w:val="00A46507"/>
    <w:rsid w:val="00A46640"/>
    <w:rsid w:val="00A4682C"/>
    <w:rsid w:val="00A46844"/>
    <w:rsid w:val="00A46BC6"/>
    <w:rsid w:val="00A46D47"/>
    <w:rsid w:val="00A46F4D"/>
    <w:rsid w:val="00A470D7"/>
    <w:rsid w:val="00A472B0"/>
    <w:rsid w:val="00A4730B"/>
    <w:rsid w:val="00A475A9"/>
    <w:rsid w:val="00A476AB"/>
    <w:rsid w:val="00A476D0"/>
    <w:rsid w:val="00A477B4"/>
    <w:rsid w:val="00A477E6"/>
    <w:rsid w:val="00A47A3F"/>
    <w:rsid w:val="00A47ACF"/>
    <w:rsid w:val="00A47AE8"/>
    <w:rsid w:val="00A47E81"/>
    <w:rsid w:val="00A50060"/>
    <w:rsid w:val="00A500EF"/>
    <w:rsid w:val="00A5022C"/>
    <w:rsid w:val="00A50275"/>
    <w:rsid w:val="00A5048D"/>
    <w:rsid w:val="00A5055B"/>
    <w:rsid w:val="00A5062E"/>
    <w:rsid w:val="00A509EA"/>
    <w:rsid w:val="00A50AA1"/>
    <w:rsid w:val="00A50AC4"/>
    <w:rsid w:val="00A50C43"/>
    <w:rsid w:val="00A50E3A"/>
    <w:rsid w:val="00A511AA"/>
    <w:rsid w:val="00A5123B"/>
    <w:rsid w:val="00A5183F"/>
    <w:rsid w:val="00A51B42"/>
    <w:rsid w:val="00A51CE0"/>
    <w:rsid w:val="00A51DA2"/>
    <w:rsid w:val="00A51DA9"/>
    <w:rsid w:val="00A51E44"/>
    <w:rsid w:val="00A51E5C"/>
    <w:rsid w:val="00A520ED"/>
    <w:rsid w:val="00A52177"/>
    <w:rsid w:val="00A523E9"/>
    <w:rsid w:val="00A525B9"/>
    <w:rsid w:val="00A525EA"/>
    <w:rsid w:val="00A52843"/>
    <w:rsid w:val="00A52973"/>
    <w:rsid w:val="00A5299C"/>
    <w:rsid w:val="00A52F68"/>
    <w:rsid w:val="00A530C5"/>
    <w:rsid w:val="00A5322D"/>
    <w:rsid w:val="00A53400"/>
    <w:rsid w:val="00A53518"/>
    <w:rsid w:val="00A535CE"/>
    <w:rsid w:val="00A53643"/>
    <w:rsid w:val="00A5371A"/>
    <w:rsid w:val="00A53946"/>
    <w:rsid w:val="00A53BAA"/>
    <w:rsid w:val="00A53CB8"/>
    <w:rsid w:val="00A53CFC"/>
    <w:rsid w:val="00A53E08"/>
    <w:rsid w:val="00A53FB7"/>
    <w:rsid w:val="00A54090"/>
    <w:rsid w:val="00A541C2"/>
    <w:rsid w:val="00A542AD"/>
    <w:rsid w:val="00A542F9"/>
    <w:rsid w:val="00A544CA"/>
    <w:rsid w:val="00A545A9"/>
    <w:rsid w:val="00A54A04"/>
    <w:rsid w:val="00A54BFA"/>
    <w:rsid w:val="00A54FB9"/>
    <w:rsid w:val="00A550A7"/>
    <w:rsid w:val="00A5516F"/>
    <w:rsid w:val="00A55248"/>
    <w:rsid w:val="00A5556A"/>
    <w:rsid w:val="00A55636"/>
    <w:rsid w:val="00A556E1"/>
    <w:rsid w:val="00A556FA"/>
    <w:rsid w:val="00A558CE"/>
    <w:rsid w:val="00A55E03"/>
    <w:rsid w:val="00A55F18"/>
    <w:rsid w:val="00A56259"/>
    <w:rsid w:val="00A56275"/>
    <w:rsid w:val="00A5642B"/>
    <w:rsid w:val="00A56698"/>
    <w:rsid w:val="00A568E2"/>
    <w:rsid w:val="00A56936"/>
    <w:rsid w:val="00A56A08"/>
    <w:rsid w:val="00A56B26"/>
    <w:rsid w:val="00A56BC4"/>
    <w:rsid w:val="00A56BCF"/>
    <w:rsid w:val="00A56E43"/>
    <w:rsid w:val="00A57060"/>
    <w:rsid w:val="00A57184"/>
    <w:rsid w:val="00A5722C"/>
    <w:rsid w:val="00A572A6"/>
    <w:rsid w:val="00A572CE"/>
    <w:rsid w:val="00A5759A"/>
    <w:rsid w:val="00A575E0"/>
    <w:rsid w:val="00A57705"/>
    <w:rsid w:val="00A57800"/>
    <w:rsid w:val="00A5795C"/>
    <w:rsid w:val="00A57A90"/>
    <w:rsid w:val="00A57AD3"/>
    <w:rsid w:val="00A57CBF"/>
    <w:rsid w:val="00A57D68"/>
    <w:rsid w:val="00A57E10"/>
    <w:rsid w:val="00A57E16"/>
    <w:rsid w:val="00A600F4"/>
    <w:rsid w:val="00A60177"/>
    <w:rsid w:val="00A60180"/>
    <w:rsid w:val="00A60330"/>
    <w:rsid w:val="00A60547"/>
    <w:rsid w:val="00A60A1C"/>
    <w:rsid w:val="00A60A5E"/>
    <w:rsid w:val="00A60A65"/>
    <w:rsid w:val="00A60D10"/>
    <w:rsid w:val="00A60EB2"/>
    <w:rsid w:val="00A6104D"/>
    <w:rsid w:val="00A6117A"/>
    <w:rsid w:val="00A611D0"/>
    <w:rsid w:val="00A611DC"/>
    <w:rsid w:val="00A6139C"/>
    <w:rsid w:val="00A6156E"/>
    <w:rsid w:val="00A615A5"/>
    <w:rsid w:val="00A615B7"/>
    <w:rsid w:val="00A616A7"/>
    <w:rsid w:val="00A61722"/>
    <w:rsid w:val="00A618FE"/>
    <w:rsid w:val="00A61AF3"/>
    <w:rsid w:val="00A61CC8"/>
    <w:rsid w:val="00A61E0E"/>
    <w:rsid w:val="00A61ED4"/>
    <w:rsid w:val="00A62320"/>
    <w:rsid w:val="00A623FF"/>
    <w:rsid w:val="00A62452"/>
    <w:rsid w:val="00A6257E"/>
    <w:rsid w:val="00A62654"/>
    <w:rsid w:val="00A62853"/>
    <w:rsid w:val="00A62976"/>
    <w:rsid w:val="00A62A92"/>
    <w:rsid w:val="00A62B23"/>
    <w:rsid w:val="00A62D70"/>
    <w:rsid w:val="00A62DC5"/>
    <w:rsid w:val="00A62E3D"/>
    <w:rsid w:val="00A6313D"/>
    <w:rsid w:val="00A631AF"/>
    <w:rsid w:val="00A63226"/>
    <w:rsid w:val="00A6331A"/>
    <w:rsid w:val="00A6340B"/>
    <w:rsid w:val="00A6359D"/>
    <w:rsid w:val="00A63653"/>
    <w:rsid w:val="00A636D0"/>
    <w:rsid w:val="00A63850"/>
    <w:rsid w:val="00A63CAC"/>
    <w:rsid w:val="00A64013"/>
    <w:rsid w:val="00A6406A"/>
    <w:rsid w:val="00A6406F"/>
    <w:rsid w:val="00A641D0"/>
    <w:rsid w:val="00A64362"/>
    <w:rsid w:val="00A648B9"/>
    <w:rsid w:val="00A64930"/>
    <w:rsid w:val="00A649CB"/>
    <w:rsid w:val="00A64E07"/>
    <w:rsid w:val="00A64E3E"/>
    <w:rsid w:val="00A6503D"/>
    <w:rsid w:val="00A65386"/>
    <w:rsid w:val="00A655B8"/>
    <w:rsid w:val="00A65786"/>
    <w:rsid w:val="00A6585C"/>
    <w:rsid w:val="00A65A56"/>
    <w:rsid w:val="00A65A98"/>
    <w:rsid w:val="00A65C42"/>
    <w:rsid w:val="00A65DF7"/>
    <w:rsid w:val="00A65F67"/>
    <w:rsid w:val="00A65FA1"/>
    <w:rsid w:val="00A66055"/>
    <w:rsid w:val="00A660CA"/>
    <w:rsid w:val="00A66259"/>
    <w:rsid w:val="00A66448"/>
    <w:rsid w:val="00A6645A"/>
    <w:rsid w:val="00A665C9"/>
    <w:rsid w:val="00A66738"/>
    <w:rsid w:val="00A66A3F"/>
    <w:rsid w:val="00A66A7B"/>
    <w:rsid w:val="00A66C95"/>
    <w:rsid w:val="00A66CC8"/>
    <w:rsid w:val="00A66D36"/>
    <w:rsid w:val="00A66D52"/>
    <w:rsid w:val="00A674AB"/>
    <w:rsid w:val="00A6755E"/>
    <w:rsid w:val="00A67580"/>
    <w:rsid w:val="00A67611"/>
    <w:rsid w:val="00A6798C"/>
    <w:rsid w:val="00A67B98"/>
    <w:rsid w:val="00A67E57"/>
    <w:rsid w:val="00A7003A"/>
    <w:rsid w:val="00A70055"/>
    <w:rsid w:val="00A702AA"/>
    <w:rsid w:val="00A7033E"/>
    <w:rsid w:val="00A703B2"/>
    <w:rsid w:val="00A70814"/>
    <w:rsid w:val="00A709FB"/>
    <w:rsid w:val="00A70C86"/>
    <w:rsid w:val="00A70D05"/>
    <w:rsid w:val="00A70EF1"/>
    <w:rsid w:val="00A71254"/>
    <w:rsid w:val="00A71323"/>
    <w:rsid w:val="00A715E3"/>
    <w:rsid w:val="00A71661"/>
    <w:rsid w:val="00A71819"/>
    <w:rsid w:val="00A719A6"/>
    <w:rsid w:val="00A71B5B"/>
    <w:rsid w:val="00A71B73"/>
    <w:rsid w:val="00A71D3B"/>
    <w:rsid w:val="00A721E3"/>
    <w:rsid w:val="00A72205"/>
    <w:rsid w:val="00A723EC"/>
    <w:rsid w:val="00A724BD"/>
    <w:rsid w:val="00A7268D"/>
    <w:rsid w:val="00A72936"/>
    <w:rsid w:val="00A72A32"/>
    <w:rsid w:val="00A72D1A"/>
    <w:rsid w:val="00A72D27"/>
    <w:rsid w:val="00A73129"/>
    <w:rsid w:val="00A73152"/>
    <w:rsid w:val="00A734F1"/>
    <w:rsid w:val="00A73DB4"/>
    <w:rsid w:val="00A73FF4"/>
    <w:rsid w:val="00A74220"/>
    <w:rsid w:val="00A7466A"/>
    <w:rsid w:val="00A747E0"/>
    <w:rsid w:val="00A74812"/>
    <w:rsid w:val="00A748B0"/>
    <w:rsid w:val="00A748F4"/>
    <w:rsid w:val="00A749AC"/>
    <w:rsid w:val="00A74A3D"/>
    <w:rsid w:val="00A74A94"/>
    <w:rsid w:val="00A74B7A"/>
    <w:rsid w:val="00A74D28"/>
    <w:rsid w:val="00A74DD7"/>
    <w:rsid w:val="00A74EFB"/>
    <w:rsid w:val="00A74F76"/>
    <w:rsid w:val="00A75309"/>
    <w:rsid w:val="00A7563F"/>
    <w:rsid w:val="00A75A3A"/>
    <w:rsid w:val="00A75CE3"/>
    <w:rsid w:val="00A75D77"/>
    <w:rsid w:val="00A75D8F"/>
    <w:rsid w:val="00A75F9E"/>
    <w:rsid w:val="00A7605B"/>
    <w:rsid w:val="00A761B6"/>
    <w:rsid w:val="00A7626D"/>
    <w:rsid w:val="00A76325"/>
    <w:rsid w:val="00A7637A"/>
    <w:rsid w:val="00A7655F"/>
    <w:rsid w:val="00A765BC"/>
    <w:rsid w:val="00A767A0"/>
    <w:rsid w:val="00A76A00"/>
    <w:rsid w:val="00A76AD3"/>
    <w:rsid w:val="00A7714A"/>
    <w:rsid w:val="00A772CD"/>
    <w:rsid w:val="00A774FE"/>
    <w:rsid w:val="00A7751D"/>
    <w:rsid w:val="00A77691"/>
    <w:rsid w:val="00A776C9"/>
    <w:rsid w:val="00A776CE"/>
    <w:rsid w:val="00A77B35"/>
    <w:rsid w:val="00A77B90"/>
    <w:rsid w:val="00A77DF6"/>
    <w:rsid w:val="00A80106"/>
    <w:rsid w:val="00A804B9"/>
    <w:rsid w:val="00A8083B"/>
    <w:rsid w:val="00A80A3F"/>
    <w:rsid w:val="00A80BB4"/>
    <w:rsid w:val="00A80F64"/>
    <w:rsid w:val="00A81068"/>
    <w:rsid w:val="00A81143"/>
    <w:rsid w:val="00A811E9"/>
    <w:rsid w:val="00A812DB"/>
    <w:rsid w:val="00A819FA"/>
    <w:rsid w:val="00A81CBC"/>
    <w:rsid w:val="00A81F52"/>
    <w:rsid w:val="00A81FCF"/>
    <w:rsid w:val="00A821B1"/>
    <w:rsid w:val="00A82257"/>
    <w:rsid w:val="00A823A6"/>
    <w:rsid w:val="00A824C1"/>
    <w:rsid w:val="00A82529"/>
    <w:rsid w:val="00A82604"/>
    <w:rsid w:val="00A82791"/>
    <w:rsid w:val="00A82802"/>
    <w:rsid w:val="00A82898"/>
    <w:rsid w:val="00A82B79"/>
    <w:rsid w:val="00A82E2B"/>
    <w:rsid w:val="00A82F2B"/>
    <w:rsid w:val="00A8303E"/>
    <w:rsid w:val="00A83201"/>
    <w:rsid w:val="00A83493"/>
    <w:rsid w:val="00A83555"/>
    <w:rsid w:val="00A836BA"/>
    <w:rsid w:val="00A837C1"/>
    <w:rsid w:val="00A83A48"/>
    <w:rsid w:val="00A83B05"/>
    <w:rsid w:val="00A83B2F"/>
    <w:rsid w:val="00A83C7A"/>
    <w:rsid w:val="00A83E06"/>
    <w:rsid w:val="00A8402A"/>
    <w:rsid w:val="00A84297"/>
    <w:rsid w:val="00A84526"/>
    <w:rsid w:val="00A84914"/>
    <w:rsid w:val="00A84CF8"/>
    <w:rsid w:val="00A84D06"/>
    <w:rsid w:val="00A84E82"/>
    <w:rsid w:val="00A84F15"/>
    <w:rsid w:val="00A84F52"/>
    <w:rsid w:val="00A84FE5"/>
    <w:rsid w:val="00A8525D"/>
    <w:rsid w:val="00A85439"/>
    <w:rsid w:val="00A854C5"/>
    <w:rsid w:val="00A85553"/>
    <w:rsid w:val="00A8588D"/>
    <w:rsid w:val="00A85A2E"/>
    <w:rsid w:val="00A85A8A"/>
    <w:rsid w:val="00A85AE6"/>
    <w:rsid w:val="00A85D16"/>
    <w:rsid w:val="00A85DCC"/>
    <w:rsid w:val="00A86319"/>
    <w:rsid w:val="00A86340"/>
    <w:rsid w:val="00A865D0"/>
    <w:rsid w:val="00A86645"/>
    <w:rsid w:val="00A86720"/>
    <w:rsid w:val="00A86819"/>
    <w:rsid w:val="00A8681F"/>
    <w:rsid w:val="00A868BF"/>
    <w:rsid w:val="00A86909"/>
    <w:rsid w:val="00A86A6B"/>
    <w:rsid w:val="00A86A9F"/>
    <w:rsid w:val="00A86BBF"/>
    <w:rsid w:val="00A86BF8"/>
    <w:rsid w:val="00A86C54"/>
    <w:rsid w:val="00A8701D"/>
    <w:rsid w:val="00A87211"/>
    <w:rsid w:val="00A8733B"/>
    <w:rsid w:val="00A8738C"/>
    <w:rsid w:val="00A879BF"/>
    <w:rsid w:val="00A87B89"/>
    <w:rsid w:val="00A87C17"/>
    <w:rsid w:val="00A87F9D"/>
    <w:rsid w:val="00A90144"/>
    <w:rsid w:val="00A905EC"/>
    <w:rsid w:val="00A906B3"/>
    <w:rsid w:val="00A906DC"/>
    <w:rsid w:val="00A908BB"/>
    <w:rsid w:val="00A90A5B"/>
    <w:rsid w:val="00A90BC9"/>
    <w:rsid w:val="00A90C8B"/>
    <w:rsid w:val="00A90CE9"/>
    <w:rsid w:val="00A90DCA"/>
    <w:rsid w:val="00A90E9D"/>
    <w:rsid w:val="00A90FDD"/>
    <w:rsid w:val="00A910D5"/>
    <w:rsid w:val="00A9116D"/>
    <w:rsid w:val="00A9158F"/>
    <w:rsid w:val="00A9170C"/>
    <w:rsid w:val="00A91B4C"/>
    <w:rsid w:val="00A91B7C"/>
    <w:rsid w:val="00A91F6C"/>
    <w:rsid w:val="00A920B3"/>
    <w:rsid w:val="00A9237F"/>
    <w:rsid w:val="00A923FB"/>
    <w:rsid w:val="00A92869"/>
    <w:rsid w:val="00A92A5A"/>
    <w:rsid w:val="00A92B00"/>
    <w:rsid w:val="00A92C44"/>
    <w:rsid w:val="00A92C4C"/>
    <w:rsid w:val="00A92D05"/>
    <w:rsid w:val="00A92F33"/>
    <w:rsid w:val="00A931A0"/>
    <w:rsid w:val="00A9367B"/>
    <w:rsid w:val="00A93700"/>
    <w:rsid w:val="00A93C14"/>
    <w:rsid w:val="00A93CFE"/>
    <w:rsid w:val="00A93EA6"/>
    <w:rsid w:val="00A94176"/>
    <w:rsid w:val="00A941CD"/>
    <w:rsid w:val="00A94338"/>
    <w:rsid w:val="00A944F4"/>
    <w:rsid w:val="00A946BD"/>
    <w:rsid w:val="00A94775"/>
    <w:rsid w:val="00A9481A"/>
    <w:rsid w:val="00A94A54"/>
    <w:rsid w:val="00A94B74"/>
    <w:rsid w:val="00A94C19"/>
    <w:rsid w:val="00A94C9D"/>
    <w:rsid w:val="00A94D20"/>
    <w:rsid w:val="00A94D44"/>
    <w:rsid w:val="00A94E9F"/>
    <w:rsid w:val="00A94FA8"/>
    <w:rsid w:val="00A95028"/>
    <w:rsid w:val="00A9504A"/>
    <w:rsid w:val="00A954AF"/>
    <w:rsid w:val="00A95532"/>
    <w:rsid w:val="00A956BE"/>
    <w:rsid w:val="00A956C5"/>
    <w:rsid w:val="00A958C8"/>
    <w:rsid w:val="00A958E4"/>
    <w:rsid w:val="00A9595C"/>
    <w:rsid w:val="00A95A74"/>
    <w:rsid w:val="00A95AD8"/>
    <w:rsid w:val="00A95B93"/>
    <w:rsid w:val="00A96058"/>
    <w:rsid w:val="00A96082"/>
    <w:rsid w:val="00A960D3"/>
    <w:rsid w:val="00A96158"/>
    <w:rsid w:val="00A961B8"/>
    <w:rsid w:val="00A962AF"/>
    <w:rsid w:val="00A9662C"/>
    <w:rsid w:val="00A96704"/>
    <w:rsid w:val="00A96998"/>
    <w:rsid w:val="00A96A77"/>
    <w:rsid w:val="00A96D06"/>
    <w:rsid w:val="00A96E38"/>
    <w:rsid w:val="00A96EC2"/>
    <w:rsid w:val="00A96FE3"/>
    <w:rsid w:val="00A9710C"/>
    <w:rsid w:val="00A971CB"/>
    <w:rsid w:val="00A9755E"/>
    <w:rsid w:val="00A97636"/>
    <w:rsid w:val="00A9792D"/>
    <w:rsid w:val="00A97B9D"/>
    <w:rsid w:val="00A97DF4"/>
    <w:rsid w:val="00AA00D1"/>
    <w:rsid w:val="00AA0B5D"/>
    <w:rsid w:val="00AA0E63"/>
    <w:rsid w:val="00AA0F9F"/>
    <w:rsid w:val="00AA1043"/>
    <w:rsid w:val="00AA105B"/>
    <w:rsid w:val="00AA1318"/>
    <w:rsid w:val="00AA13BB"/>
    <w:rsid w:val="00AA161A"/>
    <w:rsid w:val="00AA17D7"/>
    <w:rsid w:val="00AA17F1"/>
    <w:rsid w:val="00AA18FB"/>
    <w:rsid w:val="00AA19A7"/>
    <w:rsid w:val="00AA1A0D"/>
    <w:rsid w:val="00AA1C0D"/>
    <w:rsid w:val="00AA1C4A"/>
    <w:rsid w:val="00AA1E7C"/>
    <w:rsid w:val="00AA205E"/>
    <w:rsid w:val="00AA2186"/>
    <w:rsid w:val="00AA223D"/>
    <w:rsid w:val="00AA22B7"/>
    <w:rsid w:val="00AA23AD"/>
    <w:rsid w:val="00AA25E7"/>
    <w:rsid w:val="00AA2A90"/>
    <w:rsid w:val="00AA2AE6"/>
    <w:rsid w:val="00AA2AFF"/>
    <w:rsid w:val="00AA2B56"/>
    <w:rsid w:val="00AA2D08"/>
    <w:rsid w:val="00AA3324"/>
    <w:rsid w:val="00AA357A"/>
    <w:rsid w:val="00AA36AE"/>
    <w:rsid w:val="00AA36DA"/>
    <w:rsid w:val="00AA3777"/>
    <w:rsid w:val="00AA3856"/>
    <w:rsid w:val="00AA3AE8"/>
    <w:rsid w:val="00AA3F4F"/>
    <w:rsid w:val="00AA3FC9"/>
    <w:rsid w:val="00AA4493"/>
    <w:rsid w:val="00AA44CE"/>
    <w:rsid w:val="00AA4536"/>
    <w:rsid w:val="00AA4826"/>
    <w:rsid w:val="00AA4A3B"/>
    <w:rsid w:val="00AA4B8C"/>
    <w:rsid w:val="00AA4DC0"/>
    <w:rsid w:val="00AA4DF1"/>
    <w:rsid w:val="00AA54DA"/>
    <w:rsid w:val="00AA5A21"/>
    <w:rsid w:val="00AA5A8E"/>
    <w:rsid w:val="00AA5B3A"/>
    <w:rsid w:val="00AA5B40"/>
    <w:rsid w:val="00AA5DD3"/>
    <w:rsid w:val="00AA5DDE"/>
    <w:rsid w:val="00AA5F45"/>
    <w:rsid w:val="00AA60FC"/>
    <w:rsid w:val="00AA6113"/>
    <w:rsid w:val="00AA6151"/>
    <w:rsid w:val="00AA6186"/>
    <w:rsid w:val="00AA62FD"/>
    <w:rsid w:val="00AA6336"/>
    <w:rsid w:val="00AA63B1"/>
    <w:rsid w:val="00AA64C9"/>
    <w:rsid w:val="00AA64FD"/>
    <w:rsid w:val="00AA6A70"/>
    <w:rsid w:val="00AA6A78"/>
    <w:rsid w:val="00AA711F"/>
    <w:rsid w:val="00AA7120"/>
    <w:rsid w:val="00AA7823"/>
    <w:rsid w:val="00AA791F"/>
    <w:rsid w:val="00AA793B"/>
    <w:rsid w:val="00AA7A26"/>
    <w:rsid w:val="00AA7D92"/>
    <w:rsid w:val="00AA7D96"/>
    <w:rsid w:val="00AA7ED6"/>
    <w:rsid w:val="00AA7FD4"/>
    <w:rsid w:val="00AB0229"/>
    <w:rsid w:val="00AB0593"/>
    <w:rsid w:val="00AB05F3"/>
    <w:rsid w:val="00AB06CA"/>
    <w:rsid w:val="00AB06E5"/>
    <w:rsid w:val="00AB084D"/>
    <w:rsid w:val="00AB0861"/>
    <w:rsid w:val="00AB094D"/>
    <w:rsid w:val="00AB0E99"/>
    <w:rsid w:val="00AB1790"/>
    <w:rsid w:val="00AB19AA"/>
    <w:rsid w:val="00AB1A16"/>
    <w:rsid w:val="00AB1A98"/>
    <w:rsid w:val="00AB1BC4"/>
    <w:rsid w:val="00AB1C6C"/>
    <w:rsid w:val="00AB1D56"/>
    <w:rsid w:val="00AB1EB1"/>
    <w:rsid w:val="00AB245C"/>
    <w:rsid w:val="00AB24AB"/>
    <w:rsid w:val="00AB2617"/>
    <w:rsid w:val="00AB2621"/>
    <w:rsid w:val="00AB279B"/>
    <w:rsid w:val="00AB2804"/>
    <w:rsid w:val="00AB2819"/>
    <w:rsid w:val="00AB2A5F"/>
    <w:rsid w:val="00AB2C4C"/>
    <w:rsid w:val="00AB2E8D"/>
    <w:rsid w:val="00AB2FDB"/>
    <w:rsid w:val="00AB3161"/>
    <w:rsid w:val="00AB32BD"/>
    <w:rsid w:val="00AB35F6"/>
    <w:rsid w:val="00AB362F"/>
    <w:rsid w:val="00AB37AE"/>
    <w:rsid w:val="00AB3ABB"/>
    <w:rsid w:val="00AB3B5C"/>
    <w:rsid w:val="00AB3B8B"/>
    <w:rsid w:val="00AB3EE7"/>
    <w:rsid w:val="00AB3FB7"/>
    <w:rsid w:val="00AB4020"/>
    <w:rsid w:val="00AB423C"/>
    <w:rsid w:val="00AB4307"/>
    <w:rsid w:val="00AB4444"/>
    <w:rsid w:val="00AB450C"/>
    <w:rsid w:val="00AB45D0"/>
    <w:rsid w:val="00AB460E"/>
    <w:rsid w:val="00AB4762"/>
    <w:rsid w:val="00AB4851"/>
    <w:rsid w:val="00AB489F"/>
    <w:rsid w:val="00AB4C66"/>
    <w:rsid w:val="00AB4CFF"/>
    <w:rsid w:val="00AB4F4A"/>
    <w:rsid w:val="00AB4F6B"/>
    <w:rsid w:val="00AB502F"/>
    <w:rsid w:val="00AB54B3"/>
    <w:rsid w:val="00AB561B"/>
    <w:rsid w:val="00AB5652"/>
    <w:rsid w:val="00AB5A12"/>
    <w:rsid w:val="00AB5B9A"/>
    <w:rsid w:val="00AB5B9B"/>
    <w:rsid w:val="00AB620E"/>
    <w:rsid w:val="00AB6283"/>
    <w:rsid w:val="00AB62C0"/>
    <w:rsid w:val="00AB665C"/>
    <w:rsid w:val="00AB6899"/>
    <w:rsid w:val="00AB694F"/>
    <w:rsid w:val="00AB6BF6"/>
    <w:rsid w:val="00AB6D98"/>
    <w:rsid w:val="00AB6EA7"/>
    <w:rsid w:val="00AB6F88"/>
    <w:rsid w:val="00AB70A7"/>
    <w:rsid w:val="00AB72CF"/>
    <w:rsid w:val="00AB7805"/>
    <w:rsid w:val="00AB785B"/>
    <w:rsid w:val="00AB790F"/>
    <w:rsid w:val="00AB7AEA"/>
    <w:rsid w:val="00AB7D8E"/>
    <w:rsid w:val="00AB7FC5"/>
    <w:rsid w:val="00AC03EC"/>
    <w:rsid w:val="00AC066F"/>
    <w:rsid w:val="00AC0731"/>
    <w:rsid w:val="00AC0B21"/>
    <w:rsid w:val="00AC0DF0"/>
    <w:rsid w:val="00AC1148"/>
    <w:rsid w:val="00AC1285"/>
    <w:rsid w:val="00AC129E"/>
    <w:rsid w:val="00AC12A9"/>
    <w:rsid w:val="00AC1315"/>
    <w:rsid w:val="00AC17BA"/>
    <w:rsid w:val="00AC17BF"/>
    <w:rsid w:val="00AC18B9"/>
    <w:rsid w:val="00AC1A5A"/>
    <w:rsid w:val="00AC1EFB"/>
    <w:rsid w:val="00AC1F06"/>
    <w:rsid w:val="00AC230D"/>
    <w:rsid w:val="00AC2501"/>
    <w:rsid w:val="00AC253D"/>
    <w:rsid w:val="00AC26AC"/>
    <w:rsid w:val="00AC26C5"/>
    <w:rsid w:val="00AC2893"/>
    <w:rsid w:val="00AC2AE6"/>
    <w:rsid w:val="00AC2C04"/>
    <w:rsid w:val="00AC2C26"/>
    <w:rsid w:val="00AC2E94"/>
    <w:rsid w:val="00AC2F1D"/>
    <w:rsid w:val="00AC30B5"/>
    <w:rsid w:val="00AC3111"/>
    <w:rsid w:val="00AC3334"/>
    <w:rsid w:val="00AC36A3"/>
    <w:rsid w:val="00AC38C3"/>
    <w:rsid w:val="00AC3A4F"/>
    <w:rsid w:val="00AC3C11"/>
    <w:rsid w:val="00AC3D72"/>
    <w:rsid w:val="00AC4123"/>
    <w:rsid w:val="00AC4302"/>
    <w:rsid w:val="00AC4619"/>
    <w:rsid w:val="00AC4690"/>
    <w:rsid w:val="00AC48B4"/>
    <w:rsid w:val="00AC4919"/>
    <w:rsid w:val="00AC4C99"/>
    <w:rsid w:val="00AC4E57"/>
    <w:rsid w:val="00AC4E8F"/>
    <w:rsid w:val="00AC4F09"/>
    <w:rsid w:val="00AC5024"/>
    <w:rsid w:val="00AC50F2"/>
    <w:rsid w:val="00AC51A3"/>
    <w:rsid w:val="00AC5204"/>
    <w:rsid w:val="00AC522C"/>
    <w:rsid w:val="00AC53EF"/>
    <w:rsid w:val="00AC56B6"/>
    <w:rsid w:val="00AC575E"/>
    <w:rsid w:val="00AC582D"/>
    <w:rsid w:val="00AC58F3"/>
    <w:rsid w:val="00AC5A1A"/>
    <w:rsid w:val="00AC5DE1"/>
    <w:rsid w:val="00AC5EFE"/>
    <w:rsid w:val="00AC6105"/>
    <w:rsid w:val="00AC619C"/>
    <w:rsid w:val="00AC61EC"/>
    <w:rsid w:val="00AC651D"/>
    <w:rsid w:val="00AC65A4"/>
    <w:rsid w:val="00AC6796"/>
    <w:rsid w:val="00AC6E97"/>
    <w:rsid w:val="00AC713D"/>
    <w:rsid w:val="00AC7252"/>
    <w:rsid w:val="00AC779D"/>
    <w:rsid w:val="00AC7D46"/>
    <w:rsid w:val="00AC7EA8"/>
    <w:rsid w:val="00AD003E"/>
    <w:rsid w:val="00AD00A9"/>
    <w:rsid w:val="00AD016C"/>
    <w:rsid w:val="00AD0450"/>
    <w:rsid w:val="00AD0823"/>
    <w:rsid w:val="00AD08BA"/>
    <w:rsid w:val="00AD0902"/>
    <w:rsid w:val="00AD094D"/>
    <w:rsid w:val="00AD094F"/>
    <w:rsid w:val="00AD0A92"/>
    <w:rsid w:val="00AD0C21"/>
    <w:rsid w:val="00AD0E87"/>
    <w:rsid w:val="00AD0EDF"/>
    <w:rsid w:val="00AD1140"/>
    <w:rsid w:val="00AD1347"/>
    <w:rsid w:val="00AD1353"/>
    <w:rsid w:val="00AD1363"/>
    <w:rsid w:val="00AD138F"/>
    <w:rsid w:val="00AD15C6"/>
    <w:rsid w:val="00AD164C"/>
    <w:rsid w:val="00AD1670"/>
    <w:rsid w:val="00AD1713"/>
    <w:rsid w:val="00AD1773"/>
    <w:rsid w:val="00AD18C3"/>
    <w:rsid w:val="00AD1BA2"/>
    <w:rsid w:val="00AD1D69"/>
    <w:rsid w:val="00AD1F79"/>
    <w:rsid w:val="00AD1FB7"/>
    <w:rsid w:val="00AD21E2"/>
    <w:rsid w:val="00AD256E"/>
    <w:rsid w:val="00AD256F"/>
    <w:rsid w:val="00AD2653"/>
    <w:rsid w:val="00AD28D0"/>
    <w:rsid w:val="00AD2A62"/>
    <w:rsid w:val="00AD2C1A"/>
    <w:rsid w:val="00AD2F13"/>
    <w:rsid w:val="00AD2F23"/>
    <w:rsid w:val="00AD2F96"/>
    <w:rsid w:val="00AD3122"/>
    <w:rsid w:val="00AD322D"/>
    <w:rsid w:val="00AD34E2"/>
    <w:rsid w:val="00AD38CE"/>
    <w:rsid w:val="00AD3A87"/>
    <w:rsid w:val="00AD3C90"/>
    <w:rsid w:val="00AD40B6"/>
    <w:rsid w:val="00AD427D"/>
    <w:rsid w:val="00AD4320"/>
    <w:rsid w:val="00AD4502"/>
    <w:rsid w:val="00AD4513"/>
    <w:rsid w:val="00AD456C"/>
    <w:rsid w:val="00AD46A4"/>
    <w:rsid w:val="00AD46B0"/>
    <w:rsid w:val="00AD479B"/>
    <w:rsid w:val="00AD4813"/>
    <w:rsid w:val="00AD48D8"/>
    <w:rsid w:val="00AD491B"/>
    <w:rsid w:val="00AD4B15"/>
    <w:rsid w:val="00AD4BA7"/>
    <w:rsid w:val="00AD4ED0"/>
    <w:rsid w:val="00AD4FB0"/>
    <w:rsid w:val="00AD50AC"/>
    <w:rsid w:val="00AD521C"/>
    <w:rsid w:val="00AD53C1"/>
    <w:rsid w:val="00AD55FC"/>
    <w:rsid w:val="00AD57E8"/>
    <w:rsid w:val="00AD59C2"/>
    <w:rsid w:val="00AD5B63"/>
    <w:rsid w:val="00AD5D72"/>
    <w:rsid w:val="00AD5DA7"/>
    <w:rsid w:val="00AD5E01"/>
    <w:rsid w:val="00AD6194"/>
    <w:rsid w:val="00AD62FB"/>
    <w:rsid w:val="00AD6325"/>
    <w:rsid w:val="00AD6E2A"/>
    <w:rsid w:val="00AD6E85"/>
    <w:rsid w:val="00AD6F00"/>
    <w:rsid w:val="00AD6F2D"/>
    <w:rsid w:val="00AD7233"/>
    <w:rsid w:val="00AD7885"/>
    <w:rsid w:val="00AD791C"/>
    <w:rsid w:val="00AD7B22"/>
    <w:rsid w:val="00AD7CE9"/>
    <w:rsid w:val="00AD7DCB"/>
    <w:rsid w:val="00AD7E4C"/>
    <w:rsid w:val="00AE0082"/>
    <w:rsid w:val="00AE0085"/>
    <w:rsid w:val="00AE02D6"/>
    <w:rsid w:val="00AE0330"/>
    <w:rsid w:val="00AE0485"/>
    <w:rsid w:val="00AE067B"/>
    <w:rsid w:val="00AE0B5C"/>
    <w:rsid w:val="00AE0B83"/>
    <w:rsid w:val="00AE0BCF"/>
    <w:rsid w:val="00AE0E67"/>
    <w:rsid w:val="00AE108D"/>
    <w:rsid w:val="00AE114D"/>
    <w:rsid w:val="00AE115D"/>
    <w:rsid w:val="00AE1367"/>
    <w:rsid w:val="00AE1479"/>
    <w:rsid w:val="00AE1698"/>
    <w:rsid w:val="00AE1D59"/>
    <w:rsid w:val="00AE20D9"/>
    <w:rsid w:val="00AE22CA"/>
    <w:rsid w:val="00AE236B"/>
    <w:rsid w:val="00AE23DE"/>
    <w:rsid w:val="00AE25DA"/>
    <w:rsid w:val="00AE2781"/>
    <w:rsid w:val="00AE28C8"/>
    <w:rsid w:val="00AE29BD"/>
    <w:rsid w:val="00AE2B62"/>
    <w:rsid w:val="00AE2B7D"/>
    <w:rsid w:val="00AE2DB5"/>
    <w:rsid w:val="00AE3192"/>
    <w:rsid w:val="00AE32F7"/>
    <w:rsid w:val="00AE3993"/>
    <w:rsid w:val="00AE3B93"/>
    <w:rsid w:val="00AE3EC2"/>
    <w:rsid w:val="00AE3EFC"/>
    <w:rsid w:val="00AE3FE2"/>
    <w:rsid w:val="00AE3FE6"/>
    <w:rsid w:val="00AE42A1"/>
    <w:rsid w:val="00AE43B0"/>
    <w:rsid w:val="00AE43C8"/>
    <w:rsid w:val="00AE4579"/>
    <w:rsid w:val="00AE48CC"/>
    <w:rsid w:val="00AE4AA1"/>
    <w:rsid w:val="00AE4B8A"/>
    <w:rsid w:val="00AE5137"/>
    <w:rsid w:val="00AE520F"/>
    <w:rsid w:val="00AE5232"/>
    <w:rsid w:val="00AE52AF"/>
    <w:rsid w:val="00AE5333"/>
    <w:rsid w:val="00AE5495"/>
    <w:rsid w:val="00AE563E"/>
    <w:rsid w:val="00AE569A"/>
    <w:rsid w:val="00AE5722"/>
    <w:rsid w:val="00AE57F5"/>
    <w:rsid w:val="00AE5999"/>
    <w:rsid w:val="00AE5EE4"/>
    <w:rsid w:val="00AE6170"/>
    <w:rsid w:val="00AE6230"/>
    <w:rsid w:val="00AE6270"/>
    <w:rsid w:val="00AE6386"/>
    <w:rsid w:val="00AE658A"/>
    <w:rsid w:val="00AE65EB"/>
    <w:rsid w:val="00AE6760"/>
    <w:rsid w:val="00AE67F3"/>
    <w:rsid w:val="00AE6833"/>
    <w:rsid w:val="00AE69EB"/>
    <w:rsid w:val="00AE6A3C"/>
    <w:rsid w:val="00AE6A67"/>
    <w:rsid w:val="00AE6B81"/>
    <w:rsid w:val="00AE6F42"/>
    <w:rsid w:val="00AE721A"/>
    <w:rsid w:val="00AE78FF"/>
    <w:rsid w:val="00AE7A31"/>
    <w:rsid w:val="00AE7B92"/>
    <w:rsid w:val="00AE7C3D"/>
    <w:rsid w:val="00AE7E86"/>
    <w:rsid w:val="00AF0084"/>
    <w:rsid w:val="00AF00A4"/>
    <w:rsid w:val="00AF01DD"/>
    <w:rsid w:val="00AF02D8"/>
    <w:rsid w:val="00AF0400"/>
    <w:rsid w:val="00AF0404"/>
    <w:rsid w:val="00AF0407"/>
    <w:rsid w:val="00AF073A"/>
    <w:rsid w:val="00AF07BE"/>
    <w:rsid w:val="00AF0957"/>
    <w:rsid w:val="00AF0E89"/>
    <w:rsid w:val="00AF1317"/>
    <w:rsid w:val="00AF17B5"/>
    <w:rsid w:val="00AF1945"/>
    <w:rsid w:val="00AF1A4A"/>
    <w:rsid w:val="00AF1B8E"/>
    <w:rsid w:val="00AF1D70"/>
    <w:rsid w:val="00AF1E76"/>
    <w:rsid w:val="00AF204D"/>
    <w:rsid w:val="00AF215E"/>
    <w:rsid w:val="00AF2177"/>
    <w:rsid w:val="00AF21B0"/>
    <w:rsid w:val="00AF21EC"/>
    <w:rsid w:val="00AF231F"/>
    <w:rsid w:val="00AF233C"/>
    <w:rsid w:val="00AF23FB"/>
    <w:rsid w:val="00AF24F5"/>
    <w:rsid w:val="00AF262D"/>
    <w:rsid w:val="00AF27C8"/>
    <w:rsid w:val="00AF29B7"/>
    <w:rsid w:val="00AF2A73"/>
    <w:rsid w:val="00AF2AAC"/>
    <w:rsid w:val="00AF3017"/>
    <w:rsid w:val="00AF3126"/>
    <w:rsid w:val="00AF3319"/>
    <w:rsid w:val="00AF3378"/>
    <w:rsid w:val="00AF34A2"/>
    <w:rsid w:val="00AF3855"/>
    <w:rsid w:val="00AF3A7F"/>
    <w:rsid w:val="00AF3C5C"/>
    <w:rsid w:val="00AF3C7C"/>
    <w:rsid w:val="00AF4355"/>
    <w:rsid w:val="00AF43E2"/>
    <w:rsid w:val="00AF4445"/>
    <w:rsid w:val="00AF45CF"/>
    <w:rsid w:val="00AF4AFA"/>
    <w:rsid w:val="00AF4B20"/>
    <w:rsid w:val="00AF4C08"/>
    <w:rsid w:val="00AF4D98"/>
    <w:rsid w:val="00AF4E51"/>
    <w:rsid w:val="00AF4E6A"/>
    <w:rsid w:val="00AF4E71"/>
    <w:rsid w:val="00AF4FE5"/>
    <w:rsid w:val="00AF504E"/>
    <w:rsid w:val="00AF50F7"/>
    <w:rsid w:val="00AF511D"/>
    <w:rsid w:val="00AF535A"/>
    <w:rsid w:val="00AF5673"/>
    <w:rsid w:val="00AF56F8"/>
    <w:rsid w:val="00AF574F"/>
    <w:rsid w:val="00AF5804"/>
    <w:rsid w:val="00AF58D5"/>
    <w:rsid w:val="00AF5CFD"/>
    <w:rsid w:val="00AF5FDA"/>
    <w:rsid w:val="00AF6191"/>
    <w:rsid w:val="00AF6234"/>
    <w:rsid w:val="00AF6354"/>
    <w:rsid w:val="00AF645F"/>
    <w:rsid w:val="00AF67C2"/>
    <w:rsid w:val="00AF697E"/>
    <w:rsid w:val="00AF6A3B"/>
    <w:rsid w:val="00AF6BD7"/>
    <w:rsid w:val="00AF6D39"/>
    <w:rsid w:val="00AF717F"/>
    <w:rsid w:val="00AF71AD"/>
    <w:rsid w:val="00AF71E8"/>
    <w:rsid w:val="00AF77BB"/>
    <w:rsid w:val="00AF7891"/>
    <w:rsid w:val="00AF79DC"/>
    <w:rsid w:val="00AF7BC6"/>
    <w:rsid w:val="00AF7D17"/>
    <w:rsid w:val="00AF7FDC"/>
    <w:rsid w:val="00B00722"/>
    <w:rsid w:val="00B00846"/>
    <w:rsid w:val="00B008D5"/>
    <w:rsid w:val="00B00B82"/>
    <w:rsid w:val="00B00DB2"/>
    <w:rsid w:val="00B00FEC"/>
    <w:rsid w:val="00B014C9"/>
    <w:rsid w:val="00B019A4"/>
    <w:rsid w:val="00B01AAB"/>
    <w:rsid w:val="00B01B09"/>
    <w:rsid w:val="00B01F42"/>
    <w:rsid w:val="00B01FB5"/>
    <w:rsid w:val="00B02016"/>
    <w:rsid w:val="00B0211C"/>
    <w:rsid w:val="00B0220B"/>
    <w:rsid w:val="00B022FA"/>
    <w:rsid w:val="00B0247A"/>
    <w:rsid w:val="00B02515"/>
    <w:rsid w:val="00B0255B"/>
    <w:rsid w:val="00B02B31"/>
    <w:rsid w:val="00B02BCF"/>
    <w:rsid w:val="00B02D4F"/>
    <w:rsid w:val="00B02DB2"/>
    <w:rsid w:val="00B02DFF"/>
    <w:rsid w:val="00B02E3D"/>
    <w:rsid w:val="00B02E58"/>
    <w:rsid w:val="00B031B9"/>
    <w:rsid w:val="00B032A6"/>
    <w:rsid w:val="00B033CB"/>
    <w:rsid w:val="00B03456"/>
    <w:rsid w:val="00B03492"/>
    <w:rsid w:val="00B03B8A"/>
    <w:rsid w:val="00B03D5A"/>
    <w:rsid w:val="00B03D83"/>
    <w:rsid w:val="00B0401F"/>
    <w:rsid w:val="00B0410E"/>
    <w:rsid w:val="00B041D7"/>
    <w:rsid w:val="00B041DE"/>
    <w:rsid w:val="00B043C4"/>
    <w:rsid w:val="00B04490"/>
    <w:rsid w:val="00B04660"/>
    <w:rsid w:val="00B04871"/>
    <w:rsid w:val="00B04CA8"/>
    <w:rsid w:val="00B04D54"/>
    <w:rsid w:val="00B04DC6"/>
    <w:rsid w:val="00B05005"/>
    <w:rsid w:val="00B05175"/>
    <w:rsid w:val="00B05365"/>
    <w:rsid w:val="00B055AC"/>
    <w:rsid w:val="00B05668"/>
    <w:rsid w:val="00B0568A"/>
    <w:rsid w:val="00B056EC"/>
    <w:rsid w:val="00B05759"/>
    <w:rsid w:val="00B058CA"/>
    <w:rsid w:val="00B059E4"/>
    <w:rsid w:val="00B05B62"/>
    <w:rsid w:val="00B05D89"/>
    <w:rsid w:val="00B05ECD"/>
    <w:rsid w:val="00B06088"/>
    <w:rsid w:val="00B060E9"/>
    <w:rsid w:val="00B06312"/>
    <w:rsid w:val="00B06405"/>
    <w:rsid w:val="00B0653C"/>
    <w:rsid w:val="00B0664A"/>
    <w:rsid w:val="00B06706"/>
    <w:rsid w:val="00B06A3D"/>
    <w:rsid w:val="00B06D2B"/>
    <w:rsid w:val="00B06EC7"/>
    <w:rsid w:val="00B06F66"/>
    <w:rsid w:val="00B070E6"/>
    <w:rsid w:val="00B072F7"/>
    <w:rsid w:val="00B07A8E"/>
    <w:rsid w:val="00B07AA6"/>
    <w:rsid w:val="00B07AA7"/>
    <w:rsid w:val="00B07B43"/>
    <w:rsid w:val="00B07F91"/>
    <w:rsid w:val="00B07FF5"/>
    <w:rsid w:val="00B0D9B2"/>
    <w:rsid w:val="00B10109"/>
    <w:rsid w:val="00B101B3"/>
    <w:rsid w:val="00B104B0"/>
    <w:rsid w:val="00B1076F"/>
    <w:rsid w:val="00B107CA"/>
    <w:rsid w:val="00B10B06"/>
    <w:rsid w:val="00B10C67"/>
    <w:rsid w:val="00B10C9C"/>
    <w:rsid w:val="00B10D61"/>
    <w:rsid w:val="00B10FC4"/>
    <w:rsid w:val="00B1102E"/>
    <w:rsid w:val="00B11093"/>
    <w:rsid w:val="00B1118D"/>
    <w:rsid w:val="00B11259"/>
    <w:rsid w:val="00B11376"/>
    <w:rsid w:val="00B117C8"/>
    <w:rsid w:val="00B11A7C"/>
    <w:rsid w:val="00B11AE0"/>
    <w:rsid w:val="00B11B0B"/>
    <w:rsid w:val="00B11DED"/>
    <w:rsid w:val="00B11E35"/>
    <w:rsid w:val="00B11EAC"/>
    <w:rsid w:val="00B1202C"/>
    <w:rsid w:val="00B1215C"/>
    <w:rsid w:val="00B1232A"/>
    <w:rsid w:val="00B1234A"/>
    <w:rsid w:val="00B123F4"/>
    <w:rsid w:val="00B12485"/>
    <w:rsid w:val="00B124CC"/>
    <w:rsid w:val="00B12508"/>
    <w:rsid w:val="00B125D2"/>
    <w:rsid w:val="00B12A70"/>
    <w:rsid w:val="00B12AEE"/>
    <w:rsid w:val="00B12BBD"/>
    <w:rsid w:val="00B12C9F"/>
    <w:rsid w:val="00B12E4C"/>
    <w:rsid w:val="00B12EEE"/>
    <w:rsid w:val="00B12FD7"/>
    <w:rsid w:val="00B13051"/>
    <w:rsid w:val="00B132C3"/>
    <w:rsid w:val="00B132D9"/>
    <w:rsid w:val="00B13630"/>
    <w:rsid w:val="00B13756"/>
    <w:rsid w:val="00B13763"/>
    <w:rsid w:val="00B13970"/>
    <w:rsid w:val="00B13A47"/>
    <w:rsid w:val="00B13C01"/>
    <w:rsid w:val="00B13C53"/>
    <w:rsid w:val="00B13F93"/>
    <w:rsid w:val="00B13FB7"/>
    <w:rsid w:val="00B13FE3"/>
    <w:rsid w:val="00B14222"/>
    <w:rsid w:val="00B144AD"/>
    <w:rsid w:val="00B14632"/>
    <w:rsid w:val="00B14687"/>
    <w:rsid w:val="00B147FC"/>
    <w:rsid w:val="00B14A45"/>
    <w:rsid w:val="00B14ABC"/>
    <w:rsid w:val="00B14EF1"/>
    <w:rsid w:val="00B15047"/>
    <w:rsid w:val="00B15111"/>
    <w:rsid w:val="00B153AC"/>
    <w:rsid w:val="00B1573E"/>
    <w:rsid w:val="00B157DB"/>
    <w:rsid w:val="00B15A48"/>
    <w:rsid w:val="00B15AA4"/>
    <w:rsid w:val="00B15C54"/>
    <w:rsid w:val="00B15E24"/>
    <w:rsid w:val="00B15E77"/>
    <w:rsid w:val="00B15F40"/>
    <w:rsid w:val="00B16007"/>
    <w:rsid w:val="00B16038"/>
    <w:rsid w:val="00B160AD"/>
    <w:rsid w:val="00B16267"/>
    <w:rsid w:val="00B16301"/>
    <w:rsid w:val="00B163C2"/>
    <w:rsid w:val="00B16475"/>
    <w:rsid w:val="00B164C2"/>
    <w:rsid w:val="00B1651D"/>
    <w:rsid w:val="00B166B6"/>
    <w:rsid w:val="00B166DD"/>
    <w:rsid w:val="00B1679F"/>
    <w:rsid w:val="00B16A61"/>
    <w:rsid w:val="00B16B49"/>
    <w:rsid w:val="00B16C18"/>
    <w:rsid w:val="00B16DE3"/>
    <w:rsid w:val="00B16E75"/>
    <w:rsid w:val="00B16F6B"/>
    <w:rsid w:val="00B17310"/>
    <w:rsid w:val="00B173C5"/>
    <w:rsid w:val="00B17473"/>
    <w:rsid w:val="00B17476"/>
    <w:rsid w:val="00B17533"/>
    <w:rsid w:val="00B17C1A"/>
    <w:rsid w:val="00B17DCE"/>
    <w:rsid w:val="00B2023B"/>
    <w:rsid w:val="00B2032C"/>
    <w:rsid w:val="00B203F8"/>
    <w:rsid w:val="00B20864"/>
    <w:rsid w:val="00B20963"/>
    <w:rsid w:val="00B209A6"/>
    <w:rsid w:val="00B20A3E"/>
    <w:rsid w:val="00B20B8D"/>
    <w:rsid w:val="00B20BEC"/>
    <w:rsid w:val="00B20DE4"/>
    <w:rsid w:val="00B2102F"/>
    <w:rsid w:val="00B2103F"/>
    <w:rsid w:val="00B2140E"/>
    <w:rsid w:val="00B218DD"/>
    <w:rsid w:val="00B21AAF"/>
    <w:rsid w:val="00B21B83"/>
    <w:rsid w:val="00B21C57"/>
    <w:rsid w:val="00B21DD5"/>
    <w:rsid w:val="00B22060"/>
    <w:rsid w:val="00B225E2"/>
    <w:rsid w:val="00B2260D"/>
    <w:rsid w:val="00B22690"/>
    <w:rsid w:val="00B228AE"/>
    <w:rsid w:val="00B22975"/>
    <w:rsid w:val="00B229A7"/>
    <w:rsid w:val="00B229A9"/>
    <w:rsid w:val="00B229FE"/>
    <w:rsid w:val="00B22BDD"/>
    <w:rsid w:val="00B23101"/>
    <w:rsid w:val="00B2316E"/>
    <w:rsid w:val="00B232AB"/>
    <w:rsid w:val="00B23464"/>
    <w:rsid w:val="00B2348E"/>
    <w:rsid w:val="00B234D6"/>
    <w:rsid w:val="00B23564"/>
    <w:rsid w:val="00B235A2"/>
    <w:rsid w:val="00B235A7"/>
    <w:rsid w:val="00B23600"/>
    <w:rsid w:val="00B23625"/>
    <w:rsid w:val="00B238E3"/>
    <w:rsid w:val="00B239E1"/>
    <w:rsid w:val="00B23A06"/>
    <w:rsid w:val="00B23AC6"/>
    <w:rsid w:val="00B23BC9"/>
    <w:rsid w:val="00B23D0B"/>
    <w:rsid w:val="00B23DE5"/>
    <w:rsid w:val="00B2405E"/>
    <w:rsid w:val="00B2427C"/>
    <w:rsid w:val="00B2452D"/>
    <w:rsid w:val="00B2456E"/>
    <w:rsid w:val="00B246EE"/>
    <w:rsid w:val="00B249B1"/>
    <w:rsid w:val="00B249F9"/>
    <w:rsid w:val="00B24E88"/>
    <w:rsid w:val="00B24EE4"/>
    <w:rsid w:val="00B24FF9"/>
    <w:rsid w:val="00B25104"/>
    <w:rsid w:val="00B253C4"/>
    <w:rsid w:val="00B254B6"/>
    <w:rsid w:val="00B25672"/>
    <w:rsid w:val="00B25850"/>
    <w:rsid w:val="00B25972"/>
    <w:rsid w:val="00B25B41"/>
    <w:rsid w:val="00B25CE3"/>
    <w:rsid w:val="00B25D00"/>
    <w:rsid w:val="00B25D44"/>
    <w:rsid w:val="00B25F44"/>
    <w:rsid w:val="00B26292"/>
    <w:rsid w:val="00B2632F"/>
    <w:rsid w:val="00B26447"/>
    <w:rsid w:val="00B268DB"/>
    <w:rsid w:val="00B269E2"/>
    <w:rsid w:val="00B26B97"/>
    <w:rsid w:val="00B26DD1"/>
    <w:rsid w:val="00B27238"/>
    <w:rsid w:val="00B273AC"/>
    <w:rsid w:val="00B273B1"/>
    <w:rsid w:val="00B2744F"/>
    <w:rsid w:val="00B2747A"/>
    <w:rsid w:val="00B274CF"/>
    <w:rsid w:val="00B275C2"/>
    <w:rsid w:val="00B277FF"/>
    <w:rsid w:val="00B27821"/>
    <w:rsid w:val="00B278B6"/>
    <w:rsid w:val="00B279A8"/>
    <w:rsid w:val="00B27DCC"/>
    <w:rsid w:val="00B27F14"/>
    <w:rsid w:val="00B3009B"/>
    <w:rsid w:val="00B30206"/>
    <w:rsid w:val="00B302D8"/>
    <w:rsid w:val="00B303EE"/>
    <w:rsid w:val="00B30633"/>
    <w:rsid w:val="00B30810"/>
    <w:rsid w:val="00B30B27"/>
    <w:rsid w:val="00B30D18"/>
    <w:rsid w:val="00B30E9E"/>
    <w:rsid w:val="00B30ECF"/>
    <w:rsid w:val="00B31267"/>
    <w:rsid w:val="00B31319"/>
    <w:rsid w:val="00B31380"/>
    <w:rsid w:val="00B314B1"/>
    <w:rsid w:val="00B316DB"/>
    <w:rsid w:val="00B317F0"/>
    <w:rsid w:val="00B31BA3"/>
    <w:rsid w:val="00B31CFA"/>
    <w:rsid w:val="00B3211C"/>
    <w:rsid w:val="00B3213D"/>
    <w:rsid w:val="00B323B6"/>
    <w:rsid w:val="00B32852"/>
    <w:rsid w:val="00B3287F"/>
    <w:rsid w:val="00B32894"/>
    <w:rsid w:val="00B32AF5"/>
    <w:rsid w:val="00B32BCF"/>
    <w:rsid w:val="00B3308C"/>
    <w:rsid w:val="00B330F4"/>
    <w:rsid w:val="00B33486"/>
    <w:rsid w:val="00B337F9"/>
    <w:rsid w:val="00B33866"/>
    <w:rsid w:val="00B338BA"/>
    <w:rsid w:val="00B33928"/>
    <w:rsid w:val="00B33A6D"/>
    <w:rsid w:val="00B33B37"/>
    <w:rsid w:val="00B33F4A"/>
    <w:rsid w:val="00B340CC"/>
    <w:rsid w:val="00B341BC"/>
    <w:rsid w:val="00B34330"/>
    <w:rsid w:val="00B343FA"/>
    <w:rsid w:val="00B3444C"/>
    <w:rsid w:val="00B34670"/>
    <w:rsid w:val="00B346A4"/>
    <w:rsid w:val="00B346C5"/>
    <w:rsid w:val="00B34739"/>
    <w:rsid w:val="00B347D1"/>
    <w:rsid w:val="00B347EE"/>
    <w:rsid w:val="00B34A03"/>
    <w:rsid w:val="00B34BBC"/>
    <w:rsid w:val="00B34D6D"/>
    <w:rsid w:val="00B34D92"/>
    <w:rsid w:val="00B35119"/>
    <w:rsid w:val="00B352FD"/>
    <w:rsid w:val="00B35317"/>
    <w:rsid w:val="00B35624"/>
    <w:rsid w:val="00B356A8"/>
    <w:rsid w:val="00B356F7"/>
    <w:rsid w:val="00B356FC"/>
    <w:rsid w:val="00B3580A"/>
    <w:rsid w:val="00B35B71"/>
    <w:rsid w:val="00B35D45"/>
    <w:rsid w:val="00B35D66"/>
    <w:rsid w:val="00B36052"/>
    <w:rsid w:val="00B3615D"/>
    <w:rsid w:val="00B36486"/>
    <w:rsid w:val="00B3654A"/>
    <w:rsid w:val="00B36620"/>
    <w:rsid w:val="00B3678D"/>
    <w:rsid w:val="00B36822"/>
    <w:rsid w:val="00B36932"/>
    <w:rsid w:val="00B36AE9"/>
    <w:rsid w:val="00B36D2C"/>
    <w:rsid w:val="00B36E25"/>
    <w:rsid w:val="00B370AC"/>
    <w:rsid w:val="00B37236"/>
    <w:rsid w:val="00B37311"/>
    <w:rsid w:val="00B37326"/>
    <w:rsid w:val="00B3745E"/>
    <w:rsid w:val="00B37700"/>
    <w:rsid w:val="00B37815"/>
    <w:rsid w:val="00B37922"/>
    <w:rsid w:val="00B37AF7"/>
    <w:rsid w:val="00B37B2E"/>
    <w:rsid w:val="00B4003A"/>
    <w:rsid w:val="00B4009B"/>
    <w:rsid w:val="00B4038B"/>
    <w:rsid w:val="00B40441"/>
    <w:rsid w:val="00B404EB"/>
    <w:rsid w:val="00B40A6E"/>
    <w:rsid w:val="00B40AB5"/>
    <w:rsid w:val="00B40CF9"/>
    <w:rsid w:val="00B40E16"/>
    <w:rsid w:val="00B40E42"/>
    <w:rsid w:val="00B40EE9"/>
    <w:rsid w:val="00B40F0E"/>
    <w:rsid w:val="00B40FBC"/>
    <w:rsid w:val="00B4100C"/>
    <w:rsid w:val="00B410C9"/>
    <w:rsid w:val="00B410DA"/>
    <w:rsid w:val="00B411B6"/>
    <w:rsid w:val="00B41230"/>
    <w:rsid w:val="00B4135C"/>
    <w:rsid w:val="00B4146C"/>
    <w:rsid w:val="00B41878"/>
    <w:rsid w:val="00B41DA5"/>
    <w:rsid w:val="00B41EBA"/>
    <w:rsid w:val="00B42205"/>
    <w:rsid w:val="00B4260F"/>
    <w:rsid w:val="00B42D36"/>
    <w:rsid w:val="00B42EDA"/>
    <w:rsid w:val="00B43013"/>
    <w:rsid w:val="00B43028"/>
    <w:rsid w:val="00B432CC"/>
    <w:rsid w:val="00B434E8"/>
    <w:rsid w:val="00B43520"/>
    <w:rsid w:val="00B43817"/>
    <w:rsid w:val="00B43854"/>
    <w:rsid w:val="00B43982"/>
    <w:rsid w:val="00B43A11"/>
    <w:rsid w:val="00B43BB0"/>
    <w:rsid w:val="00B43D39"/>
    <w:rsid w:val="00B43D99"/>
    <w:rsid w:val="00B43FF3"/>
    <w:rsid w:val="00B44051"/>
    <w:rsid w:val="00B4413C"/>
    <w:rsid w:val="00B44184"/>
    <w:rsid w:val="00B44265"/>
    <w:rsid w:val="00B445EC"/>
    <w:rsid w:val="00B44605"/>
    <w:rsid w:val="00B44774"/>
    <w:rsid w:val="00B448BD"/>
    <w:rsid w:val="00B44C67"/>
    <w:rsid w:val="00B44E14"/>
    <w:rsid w:val="00B4520E"/>
    <w:rsid w:val="00B45525"/>
    <w:rsid w:val="00B45584"/>
    <w:rsid w:val="00B455C7"/>
    <w:rsid w:val="00B45637"/>
    <w:rsid w:val="00B458D4"/>
    <w:rsid w:val="00B45958"/>
    <w:rsid w:val="00B45A6B"/>
    <w:rsid w:val="00B45E7F"/>
    <w:rsid w:val="00B45F10"/>
    <w:rsid w:val="00B45F12"/>
    <w:rsid w:val="00B45F5C"/>
    <w:rsid w:val="00B46225"/>
    <w:rsid w:val="00B4632A"/>
    <w:rsid w:val="00B4677E"/>
    <w:rsid w:val="00B46E04"/>
    <w:rsid w:val="00B470EB"/>
    <w:rsid w:val="00B47361"/>
    <w:rsid w:val="00B47531"/>
    <w:rsid w:val="00B475F6"/>
    <w:rsid w:val="00B47696"/>
    <w:rsid w:val="00B47771"/>
    <w:rsid w:val="00B477A5"/>
    <w:rsid w:val="00B4783E"/>
    <w:rsid w:val="00B4797E"/>
    <w:rsid w:val="00B47ABD"/>
    <w:rsid w:val="00B47B4D"/>
    <w:rsid w:val="00B47BF4"/>
    <w:rsid w:val="00B47CE7"/>
    <w:rsid w:val="00B47D06"/>
    <w:rsid w:val="00B47DBF"/>
    <w:rsid w:val="00B50088"/>
    <w:rsid w:val="00B507D7"/>
    <w:rsid w:val="00B50C0A"/>
    <w:rsid w:val="00B50D03"/>
    <w:rsid w:val="00B50EB7"/>
    <w:rsid w:val="00B50EC7"/>
    <w:rsid w:val="00B51050"/>
    <w:rsid w:val="00B5110C"/>
    <w:rsid w:val="00B51147"/>
    <w:rsid w:val="00B51234"/>
    <w:rsid w:val="00B51269"/>
    <w:rsid w:val="00B51619"/>
    <w:rsid w:val="00B5188B"/>
    <w:rsid w:val="00B518EE"/>
    <w:rsid w:val="00B5191B"/>
    <w:rsid w:val="00B51C69"/>
    <w:rsid w:val="00B523D2"/>
    <w:rsid w:val="00B524F7"/>
    <w:rsid w:val="00B52863"/>
    <w:rsid w:val="00B52DD4"/>
    <w:rsid w:val="00B530A8"/>
    <w:rsid w:val="00B5324A"/>
    <w:rsid w:val="00B534CB"/>
    <w:rsid w:val="00B5365A"/>
    <w:rsid w:val="00B53749"/>
    <w:rsid w:val="00B537C1"/>
    <w:rsid w:val="00B537F6"/>
    <w:rsid w:val="00B53819"/>
    <w:rsid w:val="00B539D1"/>
    <w:rsid w:val="00B53B39"/>
    <w:rsid w:val="00B53B3D"/>
    <w:rsid w:val="00B53CE4"/>
    <w:rsid w:val="00B542F9"/>
    <w:rsid w:val="00B54474"/>
    <w:rsid w:val="00B544ED"/>
    <w:rsid w:val="00B54733"/>
    <w:rsid w:val="00B54A83"/>
    <w:rsid w:val="00B54AD1"/>
    <w:rsid w:val="00B54AEA"/>
    <w:rsid w:val="00B54DD9"/>
    <w:rsid w:val="00B55016"/>
    <w:rsid w:val="00B5504C"/>
    <w:rsid w:val="00B5522C"/>
    <w:rsid w:val="00B555B8"/>
    <w:rsid w:val="00B556C4"/>
    <w:rsid w:val="00B557C7"/>
    <w:rsid w:val="00B55833"/>
    <w:rsid w:val="00B55B94"/>
    <w:rsid w:val="00B55BC7"/>
    <w:rsid w:val="00B55C22"/>
    <w:rsid w:val="00B55FAB"/>
    <w:rsid w:val="00B562EB"/>
    <w:rsid w:val="00B5646F"/>
    <w:rsid w:val="00B56591"/>
    <w:rsid w:val="00B565A9"/>
    <w:rsid w:val="00B567D8"/>
    <w:rsid w:val="00B569E3"/>
    <w:rsid w:val="00B56AA5"/>
    <w:rsid w:val="00B56B12"/>
    <w:rsid w:val="00B56B9E"/>
    <w:rsid w:val="00B56C6A"/>
    <w:rsid w:val="00B56F47"/>
    <w:rsid w:val="00B57315"/>
    <w:rsid w:val="00B576C2"/>
    <w:rsid w:val="00B57759"/>
    <w:rsid w:val="00B5782C"/>
    <w:rsid w:val="00B57AB8"/>
    <w:rsid w:val="00B57BAE"/>
    <w:rsid w:val="00B57F57"/>
    <w:rsid w:val="00B601FA"/>
    <w:rsid w:val="00B60407"/>
    <w:rsid w:val="00B60A97"/>
    <w:rsid w:val="00B60AC5"/>
    <w:rsid w:val="00B60B42"/>
    <w:rsid w:val="00B60CCE"/>
    <w:rsid w:val="00B60DA0"/>
    <w:rsid w:val="00B60E17"/>
    <w:rsid w:val="00B61171"/>
    <w:rsid w:val="00B6127C"/>
    <w:rsid w:val="00B61451"/>
    <w:rsid w:val="00B61638"/>
    <w:rsid w:val="00B6173E"/>
    <w:rsid w:val="00B61D5E"/>
    <w:rsid w:val="00B62143"/>
    <w:rsid w:val="00B621AC"/>
    <w:rsid w:val="00B625E6"/>
    <w:rsid w:val="00B62727"/>
    <w:rsid w:val="00B62998"/>
    <w:rsid w:val="00B62E2F"/>
    <w:rsid w:val="00B62EF0"/>
    <w:rsid w:val="00B630BA"/>
    <w:rsid w:val="00B630F1"/>
    <w:rsid w:val="00B631C1"/>
    <w:rsid w:val="00B63445"/>
    <w:rsid w:val="00B636C2"/>
    <w:rsid w:val="00B637AC"/>
    <w:rsid w:val="00B637D3"/>
    <w:rsid w:val="00B638B6"/>
    <w:rsid w:val="00B638FD"/>
    <w:rsid w:val="00B63969"/>
    <w:rsid w:val="00B63AD2"/>
    <w:rsid w:val="00B63E0E"/>
    <w:rsid w:val="00B63E5E"/>
    <w:rsid w:val="00B63E9B"/>
    <w:rsid w:val="00B63F6F"/>
    <w:rsid w:val="00B63FA3"/>
    <w:rsid w:val="00B641BB"/>
    <w:rsid w:val="00B64677"/>
    <w:rsid w:val="00B648AB"/>
    <w:rsid w:val="00B648B0"/>
    <w:rsid w:val="00B649C2"/>
    <w:rsid w:val="00B64BAD"/>
    <w:rsid w:val="00B64DCE"/>
    <w:rsid w:val="00B64F70"/>
    <w:rsid w:val="00B6508B"/>
    <w:rsid w:val="00B6526C"/>
    <w:rsid w:val="00B65292"/>
    <w:rsid w:val="00B653AE"/>
    <w:rsid w:val="00B6542E"/>
    <w:rsid w:val="00B6543C"/>
    <w:rsid w:val="00B6545A"/>
    <w:rsid w:val="00B65562"/>
    <w:rsid w:val="00B655C7"/>
    <w:rsid w:val="00B6582B"/>
    <w:rsid w:val="00B66090"/>
    <w:rsid w:val="00B662D7"/>
    <w:rsid w:val="00B6632D"/>
    <w:rsid w:val="00B66343"/>
    <w:rsid w:val="00B667B2"/>
    <w:rsid w:val="00B66A72"/>
    <w:rsid w:val="00B66B0C"/>
    <w:rsid w:val="00B66BDA"/>
    <w:rsid w:val="00B66CBE"/>
    <w:rsid w:val="00B66D20"/>
    <w:rsid w:val="00B66DD6"/>
    <w:rsid w:val="00B66E11"/>
    <w:rsid w:val="00B67091"/>
    <w:rsid w:val="00B670CB"/>
    <w:rsid w:val="00B67130"/>
    <w:rsid w:val="00B67269"/>
    <w:rsid w:val="00B67409"/>
    <w:rsid w:val="00B674C5"/>
    <w:rsid w:val="00B67803"/>
    <w:rsid w:val="00B67E87"/>
    <w:rsid w:val="00B67F1B"/>
    <w:rsid w:val="00B67F86"/>
    <w:rsid w:val="00B70214"/>
    <w:rsid w:val="00B70289"/>
    <w:rsid w:val="00B703C6"/>
    <w:rsid w:val="00B7056F"/>
    <w:rsid w:val="00B7059C"/>
    <w:rsid w:val="00B707DE"/>
    <w:rsid w:val="00B70809"/>
    <w:rsid w:val="00B708A4"/>
    <w:rsid w:val="00B70A8B"/>
    <w:rsid w:val="00B70BBF"/>
    <w:rsid w:val="00B7100D"/>
    <w:rsid w:val="00B710F7"/>
    <w:rsid w:val="00B71464"/>
    <w:rsid w:val="00B71553"/>
    <w:rsid w:val="00B71637"/>
    <w:rsid w:val="00B71719"/>
    <w:rsid w:val="00B71BB7"/>
    <w:rsid w:val="00B71D07"/>
    <w:rsid w:val="00B71DA1"/>
    <w:rsid w:val="00B71DA2"/>
    <w:rsid w:val="00B71F0E"/>
    <w:rsid w:val="00B72053"/>
    <w:rsid w:val="00B720CA"/>
    <w:rsid w:val="00B7276B"/>
    <w:rsid w:val="00B72819"/>
    <w:rsid w:val="00B72AC8"/>
    <w:rsid w:val="00B72B04"/>
    <w:rsid w:val="00B72B4C"/>
    <w:rsid w:val="00B72B68"/>
    <w:rsid w:val="00B72D97"/>
    <w:rsid w:val="00B72E0E"/>
    <w:rsid w:val="00B73121"/>
    <w:rsid w:val="00B7338B"/>
    <w:rsid w:val="00B73546"/>
    <w:rsid w:val="00B7364A"/>
    <w:rsid w:val="00B73670"/>
    <w:rsid w:val="00B73893"/>
    <w:rsid w:val="00B73B2A"/>
    <w:rsid w:val="00B73CA4"/>
    <w:rsid w:val="00B73D0D"/>
    <w:rsid w:val="00B7403F"/>
    <w:rsid w:val="00B7445F"/>
    <w:rsid w:val="00B744B5"/>
    <w:rsid w:val="00B7454A"/>
    <w:rsid w:val="00B74605"/>
    <w:rsid w:val="00B7473F"/>
    <w:rsid w:val="00B74B3F"/>
    <w:rsid w:val="00B74C27"/>
    <w:rsid w:val="00B74E25"/>
    <w:rsid w:val="00B75436"/>
    <w:rsid w:val="00B75528"/>
    <w:rsid w:val="00B75575"/>
    <w:rsid w:val="00B7568F"/>
    <w:rsid w:val="00B758B4"/>
    <w:rsid w:val="00B75B5D"/>
    <w:rsid w:val="00B75E5A"/>
    <w:rsid w:val="00B75ED9"/>
    <w:rsid w:val="00B76002"/>
    <w:rsid w:val="00B762F0"/>
    <w:rsid w:val="00B76337"/>
    <w:rsid w:val="00B764D3"/>
    <w:rsid w:val="00B768AF"/>
    <w:rsid w:val="00B76A74"/>
    <w:rsid w:val="00B76D3A"/>
    <w:rsid w:val="00B76D74"/>
    <w:rsid w:val="00B76F5E"/>
    <w:rsid w:val="00B76F64"/>
    <w:rsid w:val="00B77326"/>
    <w:rsid w:val="00B773D4"/>
    <w:rsid w:val="00B774B4"/>
    <w:rsid w:val="00B774D8"/>
    <w:rsid w:val="00B774E4"/>
    <w:rsid w:val="00B7753B"/>
    <w:rsid w:val="00B775D9"/>
    <w:rsid w:val="00B775FE"/>
    <w:rsid w:val="00B7788E"/>
    <w:rsid w:val="00B77998"/>
    <w:rsid w:val="00B77A53"/>
    <w:rsid w:val="00B77A57"/>
    <w:rsid w:val="00B77BF6"/>
    <w:rsid w:val="00B77D66"/>
    <w:rsid w:val="00B77D8A"/>
    <w:rsid w:val="00B77DF1"/>
    <w:rsid w:val="00B77EBE"/>
    <w:rsid w:val="00B8029D"/>
    <w:rsid w:val="00B802EE"/>
    <w:rsid w:val="00B804D6"/>
    <w:rsid w:val="00B80832"/>
    <w:rsid w:val="00B808C8"/>
    <w:rsid w:val="00B80982"/>
    <w:rsid w:val="00B80AB5"/>
    <w:rsid w:val="00B80D87"/>
    <w:rsid w:val="00B8126D"/>
    <w:rsid w:val="00B814B4"/>
    <w:rsid w:val="00B814D9"/>
    <w:rsid w:val="00B8180B"/>
    <w:rsid w:val="00B81B87"/>
    <w:rsid w:val="00B820BC"/>
    <w:rsid w:val="00B821FF"/>
    <w:rsid w:val="00B823FE"/>
    <w:rsid w:val="00B82449"/>
    <w:rsid w:val="00B8246D"/>
    <w:rsid w:val="00B825BC"/>
    <w:rsid w:val="00B82795"/>
    <w:rsid w:val="00B828DF"/>
    <w:rsid w:val="00B8296A"/>
    <w:rsid w:val="00B82A69"/>
    <w:rsid w:val="00B83028"/>
    <w:rsid w:val="00B83656"/>
    <w:rsid w:val="00B837C4"/>
    <w:rsid w:val="00B8399D"/>
    <w:rsid w:val="00B83F22"/>
    <w:rsid w:val="00B8416F"/>
    <w:rsid w:val="00B84654"/>
    <w:rsid w:val="00B846F4"/>
    <w:rsid w:val="00B847F9"/>
    <w:rsid w:val="00B848D2"/>
    <w:rsid w:val="00B84969"/>
    <w:rsid w:val="00B84EA5"/>
    <w:rsid w:val="00B84EF8"/>
    <w:rsid w:val="00B85017"/>
    <w:rsid w:val="00B850D7"/>
    <w:rsid w:val="00B85130"/>
    <w:rsid w:val="00B854C5"/>
    <w:rsid w:val="00B855F6"/>
    <w:rsid w:val="00B85634"/>
    <w:rsid w:val="00B856A6"/>
    <w:rsid w:val="00B858A6"/>
    <w:rsid w:val="00B85E71"/>
    <w:rsid w:val="00B85F89"/>
    <w:rsid w:val="00B860A0"/>
    <w:rsid w:val="00B861C7"/>
    <w:rsid w:val="00B863D5"/>
    <w:rsid w:val="00B8652A"/>
    <w:rsid w:val="00B8670B"/>
    <w:rsid w:val="00B868FC"/>
    <w:rsid w:val="00B8691D"/>
    <w:rsid w:val="00B86A80"/>
    <w:rsid w:val="00B86ADC"/>
    <w:rsid w:val="00B86DBA"/>
    <w:rsid w:val="00B86E97"/>
    <w:rsid w:val="00B87014"/>
    <w:rsid w:val="00B8710B"/>
    <w:rsid w:val="00B871C2"/>
    <w:rsid w:val="00B872F9"/>
    <w:rsid w:val="00B87306"/>
    <w:rsid w:val="00B8779A"/>
    <w:rsid w:val="00B87B46"/>
    <w:rsid w:val="00B87B7E"/>
    <w:rsid w:val="00B87CE6"/>
    <w:rsid w:val="00B87EA0"/>
    <w:rsid w:val="00B90041"/>
    <w:rsid w:val="00B90151"/>
    <w:rsid w:val="00B90352"/>
    <w:rsid w:val="00B90985"/>
    <w:rsid w:val="00B90A4E"/>
    <w:rsid w:val="00B90ABB"/>
    <w:rsid w:val="00B90B2D"/>
    <w:rsid w:val="00B90C5B"/>
    <w:rsid w:val="00B90D48"/>
    <w:rsid w:val="00B90E00"/>
    <w:rsid w:val="00B91106"/>
    <w:rsid w:val="00B9155A"/>
    <w:rsid w:val="00B915BD"/>
    <w:rsid w:val="00B915E5"/>
    <w:rsid w:val="00B9196B"/>
    <w:rsid w:val="00B91A1B"/>
    <w:rsid w:val="00B91C29"/>
    <w:rsid w:val="00B91EA9"/>
    <w:rsid w:val="00B91EC6"/>
    <w:rsid w:val="00B92297"/>
    <w:rsid w:val="00B92513"/>
    <w:rsid w:val="00B92532"/>
    <w:rsid w:val="00B928DC"/>
    <w:rsid w:val="00B92A50"/>
    <w:rsid w:val="00B92B7D"/>
    <w:rsid w:val="00B92E26"/>
    <w:rsid w:val="00B9330D"/>
    <w:rsid w:val="00B93319"/>
    <w:rsid w:val="00B933C8"/>
    <w:rsid w:val="00B9347E"/>
    <w:rsid w:val="00B93AF0"/>
    <w:rsid w:val="00B93BCA"/>
    <w:rsid w:val="00B93C66"/>
    <w:rsid w:val="00B93E10"/>
    <w:rsid w:val="00B93E3B"/>
    <w:rsid w:val="00B94208"/>
    <w:rsid w:val="00B94552"/>
    <w:rsid w:val="00B945EB"/>
    <w:rsid w:val="00B9478F"/>
    <w:rsid w:val="00B947D6"/>
    <w:rsid w:val="00B94866"/>
    <w:rsid w:val="00B948EE"/>
    <w:rsid w:val="00B94923"/>
    <w:rsid w:val="00B94DD1"/>
    <w:rsid w:val="00B94DEC"/>
    <w:rsid w:val="00B94E2D"/>
    <w:rsid w:val="00B94EDF"/>
    <w:rsid w:val="00B9506C"/>
    <w:rsid w:val="00B95129"/>
    <w:rsid w:val="00B953D4"/>
    <w:rsid w:val="00B9546F"/>
    <w:rsid w:val="00B956B2"/>
    <w:rsid w:val="00B95E2B"/>
    <w:rsid w:val="00B95E6C"/>
    <w:rsid w:val="00B9612A"/>
    <w:rsid w:val="00B961F2"/>
    <w:rsid w:val="00B965C4"/>
    <w:rsid w:val="00B96706"/>
    <w:rsid w:val="00B9674C"/>
    <w:rsid w:val="00B967A2"/>
    <w:rsid w:val="00B969A0"/>
    <w:rsid w:val="00B96CE2"/>
    <w:rsid w:val="00B96CFC"/>
    <w:rsid w:val="00B9777A"/>
    <w:rsid w:val="00B97826"/>
    <w:rsid w:val="00B97B96"/>
    <w:rsid w:val="00B97BDA"/>
    <w:rsid w:val="00B97BF0"/>
    <w:rsid w:val="00B97E6D"/>
    <w:rsid w:val="00B97EC3"/>
    <w:rsid w:val="00B97EC6"/>
    <w:rsid w:val="00B97F3E"/>
    <w:rsid w:val="00B9D12D"/>
    <w:rsid w:val="00BA0045"/>
    <w:rsid w:val="00BA01F1"/>
    <w:rsid w:val="00BA0276"/>
    <w:rsid w:val="00BA0432"/>
    <w:rsid w:val="00BA04AD"/>
    <w:rsid w:val="00BA0696"/>
    <w:rsid w:val="00BA08E5"/>
    <w:rsid w:val="00BA0959"/>
    <w:rsid w:val="00BA0AC9"/>
    <w:rsid w:val="00BA0B88"/>
    <w:rsid w:val="00BA0D8D"/>
    <w:rsid w:val="00BA0E28"/>
    <w:rsid w:val="00BA0EF5"/>
    <w:rsid w:val="00BA0F12"/>
    <w:rsid w:val="00BA1161"/>
    <w:rsid w:val="00BA1162"/>
    <w:rsid w:val="00BA1194"/>
    <w:rsid w:val="00BA11CC"/>
    <w:rsid w:val="00BA12E9"/>
    <w:rsid w:val="00BA13A8"/>
    <w:rsid w:val="00BA1451"/>
    <w:rsid w:val="00BA163B"/>
    <w:rsid w:val="00BA167E"/>
    <w:rsid w:val="00BA16AE"/>
    <w:rsid w:val="00BA17BA"/>
    <w:rsid w:val="00BA1816"/>
    <w:rsid w:val="00BA1830"/>
    <w:rsid w:val="00BA19BE"/>
    <w:rsid w:val="00BA19C0"/>
    <w:rsid w:val="00BA19E7"/>
    <w:rsid w:val="00BA1A52"/>
    <w:rsid w:val="00BA1B74"/>
    <w:rsid w:val="00BA1CBF"/>
    <w:rsid w:val="00BA1E8D"/>
    <w:rsid w:val="00BA2109"/>
    <w:rsid w:val="00BA2447"/>
    <w:rsid w:val="00BA2823"/>
    <w:rsid w:val="00BA2969"/>
    <w:rsid w:val="00BA2B89"/>
    <w:rsid w:val="00BA2C40"/>
    <w:rsid w:val="00BA2C8A"/>
    <w:rsid w:val="00BA2EE8"/>
    <w:rsid w:val="00BA313B"/>
    <w:rsid w:val="00BA32E0"/>
    <w:rsid w:val="00BA3370"/>
    <w:rsid w:val="00BA3710"/>
    <w:rsid w:val="00BA3871"/>
    <w:rsid w:val="00BA3909"/>
    <w:rsid w:val="00BA3BE3"/>
    <w:rsid w:val="00BA3C00"/>
    <w:rsid w:val="00BA3E97"/>
    <w:rsid w:val="00BA3FB5"/>
    <w:rsid w:val="00BA3FED"/>
    <w:rsid w:val="00BA41FA"/>
    <w:rsid w:val="00BA4470"/>
    <w:rsid w:val="00BA4472"/>
    <w:rsid w:val="00BA48F6"/>
    <w:rsid w:val="00BA49C3"/>
    <w:rsid w:val="00BA4CFF"/>
    <w:rsid w:val="00BA4D96"/>
    <w:rsid w:val="00BA4EB7"/>
    <w:rsid w:val="00BA4EF2"/>
    <w:rsid w:val="00BA5417"/>
    <w:rsid w:val="00BA54C1"/>
    <w:rsid w:val="00BA585B"/>
    <w:rsid w:val="00BA5BFB"/>
    <w:rsid w:val="00BA5C02"/>
    <w:rsid w:val="00BA5C92"/>
    <w:rsid w:val="00BA5F6D"/>
    <w:rsid w:val="00BA61F6"/>
    <w:rsid w:val="00BA63A4"/>
    <w:rsid w:val="00BA6746"/>
    <w:rsid w:val="00BA68C8"/>
    <w:rsid w:val="00BA6AD1"/>
    <w:rsid w:val="00BA6CF4"/>
    <w:rsid w:val="00BA6D4F"/>
    <w:rsid w:val="00BA72D6"/>
    <w:rsid w:val="00BA73FE"/>
    <w:rsid w:val="00BA7822"/>
    <w:rsid w:val="00BA797E"/>
    <w:rsid w:val="00BA79D0"/>
    <w:rsid w:val="00BA7AB8"/>
    <w:rsid w:val="00BA7C5C"/>
    <w:rsid w:val="00BA7CEE"/>
    <w:rsid w:val="00BA7E6A"/>
    <w:rsid w:val="00BA7F28"/>
    <w:rsid w:val="00BA7FB4"/>
    <w:rsid w:val="00BB0482"/>
    <w:rsid w:val="00BB0A3C"/>
    <w:rsid w:val="00BB0D20"/>
    <w:rsid w:val="00BB0D26"/>
    <w:rsid w:val="00BB0D49"/>
    <w:rsid w:val="00BB0D6E"/>
    <w:rsid w:val="00BB0D76"/>
    <w:rsid w:val="00BB1296"/>
    <w:rsid w:val="00BB1312"/>
    <w:rsid w:val="00BB1344"/>
    <w:rsid w:val="00BB180F"/>
    <w:rsid w:val="00BB1907"/>
    <w:rsid w:val="00BB1B82"/>
    <w:rsid w:val="00BB1BA3"/>
    <w:rsid w:val="00BB1C16"/>
    <w:rsid w:val="00BB1EDF"/>
    <w:rsid w:val="00BB2177"/>
    <w:rsid w:val="00BB21A3"/>
    <w:rsid w:val="00BB2219"/>
    <w:rsid w:val="00BB25E0"/>
    <w:rsid w:val="00BB2792"/>
    <w:rsid w:val="00BB29B2"/>
    <w:rsid w:val="00BB2A02"/>
    <w:rsid w:val="00BB2D55"/>
    <w:rsid w:val="00BB2DE7"/>
    <w:rsid w:val="00BB301F"/>
    <w:rsid w:val="00BB349D"/>
    <w:rsid w:val="00BB3805"/>
    <w:rsid w:val="00BB38E7"/>
    <w:rsid w:val="00BB391E"/>
    <w:rsid w:val="00BB39E6"/>
    <w:rsid w:val="00BB3D87"/>
    <w:rsid w:val="00BB4070"/>
    <w:rsid w:val="00BB4112"/>
    <w:rsid w:val="00BB4208"/>
    <w:rsid w:val="00BB43B1"/>
    <w:rsid w:val="00BB440C"/>
    <w:rsid w:val="00BB454A"/>
    <w:rsid w:val="00BB46A6"/>
    <w:rsid w:val="00BB47A0"/>
    <w:rsid w:val="00BB488C"/>
    <w:rsid w:val="00BB49B9"/>
    <w:rsid w:val="00BB4A8C"/>
    <w:rsid w:val="00BB4B7E"/>
    <w:rsid w:val="00BB4B7F"/>
    <w:rsid w:val="00BB520F"/>
    <w:rsid w:val="00BB5465"/>
    <w:rsid w:val="00BB54EC"/>
    <w:rsid w:val="00BB5631"/>
    <w:rsid w:val="00BB59B2"/>
    <w:rsid w:val="00BB59D9"/>
    <w:rsid w:val="00BB59E3"/>
    <w:rsid w:val="00BB5CA6"/>
    <w:rsid w:val="00BB5F12"/>
    <w:rsid w:val="00BB60A5"/>
    <w:rsid w:val="00BB6166"/>
    <w:rsid w:val="00BB6260"/>
    <w:rsid w:val="00BB62E0"/>
    <w:rsid w:val="00BB675D"/>
    <w:rsid w:val="00BB698D"/>
    <w:rsid w:val="00BB6A95"/>
    <w:rsid w:val="00BB6A98"/>
    <w:rsid w:val="00BB6BEE"/>
    <w:rsid w:val="00BB6D3C"/>
    <w:rsid w:val="00BB6EE1"/>
    <w:rsid w:val="00BB7292"/>
    <w:rsid w:val="00BB729C"/>
    <w:rsid w:val="00BB7649"/>
    <w:rsid w:val="00BB770A"/>
    <w:rsid w:val="00BB7A7F"/>
    <w:rsid w:val="00BB7B98"/>
    <w:rsid w:val="00BB7CC2"/>
    <w:rsid w:val="00BB7CC8"/>
    <w:rsid w:val="00BB7CFB"/>
    <w:rsid w:val="00BB7F4E"/>
    <w:rsid w:val="00BC0023"/>
    <w:rsid w:val="00BC0338"/>
    <w:rsid w:val="00BC0877"/>
    <w:rsid w:val="00BC0B5C"/>
    <w:rsid w:val="00BC0BAB"/>
    <w:rsid w:val="00BC0CAC"/>
    <w:rsid w:val="00BC10F4"/>
    <w:rsid w:val="00BC113A"/>
    <w:rsid w:val="00BC13D0"/>
    <w:rsid w:val="00BC1474"/>
    <w:rsid w:val="00BC1515"/>
    <w:rsid w:val="00BC1633"/>
    <w:rsid w:val="00BC170E"/>
    <w:rsid w:val="00BC17C6"/>
    <w:rsid w:val="00BC1824"/>
    <w:rsid w:val="00BC19CD"/>
    <w:rsid w:val="00BC1A1A"/>
    <w:rsid w:val="00BC1AC4"/>
    <w:rsid w:val="00BC1C82"/>
    <w:rsid w:val="00BC1E60"/>
    <w:rsid w:val="00BC21CD"/>
    <w:rsid w:val="00BC221C"/>
    <w:rsid w:val="00BC2798"/>
    <w:rsid w:val="00BC2859"/>
    <w:rsid w:val="00BC2AE7"/>
    <w:rsid w:val="00BC2B34"/>
    <w:rsid w:val="00BC2C2E"/>
    <w:rsid w:val="00BC2D10"/>
    <w:rsid w:val="00BC2EB6"/>
    <w:rsid w:val="00BC2F53"/>
    <w:rsid w:val="00BC300D"/>
    <w:rsid w:val="00BC3490"/>
    <w:rsid w:val="00BC3570"/>
    <w:rsid w:val="00BC3756"/>
    <w:rsid w:val="00BC37F5"/>
    <w:rsid w:val="00BC3A90"/>
    <w:rsid w:val="00BC3B12"/>
    <w:rsid w:val="00BC3D10"/>
    <w:rsid w:val="00BC3D3D"/>
    <w:rsid w:val="00BC3D7D"/>
    <w:rsid w:val="00BC3DF6"/>
    <w:rsid w:val="00BC3EAA"/>
    <w:rsid w:val="00BC3F3D"/>
    <w:rsid w:val="00BC3F45"/>
    <w:rsid w:val="00BC40A4"/>
    <w:rsid w:val="00BC4208"/>
    <w:rsid w:val="00BC4491"/>
    <w:rsid w:val="00BC48CC"/>
    <w:rsid w:val="00BC4905"/>
    <w:rsid w:val="00BC4A6A"/>
    <w:rsid w:val="00BC4AD7"/>
    <w:rsid w:val="00BC4AE3"/>
    <w:rsid w:val="00BC4C43"/>
    <w:rsid w:val="00BC4C82"/>
    <w:rsid w:val="00BC4D0E"/>
    <w:rsid w:val="00BC4D5B"/>
    <w:rsid w:val="00BC4DA7"/>
    <w:rsid w:val="00BC4F64"/>
    <w:rsid w:val="00BC51CE"/>
    <w:rsid w:val="00BC51FD"/>
    <w:rsid w:val="00BC5260"/>
    <w:rsid w:val="00BC57A0"/>
    <w:rsid w:val="00BC58F2"/>
    <w:rsid w:val="00BC5955"/>
    <w:rsid w:val="00BC5C06"/>
    <w:rsid w:val="00BC5FA8"/>
    <w:rsid w:val="00BC5FC2"/>
    <w:rsid w:val="00BC6014"/>
    <w:rsid w:val="00BC60D1"/>
    <w:rsid w:val="00BC6374"/>
    <w:rsid w:val="00BC6668"/>
    <w:rsid w:val="00BC676B"/>
    <w:rsid w:val="00BC69AD"/>
    <w:rsid w:val="00BC6B02"/>
    <w:rsid w:val="00BC6B92"/>
    <w:rsid w:val="00BC6BD8"/>
    <w:rsid w:val="00BC6CF9"/>
    <w:rsid w:val="00BC6D02"/>
    <w:rsid w:val="00BC6E5A"/>
    <w:rsid w:val="00BC6EF2"/>
    <w:rsid w:val="00BC709E"/>
    <w:rsid w:val="00BC70A1"/>
    <w:rsid w:val="00BC717D"/>
    <w:rsid w:val="00BC7187"/>
    <w:rsid w:val="00BC71A4"/>
    <w:rsid w:val="00BC7201"/>
    <w:rsid w:val="00BC73BE"/>
    <w:rsid w:val="00BC7511"/>
    <w:rsid w:val="00BC759E"/>
    <w:rsid w:val="00BC770D"/>
    <w:rsid w:val="00BC777E"/>
    <w:rsid w:val="00BC78B4"/>
    <w:rsid w:val="00BC7B74"/>
    <w:rsid w:val="00BC7BD2"/>
    <w:rsid w:val="00BC7C8E"/>
    <w:rsid w:val="00BC7EBB"/>
    <w:rsid w:val="00BD02B5"/>
    <w:rsid w:val="00BD0373"/>
    <w:rsid w:val="00BD03DE"/>
    <w:rsid w:val="00BD063C"/>
    <w:rsid w:val="00BD0777"/>
    <w:rsid w:val="00BD0901"/>
    <w:rsid w:val="00BD0972"/>
    <w:rsid w:val="00BD0A53"/>
    <w:rsid w:val="00BD0AF3"/>
    <w:rsid w:val="00BD0D1A"/>
    <w:rsid w:val="00BD100C"/>
    <w:rsid w:val="00BD1047"/>
    <w:rsid w:val="00BD183A"/>
    <w:rsid w:val="00BD187F"/>
    <w:rsid w:val="00BD1A9F"/>
    <w:rsid w:val="00BD1B4F"/>
    <w:rsid w:val="00BD1D9F"/>
    <w:rsid w:val="00BD1ED2"/>
    <w:rsid w:val="00BD20BE"/>
    <w:rsid w:val="00BD2218"/>
    <w:rsid w:val="00BD2325"/>
    <w:rsid w:val="00BD2356"/>
    <w:rsid w:val="00BD236C"/>
    <w:rsid w:val="00BD28EB"/>
    <w:rsid w:val="00BD294A"/>
    <w:rsid w:val="00BD2BDB"/>
    <w:rsid w:val="00BD2BF9"/>
    <w:rsid w:val="00BD2C3F"/>
    <w:rsid w:val="00BD2C53"/>
    <w:rsid w:val="00BD2CF5"/>
    <w:rsid w:val="00BD3233"/>
    <w:rsid w:val="00BD3244"/>
    <w:rsid w:val="00BD3591"/>
    <w:rsid w:val="00BD3903"/>
    <w:rsid w:val="00BD3B28"/>
    <w:rsid w:val="00BD3B9C"/>
    <w:rsid w:val="00BD3D4E"/>
    <w:rsid w:val="00BD3E69"/>
    <w:rsid w:val="00BD3E87"/>
    <w:rsid w:val="00BD3EC9"/>
    <w:rsid w:val="00BD41D7"/>
    <w:rsid w:val="00BD46DD"/>
    <w:rsid w:val="00BD4736"/>
    <w:rsid w:val="00BD4778"/>
    <w:rsid w:val="00BD4D47"/>
    <w:rsid w:val="00BD4E45"/>
    <w:rsid w:val="00BD50E3"/>
    <w:rsid w:val="00BD5124"/>
    <w:rsid w:val="00BD5757"/>
    <w:rsid w:val="00BD5774"/>
    <w:rsid w:val="00BD57CC"/>
    <w:rsid w:val="00BD5C52"/>
    <w:rsid w:val="00BD5D3E"/>
    <w:rsid w:val="00BD5F72"/>
    <w:rsid w:val="00BD608E"/>
    <w:rsid w:val="00BD6146"/>
    <w:rsid w:val="00BD61A6"/>
    <w:rsid w:val="00BD6298"/>
    <w:rsid w:val="00BD62CC"/>
    <w:rsid w:val="00BD62DF"/>
    <w:rsid w:val="00BD640E"/>
    <w:rsid w:val="00BD656F"/>
    <w:rsid w:val="00BD667F"/>
    <w:rsid w:val="00BD67A4"/>
    <w:rsid w:val="00BD6940"/>
    <w:rsid w:val="00BD69BE"/>
    <w:rsid w:val="00BD6CB0"/>
    <w:rsid w:val="00BD6E1A"/>
    <w:rsid w:val="00BD6ED9"/>
    <w:rsid w:val="00BD6F86"/>
    <w:rsid w:val="00BD70CA"/>
    <w:rsid w:val="00BD7101"/>
    <w:rsid w:val="00BD71F9"/>
    <w:rsid w:val="00BD742E"/>
    <w:rsid w:val="00BD74B0"/>
    <w:rsid w:val="00BD7640"/>
    <w:rsid w:val="00BD795A"/>
    <w:rsid w:val="00BD7C02"/>
    <w:rsid w:val="00BD7D36"/>
    <w:rsid w:val="00BD7E7E"/>
    <w:rsid w:val="00BD7FE4"/>
    <w:rsid w:val="00BE04C8"/>
    <w:rsid w:val="00BE0628"/>
    <w:rsid w:val="00BE077C"/>
    <w:rsid w:val="00BE079B"/>
    <w:rsid w:val="00BE07D6"/>
    <w:rsid w:val="00BE0970"/>
    <w:rsid w:val="00BE0AAC"/>
    <w:rsid w:val="00BE0B3A"/>
    <w:rsid w:val="00BE0D61"/>
    <w:rsid w:val="00BE0EA5"/>
    <w:rsid w:val="00BE0F7D"/>
    <w:rsid w:val="00BE1130"/>
    <w:rsid w:val="00BE11A9"/>
    <w:rsid w:val="00BE11AD"/>
    <w:rsid w:val="00BE11F1"/>
    <w:rsid w:val="00BE131D"/>
    <w:rsid w:val="00BE175B"/>
    <w:rsid w:val="00BE191C"/>
    <w:rsid w:val="00BE1A11"/>
    <w:rsid w:val="00BE1AF3"/>
    <w:rsid w:val="00BE1BC6"/>
    <w:rsid w:val="00BE1C39"/>
    <w:rsid w:val="00BE1EFD"/>
    <w:rsid w:val="00BE2112"/>
    <w:rsid w:val="00BE23F8"/>
    <w:rsid w:val="00BE25CA"/>
    <w:rsid w:val="00BE26B2"/>
    <w:rsid w:val="00BE26E0"/>
    <w:rsid w:val="00BE29F6"/>
    <w:rsid w:val="00BE2A19"/>
    <w:rsid w:val="00BE2AE1"/>
    <w:rsid w:val="00BE2CD3"/>
    <w:rsid w:val="00BE2D84"/>
    <w:rsid w:val="00BE2D85"/>
    <w:rsid w:val="00BE2EA1"/>
    <w:rsid w:val="00BE2EBA"/>
    <w:rsid w:val="00BE2ED3"/>
    <w:rsid w:val="00BE2F16"/>
    <w:rsid w:val="00BE306C"/>
    <w:rsid w:val="00BE3346"/>
    <w:rsid w:val="00BE3349"/>
    <w:rsid w:val="00BE35F7"/>
    <w:rsid w:val="00BE381B"/>
    <w:rsid w:val="00BE3D3B"/>
    <w:rsid w:val="00BE3F6F"/>
    <w:rsid w:val="00BE405C"/>
    <w:rsid w:val="00BE4151"/>
    <w:rsid w:val="00BE4282"/>
    <w:rsid w:val="00BE42E9"/>
    <w:rsid w:val="00BE43C6"/>
    <w:rsid w:val="00BE4472"/>
    <w:rsid w:val="00BE45D9"/>
    <w:rsid w:val="00BE45F4"/>
    <w:rsid w:val="00BE48FA"/>
    <w:rsid w:val="00BE4A91"/>
    <w:rsid w:val="00BE4BC5"/>
    <w:rsid w:val="00BE4C75"/>
    <w:rsid w:val="00BE4E82"/>
    <w:rsid w:val="00BE4F43"/>
    <w:rsid w:val="00BE520C"/>
    <w:rsid w:val="00BE52AF"/>
    <w:rsid w:val="00BE52D6"/>
    <w:rsid w:val="00BE54F0"/>
    <w:rsid w:val="00BE5629"/>
    <w:rsid w:val="00BE5664"/>
    <w:rsid w:val="00BE5A86"/>
    <w:rsid w:val="00BE5CD2"/>
    <w:rsid w:val="00BE5D6C"/>
    <w:rsid w:val="00BE60B1"/>
    <w:rsid w:val="00BE6433"/>
    <w:rsid w:val="00BE6597"/>
    <w:rsid w:val="00BE6599"/>
    <w:rsid w:val="00BE6654"/>
    <w:rsid w:val="00BE665E"/>
    <w:rsid w:val="00BE687D"/>
    <w:rsid w:val="00BE6B0A"/>
    <w:rsid w:val="00BE6B0C"/>
    <w:rsid w:val="00BE6C66"/>
    <w:rsid w:val="00BE6C79"/>
    <w:rsid w:val="00BE6E1C"/>
    <w:rsid w:val="00BE6E48"/>
    <w:rsid w:val="00BE6E9E"/>
    <w:rsid w:val="00BE71E9"/>
    <w:rsid w:val="00BE71EF"/>
    <w:rsid w:val="00BE7303"/>
    <w:rsid w:val="00BE7570"/>
    <w:rsid w:val="00BE7586"/>
    <w:rsid w:val="00BE762A"/>
    <w:rsid w:val="00BE764B"/>
    <w:rsid w:val="00BE7801"/>
    <w:rsid w:val="00BE7812"/>
    <w:rsid w:val="00BE79F2"/>
    <w:rsid w:val="00BE7B5C"/>
    <w:rsid w:val="00BE7CC0"/>
    <w:rsid w:val="00BE7F1E"/>
    <w:rsid w:val="00BE7F47"/>
    <w:rsid w:val="00BE7FD2"/>
    <w:rsid w:val="00BF051A"/>
    <w:rsid w:val="00BF07A3"/>
    <w:rsid w:val="00BF07A7"/>
    <w:rsid w:val="00BF085F"/>
    <w:rsid w:val="00BF0947"/>
    <w:rsid w:val="00BF0B4C"/>
    <w:rsid w:val="00BF0BA8"/>
    <w:rsid w:val="00BF0CB2"/>
    <w:rsid w:val="00BF0E3C"/>
    <w:rsid w:val="00BF1041"/>
    <w:rsid w:val="00BF1219"/>
    <w:rsid w:val="00BF1618"/>
    <w:rsid w:val="00BF1719"/>
    <w:rsid w:val="00BF176E"/>
    <w:rsid w:val="00BF19B8"/>
    <w:rsid w:val="00BF1A65"/>
    <w:rsid w:val="00BF1BA4"/>
    <w:rsid w:val="00BF1C50"/>
    <w:rsid w:val="00BF1CDC"/>
    <w:rsid w:val="00BF1CE3"/>
    <w:rsid w:val="00BF1E6D"/>
    <w:rsid w:val="00BF1EE5"/>
    <w:rsid w:val="00BF205F"/>
    <w:rsid w:val="00BF2100"/>
    <w:rsid w:val="00BF2131"/>
    <w:rsid w:val="00BF213B"/>
    <w:rsid w:val="00BF25BC"/>
    <w:rsid w:val="00BF25F1"/>
    <w:rsid w:val="00BF27A0"/>
    <w:rsid w:val="00BF27B3"/>
    <w:rsid w:val="00BF2917"/>
    <w:rsid w:val="00BF2A5A"/>
    <w:rsid w:val="00BF2B7C"/>
    <w:rsid w:val="00BF2C47"/>
    <w:rsid w:val="00BF2D67"/>
    <w:rsid w:val="00BF2F1F"/>
    <w:rsid w:val="00BF309C"/>
    <w:rsid w:val="00BF30B8"/>
    <w:rsid w:val="00BF325D"/>
    <w:rsid w:val="00BF3354"/>
    <w:rsid w:val="00BF3669"/>
    <w:rsid w:val="00BF36BF"/>
    <w:rsid w:val="00BF3984"/>
    <w:rsid w:val="00BF39CF"/>
    <w:rsid w:val="00BF3A03"/>
    <w:rsid w:val="00BF3A92"/>
    <w:rsid w:val="00BF3A98"/>
    <w:rsid w:val="00BF3AFD"/>
    <w:rsid w:val="00BF3C49"/>
    <w:rsid w:val="00BF3CC3"/>
    <w:rsid w:val="00BF3E45"/>
    <w:rsid w:val="00BF3E8C"/>
    <w:rsid w:val="00BF3F10"/>
    <w:rsid w:val="00BF413E"/>
    <w:rsid w:val="00BF416B"/>
    <w:rsid w:val="00BF4267"/>
    <w:rsid w:val="00BF4B42"/>
    <w:rsid w:val="00BF4C7F"/>
    <w:rsid w:val="00BF4CC4"/>
    <w:rsid w:val="00BF4D16"/>
    <w:rsid w:val="00BF4D2C"/>
    <w:rsid w:val="00BF4F44"/>
    <w:rsid w:val="00BF4FE0"/>
    <w:rsid w:val="00BF5142"/>
    <w:rsid w:val="00BF52C4"/>
    <w:rsid w:val="00BF54E5"/>
    <w:rsid w:val="00BF55AB"/>
    <w:rsid w:val="00BF55AF"/>
    <w:rsid w:val="00BF58BB"/>
    <w:rsid w:val="00BF5A01"/>
    <w:rsid w:val="00BF5A5E"/>
    <w:rsid w:val="00BF5C6F"/>
    <w:rsid w:val="00BF5EC8"/>
    <w:rsid w:val="00BF5F36"/>
    <w:rsid w:val="00BF61E0"/>
    <w:rsid w:val="00BF637F"/>
    <w:rsid w:val="00BF63E6"/>
    <w:rsid w:val="00BF65F7"/>
    <w:rsid w:val="00BF6672"/>
    <w:rsid w:val="00BF68CD"/>
    <w:rsid w:val="00BF6C36"/>
    <w:rsid w:val="00BF6CE3"/>
    <w:rsid w:val="00BF7016"/>
    <w:rsid w:val="00BF7376"/>
    <w:rsid w:val="00BF73C8"/>
    <w:rsid w:val="00BF758D"/>
    <w:rsid w:val="00BF75D0"/>
    <w:rsid w:val="00BF7623"/>
    <w:rsid w:val="00BF7730"/>
    <w:rsid w:val="00BF7993"/>
    <w:rsid w:val="00BF7BB5"/>
    <w:rsid w:val="00BF7CE0"/>
    <w:rsid w:val="00BF7EDA"/>
    <w:rsid w:val="00BF7F2F"/>
    <w:rsid w:val="00BF9B42"/>
    <w:rsid w:val="00BFB5FB"/>
    <w:rsid w:val="00C000F9"/>
    <w:rsid w:val="00C003EB"/>
    <w:rsid w:val="00C0043C"/>
    <w:rsid w:val="00C0087C"/>
    <w:rsid w:val="00C00AAB"/>
    <w:rsid w:val="00C0102D"/>
    <w:rsid w:val="00C01118"/>
    <w:rsid w:val="00C012CD"/>
    <w:rsid w:val="00C013F3"/>
    <w:rsid w:val="00C013FE"/>
    <w:rsid w:val="00C0146B"/>
    <w:rsid w:val="00C015CB"/>
    <w:rsid w:val="00C018E1"/>
    <w:rsid w:val="00C018F0"/>
    <w:rsid w:val="00C01BC9"/>
    <w:rsid w:val="00C01C50"/>
    <w:rsid w:val="00C01C86"/>
    <w:rsid w:val="00C01CAD"/>
    <w:rsid w:val="00C01D11"/>
    <w:rsid w:val="00C01D64"/>
    <w:rsid w:val="00C01D75"/>
    <w:rsid w:val="00C01F10"/>
    <w:rsid w:val="00C02022"/>
    <w:rsid w:val="00C020AA"/>
    <w:rsid w:val="00C020EB"/>
    <w:rsid w:val="00C0236A"/>
    <w:rsid w:val="00C02389"/>
    <w:rsid w:val="00C02520"/>
    <w:rsid w:val="00C0262B"/>
    <w:rsid w:val="00C02784"/>
    <w:rsid w:val="00C02786"/>
    <w:rsid w:val="00C0293C"/>
    <w:rsid w:val="00C02A42"/>
    <w:rsid w:val="00C02ADB"/>
    <w:rsid w:val="00C02AE9"/>
    <w:rsid w:val="00C02BB2"/>
    <w:rsid w:val="00C02E5E"/>
    <w:rsid w:val="00C031E8"/>
    <w:rsid w:val="00C032F4"/>
    <w:rsid w:val="00C0337D"/>
    <w:rsid w:val="00C0354A"/>
    <w:rsid w:val="00C0361E"/>
    <w:rsid w:val="00C038D0"/>
    <w:rsid w:val="00C0393B"/>
    <w:rsid w:val="00C03BAB"/>
    <w:rsid w:val="00C03BCC"/>
    <w:rsid w:val="00C03BD4"/>
    <w:rsid w:val="00C03E2E"/>
    <w:rsid w:val="00C04215"/>
    <w:rsid w:val="00C0427F"/>
    <w:rsid w:val="00C042D3"/>
    <w:rsid w:val="00C0434E"/>
    <w:rsid w:val="00C0456F"/>
    <w:rsid w:val="00C04580"/>
    <w:rsid w:val="00C046A7"/>
    <w:rsid w:val="00C04961"/>
    <w:rsid w:val="00C04BA9"/>
    <w:rsid w:val="00C04C5E"/>
    <w:rsid w:val="00C04F17"/>
    <w:rsid w:val="00C04FFA"/>
    <w:rsid w:val="00C05017"/>
    <w:rsid w:val="00C051D1"/>
    <w:rsid w:val="00C0547F"/>
    <w:rsid w:val="00C054AE"/>
    <w:rsid w:val="00C05817"/>
    <w:rsid w:val="00C05909"/>
    <w:rsid w:val="00C0596F"/>
    <w:rsid w:val="00C05A97"/>
    <w:rsid w:val="00C05B55"/>
    <w:rsid w:val="00C05C3D"/>
    <w:rsid w:val="00C05C6A"/>
    <w:rsid w:val="00C05DAF"/>
    <w:rsid w:val="00C05E2B"/>
    <w:rsid w:val="00C05FB7"/>
    <w:rsid w:val="00C06145"/>
    <w:rsid w:val="00C06226"/>
    <w:rsid w:val="00C06245"/>
    <w:rsid w:val="00C062B3"/>
    <w:rsid w:val="00C06406"/>
    <w:rsid w:val="00C064B1"/>
    <w:rsid w:val="00C064F8"/>
    <w:rsid w:val="00C0666C"/>
    <w:rsid w:val="00C0669E"/>
    <w:rsid w:val="00C066D7"/>
    <w:rsid w:val="00C06AAE"/>
    <w:rsid w:val="00C06D25"/>
    <w:rsid w:val="00C06D68"/>
    <w:rsid w:val="00C06FB8"/>
    <w:rsid w:val="00C06FF7"/>
    <w:rsid w:val="00C06FF9"/>
    <w:rsid w:val="00C070CA"/>
    <w:rsid w:val="00C07170"/>
    <w:rsid w:val="00C071FB"/>
    <w:rsid w:val="00C07204"/>
    <w:rsid w:val="00C07546"/>
    <w:rsid w:val="00C07675"/>
    <w:rsid w:val="00C076F3"/>
    <w:rsid w:val="00C0787E"/>
    <w:rsid w:val="00C07A8A"/>
    <w:rsid w:val="00C07B54"/>
    <w:rsid w:val="00C07C58"/>
    <w:rsid w:val="00C07D29"/>
    <w:rsid w:val="00C07DE3"/>
    <w:rsid w:val="00C09A9E"/>
    <w:rsid w:val="00C0B689"/>
    <w:rsid w:val="00C100C1"/>
    <w:rsid w:val="00C10157"/>
    <w:rsid w:val="00C1015A"/>
    <w:rsid w:val="00C10359"/>
    <w:rsid w:val="00C1058F"/>
    <w:rsid w:val="00C10748"/>
    <w:rsid w:val="00C10B85"/>
    <w:rsid w:val="00C10CA0"/>
    <w:rsid w:val="00C10DA8"/>
    <w:rsid w:val="00C11050"/>
    <w:rsid w:val="00C110C7"/>
    <w:rsid w:val="00C11230"/>
    <w:rsid w:val="00C114F5"/>
    <w:rsid w:val="00C115BF"/>
    <w:rsid w:val="00C11BD2"/>
    <w:rsid w:val="00C11D3F"/>
    <w:rsid w:val="00C11E23"/>
    <w:rsid w:val="00C11E83"/>
    <w:rsid w:val="00C11EA9"/>
    <w:rsid w:val="00C12048"/>
    <w:rsid w:val="00C1205E"/>
    <w:rsid w:val="00C120F1"/>
    <w:rsid w:val="00C1220F"/>
    <w:rsid w:val="00C123AF"/>
    <w:rsid w:val="00C125F5"/>
    <w:rsid w:val="00C129F8"/>
    <w:rsid w:val="00C12A4B"/>
    <w:rsid w:val="00C12A93"/>
    <w:rsid w:val="00C12B46"/>
    <w:rsid w:val="00C12B66"/>
    <w:rsid w:val="00C12C84"/>
    <w:rsid w:val="00C130E1"/>
    <w:rsid w:val="00C13402"/>
    <w:rsid w:val="00C13432"/>
    <w:rsid w:val="00C136E8"/>
    <w:rsid w:val="00C13782"/>
    <w:rsid w:val="00C1388C"/>
    <w:rsid w:val="00C13A06"/>
    <w:rsid w:val="00C13AB3"/>
    <w:rsid w:val="00C13E7A"/>
    <w:rsid w:val="00C13F09"/>
    <w:rsid w:val="00C140FF"/>
    <w:rsid w:val="00C14110"/>
    <w:rsid w:val="00C14277"/>
    <w:rsid w:val="00C144F3"/>
    <w:rsid w:val="00C145B2"/>
    <w:rsid w:val="00C147B2"/>
    <w:rsid w:val="00C148F7"/>
    <w:rsid w:val="00C14C5D"/>
    <w:rsid w:val="00C14C9F"/>
    <w:rsid w:val="00C1508C"/>
    <w:rsid w:val="00C1522F"/>
    <w:rsid w:val="00C15446"/>
    <w:rsid w:val="00C156C9"/>
    <w:rsid w:val="00C157D1"/>
    <w:rsid w:val="00C15879"/>
    <w:rsid w:val="00C15923"/>
    <w:rsid w:val="00C15ADA"/>
    <w:rsid w:val="00C15DD1"/>
    <w:rsid w:val="00C15DDE"/>
    <w:rsid w:val="00C162FB"/>
    <w:rsid w:val="00C16A73"/>
    <w:rsid w:val="00C16C0F"/>
    <w:rsid w:val="00C16E19"/>
    <w:rsid w:val="00C17099"/>
    <w:rsid w:val="00C171D4"/>
    <w:rsid w:val="00C1740F"/>
    <w:rsid w:val="00C17536"/>
    <w:rsid w:val="00C178DD"/>
    <w:rsid w:val="00C17967"/>
    <w:rsid w:val="00C17A45"/>
    <w:rsid w:val="00C17A71"/>
    <w:rsid w:val="00C17ABA"/>
    <w:rsid w:val="00C17AC8"/>
    <w:rsid w:val="00C17CB1"/>
    <w:rsid w:val="00C17F6E"/>
    <w:rsid w:val="00C17F74"/>
    <w:rsid w:val="00C20034"/>
    <w:rsid w:val="00C2019E"/>
    <w:rsid w:val="00C2021D"/>
    <w:rsid w:val="00C20443"/>
    <w:rsid w:val="00C2055E"/>
    <w:rsid w:val="00C206C9"/>
    <w:rsid w:val="00C208AC"/>
    <w:rsid w:val="00C20BD0"/>
    <w:rsid w:val="00C20DCD"/>
    <w:rsid w:val="00C20F65"/>
    <w:rsid w:val="00C20F69"/>
    <w:rsid w:val="00C21041"/>
    <w:rsid w:val="00C217CA"/>
    <w:rsid w:val="00C218F7"/>
    <w:rsid w:val="00C21965"/>
    <w:rsid w:val="00C219F0"/>
    <w:rsid w:val="00C21A21"/>
    <w:rsid w:val="00C21A9F"/>
    <w:rsid w:val="00C22093"/>
    <w:rsid w:val="00C221AD"/>
    <w:rsid w:val="00C22254"/>
    <w:rsid w:val="00C2246A"/>
    <w:rsid w:val="00C2261E"/>
    <w:rsid w:val="00C2267A"/>
    <w:rsid w:val="00C2275B"/>
    <w:rsid w:val="00C22847"/>
    <w:rsid w:val="00C22918"/>
    <w:rsid w:val="00C22F1F"/>
    <w:rsid w:val="00C22F47"/>
    <w:rsid w:val="00C23170"/>
    <w:rsid w:val="00C23179"/>
    <w:rsid w:val="00C2333F"/>
    <w:rsid w:val="00C2338C"/>
    <w:rsid w:val="00C236BE"/>
    <w:rsid w:val="00C23784"/>
    <w:rsid w:val="00C2383D"/>
    <w:rsid w:val="00C2393D"/>
    <w:rsid w:val="00C23B64"/>
    <w:rsid w:val="00C23C44"/>
    <w:rsid w:val="00C23DB4"/>
    <w:rsid w:val="00C2407E"/>
    <w:rsid w:val="00C24165"/>
    <w:rsid w:val="00C243AE"/>
    <w:rsid w:val="00C243C7"/>
    <w:rsid w:val="00C24476"/>
    <w:rsid w:val="00C24573"/>
    <w:rsid w:val="00C24603"/>
    <w:rsid w:val="00C2464E"/>
    <w:rsid w:val="00C24717"/>
    <w:rsid w:val="00C247DA"/>
    <w:rsid w:val="00C247DB"/>
    <w:rsid w:val="00C247FE"/>
    <w:rsid w:val="00C24A9D"/>
    <w:rsid w:val="00C24EC2"/>
    <w:rsid w:val="00C25381"/>
    <w:rsid w:val="00C25416"/>
    <w:rsid w:val="00C25719"/>
    <w:rsid w:val="00C25996"/>
    <w:rsid w:val="00C2599C"/>
    <w:rsid w:val="00C259D6"/>
    <w:rsid w:val="00C25C05"/>
    <w:rsid w:val="00C25CA4"/>
    <w:rsid w:val="00C25D24"/>
    <w:rsid w:val="00C260F7"/>
    <w:rsid w:val="00C26163"/>
    <w:rsid w:val="00C2622C"/>
    <w:rsid w:val="00C26255"/>
    <w:rsid w:val="00C26444"/>
    <w:rsid w:val="00C26483"/>
    <w:rsid w:val="00C264AD"/>
    <w:rsid w:val="00C267CE"/>
    <w:rsid w:val="00C26878"/>
    <w:rsid w:val="00C268E3"/>
    <w:rsid w:val="00C26A42"/>
    <w:rsid w:val="00C26AEF"/>
    <w:rsid w:val="00C26D73"/>
    <w:rsid w:val="00C26E78"/>
    <w:rsid w:val="00C27236"/>
    <w:rsid w:val="00C274DC"/>
    <w:rsid w:val="00C27553"/>
    <w:rsid w:val="00C2759F"/>
    <w:rsid w:val="00C27678"/>
    <w:rsid w:val="00C2787B"/>
    <w:rsid w:val="00C27CC5"/>
    <w:rsid w:val="00C27EBA"/>
    <w:rsid w:val="00C27F9B"/>
    <w:rsid w:val="00C3003F"/>
    <w:rsid w:val="00C30062"/>
    <w:rsid w:val="00C30227"/>
    <w:rsid w:val="00C302F9"/>
    <w:rsid w:val="00C30306"/>
    <w:rsid w:val="00C303F2"/>
    <w:rsid w:val="00C305F2"/>
    <w:rsid w:val="00C30604"/>
    <w:rsid w:val="00C30616"/>
    <w:rsid w:val="00C306C3"/>
    <w:rsid w:val="00C3071C"/>
    <w:rsid w:val="00C30791"/>
    <w:rsid w:val="00C30861"/>
    <w:rsid w:val="00C30A40"/>
    <w:rsid w:val="00C30CA6"/>
    <w:rsid w:val="00C30FCE"/>
    <w:rsid w:val="00C3110B"/>
    <w:rsid w:val="00C31143"/>
    <w:rsid w:val="00C312D7"/>
    <w:rsid w:val="00C312EB"/>
    <w:rsid w:val="00C31A5A"/>
    <w:rsid w:val="00C31C1A"/>
    <w:rsid w:val="00C31C4F"/>
    <w:rsid w:val="00C31D4B"/>
    <w:rsid w:val="00C32262"/>
    <w:rsid w:val="00C32494"/>
    <w:rsid w:val="00C3253F"/>
    <w:rsid w:val="00C3259D"/>
    <w:rsid w:val="00C325D8"/>
    <w:rsid w:val="00C325DE"/>
    <w:rsid w:val="00C3262E"/>
    <w:rsid w:val="00C326F8"/>
    <w:rsid w:val="00C32861"/>
    <w:rsid w:val="00C32B50"/>
    <w:rsid w:val="00C32B63"/>
    <w:rsid w:val="00C32C46"/>
    <w:rsid w:val="00C32E6D"/>
    <w:rsid w:val="00C32F87"/>
    <w:rsid w:val="00C33382"/>
    <w:rsid w:val="00C3343F"/>
    <w:rsid w:val="00C334DF"/>
    <w:rsid w:val="00C3368B"/>
    <w:rsid w:val="00C3372E"/>
    <w:rsid w:val="00C337EC"/>
    <w:rsid w:val="00C33D6E"/>
    <w:rsid w:val="00C33DFC"/>
    <w:rsid w:val="00C33E01"/>
    <w:rsid w:val="00C3400E"/>
    <w:rsid w:val="00C34880"/>
    <w:rsid w:val="00C34AAE"/>
    <w:rsid w:val="00C34BED"/>
    <w:rsid w:val="00C34C8D"/>
    <w:rsid w:val="00C35100"/>
    <w:rsid w:val="00C3513D"/>
    <w:rsid w:val="00C353F9"/>
    <w:rsid w:val="00C3573B"/>
    <w:rsid w:val="00C3587C"/>
    <w:rsid w:val="00C35A0B"/>
    <w:rsid w:val="00C35CFD"/>
    <w:rsid w:val="00C35D63"/>
    <w:rsid w:val="00C3611C"/>
    <w:rsid w:val="00C361AE"/>
    <w:rsid w:val="00C36220"/>
    <w:rsid w:val="00C3623F"/>
    <w:rsid w:val="00C36421"/>
    <w:rsid w:val="00C36975"/>
    <w:rsid w:val="00C36D82"/>
    <w:rsid w:val="00C36E26"/>
    <w:rsid w:val="00C36EBA"/>
    <w:rsid w:val="00C36F4D"/>
    <w:rsid w:val="00C370E4"/>
    <w:rsid w:val="00C373C4"/>
    <w:rsid w:val="00C37495"/>
    <w:rsid w:val="00C37949"/>
    <w:rsid w:val="00C37E48"/>
    <w:rsid w:val="00C37E79"/>
    <w:rsid w:val="00C4029F"/>
    <w:rsid w:val="00C40510"/>
    <w:rsid w:val="00C4071A"/>
    <w:rsid w:val="00C407A1"/>
    <w:rsid w:val="00C40C12"/>
    <w:rsid w:val="00C40D05"/>
    <w:rsid w:val="00C40F49"/>
    <w:rsid w:val="00C410C3"/>
    <w:rsid w:val="00C4120A"/>
    <w:rsid w:val="00C41435"/>
    <w:rsid w:val="00C417AE"/>
    <w:rsid w:val="00C417EA"/>
    <w:rsid w:val="00C419CE"/>
    <w:rsid w:val="00C41F60"/>
    <w:rsid w:val="00C4200D"/>
    <w:rsid w:val="00C4200F"/>
    <w:rsid w:val="00C420B5"/>
    <w:rsid w:val="00C420F0"/>
    <w:rsid w:val="00C421C9"/>
    <w:rsid w:val="00C4228F"/>
    <w:rsid w:val="00C42477"/>
    <w:rsid w:val="00C425D6"/>
    <w:rsid w:val="00C42683"/>
    <w:rsid w:val="00C42732"/>
    <w:rsid w:val="00C42763"/>
    <w:rsid w:val="00C42A76"/>
    <w:rsid w:val="00C42C61"/>
    <w:rsid w:val="00C42CA3"/>
    <w:rsid w:val="00C430DD"/>
    <w:rsid w:val="00C43134"/>
    <w:rsid w:val="00C432D7"/>
    <w:rsid w:val="00C43521"/>
    <w:rsid w:val="00C43550"/>
    <w:rsid w:val="00C435A8"/>
    <w:rsid w:val="00C4381D"/>
    <w:rsid w:val="00C43A2E"/>
    <w:rsid w:val="00C43A88"/>
    <w:rsid w:val="00C43B5D"/>
    <w:rsid w:val="00C43D4F"/>
    <w:rsid w:val="00C4421F"/>
    <w:rsid w:val="00C44403"/>
    <w:rsid w:val="00C4444E"/>
    <w:rsid w:val="00C44456"/>
    <w:rsid w:val="00C444FF"/>
    <w:rsid w:val="00C44620"/>
    <w:rsid w:val="00C4469B"/>
    <w:rsid w:val="00C4484D"/>
    <w:rsid w:val="00C44B3B"/>
    <w:rsid w:val="00C44D33"/>
    <w:rsid w:val="00C44D66"/>
    <w:rsid w:val="00C44E19"/>
    <w:rsid w:val="00C44F7A"/>
    <w:rsid w:val="00C4549B"/>
    <w:rsid w:val="00C4564F"/>
    <w:rsid w:val="00C45901"/>
    <w:rsid w:val="00C459D5"/>
    <w:rsid w:val="00C45AC3"/>
    <w:rsid w:val="00C45B6D"/>
    <w:rsid w:val="00C45BE2"/>
    <w:rsid w:val="00C45E4E"/>
    <w:rsid w:val="00C45F8F"/>
    <w:rsid w:val="00C46001"/>
    <w:rsid w:val="00C4603E"/>
    <w:rsid w:val="00C46067"/>
    <w:rsid w:val="00C46191"/>
    <w:rsid w:val="00C4635A"/>
    <w:rsid w:val="00C464A5"/>
    <w:rsid w:val="00C46545"/>
    <w:rsid w:val="00C465B4"/>
    <w:rsid w:val="00C46826"/>
    <w:rsid w:val="00C468D4"/>
    <w:rsid w:val="00C46989"/>
    <w:rsid w:val="00C46D1F"/>
    <w:rsid w:val="00C470E1"/>
    <w:rsid w:val="00C47408"/>
    <w:rsid w:val="00C47411"/>
    <w:rsid w:val="00C4747C"/>
    <w:rsid w:val="00C47499"/>
    <w:rsid w:val="00C47563"/>
    <w:rsid w:val="00C4771A"/>
    <w:rsid w:val="00C47888"/>
    <w:rsid w:val="00C478B0"/>
    <w:rsid w:val="00C4795C"/>
    <w:rsid w:val="00C47A50"/>
    <w:rsid w:val="00C47D61"/>
    <w:rsid w:val="00C497E5"/>
    <w:rsid w:val="00C5004E"/>
    <w:rsid w:val="00C500D0"/>
    <w:rsid w:val="00C504FC"/>
    <w:rsid w:val="00C506F7"/>
    <w:rsid w:val="00C50804"/>
    <w:rsid w:val="00C509B9"/>
    <w:rsid w:val="00C50C72"/>
    <w:rsid w:val="00C50E0F"/>
    <w:rsid w:val="00C50E8E"/>
    <w:rsid w:val="00C511A0"/>
    <w:rsid w:val="00C512A2"/>
    <w:rsid w:val="00C513F1"/>
    <w:rsid w:val="00C5141C"/>
    <w:rsid w:val="00C5165B"/>
    <w:rsid w:val="00C517FE"/>
    <w:rsid w:val="00C5191E"/>
    <w:rsid w:val="00C51930"/>
    <w:rsid w:val="00C51A6F"/>
    <w:rsid w:val="00C51B5A"/>
    <w:rsid w:val="00C520EA"/>
    <w:rsid w:val="00C521AB"/>
    <w:rsid w:val="00C52527"/>
    <w:rsid w:val="00C52561"/>
    <w:rsid w:val="00C5263F"/>
    <w:rsid w:val="00C52A4C"/>
    <w:rsid w:val="00C52AB4"/>
    <w:rsid w:val="00C530FA"/>
    <w:rsid w:val="00C53207"/>
    <w:rsid w:val="00C53505"/>
    <w:rsid w:val="00C53581"/>
    <w:rsid w:val="00C535A3"/>
    <w:rsid w:val="00C5377E"/>
    <w:rsid w:val="00C538C2"/>
    <w:rsid w:val="00C538E5"/>
    <w:rsid w:val="00C5391F"/>
    <w:rsid w:val="00C53962"/>
    <w:rsid w:val="00C539F5"/>
    <w:rsid w:val="00C53A5D"/>
    <w:rsid w:val="00C53C16"/>
    <w:rsid w:val="00C53DF4"/>
    <w:rsid w:val="00C53E6C"/>
    <w:rsid w:val="00C53F54"/>
    <w:rsid w:val="00C5404E"/>
    <w:rsid w:val="00C540F7"/>
    <w:rsid w:val="00C541E2"/>
    <w:rsid w:val="00C54309"/>
    <w:rsid w:val="00C547F7"/>
    <w:rsid w:val="00C54994"/>
    <w:rsid w:val="00C5499A"/>
    <w:rsid w:val="00C54ADC"/>
    <w:rsid w:val="00C54BD2"/>
    <w:rsid w:val="00C550CC"/>
    <w:rsid w:val="00C55129"/>
    <w:rsid w:val="00C5512D"/>
    <w:rsid w:val="00C55196"/>
    <w:rsid w:val="00C551CF"/>
    <w:rsid w:val="00C5528B"/>
    <w:rsid w:val="00C5536F"/>
    <w:rsid w:val="00C555B1"/>
    <w:rsid w:val="00C556AA"/>
    <w:rsid w:val="00C5572B"/>
    <w:rsid w:val="00C55915"/>
    <w:rsid w:val="00C5598A"/>
    <w:rsid w:val="00C559E4"/>
    <w:rsid w:val="00C55ACB"/>
    <w:rsid w:val="00C55B46"/>
    <w:rsid w:val="00C55E26"/>
    <w:rsid w:val="00C55E2E"/>
    <w:rsid w:val="00C55EB1"/>
    <w:rsid w:val="00C56032"/>
    <w:rsid w:val="00C560C3"/>
    <w:rsid w:val="00C5638D"/>
    <w:rsid w:val="00C564E2"/>
    <w:rsid w:val="00C565DA"/>
    <w:rsid w:val="00C56647"/>
    <w:rsid w:val="00C5672F"/>
    <w:rsid w:val="00C5695B"/>
    <w:rsid w:val="00C56A7F"/>
    <w:rsid w:val="00C56BAC"/>
    <w:rsid w:val="00C57064"/>
    <w:rsid w:val="00C570C5"/>
    <w:rsid w:val="00C5723A"/>
    <w:rsid w:val="00C57382"/>
    <w:rsid w:val="00C574E6"/>
    <w:rsid w:val="00C575A6"/>
    <w:rsid w:val="00C576C9"/>
    <w:rsid w:val="00C577F0"/>
    <w:rsid w:val="00C57870"/>
    <w:rsid w:val="00C57A80"/>
    <w:rsid w:val="00C57BE3"/>
    <w:rsid w:val="00C57C77"/>
    <w:rsid w:val="00C57CA5"/>
    <w:rsid w:val="00C57CBB"/>
    <w:rsid w:val="00C57DD1"/>
    <w:rsid w:val="00C57E68"/>
    <w:rsid w:val="00C60156"/>
    <w:rsid w:val="00C601CD"/>
    <w:rsid w:val="00C6042C"/>
    <w:rsid w:val="00C60566"/>
    <w:rsid w:val="00C606A5"/>
    <w:rsid w:val="00C60786"/>
    <w:rsid w:val="00C60996"/>
    <w:rsid w:val="00C60B27"/>
    <w:rsid w:val="00C60BEC"/>
    <w:rsid w:val="00C60C5C"/>
    <w:rsid w:val="00C60DEB"/>
    <w:rsid w:val="00C60EC0"/>
    <w:rsid w:val="00C60EC1"/>
    <w:rsid w:val="00C6100F"/>
    <w:rsid w:val="00C61010"/>
    <w:rsid w:val="00C61033"/>
    <w:rsid w:val="00C610FE"/>
    <w:rsid w:val="00C6147F"/>
    <w:rsid w:val="00C61483"/>
    <w:rsid w:val="00C6150D"/>
    <w:rsid w:val="00C6159C"/>
    <w:rsid w:val="00C61692"/>
    <w:rsid w:val="00C6192A"/>
    <w:rsid w:val="00C61D58"/>
    <w:rsid w:val="00C61DAD"/>
    <w:rsid w:val="00C61DD0"/>
    <w:rsid w:val="00C61E82"/>
    <w:rsid w:val="00C62323"/>
    <w:rsid w:val="00C623F2"/>
    <w:rsid w:val="00C62453"/>
    <w:rsid w:val="00C626A4"/>
    <w:rsid w:val="00C626F4"/>
    <w:rsid w:val="00C62899"/>
    <w:rsid w:val="00C62C36"/>
    <w:rsid w:val="00C62C90"/>
    <w:rsid w:val="00C62CE4"/>
    <w:rsid w:val="00C62D80"/>
    <w:rsid w:val="00C63050"/>
    <w:rsid w:val="00C6305D"/>
    <w:rsid w:val="00C6359F"/>
    <w:rsid w:val="00C63725"/>
    <w:rsid w:val="00C63808"/>
    <w:rsid w:val="00C63816"/>
    <w:rsid w:val="00C638EE"/>
    <w:rsid w:val="00C639A9"/>
    <w:rsid w:val="00C639ED"/>
    <w:rsid w:val="00C63B05"/>
    <w:rsid w:val="00C63C58"/>
    <w:rsid w:val="00C63CD2"/>
    <w:rsid w:val="00C63CF1"/>
    <w:rsid w:val="00C63D93"/>
    <w:rsid w:val="00C63F5D"/>
    <w:rsid w:val="00C640E2"/>
    <w:rsid w:val="00C642A2"/>
    <w:rsid w:val="00C643AE"/>
    <w:rsid w:val="00C64463"/>
    <w:rsid w:val="00C64515"/>
    <w:rsid w:val="00C6476F"/>
    <w:rsid w:val="00C647E5"/>
    <w:rsid w:val="00C647F5"/>
    <w:rsid w:val="00C64A2A"/>
    <w:rsid w:val="00C64CA9"/>
    <w:rsid w:val="00C64CBD"/>
    <w:rsid w:val="00C65031"/>
    <w:rsid w:val="00C650FC"/>
    <w:rsid w:val="00C65274"/>
    <w:rsid w:val="00C65483"/>
    <w:rsid w:val="00C655F6"/>
    <w:rsid w:val="00C65A15"/>
    <w:rsid w:val="00C65D7A"/>
    <w:rsid w:val="00C66072"/>
    <w:rsid w:val="00C66091"/>
    <w:rsid w:val="00C660E5"/>
    <w:rsid w:val="00C661A9"/>
    <w:rsid w:val="00C662CB"/>
    <w:rsid w:val="00C666D8"/>
    <w:rsid w:val="00C666FB"/>
    <w:rsid w:val="00C667A6"/>
    <w:rsid w:val="00C66852"/>
    <w:rsid w:val="00C66989"/>
    <w:rsid w:val="00C66A36"/>
    <w:rsid w:val="00C66AE3"/>
    <w:rsid w:val="00C66AF1"/>
    <w:rsid w:val="00C66E20"/>
    <w:rsid w:val="00C66E69"/>
    <w:rsid w:val="00C66E7C"/>
    <w:rsid w:val="00C670FB"/>
    <w:rsid w:val="00C6725A"/>
    <w:rsid w:val="00C673AC"/>
    <w:rsid w:val="00C6789B"/>
    <w:rsid w:val="00C678B5"/>
    <w:rsid w:val="00C67A0D"/>
    <w:rsid w:val="00C67B8F"/>
    <w:rsid w:val="00C67B95"/>
    <w:rsid w:val="00C67D51"/>
    <w:rsid w:val="00C67E72"/>
    <w:rsid w:val="00C70059"/>
    <w:rsid w:val="00C7052E"/>
    <w:rsid w:val="00C70643"/>
    <w:rsid w:val="00C708DD"/>
    <w:rsid w:val="00C709DA"/>
    <w:rsid w:val="00C709F4"/>
    <w:rsid w:val="00C70D30"/>
    <w:rsid w:val="00C70DBB"/>
    <w:rsid w:val="00C70EAA"/>
    <w:rsid w:val="00C70FCE"/>
    <w:rsid w:val="00C7104B"/>
    <w:rsid w:val="00C7118A"/>
    <w:rsid w:val="00C71285"/>
    <w:rsid w:val="00C717EE"/>
    <w:rsid w:val="00C71A5E"/>
    <w:rsid w:val="00C71B5B"/>
    <w:rsid w:val="00C71BD1"/>
    <w:rsid w:val="00C71CD4"/>
    <w:rsid w:val="00C720A1"/>
    <w:rsid w:val="00C72133"/>
    <w:rsid w:val="00C723DC"/>
    <w:rsid w:val="00C727AE"/>
    <w:rsid w:val="00C727EE"/>
    <w:rsid w:val="00C727F1"/>
    <w:rsid w:val="00C72CD3"/>
    <w:rsid w:val="00C73006"/>
    <w:rsid w:val="00C730EA"/>
    <w:rsid w:val="00C73426"/>
    <w:rsid w:val="00C73698"/>
    <w:rsid w:val="00C737A3"/>
    <w:rsid w:val="00C73812"/>
    <w:rsid w:val="00C738F0"/>
    <w:rsid w:val="00C73F3D"/>
    <w:rsid w:val="00C73FDE"/>
    <w:rsid w:val="00C74210"/>
    <w:rsid w:val="00C743E6"/>
    <w:rsid w:val="00C74466"/>
    <w:rsid w:val="00C74632"/>
    <w:rsid w:val="00C746D2"/>
    <w:rsid w:val="00C74748"/>
    <w:rsid w:val="00C7483B"/>
    <w:rsid w:val="00C74B3D"/>
    <w:rsid w:val="00C74C1F"/>
    <w:rsid w:val="00C74D06"/>
    <w:rsid w:val="00C74D61"/>
    <w:rsid w:val="00C74DE6"/>
    <w:rsid w:val="00C74E18"/>
    <w:rsid w:val="00C7531F"/>
    <w:rsid w:val="00C75626"/>
    <w:rsid w:val="00C7562C"/>
    <w:rsid w:val="00C75B45"/>
    <w:rsid w:val="00C75F1B"/>
    <w:rsid w:val="00C7612B"/>
    <w:rsid w:val="00C76333"/>
    <w:rsid w:val="00C7647F"/>
    <w:rsid w:val="00C765AE"/>
    <w:rsid w:val="00C76693"/>
    <w:rsid w:val="00C768E0"/>
    <w:rsid w:val="00C76A6F"/>
    <w:rsid w:val="00C76D5E"/>
    <w:rsid w:val="00C7730F"/>
    <w:rsid w:val="00C77332"/>
    <w:rsid w:val="00C77481"/>
    <w:rsid w:val="00C77810"/>
    <w:rsid w:val="00C77958"/>
    <w:rsid w:val="00C77A0D"/>
    <w:rsid w:val="00C77BBB"/>
    <w:rsid w:val="00C77C17"/>
    <w:rsid w:val="00C77F31"/>
    <w:rsid w:val="00C77FA2"/>
    <w:rsid w:val="00C80032"/>
    <w:rsid w:val="00C80686"/>
    <w:rsid w:val="00C80771"/>
    <w:rsid w:val="00C80801"/>
    <w:rsid w:val="00C808E0"/>
    <w:rsid w:val="00C80BD9"/>
    <w:rsid w:val="00C80C22"/>
    <w:rsid w:val="00C80E74"/>
    <w:rsid w:val="00C80FF2"/>
    <w:rsid w:val="00C81048"/>
    <w:rsid w:val="00C810CB"/>
    <w:rsid w:val="00C814DB"/>
    <w:rsid w:val="00C814E3"/>
    <w:rsid w:val="00C815AD"/>
    <w:rsid w:val="00C815AF"/>
    <w:rsid w:val="00C815FA"/>
    <w:rsid w:val="00C81684"/>
    <w:rsid w:val="00C8190B"/>
    <w:rsid w:val="00C81AC2"/>
    <w:rsid w:val="00C81DE0"/>
    <w:rsid w:val="00C82337"/>
    <w:rsid w:val="00C824A0"/>
    <w:rsid w:val="00C8253D"/>
    <w:rsid w:val="00C826E3"/>
    <w:rsid w:val="00C827C3"/>
    <w:rsid w:val="00C829D7"/>
    <w:rsid w:val="00C82D7F"/>
    <w:rsid w:val="00C82ED2"/>
    <w:rsid w:val="00C82F79"/>
    <w:rsid w:val="00C83004"/>
    <w:rsid w:val="00C83082"/>
    <w:rsid w:val="00C833D5"/>
    <w:rsid w:val="00C83596"/>
    <w:rsid w:val="00C8368D"/>
    <w:rsid w:val="00C83947"/>
    <w:rsid w:val="00C83999"/>
    <w:rsid w:val="00C83A07"/>
    <w:rsid w:val="00C83A61"/>
    <w:rsid w:val="00C83A80"/>
    <w:rsid w:val="00C83AE9"/>
    <w:rsid w:val="00C83BF0"/>
    <w:rsid w:val="00C83F91"/>
    <w:rsid w:val="00C84264"/>
    <w:rsid w:val="00C8429F"/>
    <w:rsid w:val="00C842FA"/>
    <w:rsid w:val="00C846C8"/>
    <w:rsid w:val="00C84ACA"/>
    <w:rsid w:val="00C84B83"/>
    <w:rsid w:val="00C84C8F"/>
    <w:rsid w:val="00C84CBD"/>
    <w:rsid w:val="00C84D79"/>
    <w:rsid w:val="00C84EAF"/>
    <w:rsid w:val="00C84F1B"/>
    <w:rsid w:val="00C85018"/>
    <w:rsid w:val="00C85114"/>
    <w:rsid w:val="00C8515B"/>
    <w:rsid w:val="00C85405"/>
    <w:rsid w:val="00C856AD"/>
    <w:rsid w:val="00C8577B"/>
    <w:rsid w:val="00C8583E"/>
    <w:rsid w:val="00C8598A"/>
    <w:rsid w:val="00C85BE0"/>
    <w:rsid w:val="00C85DD9"/>
    <w:rsid w:val="00C85E06"/>
    <w:rsid w:val="00C85F14"/>
    <w:rsid w:val="00C862FD"/>
    <w:rsid w:val="00C86446"/>
    <w:rsid w:val="00C864F9"/>
    <w:rsid w:val="00C864FD"/>
    <w:rsid w:val="00C86500"/>
    <w:rsid w:val="00C86653"/>
    <w:rsid w:val="00C86987"/>
    <w:rsid w:val="00C86D3C"/>
    <w:rsid w:val="00C86DDD"/>
    <w:rsid w:val="00C87336"/>
    <w:rsid w:val="00C87418"/>
    <w:rsid w:val="00C8741A"/>
    <w:rsid w:val="00C87443"/>
    <w:rsid w:val="00C87515"/>
    <w:rsid w:val="00C87714"/>
    <w:rsid w:val="00C87A65"/>
    <w:rsid w:val="00C87CCB"/>
    <w:rsid w:val="00C87CDC"/>
    <w:rsid w:val="00C87E13"/>
    <w:rsid w:val="00C87E22"/>
    <w:rsid w:val="00C87EFD"/>
    <w:rsid w:val="00C87F30"/>
    <w:rsid w:val="00C87F9E"/>
    <w:rsid w:val="00C87FCD"/>
    <w:rsid w:val="00C9012B"/>
    <w:rsid w:val="00C90163"/>
    <w:rsid w:val="00C90391"/>
    <w:rsid w:val="00C90513"/>
    <w:rsid w:val="00C90564"/>
    <w:rsid w:val="00C90616"/>
    <w:rsid w:val="00C906FE"/>
    <w:rsid w:val="00C90A11"/>
    <w:rsid w:val="00C90A7D"/>
    <w:rsid w:val="00C90A83"/>
    <w:rsid w:val="00C90BD9"/>
    <w:rsid w:val="00C90D86"/>
    <w:rsid w:val="00C90F73"/>
    <w:rsid w:val="00C91357"/>
    <w:rsid w:val="00C91673"/>
    <w:rsid w:val="00C917D5"/>
    <w:rsid w:val="00C91821"/>
    <w:rsid w:val="00C918EA"/>
    <w:rsid w:val="00C91928"/>
    <w:rsid w:val="00C91947"/>
    <w:rsid w:val="00C91B1C"/>
    <w:rsid w:val="00C91EF9"/>
    <w:rsid w:val="00C91F63"/>
    <w:rsid w:val="00C92240"/>
    <w:rsid w:val="00C92276"/>
    <w:rsid w:val="00C922A6"/>
    <w:rsid w:val="00C92351"/>
    <w:rsid w:val="00C9246E"/>
    <w:rsid w:val="00C92556"/>
    <w:rsid w:val="00C925C7"/>
    <w:rsid w:val="00C926F8"/>
    <w:rsid w:val="00C92804"/>
    <w:rsid w:val="00C929EE"/>
    <w:rsid w:val="00C92B6B"/>
    <w:rsid w:val="00C92ED9"/>
    <w:rsid w:val="00C9306B"/>
    <w:rsid w:val="00C93251"/>
    <w:rsid w:val="00C9368A"/>
    <w:rsid w:val="00C936F1"/>
    <w:rsid w:val="00C93946"/>
    <w:rsid w:val="00C93CC6"/>
    <w:rsid w:val="00C93D12"/>
    <w:rsid w:val="00C93ED2"/>
    <w:rsid w:val="00C94149"/>
    <w:rsid w:val="00C9418B"/>
    <w:rsid w:val="00C944E1"/>
    <w:rsid w:val="00C946B5"/>
    <w:rsid w:val="00C949F7"/>
    <w:rsid w:val="00C94D31"/>
    <w:rsid w:val="00C94E7D"/>
    <w:rsid w:val="00C951BD"/>
    <w:rsid w:val="00C95306"/>
    <w:rsid w:val="00C95351"/>
    <w:rsid w:val="00C95432"/>
    <w:rsid w:val="00C95502"/>
    <w:rsid w:val="00C95872"/>
    <w:rsid w:val="00C95AAF"/>
    <w:rsid w:val="00C95AD4"/>
    <w:rsid w:val="00C95CCF"/>
    <w:rsid w:val="00C960A1"/>
    <w:rsid w:val="00C96405"/>
    <w:rsid w:val="00C969ED"/>
    <w:rsid w:val="00C96A3E"/>
    <w:rsid w:val="00C96B3C"/>
    <w:rsid w:val="00C96CDF"/>
    <w:rsid w:val="00C96D97"/>
    <w:rsid w:val="00C96F2B"/>
    <w:rsid w:val="00C96F85"/>
    <w:rsid w:val="00C96F95"/>
    <w:rsid w:val="00C97028"/>
    <w:rsid w:val="00C9725A"/>
    <w:rsid w:val="00C97373"/>
    <w:rsid w:val="00C9748F"/>
    <w:rsid w:val="00C9777F"/>
    <w:rsid w:val="00C97950"/>
    <w:rsid w:val="00C97EAE"/>
    <w:rsid w:val="00C9C80E"/>
    <w:rsid w:val="00CA0002"/>
    <w:rsid w:val="00CA00DD"/>
    <w:rsid w:val="00CA075B"/>
    <w:rsid w:val="00CA0860"/>
    <w:rsid w:val="00CA0883"/>
    <w:rsid w:val="00CA0950"/>
    <w:rsid w:val="00CA0A1D"/>
    <w:rsid w:val="00CA0F54"/>
    <w:rsid w:val="00CA0F9F"/>
    <w:rsid w:val="00CA0FB6"/>
    <w:rsid w:val="00CA1155"/>
    <w:rsid w:val="00CA1370"/>
    <w:rsid w:val="00CA14B2"/>
    <w:rsid w:val="00CA1698"/>
    <w:rsid w:val="00CA1704"/>
    <w:rsid w:val="00CA1876"/>
    <w:rsid w:val="00CA1C4E"/>
    <w:rsid w:val="00CA1C90"/>
    <w:rsid w:val="00CA1DA1"/>
    <w:rsid w:val="00CA20B7"/>
    <w:rsid w:val="00CA21F5"/>
    <w:rsid w:val="00CA2805"/>
    <w:rsid w:val="00CA28DC"/>
    <w:rsid w:val="00CA2A53"/>
    <w:rsid w:val="00CA2A71"/>
    <w:rsid w:val="00CA2B7E"/>
    <w:rsid w:val="00CA2BCC"/>
    <w:rsid w:val="00CA2FD0"/>
    <w:rsid w:val="00CA3072"/>
    <w:rsid w:val="00CA31ED"/>
    <w:rsid w:val="00CA3788"/>
    <w:rsid w:val="00CA385D"/>
    <w:rsid w:val="00CA3973"/>
    <w:rsid w:val="00CA3A7B"/>
    <w:rsid w:val="00CA3AA7"/>
    <w:rsid w:val="00CA3B83"/>
    <w:rsid w:val="00CA3CF2"/>
    <w:rsid w:val="00CA3D20"/>
    <w:rsid w:val="00CA40A0"/>
    <w:rsid w:val="00CA419F"/>
    <w:rsid w:val="00CA4352"/>
    <w:rsid w:val="00CA43FE"/>
    <w:rsid w:val="00CA440D"/>
    <w:rsid w:val="00CA4582"/>
    <w:rsid w:val="00CA45F0"/>
    <w:rsid w:val="00CA49F3"/>
    <w:rsid w:val="00CA4D0D"/>
    <w:rsid w:val="00CA4D51"/>
    <w:rsid w:val="00CA4D60"/>
    <w:rsid w:val="00CA4F08"/>
    <w:rsid w:val="00CA4F6E"/>
    <w:rsid w:val="00CA50CA"/>
    <w:rsid w:val="00CA5830"/>
    <w:rsid w:val="00CA5A38"/>
    <w:rsid w:val="00CA5CB1"/>
    <w:rsid w:val="00CA5D89"/>
    <w:rsid w:val="00CA5D8C"/>
    <w:rsid w:val="00CA5E35"/>
    <w:rsid w:val="00CA5F49"/>
    <w:rsid w:val="00CA6041"/>
    <w:rsid w:val="00CA610A"/>
    <w:rsid w:val="00CA6210"/>
    <w:rsid w:val="00CA63EB"/>
    <w:rsid w:val="00CA64F0"/>
    <w:rsid w:val="00CA65E9"/>
    <w:rsid w:val="00CA663D"/>
    <w:rsid w:val="00CA69ED"/>
    <w:rsid w:val="00CA6AA5"/>
    <w:rsid w:val="00CA6AF9"/>
    <w:rsid w:val="00CA6B43"/>
    <w:rsid w:val="00CA6BCF"/>
    <w:rsid w:val="00CA6D22"/>
    <w:rsid w:val="00CA6DDF"/>
    <w:rsid w:val="00CA6EDC"/>
    <w:rsid w:val="00CA72CE"/>
    <w:rsid w:val="00CA738A"/>
    <w:rsid w:val="00CA7638"/>
    <w:rsid w:val="00CA7723"/>
    <w:rsid w:val="00CA7862"/>
    <w:rsid w:val="00CA78D5"/>
    <w:rsid w:val="00CA798B"/>
    <w:rsid w:val="00CA7A38"/>
    <w:rsid w:val="00CA7B04"/>
    <w:rsid w:val="00CA7B40"/>
    <w:rsid w:val="00CA7B75"/>
    <w:rsid w:val="00CA7C45"/>
    <w:rsid w:val="00CA7DD8"/>
    <w:rsid w:val="00CA7E7A"/>
    <w:rsid w:val="00CA7F5B"/>
    <w:rsid w:val="00CB01EE"/>
    <w:rsid w:val="00CB0229"/>
    <w:rsid w:val="00CB0773"/>
    <w:rsid w:val="00CB0838"/>
    <w:rsid w:val="00CB0A2B"/>
    <w:rsid w:val="00CB0B13"/>
    <w:rsid w:val="00CB0B3D"/>
    <w:rsid w:val="00CB0BD2"/>
    <w:rsid w:val="00CB0C84"/>
    <w:rsid w:val="00CB0CB5"/>
    <w:rsid w:val="00CB0F86"/>
    <w:rsid w:val="00CB1050"/>
    <w:rsid w:val="00CB12BD"/>
    <w:rsid w:val="00CB133E"/>
    <w:rsid w:val="00CB138B"/>
    <w:rsid w:val="00CB13BB"/>
    <w:rsid w:val="00CB1755"/>
    <w:rsid w:val="00CB1784"/>
    <w:rsid w:val="00CB18F0"/>
    <w:rsid w:val="00CB193B"/>
    <w:rsid w:val="00CB1C97"/>
    <w:rsid w:val="00CB1CCE"/>
    <w:rsid w:val="00CB1CD2"/>
    <w:rsid w:val="00CB1E09"/>
    <w:rsid w:val="00CB221C"/>
    <w:rsid w:val="00CB2472"/>
    <w:rsid w:val="00CB2639"/>
    <w:rsid w:val="00CB2AB8"/>
    <w:rsid w:val="00CB3061"/>
    <w:rsid w:val="00CB306E"/>
    <w:rsid w:val="00CB35D7"/>
    <w:rsid w:val="00CB361C"/>
    <w:rsid w:val="00CB3766"/>
    <w:rsid w:val="00CB39AE"/>
    <w:rsid w:val="00CB3A52"/>
    <w:rsid w:val="00CB3CE6"/>
    <w:rsid w:val="00CB3F74"/>
    <w:rsid w:val="00CB402A"/>
    <w:rsid w:val="00CB440D"/>
    <w:rsid w:val="00CB4495"/>
    <w:rsid w:val="00CB44EF"/>
    <w:rsid w:val="00CB4741"/>
    <w:rsid w:val="00CB475F"/>
    <w:rsid w:val="00CB488F"/>
    <w:rsid w:val="00CB4A53"/>
    <w:rsid w:val="00CB4B58"/>
    <w:rsid w:val="00CB4DAB"/>
    <w:rsid w:val="00CB4DEE"/>
    <w:rsid w:val="00CB4E98"/>
    <w:rsid w:val="00CB4FE2"/>
    <w:rsid w:val="00CB52A1"/>
    <w:rsid w:val="00CB5346"/>
    <w:rsid w:val="00CB5566"/>
    <w:rsid w:val="00CB572F"/>
    <w:rsid w:val="00CB57B8"/>
    <w:rsid w:val="00CB591D"/>
    <w:rsid w:val="00CB59DB"/>
    <w:rsid w:val="00CB5AF8"/>
    <w:rsid w:val="00CB5B1C"/>
    <w:rsid w:val="00CB5B62"/>
    <w:rsid w:val="00CB5C0A"/>
    <w:rsid w:val="00CB5D00"/>
    <w:rsid w:val="00CB604D"/>
    <w:rsid w:val="00CB61D8"/>
    <w:rsid w:val="00CB641B"/>
    <w:rsid w:val="00CB6461"/>
    <w:rsid w:val="00CB65D1"/>
    <w:rsid w:val="00CB6961"/>
    <w:rsid w:val="00CB6B86"/>
    <w:rsid w:val="00CB7063"/>
    <w:rsid w:val="00CB7287"/>
    <w:rsid w:val="00CB7378"/>
    <w:rsid w:val="00CB73E7"/>
    <w:rsid w:val="00CB7415"/>
    <w:rsid w:val="00CB7555"/>
    <w:rsid w:val="00CB7800"/>
    <w:rsid w:val="00CB7A2C"/>
    <w:rsid w:val="00CB7CA0"/>
    <w:rsid w:val="00CB7E89"/>
    <w:rsid w:val="00CC008A"/>
    <w:rsid w:val="00CC017B"/>
    <w:rsid w:val="00CC03A2"/>
    <w:rsid w:val="00CC0405"/>
    <w:rsid w:val="00CC05C6"/>
    <w:rsid w:val="00CC06F4"/>
    <w:rsid w:val="00CC0769"/>
    <w:rsid w:val="00CC0D3F"/>
    <w:rsid w:val="00CC0F4F"/>
    <w:rsid w:val="00CC0F5C"/>
    <w:rsid w:val="00CC1158"/>
    <w:rsid w:val="00CC1925"/>
    <w:rsid w:val="00CC1CE8"/>
    <w:rsid w:val="00CC1EB1"/>
    <w:rsid w:val="00CC1ED5"/>
    <w:rsid w:val="00CC1EF8"/>
    <w:rsid w:val="00CC1F09"/>
    <w:rsid w:val="00CC1F16"/>
    <w:rsid w:val="00CC1F97"/>
    <w:rsid w:val="00CC20E0"/>
    <w:rsid w:val="00CC2152"/>
    <w:rsid w:val="00CC2253"/>
    <w:rsid w:val="00CC25D5"/>
    <w:rsid w:val="00CC2AAE"/>
    <w:rsid w:val="00CC2BC8"/>
    <w:rsid w:val="00CC2CA5"/>
    <w:rsid w:val="00CC2CE9"/>
    <w:rsid w:val="00CC2E5F"/>
    <w:rsid w:val="00CC2F62"/>
    <w:rsid w:val="00CC307A"/>
    <w:rsid w:val="00CC3106"/>
    <w:rsid w:val="00CC3187"/>
    <w:rsid w:val="00CC3434"/>
    <w:rsid w:val="00CC34A9"/>
    <w:rsid w:val="00CC3522"/>
    <w:rsid w:val="00CC359B"/>
    <w:rsid w:val="00CC3E78"/>
    <w:rsid w:val="00CC3EA1"/>
    <w:rsid w:val="00CC4366"/>
    <w:rsid w:val="00CC4372"/>
    <w:rsid w:val="00CC45D8"/>
    <w:rsid w:val="00CC46BB"/>
    <w:rsid w:val="00CC4766"/>
    <w:rsid w:val="00CC47BC"/>
    <w:rsid w:val="00CC47D8"/>
    <w:rsid w:val="00CC4BAE"/>
    <w:rsid w:val="00CC4C9A"/>
    <w:rsid w:val="00CC4DF3"/>
    <w:rsid w:val="00CC4E37"/>
    <w:rsid w:val="00CC4EC3"/>
    <w:rsid w:val="00CC4F03"/>
    <w:rsid w:val="00CC5098"/>
    <w:rsid w:val="00CC5194"/>
    <w:rsid w:val="00CC545E"/>
    <w:rsid w:val="00CC554B"/>
    <w:rsid w:val="00CC5647"/>
    <w:rsid w:val="00CC5B50"/>
    <w:rsid w:val="00CC5BF7"/>
    <w:rsid w:val="00CC5D63"/>
    <w:rsid w:val="00CC5E76"/>
    <w:rsid w:val="00CC5EB2"/>
    <w:rsid w:val="00CC5EC8"/>
    <w:rsid w:val="00CC5F7D"/>
    <w:rsid w:val="00CC5FA7"/>
    <w:rsid w:val="00CC6007"/>
    <w:rsid w:val="00CC6270"/>
    <w:rsid w:val="00CC62BD"/>
    <w:rsid w:val="00CC6BCB"/>
    <w:rsid w:val="00CC6BF6"/>
    <w:rsid w:val="00CC6C2D"/>
    <w:rsid w:val="00CC6DCA"/>
    <w:rsid w:val="00CC6E06"/>
    <w:rsid w:val="00CC6F41"/>
    <w:rsid w:val="00CC71C8"/>
    <w:rsid w:val="00CC76FB"/>
    <w:rsid w:val="00CC77B8"/>
    <w:rsid w:val="00CC78E5"/>
    <w:rsid w:val="00CC796E"/>
    <w:rsid w:val="00CC7C65"/>
    <w:rsid w:val="00CC7CFE"/>
    <w:rsid w:val="00CC7D1F"/>
    <w:rsid w:val="00CC7F94"/>
    <w:rsid w:val="00CD0375"/>
    <w:rsid w:val="00CD0459"/>
    <w:rsid w:val="00CD083B"/>
    <w:rsid w:val="00CD088D"/>
    <w:rsid w:val="00CD0998"/>
    <w:rsid w:val="00CD0BBB"/>
    <w:rsid w:val="00CD0C00"/>
    <w:rsid w:val="00CD139E"/>
    <w:rsid w:val="00CD1506"/>
    <w:rsid w:val="00CD15F0"/>
    <w:rsid w:val="00CD1B4F"/>
    <w:rsid w:val="00CD1BB1"/>
    <w:rsid w:val="00CD1C4C"/>
    <w:rsid w:val="00CD1CF2"/>
    <w:rsid w:val="00CD1D0A"/>
    <w:rsid w:val="00CD1EA5"/>
    <w:rsid w:val="00CD1F7E"/>
    <w:rsid w:val="00CD205E"/>
    <w:rsid w:val="00CD20E0"/>
    <w:rsid w:val="00CD21A2"/>
    <w:rsid w:val="00CD21D3"/>
    <w:rsid w:val="00CD231B"/>
    <w:rsid w:val="00CD24F9"/>
    <w:rsid w:val="00CD2863"/>
    <w:rsid w:val="00CD287F"/>
    <w:rsid w:val="00CD28D1"/>
    <w:rsid w:val="00CD2B52"/>
    <w:rsid w:val="00CD2CEE"/>
    <w:rsid w:val="00CD2D14"/>
    <w:rsid w:val="00CD2DD1"/>
    <w:rsid w:val="00CD3384"/>
    <w:rsid w:val="00CD3532"/>
    <w:rsid w:val="00CD36EF"/>
    <w:rsid w:val="00CD396C"/>
    <w:rsid w:val="00CD39A5"/>
    <w:rsid w:val="00CD39BF"/>
    <w:rsid w:val="00CD3AE8"/>
    <w:rsid w:val="00CD3AFA"/>
    <w:rsid w:val="00CD3D83"/>
    <w:rsid w:val="00CD3E70"/>
    <w:rsid w:val="00CD3FEA"/>
    <w:rsid w:val="00CD467F"/>
    <w:rsid w:val="00CD4879"/>
    <w:rsid w:val="00CD4897"/>
    <w:rsid w:val="00CD4A07"/>
    <w:rsid w:val="00CD4AF2"/>
    <w:rsid w:val="00CD4B4B"/>
    <w:rsid w:val="00CD4CDF"/>
    <w:rsid w:val="00CD4D25"/>
    <w:rsid w:val="00CD4D94"/>
    <w:rsid w:val="00CD4FD5"/>
    <w:rsid w:val="00CD501C"/>
    <w:rsid w:val="00CD5368"/>
    <w:rsid w:val="00CD5390"/>
    <w:rsid w:val="00CD543C"/>
    <w:rsid w:val="00CD543D"/>
    <w:rsid w:val="00CD5529"/>
    <w:rsid w:val="00CD561C"/>
    <w:rsid w:val="00CD57A0"/>
    <w:rsid w:val="00CD5832"/>
    <w:rsid w:val="00CD5AE7"/>
    <w:rsid w:val="00CD5AF9"/>
    <w:rsid w:val="00CD5AFC"/>
    <w:rsid w:val="00CD5B66"/>
    <w:rsid w:val="00CD5BA5"/>
    <w:rsid w:val="00CD5D4E"/>
    <w:rsid w:val="00CD5E87"/>
    <w:rsid w:val="00CD60DA"/>
    <w:rsid w:val="00CD63EF"/>
    <w:rsid w:val="00CD64B2"/>
    <w:rsid w:val="00CD68BC"/>
    <w:rsid w:val="00CD690E"/>
    <w:rsid w:val="00CD6B04"/>
    <w:rsid w:val="00CD6BC8"/>
    <w:rsid w:val="00CD6DE2"/>
    <w:rsid w:val="00CD6ED5"/>
    <w:rsid w:val="00CD6FD1"/>
    <w:rsid w:val="00CD70A9"/>
    <w:rsid w:val="00CD7305"/>
    <w:rsid w:val="00CD73F0"/>
    <w:rsid w:val="00CD7429"/>
    <w:rsid w:val="00CD7523"/>
    <w:rsid w:val="00CD7754"/>
    <w:rsid w:val="00CD7928"/>
    <w:rsid w:val="00CD7CA0"/>
    <w:rsid w:val="00CD7CA5"/>
    <w:rsid w:val="00CD7CAA"/>
    <w:rsid w:val="00CD7E80"/>
    <w:rsid w:val="00CE005F"/>
    <w:rsid w:val="00CE023F"/>
    <w:rsid w:val="00CE02CC"/>
    <w:rsid w:val="00CE0498"/>
    <w:rsid w:val="00CE060C"/>
    <w:rsid w:val="00CE0AC0"/>
    <w:rsid w:val="00CE0CBA"/>
    <w:rsid w:val="00CE0DE0"/>
    <w:rsid w:val="00CE0E58"/>
    <w:rsid w:val="00CE10D8"/>
    <w:rsid w:val="00CE118C"/>
    <w:rsid w:val="00CE119A"/>
    <w:rsid w:val="00CE139E"/>
    <w:rsid w:val="00CE13C0"/>
    <w:rsid w:val="00CE13F9"/>
    <w:rsid w:val="00CE1489"/>
    <w:rsid w:val="00CE15E0"/>
    <w:rsid w:val="00CE167D"/>
    <w:rsid w:val="00CE170C"/>
    <w:rsid w:val="00CE179A"/>
    <w:rsid w:val="00CE1866"/>
    <w:rsid w:val="00CE19BB"/>
    <w:rsid w:val="00CE19C2"/>
    <w:rsid w:val="00CE1B5C"/>
    <w:rsid w:val="00CE1B5E"/>
    <w:rsid w:val="00CE1CFD"/>
    <w:rsid w:val="00CE1DFB"/>
    <w:rsid w:val="00CE1EB0"/>
    <w:rsid w:val="00CE26C5"/>
    <w:rsid w:val="00CE2A1A"/>
    <w:rsid w:val="00CE2BBC"/>
    <w:rsid w:val="00CE2C82"/>
    <w:rsid w:val="00CE2CC6"/>
    <w:rsid w:val="00CE2D9D"/>
    <w:rsid w:val="00CE2E67"/>
    <w:rsid w:val="00CE2EB9"/>
    <w:rsid w:val="00CE2F1D"/>
    <w:rsid w:val="00CE3369"/>
    <w:rsid w:val="00CE33B3"/>
    <w:rsid w:val="00CE33C8"/>
    <w:rsid w:val="00CE34DD"/>
    <w:rsid w:val="00CE35C5"/>
    <w:rsid w:val="00CE35DC"/>
    <w:rsid w:val="00CE36C2"/>
    <w:rsid w:val="00CE36FA"/>
    <w:rsid w:val="00CE3ABA"/>
    <w:rsid w:val="00CE3BBC"/>
    <w:rsid w:val="00CE3BCA"/>
    <w:rsid w:val="00CE3BF9"/>
    <w:rsid w:val="00CE3CF8"/>
    <w:rsid w:val="00CE4146"/>
    <w:rsid w:val="00CE44BB"/>
    <w:rsid w:val="00CE44E1"/>
    <w:rsid w:val="00CE4716"/>
    <w:rsid w:val="00CE4839"/>
    <w:rsid w:val="00CE4867"/>
    <w:rsid w:val="00CE49F7"/>
    <w:rsid w:val="00CE4E29"/>
    <w:rsid w:val="00CE500A"/>
    <w:rsid w:val="00CE51AB"/>
    <w:rsid w:val="00CE5228"/>
    <w:rsid w:val="00CE567E"/>
    <w:rsid w:val="00CE56B8"/>
    <w:rsid w:val="00CE575E"/>
    <w:rsid w:val="00CE57A6"/>
    <w:rsid w:val="00CE59B8"/>
    <w:rsid w:val="00CE5ACA"/>
    <w:rsid w:val="00CE5AF1"/>
    <w:rsid w:val="00CE5C04"/>
    <w:rsid w:val="00CE6051"/>
    <w:rsid w:val="00CE63FE"/>
    <w:rsid w:val="00CE6B10"/>
    <w:rsid w:val="00CE6EA3"/>
    <w:rsid w:val="00CE6FAC"/>
    <w:rsid w:val="00CE7201"/>
    <w:rsid w:val="00CE74F5"/>
    <w:rsid w:val="00CE76C2"/>
    <w:rsid w:val="00CE7866"/>
    <w:rsid w:val="00CE788B"/>
    <w:rsid w:val="00CE7A78"/>
    <w:rsid w:val="00CE7B18"/>
    <w:rsid w:val="00CE7CF2"/>
    <w:rsid w:val="00CE7FBF"/>
    <w:rsid w:val="00CF005B"/>
    <w:rsid w:val="00CF00BA"/>
    <w:rsid w:val="00CF02ED"/>
    <w:rsid w:val="00CF03E4"/>
    <w:rsid w:val="00CF062C"/>
    <w:rsid w:val="00CF0DD4"/>
    <w:rsid w:val="00CF11B3"/>
    <w:rsid w:val="00CF1348"/>
    <w:rsid w:val="00CF16E0"/>
    <w:rsid w:val="00CF1A9D"/>
    <w:rsid w:val="00CF1CED"/>
    <w:rsid w:val="00CF1D54"/>
    <w:rsid w:val="00CF2288"/>
    <w:rsid w:val="00CF25EA"/>
    <w:rsid w:val="00CF275B"/>
    <w:rsid w:val="00CF289D"/>
    <w:rsid w:val="00CF2EA6"/>
    <w:rsid w:val="00CF2F19"/>
    <w:rsid w:val="00CF30B7"/>
    <w:rsid w:val="00CF31CC"/>
    <w:rsid w:val="00CF32BA"/>
    <w:rsid w:val="00CF3404"/>
    <w:rsid w:val="00CF36F8"/>
    <w:rsid w:val="00CF3887"/>
    <w:rsid w:val="00CF38C6"/>
    <w:rsid w:val="00CF393A"/>
    <w:rsid w:val="00CF3E24"/>
    <w:rsid w:val="00CF3EF7"/>
    <w:rsid w:val="00CF3F3C"/>
    <w:rsid w:val="00CF430D"/>
    <w:rsid w:val="00CF4338"/>
    <w:rsid w:val="00CF4355"/>
    <w:rsid w:val="00CF4650"/>
    <w:rsid w:val="00CF471B"/>
    <w:rsid w:val="00CF47B8"/>
    <w:rsid w:val="00CF49B9"/>
    <w:rsid w:val="00CF4A6B"/>
    <w:rsid w:val="00CF4BCC"/>
    <w:rsid w:val="00CF4CEF"/>
    <w:rsid w:val="00CF4DF3"/>
    <w:rsid w:val="00CF4E74"/>
    <w:rsid w:val="00CF4F2F"/>
    <w:rsid w:val="00CF50B1"/>
    <w:rsid w:val="00CF520F"/>
    <w:rsid w:val="00CF522E"/>
    <w:rsid w:val="00CF5287"/>
    <w:rsid w:val="00CF531A"/>
    <w:rsid w:val="00CF534D"/>
    <w:rsid w:val="00CF53F0"/>
    <w:rsid w:val="00CF549A"/>
    <w:rsid w:val="00CF5C03"/>
    <w:rsid w:val="00CF5CFF"/>
    <w:rsid w:val="00CF5EB5"/>
    <w:rsid w:val="00CF61A5"/>
    <w:rsid w:val="00CF630B"/>
    <w:rsid w:val="00CF6357"/>
    <w:rsid w:val="00CF68A8"/>
    <w:rsid w:val="00CF6AA8"/>
    <w:rsid w:val="00CF6AC2"/>
    <w:rsid w:val="00CF6B1D"/>
    <w:rsid w:val="00CF6BC4"/>
    <w:rsid w:val="00CF6C69"/>
    <w:rsid w:val="00CF6D86"/>
    <w:rsid w:val="00CF6E62"/>
    <w:rsid w:val="00CF70D9"/>
    <w:rsid w:val="00CF7123"/>
    <w:rsid w:val="00CF71ED"/>
    <w:rsid w:val="00CF720D"/>
    <w:rsid w:val="00CF7217"/>
    <w:rsid w:val="00CF729E"/>
    <w:rsid w:val="00CF735F"/>
    <w:rsid w:val="00CF7368"/>
    <w:rsid w:val="00CF7371"/>
    <w:rsid w:val="00CF73F6"/>
    <w:rsid w:val="00CF74EE"/>
    <w:rsid w:val="00CF74F4"/>
    <w:rsid w:val="00CF77C4"/>
    <w:rsid w:val="00CF7840"/>
    <w:rsid w:val="00CF7873"/>
    <w:rsid w:val="00CF7966"/>
    <w:rsid w:val="00CF7C12"/>
    <w:rsid w:val="00CF7D08"/>
    <w:rsid w:val="00CF7F91"/>
    <w:rsid w:val="00D0034F"/>
    <w:rsid w:val="00D005CD"/>
    <w:rsid w:val="00D0066E"/>
    <w:rsid w:val="00D006E2"/>
    <w:rsid w:val="00D009EC"/>
    <w:rsid w:val="00D00A5D"/>
    <w:rsid w:val="00D00C5D"/>
    <w:rsid w:val="00D00E5C"/>
    <w:rsid w:val="00D00E63"/>
    <w:rsid w:val="00D010D8"/>
    <w:rsid w:val="00D01188"/>
    <w:rsid w:val="00D01285"/>
    <w:rsid w:val="00D01449"/>
    <w:rsid w:val="00D017D3"/>
    <w:rsid w:val="00D017FC"/>
    <w:rsid w:val="00D019FC"/>
    <w:rsid w:val="00D01E0B"/>
    <w:rsid w:val="00D01EA1"/>
    <w:rsid w:val="00D01F50"/>
    <w:rsid w:val="00D024F3"/>
    <w:rsid w:val="00D0251A"/>
    <w:rsid w:val="00D02780"/>
    <w:rsid w:val="00D031B2"/>
    <w:rsid w:val="00D032A1"/>
    <w:rsid w:val="00D03326"/>
    <w:rsid w:val="00D0342A"/>
    <w:rsid w:val="00D034B8"/>
    <w:rsid w:val="00D03773"/>
    <w:rsid w:val="00D038F2"/>
    <w:rsid w:val="00D03AC6"/>
    <w:rsid w:val="00D03CB3"/>
    <w:rsid w:val="00D03CDA"/>
    <w:rsid w:val="00D03EAE"/>
    <w:rsid w:val="00D03FB8"/>
    <w:rsid w:val="00D043BA"/>
    <w:rsid w:val="00D0443E"/>
    <w:rsid w:val="00D044BE"/>
    <w:rsid w:val="00D04752"/>
    <w:rsid w:val="00D047FA"/>
    <w:rsid w:val="00D047FB"/>
    <w:rsid w:val="00D04894"/>
    <w:rsid w:val="00D04997"/>
    <w:rsid w:val="00D04A3B"/>
    <w:rsid w:val="00D04AFD"/>
    <w:rsid w:val="00D04CCF"/>
    <w:rsid w:val="00D05131"/>
    <w:rsid w:val="00D051C3"/>
    <w:rsid w:val="00D051D3"/>
    <w:rsid w:val="00D052F1"/>
    <w:rsid w:val="00D05331"/>
    <w:rsid w:val="00D054E0"/>
    <w:rsid w:val="00D05584"/>
    <w:rsid w:val="00D0571F"/>
    <w:rsid w:val="00D057C4"/>
    <w:rsid w:val="00D058C7"/>
    <w:rsid w:val="00D05905"/>
    <w:rsid w:val="00D05949"/>
    <w:rsid w:val="00D05E87"/>
    <w:rsid w:val="00D06698"/>
    <w:rsid w:val="00D06DB9"/>
    <w:rsid w:val="00D06E25"/>
    <w:rsid w:val="00D06E4E"/>
    <w:rsid w:val="00D06FAA"/>
    <w:rsid w:val="00D070A8"/>
    <w:rsid w:val="00D07569"/>
    <w:rsid w:val="00D07993"/>
    <w:rsid w:val="00D07B5E"/>
    <w:rsid w:val="00D07B86"/>
    <w:rsid w:val="00D07E22"/>
    <w:rsid w:val="00D10008"/>
    <w:rsid w:val="00D10359"/>
    <w:rsid w:val="00D10695"/>
    <w:rsid w:val="00D10A93"/>
    <w:rsid w:val="00D10AC0"/>
    <w:rsid w:val="00D10C61"/>
    <w:rsid w:val="00D10C7E"/>
    <w:rsid w:val="00D10CAF"/>
    <w:rsid w:val="00D10D1F"/>
    <w:rsid w:val="00D10F10"/>
    <w:rsid w:val="00D10F42"/>
    <w:rsid w:val="00D10F69"/>
    <w:rsid w:val="00D110F8"/>
    <w:rsid w:val="00D111E7"/>
    <w:rsid w:val="00D11269"/>
    <w:rsid w:val="00D11358"/>
    <w:rsid w:val="00D113BC"/>
    <w:rsid w:val="00D1149C"/>
    <w:rsid w:val="00D114AC"/>
    <w:rsid w:val="00D11764"/>
    <w:rsid w:val="00D11798"/>
    <w:rsid w:val="00D11ABA"/>
    <w:rsid w:val="00D11C16"/>
    <w:rsid w:val="00D11C28"/>
    <w:rsid w:val="00D11EBE"/>
    <w:rsid w:val="00D11F47"/>
    <w:rsid w:val="00D121C5"/>
    <w:rsid w:val="00D12265"/>
    <w:rsid w:val="00D122E2"/>
    <w:rsid w:val="00D12398"/>
    <w:rsid w:val="00D1250E"/>
    <w:rsid w:val="00D12627"/>
    <w:rsid w:val="00D12BB5"/>
    <w:rsid w:val="00D12D13"/>
    <w:rsid w:val="00D12E42"/>
    <w:rsid w:val="00D12E96"/>
    <w:rsid w:val="00D1304C"/>
    <w:rsid w:val="00D13549"/>
    <w:rsid w:val="00D136EE"/>
    <w:rsid w:val="00D13C82"/>
    <w:rsid w:val="00D13E8E"/>
    <w:rsid w:val="00D13ECD"/>
    <w:rsid w:val="00D13F9C"/>
    <w:rsid w:val="00D140EF"/>
    <w:rsid w:val="00D1412A"/>
    <w:rsid w:val="00D14161"/>
    <w:rsid w:val="00D14335"/>
    <w:rsid w:val="00D143C9"/>
    <w:rsid w:val="00D1456D"/>
    <w:rsid w:val="00D14617"/>
    <w:rsid w:val="00D1473B"/>
    <w:rsid w:val="00D14771"/>
    <w:rsid w:val="00D14867"/>
    <w:rsid w:val="00D14B93"/>
    <w:rsid w:val="00D14DA3"/>
    <w:rsid w:val="00D14DD3"/>
    <w:rsid w:val="00D14E53"/>
    <w:rsid w:val="00D14F0E"/>
    <w:rsid w:val="00D1510A"/>
    <w:rsid w:val="00D1511E"/>
    <w:rsid w:val="00D153DF"/>
    <w:rsid w:val="00D15425"/>
    <w:rsid w:val="00D154B4"/>
    <w:rsid w:val="00D1571C"/>
    <w:rsid w:val="00D1579E"/>
    <w:rsid w:val="00D15807"/>
    <w:rsid w:val="00D1580F"/>
    <w:rsid w:val="00D159F0"/>
    <w:rsid w:val="00D15B59"/>
    <w:rsid w:val="00D15F84"/>
    <w:rsid w:val="00D160E4"/>
    <w:rsid w:val="00D1636C"/>
    <w:rsid w:val="00D16397"/>
    <w:rsid w:val="00D163BC"/>
    <w:rsid w:val="00D16651"/>
    <w:rsid w:val="00D16828"/>
    <w:rsid w:val="00D16854"/>
    <w:rsid w:val="00D168EF"/>
    <w:rsid w:val="00D16B88"/>
    <w:rsid w:val="00D16DA4"/>
    <w:rsid w:val="00D16E29"/>
    <w:rsid w:val="00D16EED"/>
    <w:rsid w:val="00D174F4"/>
    <w:rsid w:val="00D17513"/>
    <w:rsid w:val="00D17634"/>
    <w:rsid w:val="00D177FD"/>
    <w:rsid w:val="00D17A1C"/>
    <w:rsid w:val="00D17B2F"/>
    <w:rsid w:val="00D17D97"/>
    <w:rsid w:val="00D17F8F"/>
    <w:rsid w:val="00D2007A"/>
    <w:rsid w:val="00D20208"/>
    <w:rsid w:val="00D2035A"/>
    <w:rsid w:val="00D2037D"/>
    <w:rsid w:val="00D2056E"/>
    <w:rsid w:val="00D20622"/>
    <w:rsid w:val="00D20B56"/>
    <w:rsid w:val="00D20CB8"/>
    <w:rsid w:val="00D20D31"/>
    <w:rsid w:val="00D2101D"/>
    <w:rsid w:val="00D214BD"/>
    <w:rsid w:val="00D21646"/>
    <w:rsid w:val="00D2195D"/>
    <w:rsid w:val="00D21AE8"/>
    <w:rsid w:val="00D21F2F"/>
    <w:rsid w:val="00D222A8"/>
    <w:rsid w:val="00D22352"/>
    <w:rsid w:val="00D223CE"/>
    <w:rsid w:val="00D223E4"/>
    <w:rsid w:val="00D224BD"/>
    <w:rsid w:val="00D224F6"/>
    <w:rsid w:val="00D225FC"/>
    <w:rsid w:val="00D22B08"/>
    <w:rsid w:val="00D23082"/>
    <w:rsid w:val="00D2309B"/>
    <w:rsid w:val="00D23104"/>
    <w:rsid w:val="00D23156"/>
    <w:rsid w:val="00D2345F"/>
    <w:rsid w:val="00D236F0"/>
    <w:rsid w:val="00D239CF"/>
    <w:rsid w:val="00D23B13"/>
    <w:rsid w:val="00D23DA7"/>
    <w:rsid w:val="00D23DBB"/>
    <w:rsid w:val="00D23E7E"/>
    <w:rsid w:val="00D23E9A"/>
    <w:rsid w:val="00D24186"/>
    <w:rsid w:val="00D24300"/>
    <w:rsid w:val="00D24747"/>
    <w:rsid w:val="00D2477D"/>
    <w:rsid w:val="00D248A9"/>
    <w:rsid w:val="00D24958"/>
    <w:rsid w:val="00D2498A"/>
    <w:rsid w:val="00D24BCE"/>
    <w:rsid w:val="00D24BD1"/>
    <w:rsid w:val="00D24C4F"/>
    <w:rsid w:val="00D2510C"/>
    <w:rsid w:val="00D251CE"/>
    <w:rsid w:val="00D2521E"/>
    <w:rsid w:val="00D25268"/>
    <w:rsid w:val="00D255B5"/>
    <w:rsid w:val="00D25783"/>
    <w:rsid w:val="00D257B2"/>
    <w:rsid w:val="00D2583C"/>
    <w:rsid w:val="00D25A39"/>
    <w:rsid w:val="00D25BB0"/>
    <w:rsid w:val="00D25C26"/>
    <w:rsid w:val="00D25D29"/>
    <w:rsid w:val="00D261C0"/>
    <w:rsid w:val="00D2621D"/>
    <w:rsid w:val="00D26253"/>
    <w:rsid w:val="00D262FF"/>
    <w:rsid w:val="00D26399"/>
    <w:rsid w:val="00D264F0"/>
    <w:rsid w:val="00D265A3"/>
    <w:rsid w:val="00D269DB"/>
    <w:rsid w:val="00D26ACA"/>
    <w:rsid w:val="00D270FB"/>
    <w:rsid w:val="00D274EC"/>
    <w:rsid w:val="00D2770A"/>
    <w:rsid w:val="00D27E31"/>
    <w:rsid w:val="00D27ECC"/>
    <w:rsid w:val="00D30361"/>
    <w:rsid w:val="00D304BF"/>
    <w:rsid w:val="00D30632"/>
    <w:rsid w:val="00D30A09"/>
    <w:rsid w:val="00D30AA2"/>
    <w:rsid w:val="00D30ADC"/>
    <w:rsid w:val="00D30ED1"/>
    <w:rsid w:val="00D31058"/>
    <w:rsid w:val="00D31131"/>
    <w:rsid w:val="00D3114B"/>
    <w:rsid w:val="00D311F4"/>
    <w:rsid w:val="00D3123D"/>
    <w:rsid w:val="00D317A1"/>
    <w:rsid w:val="00D318A8"/>
    <w:rsid w:val="00D31AD7"/>
    <w:rsid w:val="00D31B2B"/>
    <w:rsid w:val="00D320E7"/>
    <w:rsid w:val="00D32269"/>
    <w:rsid w:val="00D326F6"/>
    <w:rsid w:val="00D32720"/>
    <w:rsid w:val="00D32804"/>
    <w:rsid w:val="00D32CC9"/>
    <w:rsid w:val="00D32CE9"/>
    <w:rsid w:val="00D32DAF"/>
    <w:rsid w:val="00D32EBD"/>
    <w:rsid w:val="00D3312E"/>
    <w:rsid w:val="00D33469"/>
    <w:rsid w:val="00D335B1"/>
    <w:rsid w:val="00D33607"/>
    <w:rsid w:val="00D3360D"/>
    <w:rsid w:val="00D336B1"/>
    <w:rsid w:val="00D33831"/>
    <w:rsid w:val="00D33946"/>
    <w:rsid w:val="00D33BFA"/>
    <w:rsid w:val="00D33C32"/>
    <w:rsid w:val="00D33CEE"/>
    <w:rsid w:val="00D33D2A"/>
    <w:rsid w:val="00D33D7B"/>
    <w:rsid w:val="00D33ED4"/>
    <w:rsid w:val="00D33F9F"/>
    <w:rsid w:val="00D34069"/>
    <w:rsid w:val="00D340F4"/>
    <w:rsid w:val="00D34128"/>
    <w:rsid w:val="00D341D5"/>
    <w:rsid w:val="00D34281"/>
    <w:rsid w:val="00D3443F"/>
    <w:rsid w:val="00D344DB"/>
    <w:rsid w:val="00D3457F"/>
    <w:rsid w:val="00D3459F"/>
    <w:rsid w:val="00D3460C"/>
    <w:rsid w:val="00D34900"/>
    <w:rsid w:val="00D34A4C"/>
    <w:rsid w:val="00D34DA3"/>
    <w:rsid w:val="00D34DB8"/>
    <w:rsid w:val="00D34E4F"/>
    <w:rsid w:val="00D3501A"/>
    <w:rsid w:val="00D35237"/>
    <w:rsid w:val="00D353C2"/>
    <w:rsid w:val="00D357E7"/>
    <w:rsid w:val="00D35986"/>
    <w:rsid w:val="00D35A5A"/>
    <w:rsid w:val="00D35B95"/>
    <w:rsid w:val="00D35D43"/>
    <w:rsid w:val="00D35DF2"/>
    <w:rsid w:val="00D35EE0"/>
    <w:rsid w:val="00D35EF1"/>
    <w:rsid w:val="00D35F1D"/>
    <w:rsid w:val="00D360D7"/>
    <w:rsid w:val="00D360F2"/>
    <w:rsid w:val="00D36641"/>
    <w:rsid w:val="00D36A74"/>
    <w:rsid w:val="00D36B73"/>
    <w:rsid w:val="00D36D79"/>
    <w:rsid w:val="00D36DAD"/>
    <w:rsid w:val="00D36EB9"/>
    <w:rsid w:val="00D36FBB"/>
    <w:rsid w:val="00D3701E"/>
    <w:rsid w:val="00D37189"/>
    <w:rsid w:val="00D3723D"/>
    <w:rsid w:val="00D3728F"/>
    <w:rsid w:val="00D372C5"/>
    <w:rsid w:val="00D37385"/>
    <w:rsid w:val="00D37459"/>
    <w:rsid w:val="00D3750A"/>
    <w:rsid w:val="00D377F6"/>
    <w:rsid w:val="00D3794D"/>
    <w:rsid w:val="00D37F45"/>
    <w:rsid w:val="00D37F92"/>
    <w:rsid w:val="00D37FD7"/>
    <w:rsid w:val="00D400B9"/>
    <w:rsid w:val="00D40115"/>
    <w:rsid w:val="00D4040A"/>
    <w:rsid w:val="00D404DA"/>
    <w:rsid w:val="00D4085A"/>
    <w:rsid w:val="00D409B9"/>
    <w:rsid w:val="00D40B87"/>
    <w:rsid w:val="00D40F1A"/>
    <w:rsid w:val="00D412D0"/>
    <w:rsid w:val="00D41351"/>
    <w:rsid w:val="00D41662"/>
    <w:rsid w:val="00D417B8"/>
    <w:rsid w:val="00D41897"/>
    <w:rsid w:val="00D418A4"/>
    <w:rsid w:val="00D41B67"/>
    <w:rsid w:val="00D41CBD"/>
    <w:rsid w:val="00D41DBD"/>
    <w:rsid w:val="00D41DCD"/>
    <w:rsid w:val="00D41E00"/>
    <w:rsid w:val="00D41E70"/>
    <w:rsid w:val="00D41FAB"/>
    <w:rsid w:val="00D42096"/>
    <w:rsid w:val="00D4230C"/>
    <w:rsid w:val="00D4231B"/>
    <w:rsid w:val="00D4267D"/>
    <w:rsid w:val="00D426C8"/>
    <w:rsid w:val="00D4292A"/>
    <w:rsid w:val="00D42AC9"/>
    <w:rsid w:val="00D42B49"/>
    <w:rsid w:val="00D42ECE"/>
    <w:rsid w:val="00D4323B"/>
    <w:rsid w:val="00D434AE"/>
    <w:rsid w:val="00D4358F"/>
    <w:rsid w:val="00D436BB"/>
    <w:rsid w:val="00D436F1"/>
    <w:rsid w:val="00D43853"/>
    <w:rsid w:val="00D43A9E"/>
    <w:rsid w:val="00D43C04"/>
    <w:rsid w:val="00D43EB3"/>
    <w:rsid w:val="00D44056"/>
    <w:rsid w:val="00D4409E"/>
    <w:rsid w:val="00D44382"/>
    <w:rsid w:val="00D443F6"/>
    <w:rsid w:val="00D44502"/>
    <w:rsid w:val="00D4496B"/>
    <w:rsid w:val="00D44EE7"/>
    <w:rsid w:val="00D45106"/>
    <w:rsid w:val="00D451C8"/>
    <w:rsid w:val="00D45278"/>
    <w:rsid w:val="00D454D3"/>
    <w:rsid w:val="00D454F3"/>
    <w:rsid w:val="00D4559C"/>
    <w:rsid w:val="00D4573E"/>
    <w:rsid w:val="00D45771"/>
    <w:rsid w:val="00D458E5"/>
    <w:rsid w:val="00D45927"/>
    <w:rsid w:val="00D459FC"/>
    <w:rsid w:val="00D45A41"/>
    <w:rsid w:val="00D45C3D"/>
    <w:rsid w:val="00D45D38"/>
    <w:rsid w:val="00D4624A"/>
    <w:rsid w:val="00D46276"/>
    <w:rsid w:val="00D46289"/>
    <w:rsid w:val="00D463AA"/>
    <w:rsid w:val="00D4640A"/>
    <w:rsid w:val="00D4643A"/>
    <w:rsid w:val="00D4643E"/>
    <w:rsid w:val="00D464D6"/>
    <w:rsid w:val="00D4652D"/>
    <w:rsid w:val="00D46562"/>
    <w:rsid w:val="00D4666D"/>
    <w:rsid w:val="00D46965"/>
    <w:rsid w:val="00D46A0E"/>
    <w:rsid w:val="00D46A65"/>
    <w:rsid w:val="00D46C51"/>
    <w:rsid w:val="00D46C54"/>
    <w:rsid w:val="00D46FB3"/>
    <w:rsid w:val="00D47233"/>
    <w:rsid w:val="00D4726B"/>
    <w:rsid w:val="00D47278"/>
    <w:rsid w:val="00D47293"/>
    <w:rsid w:val="00D47442"/>
    <w:rsid w:val="00D475A5"/>
    <w:rsid w:val="00D47657"/>
    <w:rsid w:val="00D47698"/>
    <w:rsid w:val="00D476C6"/>
    <w:rsid w:val="00D477AA"/>
    <w:rsid w:val="00D47A91"/>
    <w:rsid w:val="00D47BE1"/>
    <w:rsid w:val="00D47C3C"/>
    <w:rsid w:val="00D47CA6"/>
    <w:rsid w:val="00D47E41"/>
    <w:rsid w:val="00D47E45"/>
    <w:rsid w:val="00D47F58"/>
    <w:rsid w:val="00D50186"/>
    <w:rsid w:val="00D5021C"/>
    <w:rsid w:val="00D5036D"/>
    <w:rsid w:val="00D5052E"/>
    <w:rsid w:val="00D50578"/>
    <w:rsid w:val="00D50A19"/>
    <w:rsid w:val="00D50EE8"/>
    <w:rsid w:val="00D51180"/>
    <w:rsid w:val="00D51370"/>
    <w:rsid w:val="00D51374"/>
    <w:rsid w:val="00D513D2"/>
    <w:rsid w:val="00D514D9"/>
    <w:rsid w:val="00D515CB"/>
    <w:rsid w:val="00D51663"/>
    <w:rsid w:val="00D51A02"/>
    <w:rsid w:val="00D51C58"/>
    <w:rsid w:val="00D51FC0"/>
    <w:rsid w:val="00D520E8"/>
    <w:rsid w:val="00D524E4"/>
    <w:rsid w:val="00D524E6"/>
    <w:rsid w:val="00D52550"/>
    <w:rsid w:val="00D525DF"/>
    <w:rsid w:val="00D52823"/>
    <w:rsid w:val="00D5296D"/>
    <w:rsid w:val="00D5299A"/>
    <w:rsid w:val="00D52E91"/>
    <w:rsid w:val="00D52E92"/>
    <w:rsid w:val="00D532B2"/>
    <w:rsid w:val="00D532F9"/>
    <w:rsid w:val="00D53370"/>
    <w:rsid w:val="00D53582"/>
    <w:rsid w:val="00D53638"/>
    <w:rsid w:val="00D53672"/>
    <w:rsid w:val="00D53713"/>
    <w:rsid w:val="00D53722"/>
    <w:rsid w:val="00D53A1E"/>
    <w:rsid w:val="00D53BA0"/>
    <w:rsid w:val="00D53FC5"/>
    <w:rsid w:val="00D54131"/>
    <w:rsid w:val="00D5427C"/>
    <w:rsid w:val="00D5430F"/>
    <w:rsid w:val="00D54373"/>
    <w:rsid w:val="00D543CB"/>
    <w:rsid w:val="00D544DD"/>
    <w:rsid w:val="00D54729"/>
    <w:rsid w:val="00D5507C"/>
    <w:rsid w:val="00D551D7"/>
    <w:rsid w:val="00D55441"/>
    <w:rsid w:val="00D554F7"/>
    <w:rsid w:val="00D55636"/>
    <w:rsid w:val="00D55732"/>
    <w:rsid w:val="00D558FF"/>
    <w:rsid w:val="00D55C8C"/>
    <w:rsid w:val="00D55D7E"/>
    <w:rsid w:val="00D55E47"/>
    <w:rsid w:val="00D56082"/>
    <w:rsid w:val="00D5616B"/>
    <w:rsid w:val="00D56491"/>
    <w:rsid w:val="00D56790"/>
    <w:rsid w:val="00D56956"/>
    <w:rsid w:val="00D56BC2"/>
    <w:rsid w:val="00D56C4C"/>
    <w:rsid w:val="00D56D80"/>
    <w:rsid w:val="00D56DB7"/>
    <w:rsid w:val="00D56E13"/>
    <w:rsid w:val="00D56E71"/>
    <w:rsid w:val="00D57069"/>
    <w:rsid w:val="00D57166"/>
    <w:rsid w:val="00D5717B"/>
    <w:rsid w:val="00D5725B"/>
    <w:rsid w:val="00D572CD"/>
    <w:rsid w:val="00D57387"/>
    <w:rsid w:val="00D573C2"/>
    <w:rsid w:val="00D574AF"/>
    <w:rsid w:val="00D5755B"/>
    <w:rsid w:val="00D5758F"/>
    <w:rsid w:val="00D575A9"/>
    <w:rsid w:val="00D57643"/>
    <w:rsid w:val="00D57861"/>
    <w:rsid w:val="00D5788B"/>
    <w:rsid w:val="00D57C54"/>
    <w:rsid w:val="00D57D6B"/>
    <w:rsid w:val="00D57E21"/>
    <w:rsid w:val="00D600D8"/>
    <w:rsid w:val="00D60316"/>
    <w:rsid w:val="00D604DF"/>
    <w:rsid w:val="00D605D3"/>
    <w:rsid w:val="00D60612"/>
    <w:rsid w:val="00D60695"/>
    <w:rsid w:val="00D607C3"/>
    <w:rsid w:val="00D609C9"/>
    <w:rsid w:val="00D60BEF"/>
    <w:rsid w:val="00D60C43"/>
    <w:rsid w:val="00D60FF2"/>
    <w:rsid w:val="00D611A6"/>
    <w:rsid w:val="00D613B6"/>
    <w:rsid w:val="00D614ED"/>
    <w:rsid w:val="00D61CB0"/>
    <w:rsid w:val="00D61D63"/>
    <w:rsid w:val="00D61FAE"/>
    <w:rsid w:val="00D6203F"/>
    <w:rsid w:val="00D62274"/>
    <w:rsid w:val="00D62313"/>
    <w:rsid w:val="00D62323"/>
    <w:rsid w:val="00D62338"/>
    <w:rsid w:val="00D62363"/>
    <w:rsid w:val="00D623A3"/>
    <w:rsid w:val="00D623F6"/>
    <w:rsid w:val="00D62543"/>
    <w:rsid w:val="00D62568"/>
    <w:rsid w:val="00D62589"/>
    <w:rsid w:val="00D62661"/>
    <w:rsid w:val="00D62783"/>
    <w:rsid w:val="00D62831"/>
    <w:rsid w:val="00D629A8"/>
    <w:rsid w:val="00D62AB9"/>
    <w:rsid w:val="00D62B2C"/>
    <w:rsid w:val="00D62F21"/>
    <w:rsid w:val="00D62F95"/>
    <w:rsid w:val="00D630D4"/>
    <w:rsid w:val="00D631CC"/>
    <w:rsid w:val="00D63252"/>
    <w:rsid w:val="00D634F9"/>
    <w:rsid w:val="00D637C1"/>
    <w:rsid w:val="00D63889"/>
    <w:rsid w:val="00D6391F"/>
    <w:rsid w:val="00D63BE0"/>
    <w:rsid w:val="00D63DDC"/>
    <w:rsid w:val="00D63DEA"/>
    <w:rsid w:val="00D64077"/>
    <w:rsid w:val="00D64346"/>
    <w:rsid w:val="00D645ED"/>
    <w:rsid w:val="00D64679"/>
    <w:rsid w:val="00D6469F"/>
    <w:rsid w:val="00D647CA"/>
    <w:rsid w:val="00D64ADF"/>
    <w:rsid w:val="00D64C2D"/>
    <w:rsid w:val="00D64CB7"/>
    <w:rsid w:val="00D64F61"/>
    <w:rsid w:val="00D65076"/>
    <w:rsid w:val="00D6513F"/>
    <w:rsid w:val="00D65165"/>
    <w:rsid w:val="00D6537F"/>
    <w:rsid w:val="00D653CB"/>
    <w:rsid w:val="00D653D2"/>
    <w:rsid w:val="00D653EA"/>
    <w:rsid w:val="00D658DF"/>
    <w:rsid w:val="00D65A2E"/>
    <w:rsid w:val="00D65B69"/>
    <w:rsid w:val="00D65EC4"/>
    <w:rsid w:val="00D66337"/>
    <w:rsid w:val="00D6659E"/>
    <w:rsid w:val="00D666C2"/>
    <w:rsid w:val="00D66B13"/>
    <w:rsid w:val="00D66B15"/>
    <w:rsid w:val="00D66C7E"/>
    <w:rsid w:val="00D66E04"/>
    <w:rsid w:val="00D66EAF"/>
    <w:rsid w:val="00D66EBE"/>
    <w:rsid w:val="00D672E5"/>
    <w:rsid w:val="00D67696"/>
    <w:rsid w:val="00D676BB"/>
    <w:rsid w:val="00D676C2"/>
    <w:rsid w:val="00D679A4"/>
    <w:rsid w:val="00D67A40"/>
    <w:rsid w:val="00D67A76"/>
    <w:rsid w:val="00D67AAF"/>
    <w:rsid w:val="00D67BC2"/>
    <w:rsid w:val="00D67CD8"/>
    <w:rsid w:val="00D67D8A"/>
    <w:rsid w:val="00D67E7D"/>
    <w:rsid w:val="00D7009F"/>
    <w:rsid w:val="00D70269"/>
    <w:rsid w:val="00D7033A"/>
    <w:rsid w:val="00D7039E"/>
    <w:rsid w:val="00D703AF"/>
    <w:rsid w:val="00D705E8"/>
    <w:rsid w:val="00D707AB"/>
    <w:rsid w:val="00D70A2B"/>
    <w:rsid w:val="00D70A45"/>
    <w:rsid w:val="00D70AC2"/>
    <w:rsid w:val="00D70B19"/>
    <w:rsid w:val="00D70F9A"/>
    <w:rsid w:val="00D710CE"/>
    <w:rsid w:val="00D712EB"/>
    <w:rsid w:val="00D71324"/>
    <w:rsid w:val="00D71495"/>
    <w:rsid w:val="00D7153A"/>
    <w:rsid w:val="00D715F9"/>
    <w:rsid w:val="00D7169A"/>
    <w:rsid w:val="00D717CD"/>
    <w:rsid w:val="00D71D04"/>
    <w:rsid w:val="00D71E29"/>
    <w:rsid w:val="00D71FF7"/>
    <w:rsid w:val="00D71FFE"/>
    <w:rsid w:val="00D7210C"/>
    <w:rsid w:val="00D723D2"/>
    <w:rsid w:val="00D72418"/>
    <w:rsid w:val="00D725AF"/>
    <w:rsid w:val="00D72837"/>
    <w:rsid w:val="00D72880"/>
    <w:rsid w:val="00D72964"/>
    <w:rsid w:val="00D729A3"/>
    <w:rsid w:val="00D72ABC"/>
    <w:rsid w:val="00D72C9F"/>
    <w:rsid w:val="00D72CC9"/>
    <w:rsid w:val="00D72D5D"/>
    <w:rsid w:val="00D72DB2"/>
    <w:rsid w:val="00D72E42"/>
    <w:rsid w:val="00D73042"/>
    <w:rsid w:val="00D731B0"/>
    <w:rsid w:val="00D73A34"/>
    <w:rsid w:val="00D73AE5"/>
    <w:rsid w:val="00D73B3D"/>
    <w:rsid w:val="00D73B49"/>
    <w:rsid w:val="00D73D51"/>
    <w:rsid w:val="00D73D61"/>
    <w:rsid w:val="00D73D90"/>
    <w:rsid w:val="00D73EAE"/>
    <w:rsid w:val="00D73ED9"/>
    <w:rsid w:val="00D73F28"/>
    <w:rsid w:val="00D74344"/>
    <w:rsid w:val="00D743D4"/>
    <w:rsid w:val="00D7445B"/>
    <w:rsid w:val="00D74558"/>
    <w:rsid w:val="00D74699"/>
    <w:rsid w:val="00D74A38"/>
    <w:rsid w:val="00D74DAD"/>
    <w:rsid w:val="00D75144"/>
    <w:rsid w:val="00D7522F"/>
    <w:rsid w:val="00D752BC"/>
    <w:rsid w:val="00D75510"/>
    <w:rsid w:val="00D7585C"/>
    <w:rsid w:val="00D75F06"/>
    <w:rsid w:val="00D76099"/>
    <w:rsid w:val="00D760FE"/>
    <w:rsid w:val="00D7629C"/>
    <w:rsid w:val="00D762CE"/>
    <w:rsid w:val="00D76520"/>
    <w:rsid w:val="00D766E9"/>
    <w:rsid w:val="00D7673D"/>
    <w:rsid w:val="00D76AD3"/>
    <w:rsid w:val="00D76B7F"/>
    <w:rsid w:val="00D76DCD"/>
    <w:rsid w:val="00D770E2"/>
    <w:rsid w:val="00D7722F"/>
    <w:rsid w:val="00D772E0"/>
    <w:rsid w:val="00D77304"/>
    <w:rsid w:val="00D773D1"/>
    <w:rsid w:val="00D77411"/>
    <w:rsid w:val="00D77493"/>
    <w:rsid w:val="00D774AD"/>
    <w:rsid w:val="00D77544"/>
    <w:rsid w:val="00D77A06"/>
    <w:rsid w:val="00D77E46"/>
    <w:rsid w:val="00D77E7B"/>
    <w:rsid w:val="00D77F18"/>
    <w:rsid w:val="00D80223"/>
    <w:rsid w:val="00D802C1"/>
    <w:rsid w:val="00D802E2"/>
    <w:rsid w:val="00D8044D"/>
    <w:rsid w:val="00D8057F"/>
    <w:rsid w:val="00D8088E"/>
    <w:rsid w:val="00D80B9E"/>
    <w:rsid w:val="00D80D3E"/>
    <w:rsid w:val="00D80E0A"/>
    <w:rsid w:val="00D80F06"/>
    <w:rsid w:val="00D80F43"/>
    <w:rsid w:val="00D8112A"/>
    <w:rsid w:val="00D8127C"/>
    <w:rsid w:val="00D81358"/>
    <w:rsid w:val="00D814EB"/>
    <w:rsid w:val="00D81953"/>
    <w:rsid w:val="00D81CAE"/>
    <w:rsid w:val="00D81CBB"/>
    <w:rsid w:val="00D81FE4"/>
    <w:rsid w:val="00D82041"/>
    <w:rsid w:val="00D8214B"/>
    <w:rsid w:val="00D82187"/>
    <w:rsid w:val="00D822D6"/>
    <w:rsid w:val="00D82456"/>
    <w:rsid w:val="00D82554"/>
    <w:rsid w:val="00D8255D"/>
    <w:rsid w:val="00D825A2"/>
    <w:rsid w:val="00D827F4"/>
    <w:rsid w:val="00D828A4"/>
    <w:rsid w:val="00D8296F"/>
    <w:rsid w:val="00D82A65"/>
    <w:rsid w:val="00D82C39"/>
    <w:rsid w:val="00D82D89"/>
    <w:rsid w:val="00D82E6E"/>
    <w:rsid w:val="00D82EAB"/>
    <w:rsid w:val="00D83145"/>
    <w:rsid w:val="00D831CD"/>
    <w:rsid w:val="00D8346C"/>
    <w:rsid w:val="00D835EC"/>
    <w:rsid w:val="00D8378B"/>
    <w:rsid w:val="00D83877"/>
    <w:rsid w:val="00D838A3"/>
    <w:rsid w:val="00D83A1A"/>
    <w:rsid w:val="00D83B5C"/>
    <w:rsid w:val="00D83B5F"/>
    <w:rsid w:val="00D83D41"/>
    <w:rsid w:val="00D83DC1"/>
    <w:rsid w:val="00D842CB"/>
    <w:rsid w:val="00D8462B"/>
    <w:rsid w:val="00D84681"/>
    <w:rsid w:val="00D847B7"/>
    <w:rsid w:val="00D84AF2"/>
    <w:rsid w:val="00D84AFC"/>
    <w:rsid w:val="00D84D8C"/>
    <w:rsid w:val="00D85191"/>
    <w:rsid w:val="00D8527A"/>
    <w:rsid w:val="00D853EA"/>
    <w:rsid w:val="00D85C10"/>
    <w:rsid w:val="00D85C88"/>
    <w:rsid w:val="00D85EE3"/>
    <w:rsid w:val="00D860A2"/>
    <w:rsid w:val="00D86194"/>
    <w:rsid w:val="00D8623C"/>
    <w:rsid w:val="00D863DE"/>
    <w:rsid w:val="00D8642B"/>
    <w:rsid w:val="00D865B4"/>
    <w:rsid w:val="00D866C9"/>
    <w:rsid w:val="00D867BF"/>
    <w:rsid w:val="00D869A1"/>
    <w:rsid w:val="00D86F52"/>
    <w:rsid w:val="00D8702A"/>
    <w:rsid w:val="00D8704B"/>
    <w:rsid w:val="00D87058"/>
    <w:rsid w:val="00D870ED"/>
    <w:rsid w:val="00D87439"/>
    <w:rsid w:val="00D874B3"/>
    <w:rsid w:val="00D8782E"/>
    <w:rsid w:val="00D87974"/>
    <w:rsid w:val="00D87A06"/>
    <w:rsid w:val="00D87FCF"/>
    <w:rsid w:val="00D87FD1"/>
    <w:rsid w:val="00D905A7"/>
    <w:rsid w:val="00D90699"/>
    <w:rsid w:val="00D90BC3"/>
    <w:rsid w:val="00D90C9D"/>
    <w:rsid w:val="00D90D62"/>
    <w:rsid w:val="00D913BD"/>
    <w:rsid w:val="00D913FB"/>
    <w:rsid w:val="00D9154A"/>
    <w:rsid w:val="00D915E1"/>
    <w:rsid w:val="00D91612"/>
    <w:rsid w:val="00D916C7"/>
    <w:rsid w:val="00D9170E"/>
    <w:rsid w:val="00D917D1"/>
    <w:rsid w:val="00D917F6"/>
    <w:rsid w:val="00D91990"/>
    <w:rsid w:val="00D91B82"/>
    <w:rsid w:val="00D91F54"/>
    <w:rsid w:val="00D921BB"/>
    <w:rsid w:val="00D92489"/>
    <w:rsid w:val="00D924F8"/>
    <w:rsid w:val="00D925C3"/>
    <w:rsid w:val="00D926EE"/>
    <w:rsid w:val="00D92934"/>
    <w:rsid w:val="00D92992"/>
    <w:rsid w:val="00D929CF"/>
    <w:rsid w:val="00D929F9"/>
    <w:rsid w:val="00D92A7E"/>
    <w:rsid w:val="00D92C67"/>
    <w:rsid w:val="00D92D88"/>
    <w:rsid w:val="00D92FA5"/>
    <w:rsid w:val="00D93191"/>
    <w:rsid w:val="00D93308"/>
    <w:rsid w:val="00D93372"/>
    <w:rsid w:val="00D93421"/>
    <w:rsid w:val="00D9358B"/>
    <w:rsid w:val="00D9359E"/>
    <w:rsid w:val="00D935DC"/>
    <w:rsid w:val="00D936D8"/>
    <w:rsid w:val="00D937AC"/>
    <w:rsid w:val="00D9383C"/>
    <w:rsid w:val="00D9384A"/>
    <w:rsid w:val="00D938F3"/>
    <w:rsid w:val="00D93A03"/>
    <w:rsid w:val="00D93AB8"/>
    <w:rsid w:val="00D93B6B"/>
    <w:rsid w:val="00D93E40"/>
    <w:rsid w:val="00D93EBB"/>
    <w:rsid w:val="00D93FC8"/>
    <w:rsid w:val="00D940C5"/>
    <w:rsid w:val="00D940FC"/>
    <w:rsid w:val="00D94362"/>
    <w:rsid w:val="00D944DC"/>
    <w:rsid w:val="00D94682"/>
    <w:rsid w:val="00D9477B"/>
    <w:rsid w:val="00D94788"/>
    <w:rsid w:val="00D948C1"/>
    <w:rsid w:val="00D94A0C"/>
    <w:rsid w:val="00D94CC1"/>
    <w:rsid w:val="00D94CC5"/>
    <w:rsid w:val="00D94D6F"/>
    <w:rsid w:val="00D9508E"/>
    <w:rsid w:val="00D951BD"/>
    <w:rsid w:val="00D9533A"/>
    <w:rsid w:val="00D955C9"/>
    <w:rsid w:val="00D95601"/>
    <w:rsid w:val="00D956C0"/>
    <w:rsid w:val="00D95942"/>
    <w:rsid w:val="00D95A51"/>
    <w:rsid w:val="00D95CB9"/>
    <w:rsid w:val="00D95CDA"/>
    <w:rsid w:val="00D95CF0"/>
    <w:rsid w:val="00D95E56"/>
    <w:rsid w:val="00D95E5E"/>
    <w:rsid w:val="00D9600C"/>
    <w:rsid w:val="00D96249"/>
    <w:rsid w:val="00D96268"/>
    <w:rsid w:val="00D9673C"/>
    <w:rsid w:val="00D9681B"/>
    <w:rsid w:val="00D96964"/>
    <w:rsid w:val="00D9699B"/>
    <w:rsid w:val="00D96A32"/>
    <w:rsid w:val="00D96BE9"/>
    <w:rsid w:val="00D96C2D"/>
    <w:rsid w:val="00D96D1E"/>
    <w:rsid w:val="00D96DEA"/>
    <w:rsid w:val="00D96F15"/>
    <w:rsid w:val="00D973BB"/>
    <w:rsid w:val="00D974D5"/>
    <w:rsid w:val="00D976D0"/>
    <w:rsid w:val="00D977A7"/>
    <w:rsid w:val="00D97E6D"/>
    <w:rsid w:val="00D97FE9"/>
    <w:rsid w:val="00DA0137"/>
    <w:rsid w:val="00DA014E"/>
    <w:rsid w:val="00DA0207"/>
    <w:rsid w:val="00DA043D"/>
    <w:rsid w:val="00DA049D"/>
    <w:rsid w:val="00DA04BD"/>
    <w:rsid w:val="00DA054E"/>
    <w:rsid w:val="00DA0651"/>
    <w:rsid w:val="00DA06BB"/>
    <w:rsid w:val="00DA0722"/>
    <w:rsid w:val="00DA0A8E"/>
    <w:rsid w:val="00DA0AA7"/>
    <w:rsid w:val="00DA0BE2"/>
    <w:rsid w:val="00DA0D5F"/>
    <w:rsid w:val="00DA114F"/>
    <w:rsid w:val="00DA119B"/>
    <w:rsid w:val="00DA144B"/>
    <w:rsid w:val="00DA1545"/>
    <w:rsid w:val="00DA15DC"/>
    <w:rsid w:val="00DA1861"/>
    <w:rsid w:val="00DA1A12"/>
    <w:rsid w:val="00DA1A56"/>
    <w:rsid w:val="00DA1ADF"/>
    <w:rsid w:val="00DA1C24"/>
    <w:rsid w:val="00DA1D3B"/>
    <w:rsid w:val="00DA2013"/>
    <w:rsid w:val="00DA204E"/>
    <w:rsid w:val="00DA2094"/>
    <w:rsid w:val="00DA20FD"/>
    <w:rsid w:val="00DA221A"/>
    <w:rsid w:val="00DA2604"/>
    <w:rsid w:val="00DA2A8F"/>
    <w:rsid w:val="00DA2BBC"/>
    <w:rsid w:val="00DA2EFE"/>
    <w:rsid w:val="00DA3176"/>
    <w:rsid w:val="00DA328A"/>
    <w:rsid w:val="00DA3370"/>
    <w:rsid w:val="00DA352E"/>
    <w:rsid w:val="00DA37CA"/>
    <w:rsid w:val="00DA38FF"/>
    <w:rsid w:val="00DA3901"/>
    <w:rsid w:val="00DA3960"/>
    <w:rsid w:val="00DA3A10"/>
    <w:rsid w:val="00DA3B7D"/>
    <w:rsid w:val="00DA3BF2"/>
    <w:rsid w:val="00DA3C55"/>
    <w:rsid w:val="00DA4094"/>
    <w:rsid w:val="00DA4189"/>
    <w:rsid w:val="00DA41C0"/>
    <w:rsid w:val="00DA45D2"/>
    <w:rsid w:val="00DA46EC"/>
    <w:rsid w:val="00DA4718"/>
    <w:rsid w:val="00DA4896"/>
    <w:rsid w:val="00DA4B09"/>
    <w:rsid w:val="00DA4B44"/>
    <w:rsid w:val="00DA4C3E"/>
    <w:rsid w:val="00DA4E54"/>
    <w:rsid w:val="00DA5459"/>
    <w:rsid w:val="00DA5634"/>
    <w:rsid w:val="00DA5712"/>
    <w:rsid w:val="00DA5C78"/>
    <w:rsid w:val="00DA5DE9"/>
    <w:rsid w:val="00DA5DFE"/>
    <w:rsid w:val="00DA5E02"/>
    <w:rsid w:val="00DA62D0"/>
    <w:rsid w:val="00DA63B7"/>
    <w:rsid w:val="00DA64F1"/>
    <w:rsid w:val="00DA6593"/>
    <w:rsid w:val="00DA660B"/>
    <w:rsid w:val="00DA664A"/>
    <w:rsid w:val="00DA66F6"/>
    <w:rsid w:val="00DA67C5"/>
    <w:rsid w:val="00DA685E"/>
    <w:rsid w:val="00DA6915"/>
    <w:rsid w:val="00DA69A4"/>
    <w:rsid w:val="00DA6A75"/>
    <w:rsid w:val="00DA6B1A"/>
    <w:rsid w:val="00DA6BAB"/>
    <w:rsid w:val="00DA6BBF"/>
    <w:rsid w:val="00DA7190"/>
    <w:rsid w:val="00DA741A"/>
    <w:rsid w:val="00DA74C9"/>
    <w:rsid w:val="00DA77B7"/>
    <w:rsid w:val="00DA7866"/>
    <w:rsid w:val="00DA78E0"/>
    <w:rsid w:val="00DA7949"/>
    <w:rsid w:val="00DA79F8"/>
    <w:rsid w:val="00DA7BC7"/>
    <w:rsid w:val="00DA7CA0"/>
    <w:rsid w:val="00DB028A"/>
    <w:rsid w:val="00DB035C"/>
    <w:rsid w:val="00DB06F7"/>
    <w:rsid w:val="00DB0785"/>
    <w:rsid w:val="00DB07CD"/>
    <w:rsid w:val="00DB0857"/>
    <w:rsid w:val="00DB0BE2"/>
    <w:rsid w:val="00DB0C67"/>
    <w:rsid w:val="00DB0CD3"/>
    <w:rsid w:val="00DB0D4F"/>
    <w:rsid w:val="00DB1026"/>
    <w:rsid w:val="00DB1031"/>
    <w:rsid w:val="00DB10C1"/>
    <w:rsid w:val="00DB138A"/>
    <w:rsid w:val="00DB1485"/>
    <w:rsid w:val="00DB1536"/>
    <w:rsid w:val="00DB1734"/>
    <w:rsid w:val="00DB17F4"/>
    <w:rsid w:val="00DB187A"/>
    <w:rsid w:val="00DB1A6D"/>
    <w:rsid w:val="00DB1AD0"/>
    <w:rsid w:val="00DB1CCC"/>
    <w:rsid w:val="00DB1E76"/>
    <w:rsid w:val="00DB205B"/>
    <w:rsid w:val="00DB2109"/>
    <w:rsid w:val="00DB241D"/>
    <w:rsid w:val="00DB2544"/>
    <w:rsid w:val="00DB28AD"/>
    <w:rsid w:val="00DB28FC"/>
    <w:rsid w:val="00DB2A82"/>
    <w:rsid w:val="00DB2E2E"/>
    <w:rsid w:val="00DB2EE5"/>
    <w:rsid w:val="00DB3073"/>
    <w:rsid w:val="00DB30AB"/>
    <w:rsid w:val="00DB3145"/>
    <w:rsid w:val="00DB33E6"/>
    <w:rsid w:val="00DB3422"/>
    <w:rsid w:val="00DB352E"/>
    <w:rsid w:val="00DB35A1"/>
    <w:rsid w:val="00DB366A"/>
    <w:rsid w:val="00DB36C6"/>
    <w:rsid w:val="00DB3ADF"/>
    <w:rsid w:val="00DB3AF2"/>
    <w:rsid w:val="00DB3C43"/>
    <w:rsid w:val="00DB3C6C"/>
    <w:rsid w:val="00DB3EAD"/>
    <w:rsid w:val="00DB3EBC"/>
    <w:rsid w:val="00DB4000"/>
    <w:rsid w:val="00DB40C5"/>
    <w:rsid w:val="00DB41A0"/>
    <w:rsid w:val="00DB4930"/>
    <w:rsid w:val="00DB4B1B"/>
    <w:rsid w:val="00DB4C49"/>
    <w:rsid w:val="00DB4C93"/>
    <w:rsid w:val="00DB4D7E"/>
    <w:rsid w:val="00DB4DE6"/>
    <w:rsid w:val="00DB4F0E"/>
    <w:rsid w:val="00DB53E1"/>
    <w:rsid w:val="00DB58D0"/>
    <w:rsid w:val="00DB599C"/>
    <w:rsid w:val="00DB59A5"/>
    <w:rsid w:val="00DB59C9"/>
    <w:rsid w:val="00DB5B65"/>
    <w:rsid w:val="00DB5BBB"/>
    <w:rsid w:val="00DB5BDF"/>
    <w:rsid w:val="00DB5BE9"/>
    <w:rsid w:val="00DB5DAE"/>
    <w:rsid w:val="00DB5DC7"/>
    <w:rsid w:val="00DB5E70"/>
    <w:rsid w:val="00DB5F95"/>
    <w:rsid w:val="00DB5FB7"/>
    <w:rsid w:val="00DB5FE9"/>
    <w:rsid w:val="00DB6164"/>
    <w:rsid w:val="00DB653F"/>
    <w:rsid w:val="00DB65BC"/>
    <w:rsid w:val="00DB663E"/>
    <w:rsid w:val="00DB67E1"/>
    <w:rsid w:val="00DB69F5"/>
    <w:rsid w:val="00DB6E7B"/>
    <w:rsid w:val="00DB6F00"/>
    <w:rsid w:val="00DB70FE"/>
    <w:rsid w:val="00DB7124"/>
    <w:rsid w:val="00DB712D"/>
    <w:rsid w:val="00DB744D"/>
    <w:rsid w:val="00DB74A8"/>
    <w:rsid w:val="00DB7534"/>
    <w:rsid w:val="00DB754A"/>
    <w:rsid w:val="00DB767A"/>
    <w:rsid w:val="00DB76B3"/>
    <w:rsid w:val="00DB771A"/>
    <w:rsid w:val="00DB7834"/>
    <w:rsid w:val="00DB7982"/>
    <w:rsid w:val="00DB7987"/>
    <w:rsid w:val="00DB7A5B"/>
    <w:rsid w:val="00DB7B78"/>
    <w:rsid w:val="00DB7C34"/>
    <w:rsid w:val="00DB7EB8"/>
    <w:rsid w:val="00DB7FF6"/>
    <w:rsid w:val="00DC0433"/>
    <w:rsid w:val="00DC0543"/>
    <w:rsid w:val="00DC0665"/>
    <w:rsid w:val="00DC0666"/>
    <w:rsid w:val="00DC0860"/>
    <w:rsid w:val="00DC0C87"/>
    <w:rsid w:val="00DC0DC7"/>
    <w:rsid w:val="00DC0E50"/>
    <w:rsid w:val="00DC0EF5"/>
    <w:rsid w:val="00DC11FE"/>
    <w:rsid w:val="00DC125A"/>
    <w:rsid w:val="00DC13A8"/>
    <w:rsid w:val="00DC1615"/>
    <w:rsid w:val="00DC1722"/>
    <w:rsid w:val="00DC188A"/>
    <w:rsid w:val="00DC18E5"/>
    <w:rsid w:val="00DC19DA"/>
    <w:rsid w:val="00DC1C7F"/>
    <w:rsid w:val="00DC1D10"/>
    <w:rsid w:val="00DC1DF7"/>
    <w:rsid w:val="00DC1EBA"/>
    <w:rsid w:val="00DC1FBA"/>
    <w:rsid w:val="00DC241C"/>
    <w:rsid w:val="00DC24DD"/>
    <w:rsid w:val="00DC256D"/>
    <w:rsid w:val="00DC26AB"/>
    <w:rsid w:val="00DC29CD"/>
    <w:rsid w:val="00DC2A98"/>
    <w:rsid w:val="00DC2AE8"/>
    <w:rsid w:val="00DC2B92"/>
    <w:rsid w:val="00DC2D76"/>
    <w:rsid w:val="00DC2E4B"/>
    <w:rsid w:val="00DC321D"/>
    <w:rsid w:val="00DC330B"/>
    <w:rsid w:val="00DC3440"/>
    <w:rsid w:val="00DC34AE"/>
    <w:rsid w:val="00DC3755"/>
    <w:rsid w:val="00DC377F"/>
    <w:rsid w:val="00DC3964"/>
    <w:rsid w:val="00DC3C37"/>
    <w:rsid w:val="00DC3CFC"/>
    <w:rsid w:val="00DC3E44"/>
    <w:rsid w:val="00DC4075"/>
    <w:rsid w:val="00DC41AB"/>
    <w:rsid w:val="00DC448B"/>
    <w:rsid w:val="00DC455B"/>
    <w:rsid w:val="00DC4B84"/>
    <w:rsid w:val="00DC4CC3"/>
    <w:rsid w:val="00DC4D3D"/>
    <w:rsid w:val="00DC4DDD"/>
    <w:rsid w:val="00DC4F4D"/>
    <w:rsid w:val="00DC505C"/>
    <w:rsid w:val="00DC5186"/>
    <w:rsid w:val="00DC52B1"/>
    <w:rsid w:val="00DC535C"/>
    <w:rsid w:val="00DC53EC"/>
    <w:rsid w:val="00DC5466"/>
    <w:rsid w:val="00DC55D7"/>
    <w:rsid w:val="00DC5668"/>
    <w:rsid w:val="00DC5685"/>
    <w:rsid w:val="00DC57B1"/>
    <w:rsid w:val="00DC580D"/>
    <w:rsid w:val="00DC5A15"/>
    <w:rsid w:val="00DC5A56"/>
    <w:rsid w:val="00DC5C93"/>
    <w:rsid w:val="00DC5D7D"/>
    <w:rsid w:val="00DC6129"/>
    <w:rsid w:val="00DC6288"/>
    <w:rsid w:val="00DC636C"/>
    <w:rsid w:val="00DC63E7"/>
    <w:rsid w:val="00DC65C5"/>
    <w:rsid w:val="00DC672D"/>
    <w:rsid w:val="00DC6EA7"/>
    <w:rsid w:val="00DC6EB0"/>
    <w:rsid w:val="00DC72CD"/>
    <w:rsid w:val="00DC7318"/>
    <w:rsid w:val="00DC7325"/>
    <w:rsid w:val="00DC7393"/>
    <w:rsid w:val="00DC73F5"/>
    <w:rsid w:val="00DC7531"/>
    <w:rsid w:val="00DC7608"/>
    <w:rsid w:val="00DC7879"/>
    <w:rsid w:val="00DC7BCA"/>
    <w:rsid w:val="00DC7D29"/>
    <w:rsid w:val="00DC7DCD"/>
    <w:rsid w:val="00DC7DDD"/>
    <w:rsid w:val="00DC7EB6"/>
    <w:rsid w:val="00DC7F42"/>
    <w:rsid w:val="00DCA0F3"/>
    <w:rsid w:val="00DD0316"/>
    <w:rsid w:val="00DD0326"/>
    <w:rsid w:val="00DD032B"/>
    <w:rsid w:val="00DD03C9"/>
    <w:rsid w:val="00DD0462"/>
    <w:rsid w:val="00DD0505"/>
    <w:rsid w:val="00DD06A4"/>
    <w:rsid w:val="00DD09C1"/>
    <w:rsid w:val="00DD0B8B"/>
    <w:rsid w:val="00DD0BD3"/>
    <w:rsid w:val="00DD0DBF"/>
    <w:rsid w:val="00DD0FCF"/>
    <w:rsid w:val="00DD10E5"/>
    <w:rsid w:val="00DD1169"/>
    <w:rsid w:val="00DD144B"/>
    <w:rsid w:val="00DD15CF"/>
    <w:rsid w:val="00DD1672"/>
    <w:rsid w:val="00DD1758"/>
    <w:rsid w:val="00DD1AE2"/>
    <w:rsid w:val="00DD1B5F"/>
    <w:rsid w:val="00DD1CA4"/>
    <w:rsid w:val="00DD1CD2"/>
    <w:rsid w:val="00DD27B6"/>
    <w:rsid w:val="00DD282E"/>
    <w:rsid w:val="00DD2AFC"/>
    <w:rsid w:val="00DD2C99"/>
    <w:rsid w:val="00DD2F3C"/>
    <w:rsid w:val="00DD2FB2"/>
    <w:rsid w:val="00DD311F"/>
    <w:rsid w:val="00DD36C2"/>
    <w:rsid w:val="00DD36E6"/>
    <w:rsid w:val="00DD3B21"/>
    <w:rsid w:val="00DD3B3C"/>
    <w:rsid w:val="00DD3C09"/>
    <w:rsid w:val="00DD3C39"/>
    <w:rsid w:val="00DD3C67"/>
    <w:rsid w:val="00DD3D86"/>
    <w:rsid w:val="00DD3E30"/>
    <w:rsid w:val="00DD410E"/>
    <w:rsid w:val="00DD4119"/>
    <w:rsid w:val="00DD4640"/>
    <w:rsid w:val="00DD46B9"/>
    <w:rsid w:val="00DD471A"/>
    <w:rsid w:val="00DD48F7"/>
    <w:rsid w:val="00DD491E"/>
    <w:rsid w:val="00DD4A0C"/>
    <w:rsid w:val="00DD4A8F"/>
    <w:rsid w:val="00DD4CC1"/>
    <w:rsid w:val="00DD4DC1"/>
    <w:rsid w:val="00DD4EB6"/>
    <w:rsid w:val="00DD5096"/>
    <w:rsid w:val="00DD5211"/>
    <w:rsid w:val="00DD53E4"/>
    <w:rsid w:val="00DD53FF"/>
    <w:rsid w:val="00DD5410"/>
    <w:rsid w:val="00DD5437"/>
    <w:rsid w:val="00DD5516"/>
    <w:rsid w:val="00DD5574"/>
    <w:rsid w:val="00DD5851"/>
    <w:rsid w:val="00DD5B4A"/>
    <w:rsid w:val="00DD5D49"/>
    <w:rsid w:val="00DD5DC5"/>
    <w:rsid w:val="00DD5E12"/>
    <w:rsid w:val="00DD5E13"/>
    <w:rsid w:val="00DD5FE6"/>
    <w:rsid w:val="00DD623B"/>
    <w:rsid w:val="00DD6319"/>
    <w:rsid w:val="00DD634D"/>
    <w:rsid w:val="00DD63C2"/>
    <w:rsid w:val="00DD644B"/>
    <w:rsid w:val="00DD6505"/>
    <w:rsid w:val="00DD6A02"/>
    <w:rsid w:val="00DD6EC4"/>
    <w:rsid w:val="00DD7466"/>
    <w:rsid w:val="00DD77CB"/>
    <w:rsid w:val="00DD786D"/>
    <w:rsid w:val="00DD78D0"/>
    <w:rsid w:val="00DD7B44"/>
    <w:rsid w:val="00DD7D30"/>
    <w:rsid w:val="00DD7E66"/>
    <w:rsid w:val="00DD7EE1"/>
    <w:rsid w:val="00DD7FE6"/>
    <w:rsid w:val="00DDA5E2"/>
    <w:rsid w:val="00DE003A"/>
    <w:rsid w:val="00DE0083"/>
    <w:rsid w:val="00DE018A"/>
    <w:rsid w:val="00DE04DE"/>
    <w:rsid w:val="00DE06D3"/>
    <w:rsid w:val="00DE073F"/>
    <w:rsid w:val="00DE0892"/>
    <w:rsid w:val="00DE090D"/>
    <w:rsid w:val="00DE0A28"/>
    <w:rsid w:val="00DE1169"/>
    <w:rsid w:val="00DE1446"/>
    <w:rsid w:val="00DE1729"/>
    <w:rsid w:val="00DE1CA5"/>
    <w:rsid w:val="00DE210E"/>
    <w:rsid w:val="00DE228C"/>
    <w:rsid w:val="00DE22B9"/>
    <w:rsid w:val="00DE237B"/>
    <w:rsid w:val="00DE24E1"/>
    <w:rsid w:val="00DE26E6"/>
    <w:rsid w:val="00DE283F"/>
    <w:rsid w:val="00DE2B3C"/>
    <w:rsid w:val="00DE2B75"/>
    <w:rsid w:val="00DE2B90"/>
    <w:rsid w:val="00DE2FA9"/>
    <w:rsid w:val="00DE3053"/>
    <w:rsid w:val="00DE3092"/>
    <w:rsid w:val="00DE3424"/>
    <w:rsid w:val="00DE3525"/>
    <w:rsid w:val="00DE3789"/>
    <w:rsid w:val="00DE386B"/>
    <w:rsid w:val="00DE39F6"/>
    <w:rsid w:val="00DE3A88"/>
    <w:rsid w:val="00DE3B27"/>
    <w:rsid w:val="00DE3B2D"/>
    <w:rsid w:val="00DE42C2"/>
    <w:rsid w:val="00DE4421"/>
    <w:rsid w:val="00DE444D"/>
    <w:rsid w:val="00DE4465"/>
    <w:rsid w:val="00DE453B"/>
    <w:rsid w:val="00DE4713"/>
    <w:rsid w:val="00DE4742"/>
    <w:rsid w:val="00DE486B"/>
    <w:rsid w:val="00DE48D1"/>
    <w:rsid w:val="00DE4B73"/>
    <w:rsid w:val="00DE4CB3"/>
    <w:rsid w:val="00DE4FFE"/>
    <w:rsid w:val="00DE528D"/>
    <w:rsid w:val="00DE561F"/>
    <w:rsid w:val="00DE56C1"/>
    <w:rsid w:val="00DE577B"/>
    <w:rsid w:val="00DE5CD4"/>
    <w:rsid w:val="00DE5D8F"/>
    <w:rsid w:val="00DE61C0"/>
    <w:rsid w:val="00DE625B"/>
    <w:rsid w:val="00DE6357"/>
    <w:rsid w:val="00DE64A4"/>
    <w:rsid w:val="00DE6779"/>
    <w:rsid w:val="00DE6838"/>
    <w:rsid w:val="00DE6861"/>
    <w:rsid w:val="00DE6951"/>
    <w:rsid w:val="00DE6A0D"/>
    <w:rsid w:val="00DE6D53"/>
    <w:rsid w:val="00DE6E19"/>
    <w:rsid w:val="00DE7160"/>
    <w:rsid w:val="00DE7180"/>
    <w:rsid w:val="00DE734F"/>
    <w:rsid w:val="00DE76BB"/>
    <w:rsid w:val="00DE7764"/>
    <w:rsid w:val="00DE777A"/>
    <w:rsid w:val="00DE78CC"/>
    <w:rsid w:val="00DE7A8C"/>
    <w:rsid w:val="00DE7C2D"/>
    <w:rsid w:val="00DE7F4C"/>
    <w:rsid w:val="00DF0173"/>
    <w:rsid w:val="00DF017B"/>
    <w:rsid w:val="00DF01C6"/>
    <w:rsid w:val="00DF03F1"/>
    <w:rsid w:val="00DF0570"/>
    <w:rsid w:val="00DF0600"/>
    <w:rsid w:val="00DF0665"/>
    <w:rsid w:val="00DF06C1"/>
    <w:rsid w:val="00DF0779"/>
    <w:rsid w:val="00DF07AA"/>
    <w:rsid w:val="00DF07D3"/>
    <w:rsid w:val="00DF07D8"/>
    <w:rsid w:val="00DF08CA"/>
    <w:rsid w:val="00DF0A59"/>
    <w:rsid w:val="00DF0BA5"/>
    <w:rsid w:val="00DF0C35"/>
    <w:rsid w:val="00DF0C97"/>
    <w:rsid w:val="00DF0D3D"/>
    <w:rsid w:val="00DF1145"/>
    <w:rsid w:val="00DF12EC"/>
    <w:rsid w:val="00DF1394"/>
    <w:rsid w:val="00DF1395"/>
    <w:rsid w:val="00DF142A"/>
    <w:rsid w:val="00DF1468"/>
    <w:rsid w:val="00DF1610"/>
    <w:rsid w:val="00DF1787"/>
    <w:rsid w:val="00DF1D01"/>
    <w:rsid w:val="00DF1D7C"/>
    <w:rsid w:val="00DF1DAB"/>
    <w:rsid w:val="00DF1E58"/>
    <w:rsid w:val="00DF1F38"/>
    <w:rsid w:val="00DF1F50"/>
    <w:rsid w:val="00DF1F61"/>
    <w:rsid w:val="00DF20F3"/>
    <w:rsid w:val="00DF218A"/>
    <w:rsid w:val="00DF21A2"/>
    <w:rsid w:val="00DF23C2"/>
    <w:rsid w:val="00DF243C"/>
    <w:rsid w:val="00DF2478"/>
    <w:rsid w:val="00DF262D"/>
    <w:rsid w:val="00DF28D9"/>
    <w:rsid w:val="00DF29FF"/>
    <w:rsid w:val="00DF2A08"/>
    <w:rsid w:val="00DF2E91"/>
    <w:rsid w:val="00DF2EA6"/>
    <w:rsid w:val="00DF2F4E"/>
    <w:rsid w:val="00DF31F6"/>
    <w:rsid w:val="00DF32D6"/>
    <w:rsid w:val="00DF3315"/>
    <w:rsid w:val="00DF3474"/>
    <w:rsid w:val="00DF3559"/>
    <w:rsid w:val="00DF3644"/>
    <w:rsid w:val="00DF36C0"/>
    <w:rsid w:val="00DF37A2"/>
    <w:rsid w:val="00DF382C"/>
    <w:rsid w:val="00DF3955"/>
    <w:rsid w:val="00DF3E15"/>
    <w:rsid w:val="00DF44D3"/>
    <w:rsid w:val="00DF475F"/>
    <w:rsid w:val="00DF47A6"/>
    <w:rsid w:val="00DF4BB3"/>
    <w:rsid w:val="00DF4C7D"/>
    <w:rsid w:val="00DF517C"/>
    <w:rsid w:val="00DF526C"/>
    <w:rsid w:val="00DF52C8"/>
    <w:rsid w:val="00DF543A"/>
    <w:rsid w:val="00DF550F"/>
    <w:rsid w:val="00DF552B"/>
    <w:rsid w:val="00DF5841"/>
    <w:rsid w:val="00DF598C"/>
    <w:rsid w:val="00DF5BEF"/>
    <w:rsid w:val="00DF5C61"/>
    <w:rsid w:val="00DF5C94"/>
    <w:rsid w:val="00DF5F3A"/>
    <w:rsid w:val="00DF60D4"/>
    <w:rsid w:val="00DF6138"/>
    <w:rsid w:val="00DF62F1"/>
    <w:rsid w:val="00DF6422"/>
    <w:rsid w:val="00DF64A9"/>
    <w:rsid w:val="00DF6947"/>
    <w:rsid w:val="00DF6C47"/>
    <w:rsid w:val="00DF6C4C"/>
    <w:rsid w:val="00DF6DB6"/>
    <w:rsid w:val="00DF6E89"/>
    <w:rsid w:val="00DF6F1D"/>
    <w:rsid w:val="00DF6FDA"/>
    <w:rsid w:val="00DF71BA"/>
    <w:rsid w:val="00DF71C0"/>
    <w:rsid w:val="00DF720B"/>
    <w:rsid w:val="00DF73AF"/>
    <w:rsid w:val="00DF7466"/>
    <w:rsid w:val="00DF7E9F"/>
    <w:rsid w:val="00DFABB1"/>
    <w:rsid w:val="00E000D4"/>
    <w:rsid w:val="00E002F2"/>
    <w:rsid w:val="00E0043F"/>
    <w:rsid w:val="00E0055D"/>
    <w:rsid w:val="00E00799"/>
    <w:rsid w:val="00E00A73"/>
    <w:rsid w:val="00E00B4A"/>
    <w:rsid w:val="00E00C3E"/>
    <w:rsid w:val="00E00DCA"/>
    <w:rsid w:val="00E00F89"/>
    <w:rsid w:val="00E012C7"/>
    <w:rsid w:val="00E01375"/>
    <w:rsid w:val="00E01558"/>
    <w:rsid w:val="00E01653"/>
    <w:rsid w:val="00E01859"/>
    <w:rsid w:val="00E01919"/>
    <w:rsid w:val="00E0195E"/>
    <w:rsid w:val="00E01B62"/>
    <w:rsid w:val="00E01B65"/>
    <w:rsid w:val="00E01CCF"/>
    <w:rsid w:val="00E021E3"/>
    <w:rsid w:val="00E02311"/>
    <w:rsid w:val="00E02318"/>
    <w:rsid w:val="00E026AB"/>
    <w:rsid w:val="00E02927"/>
    <w:rsid w:val="00E02A8A"/>
    <w:rsid w:val="00E02CD1"/>
    <w:rsid w:val="00E02D73"/>
    <w:rsid w:val="00E02D92"/>
    <w:rsid w:val="00E03173"/>
    <w:rsid w:val="00E03181"/>
    <w:rsid w:val="00E03211"/>
    <w:rsid w:val="00E033EC"/>
    <w:rsid w:val="00E03785"/>
    <w:rsid w:val="00E0386D"/>
    <w:rsid w:val="00E03A21"/>
    <w:rsid w:val="00E03E39"/>
    <w:rsid w:val="00E03E9B"/>
    <w:rsid w:val="00E03ED3"/>
    <w:rsid w:val="00E03F94"/>
    <w:rsid w:val="00E04212"/>
    <w:rsid w:val="00E04221"/>
    <w:rsid w:val="00E04637"/>
    <w:rsid w:val="00E0469B"/>
    <w:rsid w:val="00E0478E"/>
    <w:rsid w:val="00E04903"/>
    <w:rsid w:val="00E04AE9"/>
    <w:rsid w:val="00E04C6A"/>
    <w:rsid w:val="00E04DF4"/>
    <w:rsid w:val="00E04E3D"/>
    <w:rsid w:val="00E05386"/>
    <w:rsid w:val="00E05893"/>
    <w:rsid w:val="00E05A6B"/>
    <w:rsid w:val="00E05B31"/>
    <w:rsid w:val="00E05B65"/>
    <w:rsid w:val="00E05D32"/>
    <w:rsid w:val="00E06074"/>
    <w:rsid w:val="00E0634B"/>
    <w:rsid w:val="00E064E3"/>
    <w:rsid w:val="00E06633"/>
    <w:rsid w:val="00E066E1"/>
    <w:rsid w:val="00E0675F"/>
    <w:rsid w:val="00E06B14"/>
    <w:rsid w:val="00E06D34"/>
    <w:rsid w:val="00E06E2A"/>
    <w:rsid w:val="00E06ED6"/>
    <w:rsid w:val="00E07111"/>
    <w:rsid w:val="00E07611"/>
    <w:rsid w:val="00E0764A"/>
    <w:rsid w:val="00E077FB"/>
    <w:rsid w:val="00E07958"/>
    <w:rsid w:val="00E07E38"/>
    <w:rsid w:val="00E07F33"/>
    <w:rsid w:val="00E1005D"/>
    <w:rsid w:val="00E10067"/>
    <w:rsid w:val="00E10136"/>
    <w:rsid w:val="00E1024A"/>
    <w:rsid w:val="00E10306"/>
    <w:rsid w:val="00E1051E"/>
    <w:rsid w:val="00E10644"/>
    <w:rsid w:val="00E10EA1"/>
    <w:rsid w:val="00E11101"/>
    <w:rsid w:val="00E111C2"/>
    <w:rsid w:val="00E11204"/>
    <w:rsid w:val="00E1156A"/>
    <w:rsid w:val="00E11911"/>
    <w:rsid w:val="00E119F4"/>
    <w:rsid w:val="00E11A78"/>
    <w:rsid w:val="00E11DBE"/>
    <w:rsid w:val="00E11F15"/>
    <w:rsid w:val="00E11F4C"/>
    <w:rsid w:val="00E11FA5"/>
    <w:rsid w:val="00E12167"/>
    <w:rsid w:val="00E1241B"/>
    <w:rsid w:val="00E1243A"/>
    <w:rsid w:val="00E128D0"/>
    <w:rsid w:val="00E12BF5"/>
    <w:rsid w:val="00E12EE8"/>
    <w:rsid w:val="00E13104"/>
    <w:rsid w:val="00E1314F"/>
    <w:rsid w:val="00E1317A"/>
    <w:rsid w:val="00E13289"/>
    <w:rsid w:val="00E1333E"/>
    <w:rsid w:val="00E1342C"/>
    <w:rsid w:val="00E134C8"/>
    <w:rsid w:val="00E1357D"/>
    <w:rsid w:val="00E135C6"/>
    <w:rsid w:val="00E13687"/>
    <w:rsid w:val="00E13BB1"/>
    <w:rsid w:val="00E13C7D"/>
    <w:rsid w:val="00E13E8B"/>
    <w:rsid w:val="00E1408F"/>
    <w:rsid w:val="00E1412F"/>
    <w:rsid w:val="00E141A6"/>
    <w:rsid w:val="00E1445A"/>
    <w:rsid w:val="00E145D4"/>
    <w:rsid w:val="00E148ED"/>
    <w:rsid w:val="00E14B0A"/>
    <w:rsid w:val="00E14E1B"/>
    <w:rsid w:val="00E14EE4"/>
    <w:rsid w:val="00E14F1D"/>
    <w:rsid w:val="00E152E0"/>
    <w:rsid w:val="00E15319"/>
    <w:rsid w:val="00E153A0"/>
    <w:rsid w:val="00E154D5"/>
    <w:rsid w:val="00E15638"/>
    <w:rsid w:val="00E1580D"/>
    <w:rsid w:val="00E15BB7"/>
    <w:rsid w:val="00E15BE5"/>
    <w:rsid w:val="00E15C48"/>
    <w:rsid w:val="00E16044"/>
    <w:rsid w:val="00E16063"/>
    <w:rsid w:val="00E160DB"/>
    <w:rsid w:val="00E16237"/>
    <w:rsid w:val="00E16238"/>
    <w:rsid w:val="00E162D5"/>
    <w:rsid w:val="00E1664F"/>
    <w:rsid w:val="00E169EE"/>
    <w:rsid w:val="00E16B8B"/>
    <w:rsid w:val="00E16C9A"/>
    <w:rsid w:val="00E16D9B"/>
    <w:rsid w:val="00E16FA5"/>
    <w:rsid w:val="00E170B9"/>
    <w:rsid w:val="00E1710B"/>
    <w:rsid w:val="00E17339"/>
    <w:rsid w:val="00E173F8"/>
    <w:rsid w:val="00E17696"/>
    <w:rsid w:val="00E177CE"/>
    <w:rsid w:val="00E177E3"/>
    <w:rsid w:val="00E177FE"/>
    <w:rsid w:val="00E17B59"/>
    <w:rsid w:val="00E17D18"/>
    <w:rsid w:val="00E17E1D"/>
    <w:rsid w:val="00E17E49"/>
    <w:rsid w:val="00E17F3A"/>
    <w:rsid w:val="00E20019"/>
    <w:rsid w:val="00E20089"/>
    <w:rsid w:val="00E20351"/>
    <w:rsid w:val="00E2062B"/>
    <w:rsid w:val="00E2075C"/>
    <w:rsid w:val="00E20810"/>
    <w:rsid w:val="00E2088C"/>
    <w:rsid w:val="00E20985"/>
    <w:rsid w:val="00E20D1D"/>
    <w:rsid w:val="00E20DC6"/>
    <w:rsid w:val="00E20F5D"/>
    <w:rsid w:val="00E20FA9"/>
    <w:rsid w:val="00E212F0"/>
    <w:rsid w:val="00E21540"/>
    <w:rsid w:val="00E21680"/>
    <w:rsid w:val="00E21727"/>
    <w:rsid w:val="00E217B3"/>
    <w:rsid w:val="00E21ABC"/>
    <w:rsid w:val="00E21B14"/>
    <w:rsid w:val="00E21C70"/>
    <w:rsid w:val="00E21D7A"/>
    <w:rsid w:val="00E21EB7"/>
    <w:rsid w:val="00E21FB6"/>
    <w:rsid w:val="00E2213B"/>
    <w:rsid w:val="00E221EA"/>
    <w:rsid w:val="00E2229C"/>
    <w:rsid w:val="00E22341"/>
    <w:rsid w:val="00E224F2"/>
    <w:rsid w:val="00E22678"/>
    <w:rsid w:val="00E22760"/>
    <w:rsid w:val="00E227F0"/>
    <w:rsid w:val="00E22802"/>
    <w:rsid w:val="00E22853"/>
    <w:rsid w:val="00E22AFA"/>
    <w:rsid w:val="00E22BA8"/>
    <w:rsid w:val="00E22FA0"/>
    <w:rsid w:val="00E22FE2"/>
    <w:rsid w:val="00E230F8"/>
    <w:rsid w:val="00E234A8"/>
    <w:rsid w:val="00E23569"/>
    <w:rsid w:val="00E236E5"/>
    <w:rsid w:val="00E238C9"/>
    <w:rsid w:val="00E23FE8"/>
    <w:rsid w:val="00E243BA"/>
    <w:rsid w:val="00E244D2"/>
    <w:rsid w:val="00E24615"/>
    <w:rsid w:val="00E246E5"/>
    <w:rsid w:val="00E248AE"/>
    <w:rsid w:val="00E24AB2"/>
    <w:rsid w:val="00E24BFA"/>
    <w:rsid w:val="00E24CFD"/>
    <w:rsid w:val="00E24F1E"/>
    <w:rsid w:val="00E25077"/>
    <w:rsid w:val="00E2528E"/>
    <w:rsid w:val="00E253CE"/>
    <w:rsid w:val="00E2559D"/>
    <w:rsid w:val="00E255FB"/>
    <w:rsid w:val="00E257A5"/>
    <w:rsid w:val="00E257AE"/>
    <w:rsid w:val="00E25BFA"/>
    <w:rsid w:val="00E25D98"/>
    <w:rsid w:val="00E25E6E"/>
    <w:rsid w:val="00E25E7F"/>
    <w:rsid w:val="00E25FA7"/>
    <w:rsid w:val="00E2604B"/>
    <w:rsid w:val="00E263C2"/>
    <w:rsid w:val="00E266E3"/>
    <w:rsid w:val="00E26D65"/>
    <w:rsid w:val="00E26EC9"/>
    <w:rsid w:val="00E2711A"/>
    <w:rsid w:val="00E2714D"/>
    <w:rsid w:val="00E271F5"/>
    <w:rsid w:val="00E272BE"/>
    <w:rsid w:val="00E27342"/>
    <w:rsid w:val="00E273E7"/>
    <w:rsid w:val="00E27401"/>
    <w:rsid w:val="00E2767C"/>
    <w:rsid w:val="00E2767D"/>
    <w:rsid w:val="00E277F4"/>
    <w:rsid w:val="00E2795E"/>
    <w:rsid w:val="00E279F1"/>
    <w:rsid w:val="00E27E58"/>
    <w:rsid w:val="00E27FE7"/>
    <w:rsid w:val="00E3007F"/>
    <w:rsid w:val="00E303BB"/>
    <w:rsid w:val="00E3054F"/>
    <w:rsid w:val="00E30564"/>
    <w:rsid w:val="00E306B0"/>
    <w:rsid w:val="00E30A90"/>
    <w:rsid w:val="00E30DAA"/>
    <w:rsid w:val="00E30F04"/>
    <w:rsid w:val="00E30FE4"/>
    <w:rsid w:val="00E311C0"/>
    <w:rsid w:val="00E311F6"/>
    <w:rsid w:val="00E311FA"/>
    <w:rsid w:val="00E312A6"/>
    <w:rsid w:val="00E313EF"/>
    <w:rsid w:val="00E31483"/>
    <w:rsid w:val="00E317D6"/>
    <w:rsid w:val="00E3191B"/>
    <w:rsid w:val="00E31B9B"/>
    <w:rsid w:val="00E31BD3"/>
    <w:rsid w:val="00E31D30"/>
    <w:rsid w:val="00E31D6D"/>
    <w:rsid w:val="00E31EE7"/>
    <w:rsid w:val="00E31F7A"/>
    <w:rsid w:val="00E32131"/>
    <w:rsid w:val="00E3266E"/>
    <w:rsid w:val="00E327D0"/>
    <w:rsid w:val="00E329BA"/>
    <w:rsid w:val="00E32A40"/>
    <w:rsid w:val="00E32AAE"/>
    <w:rsid w:val="00E32E43"/>
    <w:rsid w:val="00E32F4E"/>
    <w:rsid w:val="00E32F83"/>
    <w:rsid w:val="00E3319C"/>
    <w:rsid w:val="00E335BD"/>
    <w:rsid w:val="00E33731"/>
    <w:rsid w:val="00E33788"/>
    <w:rsid w:val="00E3379B"/>
    <w:rsid w:val="00E33803"/>
    <w:rsid w:val="00E338BD"/>
    <w:rsid w:val="00E33945"/>
    <w:rsid w:val="00E33A3E"/>
    <w:rsid w:val="00E33B91"/>
    <w:rsid w:val="00E33E43"/>
    <w:rsid w:val="00E343DF"/>
    <w:rsid w:val="00E34B4B"/>
    <w:rsid w:val="00E34C29"/>
    <w:rsid w:val="00E34CED"/>
    <w:rsid w:val="00E34E28"/>
    <w:rsid w:val="00E34E3E"/>
    <w:rsid w:val="00E350D2"/>
    <w:rsid w:val="00E351BE"/>
    <w:rsid w:val="00E354DA"/>
    <w:rsid w:val="00E354E9"/>
    <w:rsid w:val="00E354F8"/>
    <w:rsid w:val="00E3554F"/>
    <w:rsid w:val="00E35719"/>
    <w:rsid w:val="00E35744"/>
    <w:rsid w:val="00E35AC5"/>
    <w:rsid w:val="00E35BE7"/>
    <w:rsid w:val="00E35ED0"/>
    <w:rsid w:val="00E36074"/>
    <w:rsid w:val="00E3654F"/>
    <w:rsid w:val="00E36703"/>
    <w:rsid w:val="00E368AB"/>
    <w:rsid w:val="00E36A78"/>
    <w:rsid w:val="00E36D11"/>
    <w:rsid w:val="00E371EF"/>
    <w:rsid w:val="00E37219"/>
    <w:rsid w:val="00E3728C"/>
    <w:rsid w:val="00E37307"/>
    <w:rsid w:val="00E37406"/>
    <w:rsid w:val="00E3751A"/>
    <w:rsid w:val="00E3768C"/>
    <w:rsid w:val="00E378DC"/>
    <w:rsid w:val="00E37900"/>
    <w:rsid w:val="00E37908"/>
    <w:rsid w:val="00E379CC"/>
    <w:rsid w:val="00E37B34"/>
    <w:rsid w:val="00E37D33"/>
    <w:rsid w:val="00E40268"/>
    <w:rsid w:val="00E404A9"/>
    <w:rsid w:val="00E40647"/>
    <w:rsid w:val="00E40667"/>
    <w:rsid w:val="00E40669"/>
    <w:rsid w:val="00E407C3"/>
    <w:rsid w:val="00E407E3"/>
    <w:rsid w:val="00E4085D"/>
    <w:rsid w:val="00E4088C"/>
    <w:rsid w:val="00E40A34"/>
    <w:rsid w:val="00E40B41"/>
    <w:rsid w:val="00E40B86"/>
    <w:rsid w:val="00E40D34"/>
    <w:rsid w:val="00E40E42"/>
    <w:rsid w:val="00E40F35"/>
    <w:rsid w:val="00E40FAB"/>
    <w:rsid w:val="00E40FC8"/>
    <w:rsid w:val="00E41124"/>
    <w:rsid w:val="00E4132F"/>
    <w:rsid w:val="00E414B2"/>
    <w:rsid w:val="00E4172B"/>
    <w:rsid w:val="00E41844"/>
    <w:rsid w:val="00E41A12"/>
    <w:rsid w:val="00E41BC4"/>
    <w:rsid w:val="00E41BE0"/>
    <w:rsid w:val="00E41F7A"/>
    <w:rsid w:val="00E42176"/>
    <w:rsid w:val="00E421B6"/>
    <w:rsid w:val="00E42A62"/>
    <w:rsid w:val="00E42B0C"/>
    <w:rsid w:val="00E42B17"/>
    <w:rsid w:val="00E42C8D"/>
    <w:rsid w:val="00E42E0D"/>
    <w:rsid w:val="00E42E33"/>
    <w:rsid w:val="00E42EF7"/>
    <w:rsid w:val="00E43201"/>
    <w:rsid w:val="00E43246"/>
    <w:rsid w:val="00E433AB"/>
    <w:rsid w:val="00E43438"/>
    <w:rsid w:val="00E43675"/>
    <w:rsid w:val="00E43918"/>
    <w:rsid w:val="00E439E4"/>
    <w:rsid w:val="00E43AF6"/>
    <w:rsid w:val="00E43CC9"/>
    <w:rsid w:val="00E43FA0"/>
    <w:rsid w:val="00E440DC"/>
    <w:rsid w:val="00E44335"/>
    <w:rsid w:val="00E443D0"/>
    <w:rsid w:val="00E44456"/>
    <w:rsid w:val="00E44526"/>
    <w:rsid w:val="00E44804"/>
    <w:rsid w:val="00E4492F"/>
    <w:rsid w:val="00E44BD2"/>
    <w:rsid w:val="00E44C04"/>
    <w:rsid w:val="00E44F6B"/>
    <w:rsid w:val="00E45294"/>
    <w:rsid w:val="00E457F8"/>
    <w:rsid w:val="00E45820"/>
    <w:rsid w:val="00E45CB4"/>
    <w:rsid w:val="00E45DAD"/>
    <w:rsid w:val="00E45DE9"/>
    <w:rsid w:val="00E45E11"/>
    <w:rsid w:val="00E45E31"/>
    <w:rsid w:val="00E45F2C"/>
    <w:rsid w:val="00E46155"/>
    <w:rsid w:val="00E4647B"/>
    <w:rsid w:val="00E464AA"/>
    <w:rsid w:val="00E464C5"/>
    <w:rsid w:val="00E46882"/>
    <w:rsid w:val="00E4692A"/>
    <w:rsid w:val="00E46A25"/>
    <w:rsid w:val="00E46B4B"/>
    <w:rsid w:val="00E46CD2"/>
    <w:rsid w:val="00E46CED"/>
    <w:rsid w:val="00E46E8C"/>
    <w:rsid w:val="00E471C3"/>
    <w:rsid w:val="00E4725E"/>
    <w:rsid w:val="00E472D1"/>
    <w:rsid w:val="00E473CB"/>
    <w:rsid w:val="00E4740F"/>
    <w:rsid w:val="00E47428"/>
    <w:rsid w:val="00E475F3"/>
    <w:rsid w:val="00E476FE"/>
    <w:rsid w:val="00E47798"/>
    <w:rsid w:val="00E4779E"/>
    <w:rsid w:val="00E4781C"/>
    <w:rsid w:val="00E4783F"/>
    <w:rsid w:val="00E47A23"/>
    <w:rsid w:val="00E47B07"/>
    <w:rsid w:val="00E47E9C"/>
    <w:rsid w:val="00E47FB0"/>
    <w:rsid w:val="00E50107"/>
    <w:rsid w:val="00E5013A"/>
    <w:rsid w:val="00E5042E"/>
    <w:rsid w:val="00E5055F"/>
    <w:rsid w:val="00E5068B"/>
    <w:rsid w:val="00E506B3"/>
    <w:rsid w:val="00E50791"/>
    <w:rsid w:val="00E507DE"/>
    <w:rsid w:val="00E509D9"/>
    <w:rsid w:val="00E50B23"/>
    <w:rsid w:val="00E50B9A"/>
    <w:rsid w:val="00E50BDE"/>
    <w:rsid w:val="00E50CFB"/>
    <w:rsid w:val="00E5117E"/>
    <w:rsid w:val="00E513AE"/>
    <w:rsid w:val="00E51521"/>
    <w:rsid w:val="00E51893"/>
    <w:rsid w:val="00E51A09"/>
    <w:rsid w:val="00E51AA1"/>
    <w:rsid w:val="00E51C67"/>
    <w:rsid w:val="00E51D0E"/>
    <w:rsid w:val="00E51DD0"/>
    <w:rsid w:val="00E51E3C"/>
    <w:rsid w:val="00E51F4D"/>
    <w:rsid w:val="00E51F9F"/>
    <w:rsid w:val="00E52035"/>
    <w:rsid w:val="00E5204D"/>
    <w:rsid w:val="00E520F3"/>
    <w:rsid w:val="00E5252B"/>
    <w:rsid w:val="00E525DF"/>
    <w:rsid w:val="00E5263A"/>
    <w:rsid w:val="00E527F9"/>
    <w:rsid w:val="00E528C2"/>
    <w:rsid w:val="00E52A7C"/>
    <w:rsid w:val="00E52AEC"/>
    <w:rsid w:val="00E52AFA"/>
    <w:rsid w:val="00E52FB1"/>
    <w:rsid w:val="00E53057"/>
    <w:rsid w:val="00E53122"/>
    <w:rsid w:val="00E53590"/>
    <w:rsid w:val="00E535A1"/>
    <w:rsid w:val="00E535DF"/>
    <w:rsid w:val="00E5371C"/>
    <w:rsid w:val="00E5383A"/>
    <w:rsid w:val="00E53B2C"/>
    <w:rsid w:val="00E53BEF"/>
    <w:rsid w:val="00E53C46"/>
    <w:rsid w:val="00E53D0B"/>
    <w:rsid w:val="00E53DDF"/>
    <w:rsid w:val="00E53F9C"/>
    <w:rsid w:val="00E5422B"/>
    <w:rsid w:val="00E544D0"/>
    <w:rsid w:val="00E546BB"/>
    <w:rsid w:val="00E546CC"/>
    <w:rsid w:val="00E54754"/>
    <w:rsid w:val="00E54937"/>
    <w:rsid w:val="00E54AEA"/>
    <w:rsid w:val="00E54C30"/>
    <w:rsid w:val="00E54DAE"/>
    <w:rsid w:val="00E54E9C"/>
    <w:rsid w:val="00E55143"/>
    <w:rsid w:val="00E551C2"/>
    <w:rsid w:val="00E5541B"/>
    <w:rsid w:val="00E558F4"/>
    <w:rsid w:val="00E55954"/>
    <w:rsid w:val="00E55A5E"/>
    <w:rsid w:val="00E55CC6"/>
    <w:rsid w:val="00E55DA0"/>
    <w:rsid w:val="00E5623D"/>
    <w:rsid w:val="00E562D4"/>
    <w:rsid w:val="00E5640E"/>
    <w:rsid w:val="00E564AD"/>
    <w:rsid w:val="00E56645"/>
    <w:rsid w:val="00E566BD"/>
    <w:rsid w:val="00E567F3"/>
    <w:rsid w:val="00E56C2D"/>
    <w:rsid w:val="00E56C6D"/>
    <w:rsid w:val="00E56C9F"/>
    <w:rsid w:val="00E56CDC"/>
    <w:rsid w:val="00E56D6B"/>
    <w:rsid w:val="00E56E86"/>
    <w:rsid w:val="00E56ED0"/>
    <w:rsid w:val="00E56F4C"/>
    <w:rsid w:val="00E56FC3"/>
    <w:rsid w:val="00E57032"/>
    <w:rsid w:val="00E57040"/>
    <w:rsid w:val="00E57243"/>
    <w:rsid w:val="00E572A8"/>
    <w:rsid w:val="00E5756D"/>
    <w:rsid w:val="00E57631"/>
    <w:rsid w:val="00E577D3"/>
    <w:rsid w:val="00E57838"/>
    <w:rsid w:val="00E5784E"/>
    <w:rsid w:val="00E57BB4"/>
    <w:rsid w:val="00E57E5F"/>
    <w:rsid w:val="00E6010F"/>
    <w:rsid w:val="00E604D1"/>
    <w:rsid w:val="00E60590"/>
    <w:rsid w:val="00E60694"/>
    <w:rsid w:val="00E6071E"/>
    <w:rsid w:val="00E60818"/>
    <w:rsid w:val="00E60AB7"/>
    <w:rsid w:val="00E60B5A"/>
    <w:rsid w:val="00E60DA9"/>
    <w:rsid w:val="00E60F84"/>
    <w:rsid w:val="00E6124B"/>
    <w:rsid w:val="00E61646"/>
    <w:rsid w:val="00E617EC"/>
    <w:rsid w:val="00E61883"/>
    <w:rsid w:val="00E61956"/>
    <w:rsid w:val="00E61B79"/>
    <w:rsid w:val="00E61C4F"/>
    <w:rsid w:val="00E61C7C"/>
    <w:rsid w:val="00E61F48"/>
    <w:rsid w:val="00E61F5B"/>
    <w:rsid w:val="00E61FA9"/>
    <w:rsid w:val="00E621B3"/>
    <w:rsid w:val="00E621CA"/>
    <w:rsid w:val="00E624CE"/>
    <w:rsid w:val="00E62989"/>
    <w:rsid w:val="00E62BC9"/>
    <w:rsid w:val="00E62D80"/>
    <w:rsid w:val="00E62E04"/>
    <w:rsid w:val="00E62E79"/>
    <w:rsid w:val="00E6305E"/>
    <w:rsid w:val="00E633C2"/>
    <w:rsid w:val="00E634BA"/>
    <w:rsid w:val="00E63698"/>
    <w:rsid w:val="00E637D2"/>
    <w:rsid w:val="00E638ED"/>
    <w:rsid w:val="00E63ADB"/>
    <w:rsid w:val="00E63B11"/>
    <w:rsid w:val="00E63B1A"/>
    <w:rsid w:val="00E63B54"/>
    <w:rsid w:val="00E63CC2"/>
    <w:rsid w:val="00E63F62"/>
    <w:rsid w:val="00E640B3"/>
    <w:rsid w:val="00E6431C"/>
    <w:rsid w:val="00E64388"/>
    <w:rsid w:val="00E643C0"/>
    <w:rsid w:val="00E64914"/>
    <w:rsid w:val="00E64A11"/>
    <w:rsid w:val="00E64B8D"/>
    <w:rsid w:val="00E64BA9"/>
    <w:rsid w:val="00E64BB2"/>
    <w:rsid w:val="00E64C26"/>
    <w:rsid w:val="00E65062"/>
    <w:rsid w:val="00E65236"/>
    <w:rsid w:val="00E65320"/>
    <w:rsid w:val="00E654BA"/>
    <w:rsid w:val="00E65500"/>
    <w:rsid w:val="00E65553"/>
    <w:rsid w:val="00E657B2"/>
    <w:rsid w:val="00E657CE"/>
    <w:rsid w:val="00E6583F"/>
    <w:rsid w:val="00E65D7E"/>
    <w:rsid w:val="00E65E81"/>
    <w:rsid w:val="00E65E9E"/>
    <w:rsid w:val="00E65F46"/>
    <w:rsid w:val="00E6613D"/>
    <w:rsid w:val="00E661D8"/>
    <w:rsid w:val="00E664B6"/>
    <w:rsid w:val="00E665F0"/>
    <w:rsid w:val="00E666AC"/>
    <w:rsid w:val="00E66B13"/>
    <w:rsid w:val="00E66BAB"/>
    <w:rsid w:val="00E66D0D"/>
    <w:rsid w:val="00E66D56"/>
    <w:rsid w:val="00E66E5E"/>
    <w:rsid w:val="00E66FEA"/>
    <w:rsid w:val="00E6706C"/>
    <w:rsid w:val="00E67097"/>
    <w:rsid w:val="00E6715B"/>
    <w:rsid w:val="00E67176"/>
    <w:rsid w:val="00E672B9"/>
    <w:rsid w:val="00E674AB"/>
    <w:rsid w:val="00E67697"/>
    <w:rsid w:val="00E677CA"/>
    <w:rsid w:val="00E67A2F"/>
    <w:rsid w:val="00E67B83"/>
    <w:rsid w:val="00E67F5F"/>
    <w:rsid w:val="00E7023A"/>
    <w:rsid w:val="00E709A1"/>
    <w:rsid w:val="00E70A26"/>
    <w:rsid w:val="00E70BF2"/>
    <w:rsid w:val="00E70E32"/>
    <w:rsid w:val="00E70E3B"/>
    <w:rsid w:val="00E70E96"/>
    <w:rsid w:val="00E70F4A"/>
    <w:rsid w:val="00E710D1"/>
    <w:rsid w:val="00E710DA"/>
    <w:rsid w:val="00E71294"/>
    <w:rsid w:val="00E71328"/>
    <w:rsid w:val="00E71397"/>
    <w:rsid w:val="00E713D4"/>
    <w:rsid w:val="00E714A0"/>
    <w:rsid w:val="00E7153F"/>
    <w:rsid w:val="00E716E4"/>
    <w:rsid w:val="00E71B34"/>
    <w:rsid w:val="00E71B83"/>
    <w:rsid w:val="00E71CAA"/>
    <w:rsid w:val="00E71D44"/>
    <w:rsid w:val="00E722B7"/>
    <w:rsid w:val="00E72310"/>
    <w:rsid w:val="00E7239F"/>
    <w:rsid w:val="00E72452"/>
    <w:rsid w:val="00E72510"/>
    <w:rsid w:val="00E72549"/>
    <w:rsid w:val="00E72550"/>
    <w:rsid w:val="00E726D5"/>
    <w:rsid w:val="00E726F3"/>
    <w:rsid w:val="00E72B84"/>
    <w:rsid w:val="00E72EDE"/>
    <w:rsid w:val="00E730A5"/>
    <w:rsid w:val="00E730A8"/>
    <w:rsid w:val="00E730ED"/>
    <w:rsid w:val="00E73299"/>
    <w:rsid w:val="00E732C6"/>
    <w:rsid w:val="00E733D0"/>
    <w:rsid w:val="00E736E1"/>
    <w:rsid w:val="00E7381F"/>
    <w:rsid w:val="00E73850"/>
    <w:rsid w:val="00E73938"/>
    <w:rsid w:val="00E73A14"/>
    <w:rsid w:val="00E73AEE"/>
    <w:rsid w:val="00E73CF7"/>
    <w:rsid w:val="00E73E08"/>
    <w:rsid w:val="00E73E0A"/>
    <w:rsid w:val="00E7408C"/>
    <w:rsid w:val="00E740B2"/>
    <w:rsid w:val="00E741BE"/>
    <w:rsid w:val="00E74395"/>
    <w:rsid w:val="00E74585"/>
    <w:rsid w:val="00E74841"/>
    <w:rsid w:val="00E74908"/>
    <w:rsid w:val="00E74BAE"/>
    <w:rsid w:val="00E74BD3"/>
    <w:rsid w:val="00E74CD2"/>
    <w:rsid w:val="00E74E60"/>
    <w:rsid w:val="00E74EA6"/>
    <w:rsid w:val="00E74F93"/>
    <w:rsid w:val="00E75299"/>
    <w:rsid w:val="00E752AB"/>
    <w:rsid w:val="00E752BB"/>
    <w:rsid w:val="00E75463"/>
    <w:rsid w:val="00E755D0"/>
    <w:rsid w:val="00E75825"/>
    <w:rsid w:val="00E75981"/>
    <w:rsid w:val="00E75D8C"/>
    <w:rsid w:val="00E75F29"/>
    <w:rsid w:val="00E75F30"/>
    <w:rsid w:val="00E75F4F"/>
    <w:rsid w:val="00E75FA4"/>
    <w:rsid w:val="00E76079"/>
    <w:rsid w:val="00E760F4"/>
    <w:rsid w:val="00E76249"/>
    <w:rsid w:val="00E76379"/>
    <w:rsid w:val="00E763CD"/>
    <w:rsid w:val="00E76559"/>
    <w:rsid w:val="00E76588"/>
    <w:rsid w:val="00E765AC"/>
    <w:rsid w:val="00E76810"/>
    <w:rsid w:val="00E76A31"/>
    <w:rsid w:val="00E76B69"/>
    <w:rsid w:val="00E76ECF"/>
    <w:rsid w:val="00E770FD"/>
    <w:rsid w:val="00E7733A"/>
    <w:rsid w:val="00E774CC"/>
    <w:rsid w:val="00E775AD"/>
    <w:rsid w:val="00E778E2"/>
    <w:rsid w:val="00E779A7"/>
    <w:rsid w:val="00E77A20"/>
    <w:rsid w:val="00E77BB5"/>
    <w:rsid w:val="00E77D59"/>
    <w:rsid w:val="00E77F65"/>
    <w:rsid w:val="00E8033C"/>
    <w:rsid w:val="00E804F0"/>
    <w:rsid w:val="00E80B13"/>
    <w:rsid w:val="00E80C12"/>
    <w:rsid w:val="00E80C78"/>
    <w:rsid w:val="00E80ED3"/>
    <w:rsid w:val="00E81382"/>
    <w:rsid w:val="00E814D9"/>
    <w:rsid w:val="00E81539"/>
    <w:rsid w:val="00E818CD"/>
    <w:rsid w:val="00E819BA"/>
    <w:rsid w:val="00E81B83"/>
    <w:rsid w:val="00E81C34"/>
    <w:rsid w:val="00E81C37"/>
    <w:rsid w:val="00E82018"/>
    <w:rsid w:val="00E82075"/>
    <w:rsid w:val="00E82254"/>
    <w:rsid w:val="00E82751"/>
    <w:rsid w:val="00E8276F"/>
    <w:rsid w:val="00E82786"/>
    <w:rsid w:val="00E82A47"/>
    <w:rsid w:val="00E82FD0"/>
    <w:rsid w:val="00E832EE"/>
    <w:rsid w:val="00E8341E"/>
    <w:rsid w:val="00E8351A"/>
    <w:rsid w:val="00E835AE"/>
    <w:rsid w:val="00E83718"/>
    <w:rsid w:val="00E83720"/>
    <w:rsid w:val="00E83847"/>
    <w:rsid w:val="00E83A73"/>
    <w:rsid w:val="00E83C83"/>
    <w:rsid w:val="00E83CC2"/>
    <w:rsid w:val="00E83D4B"/>
    <w:rsid w:val="00E84141"/>
    <w:rsid w:val="00E842C6"/>
    <w:rsid w:val="00E8433E"/>
    <w:rsid w:val="00E844CE"/>
    <w:rsid w:val="00E8485D"/>
    <w:rsid w:val="00E849FD"/>
    <w:rsid w:val="00E84B7A"/>
    <w:rsid w:val="00E84BFF"/>
    <w:rsid w:val="00E84E06"/>
    <w:rsid w:val="00E84EA0"/>
    <w:rsid w:val="00E84F78"/>
    <w:rsid w:val="00E8506C"/>
    <w:rsid w:val="00E851A9"/>
    <w:rsid w:val="00E853BE"/>
    <w:rsid w:val="00E855E4"/>
    <w:rsid w:val="00E85B15"/>
    <w:rsid w:val="00E85BDA"/>
    <w:rsid w:val="00E85C4B"/>
    <w:rsid w:val="00E86076"/>
    <w:rsid w:val="00E860F6"/>
    <w:rsid w:val="00E86203"/>
    <w:rsid w:val="00E86278"/>
    <w:rsid w:val="00E8645B"/>
    <w:rsid w:val="00E866CA"/>
    <w:rsid w:val="00E86930"/>
    <w:rsid w:val="00E86B10"/>
    <w:rsid w:val="00E86CE4"/>
    <w:rsid w:val="00E86CF5"/>
    <w:rsid w:val="00E86EE8"/>
    <w:rsid w:val="00E86FA0"/>
    <w:rsid w:val="00E870F0"/>
    <w:rsid w:val="00E871E6"/>
    <w:rsid w:val="00E873DC"/>
    <w:rsid w:val="00E873E0"/>
    <w:rsid w:val="00E87414"/>
    <w:rsid w:val="00E87540"/>
    <w:rsid w:val="00E87588"/>
    <w:rsid w:val="00E87867"/>
    <w:rsid w:val="00E878C6"/>
    <w:rsid w:val="00E87EAB"/>
    <w:rsid w:val="00E87F2B"/>
    <w:rsid w:val="00E90128"/>
    <w:rsid w:val="00E9023D"/>
    <w:rsid w:val="00E902D6"/>
    <w:rsid w:val="00E903BC"/>
    <w:rsid w:val="00E9054C"/>
    <w:rsid w:val="00E9066B"/>
    <w:rsid w:val="00E906CA"/>
    <w:rsid w:val="00E906D7"/>
    <w:rsid w:val="00E90848"/>
    <w:rsid w:val="00E90B48"/>
    <w:rsid w:val="00E90C15"/>
    <w:rsid w:val="00E91068"/>
    <w:rsid w:val="00E9107E"/>
    <w:rsid w:val="00E9122D"/>
    <w:rsid w:val="00E91308"/>
    <w:rsid w:val="00E91583"/>
    <w:rsid w:val="00E915B5"/>
    <w:rsid w:val="00E91661"/>
    <w:rsid w:val="00E91757"/>
    <w:rsid w:val="00E91962"/>
    <w:rsid w:val="00E919C0"/>
    <w:rsid w:val="00E91AF4"/>
    <w:rsid w:val="00E91B97"/>
    <w:rsid w:val="00E91D8E"/>
    <w:rsid w:val="00E91D98"/>
    <w:rsid w:val="00E91EE7"/>
    <w:rsid w:val="00E91F6C"/>
    <w:rsid w:val="00E91F99"/>
    <w:rsid w:val="00E92076"/>
    <w:rsid w:val="00E92082"/>
    <w:rsid w:val="00E92221"/>
    <w:rsid w:val="00E9226B"/>
    <w:rsid w:val="00E92287"/>
    <w:rsid w:val="00E922EC"/>
    <w:rsid w:val="00E92603"/>
    <w:rsid w:val="00E92B90"/>
    <w:rsid w:val="00E92BA2"/>
    <w:rsid w:val="00E92E09"/>
    <w:rsid w:val="00E930B4"/>
    <w:rsid w:val="00E931C5"/>
    <w:rsid w:val="00E9322D"/>
    <w:rsid w:val="00E93438"/>
    <w:rsid w:val="00E934DD"/>
    <w:rsid w:val="00E9358D"/>
    <w:rsid w:val="00E93918"/>
    <w:rsid w:val="00E93BE3"/>
    <w:rsid w:val="00E93C88"/>
    <w:rsid w:val="00E93E33"/>
    <w:rsid w:val="00E93F90"/>
    <w:rsid w:val="00E940C3"/>
    <w:rsid w:val="00E941D3"/>
    <w:rsid w:val="00E946A4"/>
    <w:rsid w:val="00E946F5"/>
    <w:rsid w:val="00E94717"/>
    <w:rsid w:val="00E94A83"/>
    <w:rsid w:val="00E94E43"/>
    <w:rsid w:val="00E94E5A"/>
    <w:rsid w:val="00E94ED3"/>
    <w:rsid w:val="00E95029"/>
    <w:rsid w:val="00E9504D"/>
    <w:rsid w:val="00E9512E"/>
    <w:rsid w:val="00E955B8"/>
    <w:rsid w:val="00E955C1"/>
    <w:rsid w:val="00E955C5"/>
    <w:rsid w:val="00E956A9"/>
    <w:rsid w:val="00E95918"/>
    <w:rsid w:val="00E95E66"/>
    <w:rsid w:val="00E95F46"/>
    <w:rsid w:val="00E95F8C"/>
    <w:rsid w:val="00E9653B"/>
    <w:rsid w:val="00E9666B"/>
    <w:rsid w:val="00E9668E"/>
    <w:rsid w:val="00E9689E"/>
    <w:rsid w:val="00E96BDE"/>
    <w:rsid w:val="00E96DA7"/>
    <w:rsid w:val="00E96EB3"/>
    <w:rsid w:val="00E96F40"/>
    <w:rsid w:val="00E97135"/>
    <w:rsid w:val="00E9724D"/>
    <w:rsid w:val="00E972BA"/>
    <w:rsid w:val="00E9756A"/>
    <w:rsid w:val="00E976B8"/>
    <w:rsid w:val="00E977CC"/>
    <w:rsid w:val="00E97B4F"/>
    <w:rsid w:val="00E97BBA"/>
    <w:rsid w:val="00E97CAF"/>
    <w:rsid w:val="00E97E6F"/>
    <w:rsid w:val="00E97EE2"/>
    <w:rsid w:val="00E97F4C"/>
    <w:rsid w:val="00E97FAA"/>
    <w:rsid w:val="00EA0013"/>
    <w:rsid w:val="00EA0045"/>
    <w:rsid w:val="00EA0123"/>
    <w:rsid w:val="00EA01BF"/>
    <w:rsid w:val="00EA01EE"/>
    <w:rsid w:val="00EA02B8"/>
    <w:rsid w:val="00EA0397"/>
    <w:rsid w:val="00EA0782"/>
    <w:rsid w:val="00EA0838"/>
    <w:rsid w:val="00EA09BB"/>
    <w:rsid w:val="00EA09CD"/>
    <w:rsid w:val="00EA0CEF"/>
    <w:rsid w:val="00EA0E16"/>
    <w:rsid w:val="00EA0F2E"/>
    <w:rsid w:val="00EA0FE8"/>
    <w:rsid w:val="00EA11C6"/>
    <w:rsid w:val="00EA12AE"/>
    <w:rsid w:val="00EA1559"/>
    <w:rsid w:val="00EA15A4"/>
    <w:rsid w:val="00EA15E2"/>
    <w:rsid w:val="00EA1707"/>
    <w:rsid w:val="00EA178B"/>
    <w:rsid w:val="00EA17F6"/>
    <w:rsid w:val="00EA205D"/>
    <w:rsid w:val="00EA2158"/>
    <w:rsid w:val="00EA21C4"/>
    <w:rsid w:val="00EA280D"/>
    <w:rsid w:val="00EA284F"/>
    <w:rsid w:val="00EA2966"/>
    <w:rsid w:val="00EA2A1D"/>
    <w:rsid w:val="00EA2B38"/>
    <w:rsid w:val="00EA2E22"/>
    <w:rsid w:val="00EA2E9E"/>
    <w:rsid w:val="00EA3044"/>
    <w:rsid w:val="00EA35F7"/>
    <w:rsid w:val="00EA3969"/>
    <w:rsid w:val="00EA3B54"/>
    <w:rsid w:val="00EA3B70"/>
    <w:rsid w:val="00EA3DF8"/>
    <w:rsid w:val="00EA3EC9"/>
    <w:rsid w:val="00EA3EEA"/>
    <w:rsid w:val="00EA3F6C"/>
    <w:rsid w:val="00EA436B"/>
    <w:rsid w:val="00EA4822"/>
    <w:rsid w:val="00EA49E1"/>
    <w:rsid w:val="00EA4C6E"/>
    <w:rsid w:val="00EA4C7E"/>
    <w:rsid w:val="00EA4CDD"/>
    <w:rsid w:val="00EA4EB3"/>
    <w:rsid w:val="00EA4F21"/>
    <w:rsid w:val="00EA519E"/>
    <w:rsid w:val="00EA5411"/>
    <w:rsid w:val="00EA55C4"/>
    <w:rsid w:val="00EA570A"/>
    <w:rsid w:val="00EA5AC0"/>
    <w:rsid w:val="00EA5C2B"/>
    <w:rsid w:val="00EA5D9A"/>
    <w:rsid w:val="00EA6201"/>
    <w:rsid w:val="00EA6356"/>
    <w:rsid w:val="00EA6539"/>
    <w:rsid w:val="00EA65B9"/>
    <w:rsid w:val="00EA6871"/>
    <w:rsid w:val="00EA6878"/>
    <w:rsid w:val="00EA6B98"/>
    <w:rsid w:val="00EA6BE8"/>
    <w:rsid w:val="00EA6DC8"/>
    <w:rsid w:val="00EA6F83"/>
    <w:rsid w:val="00EA7581"/>
    <w:rsid w:val="00EA789C"/>
    <w:rsid w:val="00EA799F"/>
    <w:rsid w:val="00EA79F4"/>
    <w:rsid w:val="00EA7CDB"/>
    <w:rsid w:val="00EA7E0B"/>
    <w:rsid w:val="00EB00A2"/>
    <w:rsid w:val="00EB01B0"/>
    <w:rsid w:val="00EB0359"/>
    <w:rsid w:val="00EB0633"/>
    <w:rsid w:val="00EB084B"/>
    <w:rsid w:val="00EB0D82"/>
    <w:rsid w:val="00EB0E10"/>
    <w:rsid w:val="00EB1302"/>
    <w:rsid w:val="00EB1628"/>
    <w:rsid w:val="00EB16DD"/>
    <w:rsid w:val="00EB18A0"/>
    <w:rsid w:val="00EB1A27"/>
    <w:rsid w:val="00EB1B3F"/>
    <w:rsid w:val="00EB1BE8"/>
    <w:rsid w:val="00EB1D09"/>
    <w:rsid w:val="00EB1D47"/>
    <w:rsid w:val="00EB1FF5"/>
    <w:rsid w:val="00EB2095"/>
    <w:rsid w:val="00EB215B"/>
    <w:rsid w:val="00EB2286"/>
    <w:rsid w:val="00EB22B8"/>
    <w:rsid w:val="00EB243F"/>
    <w:rsid w:val="00EB2553"/>
    <w:rsid w:val="00EB261D"/>
    <w:rsid w:val="00EB2716"/>
    <w:rsid w:val="00EB2A6C"/>
    <w:rsid w:val="00EB2CCC"/>
    <w:rsid w:val="00EB2DC3"/>
    <w:rsid w:val="00EB2FAA"/>
    <w:rsid w:val="00EB3032"/>
    <w:rsid w:val="00EB30D9"/>
    <w:rsid w:val="00EB338E"/>
    <w:rsid w:val="00EB3558"/>
    <w:rsid w:val="00EB397A"/>
    <w:rsid w:val="00EB3A8C"/>
    <w:rsid w:val="00EB3AA4"/>
    <w:rsid w:val="00EB3D17"/>
    <w:rsid w:val="00EB40AB"/>
    <w:rsid w:val="00EB47BD"/>
    <w:rsid w:val="00EB4810"/>
    <w:rsid w:val="00EB4943"/>
    <w:rsid w:val="00EB4AC1"/>
    <w:rsid w:val="00EB4BB0"/>
    <w:rsid w:val="00EB4C35"/>
    <w:rsid w:val="00EB4CAE"/>
    <w:rsid w:val="00EB4D6C"/>
    <w:rsid w:val="00EB4E5C"/>
    <w:rsid w:val="00EB4F79"/>
    <w:rsid w:val="00EB4FE5"/>
    <w:rsid w:val="00EB501A"/>
    <w:rsid w:val="00EB51CD"/>
    <w:rsid w:val="00EB5269"/>
    <w:rsid w:val="00EB52B2"/>
    <w:rsid w:val="00EB539F"/>
    <w:rsid w:val="00EB547C"/>
    <w:rsid w:val="00EB5559"/>
    <w:rsid w:val="00EB55A7"/>
    <w:rsid w:val="00EB59FE"/>
    <w:rsid w:val="00EB5ABD"/>
    <w:rsid w:val="00EB5BEB"/>
    <w:rsid w:val="00EB5EE2"/>
    <w:rsid w:val="00EB5F08"/>
    <w:rsid w:val="00EB5F70"/>
    <w:rsid w:val="00EB6050"/>
    <w:rsid w:val="00EB636F"/>
    <w:rsid w:val="00EB651C"/>
    <w:rsid w:val="00EB696A"/>
    <w:rsid w:val="00EB6B73"/>
    <w:rsid w:val="00EB6B78"/>
    <w:rsid w:val="00EB6B82"/>
    <w:rsid w:val="00EB6BAF"/>
    <w:rsid w:val="00EB6BBE"/>
    <w:rsid w:val="00EB6BF8"/>
    <w:rsid w:val="00EB6CA7"/>
    <w:rsid w:val="00EB6DF0"/>
    <w:rsid w:val="00EB6E7E"/>
    <w:rsid w:val="00EB6E92"/>
    <w:rsid w:val="00EB6EC0"/>
    <w:rsid w:val="00EB770C"/>
    <w:rsid w:val="00EB77CB"/>
    <w:rsid w:val="00EB77F2"/>
    <w:rsid w:val="00EB786B"/>
    <w:rsid w:val="00EC00F5"/>
    <w:rsid w:val="00EC016E"/>
    <w:rsid w:val="00EC0260"/>
    <w:rsid w:val="00EC03AA"/>
    <w:rsid w:val="00EC0425"/>
    <w:rsid w:val="00EC077F"/>
    <w:rsid w:val="00EC0A81"/>
    <w:rsid w:val="00EC0CE7"/>
    <w:rsid w:val="00EC0E51"/>
    <w:rsid w:val="00EC124C"/>
    <w:rsid w:val="00EC12A5"/>
    <w:rsid w:val="00EC1344"/>
    <w:rsid w:val="00EC141A"/>
    <w:rsid w:val="00EC187B"/>
    <w:rsid w:val="00EC193B"/>
    <w:rsid w:val="00EC1A3A"/>
    <w:rsid w:val="00EC1B33"/>
    <w:rsid w:val="00EC1B62"/>
    <w:rsid w:val="00EC1CDE"/>
    <w:rsid w:val="00EC1CE0"/>
    <w:rsid w:val="00EC1DAE"/>
    <w:rsid w:val="00EC1E1D"/>
    <w:rsid w:val="00EC2095"/>
    <w:rsid w:val="00EC210D"/>
    <w:rsid w:val="00EC21C6"/>
    <w:rsid w:val="00EC26FC"/>
    <w:rsid w:val="00EC27C5"/>
    <w:rsid w:val="00EC283D"/>
    <w:rsid w:val="00EC2A27"/>
    <w:rsid w:val="00EC2A3B"/>
    <w:rsid w:val="00EC2A8D"/>
    <w:rsid w:val="00EC2BE1"/>
    <w:rsid w:val="00EC2CF9"/>
    <w:rsid w:val="00EC2D5D"/>
    <w:rsid w:val="00EC2EAE"/>
    <w:rsid w:val="00EC3135"/>
    <w:rsid w:val="00EC316C"/>
    <w:rsid w:val="00EC32C5"/>
    <w:rsid w:val="00EC3556"/>
    <w:rsid w:val="00EC3637"/>
    <w:rsid w:val="00EC369B"/>
    <w:rsid w:val="00EC377B"/>
    <w:rsid w:val="00EC37A8"/>
    <w:rsid w:val="00EC3827"/>
    <w:rsid w:val="00EC3913"/>
    <w:rsid w:val="00EC39B8"/>
    <w:rsid w:val="00EC3AA0"/>
    <w:rsid w:val="00EC3AF8"/>
    <w:rsid w:val="00EC3CC0"/>
    <w:rsid w:val="00EC3E81"/>
    <w:rsid w:val="00EC3FE4"/>
    <w:rsid w:val="00EC432F"/>
    <w:rsid w:val="00EC43FE"/>
    <w:rsid w:val="00EC455A"/>
    <w:rsid w:val="00EC4654"/>
    <w:rsid w:val="00EC47E7"/>
    <w:rsid w:val="00EC4A15"/>
    <w:rsid w:val="00EC4CA9"/>
    <w:rsid w:val="00EC4D6D"/>
    <w:rsid w:val="00EC4E46"/>
    <w:rsid w:val="00EC502C"/>
    <w:rsid w:val="00EC51B9"/>
    <w:rsid w:val="00EC51F6"/>
    <w:rsid w:val="00EC529E"/>
    <w:rsid w:val="00EC5323"/>
    <w:rsid w:val="00EC532E"/>
    <w:rsid w:val="00EC5343"/>
    <w:rsid w:val="00EC534B"/>
    <w:rsid w:val="00EC53E0"/>
    <w:rsid w:val="00EC54AA"/>
    <w:rsid w:val="00EC57D6"/>
    <w:rsid w:val="00EC58AD"/>
    <w:rsid w:val="00EC5A9F"/>
    <w:rsid w:val="00EC5B47"/>
    <w:rsid w:val="00EC5BE6"/>
    <w:rsid w:val="00EC5D38"/>
    <w:rsid w:val="00EC616A"/>
    <w:rsid w:val="00EC685B"/>
    <w:rsid w:val="00EC697D"/>
    <w:rsid w:val="00EC6A84"/>
    <w:rsid w:val="00EC713F"/>
    <w:rsid w:val="00EC73B5"/>
    <w:rsid w:val="00EC74F3"/>
    <w:rsid w:val="00EC7620"/>
    <w:rsid w:val="00EC77EC"/>
    <w:rsid w:val="00EC7821"/>
    <w:rsid w:val="00EC7A97"/>
    <w:rsid w:val="00EC7B92"/>
    <w:rsid w:val="00EC7BB8"/>
    <w:rsid w:val="00EC7EC6"/>
    <w:rsid w:val="00ED0312"/>
    <w:rsid w:val="00ED055E"/>
    <w:rsid w:val="00ED0680"/>
    <w:rsid w:val="00ED0750"/>
    <w:rsid w:val="00ED080A"/>
    <w:rsid w:val="00ED09BF"/>
    <w:rsid w:val="00ED0A40"/>
    <w:rsid w:val="00ED0B82"/>
    <w:rsid w:val="00ED0BB5"/>
    <w:rsid w:val="00ED0F12"/>
    <w:rsid w:val="00ED1005"/>
    <w:rsid w:val="00ED1065"/>
    <w:rsid w:val="00ED11C6"/>
    <w:rsid w:val="00ED15A2"/>
    <w:rsid w:val="00ED15CF"/>
    <w:rsid w:val="00ED17CA"/>
    <w:rsid w:val="00ED192B"/>
    <w:rsid w:val="00ED1D00"/>
    <w:rsid w:val="00ED1EE6"/>
    <w:rsid w:val="00ED240E"/>
    <w:rsid w:val="00ED2501"/>
    <w:rsid w:val="00ED2520"/>
    <w:rsid w:val="00ED2523"/>
    <w:rsid w:val="00ED2976"/>
    <w:rsid w:val="00ED2AAE"/>
    <w:rsid w:val="00ED2C80"/>
    <w:rsid w:val="00ED2DA3"/>
    <w:rsid w:val="00ED2DD0"/>
    <w:rsid w:val="00ED3117"/>
    <w:rsid w:val="00ED326B"/>
    <w:rsid w:val="00ED3282"/>
    <w:rsid w:val="00ED33AF"/>
    <w:rsid w:val="00ED34CB"/>
    <w:rsid w:val="00ED3641"/>
    <w:rsid w:val="00ED3B69"/>
    <w:rsid w:val="00ED3C91"/>
    <w:rsid w:val="00ED3D98"/>
    <w:rsid w:val="00ED3EE7"/>
    <w:rsid w:val="00ED440E"/>
    <w:rsid w:val="00ED448C"/>
    <w:rsid w:val="00ED44CB"/>
    <w:rsid w:val="00ED450F"/>
    <w:rsid w:val="00ED4558"/>
    <w:rsid w:val="00ED4712"/>
    <w:rsid w:val="00ED4735"/>
    <w:rsid w:val="00ED47F1"/>
    <w:rsid w:val="00ED4A93"/>
    <w:rsid w:val="00ED4FB6"/>
    <w:rsid w:val="00ED4FBC"/>
    <w:rsid w:val="00ED5027"/>
    <w:rsid w:val="00ED5255"/>
    <w:rsid w:val="00ED5408"/>
    <w:rsid w:val="00ED541D"/>
    <w:rsid w:val="00ED55B4"/>
    <w:rsid w:val="00ED566C"/>
    <w:rsid w:val="00ED5739"/>
    <w:rsid w:val="00ED58C3"/>
    <w:rsid w:val="00ED5947"/>
    <w:rsid w:val="00ED59DA"/>
    <w:rsid w:val="00ED5B89"/>
    <w:rsid w:val="00ED5EDB"/>
    <w:rsid w:val="00ED5EE3"/>
    <w:rsid w:val="00ED5FD6"/>
    <w:rsid w:val="00ED6033"/>
    <w:rsid w:val="00ED6051"/>
    <w:rsid w:val="00ED6092"/>
    <w:rsid w:val="00ED62B4"/>
    <w:rsid w:val="00ED6348"/>
    <w:rsid w:val="00ED638E"/>
    <w:rsid w:val="00ED6436"/>
    <w:rsid w:val="00ED65CA"/>
    <w:rsid w:val="00ED66EF"/>
    <w:rsid w:val="00ED681F"/>
    <w:rsid w:val="00ED6C08"/>
    <w:rsid w:val="00ED6CC4"/>
    <w:rsid w:val="00ED6D9B"/>
    <w:rsid w:val="00ED6DFE"/>
    <w:rsid w:val="00ED7123"/>
    <w:rsid w:val="00ED721E"/>
    <w:rsid w:val="00ED73DF"/>
    <w:rsid w:val="00ED73E7"/>
    <w:rsid w:val="00ED7548"/>
    <w:rsid w:val="00ED7595"/>
    <w:rsid w:val="00ED778C"/>
    <w:rsid w:val="00ED7A81"/>
    <w:rsid w:val="00ED7B2E"/>
    <w:rsid w:val="00ED7B61"/>
    <w:rsid w:val="00ED7BB8"/>
    <w:rsid w:val="00ED7C6E"/>
    <w:rsid w:val="00ED7F9D"/>
    <w:rsid w:val="00EE0041"/>
    <w:rsid w:val="00EE0150"/>
    <w:rsid w:val="00EE042C"/>
    <w:rsid w:val="00EE085B"/>
    <w:rsid w:val="00EE089B"/>
    <w:rsid w:val="00EE089D"/>
    <w:rsid w:val="00EE0936"/>
    <w:rsid w:val="00EE0B7F"/>
    <w:rsid w:val="00EE0D35"/>
    <w:rsid w:val="00EE12F0"/>
    <w:rsid w:val="00EE13E5"/>
    <w:rsid w:val="00EE180F"/>
    <w:rsid w:val="00EE1921"/>
    <w:rsid w:val="00EE1A9F"/>
    <w:rsid w:val="00EE1B94"/>
    <w:rsid w:val="00EE1BC4"/>
    <w:rsid w:val="00EE1DC1"/>
    <w:rsid w:val="00EE1EDF"/>
    <w:rsid w:val="00EE1F00"/>
    <w:rsid w:val="00EE2037"/>
    <w:rsid w:val="00EE2115"/>
    <w:rsid w:val="00EE249B"/>
    <w:rsid w:val="00EE24EF"/>
    <w:rsid w:val="00EE2510"/>
    <w:rsid w:val="00EE27A1"/>
    <w:rsid w:val="00EE2816"/>
    <w:rsid w:val="00EE2906"/>
    <w:rsid w:val="00EE2977"/>
    <w:rsid w:val="00EE2A82"/>
    <w:rsid w:val="00EE2C02"/>
    <w:rsid w:val="00EE2D29"/>
    <w:rsid w:val="00EE3092"/>
    <w:rsid w:val="00EE30FA"/>
    <w:rsid w:val="00EE3149"/>
    <w:rsid w:val="00EE3245"/>
    <w:rsid w:val="00EE32FB"/>
    <w:rsid w:val="00EE35B3"/>
    <w:rsid w:val="00EE36C6"/>
    <w:rsid w:val="00EE399A"/>
    <w:rsid w:val="00EE3A2D"/>
    <w:rsid w:val="00EE3DFC"/>
    <w:rsid w:val="00EE3E11"/>
    <w:rsid w:val="00EE3F51"/>
    <w:rsid w:val="00EE3FB5"/>
    <w:rsid w:val="00EE44CE"/>
    <w:rsid w:val="00EE454C"/>
    <w:rsid w:val="00EE4564"/>
    <w:rsid w:val="00EE4617"/>
    <w:rsid w:val="00EE4BCC"/>
    <w:rsid w:val="00EE4C53"/>
    <w:rsid w:val="00EE4EFE"/>
    <w:rsid w:val="00EE4F2C"/>
    <w:rsid w:val="00EE4F88"/>
    <w:rsid w:val="00EE512C"/>
    <w:rsid w:val="00EE520F"/>
    <w:rsid w:val="00EE5258"/>
    <w:rsid w:val="00EE5598"/>
    <w:rsid w:val="00EE57C1"/>
    <w:rsid w:val="00EE5AE7"/>
    <w:rsid w:val="00EE5BD7"/>
    <w:rsid w:val="00EE5BED"/>
    <w:rsid w:val="00EE5E5B"/>
    <w:rsid w:val="00EE5EAB"/>
    <w:rsid w:val="00EE5F72"/>
    <w:rsid w:val="00EE6014"/>
    <w:rsid w:val="00EE6043"/>
    <w:rsid w:val="00EE66F7"/>
    <w:rsid w:val="00EE6777"/>
    <w:rsid w:val="00EE67EF"/>
    <w:rsid w:val="00EE6999"/>
    <w:rsid w:val="00EE699A"/>
    <w:rsid w:val="00EE69DA"/>
    <w:rsid w:val="00EE6C91"/>
    <w:rsid w:val="00EE6DAD"/>
    <w:rsid w:val="00EE6EF5"/>
    <w:rsid w:val="00EE7288"/>
    <w:rsid w:val="00EE72B2"/>
    <w:rsid w:val="00EE763C"/>
    <w:rsid w:val="00EE7915"/>
    <w:rsid w:val="00EE7E98"/>
    <w:rsid w:val="00EE7EEF"/>
    <w:rsid w:val="00EF01C4"/>
    <w:rsid w:val="00EF05BF"/>
    <w:rsid w:val="00EF0658"/>
    <w:rsid w:val="00EF06A1"/>
    <w:rsid w:val="00EF0B11"/>
    <w:rsid w:val="00EF0BAA"/>
    <w:rsid w:val="00EF0CBC"/>
    <w:rsid w:val="00EF0FED"/>
    <w:rsid w:val="00EF1418"/>
    <w:rsid w:val="00EF15A0"/>
    <w:rsid w:val="00EF15EF"/>
    <w:rsid w:val="00EF162C"/>
    <w:rsid w:val="00EF1631"/>
    <w:rsid w:val="00EF1A7A"/>
    <w:rsid w:val="00EF1BE4"/>
    <w:rsid w:val="00EF1D6D"/>
    <w:rsid w:val="00EF1DC5"/>
    <w:rsid w:val="00EF1E84"/>
    <w:rsid w:val="00EF1EDB"/>
    <w:rsid w:val="00EF1F33"/>
    <w:rsid w:val="00EF20E5"/>
    <w:rsid w:val="00EF220C"/>
    <w:rsid w:val="00EF2496"/>
    <w:rsid w:val="00EF2596"/>
    <w:rsid w:val="00EF26C2"/>
    <w:rsid w:val="00EF286A"/>
    <w:rsid w:val="00EF28C1"/>
    <w:rsid w:val="00EF29FE"/>
    <w:rsid w:val="00EF2B3E"/>
    <w:rsid w:val="00EF2C49"/>
    <w:rsid w:val="00EF2DBF"/>
    <w:rsid w:val="00EF2EF3"/>
    <w:rsid w:val="00EF2FC6"/>
    <w:rsid w:val="00EF3119"/>
    <w:rsid w:val="00EF315A"/>
    <w:rsid w:val="00EF338F"/>
    <w:rsid w:val="00EF33C3"/>
    <w:rsid w:val="00EF3442"/>
    <w:rsid w:val="00EF3782"/>
    <w:rsid w:val="00EF3792"/>
    <w:rsid w:val="00EF393D"/>
    <w:rsid w:val="00EF398F"/>
    <w:rsid w:val="00EF39C3"/>
    <w:rsid w:val="00EF3B56"/>
    <w:rsid w:val="00EF3BBD"/>
    <w:rsid w:val="00EF3DA0"/>
    <w:rsid w:val="00EF425C"/>
    <w:rsid w:val="00EF4666"/>
    <w:rsid w:val="00EF4D40"/>
    <w:rsid w:val="00EF4D41"/>
    <w:rsid w:val="00EF5575"/>
    <w:rsid w:val="00EF566A"/>
    <w:rsid w:val="00EF58A1"/>
    <w:rsid w:val="00EF59BA"/>
    <w:rsid w:val="00EF5AAD"/>
    <w:rsid w:val="00EF5BAA"/>
    <w:rsid w:val="00EF5C0D"/>
    <w:rsid w:val="00EF5C18"/>
    <w:rsid w:val="00EF5C95"/>
    <w:rsid w:val="00EF5DE4"/>
    <w:rsid w:val="00EF5F61"/>
    <w:rsid w:val="00EF60CF"/>
    <w:rsid w:val="00EF610D"/>
    <w:rsid w:val="00EF6153"/>
    <w:rsid w:val="00EF631F"/>
    <w:rsid w:val="00EF641F"/>
    <w:rsid w:val="00EF64B7"/>
    <w:rsid w:val="00EF64F5"/>
    <w:rsid w:val="00EF65D9"/>
    <w:rsid w:val="00EF6736"/>
    <w:rsid w:val="00EF68BB"/>
    <w:rsid w:val="00EF698F"/>
    <w:rsid w:val="00EF6C2F"/>
    <w:rsid w:val="00EF6F15"/>
    <w:rsid w:val="00EF6F5C"/>
    <w:rsid w:val="00EF7034"/>
    <w:rsid w:val="00EF7041"/>
    <w:rsid w:val="00EF713A"/>
    <w:rsid w:val="00EF7174"/>
    <w:rsid w:val="00EF72BE"/>
    <w:rsid w:val="00EF72DD"/>
    <w:rsid w:val="00EF7359"/>
    <w:rsid w:val="00EF758A"/>
    <w:rsid w:val="00EF764A"/>
    <w:rsid w:val="00EF774F"/>
    <w:rsid w:val="00EF78EC"/>
    <w:rsid w:val="00EF7B4F"/>
    <w:rsid w:val="00F0016B"/>
    <w:rsid w:val="00F001D2"/>
    <w:rsid w:val="00F00247"/>
    <w:rsid w:val="00F00339"/>
    <w:rsid w:val="00F003AC"/>
    <w:rsid w:val="00F003CA"/>
    <w:rsid w:val="00F00429"/>
    <w:rsid w:val="00F0043C"/>
    <w:rsid w:val="00F0064F"/>
    <w:rsid w:val="00F006CE"/>
    <w:rsid w:val="00F00792"/>
    <w:rsid w:val="00F009BC"/>
    <w:rsid w:val="00F00AA3"/>
    <w:rsid w:val="00F00AAD"/>
    <w:rsid w:val="00F00BBF"/>
    <w:rsid w:val="00F00C99"/>
    <w:rsid w:val="00F00CBF"/>
    <w:rsid w:val="00F00F0D"/>
    <w:rsid w:val="00F00F28"/>
    <w:rsid w:val="00F012B3"/>
    <w:rsid w:val="00F0138C"/>
    <w:rsid w:val="00F01399"/>
    <w:rsid w:val="00F01538"/>
    <w:rsid w:val="00F0155E"/>
    <w:rsid w:val="00F01B6F"/>
    <w:rsid w:val="00F01BC9"/>
    <w:rsid w:val="00F01E4D"/>
    <w:rsid w:val="00F02076"/>
    <w:rsid w:val="00F020E7"/>
    <w:rsid w:val="00F022DE"/>
    <w:rsid w:val="00F022FE"/>
    <w:rsid w:val="00F0239A"/>
    <w:rsid w:val="00F0275A"/>
    <w:rsid w:val="00F0289F"/>
    <w:rsid w:val="00F029F6"/>
    <w:rsid w:val="00F02D24"/>
    <w:rsid w:val="00F02DF6"/>
    <w:rsid w:val="00F02E16"/>
    <w:rsid w:val="00F03010"/>
    <w:rsid w:val="00F03165"/>
    <w:rsid w:val="00F031AC"/>
    <w:rsid w:val="00F03232"/>
    <w:rsid w:val="00F032E2"/>
    <w:rsid w:val="00F03668"/>
    <w:rsid w:val="00F03728"/>
    <w:rsid w:val="00F03DCC"/>
    <w:rsid w:val="00F03DD5"/>
    <w:rsid w:val="00F0401F"/>
    <w:rsid w:val="00F0468F"/>
    <w:rsid w:val="00F04B78"/>
    <w:rsid w:val="00F04CA4"/>
    <w:rsid w:val="00F04E30"/>
    <w:rsid w:val="00F04E3C"/>
    <w:rsid w:val="00F04EC1"/>
    <w:rsid w:val="00F050AF"/>
    <w:rsid w:val="00F05604"/>
    <w:rsid w:val="00F058FC"/>
    <w:rsid w:val="00F05D39"/>
    <w:rsid w:val="00F05DC9"/>
    <w:rsid w:val="00F05DE2"/>
    <w:rsid w:val="00F05E51"/>
    <w:rsid w:val="00F06578"/>
    <w:rsid w:val="00F0676F"/>
    <w:rsid w:val="00F067E9"/>
    <w:rsid w:val="00F06A33"/>
    <w:rsid w:val="00F06AA9"/>
    <w:rsid w:val="00F06B50"/>
    <w:rsid w:val="00F070D6"/>
    <w:rsid w:val="00F070F6"/>
    <w:rsid w:val="00F07234"/>
    <w:rsid w:val="00F072C8"/>
    <w:rsid w:val="00F072E2"/>
    <w:rsid w:val="00F07503"/>
    <w:rsid w:val="00F07545"/>
    <w:rsid w:val="00F07559"/>
    <w:rsid w:val="00F07606"/>
    <w:rsid w:val="00F0769B"/>
    <w:rsid w:val="00F07845"/>
    <w:rsid w:val="00F078F0"/>
    <w:rsid w:val="00F07AAC"/>
    <w:rsid w:val="00F10026"/>
    <w:rsid w:val="00F10111"/>
    <w:rsid w:val="00F101F8"/>
    <w:rsid w:val="00F102DB"/>
    <w:rsid w:val="00F104FD"/>
    <w:rsid w:val="00F10654"/>
    <w:rsid w:val="00F10907"/>
    <w:rsid w:val="00F10999"/>
    <w:rsid w:val="00F10A69"/>
    <w:rsid w:val="00F10B2A"/>
    <w:rsid w:val="00F10D62"/>
    <w:rsid w:val="00F10EF6"/>
    <w:rsid w:val="00F1111F"/>
    <w:rsid w:val="00F11183"/>
    <w:rsid w:val="00F1126B"/>
    <w:rsid w:val="00F1128C"/>
    <w:rsid w:val="00F112B6"/>
    <w:rsid w:val="00F11410"/>
    <w:rsid w:val="00F1150B"/>
    <w:rsid w:val="00F11677"/>
    <w:rsid w:val="00F116AF"/>
    <w:rsid w:val="00F11AD0"/>
    <w:rsid w:val="00F11AFE"/>
    <w:rsid w:val="00F11CA1"/>
    <w:rsid w:val="00F11E47"/>
    <w:rsid w:val="00F11EC5"/>
    <w:rsid w:val="00F11F3A"/>
    <w:rsid w:val="00F11F46"/>
    <w:rsid w:val="00F120F4"/>
    <w:rsid w:val="00F1253D"/>
    <w:rsid w:val="00F12668"/>
    <w:rsid w:val="00F127BF"/>
    <w:rsid w:val="00F127C4"/>
    <w:rsid w:val="00F127DF"/>
    <w:rsid w:val="00F129C1"/>
    <w:rsid w:val="00F12AE8"/>
    <w:rsid w:val="00F12FBF"/>
    <w:rsid w:val="00F130C4"/>
    <w:rsid w:val="00F1311E"/>
    <w:rsid w:val="00F13295"/>
    <w:rsid w:val="00F132CB"/>
    <w:rsid w:val="00F13380"/>
    <w:rsid w:val="00F135F4"/>
    <w:rsid w:val="00F136D5"/>
    <w:rsid w:val="00F13711"/>
    <w:rsid w:val="00F138F8"/>
    <w:rsid w:val="00F13A98"/>
    <w:rsid w:val="00F13ABA"/>
    <w:rsid w:val="00F13C24"/>
    <w:rsid w:val="00F13C99"/>
    <w:rsid w:val="00F13E80"/>
    <w:rsid w:val="00F13FB5"/>
    <w:rsid w:val="00F14012"/>
    <w:rsid w:val="00F147DF"/>
    <w:rsid w:val="00F14965"/>
    <w:rsid w:val="00F149C9"/>
    <w:rsid w:val="00F14AAC"/>
    <w:rsid w:val="00F14B3D"/>
    <w:rsid w:val="00F14BBD"/>
    <w:rsid w:val="00F14DFD"/>
    <w:rsid w:val="00F150F7"/>
    <w:rsid w:val="00F1531D"/>
    <w:rsid w:val="00F153EB"/>
    <w:rsid w:val="00F156C3"/>
    <w:rsid w:val="00F157A0"/>
    <w:rsid w:val="00F157AC"/>
    <w:rsid w:val="00F158DE"/>
    <w:rsid w:val="00F15942"/>
    <w:rsid w:val="00F15D76"/>
    <w:rsid w:val="00F160EA"/>
    <w:rsid w:val="00F161DC"/>
    <w:rsid w:val="00F161DE"/>
    <w:rsid w:val="00F16451"/>
    <w:rsid w:val="00F165E0"/>
    <w:rsid w:val="00F167AE"/>
    <w:rsid w:val="00F16A6C"/>
    <w:rsid w:val="00F16D4C"/>
    <w:rsid w:val="00F1712B"/>
    <w:rsid w:val="00F171D5"/>
    <w:rsid w:val="00F17338"/>
    <w:rsid w:val="00F17400"/>
    <w:rsid w:val="00F17667"/>
    <w:rsid w:val="00F1766E"/>
    <w:rsid w:val="00F178C4"/>
    <w:rsid w:val="00F17AED"/>
    <w:rsid w:val="00F17B59"/>
    <w:rsid w:val="00F17C15"/>
    <w:rsid w:val="00F17CBD"/>
    <w:rsid w:val="00F17E03"/>
    <w:rsid w:val="00F17E69"/>
    <w:rsid w:val="00F200C6"/>
    <w:rsid w:val="00F20151"/>
    <w:rsid w:val="00F202C0"/>
    <w:rsid w:val="00F20589"/>
    <w:rsid w:val="00F208BE"/>
    <w:rsid w:val="00F2095D"/>
    <w:rsid w:val="00F20A6E"/>
    <w:rsid w:val="00F20BD0"/>
    <w:rsid w:val="00F20CC2"/>
    <w:rsid w:val="00F20FAD"/>
    <w:rsid w:val="00F21137"/>
    <w:rsid w:val="00F212FE"/>
    <w:rsid w:val="00F213CE"/>
    <w:rsid w:val="00F213F9"/>
    <w:rsid w:val="00F21625"/>
    <w:rsid w:val="00F21793"/>
    <w:rsid w:val="00F219C5"/>
    <w:rsid w:val="00F21B16"/>
    <w:rsid w:val="00F21B45"/>
    <w:rsid w:val="00F21BA3"/>
    <w:rsid w:val="00F21BFE"/>
    <w:rsid w:val="00F21C05"/>
    <w:rsid w:val="00F21D57"/>
    <w:rsid w:val="00F22283"/>
    <w:rsid w:val="00F2232D"/>
    <w:rsid w:val="00F22384"/>
    <w:rsid w:val="00F225DA"/>
    <w:rsid w:val="00F225E4"/>
    <w:rsid w:val="00F2261C"/>
    <w:rsid w:val="00F226C7"/>
    <w:rsid w:val="00F22762"/>
    <w:rsid w:val="00F227D8"/>
    <w:rsid w:val="00F228EC"/>
    <w:rsid w:val="00F22B1B"/>
    <w:rsid w:val="00F23177"/>
    <w:rsid w:val="00F231BB"/>
    <w:rsid w:val="00F232F7"/>
    <w:rsid w:val="00F236DC"/>
    <w:rsid w:val="00F239BC"/>
    <w:rsid w:val="00F23E84"/>
    <w:rsid w:val="00F23FAB"/>
    <w:rsid w:val="00F23FE6"/>
    <w:rsid w:val="00F24193"/>
    <w:rsid w:val="00F2433C"/>
    <w:rsid w:val="00F243DE"/>
    <w:rsid w:val="00F2449B"/>
    <w:rsid w:val="00F24504"/>
    <w:rsid w:val="00F2463A"/>
    <w:rsid w:val="00F246CD"/>
    <w:rsid w:val="00F2470E"/>
    <w:rsid w:val="00F248B3"/>
    <w:rsid w:val="00F24A23"/>
    <w:rsid w:val="00F24ADC"/>
    <w:rsid w:val="00F24B26"/>
    <w:rsid w:val="00F24D87"/>
    <w:rsid w:val="00F24E50"/>
    <w:rsid w:val="00F25032"/>
    <w:rsid w:val="00F2513A"/>
    <w:rsid w:val="00F25156"/>
    <w:rsid w:val="00F252B8"/>
    <w:rsid w:val="00F253FA"/>
    <w:rsid w:val="00F25467"/>
    <w:rsid w:val="00F25619"/>
    <w:rsid w:val="00F25843"/>
    <w:rsid w:val="00F2586D"/>
    <w:rsid w:val="00F25A3D"/>
    <w:rsid w:val="00F25C4D"/>
    <w:rsid w:val="00F26242"/>
    <w:rsid w:val="00F2629A"/>
    <w:rsid w:val="00F26311"/>
    <w:rsid w:val="00F2635B"/>
    <w:rsid w:val="00F265B0"/>
    <w:rsid w:val="00F265B5"/>
    <w:rsid w:val="00F26637"/>
    <w:rsid w:val="00F2667A"/>
    <w:rsid w:val="00F268F4"/>
    <w:rsid w:val="00F26A1A"/>
    <w:rsid w:val="00F27003"/>
    <w:rsid w:val="00F2704E"/>
    <w:rsid w:val="00F27201"/>
    <w:rsid w:val="00F273A5"/>
    <w:rsid w:val="00F278BD"/>
    <w:rsid w:val="00F27A1F"/>
    <w:rsid w:val="00F27C35"/>
    <w:rsid w:val="00F27D3C"/>
    <w:rsid w:val="00F27D46"/>
    <w:rsid w:val="00F27E2D"/>
    <w:rsid w:val="00F27F17"/>
    <w:rsid w:val="00F301D1"/>
    <w:rsid w:val="00F301D3"/>
    <w:rsid w:val="00F3031E"/>
    <w:rsid w:val="00F306C0"/>
    <w:rsid w:val="00F30A4A"/>
    <w:rsid w:val="00F30B9A"/>
    <w:rsid w:val="00F310DB"/>
    <w:rsid w:val="00F310FE"/>
    <w:rsid w:val="00F31229"/>
    <w:rsid w:val="00F315E5"/>
    <w:rsid w:val="00F3189C"/>
    <w:rsid w:val="00F319F8"/>
    <w:rsid w:val="00F31BC8"/>
    <w:rsid w:val="00F31C91"/>
    <w:rsid w:val="00F31D0D"/>
    <w:rsid w:val="00F31D16"/>
    <w:rsid w:val="00F3244C"/>
    <w:rsid w:val="00F32741"/>
    <w:rsid w:val="00F32A7D"/>
    <w:rsid w:val="00F32AD1"/>
    <w:rsid w:val="00F32B58"/>
    <w:rsid w:val="00F32C4C"/>
    <w:rsid w:val="00F32C54"/>
    <w:rsid w:val="00F32DB1"/>
    <w:rsid w:val="00F32DE1"/>
    <w:rsid w:val="00F32F0A"/>
    <w:rsid w:val="00F32F1F"/>
    <w:rsid w:val="00F33073"/>
    <w:rsid w:val="00F3317F"/>
    <w:rsid w:val="00F336A2"/>
    <w:rsid w:val="00F33846"/>
    <w:rsid w:val="00F33918"/>
    <w:rsid w:val="00F3392E"/>
    <w:rsid w:val="00F33A33"/>
    <w:rsid w:val="00F3429E"/>
    <w:rsid w:val="00F34366"/>
    <w:rsid w:val="00F344B3"/>
    <w:rsid w:val="00F345F0"/>
    <w:rsid w:val="00F345F5"/>
    <w:rsid w:val="00F346F1"/>
    <w:rsid w:val="00F34C05"/>
    <w:rsid w:val="00F34FFC"/>
    <w:rsid w:val="00F35236"/>
    <w:rsid w:val="00F35397"/>
    <w:rsid w:val="00F35424"/>
    <w:rsid w:val="00F3546D"/>
    <w:rsid w:val="00F35713"/>
    <w:rsid w:val="00F3584B"/>
    <w:rsid w:val="00F35B13"/>
    <w:rsid w:val="00F35C84"/>
    <w:rsid w:val="00F35F88"/>
    <w:rsid w:val="00F35FF2"/>
    <w:rsid w:val="00F360BC"/>
    <w:rsid w:val="00F36296"/>
    <w:rsid w:val="00F36346"/>
    <w:rsid w:val="00F36503"/>
    <w:rsid w:val="00F365A9"/>
    <w:rsid w:val="00F36947"/>
    <w:rsid w:val="00F36B04"/>
    <w:rsid w:val="00F36B69"/>
    <w:rsid w:val="00F36D6B"/>
    <w:rsid w:val="00F36EB9"/>
    <w:rsid w:val="00F36FC4"/>
    <w:rsid w:val="00F370DC"/>
    <w:rsid w:val="00F371FC"/>
    <w:rsid w:val="00F37665"/>
    <w:rsid w:val="00F3786E"/>
    <w:rsid w:val="00F37891"/>
    <w:rsid w:val="00F379B9"/>
    <w:rsid w:val="00F37A0D"/>
    <w:rsid w:val="00F37A3F"/>
    <w:rsid w:val="00F37CAB"/>
    <w:rsid w:val="00F37DFC"/>
    <w:rsid w:val="00F37F14"/>
    <w:rsid w:val="00F37F35"/>
    <w:rsid w:val="00F4008E"/>
    <w:rsid w:val="00F403F9"/>
    <w:rsid w:val="00F4047B"/>
    <w:rsid w:val="00F4066E"/>
    <w:rsid w:val="00F40773"/>
    <w:rsid w:val="00F4079C"/>
    <w:rsid w:val="00F40988"/>
    <w:rsid w:val="00F40D03"/>
    <w:rsid w:val="00F40DA4"/>
    <w:rsid w:val="00F4113C"/>
    <w:rsid w:val="00F413C1"/>
    <w:rsid w:val="00F41AD9"/>
    <w:rsid w:val="00F41BE8"/>
    <w:rsid w:val="00F41CCF"/>
    <w:rsid w:val="00F41E14"/>
    <w:rsid w:val="00F41E2D"/>
    <w:rsid w:val="00F41FF9"/>
    <w:rsid w:val="00F420F5"/>
    <w:rsid w:val="00F42337"/>
    <w:rsid w:val="00F426CA"/>
    <w:rsid w:val="00F427DF"/>
    <w:rsid w:val="00F42848"/>
    <w:rsid w:val="00F428F6"/>
    <w:rsid w:val="00F429EC"/>
    <w:rsid w:val="00F42A0F"/>
    <w:rsid w:val="00F42B52"/>
    <w:rsid w:val="00F42DC4"/>
    <w:rsid w:val="00F42E08"/>
    <w:rsid w:val="00F42E7D"/>
    <w:rsid w:val="00F42ED5"/>
    <w:rsid w:val="00F42F2E"/>
    <w:rsid w:val="00F4307C"/>
    <w:rsid w:val="00F4336B"/>
    <w:rsid w:val="00F43550"/>
    <w:rsid w:val="00F4365B"/>
    <w:rsid w:val="00F43905"/>
    <w:rsid w:val="00F43BFB"/>
    <w:rsid w:val="00F43D97"/>
    <w:rsid w:val="00F43E0C"/>
    <w:rsid w:val="00F441B3"/>
    <w:rsid w:val="00F4421A"/>
    <w:rsid w:val="00F44237"/>
    <w:rsid w:val="00F444D6"/>
    <w:rsid w:val="00F4454C"/>
    <w:rsid w:val="00F44A65"/>
    <w:rsid w:val="00F44ABA"/>
    <w:rsid w:val="00F44AF6"/>
    <w:rsid w:val="00F44B3E"/>
    <w:rsid w:val="00F44D01"/>
    <w:rsid w:val="00F4500E"/>
    <w:rsid w:val="00F45062"/>
    <w:rsid w:val="00F450DE"/>
    <w:rsid w:val="00F45153"/>
    <w:rsid w:val="00F45AEA"/>
    <w:rsid w:val="00F45B46"/>
    <w:rsid w:val="00F45FDC"/>
    <w:rsid w:val="00F460B5"/>
    <w:rsid w:val="00F4641C"/>
    <w:rsid w:val="00F4650D"/>
    <w:rsid w:val="00F469EA"/>
    <w:rsid w:val="00F46A49"/>
    <w:rsid w:val="00F46C98"/>
    <w:rsid w:val="00F46CFA"/>
    <w:rsid w:val="00F46D35"/>
    <w:rsid w:val="00F46EA4"/>
    <w:rsid w:val="00F46F51"/>
    <w:rsid w:val="00F470E6"/>
    <w:rsid w:val="00F472A1"/>
    <w:rsid w:val="00F477B4"/>
    <w:rsid w:val="00F47874"/>
    <w:rsid w:val="00F479A4"/>
    <w:rsid w:val="00F47B48"/>
    <w:rsid w:val="00F47BCB"/>
    <w:rsid w:val="00F47C46"/>
    <w:rsid w:val="00F47D4C"/>
    <w:rsid w:val="00F47D65"/>
    <w:rsid w:val="00F47E23"/>
    <w:rsid w:val="00F50193"/>
    <w:rsid w:val="00F502E2"/>
    <w:rsid w:val="00F5057B"/>
    <w:rsid w:val="00F50702"/>
    <w:rsid w:val="00F50709"/>
    <w:rsid w:val="00F5086A"/>
    <w:rsid w:val="00F50ADA"/>
    <w:rsid w:val="00F50AF6"/>
    <w:rsid w:val="00F50AF7"/>
    <w:rsid w:val="00F50B72"/>
    <w:rsid w:val="00F50E67"/>
    <w:rsid w:val="00F50EB2"/>
    <w:rsid w:val="00F50FCA"/>
    <w:rsid w:val="00F51131"/>
    <w:rsid w:val="00F51276"/>
    <w:rsid w:val="00F512DC"/>
    <w:rsid w:val="00F514F8"/>
    <w:rsid w:val="00F51688"/>
    <w:rsid w:val="00F516F3"/>
    <w:rsid w:val="00F51835"/>
    <w:rsid w:val="00F51871"/>
    <w:rsid w:val="00F518B6"/>
    <w:rsid w:val="00F5191C"/>
    <w:rsid w:val="00F51BC2"/>
    <w:rsid w:val="00F51BE9"/>
    <w:rsid w:val="00F51E5F"/>
    <w:rsid w:val="00F51E76"/>
    <w:rsid w:val="00F5231D"/>
    <w:rsid w:val="00F524EC"/>
    <w:rsid w:val="00F5270A"/>
    <w:rsid w:val="00F529C2"/>
    <w:rsid w:val="00F529E1"/>
    <w:rsid w:val="00F52AFB"/>
    <w:rsid w:val="00F52D1D"/>
    <w:rsid w:val="00F52DFA"/>
    <w:rsid w:val="00F52E50"/>
    <w:rsid w:val="00F52F65"/>
    <w:rsid w:val="00F53076"/>
    <w:rsid w:val="00F53140"/>
    <w:rsid w:val="00F53186"/>
    <w:rsid w:val="00F531C9"/>
    <w:rsid w:val="00F53318"/>
    <w:rsid w:val="00F53673"/>
    <w:rsid w:val="00F538C1"/>
    <w:rsid w:val="00F53F91"/>
    <w:rsid w:val="00F541A1"/>
    <w:rsid w:val="00F5441F"/>
    <w:rsid w:val="00F5442F"/>
    <w:rsid w:val="00F5446C"/>
    <w:rsid w:val="00F5447B"/>
    <w:rsid w:val="00F54588"/>
    <w:rsid w:val="00F54679"/>
    <w:rsid w:val="00F54706"/>
    <w:rsid w:val="00F547CF"/>
    <w:rsid w:val="00F54BC8"/>
    <w:rsid w:val="00F54DC8"/>
    <w:rsid w:val="00F54EBE"/>
    <w:rsid w:val="00F54EBF"/>
    <w:rsid w:val="00F5514F"/>
    <w:rsid w:val="00F55425"/>
    <w:rsid w:val="00F5545D"/>
    <w:rsid w:val="00F556E8"/>
    <w:rsid w:val="00F55B7D"/>
    <w:rsid w:val="00F55C2C"/>
    <w:rsid w:val="00F56115"/>
    <w:rsid w:val="00F56141"/>
    <w:rsid w:val="00F56177"/>
    <w:rsid w:val="00F562DA"/>
    <w:rsid w:val="00F567C1"/>
    <w:rsid w:val="00F56990"/>
    <w:rsid w:val="00F56F6E"/>
    <w:rsid w:val="00F57097"/>
    <w:rsid w:val="00F5731F"/>
    <w:rsid w:val="00F57400"/>
    <w:rsid w:val="00F578FA"/>
    <w:rsid w:val="00F57905"/>
    <w:rsid w:val="00F57960"/>
    <w:rsid w:val="00F57ABB"/>
    <w:rsid w:val="00F57AF0"/>
    <w:rsid w:val="00F57BA3"/>
    <w:rsid w:val="00F57BF9"/>
    <w:rsid w:val="00F57C08"/>
    <w:rsid w:val="00F57DDF"/>
    <w:rsid w:val="00F57E54"/>
    <w:rsid w:val="00F60026"/>
    <w:rsid w:val="00F6006A"/>
    <w:rsid w:val="00F600E9"/>
    <w:rsid w:val="00F60235"/>
    <w:rsid w:val="00F602B1"/>
    <w:rsid w:val="00F60481"/>
    <w:rsid w:val="00F60629"/>
    <w:rsid w:val="00F60649"/>
    <w:rsid w:val="00F606CA"/>
    <w:rsid w:val="00F6085C"/>
    <w:rsid w:val="00F60CC3"/>
    <w:rsid w:val="00F60DD1"/>
    <w:rsid w:val="00F60E9B"/>
    <w:rsid w:val="00F610C5"/>
    <w:rsid w:val="00F61377"/>
    <w:rsid w:val="00F61381"/>
    <w:rsid w:val="00F61515"/>
    <w:rsid w:val="00F61537"/>
    <w:rsid w:val="00F61587"/>
    <w:rsid w:val="00F615AD"/>
    <w:rsid w:val="00F615FF"/>
    <w:rsid w:val="00F61654"/>
    <w:rsid w:val="00F616C6"/>
    <w:rsid w:val="00F61709"/>
    <w:rsid w:val="00F618DA"/>
    <w:rsid w:val="00F6219C"/>
    <w:rsid w:val="00F6222C"/>
    <w:rsid w:val="00F62397"/>
    <w:rsid w:val="00F624D1"/>
    <w:rsid w:val="00F62527"/>
    <w:rsid w:val="00F625D1"/>
    <w:rsid w:val="00F628BA"/>
    <w:rsid w:val="00F62928"/>
    <w:rsid w:val="00F62C68"/>
    <w:rsid w:val="00F62FFD"/>
    <w:rsid w:val="00F630B7"/>
    <w:rsid w:val="00F63511"/>
    <w:rsid w:val="00F6354B"/>
    <w:rsid w:val="00F63593"/>
    <w:rsid w:val="00F63653"/>
    <w:rsid w:val="00F63823"/>
    <w:rsid w:val="00F63953"/>
    <w:rsid w:val="00F63AA2"/>
    <w:rsid w:val="00F63AEC"/>
    <w:rsid w:val="00F63B34"/>
    <w:rsid w:val="00F63B9E"/>
    <w:rsid w:val="00F63E6E"/>
    <w:rsid w:val="00F64007"/>
    <w:rsid w:val="00F64071"/>
    <w:rsid w:val="00F640CD"/>
    <w:rsid w:val="00F641BB"/>
    <w:rsid w:val="00F642E6"/>
    <w:rsid w:val="00F64665"/>
    <w:rsid w:val="00F646D9"/>
    <w:rsid w:val="00F647DE"/>
    <w:rsid w:val="00F64818"/>
    <w:rsid w:val="00F64838"/>
    <w:rsid w:val="00F64A87"/>
    <w:rsid w:val="00F64B00"/>
    <w:rsid w:val="00F64B39"/>
    <w:rsid w:val="00F64C57"/>
    <w:rsid w:val="00F64DA3"/>
    <w:rsid w:val="00F64DE3"/>
    <w:rsid w:val="00F64E59"/>
    <w:rsid w:val="00F64FDE"/>
    <w:rsid w:val="00F6500C"/>
    <w:rsid w:val="00F6513C"/>
    <w:rsid w:val="00F6523A"/>
    <w:rsid w:val="00F652A2"/>
    <w:rsid w:val="00F6553B"/>
    <w:rsid w:val="00F659BC"/>
    <w:rsid w:val="00F659BD"/>
    <w:rsid w:val="00F65C1C"/>
    <w:rsid w:val="00F65E2D"/>
    <w:rsid w:val="00F66017"/>
    <w:rsid w:val="00F660C0"/>
    <w:rsid w:val="00F661AD"/>
    <w:rsid w:val="00F6635C"/>
    <w:rsid w:val="00F6660F"/>
    <w:rsid w:val="00F6666B"/>
    <w:rsid w:val="00F6677D"/>
    <w:rsid w:val="00F66A04"/>
    <w:rsid w:val="00F66A3C"/>
    <w:rsid w:val="00F66B88"/>
    <w:rsid w:val="00F66E8B"/>
    <w:rsid w:val="00F673CD"/>
    <w:rsid w:val="00F673D1"/>
    <w:rsid w:val="00F676DA"/>
    <w:rsid w:val="00F67784"/>
    <w:rsid w:val="00F67788"/>
    <w:rsid w:val="00F679B0"/>
    <w:rsid w:val="00F67A50"/>
    <w:rsid w:val="00F67B5A"/>
    <w:rsid w:val="00F67D7F"/>
    <w:rsid w:val="00F67FD0"/>
    <w:rsid w:val="00F700B1"/>
    <w:rsid w:val="00F703A6"/>
    <w:rsid w:val="00F70548"/>
    <w:rsid w:val="00F7094C"/>
    <w:rsid w:val="00F70A19"/>
    <w:rsid w:val="00F70A89"/>
    <w:rsid w:val="00F70C6B"/>
    <w:rsid w:val="00F70E7B"/>
    <w:rsid w:val="00F70EE0"/>
    <w:rsid w:val="00F7124A"/>
    <w:rsid w:val="00F712AD"/>
    <w:rsid w:val="00F714B9"/>
    <w:rsid w:val="00F71820"/>
    <w:rsid w:val="00F718AD"/>
    <w:rsid w:val="00F71A24"/>
    <w:rsid w:val="00F71C19"/>
    <w:rsid w:val="00F71D36"/>
    <w:rsid w:val="00F71D66"/>
    <w:rsid w:val="00F71DE6"/>
    <w:rsid w:val="00F71F0A"/>
    <w:rsid w:val="00F72024"/>
    <w:rsid w:val="00F72210"/>
    <w:rsid w:val="00F72237"/>
    <w:rsid w:val="00F72442"/>
    <w:rsid w:val="00F724F3"/>
    <w:rsid w:val="00F726DE"/>
    <w:rsid w:val="00F72DCD"/>
    <w:rsid w:val="00F72F4F"/>
    <w:rsid w:val="00F72FE7"/>
    <w:rsid w:val="00F73179"/>
    <w:rsid w:val="00F731BF"/>
    <w:rsid w:val="00F734E3"/>
    <w:rsid w:val="00F737D3"/>
    <w:rsid w:val="00F73AA8"/>
    <w:rsid w:val="00F73BF6"/>
    <w:rsid w:val="00F73BFC"/>
    <w:rsid w:val="00F73CB5"/>
    <w:rsid w:val="00F73D8E"/>
    <w:rsid w:val="00F73ECE"/>
    <w:rsid w:val="00F73F2B"/>
    <w:rsid w:val="00F73FAD"/>
    <w:rsid w:val="00F7412B"/>
    <w:rsid w:val="00F741A4"/>
    <w:rsid w:val="00F74531"/>
    <w:rsid w:val="00F74A54"/>
    <w:rsid w:val="00F74FE2"/>
    <w:rsid w:val="00F75006"/>
    <w:rsid w:val="00F7507E"/>
    <w:rsid w:val="00F75244"/>
    <w:rsid w:val="00F75339"/>
    <w:rsid w:val="00F75518"/>
    <w:rsid w:val="00F75650"/>
    <w:rsid w:val="00F7571B"/>
    <w:rsid w:val="00F75741"/>
    <w:rsid w:val="00F75775"/>
    <w:rsid w:val="00F759E9"/>
    <w:rsid w:val="00F75B3C"/>
    <w:rsid w:val="00F75CAB"/>
    <w:rsid w:val="00F75DA1"/>
    <w:rsid w:val="00F75F73"/>
    <w:rsid w:val="00F75FB9"/>
    <w:rsid w:val="00F762D9"/>
    <w:rsid w:val="00F76389"/>
    <w:rsid w:val="00F764AF"/>
    <w:rsid w:val="00F76557"/>
    <w:rsid w:val="00F7681E"/>
    <w:rsid w:val="00F76861"/>
    <w:rsid w:val="00F76885"/>
    <w:rsid w:val="00F76958"/>
    <w:rsid w:val="00F769B6"/>
    <w:rsid w:val="00F76B3B"/>
    <w:rsid w:val="00F76CF8"/>
    <w:rsid w:val="00F76D0F"/>
    <w:rsid w:val="00F76DBE"/>
    <w:rsid w:val="00F76F51"/>
    <w:rsid w:val="00F76FC5"/>
    <w:rsid w:val="00F77026"/>
    <w:rsid w:val="00F7706F"/>
    <w:rsid w:val="00F770B7"/>
    <w:rsid w:val="00F77405"/>
    <w:rsid w:val="00F776FA"/>
    <w:rsid w:val="00F7778A"/>
    <w:rsid w:val="00F77934"/>
    <w:rsid w:val="00F77A0B"/>
    <w:rsid w:val="00F77C8C"/>
    <w:rsid w:val="00F77DE8"/>
    <w:rsid w:val="00F77EFC"/>
    <w:rsid w:val="00F77F36"/>
    <w:rsid w:val="00F80103"/>
    <w:rsid w:val="00F8023C"/>
    <w:rsid w:val="00F802A4"/>
    <w:rsid w:val="00F8030D"/>
    <w:rsid w:val="00F807A4"/>
    <w:rsid w:val="00F8083C"/>
    <w:rsid w:val="00F80B4D"/>
    <w:rsid w:val="00F80F1A"/>
    <w:rsid w:val="00F811A0"/>
    <w:rsid w:val="00F813D9"/>
    <w:rsid w:val="00F8143B"/>
    <w:rsid w:val="00F814C5"/>
    <w:rsid w:val="00F815CB"/>
    <w:rsid w:val="00F816A5"/>
    <w:rsid w:val="00F8171C"/>
    <w:rsid w:val="00F818E5"/>
    <w:rsid w:val="00F81954"/>
    <w:rsid w:val="00F81A24"/>
    <w:rsid w:val="00F81AC2"/>
    <w:rsid w:val="00F81AE1"/>
    <w:rsid w:val="00F81D52"/>
    <w:rsid w:val="00F81F3C"/>
    <w:rsid w:val="00F82150"/>
    <w:rsid w:val="00F8254A"/>
    <w:rsid w:val="00F8272B"/>
    <w:rsid w:val="00F8287E"/>
    <w:rsid w:val="00F828AF"/>
    <w:rsid w:val="00F82B09"/>
    <w:rsid w:val="00F82C2D"/>
    <w:rsid w:val="00F82DB3"/>
    <w:rsid w:val="00F82F03"/>
    <w:rsid w:val="00F8307B"/>
    <w:rsid w:val="00F830FA"/>
    <w:rsid w:val="00F83121"/>
    <w:rsid w:val="00F83223"/>
    <w:rsid w:val="00F8328C"/>
    <w:rsid w:val="00F8339F"/>
    <w:rsid w:val="00F8383D"/>
    <w:rsid w:val="00F83BDE"/>
    <w:rsid w:val="00F83CEA"/>
    <w:rsid w:val="00F8404C"/>
    <w:rsid w:val="00F840AB"/>
    <w:rsid w:val="00F840E0"/>
    <w:rsid w:val="00F841E2"/>
    <w:rsid w:val="00F8433A"/>
    <w:rsid w:val="00F84527"/>
    <w:rsid w:val="00F84640"/>
    <w:rsid w:val="00F84898"/>
    <w:rsid w:val="00F84C1F"/>
    <w:rsid w:val="00F84FE7"/>
    <w:rsid w:val="00F852F6"/>
    <w:rsid w:val="00F85386"/>
    <w:rsid w:val="00F8542A"/>
    <w:rsid w:val="00F85737"/>
    <w:rsid w:val="00F858A6"/>
    <w:rsid w:val="00F858EB"/>
    <w:rsid w:val="00F85936"/>
    <w:rsid w:val="00F85CBF"/>
    <w:rsid w:val="00F85D97"/>
    <w:rsid w:val="00F861A6"/>
    <w:rsid w:val="00F861B5"/>
    <w:rsid w:val="00F86232"/>
    <w:rsid w:val="00F8625F"/>
    <w:rsid w:val="00F864F5"/>
    <w:rsid w:val="00F86668"/>
    <w:rsid w:val="00F86687"/>
    <w:rsid w:val="00F86826"/>
    <w:rsid w:val="00F86A40"/>
    <w:rsid w:val="00F86AF9"/>
    <w:rsid w:val="00F86C1A"/>
    <w:rsid w:val="00F86CA0"/>
    <w:rsid w:val="00F8702C"/>
    <w:rsid w:val="00F870F2"/>
    <w:rsid w:val="00F873C7"/>
    <w:rsid w:val="00F87474"/>
    <w:rsid w:val="00F87616"/>
    <w:rsid w:val="00F876C2"/>
    <w:rsid w:val="00F876C8"/>
    <w:rsid w:val="00F87858"/>
    <w:rsid w:val="00F87CBA"/>
    <w:rsid w:val="00F87E73"/>
    <w:rsid w:val="00F87F8D"/>
    <w:rsid w:val="00F9003C"/>
    <w:rsid w:val="00F9016A"/>
    <w:rsid w:val="00F90230"/>
    <w:rsid w:val="00F904E3"/>
    <w:rsid w:val="00F9054F"/>
    <w:rsid w:val="00F905EF"/>
    <w:rsid w:val="00F9063A"/>
    <w:rsid w:val="00F90685"/>
    <w:rsid w:val="00F906F2"/>
    <w:rsid w:val="00F90768"/>
    <w:rsid w:val="00F9080D"/>
    <w:rsid w:val="00F908A5"/>
    <w:rsid w:val="00F90C40"/>
    <w:rsid w:val="00F90E22"/>
    <w:rsid w:val="00F90E76"/>
    <w:rsid w:val="00F90E94"/>
    <w:rsid w:val="00F91049"/>
    <w:rsid w:val="00F9105E"/>
    <w:rsid w:val="00F91691"/>
    <w:rsid w:val="00F91772"/>
    <w:rsid w:val="00F918F0"/>
    <w:rsid w:val="00F91965"/>
    <w:rsid w:val="00F91BC6"/>
    <w:rsid w:val="00F91CE1"/>
    <w:rsid w:val="00F91D2A"/>
    <w:rsid w:val="00F91FEB"/>
    <w:rsid w:val="00F923DD"/>
    <w:rsid w:val="00F92413"/>
    <w:rsid w:val="00F924C5"/>
    <w:rsid w:val="00F925D2"/>
    <w:rsid w:val="00F9265B"/>
    <w:rsid w:val="00F9290B"/>
    <w:rsid w:val="00F92A90"/>
    <w:rsid w:val="00F92AAA"/>
    <w:rsid w:val="00F92D6A"/>
    <w:rsid w:val="00F9300E"/>
    <w:rsid w:val="00F9337A"/>
    <w:rsid w:val="00F93497"/>
    <w:rsid w:val="00F93642"/>
    <w:rsid w:val="00F9379D"/>
    <w:rsid w:val="00F93D98"/>
    <w:rsid w:val="00F93DFB"/>
    <w:rsid w:val="00F93DFC"/>
    <w:rsid w:val="00F93F50"/>
    <w:rsid w:val="00F942C2"/>
    <w:rsid w:val="00F94346"/>
    <w:rsid w:val="00F94608"/>
    <w:rsid w:val="00F94720"/>
    <w:rsid w:val="00F94A6A"/>
    <w:rsid w:val="00F94ECC"/>
    <w:rsid w:val="00F94FBF"/>
    <w:rsid w:val="00F95101"/>
    <w:rsid w:val="00F953CE"/>
    <w:rsid w:val="00F95746"/>
    <w:rsid w:val="00F95897"/>
    <w:rsid w:val="00F9598F"/>
    <w:rsid w:val="00F959E4"/>
    <w:rsid w:val="00F95BCA"/>
    <w:rsid w:val="00F95C87"/>
    <w:rsid w:val="00F96040"/>
    <w:rsid w:val="00F96242"/>
    <w:rsid w:val="00F962BA"/>
    <w:rsid w:val="00F96452"/>
    <w:rsid w:val="00F966BD"/>
    <w:rsid w:val="00F9677A"/>
    <w:rsid w:val="00F9688B"/>
    <w:rsid w:val="00F96D90"/>
    <w:rsid w:val="00F96DE8"/>
    <w:rsid w:val="00F97174"/>
    <w:rsid w:val="00F972BB"/>
    <w:rsid w:val="00F97533"/>
    <w:rsid w:val="00F97B85"/>
    <w:rsid w:val="00F97D96"/>
    <w:rsid w:val="00F97E13"/>
    <w:rsid w:val="00F97F50"/>
    <w:rsid w:val="00F97FB3"/>
    <w:rsid w:val="00FA017A"/>
    <w:rsid w:val="00FA0296"/>
    <w:rsid w:val="00FA029D"/>
    <w:rsid w:val="00FA0504"/>
    <w:rsid w:val="00FA0A69"/>
    <w:rsid w:val="00FA105B"/>
    <w:rsid w:val="00FA10B0"/>
    <w:rsid w:val="00FA13A0"/>
    <w:rsid w:val="00FA1400"/>
    <w:rsid w:val="00FA1596"/>
    <w:rsid w:val="00FA1630"/>
    <w:rsid w:val="00FA1723"/>
    <w:rsid w:val="00FA172E"/>
    <w:rsid w:val="00FA17CB"/>
    <w:rsid w:val="00FA1A28"/>
    <w:rsid w:val="00FA1B5F"/>
    <w:rsid w:val="00FA1B63"/>
    <w:rsid w:val="00FA1DA1"/>
    <w:rsid w:val="00FA1F9E"/>
    <w:rsid w:val="00FA22A5"/>
    <w:rsid w:val="00FA24DD"/>
    <w:rsid w:val="00FA2682"/>
    <w:rsid w:val="00FA2881"/>
    <w:rsid w:val="00FA2B15"/>
    <w:rsid w:val="00FA2B24"/>
    <w:rsid w:val="00FA2C46"/>
    <w:rsid w:val="00FA2C7F"/>
    <w:rsid w:val="00FA2CA7"/>
    <w:rsid w:val="00FA3243"/>
    <w:rsid w:val="00FA340C"/>
    <w:rsid w:val="00FA343B"/>
    <w:rsid w:val="00FA399A"/>
    <w:rsid w:val="00FA3ADF"/>
    <w:rsid w:val="00FA3D20"/>
    <w:rsid w:val="00FA3D38"/>
    <w:rsid w:val="00FA3D5A"/>
    <w:rsid w:val="00FA3E45"/>
    <w:rsid w:val="00FA414F"/>
    <w:rsid w:val="00FA416F"/>
    <w:rsid w:val="00FA41E5"/>
    <w:rsid w:val="00FA4208"/>
    <w:rsid w:val="00FA4299"/>
    <w:rsid w:val="00FA45B1"/>
    <w:rsid w:val="00FA4877"/>
    <w:rsid w:val="00FA48B5"/>
    <w:rsid w:val="00FA48D7"/>
    <w:rsid w:val="00FA496D"/>
    <w:rsid w:val="00FA4A0A"/>
    <w:rsid w:val="00FA4D67"/>
    <w:rsid w:val="00FA50E1"/>
    <w:rsid w:val="00FA5165"/>
    <w:rsid w:val="00FA5218"/>
    <w:rsid w:val="00FA536D"/>
    <w:rsid w:val="00FA5772"/>
    <w:rsid w:val="00FA5881"/>
    <w:rsid w:val="00FA5937"/>
    <w:rsid w:val="00FA5A2C"/>
    <w:rsid w:val="00FA5B02"/>
    <w:rsid w:val="00FA5C50"/>
    <w:rsid w:val="00FA5EE6"/>
    <w:rsid w:val="00FA6026"/>
    <w:rsid w:val="00FA61BF"/>
    <w:rsid w:val="00FA6201"/>
    <w:rsid w:val="00FA6228"/>
    <w:rsid w:val="00FA6399"/>
    <w:rsid w:val="00FA6404"/>
    <w:rsid w:val="00FA653D"/>
    <w:rsid w:val="00FA66DD"/>
    <w:rsid w:val="00FA68D0"/>
    <w:rsid w:val="00FA6BAA"/>
    <w:rsid w:val="00FA6C0B"/>
    <w:rsid w:val="00FA6CD2"/>
    <w:rsid w:val="00FA6ED4"/>
    <w:rsid w:val="00FA6EEB"/>
    <w:rsid w:val="00FA6F0B"/>
    <w:rsid w:val="00FA704A"/>
    <w:rsid w:val="00FA7200"/>
    <w:rsid w:val="00FA722D"/>
    <w:rsid w:val="00FA7372"/>
    <w:rsid w:val="00FA73BF"/>
    <w:rsid w:val="00FA753D"/>
    <w:rsid w:val="00FA75E9"/>
    <w:rsid w:val="00FA7916"/>
    <w:rsid w:val="00FA7B23"/>
    <w:rsid w:val="00FA7C41"/>
    <w:rsid w:val="00FA7FA6"/>
    <w:rsid w:val="00FB0105"/>
    <w:rsid w:val="00FB0226"/>
    <w:rsid w:val="00FB02A5"/>
    <w:rsid w:val="00FB0503"/>
    <w:rsid w:val="00FB0641"/>
    <w:rsid w:val="00FB078F"/>
    <w:rsid w:val="00FB0CB9"/>
    <w:rsid w:val="00FB0F88"/>
    <w:rsid w:val="00FB1104"/>
    <w:rsid w:val="00FB12EE"/>
    <w:rsid w:val="00FB1337"/>
    <w:rsid w:val="00FB1370"/>
    <w:rsid w:val="00FB13A0"/>
    <w:rsid w:val="00FB16A2"/>
    <w:rsid w:val="00FB1862"/>
    <w:rsid w:val="00FB1938"/>
    <w:rsid w:val="00FB194C"/>
    <w:rsid w:val="00FB1B07"/>
    <w:rsid w:val="00FB1C90"/>
    <w:rsid w:val="00FB1CBE"/>
    <w:rsid w:val="00FB1CD7"/>
    <w:rsid w:val="00FB1E03"/>
    <w:rsid w:val="00FB1E54"/>
    <w:rsid w:val="00FB1F34"/>
    <w:rsid w:val="00FB2153"/>
    <w:rsid w:val="00FB221B"/>
    <w:rsid w:val="00FB236F"/>
    <w:rsid w:val="00FB23DE"/>
    <w:rsid w:val="00FB2530"/>
    <w:rsid w:val="00FB2642"/>
    <w:rsid w:val="00FB280E"/>
    <w:rsid w:val="00FB2914"/>
    <w:rsid w:val="00FB2971"/>
    <w:rsid w:val="00FB2B5A"/>
    <w:rsid w:val="00FB2EEC"/>
    <w:rsid w:val="00FB3128"/>
    <w:rsid w:val="00FB31D5"/>
    <w:rsid w:val="00FB32EF"/>
    <w:rsid w:val="00FB3C11"/>
    <w:rsid w:val="00FB3D2B"/>
    <w:rsid w:val="00FB3F51"/>
    <w:rsid w:val="00FB3F69"/>
    <w:rsid w:val="00FB407F"/>
    <w:rsid w:val="00FB40B0"/>
    <w:rsid w:val="00FB41B9"/>
    <w:rsid w:val="00FB42AB"/>
    <w:rsid w:val="00FB4372"/>
    <w:rsid w:val="00FB46A0"/>
    <w:rsid w:val="00FB4906"/>
    <w:rsid w:val="00FB4A74"/>
    <w:rsid w:val="00FB4D3A"/>
    <w:rsid w:val="00FB518B"/>
    <w:rsid w:val="00FB5468"/>
    <w:rsid w:val="00FB56A1"/>
    <w:rsid w:val="00FB56EA"/>
    <w:rsid w:val="00FB5711"/>
    <w:rsid w:val="00FB573A"/>
    <w:rsid w:val="00FB575C"/>
    <w:rsid w:val="00FB5992"/>
    <w:rsid w:val="00FB5A98"/>
    <w:rsid w:val="00FB5B2B"/>
    <w:rsid w:val="00FB5BF3"/>
    <w:rsid w:val="00FB5E93"/>
    <w:rsid w:val="00FB5F0F"/>
    <w:rsid w:val="00FB5F95"/>
    <w:rsid w:val="00FB607B"/>
    <w:rsid w:val="00FB60F6"/>
    <w:rsid w:val="00FB6629"/>
    <w:rsid w:val="00FB669E"/>
    <w:rsid w:val="00FB66B7"/>
    <w:rsid w:val="00FB66F7"/>
    <w:rsid w:val="00FB676B"/>
    <w:rsid w:val="00FB67A9"/>
    <w:rsid w:val="00FB67D9"/>
    <w:rsid w:val="00FB689A"/>
    <w:rsid w:val="00FB6BDA"/>
    <w:rsid w:val="00FB6C5A"/>
    <w:rsid w:val="00FB6D8C"/>
    <w:rsid w:val="00FB6D9C"/>
    <w:rsid w:val="00FB6DB2"/>
    <w:rsid w:val="00FB7049"/>
    <w:rsid w:val="00FB70D9"/>
    <w:rsid w:val="00FB75AE"/>
    <w:rsid w:val="00FB78A5"/>
    <w:rsid w:val="00FB7C45"/>
    <w:rsid w:val="00FB7CF5"/>
    <w:rsid w:val="00FB7D12"/>
    <w:rsid w:val="00FB7E24"/>
    <w:rsid w:val="00FC04D3"/>
    <w:rsid w:val="00FC0803"/>
    <w:rsid w:val="00FC0890"/>
    <w:rsid w:val="00FC08BA"/>
    <w:rsid w:val="00FC09A8"/>
    <w:rsid w:val="00FC0A2A"/>
    <w:rsid w:val="00FC0D67"/>
    <w:rsid w:val="00FC0E8D"/>
    <w:rsid w:val="00FC1046"/>
    <w:rsid w:val="00FC108F"/>
    <w:rsid w:val="00FC141C"/>
    <w:rsid w:val="00FC1481"/>
    <w:rsid w:val="00FC1596"/>
    <w:rsid w:val="00FC1928"/>
    <w:rsid w:val="00FC1A46"/>
    <w:rsid w:val="00FC1C34"/>
    <w:rsid w:val="00FC1DBC"/>
    <w:rsid w:val="00FC1EE3"/>
    <w:rsid w:val="00FC1F1E"/>
    <w:rsid w:val="00FC21DA"/>
    <w:rsid w:val="00FC234C"/>
    <w:rsid w:val="00FC2B8F"/>
    <w:rsid w:val="00FC2BD7"/>
    <w:rsid w:val="00FC2C88"/>
    <w:rsid w:val="00FC2ECE"/>
    <w:rsid w:val="00FC2EDE"/>
    <w:rsid w:val="00FC3150"/>
    <w:rsid w:val="00FC31A5"/>
    <w:rsid w:val="00FC31FD"/>
    <w:rsid w:val="00FC32CC"/>
    <w:rsid w:val="00FC36F5"/>
    <w:rsid w:val="00FC3755"/>
    <w:rsid w:val="00FC38CC"/>
    <w:rsid w:val="00FC3AC2"/>
    <w:rsid w:val="00FC3B4B"/>
    <w:rsid w:val="00FC3B62"/>
    <w:rsid w:val="00FC3CAF"/>
    <w:rsid w:val="00FC3E4B"/>
    <w:rsid w:val="00FC3F46"/>
    <w:rsid w:val="00FC3F99"/>
    <w:rsid w:val="00FC41B5"/>
    <w:rsid w:val="00FC432F"/>
    <w:rsid w:val="00FC452E"/>
    <w:rsid w:val="00FC4569"/>
    <w:rsid w:val="00FC485F"/>
    <w:rsid w:val="00FC49D5"/>
    <w:rsid w:val="00FC4CAE"/>
    <w:rsid w:val="00FC4E83"/>
    <w:rsid w:val="00FC5011"/>
    <w:rsid w:val="00FC5097"/>
    <w:rsid w:val="00FC50BD"/>
    <w:rsid w:val="00FC5285"/>
    <w:rsid w:val="00FC5324"/>
    <w:rsid w:val="00FC5487"/>
    <w:rsid w:val="00FC5549"/>
    <w:rsid w:val="00FC565D"/>
    <w:rsid w:val="00FC57AB"/>
    <w:rsid w:val="00FC58B8"/>
    <w:rsid w:val="00FC5A23"/>
    <w:rsid w:val="00FC5A6C"/>
    <w:rsid w:val="00FC5AAB"/>
    <w:rsid w:val="00FC5ADF"/>
    <w:rsid w:val="00FC5BD3"/>
    <w:rsid w:val="00FC5E5C"/>
    <w:rsid w:val="00FC6104"/>
    <w:rsid w:val="00FC624E"/>
    <w:rsid w:val="00FC6301"/>
    <w:rsid w:val="00FC633C"/>
    <w:rsid w:val="00FC6359"/>
    <w:rsid w:val="00FC641F"/>
    <w:rsid w:val="00FC64CA"/>
    <w:rsid w:val="00FC6523"/>
    <w:rsid w:val="00FC6741"/>
    <w:rsid w:val="00FC68BB"/>
    <w:rsid w:val="00FC6A8E"/>
    <w:rsid w:val="00FC6CC7"/>
    <w:rsid w:val="00FC6D64"/>
    <w:rsid w:val="00FC6D77"/>
    <w:rsid w:val="00FC70DC"/>
    <w:rsid w:val="00FC71F6"/>
    <w:rsid w:val="00FC721C"/>
    <w:rsid w:val="00FC7317"/>
    <w:rsid w:val="00FC741C"/>
    <w:rsid w:val="00FC753A"/>
    <w:rsid w:val="00FC755E"/>
    <w:rsid w:val="00FC767C"/>
    <w:rsid w:val="00FC7779"/>
    <w:rsid w:val="00FC7BAD"/>
    <w:rsid w:val="00FC7E32"/>
    <w:rsid w:val="00FC7F79"/>
    <w:rsid w:val="00FD0101"/>
    <w:rsid w:val="00FD02C3"/>
    <w:rsid w:val="00FD03DB"/>
    <w:rsid w:val="00FD0616"/>
    <w:rsid w:val="00FD0719"/>
    <w:rsid w:val="00FD0A77"/>
    <w:rsid w:val="00FD0A8F"/>
    <w:rsid w:val="00FD0ACF"/>
    <w:rsid w:val="00FD0B33"/>
    <w:rsid w:val="00FD0BC7"/>
    <w:rsid w:val="00FD0BD8"/>
    <w:rsid w:val="00FD0F84"/>
    <w:rsid w:val="00FD1218"/>
    <w:rsid w:val="00FD1223"/>
    <w:rsid w:val="00FD13B5"/>
    <w:rsid w:val="00FD1552"/>
    <w:rsid w:val="00FD168B"/>
    <w:rsid w:val="00FD1BD0"/>
    <w:rsid w:val="00FD1CA9"/>
    <w:rsid w:val="00FD1FD6"/>
    <w:rsid w:val="00FD21E1"/>
    <w:rsid w:val="00FD231D"/>
    <w:rsid w:val="00FD2419"/>
    <w:rsid w:val="00FD255E"/>
    <w:rsid w:val="00FD25CD"/>
    <w:rsid w:val="00FD2921"/>
    <w:rsid w:val="00FD2A78"/>
    <w:rsid w:val="00FD2B33"/>
    <w:rsid w:val="00FD2CF9"/>
    <w:rsid w:val="00FD3605"/>
    <w:rsid w:val="00FD39FE"/>
    <w:rsid w:val="00FD3C9E"/>
    <w:rsid w:val="00FD3D56"/>
    <w:rsid w:val="00FD3EE3"/>
    <w:rsid w:val="00FD4436"/>
    <w:rsid w:val="00FD45D6"/>
    <w:rsid w:val="00FD488C"/>
    <w:rsid w:val="00FD4A13"/>
    <w:rsid w:val="00FD4BD1"/>
    <w:rsid w:val="00FD4C0F"/>
    <w:rsid w:val="00FD4CAB"/>
    <w:rsid w:val="00FD4D09"/>
    <w:rsid w:val="00FD4DAF"/>
    <w:rsid w:val="00FD4DD6"/>
    <w:rsid w:val="00FD4ED6"/>
    <w:rsid w:val="00FD52BC"/>
    <w:rsid w:val="00FD533E"/>
    <w:rsid w:val="00FD53DA"/>
    <w:rsid w:val="00FD559D"/>
    <w:rsid w:val="00FD5763"/>
    <w:rsid w:val="00FD5940"/>
    <w:rsid w:val="00FD5B5C"/>
    <w:rsid w:val="00FD5BB4"/>
    <w:rsid w:val="00FD60ED"/>
    <w:rsid w:val="00FD62FD"/>
    <w:rsid w:val="00FD65B8"/>
    <w:rsid w:val="00FD6630"/>
    <w:rsid w:val="00FD6687"/>
    <w:rsid w:val="00FD6ABC"/>
    <w:rsid w:val="00FD6BA2"/>
    <w:rsid w:val="00FD6CBD"/>
    <w:rsid w:val="00FD6DC2"/>
    <w:rsid w:val="00FD6EB3"/>
    <w:rsid w:val="00FD74F6"/>
    <w:rsid w:val="00FD7697"/>
    <w:rsid w:val="00FD7774"/>
    <w:rsid w:val="00FD7AA4"/>
    <w:rsid w:val="00FD7AB3"/>
    <w:rsid w:val="00FD7B3F"/>
    <w:rsid w:val="00FD7C4A"/>
    <w:rsid w:val="00FD7D27"/>
    <w:rsid w:val="00FD7E41"/>
    <w:rsid w:val="00FD7E58"/>
    <w:rsid w:val="00FD7FA0"/>
    <w:rsid w:val="00FE00B8"/>
    <w:rsid w:val="00FE00F4"/>
    <w:rsid w:val="00FE025E"/>
    <w:rsid w:val="00FE09A5"/>
    <w:rsid w:val="00FE0A9D"/>
    <w:rsid w:val="00FE0C85"/>
    <w:rsid w:val="00FE0D65"/>
    <w:rsid w:val="00FE0E3F"/>
    <w:rsid w:val="00FE0FEE"/>
    <w:rsid w:val="00FE113F"/>
    <w:rsid w:val="00FE116D"/>
    <w:rsid w:val="00FE131E"/>
    <w:rsid w:val="00FE13AF"/>
    <w:rsid w:val="00FE15FA"/>
    <w:rsid w:val="00FE165D"/>
    <w:rsid w:val="00FE17ED"/>
    <w:rsid w:val="00FE18E9"/>
    <w:rsid w:val="00FE18EA"/>
    <w:rsid w:val="00FE1941"/>
    <w:rsid w:val="00FE19EB"/>
    <w:rsid w:val="00FE1A1C"/>
    <w:rsid w:val="00FE1AE5"/>
    <w:rsid w:val="00FE1C8A"/>
    <w:rsid w:val="00FE1C91"/>
    <w:rsid w:val="00FE1CE4"/>
    <w:rsid w:val="00FE1FAE"/>
    <w:rsid w:val="00FE21EA"/>
    <w:rsid w:val="00FE2214"/>
    <w:rsid w:val="00FE2453"/>
    <w:rsid w:val="00FE250E"/>
    <w:rsid w:val="00FE2611"/>
    <w:rsid w:val="00FE263B"/>
    <w:rsid w:val="00FE2791"/>
    <w:rsid w:val="00FE27F0"/>
    <w:rsid w:val="00FE280A"/>
    <w:rsid w:val="00FE2832"/>
    <w:rsid w:val="00FE28A3"/>
    <w:rsid w:val="00FE2C81"/>
    <w:rsid w:val="00FE2CBB"/>
    <w:rsid w:val="00FE2D86"/>
    <w:rsid w:val="00FE3574"/>
    <w:rsid w:val="00FE3731"/>
    <w:rsid w:val="00FE39E7"/>
    <w:rsid w:val="00FE3D58"/>
    <w:rsid w:val="00FE3F22"/>
    <w:rsid w:val="00FE4271"/>
    <w:rsid w:val="00FE45B7"/>
    <w:rsid w:val="00FE47AA"/>
    <w:rsid w:val="00FE4938"/>
    <w:rsid w:val="00FE4A02"/>
    <w:rsid w:val="00FE4BC4"/>
    <w:rsid w:val="00FE4C69"/>
    <w:rsid w:val="00FE4F89"/>
    <w:rsid w:val="00FE506F"/>
    <w:rsid w:val="00FE51CF"/>
    <w:rsid w:val="00FE5478"/>
    <w:rsid w:val="00FE588F"/>
    <w:rsid w:val="00FE5BBD"/>
    <w:rsid w:val="00FE5CC9"/>
    <w:rsid w:val="00FE5DB9"/>
    <w:rsid w:val="00FE5E34"/>
    <w:rsid w:val="00FE5E44"/>
    <w:rsid w:val="00FE5EF5"/>
    <w:rsid w:val="00FE67AF"/>
    <w:rsid w:val="00FE683E"/>
    <w:rsid w:val="00FE6BE6"/>
    <w:rsid w:val="00FE6C0D"/>
    <w:rsid w:val="00FE6C84"/>
    <w:rsid w:val="00FE6D97"/>
    <w:rsid w:val="00FE6E17"/>
    <w:rsid w:val="00FE70FB"/>
    <w:rsid w:val="00FE7277"/>
    <w:rsid w:val="00FE7302"/>
    <w:rsid w:val="00FE757C"/>
    <w:rsid w:val="00FE769F"/>
    <w:rsid w:val="00FE76AD"/>
    <w:rsid w:val="00FE772D"/>
    <w:rsid w:val="00FE7784"/>
    <w:rsid w:val="00FE77CD"/>
    <w:rsid w:val="00FE7937"/>
    <w:rsid w:val="00FE7959"/>
    <w:rsid w:val="00FE7A33"/>
    <w:rsid w:val="00FE7A44"/>
    <w:rsid w:val="00FE7B8B"/>
    <w:rsid w:val="00FE7BCE"/>
    <w:rsid w:val="00FE7F39"/>
    <w:rsid w:val="00FE7F4C"/>
    <w:rsid w:val="00FE7F8C"/>
    <w:rsid w:val="00FF006C"/>
    <w:rsid w:val="00FF01E0"/>
    <w:rsid w:val="00FF0287"/>
    <w:rsid w:val="00FF03FC"/>
    <w:rsid w:val="00FF04EB"/>
    <w:rsid w:val="00FF09C8"/>
    <w:rsid w:val="00FF0C65"/>
    <w:rsid w:val="00FF0CA9"/>
    <w:rsid w:val="00FF0D4E"/>
    <w:rsid w:val="00FF0E16"/>
    <w:rsid w:val="00FF0F6C"/>
    <w:rsid w:val="00FF0F70"/>
    <w:rsid w:val="00FF1137"/>
    <w:rsid w:val="00FF12AB"/>
    <w:rsid w:val="00FF130F"/>
    <w:rsid w:val="00FF13F5"/>
    <w:rsid w:val="00FF15B8"/>
    <w:rsid w:val="00FF171E"/>
    <w:rsid w:val="00FF1805"/>
    <w:rsid w:val="00FF19DB"/>
    <w:rsid w:val="00FF1A58"/>
    <w:rsid w:val="00FF1AC5"/>
    <w:rsid w:val="00FF1AFB"/>
    <w:rsid w:val="00FF1BB0"/>
    <w:rsid w:val="00FF1FC6"/>
    <w:rsid w:val="00FF1FCB"/>
    <w:rsid w:val="00FF229A"/>
    <w:rsid w:val="00FF2573"/>
    <w:rsid w:val="00FF25E3"/>
    <w:rsid w:val="00FF27D6"/>
    <w:rsid w:val="00FF2C0B"/>
    <w:rsid w:val="00FF2E2A"/>
    <w:rsid w:val="00FF3121"/>
    <w:rsid w:val="00FF3315"/>
    <w:rsid w:val="00FF35BA"/>
    <w:rsid w:val="00FF38FD"/>
    <w:rsid w:val="00FF390C"/>
    <w:rsid w:val="00FF391D"/>
    <w:rsid w:val="00FF3966"/>
    <w:rsid w:val="00FF3AD6"/>
    <w:rsid w:val="00FF3D41"/>
    <w:rsid w:val="00FF3E5E"/>
    <w:rsid w:val="00FF3EDE"/>
    <w:rsid w:val="00FF41A3"/>
    <w:rsid w:val="00FF42D3"/>
    <w:rsid w:val="00FF4455"/>
    <w:rsid w:val="00FF44F5"/>
    <w:rsid w:val="00FF45ED"/>
    <w:rsid w:val="00FF4A40"/>
    <w:rsid w:val="00FF4CC4"/>
    <w:rsid w:val="00FF4D4D"/>
    <w:rsid w:val="00FF5167"/>
    <w:rsid w:val="00FF58D1"/>
    <w:rsid w:val="00FF5AEA"/>
    <w:rsid w:val="00FF5B43"/>
    <w:rsid w:val="00FF5B83"/>
    <w:rsid w:val="00FF5C9E"/>
    <w:rsid w:val="00FF5DF1"/>
    <w:rsid w:val="00FF5DFB"/>
    <w:rsid w:val="00FF6119"/>
    <w:rsid w:val="00FF61E7"/>
    <w:rsid w:val="00FF65B0"/>
    <w:rsid w:val="00FF68ED"/>
    <w:rsid w:val="00FF6A29"/>
    <w:rsid w:val="00FF6AC7"/>
    <w:rsid w:val="00FF6E3A"/>
    <w:rsid w:val="00FF6EBB"/>
    <w:rsid w:val="00FF6EED"/>
    <w:rsid w:val="00FF7074"/>
    <w:rsid w:val="00FF7359"/>
    <w:rsid w:val="00FF75DF"/>
    <w:rsid w:val="00FF75EA"/>
    <w:rsid w:val="00FF7838"/>
    <w:rsid w:val="00FF78B8"/>
    <w:rsid w:val="00FF7E78"/>
    <w:rsid w:val="00FFEA65"/>
    <w:rsid w:val="0109D4E2"/>
    <w:rsid w:val="010CC6BF"/>
    <w:rsid w:val="010FB5D9"/>
    <w:rsid w:val="01166292"/>
    <w:rsid w:val="0120D0D7"/>
    <w:rsid w:val="012493D9"/>
    <w:rsid w:val="0128820D"/>
    <w:rsid w:val="013B241F"/>
    <w:rsid w:val="015DA478"/>
    <w:rsid w:val="015EC38E"/>
    <w:rsid w:val="0169BFCD"/>
    <w:rsid w:val="0175C332"/>
    <w:rsid w:val="01786792"/>
    <w:rsid w:val="017D452C"/>
    <w:rsid w:val="017D8CE1"/>
    <w:rsid w:val="017F020C"/>
    <w:rsid w:val="0187ED4C"/>
    <w:rsid w:val="018CAFF4"/>
    <w:rsid w:val="0191CFF0"/>
    <w:rsid w:val="01960A35"/>
    <w:rsid w:val="0196D43B"/>
    <w:rsid w:val="01B84ED1"/>
    <w:rsid w:val="01BB20A2"/>
    <w:rsid w:val="01BCD2C6"/>
    <w:rsid w:val="01C201D8"/>
    <w:rsid w:val="01CBE1C5"/>
    <w:rsid w:val="01D80761"/>
    <w:rsid w:val="01E515A1"/>
    <w:rsid w:val="01E78009"/>
    <w:rsid w:val="01E93B6E"/>
    <w:rsid w:val="01F0F260"/>
    <w:rsid w:val="01F38474"/>
    <w:rsid w:val="01F8EC9C"/>
    <w:rsid w:val="0206FF4C"/>
    <w:rsid w:val="0207E948"/>
    <w:rsid w:val="021456CA"/>
    <w:rsid w:val="021E840C"/>
    <w:rsid w:val="021EF680"/>
    <w:rsid w:val="022A721D"/>
    <w:rsid w:val="023611B2"/>
    <w:rsid w:val="023903AD"/>
    <w:rsid w:val="023B606C"/>
    <w:rsid w:val="0248600C"/>
    <w:rsid w:val="024C181A"/>
    <w:rsid w:val="0251B0E3"/>
    <w:rsid w:val="0253ECBC"/>
    <w:rsid w:val="02556940"/>
    <w:rsid w:val="025D2DD2"/>
    <w:rsid w:val="02625471"/>
    <w:rsid w:val="0267F66A"/>
    <w:rsid w:val="026D4EF7"/>
    <w:rsid w:val="0273F123"/>
    <w:rsid w:val="02818564"/>
    <w:rsid w:val="0281A751"/>
    <w:rsid w:val="0282A9EB"/>
    <w:rsid w:val="028BDDB5"/>
    <w:rsid w:val="0297B165"/>
    <w:rsid w:val="029B884D"/>
    <w:rsid w:val="029CF848"/>
    <w:rsid w:val="02A38CFD"/>
    <w:rsid w:val="02ADB439"/>
    <w:rsid w:val="02B39C33"/>
    <w:rsid w:val="02BC6828"/>
    <w:rsid w:val="02BCEDDA"/>
    <w:rsid w:val="02DEDB91"/>
    <w:rsid w:val="02EEA394"/>
    <w:rsid w:val="02F680D3"/>
    <w:rsid w:val="02F93269"/>
    <w:rsid w:val="03134CE7"/>
    <w:rsid w:val="031D03F7"/>
    <w:rsid w:val="0320CC91"/>
    <w:rsid w:val="03254511"/>
    <w:rsid w:val="0327B3EB"/>
    <w:rsid w:val="03351B2F"/>
    <w:rsid w:val="03498B9F"/>
    <w:rsid w:val="034BC5C6"/>
    <w:rsid w:val="035C86D2"/>
    <w:rsid w:val="0362D653"/>
    <w:rsid w:val="036CEC79"/>
    <w:rsid w:val="03830BA4"/>
    <w:rsid w:val="03844CE1"/>
    <w:rsid w:val="038880FE"/>
    <w:rsid w:val="03896FFB"/>
    <w:rsid w:val="038A102D"/>
    <w:rsid w:val="038A30F0"/>
    <w:rsid w:val="038DA306"/>
    <w:rsid w:val="039DAE3A"/>
    <w:rsid w:val="039F54EB"/>
    <w:rsid w:val="03A5361E"/>
    <w:rsid w:val="03AA1B61"/>
    <w:rsid w:val="03AF481F"/>
    <w:rsid w:val="03B1338B"/>
    <w:rsid w:val="03B99A2A"/>
    <w:rsid w:val="03BD2A01"/>
    <w:rsid w:val="03BD2FD4"/>
    <w:rsid w:val="03BDD2D8"/>
    <w:rsid w:val="03BE914C"/>
    <w:rsid w:val="03CC9AC9"/>
    <w:rsid w:val="03D031D5"/>
    <w:rsid w:val="03DC3D67"/>
    <w:rsid w:val="03DE3ABA"/>
    <w:rsid w:val="03E163D7"/>
    <w:rsid w:val="03E4174D"/>
    <w:rsid w:val="03E78E71"/>
    <w:rsid w:val="03ED2E09"/>
    <w:rsid w:val="03FA7E6F"/>
    <w:rsid w:val="03FCBE9B"/>
    <w:rsid w:val="03FCBEC7"/>
    <w:rsid w:val="0400E366"/>
    <w:rsid w:val="0406115D"/>
    <w:rsid w:val="04215543"/>
    <w:rsid w:val="0423CC46"/>
    <w:rsid w:val="0429EF14"/>
    <w:rsid w:val="042D9210"/>
    <w:rsid w:val="042DE0E8"/>
    <w:rsid w:val="042F1EA6"/>
    <w:rsid w:val="04313371"/>
    <w:rsid w:val="04315110"/>
    <w:rsid w:val="0431B8F4"/>
    <w:rsid w:val="0438FA23"/>
    <w:rsid w:val="043CF6D5"/>
    <w:rsid w:val="043D4880"/>
    <w:rsid w:val="043F4CCE"/>
    <w:rsid w:val="04423C56"/>
    <w:rsid w:val="044E2B2E"/>
    <w:rsid w:val="0458D582"/>
    <w:rsid w:val="0459E29F"/>
    <w:rsid w:val="045B8997"/>
    <w:rsid w:val="045C54FF"/>
    <w:rsid w:val="046DB4A0"/>
    <w:rsid w:val="0478A821"/>
    <w:rsid w:val="047BB021"/>
    <w:rsid w:val="047CC544"/>
    <w:rsid w:val="047CD513"/>
    <w:rsid w:val="047D82B6"/>
    <w:rsid w:val="0482A66B"/>
    <w:rsid w:val="04933456"/>
    <w:rsid w:val="049A384A"/>
    <w:rsid w:val="049F3482"/>
    <w:rsid w:val="049FF239"/>
    <w:rsid w:val="04A5FF6F"/>
    <w:rsid w:val="04A8BE03"/>
    <w:rsid w:val="04ACCC08"/>
    <w:rsid w:val="04B0997B"/>
    <w:rsid w:val="04B3C104"/>
    <w:rsid w:val="04B6EBCA"/>
    <w:rsid w:val="04B7DD94"/>
    <w:rsid w:val="04BEB284"/>
    <w:rsid w:val="04CCD435"/>
    <w:rsid w:val="04D1E42C"/>
    <w:rsid w:val="04D44379"/>
    <w:rsid w:val="04D58555"/>
    <w:rsid w:val="04D651DD"/>
    <w:rsid w:val="04E7EBD6"/>
    <w:rsid w:val="04EA00E4"/>
    <w:rsid w:val="04ECF085"/>
    <w:rsid w:val="04F28B51"/>
    <w:rsid w:val="04F8AF48"/>
    <w:rsid w:val="04FE2973"/>
    <w:rsid w:val="04FE31BC"/>
    <w:rsid w:val="05042302"/>
    <w:rsid w:val="05057F81"/>
    <w:rsid w:val="050A0E2E"/>
    <w:rsid w:val="050C6162"/>
    <w:rsid w:val="050DB791"/>
    <w:rsid w:val="0513391B"/>
    <w:rsid w:val="05183127"/>
    <w:rsid w:val="051F5F61"/>
    <w:rsid w:val="052F78CA"/>
    <w:rsid w:val="0532AD1A"/>
    <w:rsid w:val="053A0B34"/>
    <w:rsid w:val="053D4CD8"/>
    <w:rsid w:val="053D8413"/>
    <w:rsid w:val="053EE0B2"/>
    <w:rsid w:val="0550BF1D"/>
    <w:rsid w:val="05544A69"/>
    <w:rsid w:val="0558C938"/>
    <w:rsid w:val="0560A494"/>
    <w:rsid w:val="05624074"/>
    <w:rsid w:val="05692BB9"/>
    <w:rsid w:val="056FC00E"/>
    <w:rsid w:val="0577240F"/>
    <w:rsid w:val="057FED3F"/>
    <w:rsid w:val="0580E3CD"/>
    <w:rsid w:val="05850660"/>
    <w:rsid w:val="058C7061"/>
    <w:rsid w:val="058EA991"/>
    <w:rsid w:val="0598F819"/>
    <w:rsid w:val="059E3C1B"/>
    <w:rsid w:val="05A58847"/>
    <w:rsid w:val="05AE2CD5"/>
    <w:rsid w:val="05AEDD50"/>
    <w:rsid w:val="05B33AE4"/>
    <w:rsid w:val="05BA3E13"/>
    <w:rsid w:val="05BA3FD2"/>
    <w:rsid w:val="05CF2162"/>
    <w:rsid w:val="05D7E8B2"/>
    <w:rsid w:val="05DC78A0"/>
    <w:rsid w:val="05DEF6BA"/>
    <w:rsid w:val="05E165AD"/>
    <w:rsid w:val="05E33299"/>
    <w:rsid w:val="05E9192F"/>
    <w:rsid w:val="05EBCD92"/>
    <w:rsid w:val="05ECDC0F"/>
    <w:rsid w:val="05F6452E"/>
    <w:rsid w:val="05FBDB74"/>
    <w:rsid w:val="06059A37"/>
    <w:rsid w:val="0608E5C1"/>
    <w:rsid w:val="060D2A70"/>
    <w:rsid w:val="061CED63"/>
    <w:rsid w:val="0623701D"/>
    <w:rsid w:val="06306B75"/>
    <w:rsid w:val="0630C9EE"/>
    <w:rsid w:val="0640A63B"/>
    <w:rsid w:val="064188F1"/>
    <w:rsid w:val="06465F3F"/>
    <w:rsid w:val="064EA5D4"/>
    <w:rsid w:val="0656C55A"/>
    <w:rsid w:val="06583944"/>
    <w:rsid w:val="065DAF21"/>
    <w:rsid w:val="06626E46"/>
    <w:rsid w:val="0669E0FA"/>
    <w:rsid w:val="066AFCAE"/>
    <w:rsid w:val="066C090C"/>
    <w:rsid w:val="066DB829"/>
    <w:rsid w:val="066ED928"/>
    <w:rsid w:val="0673DAD2"/>
    <w:rsid w:val="0677DF05"/>
    <w:rsid w:val="06791E51"/>
    <w:rsid w:val="067F433B"/>
    <w:rsid w:val="068F5037"/>
    <w:rsid w:val="06926BCE"/>
    <w:rsid w:val="069AE496"/>
    <w:rsid w:val="06A6E3E8"/>
    <w:rsid w:val="06A82AEC"/>
    <w:rsid w:val="06A889BA"/>
    <w:rsid w:val="06AA1AE9"/>
    <w:rsid w:val="06B6F4DA"/>
    <w:rsid w:val="06B8EF40"/>
    <w:rsid w:val="06BA6D75"/>
    <w:rsid w:val="06C0E8CC"/>
    <w:rsid w:val="06D5A7D2"/>
    <w:rsid w:val="06D7A57C"/>
    <w:rsid w:val="06D97110"/>
    <w:rsid w:val="06D9CBA8"/>
    <w:rsid w:val="06DCE623"/>
    <w:rsid w:val="06E4CB9A"/>
    <w:rsid w:val="06F13F75"/>
    <w:rsid w:val="06F484EF"/>
    <w:rsid w:val="06F4A283"/>
    <w:rsid w:val="06FC4546"/>
    <w:rsid w:val="07059B22"/>
    <w:rsid w:val="07190DE0"/>
    <w:rsid w:val="07207E05"/>
    <w:rsid w:val="07215D87"/>
    <w:rsid w:val="072A8651"/>
    <w:rsid w:val="072BCFEE"/>
    <w:rsid w:val="072BED93"/>
    <w:rsid w:val="0742CB69"/>
    <w:rsid w:val="07476B27"/>
    <w:rsid w:val="0752A38E"/>
    <w:rsid w:val="075CCCEA"/>
    <w:rsid w:val="07695090"/>
    <w:rsid w:val="077172D1"/>
    <w:rsid w:val="07720397"/>
    <w:rsid w:val="077A6D0C"/>
    <w:rsid w:val="077FB8D0"/>
    <w:rsid w:val="07820226"/>
    <w:rsid w:val="078B49FA"/>
    <w:rsid w:val="078CABA2"/>
    <w:rsid w:val="078D4995"/>
    <w:rsid w:val="07918E44"/>
    <w:rsid w:val="0792B8DA"/>
    <w:rsid w:val="079F2E8C"/>
    <w:rsid w:val="07A3461E"/>
    <w:rsid w:val="07AE2F9F"/>
    <w:rsid w:val="07BEEC4C"/>
    <w:rsid w:val="07BF1807"/>
    <w:rsid w:val="07C04E4F"/>
    <w:rsid w:val="07CA4FF6"/>
    <w:rsid w:val="07CBE64B"/>
    <w:rsid w:val="07CD4906"/>
    <w:rsid w:val="07D8B477"/>
    <w:rsid w:val="07E21410"/>
    <w:rsid w:val="07E3988F"/>
    <w:rsid w:val="07E7B7CB"/>
    <w:rsid w:val="07E80DBD"/>
    <w:rsid w:val="07EA5AB4"/>
    <w:rsid w:val="07EC558A"/>
    <w:rsid w:val="07F15A77"/>
    <w:rsid w:val="07F23F6E"/>
    <w:rsid w:val="07F78DE9"/>
    <w:rsid w:val="07FD1CBE"/>
    <w:rsid w:val="080AED2A"/>
    <w:rsid w:val="080B7FCB"/>
    <w:rsid w:val="0812D275"/>
    <w:rsid w:val="081E6E83"/>
    <w:rsid w:val="08237562"/>
    <w:rsid w:val="082FFB67"/>
    <w:rsid w:val="083E605F"/>
    <w:rsid w:val="0842F77E"/>
    <w:rsid w:val="08488443"/>
    <w:rsid w:val="08497E3E"/>
    <w:rsid w:val="084B7A04"/>
    <w:rsid w:val="0858B647"/>
    <w:rsid w:val="085B959E"/>
    <w:rsid w:val="0860B5BA"/>
    <w:rsid w:val="0864FF42"/>
    <w:rsid w:val="086B2C5E"/>
    <w:rsid w:val="0871A258"/>
    <w:rsid w:val="087219C9"/>
    <w:rsid w:val="08746FD0"/>
    <w:rsid w:val="087A92EC"/>
    <w:rsid w:val="087C7CF4"/>
    <w:rsid w:val="088D6169"/>
    <w:rsid w:val="088F9C85"/>
    <w:rsid w:val="089FD0C9"/>
    <w:rsid w:val="08B12C8C"/>
    <w:rsid w:val="08CB46F0"/>
    <w:rsid w:val="08D0D155"/>
    <w:rsid w:val="08D1E596"/>
    <w:rsid w:val="08D3AB03"/>
    <w:rsid w:val="08D6056F"/>
    <w:rsid w:val="08D61F7F"/>
    <w:rsid w:val="08D63F55"/>
    <w:rsid w:val="08D9C971"/>
    <w:rsid w:val="08F55763"/>
    <w:rsid w:val="08F915AD"/>
    <w:rsid w:val="09045100"/>
    <w:rsid w:val="0906F588"/>
    <w:rsid w:val="0919A8A5"/>
    <w:rsid w:val="091AB578"/>
    <w:rsid w:val="09253F0E"/>
    <w:rsid w:val="0927AC62"/>
    <w:rsid w:val="092A3493"/>
    <w:rsid w:val="092CB7D4"/>
    <w:rsid w:val="093929FA"/>
    <w:rsid w:val="093A4EC6"/>
    <w:rsid w:val="094E1ED2"/>
    <w:rsid w:val="094E6237"/>
    <w:rsid w:val="095B1A3E"/>
    <w:rsid w:val="095B69EE"/>
    <w:rsid w:val="09694E80"/>
    <w:rsid w:val="097D484A"/>
    <w:rsid w:val="097F247E"/>
    <w:rsid w:val="0981BDF5"/>
    <w:rsid w:val="09837AFF"/>
    <w:rsid w:val="0986B833"/>
    <w:rsid w:val="09910B39"/>
    <w:rsid w:val="0992615F"/>
    <w:rsid w:val="099A6917"/>
    <w:rsid w:val="099C0F77"/>
    <w:rsid w:val="099C5DBE"/>
    <w:rsid w:val="09A4052C"/>
    <w:rsid w:val="09A4F0EB"/>
    <w:rsid w:val="09A78213"/>
    <w:rsid w:val="09B87C36"/>
    <w:rsid w:val="09BA6404"/>
    <w:rsid w:val="09BA744B"/>
    <w:rsid w:val="09C1752E"/>
    <w:rsid w:val="09C228E3"/>
    <w:rsid w:val="09C2DE62"/>
    <w:rsid w:val="09C8C108"/>
    <w:rsid w:val="09CD0C6A"/>
    <w:rsid w:val="09CED90A"/>
    <w:rsid w:val="09D019D6"/>
    <w:rsid w:val="09D04408"/>
    <w:rsid w:val="09DABDB1"/>
    <w:rsid w:val="09E018AD"/>
    <w:rsid w:val="09E7D3E8"/>
    <w:rsid w:val="09EA8D7F"/>
    <w:rsid w:val="09EB6D9C"/>
    <w:rsid w:val="09F1D70C"/>
    <w:rsid w:val="09F4E1D4"/>
    <w:rsid w:val="09FDF362"/>
    <w:rsid w:val="09FE7AC2"/>
    <w:rsid w:val="0A050333"/>
    <w:rsid w:val="0A092EA9"/>
    <w:rsid w:val="0A0D8805"/>
    <w:rsid w:val="0A0DF1DC"/>
    <w:rsid w:val="0A189622"/>
    <w:rsid w:val="0A1B532F"/>
    <w:rsid w:val="0A27234F"/>
    <w:rsid w:val="0A277AE6"/>
    <w:rsid w:val="0A30648B"/>
    <w:rsid w:val="0A47BA3C"/>
    <w:rsid w:val="0A4BE856"/>
    <w:rsid w:val="0A4CBA75"/>
    <w:rsid w:val="0A52BE11"/>
    <w:rsid w:val="0A54ADF6"/>
    <w:rsid w:val="0A550AF7"/>
    <w:rsid w:val="0A559BD6"/>
    <w:rsid w:val="0A56CA5B"/>
    <w:rsid w:val="0A5A27E6"/>
    <w:rsid w:val="0A5DCAA4"/>
    <w:rsid w:val="0A62A5E7"/>
    <w:rsid w:val="0A7413D2"/>
    <w:rsid w:val="0A751266"/>
    <w:rsid w:val="0A75A15D"/>
    <w:rsid w:val="0A75BC53"/>
    <w:rsid w:val="0A7E05C2"/>
    <w:rsid w:val="0A8043E2"/>
    <w:rsid w:val="0A924B88"/>
    <w:rsid w:val="0AA082AE"/>
    <w:rsid w:val="0AA59AB2"/>
    <w:rsid w:val="0AB449F0"/>
    <w:rsid w:val="0AC2EA79"/>
    <w:rsid w:val="0ACCF1DE"/>
    <w:rsid w:val="0AD11446"/>
    <w:rsid w:val="0AE5793A"/>
    <w:rsid w:val="0AEE61F0"/>
    <w:rsid w:val="0AEF3F70"/>
    <w:rsid w:val="0AF6C8D0"/>
    <w:rsid w:val="0B082B8F"/>
    <w:rsid w:val="0B0B54A6"/>
    <w:rsid w:val="0B100188"/>
    <w:rsid w:val="0B1599D8"/>
    <w:rsid w:val="0B1687FA"/>
    <w:rsid w:val="0B18BC81"/>
    <w:rsid w:val="0B1D026E"/>
    <w:rsid w:val="0B1E6844"/>
    <w:rsid w:val="0B221CC7"/>
    <w:rsid w:val="0B236321"/>
    <w:rsid w:val="0B2BF925"/>
    <w:rsid w:val="0B2D0804"/>
    <w:rsid w:val="0B39226A"/>
    <w:rsid w:val="0B3B4E09"/>
    <w:rsid w:val="0B3E4AA3"/>
    <w:rsid w:val="0B45E815"/>
    <w:rsid w:val="0B46D65C"/>
    <w:rsid w:val="0B46DA31"/>
    <w:rsid w:val="0B4C3671"/>
    <w:rsid w:val="0B548845"/>
    <w:rsid w:val="0B59CC5D"/>
    <w:rsid w:val="0B5B2C5D"/>
    <w:rsid w:val="0B61457F"/>
    <w:rsid w:val="0B69F1EC"/>
    <w:rsid w:val="0B6A8132"/>
    <w:rsid w:val="0B6B3806"/>
    <w:rsid w:val="0B7A50AB"/>
    <w:rsid w:val="0B7F981C"/>
    <w:rsid w:val="0B85D49E"/>
    <w:rsid w:val="0B865A4B"/>
    <w:rsid w:val="0B9025AE"/>
    <w:rsid w:val="0BA53FC4"/>
    <w:rsid w:val="0BA93F90"/>
    <w:rsid w:val="0BAFD690"/>
    <w:rsid w:val="0BAFF5F4"/>
    <w:rsid w:val="0BB50C0C"/>
    <w:rsid w:val="0BC1BE13"/>
    <w:rsid w:val="0BCE9189"/>
    <w:rsid w:val="0BD3A6CD"/>
    <w:rsid w:val="0BD74201"/>
    <w:rsid w:val="0BE5D99C"/>
    <w:rsid w:val="0BE63C8D"/>
    <w:rsid w:val="0BE78493"/>
    <w:rsid w:val="0BE97C79"/>
    <w:rsid w:val="0BEBC8FF"/>
    <w:rsid w:val="0BEE48E8"/>
    <w:rsid w:val="0BF2C38F"/>
    <w:rsid w:val="0BFD9598"/>
    <w:rsid w:val="0C0151CA"/>
    <w:rsid w:val="0C016FD9"/>
    <w:rsid w:val="0C023807"/>
    <w:rsid w:val="0C0584E5"/>
    <w:rsid w:val="0C083F73"/>
    <w:rsid w:val="0C0A962F"/>
    <w:rsid w:val="0C0EF4FC"/>
    <w:rsid w:val="0C19351B"/>
    <w:rsid w:val="0C1CFD51"/>
    <w:rsid w:val="0C1D3333"/>
    <w:rsid w:val="0C231F3A"/>
    <w:rsid w:val="0C23EBB8"/>
    <w:rsid w:val="0C2A3578"/>
    <w:rsid w:val="0C2FC9DD"/>
    <w:rsid w:val="0C337E1B"/>
    <w:rsid w:val="0C40B07A"/>
    <w:rsid w:val="0C425E02"/>
    <w:rsid w:val="0C45F873"/>
    <w:rsid w:val="0C467EEB"/>
    <w:rsid w:val="0C50307C"/>
    <w:rsid w:val="0C55C789"/>
    <w:rsid w:val="0C597C42"/>
    <w:rsid w:val="0C7D6E91"/>
    <w:rsid w:val="0C9EE2D9"/>
    <w:rsid w:val="0CA64BCA"/>
    <w:rsid w:val="0CAB0BC5"/>
    <w:rsid w:val="0CB373FB"/>
    <w:rsid w:val="0CB87CD5"/>
    <w:rsid w:val="0CBAE437"/>
    <w:rsid w:val="0CBB4A7D"/>
    <w:rsid w:val="0CC5D8FB"/>
    <w:rsid w:val="0CC99D98"/>
    <w:rsid w:val="0CC9A2B7"/>
    <w:rsid w:val="0CCC5597"/>
    <w:rsid w:val="0CCC64C0"/>
    <w:rsid w:val="0CD9754E"/>
    <w:rsid w:val="0CE572A6"/>
    <w:rsid w:val="0CE97AB4"/>
    <w:rsid w:val="0CE9C90F"/>
    <w:rsid w:val="0CF5AD84"/>
    <w:rsid w:val="0CFAAC33"/>
    <w:rsid w:val="0D027485"/>
    <w:rsid w:val="0D05335A"/>
    <w:rsid w:val="0D05ECEC"/>
    <w:rsid w:val="0D266A5C"/>
    <w:rsid w:val="0D359D45"/>
    <w:rsid w:val="0D3DB585"/>
    <w:rsid w:val="0D41382C"/>
    <w:rsid w:val="0D4534FB"/>
    <w:rsid w:val="0D493D6F"/>
    <w:rsid w:val="0D4ABCE0"/>
    <w:rsid w:val="0D5161CD"/>
    <w:rsid w:val="0D54B2F1"/>
    <w:rsid w:val="0D551EB8"/>
    <w:rsid w:val="0D579E02"/>
    <w:rsid w:val="0D70D6A9"/>
    <w:rsid w:val="0D7387EB"/>
    <w:rsid w:val="0D751E26"/>
    <w:rsid w:val="0D75B2FA"/>
    <w:rsid w:val="0D771852"/>
    <w:rsid w:val="0D7C71EA"/>
    <w:rsid w:val="0D7CF40D"/>
    <w:rsid w:val="0D8054A7"/>
    <w:rsid w:val="0D807F1D"/>
    <w:rsid w:val="0D825861"/>
    <w:rsid w:val="0D8AE869"/>
    <w:rsid w:val="0D8C2E5C"/>
    <w:rsid w:val="0D8F3D17"/>
    <w:rsid w:val="0D90D098"/>
    <w:rsid w:val="0D946CA6"/>
    <w:rsid w:val="0D956FF4"/>
    <w:rsid w:val="0D9AA74B"/>
    <w:rsid w:val="0D9D5E42"/>
    <w:rsid w:val="0DA3B82E"/>
    <w:rsid w:val="0DB19C24"/>
    <w:rsid w:val="0DB5C747"/>
    <w:rsid w:val="0DB68E1D"/>
    <w:rsid w:val="0DB6B3FA"/>
    <w:rsid w:val="0DBCE255"/>
    <w:rsid w:val="0DBE0D93"/>
    <w:rsid w:val="0DC856D5"/>
    <w:rsid w:val="0DE0896D"/>
    <w:rsid w:val="0DE31F77"/>
    <w:rsid w:val="0DEBDA59"/>
    <w:rsid w:val="0DEF2FAB"/>
    <w:rsid w:val="0E002D19"/>
    <w:rsid w:val="0E1605F2"/>
    <w:rsid w:val="0E1A993D"/>
    <w:rsid w:val="0E1F5087"/>
    <w:rsid w:val="0E201F9D"/>
    <w:rsid w:val="0E232807"/>
    <w:rsid w:val="0E247E68"/>
    <w:rsid w:val="0E2BE92E"/>
    <w:rsid w:val="0E32B86E"/>
    <w:rsid w:val="0E347FAE"/>
    <w:rsid w:val="0E38D39D"/>
    <w:rsid w:val="0E3AE698"/>
    <w:rsid w:val="0E471FF1"/>
    <w:rsid w:val="0E49230F"/>
    <w:rsid w:val="0E49F3FD"/>
    <w:rsid w:val="0E50A46E"/>
    <w:rsid w:val="0E51D3AB"/>
    <w:rsid w:val="0E55284F"/>
    <w:rsid w:val="0E619732"/>
    <w:rsid w:val="0E664D14"/>
    <w:rsid w:val="0E8495A6"/>
    <w:rsid w:val="0E8502BC"/>
    <w:rsid w:val="0E858717"/>
    <w:rsid w:val="0E8C0127"/>
    <w:rsid w:val="0E9B619F"/>
    <w:rsid w:val="0E9F4C17"/>
    <w:rsid w:val="0EA65EEF"/>
    <w:rsid w:val="0EAC7647"/>
    <w:rsid w:val="0EADEEDD"/>
    <w:rsid w:val="0EAFD051"/>
    <w:rsid w:val="0EC1716F"/>
    <w:rsid w:val="0EC42FBD"/>
    <w:rsid w:val="0EC7C412"/>
    <w:rsid w:val="0ED83C2F"/>
    <w:rsid w:val="0EDF39AB"/>
    <w:rsid w:val="0EE93BB9"/>
    <w:rsid w:val="0EEEF03E"/>
    <w:rsid w:val="0EF55FA0"/>
    <w:rsid w:val="0EF7F5A7"/>
    <w:rsid w:val="0EFBE4EA"/>
    <w:rsid w:val="0F02025D"/>
    <w:rsid w:val="0F06DD0E"/>
    <w:rsid w:val="0F07D9C4"/>
    <w:rsid w:val="0F0E780A"/>
    <w:rsid w:val="0F193094"/>
    <w:rsid w:val="0F19BFFD"/>
    <w:rsid w:val="0F1AA1EF"/>
    <w:rsid w:val="0F1BE1C8"/>
    <w:rsid w:val="0F268773"/>
    <w:rsid w:val="0F27103B"/>
    <w:rsid w:val="0F298760"/>
    <w:rsid w:val="0F2C1719"/>
    <w:rsid w:val="0F2D8B63"/>
    <w:rsid w:val="0F3C4852"/>
    <w:rsid w:val="0F3FBF5F"/>
    <w:rsid w:val="0F4D49CB"/>
    <w:rsid w:val="0F4D65DA"/>
    <w:rsid w:val="0F5D84B8"/>
    <w:rsid w:val="0F653ACD"/>
    <w:rsid w:val="0F69E7D4"/>
    <w:rsid w:val="0F6E81E6"/>
    <w:rsid w:val="0F76DF7C"/>
    <w:rsid w:val="0F78886D"/>
    <w:rsid w:val="0F806232"/>
    <w:rsid w:val="0F830226"/>
    <w:rsid w:val="0F8A40FA"/>
    <w:rsid w:val="0F9A0DAC"/>
    <w:rsid w:val="0F9A751A"/>
    <w:rsid w:val="0F9CDD9C"/>
    <w:rsid w:val="0F9D2117"/>
    <w:rsid w:val="0FA29192"/>
    <w:rsid w:val="0FA779CD"/>
    <w:rsid w:val="0FBDA7F2"/>
    <w:rsid w:val="0FBE8AE0"/>
    <w:rsid w:val="0FD1AA91"/>
    <w:rsid w:val="0FEB0046"/>
    <w:rsid w:val="0FF54460"/>
    <w:rsid w:val="0FF5B445"/>
    <w:rsid w:val="0FF84820"/>
    <w:rsid w:val="0FFF78A0"/>
    <w:rsid w:val="100493EF"/>
    <w:rsid w:val="1004A863"/>
    <w:rsid w:val="100EA7BF"/>
    <w:rsid w:val="10139F18"/>
    <w:rsid w:val="101E4D49"/>
    <w:rsid w:val="1022D812"/>
    <w:rsid w:val="10277332"/>
    <w:rsid w:val="102B7B71"/>
    <w:rsid w:val="10341B50"/>
    <w:rsid w:val="103B30C9"/>
    <w:rsid w:val="10451561"/>
    <w:rsid w:val="10585C57"/>
    <w:rsid w:val="105E55F2"/>
    <w:rsid w:val="1061D7F8"/>
    <w:rsid w:val="106A84F8"/>
    <w:rsid w:val="10716F45"/>
    <w:rsid w:val="108763A8"/>
    <w:rsid w:val="1095BF52"/>
    <w:rsid w:val="109B118B"/>
    <w:rsid w:val="109C5A6E"/>
    <w:rsid w:val="10A1E98B"/>
    <w:rsid w:val="10AD1921"/>
    <w:rsid w:val="10AED41D"/>
    <w:rsid w:val="10AEF55B"/>
    <w:rsid w:val="10B8B623"/>
    <w:rsid w:val="10BEB0D5"/>
    <w:rsid w:val="10C75974"/>
    <w:rsid w:val="10C89451"/>
    <w:rsid w:val="10CD9FDA"/>
    <w:rsid w:val="10DCA3FD"/>
    <w:rsid w:val="10E03389"/>
    <w:rsid w:val="10F5C488"/>
    <w:rsid w:val="11010850"/>
    <w:rsid w:val="111B9494"/>
    <w:rsid w:val="111BFD58"/>
    <w:rsid w:val="11224820"/>
    <w:rsid w:val="1122DDEA"/>
    <w:rsid w:val="112A987B"/>
    <w:rsid w:val="112CD9C0"/>
    <w:rsid w:val="112D19D0"/>
    <w:rsid w:val="113ADE85"/>
    <w:rsid w:val="113E9723"/>
    <w:rsid w:val="1147F9B7"/>
    <w:rsid w:val="11495155"/>
    <w:rsid w:val="114E964F"/>
    <w:rsid w:val="1152EFAA"/>
    <w:rsid w:val="1157E7DD"/>
    <w:rsid w:val="1162D46C"/>
    <w:rsid w:val="1169CEC5"/>
    <w:rsid w:val="116B603F"/>
    <w:rsid w:val="116D1DA2"/>
    <w:rsid w:val="117CC7C2"/>
    <w:rsid w:val="11814226"/>
    <w:rsid w:val="118AB31B"/>
    <w:rsid w:val="118B5B09"/>
    <w:rsid w:val="118B9B9E"/>
    <w:rsid w:val="118D463A"/>
    <w:rsid w:val="118D5B79"/>
    <w:rsid w:val="118FDBD8"/>
    <w:rsid w:val="11918B4C"/>
    <w:rsid w:val="11ABB2A3"/>
    <w:rsid w:val="11B8BF07"/>
    <w:rsid w:val="11BD0A80"/>
    <w:rsid w:val="11BE2EE9"/>
    <w:rsid w:val="11BEA01C"/>
    <w:rsid w:val="11C08060"/>
    <w:rsid w:val="11CC14AF"/>
    <w:rsid w:val="11D09AE4"/>
    <w:rsid w:val="11D875F4"/>
    <w:rsid w:val="11D9DCE5"/>
    <w:rsid w:val="11DA757A"/>
    <w:rsid w:val="11DAB0EC"/>
    <w:rsid w:val="11EEB01D"/>
    <w:rsid w:val="11F11854"/>
    <w:rsid w:val="11FA864A"/>
    <w:rsid w:val="11FCF98E"/>
    <w:rsid w:val="11FDB5D3"/>
    <w:rsid w:val="1204DB47"/>
    <w:rsid w:val="120F765A"/>
    <w:rsid w:val="1213537D"/>
    <w:rsid w:val="121D3EA1"/>
    <w:rsid w:val="1229DB7B"/>
    <w:rsid w:val="122FA888"/>
    <w:rsid w:val="123446A7"/>
    <w:rsid w:val="1245657A"/>
    <w:rsid w:val="12574D52"/>
    <w:rsid w:val="125BDA05"/>
    <w:rsid w:val="12664816"/>
    <w:rsid w:val="126DB2FE"/>
    <w:rsid w:val="127045DD"/>
    <w:rsid w:val="12792E7A"/>
    <w:rsid w:val="1281694A"/>
    <w:rsid w:val="128345E2"/>
    <w:rsid w:val="12837235"/>
    <w:rsid w:val="1286399F"/>
    <w:rsid w:val="1287E555"/>
    <w:rsid w:val="12936A65"/>
    <w:rsid w:val="129BA8AC"/>
    <w:rsid w:val="129C2837"/>
    <w:rsid w:val="12B864A8"/>
    <w:rsid w:val="12BFE2C8"/>
    <w:rsid w:val="12C0E9BD"/>
    <w:rsid w:val="12C45BA3"/>
    <w:rsid w:val="12CBD274"/>
    <w:rsid w:val="12CE0F44"/>
    <w:rsid w:val="12D5FF14"/>
    <w:rsid w:val="12E04562"/>
    <w:rsid w:val="12E72269"/>
    <w:rsid w:val="12EC32C8"/>
    <w:rsid w:val="12ECF86F"/>
    <w:rsid w:val="12F50A42"/>
    <w:rsid w:val="12FD7CE3"/>
    <w:rsid w:val="13059F26"/>
    <w:rsid w:val="1308FFF8"/>
    <w:rsid w:val="130B2ECC"/>
    <w:rsid w:val="130EA870"/>
    <w:rsid w:val="131503E5"/>
    <w:rsid w:val="13183358"/>
    <w:rsid w:val="131FCCF5"/>
    <w:rsid w:val="13273274"/>
    <w:rsid w:val="132A2D09"/>
    <w:rsid w:val="132BB274"/>
    <w:rsid w:val="132E7687"/>
    <w:rsid w:val="133077D1"/>
    <w:rsid w:val="13314721"/>
    <w:rsid w:val="1331CB18"/>
    <w:rsid w:val="1334BC7C"/>
    <w:rsid w:val="133C007D"/>
    <w:rsid w:val="133C0624"/>
    <w:rsid w:val="1353B7EA"/>
    <w:rsid w:val="1355AD1F"/>
    <w:rsid w:val="13577ACB"/>
    <w:rsid w:val="135796A8"/>
    <w:rsid w:val="1358DE35"/>
    <w:rsid w:val="135B3043"/>
    <w:rsid w:val="135FA1B9"/>
    <w:rsid w:val="1360E911"/>
    <w:rsid w:val="1364D174"/>
    <w:rsid w:val="136E11C7"/>
    <w:rsid w:val="1371EF18"/>
    <w:rsid w:val="13736510"/>
    <w:rsid w:val="1374F567"/>
    <w:rsid w:val="137CB1DB"/>
    <w:rsid w:val="13823A2E"/>
    <w:rsid w:val="1386CAF6"/>
    <w:rsid w:val="1387901C"/>
    <w:rsid w:val="13883463"/>
    <w:rsid w:val="13889411"/>
    <w:rsid w:val="138BEE55"/>
    <w:rsid w:val="138C64DB"/>
    <w:rsid w:val="13962E11"/>
    <w:rsid w:val="1397AE06"/>
    <w:rsid w:val="139BFF7E"/>
    <w:rsid w:val="139FB67E"/>
    <w:rsid w:val="13A6B542"/>
    <w:rsid w:val="13B31AAB"/>
    <w:rsid w:val="13B3EEBF"/>
    <w:rsid w:val="13BA5ED5"/>
    <w:rsid w:val="13BF1DF7"/>
    <w:rsid w:val="13C2187E"/>
    <w:rsid w:val="13C2CEE1"/>
    <w:rsid w:val="13C756D8"/>
    <w:rsid w:val="13D07F88"/>
    <w:rsid w:val="13D5D666"/>
    <w:rsid w:val="13D75070"/>
    <w:rsid w:val="13D7CB89"/>
    <w:rsid w:val="13E5EDB9"/>
    <w:rsid w:val="13E668A3"/>
    <w:rsid w:val="13E67121"/>
    <w:rsid w:val="13ED293C"/>
    <w:rsid w:val="13F5F1EF"/>
    <w:rsid w:val="13F5FE32"/>
    <w:rsid w:val="13F6B2E8"/>
    <w:rsid w:val="13FB5310"/>
    <w:rsid w:val="14096DB5"/>
    <w:rsid w:val="14097194"/>
    <w:rsid w:val="140F44DB"/>
    <w:rsid w:val="14129A99"/>
    <w:rsid w:val="141EF08D"/>
    <w:rsid w:val="141FA126"/>
    <w:rsid w:val="14350C62"/>
    <w:rsid w:val="1437DDB4"/>
    <w:rsid w:val="1454FEE0"/>
    <w:rsid w:val="1458603C"/>
    <w:rsid w:val="145EEBA5"/>
    <w:rsid w:val="145FA297"/>
    <w:rsid w:val="146361BD"/>
    <w:rsid w:val="14693A30"/>
    <w:rsid w:val="146B1F2D"/>
    <w:rsid w:val="146E40E6"/>
    <w:rsid w:val="146F6508"/>
    <w:rsid w:val="14712FB8"/>
    <w:rsid w:val="1473FF38"/>
    <w:rsid w:val="1478A42B"/>
    <w:rsid w:val="147C2DC6"/>
    <w:rsid w:val="147D5014"/>
    <w:rsid w:val="14913395"/>
    <w:rsid w:val="14957BB3"/>
    <w:rsid w:val="149E207D"/>
    <w:rsid w:val="14A364B4"/>
    <w:rsid w:val="14BB1CDE"/>
    <w:rsid w:val="14CB938B"/>
    <w:rsid w:val="14D45730"/>
    <w:rsid w:val="14DC4208"/>
    <w:rsid w:val="14DFA4F9"/>
    <w:rsid w:val="14E2D9A6"/>
    <w:rsid w:val="14E3BBE9"/>
    <w:rsid w:val="14EABDBF"/>
    <w:rsid w:val="14F02EF2"/>
    <w:rsid w:val="14F138AC"/>
    <w:rsid w:val="14F315AE"/>
    <w:rsid w:val="14F4F032"/>
    <w:rsid w:val="14F57FB7"/>
    <w:rsid w:val="14F5B305"/>
    <w:rsid w:val="1502221D"/>
    <w:rsid w:val="15085E5A"/>
    <w:rsid w:val="15116378"/>
    <w:rsid w:val="15176358"/>
    <w:rsid w:val="151900D2"/>
    <w:rsid w:val="151DE229"/>
    <w:rsid w:val="152D378A"/>
    <w:rsid w:val="15327D7B"/>
    <w:rsid w:val="1532B2D1"/>
    <w:rsid w:val="15404F46"/>
    <w:rsid w:val="1544C6EC"/>
    <w:rsid w:val="154983EB"/>
    <w:rsid w:val="15546B69"/>
    <w:rsid w:val="1564B206"/>
    <w:rsid w:val="1564E24A"/>
    <w:rsid w:val="156750A9"/>
    <w:rsid w:val="156CDDAA"/>
    <w:rsid w:val="15810698"/>
    <w:rsid w:val="158FF0C6"/>
    <w:rsid w:val="1599B8BC"/>
    <w:rsid w:val="159A4A9F"/>
    <w:rsid w:val="159DDA13"/>
    <w:rsid w:val="15A2EFC5"/>
    <w:rsid w:val="15BF11D4"/>
    <w:rsid w:val="15BF4BF6"/>
    <w:rsid w:val="15C37C29"/>
    <w:rsid w:val="15C3EA2F"/>
    <w:rsid w:val="15C7E3D9"/>
    <w:rsid w:val="15D2E203"/>
    <w:rsid w:val="15D691A4"/>
    <w:rsid w:val="15D93BF7"/>
    <w:rsid w:val="15D942DE"/>
    <w:rsid w:val="15DB12C8"/>
    <w:rsid w:val="15DDCD32"/>
    <w:rsid w:val="15E10923"/>
    <w:rsid w:val="15E2ACCA"/>
    <w:rsid w:val="15F321F6"/>
    <w:rsid w:val="15F72930"/>
    <w:rsid w:val="15F88D63"/>
    <w:rsid w:val="15FC5674"/>
    <w:rsid w:val="15FDC6D5"/>
    <w:rsid w:val="16052033"/>
    <w:rsid w:val="160EAE71"/>
    <w:rsid w:val="161B8C84"/>
    <w:rsid w:val="1620BE33"/>
    <w:rsid w:val="162AF8C2"/>
    <w:rsid w:val="162D2587"/>
    <w:rsid w:val="1631F0B7"/>
    <w:rsid w:val="163472E9"/>
    <w:rsid w:val="16375582"/>
    <w:rsid w:val="164E110E"/>
    <w:rsid w:val="1650BF8D"/>
    <w:rsid w:val="165ACE7B"/>
    <w:rsid w:val="165C3F4A"/>
    <w:rsid w:val="165E3126"/>
    <w:rsid w:val="16689C54"/>
    <w:rsid w:val="166B6C01"/>
    <w:rsid w:val="166BAA4A"/>
    <w:rsid w:val="1671EFB4"/>
    <w:rsid w:val="1676749C"/>
    <w:rsid w:val="168C0B9C"/>
    <w:rsid w:val="168E8131"/>
    <w:rsid w:val="16927848"/>
    <w:rsid w:val="16937CDD"/>
    <w:rsid w:val="16954C7A"/>
    <w:rsid w:val="169FA2AF"/>
    <w:rsid w:val="16A95178"/>
    <w:rsid w:val="16A9DB90"/>
    <w:rsid w:val="16B183A2"/>
    <w:rsid w:val="16C229DB"/>
    <w:rsid w:val="16C63FF8"/>
    <w:rsid w:val="16D46215"/>
    <w:rsid w:val="16E1386E"/>
    <w:rsid w:val="16E29596"/>
    <w:rsid w:val="16E87818"/>
    <w:rsid w:val="16EE3A8F"/>
    <w:rsid w:val="16EED2F7"/>
    <w:rsid w:val="16F409E3"/>
    <w:rsid w:val="16FF29E6"/>
    <w:rsid w:val="1700B569"/>
    <w:rsid w:val="1706CA79"/>
    <w:rsid w:val="17139B81"/>
    <w:rsid w:val="171BCCB5"/>
    <w:rsid w:val="1725B40F"/>
    <w:rsid w:val="172A517E"/>
    <w:rsid w:val="1734E8BC"/>
    <w:rsid w:val="1735A058"/>
    <w:rsid w:val="1739D115"/>
    <w:rsid w:val="173B77D5"/>
    <w:rsid w:val="1747EE00"/>
    <w:rsid w:val="174A3F9C"/>
    <w:rsid w:val="1751D523"/>
    <w:rsid w:val="1760CED3"/>
    <w:rsid w:val="1769A513"/>
    <w:rsid w:val="176BACBD"/>
    <w:rsid w:val="176CEC7B"/>
    <w:rsid w:val="176D449C"/>
    <w:rsid w:val="177A195D"/>
    <w:rsid w:val="177A2C2A"/>
    <w:rsid w:val="177CC2D1"/>
    <w:rsid w:val="177D5F1D"/>
    <w:rsid w:val="178050FE"/>
    <w:rsid w:val="17837472"/>
    <w:rsid w:val="1786FAC3"/>
    <w:rsid w:val="1787E2E7"/>
    <w:rsid w:val="17886D1F"/>
    <w:rsid w:val="178DF38E"/>
    <w:rsid w:val="1791A7DC"/>
    <w:rsid w:val="179630D2"/>
    <w:rsid w:val="179E6073"/>
    <w:rsid w:val="17A43AA0"/>
    <w:rsid w:val="17A6CB9D"/>
    <w:rsid w:val="17B2A6DC"/>
    <w:rsid w:val="17BA00C1"/>
    <w:rsid w:val="17C0A5D6"/>
    <w:rsid w:val="17C7CCE6"/>
    <w:rsid w:val="17CD6F0E"/>
    <w:rsid w:val="17CE2112"/>
    <w:rsid w:val="17CF047F"/>
    <w:rsid w:val="17D290DE"/>
    <w:rsid w:val="17D7429A"/>
    <w:rsid w:val="17DDD717"/>
    <w:rsid w:val="17E2B802"/>
    <w:rsid w:val="17E3131C"/>
    <w:rsid w:val="17E5AC5F"/>
    <w:rsid w:val="17E5F55B"/>
    <w:rsid w:val="17E63AA9"/>
    <w:rsid w:val="17E8A09B"/>
    <w:rsid w:val="17EFB1CE"/>
    <w:rsid w:val="17F263EE"/>
    <w:rsid w:val="17F3954A"/>
    <w:rsid w:val="17F5C512"/>
    <w:rsid w:val="17F91DDB"/>
    <w:rsid w:val="17F921D9"/>
    <w:rsid w:val="17F9CBF5"/>
    <w:rsid w:val="17FB23F1"/>
    <w:rsid w:val="18026498"/>
    <w:rsid w:val="18059DC1"/>
    <w:rsid w:val="1816F95A"/>
    <w:rsid w:val="181FFF73"/>
    <w:rsid w:val="1825D25E"/>
    <w:rsid w:val="1831A21E"/>
    <w:rsid w:val="183A8E8F"/>
    <w:rsid w:val="184728A2"/>
    <w:rsid w:val="18537D3F"/>
    <w:rsid w:val="18622C97"/>
    <w:rsid w:val="18630E74"/>
    <w:rsid w:val="186B8D81"/>
    <w:rsid w:val="18778A7F"/>
    <w:rsid w:val="187AA1A2"/>
    <w:rsid w:val="187ED08B"/>
    <w:rsid w:val="188E13B2"/>
    <w:rsid w:val="18922638"/>
    <w:rsid w:val="189AD12D"/>
    <w:rsid w:val="189DB053"/>
    <w:rsid w:val="18AF0DB8"/>
    <w:rsid w:val="18D9534B"/>
    <w:rsid w:val="18DB324D"/>
    <w:rsid w:val="18DF3C5A"/>
    <w:rsid w:val="18E542BB"/>
    <w:rsid w:val="18E9B65D"/>
    <w:rsid w:val="18EBB686"/>
    <w:rsid w:val="18F9FB74"/>
    <w:rsid w:val="1901BC96"/>
    <w:rsid w:val="190298FE"/>
    <w:rsid w:val="1907CF55"/>
    <w:rsid w:val="191E5869"/>
    <w:rsid w:val="19221AEE"/>
    <w:rsid w:val="192D880D"/>
    <w:rsid w:val="193063C1"/>
    <w:rsid w:val="1930E968"/>
    <w:rsid w:val="1934B364"/>
    <w:rsid w:val="19457EB7"/>
    <w:rsid w:val="194F806B"/>
    <w:rsid w:val="19502618"/>
    <w:rsid w:val="1955AFFA"/>
    <w:rsid w:val="19663B0E"/>
    <w:rsid w:val="196B5148"/>
    <w:rsid w:val="198B987E"/>
    <w:rsid w:val="19905312"/>
    <w:rsid w:val="19914982"/>
    <w:rsid w:val="19944096"/>
    <w:rsid w:val="1998EA67"/>
    <w:rsid w:val="1999A274"/>
    <w:rsid w:val="199B60F3"/>
    <w:rsid w:val="19A0B574"/>
    <w:rsid w:val="19B158B0"/>
    <w:rsid w:val="19B72492"/>
    <w:rsid w:val="19BBB6C5"/>
    <w:rsid w:val="19C0BDDC"/>
    <w:rsid w:val="19C11515"/>
    <w:rsid w:val="19C3C12D"/>
    <w:rsid w:val="19CC3AC8"/>
    <w:rsid w:val="19D43D12"/>
    <w:rsid w:val="19D872E8"/>
    <w:rsid w:val="19E7AF53"/>
    <w:rsid w:val="19E85B27"/>
    <w:rsid w:val="19EA8E51"/>
    <w:rsid w:val="19ED59DC"/>
    <w:rsid w:val="19F4FE23"/>
    <w:rsid w:val="19F73079"/>
    <w:rsid w:val="1A03E36E"/>
    <w:rsid w:val="1A11A08A"/>
    <w:rsid w:val="1A171711"/>
    <w:rsid w:val="1A1A3020"/>
    <w:rsid w:val="1A1EE36F"/>
    <w:rsid w:val="1A1F8461"/>
    <w:rsid w:val="1A2C8EC4"/>
    <w:rsid w:val="1A2D857E"/>
    <w:rsid w:val="1A4CA5EF"/>
    <w:rsid w:val="1A4E4C6B"/>
    <w:rsid w:val="1A4FA079"/>
    <w:rsid w:val="1A54012D"/>
    <w:rsid w:val="1A5491A6"/>
    <w:rsid w:val="1A591D0C"/>
    <w:rsid w:val="1A5C8C97"/>
    <w:rsid w:val="1A5EA807"/>
    <w:rsid w:val="1A601EF8"/>
    <w:rsid w:val="1A62C958"/>
    <w:rsid w:val="1A7A4E0C"/>
    <w:rsid w:val="1A89170C"/>
    <w:rsid w:val="1A8A7D5B"/>
    <w:rsid w:val="1A916F58"/>
    <w:rsid w:val="1A9DB934"/>
    <w:rsid w:val="1A9DE749"/>
    <w:rsid w:val="1A9EC92F"/>
    <w:rsid w:val="1AA42ECE"/>
    <w:rsid w:val="1AA63CAB"/>
    <w:rsid w:val="1AABAC44"/>
    <w:rsid w:val="1AACF081"/>
    <w:rsid w:val="1AACF49A"/>
    <w:rsid w:val="1AB50528"/>
    <w:rsid w:val="1AB5C8E7"/>
    <w:rsid w:val="1AB67BEF"/>
    <w:rsid w:val="1ABC00FD"/>
    <w:rsid w:val="1ACCCEB9"/>
    <w:rsid w:val="1AD0F5AB"/>
    <w:rsid w:val="1AD26EB1"/>
    <w:rsid w:val="1AD543FA"/>
    <w:rsid w:val="1ADF5624"/>
    <w:rsid w:val="1AE071FE"/>
    <w:rsid w:val="1AE2F602"/>
    <w:rsid w:val="1AE6F06E"/>
    <w:rsid w:val="1AFBBADF"/>
    <w:rsid w:val="1B00E6AA"/>
    <w:rsid w:val="1B0EAA53"/>
    <w:rsid w:val="1B12F0C1"/>
    <w:rsid w:val="1B19D71B"/>
    <w:rsid w:val="1B1C925E"/>
    <w:rsid w:val="1B1E6EC8"/>
    <w:rsid w:val="1B2727CA"/>
    <w:rsid w:val="1B2D649B"/>
    <w:rsid w:val="1B34E1E7"/>
    <w:rsid w:val="1B398445"/>
    <w:rsid w:val="1B4F4E64"/>
    <w:rsid w:val="1B631CE4"/>
    <w:rsid w:val="1B653483"/>
    <w:rsid w:val="1B72584E"/>
    <w:rsid w:val="1B7698F2"/>
    <w:rsid w:val="1B7BDF9F"/>
    <w:rsid w:val="1B7E7B2B"/>
    <w:rsid w:val="1B800320"/>
    <w:rsid w:val="1B81BDC1"/>
    <w:rsid w:val="1B81CDB4"/>
    <w:rsid w:val="1B9BC3F9"/>
    <w:rsid w:val="1B9C0E93"/>
    <w:rsid w:val="1B9C5427"/>
    <w:rsid w:val="1B9DA26D"/>
    <w:rsid w:val="1B9F80BA"/>
    <w:rsid w:val="1BA4B478"/>
    <w:rsid w:val="1BA6DE1D"/>
    <w:rsid w:val="1BAA4680"/>
    <w:rsid w:val="1BB16FD6"/>
    <w:rsid w:val="1BC78574"/>
    <w:rsid w:val="1BD3B734"/>
    <w:rsid w:val="1BD406AB"/>
    <w:rsid w:val="1BD8E370"/>
    <w:rsid w:val="1BE15ED9"/>
    <w:rsid w:val="1BE3D91C"/>
    <w:rsid w:val="1BE42BF8"/>
    <w:rsid w:val="1BE5A629"/>
    <w:rsid w:val="1BF4A572"/>
    <w:rsid w:val="1C154747"/>
    <w:rsid w:val="1C352625"/>
    <w:rsid w:val="1C374E56"/>
    <w:rsid w:val="1C375BBB"/>
    <w:rsid w:val="1C474E93"/>
    <w:rsid w:val="1C4AAE41"/>
    <w:rsid w:val="1C4F6A18"/>
    <w:rsid w:val="1C5D0120"/>
    <w:rsid w:val="1C67C968"/>
    <w:rsid w:val="1C6BB8BB"/>
    <w:rsid w:val="1C79510F"/>
    <w:rsid w:val="1C825E58"/>
    <w:rsid w:val="1C89B755"/>
    <w:rsid w:val="1C8A6FC3"/>
    <w:rsid w:val="1C8B28D3"/>
    <w:rsid w:val="1C9B5BF8"/>
    <w:rsid w:val="1CA2037D"/>
    <w:rsid w:val="1CA2D1DA"/>
    <w:rsid w:val="1CAF2006"/>
    <w:rsid w:val="1CAF3E05"/>
    <w:rsid w:val="1CB71CE0"/>
    <w:rsid w:val="1CBD002E"/>
    <w:rsid w:val="1CC46E91"/>
    <w:rsid w:val="1CCFE9E4"/>
    <w:rsid w:val="1CD2BD71"/>
    <w:rsid w:val="1CD3020D"/>
    <w:rsid w:val="1CD520D9"/>
    <w:rsid w:val="1CDC7EDB"/>
    <w:rsid w:val="1CE19FB1"/>
    <w:rsid w:val="1CE201F1"/>
    <w:rsid w:val="1CEE5C5E"/>
    <w:rsid w:val="1CEE897E"/>
    <w:rsid w:val="1CF20C94"/>
    <w:rsid w:val="1CF25708"/>
    <w:rsid w:val="1CF2E848"/>
    <w:rsid w:val="1CF3B3C7"/>
    <w:rsid w:val="1D0445EF"/>
    <w:rsid w:val="1D12E3FF"/>
    <w:rsid w:val="1D156F8F"/>
    <w:rsid w:val="1D15E0CD"/>
    <w:rsid w:val="1D1EE208"/>
    <w:rsid w:val="1D2A061C"/>
    <w:rsid w:val="1D326BE1"/>
    <w:rsid w:val="1D3C99FC"/>
    <w:rsid w:val="1D3CACFC"/>
    <w:rsid w:val="1D40F21D"/>
    <w:rsid w:val="1D486CF3"/>
    <w:rsid w:val="1D52055C"/>
    <w:rsid w:val="1D65689E"/>
    <w:rsid w:val="1D72691B"/>
    <w:rsid w:val="1D74D232"/>
    <w:rsid w:val="1D814EEF"/>
    <w:rsid w:val="1D8417F8"/>
    <w:rsid w:val="1D865D8F"/>
    <w:rsid w:val="1D874FA1"/>
    <w:rsid w:val="1D886F74"/>
    <w:rsid w:val="1D8AF675"/>
    <w:rsid w:val="1D8B42E3"/>
    <w:rsid w:val="1D8F8D16"/>
    <w:rsid w:val="1D91CED2"/>
    <w:rsid w:val="1D94C956"/>
    <w:rsid w:val="1D9561DA"/>
    <w:rsid w:val="1D9EA553"/>
    <w:rsid w:val="1DADABE7"/>
    <w:rsid w:val="1DAF67F9"/>
    <w:rsid w:val="1DB3DC90"/>
    <w:rsid w:val="1DBCF3A6"/>
    <w:rsid w:val="1DC0DE46"/>
    <w:rsid w:val="1DC425C4"/>
    <w:rsid w:val="1DC70A01"/>
    <w:rsid w:val="1DCB9056"/>
    <w:rsid w:val="1DD3E69B"/>
    <w:rsid w:val="1DD52C6C"/>
    <w:rsid w:val="1DDE7C16"/>
    <w:rsid w:val="1DDF8E36"/>
    <w:rsid w:val="1DE164AC"/>
    <w:rsid w:val="1DE1BFEA"/>
    <w:rsid w:val="1DE27CD3"/>
    <w:rsid w:val="1DE42185"/>
    <w:rsid w:val="1DF25CE2"/>
    <w:rsid w:val="1DFE1392"/>
    <w:rsid w:val="1E0B2838"/>
    <w:rsid w:val="1E0E96CD"/>
    <w:rsid w:val="1E15F05D"/>
    <w:rsid w:val="1E2A2761"/>
    <w:rsid w:val="1E2C0422"/>
    <w:rsid w:val="1E2E7C26"/>
    <w:rsid w:val="1E2F1885"/>
    <w:rsid w:val="1E39893A"/>
    <w:rsid w:val="1E3DAFAF"/>
    <w:rsid w:val="1E41B55A"/>
    <w:rsid w:val="1E41FC2A"/>
    <w:rsid w:val="1E441BA6"/>
    <w:rsid w:val="1E4AC09B"/>
    <w:rsid w:val="1E59CA0A"/>
    <w:rsid w:val="1E5A8A15"/>
    <w:rsid w:val="1E61A73F"/>
    <w:rsid w:val="1E6D8D53"/>
    <w:rsid w:val="1E6E9566"/>
    <w:rsid w:val="1E72F7A7"/>
    <w:rsid w:val="1E7DC5D3"/>
    <w:rsid w:val="1E8E5AF1"/>
    <w:rsid w:val="1E91047B"/>
    <w:rsid w:val="1E9A4783"/>
    <w:rsid w:val="1EA3725A"/>
    <w:rsid w:val="1EAA6B7A"/>
    <w:rsid w:val="1EB36A36"/>
    <w:rsid w:val="1EB5BE40"/>
    <w:rsid w:val="1EBC4911"/>
    <w:rsid w:val="1EBCFEC4"/>
    <w:rsid w:val="1EC2356A"/>
    <w:rsid w:val="1EC262B3"/>
    <w:rsid w:val="1EC26EF3"/>
    <w:rsid w:val="1EC2EE98"/>
    <w:rsid w:val="1ED2879B"/>
    <w:rsid w:val="1ED33037"/>
    <w:rsid w:val="1EE4E3F4"/>
    <w:rsid w:val="1EE7F970"/>
    <w:rsid w:val="1EE84F8F"/>
    <w:rsid w:val="1EF27805"/>
    <w:rsid w:val="1EF93F69"/>
    <w:rsid w:val="1EFE551C"/>
    <w:rsid w:val="1F06F3FD"/>
    <w:rsid w:val="1F0916BC"/>
    <w:rsid w:val="1F15E39C"/>
    <w:rsid w:val="1F17B74C"/>
    <w:rsid w:val="1F1881A4"/>
    <w:rsid w:val="1F1B123D"/>
    <w:rsid w:val="1F1B532C"/>
    <w:rsid w:val="1F1D1F1E"/>
    <w:rsid w:val="1F3E74B7"/>
    <w:rsid w:val="1F3F4683"/>
    <w:rsid w:val="1F40435F"/>
    <w:rsid w:val="1F45514C"/>
    <w:rsid w:val="1F57C569"/>
    <w:rsid w:val="1F57F1B9"/>
    <w:rsid w:val="1F6AA56C"/>
    <w:rsid w:val="1F753600"/>
    <w:rsid w:val="1F7E325B"/>
    <w:rsid w:val="1F8046B3"/>
    <w:rsid w:val="1F8524FB"/>
    <w:rsid w:val="1F8753B2"/>
    <w:rsid w:val="1F915B81"/>
    <w:rsid w:val="1FA29793"/>
    <w:rsid w:val="1FA6B674"/>
    <w:rsid w:val="1FBBB314"/>
    <w:rsid w:val="1FBD2786"/>
    <w:rsid w:val="1FC2459E"/>
    <w:rsid w:val="1FC31BFB"/>
    <w:rsid w:val="1FD801CA"/>
    <w:rsid w:val="1FDC1C46"/>
    <w:rsid w:val="1FE69D4B"/>
    <w:rsid w:val="1FEA410A"/>
    <w:rsid w:val="1FEA802C"/>
    <w:rsid w:val="1FEB98B7"/>
    <w:rsid w:val="20051CC9"/>
    <w:rsid w:val="200C9666"/>
    <w:rsid w:val="200DBE6A"/>
    <w:rsid w:val="201295E3"/>
    <w:rsid w:val="2015C4A3"/>
    <w:rsid w:val="2019A64D"/>
    <w:rsid w:val="201BA781"/>
    <w:rsid w:val="2021C98A"/>
    <w:rsid w:val="202CEB37"/>
    <w:rsid w:val="2033997B"/>
    <w:rsid w:val="203D5236"/>
    <w:rsid w:val="20469BC7"/>
    <w:rsid w:val="204A2E02"/>
    <w:rsid w:val="204E0693"/>
    <w:rsid w:val="2051AF7D"/>
    <w:rsid w:val="2056974A"/>
    <w:rsid w:val="2058608F"/>
    <w:rsid w:val="20638302"/>
    <w:rsid w:val="206483A4"/>
    <w:rsid w:val="20679723"/>
    <w:rsid w:val="206B5C3A"/>
    <w:rsid w:val="206FC1E6"/>
    <w:rsid w:val="20761175"/>
    <w:rsid w:val="207DB1D6"/>
    <w:rsid w:val="208397AF"/>
    <w:rsid w:val="20941C24"/>
    <w:rsid w:val="2097A10D"/>
    <w:rsid w:val="20A580C9"/>
    <w:rsid w:val="20AB3483"/>
    <w:rsid w:val="20AC2F14"/>
    <w:rsid w:val="20AEE2B0"/>
    <w:rsid w:val="20B1EA4D"/>
    <w:rsid w:val="20B750BA"/>
    <w:rsid w:val="20D39297"/>
    <w:rsid w:val="20EAEDC8"/>
    <w:rsid w:val="20F76574"/>
    <w:rsid w:val="211633A2"/>
    <w:rsid w:val="2119291C"/>
    <w:rsid w:val="2125ED60"/>
    <w:rsid w:val="213DDF77"/>
    <w:rsid w:val="21414A73"/>
    <w:rsid w:val="2147A878"/>
    <w:rsid w:val="214814B5"/>
    <w:rsid w:val="214A6893"/>
    <w:rsid w:val="215456BD"/>
    <w:rsid w:val="2163E00A"/>
    <w:rsid w:val="21688C99"/>
    <w:rsid w:val="216BB5B4"/>
    <w:rsid w:val="21793F89"/>
    <w:rsid w:val="217A1322"/>
    <w:rsid w:val="217FD314"/>
    <w:rsid w:val="2184062C"/>
    <w:rsid w:val="21857383"/>
    <w:rsid w:val="2189E2E8"/>
    <w:rsid w:val="218E9A50"/>
    <w:rsid w:val="2192ECE1"/>
    <w:rsid w:val="219913D8"/>
    <w:rsid w:val="21B1A7D1"/>
    <w:rsid w:val="21BAC36A"/>
    <w:rsid w:val="21BC21D5"/>
    <w:rsid w:val="21C3556A"/>
    <w:rsid w:val="21CF01AE"/>
    <w:rsid w:val="21D763D4"/>
    <w:rsid w:val="21E13EB2"/>
    <w:rsid w:val="21E2B66A"/>
    <w:rsid w:val="21F098DA"/>
    <w:rsid w:val="21F877D7"/>
    <w:rsid w:val="21FE1645"/>
    <w:rsid w:val="21FF7F0B"/>
    <w:rsid w:val="22098717"/>
    <w:rsid w:val="220DBC5B"/>
    <w:rsid w:val="2213805A"/>
    <w:rsid w:val="22149D9A"/>
    <w:rsid w:val="22247D89"/>
    <w:rsid w:val="2225277A"/>
    <w:rsid w:val="2227B35F"/>
    <w:rsid w:val="22287C8B"/>
    <w:rsid w:val="222AC525"/>
    <w:rsid w:val="222B1526"/>
    <w:rsid w:val="22425329"/>
    <w:rsid w:val="224663CA"/>
    <w:rsid w:val="2248558D"/>
    <w:rsid w:val="225D7790"/>
    <w:rsid w:val="22723A05"/>
    <w:rsid w:val="227A1967"/>
    <w:rsid w:val="22863C86"/>
    <w:rsid w:val="2289E22D"/>
    <w:rsid w:val="228B64E4"/>
    <w:rsid w:val="2291C9AE"/>
    <w:rsid w:val="2298CF79"/>
    <w:rsid w:val="229B336A"/>
    <w:rsid w:val="229C8927"/>
    <w:rsid w:val="22A04423"/>
    <w:rsid w:val="22A0F3BE"/>
    <w:rsid w:val="22A16471"/>
    <w:rsid w:val="22A36988"/>
    <w:rsid w:val="22A8532F"/>
    <w:rsid w:val="22B064D9"/>
    <w:rsid w:val="22B233E7"/>
    <w:rsid w:val="22B53DD9"/>
    <w:rsid w:val="22B6B6CC"/>
    <w:rsid w:val="22B8AD2D"/>
    <w:rsid w:val="22BD93C7"/>
    <w:rsid w:val="22C440D5"/>
    <w:rsid w:val="22CB7E73"/>
    <w:rsid w:val="22CE53CE"/>
    <w:rsid w:val="22D56F5A"/>
    <w:rsid w:val="22DC0842"/>
    <w:rsid w:val="22E1D325"/>
    <w:rsid w:val="22E8EE07"/>
    <w:rsid w:val="22EDF586"/>
    <w:rsid w:val="22EE92F6"/>
    <w:rsid w:val="22F20AB9"/>
    <w:rsid w:val="22F24E5C"/>
    <w:rsid w:val="22F3F213"/>
    <w:rsid w:val="22F47BB0"/>
    <w:rsid w:val="22F5E809"/>
    <w:rsid w:val="22F9780F"/>
    <w:rsid w:val="22FEAE99"/>
    <w:rsid w:val="23011D5A"/>
    <w:rsid w:val="2316D941"/>
    <w:rsid w:val="2318660A"/>
    <w:rsid w:val="231EBA9E"/>
    <w:rsid w:val="23242F58"/>
    <w:rsid w:val="2328D0DC"/>
    <w:rsid w:val="232C3232"/>
    <w:rsid w:val="2332A8D8"/>
    <w:rsid w:val="233C355A"/>
    <w:rsid w:val="23420CCD"/>
    <w:rsid w:val="2349E514"/>
    <w:rsid w:val="23500E3E"/>
    <w:rsid w:val="235120CB"/>
    <w:rsid w:val="235D2D68"/>
    <w:rsid w:val="236690BA"/>
    <w:rsid w:val="2371B985"/>
    <w:rsid w:val="237340E3"/>
    <w:rsid w:val="2380AE03"/>
    <w:rsid w:val="2380B4E3"/>
    <w:rsid w:val="2385370D"/>
    <w:rsid w:val="2387A5A2"/>
    <w:rsid w:val="238AE796"/>
    <w:rsid w:val="238CEDE8"/>
    <w:rsid w:val="238F3242"/>
    <w:rsid w:val="2399013C"/>
    <w:rsid w:val="239B48DA"/>
    <w:rsid w:val="239CD650"/>
    <w:rsid w:val="23A56BF5"/>
    <w:rsid w:val="23AED1B9"/>
    <w:rsid w:val="23B1153A"/>
    <w:rsid w:val="23B694E7"/>
    <w:rsid w:val="23D7F3FD"/>
    <w:rsid w:val="23E050F3"/>
    <w:rsid w:val="23E85203"/>
    <w:rsid w:val="23ED20A6"/>
    <w:rsid w:val="23F27C32"/>
    <w:rsid w:val="240C0A7F"/>
    <w:rsid w:val="24170940"/>
    <w:rsid w:val="241B9C9E"/>
    <w:rsid w:val="241C83B2"/>
    <w:rsid w:val="24207077"/>
    <w:rsid w:val="24234FCE"/>
    <w:rsid w:val="242BC4C0"/>
    <w:rsid w:val="24411A36"/>
    <w:rsid w:val="2441AD69"/>
    <w:rsid w:val="24476278"/>
    <w:rsid w:val="244C0105"/>
    <w:rsid w:val="24530DE6"/>
    <w:rsid w:val="245D79CB"/>
    <w:rsid w:val="2460739C"/>
    <w:rsid w:val="2464ED5D"/>
    <w:rsid w:val="2465B931"/>
    <w:rsid w:val="247162A1"/>
    <w:rsid w:val="2474CA12"/>
    <w:rsid w:val="2485A839"/>
    <w:rsid w:val="2489A445"/>
    <w:rsid w:val="249EC0AB"/>
    <w:rsid w:val="24A77F28"/>
    <w:rsid w:val="24AA345D"/>
    <w:rsid w:val="24B36E56"/>
    <w:rsid w:val="24CD2E2B"/>
    <w:rsid w:val="24D195CC"/>
    <w:rsid w:val="24D4B60F"/>
    <w:rsid w:val="24E1EAF2"/>
    <w:rsid w:val="24E4F9B6"/>
    <w:rsid w:val="24E5F1F2"/>
    <w:rsid w:val="24F6F270"/>
    <w:rsid w:val="24F749FF"/>
    <w:rsid w:val="24FBCEDB"/>
    <w:rsid w:val="251354BA"/>
    <w:rsid w:val="251D48E1"/>
    <w:rsid w:val="2521415E"/>
    <w:rsid w:val="2527D9E3"/>
    <w:rsid w:val="25311247"/>
    <w:rsid w:val="2534EC84"/>
    <w:rsid w:val="25388A0B"/>
    <w:rsid w:val="2558A0A6"/>
    <w:rsid w:val="255E3D12"/>
    <w:rsid w:val="256CB1D8"/>
    <w:rsid w:val="25716188"/>
    <w:rsid w:val="257AC4AB"/>
    <w:rsid w:val="257C8252"/>
    <w:rsid w:val="2581E4AE"/>
    <w:rsid w:val="258AC9F0"/>
    <w:rsid w:val="258EF4DA"/>
    <w:rsid w:val="259BC922"/>
    <w:rsid w:val="259F11C2"/>
    <w:rsid w:val="25A6D2FC"/>
    <w:rsid w:val="25B23085"/>
    <w:rsid w:val="25BB8A55"/>
    <w:rsid w:val="25BD08C3"/>
    <w:rsid w:val="25C1E28C"/>
    <w:rsid w:val="25C8C8AE"/>
    <w:rsid w:val="25C8D0DD"/>
    <w:rsid w:val="25CCF66F"/>
    <w:rsid w:val="25CEE808"/>
    <w:rsid w:val="25CF599F"/>
    <w:rsid w:val="25D0A402"/>
    <w:rsid w:val="25D17F47"/>
    <w:rsid w:val="25D48E1C"/>
    <w:rsid w:val="25D5EAAC"/>
    <w:rsid w:val="25DE816A"/>
    <w:rsid w:val="25DFED16"/>
    <w:rsid w:val="25E163AB"/>
    <w:rsid w:val="25E52AE7"/>
    <w:rsid w:val="25E88F97"/>
    <w:rsid w:val="25F28841"/>
    <w:rsid w:val="25F3A988"/>
    <w:rsid w:val="26005EF9"/>
    <w:rsid w:val="2600CCA5"/>
    <w:rsid w:val="2604B289"/>
    <w:rsid w:val="26096B1E"/>
    <w:rsid w:val="260B1D62"/>
    <w:rsid w:val="2616AAB4"/>
    <w:rsid w:val="261B50B3"/>
    <w:rsid w:val="26265A96"/>
    <w:rsid w:val="262CBF24"/>
    <w:rsid w:val="2634EE30"/>
    <w:rsid w:val="26365993"/>
    <w:rsid w:val="2636EAE4"/>
    <w:rsid w:val="263941D7"/>
    <w:rsid w:val="263A163E"/>
    <w:rsid w:val="263A3764"/>
    <w:rsid w:val="263ACFE6"/>
    <w:rsid w:val="263B79F5"/>
    <w:rsid w:val="263C4BBF"/>
    <w:rsid w:val="2641AE09"/>
    <w:rsid w:val="264B971E"/>
    <w:rsid w:val="264D79FA"/>
    <w:rsid w:val="264E06DA"/>
    <w:rsid w:val="2656890E"/>
    <w:rsid w:val="26643E56"/>
    <w:rsid w:val="26771B2E"/>
    <w:rsid w:val="26837588"/>
    <w:rsid w:val="2697E942"/>
    <w:rsid w:val="269B3806"/>
    <w:rsid w:val="26AA3813"/>
    <w:rsid w:val="26CAC4A8"/>
    <w:rsid w:val="26CB70C7"/>
    <w:rsid w:val="26CF06C0"/>
    <w:rsid w:val="26CFD360"/>
    <w:rsid w:val="26D94B72"/>
    <w:rsid w:val="26DCD8C5"/>
    <w:rsid w:val="26E20B88"/>
    <w:rsid w:val="26E56556"/>
    <w:rsid w:val="26E5FE3D"/>
    <w:rsid w:val="26ECC658"/>
    <w:rsid w:val="26EE8485"/>
    <w:rsid w:val="26FD538C"/>
    <w:rsid w:val="27253C99"/>
    <w:rsid w:val="272FD0A5"/>
    <w:rsid w:val="273044A5"/>
    <w:rsid w:val="2732A338"/>
    <w:rsid w:val="2737A196"/>
    <w:rsid w:val="27389B7B"/>
    <w:rsid w:val="273994C5"/>
    <w:rsid w:val="273BE018"/>
    <w:rsid w:val="27538552"/>
    <w:rsid w:val="2754D4AC"/>
    <w:rsid w:val="2754F0C8"/>
    <w:rsid w:val="275EEDF8"/>
    <w:rsid w:val="276692A4"/>
    <w:rsid w:val="2773BEDE"/>
    <w:rsid w:val="277DE835"/>
    <w:rsid w:val="27808992"/>
    <w:rsid w:val="2782CEA6"/>
    <w:rsid w:val="2787B14B"/>
    <w:rsid w:val="2787CB0A"/>
    <w:rsid w:val="278D1B54"/>
    <w:rsid w:val="278D6A6C"/>
    <w:rsid w:val="278FE630"/>
    <w:rsid w:val="279B6E59"/>
    <w:rsid w:val="27A00A25"/>
    <w:rsid w:val="27A6384C"/>
    <w:rsid w:val="27A8DE04"/>
    <w:rsid w:val="27AA3C35"/>
    <w:rsid w:val="27AB0838"/>
    <w:rsid w:val="27AD7522"/>
    <w:rsid w:val="27B4A0E1"/>
    <w:rsid w:val="27B83C34"/>
    <w:rsid w:val="27BC6D66"/>
    <w:rsid w:val="27CA4EA6"/>
    <w:rsid w:val="27CB3D73"/>
    <w:rsid w:val="27D292B3"/>
    <w:rsid w:val="27DA268B"/>
    <w:rsid w:val="27DAF437"/>
    <w:rsid w:val="27DC32D1"/>
    <w:rsid w:val="27E63EAA"/>
    <w:rsid w:val="27E9B394"/>
    <w:rsid w:val="27EA8F10"/>
    <w:rsid w:val="27EDB5DB"/>
    <w:rsid w:val="27F0746F"/>
    <w:rsid w:val="27F3BE4F"/>
    <w:rsid w:val="27F634E3"/>
    <w:rsid w:val="27F8321C"/>
    <w:rsid w:val="27FB8BD4"/>
    <w:rsid w:val="27FE7852"/>
    <w:rsid w:val="2806E484"/>
    <w:rsid w:val="280D0485"/>
    <w:rsid w:val="2813E60D"/>
    <w:rsid w:val="2826C124"/>
    <w:rsid w:val="28331B58"/>
    <w:rsid w:val="283DD753"/>
    <w:rsid w:val="2840466A"/>
    <w:rsid w:val="28426E90"/>
    <w:rsid w:val="2851C486"/>
    <w:rsid w:val="28568D77"/>
    <w:rsid w:val="2856F40C"/>
    <w:rsid w:val="285DEAF2"/>
    <w:rsid w:val="285E0F82"/>
    <w:rsid w:val="285ECAB2"/>
    <w:rsid w:val="28624C3A"/>
    <w:rsid w:val="286B166B"/>
    <w:rsid w:val="2874FC6B"/>
    <w:rsid w:val="28833926"/>
    <w:rsid w:val="2883872D"/>
    <w:rsid w:val="2889A1A6"/>
    <w:rsid w:val="28982268"/>
    <w:rsid w:val="289A84AF"/>
    <w:rsid w:val="28A16AD9"/>
    <w:rsid w:val="28C47917"/>
    <w:rsid w:val="28CCD832"/>
    <w:rsid w:val="28CEDC4A"/>
    <w:rsid w:val="28D0AF94"/>
    <w:rsid w:val="28D36C0C"/>
    <w:rsid w:val="28E1F9B7"/>
    <w:rsid w:val="28E29C55"/>
    <w:rsid w:val="28E5C0D7"/>
    <w:rsid w:val="28E62185"/>
    <w:rsid w:val="28FFC3B9"/>
    <w:rsid w:val="2902BE89"/>
    <w:rsid w:val="2903C8A8"/>
    <w:rsid w:val="290F879F"/>
    <w:rsid w:val="2911ECC3"/>
    <w:rsid w:val="29144E3A"/>
    <w:rsid w:val="2917A0C3"/>
    <w:rsid w:val="2918DD8B"/>
    <w:rsid w:val="2919BEEC"/>
    <w:rsid w:val="2922856A"/>
    <w:rsid w:val="29334186"/>
    <w:rsid w:val="29364258"/>
    <w:rsid w:val="294A27CC"/>
    <w:rsid w:val="294BAFD0"/>
    <w:rsid w:val="2958AF10"/>
    <w:rsid w:val="2958B413"/>
    <w:rsid w:val="295B4AE6"/>
    <w:rsid w:val="29650D86"/>
    <w:rsid w:val="296A3829"/>
    <w:rsid w:val="296BE083"/>
    <w:rsid w:val="297368C2"/>
    <w:rsid w:val="29796454"/>
    <w:rsid w:val="297A92E8"/>
    <w:rsid w:val="29851A7D"/>
    <w:rsid w:val="298C0F77"/>
    <w:rsid w:val="2997C89C"/>
    <w:rsid w:val="2998E54C"/>
    <w:rsid w:val="29A9CA60"/>
    <w:rsid w:val="29AA001C"/>
    <w:rsid w:val="29B18BBA"/>
    <w:rsid w:val="29C1F4DD"/>
    <w:rsid w:val="29C80220"/>
    <w:rsid w:val="29CAC675"/>
    <w:rsid w:val="29CAFBBD"/>
    <w:rsid w:val="29DB3F06"/>
    <w:rsid w:val="29DCAD48"/>
    <w:rsid w:val="29DFF2B1"/>
    <w:rsid w:val="29E2763D"/>
    <w:rsid w:val="29E3F07F"/>
    <w:rsid w:val="29EFEF58"/>
    <w:rsid w:val="29F2F000"/>
    <w:rsid w:val="2A0A066E"/>
    <w:rsid w:val="2A0ADC5E"/>
    <w:rsid w:val="2A0CE59B"/>
    <w:rsid w:val="2A16EEFD"/>
    <w:rsid w:val="2A1A965C"/>
    <w:rsid w:val="2A22BA0D"/>
    <w:rsid w:val="2A31CCEB"/>
    <w:rsid w:val="2A376424"/>
    <w:rsid w:val="2A37BE4C"/>
    <w:rsid w:val="2A4230BB"/>
    <w:rsid w:val="2A44D224"/>
    <w:rsid w:val="2A476AE1"/>
    <w:rsid w:val="2A5514BB"/>
    <w:rsid w:val="2A5C50BE"/>
    <w:rsid w:val="2A5C70B5"/>
    <w:rsid w:val="2A5E88ED"/>
    <w:rsid w:val="2A5FA376"/>
    <w:rsid w:val="2A6094FD"/>
    <w:rsid w:val="2A69B788"/>
    <w:rsid w:val="2A6ECF1B"/>
    <w:rsid w:val="2A6FED19"/>
    <w:rsid w:val="2A755511"/>
    <w:rsid w:val="2A765219"/>
    <w:rsid w:val="2AA1C5F8"/>
    <w:rsid w:val="2AA2E17C"/>
    <w:rsid w:val="2AB3A749"/>
    <w:rsid w:val="2AB549AD"/>
    <w:rsid w:val="2AB75277"/>
    <w:rsid w:val="2AB85AA3"/>
    <w:rsid w:val="2AB9D892"/>
    <w:rsid w:val="2ACBC6E5"/>
    <w:rsid w:val="2AD15EDE"/>
    <w:rsid w:val="2AD1F89B"/>
    <w:rsid w:val="2AD36DAE"/>
    <w:rsid w:val="2AD56922"/>
    <w:rsid w:val="2AD5C86A"/>
    <w:rsid w:val="2AFAFC42"/>
    <w:rsid w:val="2AFE79A4"/>
    <w:rsid w:val="2B0AD1DA"/>
    <w:rsid w:val="2B0B5EE2"/>
    <w:rsid w:val="2B0DE0B5"/>
    <w:rsid w:val="2B1BC029"/>
    <w:rsid w:val="2B1C664B"/>
    <w:rsid w:val="2B26226F"/>
    <w:rsid w:val="2B2B8853"/>
    <w:rsid w:val="2B2F021A"/>
    <w:rsid w:val="2B36538C"/>
    <w:rsid w:val="2B3799CE"/>
    <w:rsid w:val="2B4067C1"/>
    <w:rsid w:val="2B4AFA1E"/>
    <w:rsid w:val="2B55BBC7"/>
    <w:rsid w:val="2B5A302B"/>
    <w:rsid w:val="2B6173DA"/>
    <w:rsid w:val="2B62D7C7"/>
    <w:rsid w:val="2B642055"/>
    <w:rsid w:val="2B65F256"/>
    <w:rsid w:val="2B6F02E8"/>
    <w:rsid w:val="2B724962"/>
    <w:rsid w:val="2B78198E"/>
    <w:rsid w:val="2B78282C"/>
    <w:rsid w:val="2B8685C0"/>
    <w:rsid w:val="2B916159"/>
    <w:rsid w:val="2B961C8E"/>
    <w:rsid w:val="2B9C3F49"/>
    <w:rsid w:val="2BA31E6A"/>
    <w:rsid w:val="2BA41C87"/>
    <w:rsid w:val="2BAA4ED5"/>
    <w:rsid w:val="2BB20C64"/>
    <w:rsid w:val="2BB3195F"/>
    <w:rsid w:val="2BB499DA"/>
    <w:rsid w:val="2BB4F0F1"/>
    <w:rsid w:val="2BB62A1D"/>
    <w:rsid w:val="2BB7445D"/>
    <w:rsid w:val="2BBE5E8B"/>
    <w:rsid w:val="2BC1CE22"/>
    <w:rsid w:val="2BC93A51"/>
    <w:rsid w:val="2BCB54C0"/>
    <w:rsid w:val="2BE1480C"/>
    <w:rsid w:val="2BE2ECDA"/>
    <w:rsid w:val="2BEF217E"/>
    <w:rsid w:val="2BF290D0"/>
    <w:rsid w:val="2BF463A9"/>
    <w:rsid w:val="2BF79477"/>
    <w:rsid w:val="2BF7AEF9"/>
    <w:rsid w:val="2BFDD0BC"/>
    <w:rsid w:val="2C06A024"/>
    <w:rsid w:val="2C06C843"/>
    <w:rsid w:val="2C093908"/>
    <w:rsid w:val="2C2A30D9"/>
    <w:rsid w:val="2C2CAAD1"/>
    <w:rsid w:val="2C2DF274"/>
    <w:rsid w:val="2C3440D0"/>
    <w:rsid w:val="2C443B48"/>
    <w:rsid w:val="2C48A9D4"/>
    <w:rsid w:val="2C4D40F4"/>
    <w:rsid w:val="2C4ED02E"/>
    <w:rsid w:val="2C534C3E"/>
    <w:rsid w:val="2C537DEB"/>
    <w:rsid w:val="2C56B369"/>
    <w:rsid w:val="2C57CCBB"/>
    <w:rsid w:val="2C591E19"/>
    <w:rsid w:val="2C5F32EB"/>
    <w:rsid w:val="2C5F83A3"/>
    <w:rsid w:val="2C5FBC11"/>
    <w:rsid w:val="2C64CB60"/>
    <w:rsid w:val="2C64E6B6"/>
    <w:rsid w:val="2C67C12C"/>
    <w:rsid w:val="2C67F548"/>
    <w:rsid w:val="2C690792"/>
    <w:rsid w:val="2C6D1A31"/>
    <w:rsid w:val="2C79E89D"/>
    <w:rsid w:val="2C7B8391"/>
    <w:rsid w:val="2C7D9D20"/>
    <w:rsid w:val="2C8965FA"/>
    <w:rsid w:val="2C8FB6C5"/>
    <w:rsid w:val="2C968230"/>
    <w:rsid w:val="2CA0BADF"/>
    <w:rsid w:val="2CA376AD"/>
    <w:rsid w:val="2CAA39A3"/>
    <w:rsid w:val="2CB7893B"/>
    <w:rsid w:val="2CBF05E6"/>
    <w:rsid w:val="2CC055BC"/>
    <w:rsid w:val="2CC121CD"/>
    <w:rsid w:val="2CC68A78"/>
    <w:rsid w:val="2CC68E6B"/>
    <w:rsid w:val="2CC9858D"/>
    <w:rsid w:val="2CCFA5C9"/>
    <w:rsid w:val="2CD899AD"/>
    <w:rsid w:val="2CD9853C"/>
    <w:rsid w:val="2CE4BDEE"/>
    <w:rsid w:val="2CE534C2"/>
    <w:rsid w:val="2CE7FF45"/>
    <w:rsid w:val="2CE89DB3"/>
    <w:rsid w:val="2CF0ADFE"/>
    <w:rsid w:val="2CF9AF18"/>
    <w:rsid w:val="2CFB2CE4"/>
    <w:rsid w:val="2CFF7582"/>
    <w:rsid w:val="2CFFC23F"/>
    <w:rsid w:val="2D01D0A8"/>
    <w:rsid w:val="2D03E318"/>
    <w:rsid w:val="2D056FA5"/>
    <w:rsid w:val="2D0AD364"/>
    <w:rsid w:val="2D160A77"/>
    <w:rsid w:val="2D1B9141"/>
    <w:rsid w:val="2D1FBDEA"/>
    <w:rsid w:val="2D1FF038"/>
    <w:rsid w:val="2D22D541"/>
    <w:rsid w:val="2D2D5196"/>
    <w:rsid w:val="2D329927"/>
    <w:rsid w:val="2D332A67"/>
    <w:rsid w:val="2D39179C"/>
    <w:rsid w:val="2D472AAC"/>
    <w:rsid w:val="2D4E3B0F"/>
    <w:rsid w:val="2D5018B8"/>
    <w:rsid w:val="2D531156"/>
    <w:rsid w:val="2D588FA0"/>
    <w:rsid w:val="2D59EFAC"/>
    <w:rsid w:val="2D5F340A"/>
    <w:rsid w:val="2D6189AA"/>
    <w:rsid w:val="2D7169F3"/>
    <w:rsid w:val="2D723F44"/>
    <w:rsid w:val="2D75E0A5"/>
    <w:rsid w:val="2D827A92"/>
    <w:rsid w:val="2D837958"/>
    <w:rsid w:val="2D8D3081"/>
    <w:rsid w:val="2D8E63B5"/>
    <w:rsid w:val="2D8F24DC"/>
    <w:rsid w:val="2D919F0B"/>
    <w:rsid w:val="2DA2B296"/>
    <w:rsid w:val="2DA439A5"/>
    <w:rsid w:val="2DAAE787"/>
    <w:rsid w:val="2DAD83BE"/>
    <w:rsid w:val="2DAFDC96"/>
    <w:rsid w:val="2DB8C8A2"/>
    <w:rsid w:val="2DB946F5"/>
    <w:rsid w:val="2DBAF08A"/>
    <w:rsid w:val="2DBDC0EA"/>
    <w:rsid w:val="2DC375B2"/>
    <w:rsid w:val="2DC4D515"/>
    <w:rsid w:val="2DC58D50"/>
    <w:rsid w:val="2DCB1E41"/>
    <w:rsid w:val="2DCE9292"/>
    <w:rsid w:val="2DE4D84B"/>
    <w:rsid w:val="2DE5FFF6"/>
    <w:rsid w:val="2DF4C9F5"/>
    <w:rsid w:val="2DF6AE49"/>
    <w:rsid w:val="2DFC5AEB"/>
    <w:rsid w:val="2E0299E5"/>
    <w:rsid w:val="2E03BA81"/>
    <w:rsid w:val="2E1ACA5F"/>
    <w:rsid w:val="2E20770D"/>
    <w:rsid w:val="2E273394"/>
    <w:rsid w:val="2E2E4AD2"/>
    <w:rsid w:val="2E42BB22"/>
    <w:rsid w:val="2E49A6D1"/>
    <w:rsid w:val="2E56B5E4"/>
    <w:rsid w:val="2E5A494D"/>
    <w:rsid w:val="2E5D2978"/>
    <w:rsid w:val="2E74F997"/>
    <w:rsid w:val="2E757216"/>
    <w:rsid w:val="2E7B0190"/>
    <w:rsid w:val="2E8467EB"/>
    <w:rsid w:val="2E8535D0"/>
    <w:rsid w:val="2E8A26B7"/>
    <w:rsid w:val="2E8BC15E"/>
    <w:rsid w:val="2E990EFA"/>
    <w:rsid w:val="2E9CE485"/>
    <w:rsid w:val="2E9D3B67"/>
    <w:rsid w:val="2EA0B699"/>
    <w:rsid w:val="2EACB7EB"/>
    <w:rsid w:val="2EAFF72D"/>
    <w:rsid w:val="2EC01271"/>
    <w:rsid w:val="2EC3505A"/>
    <w:rsid w:val="2EC9D7BC"/>
    <w:rsid w:val="2ECFFFAD"/>
    <w:rsid w:val="2EDAC131"/>
    <w:rsid w:val="2EDAC501"/>
    <w:rsid w:val="2EEC6CFE"/>
    <w:rsid w:val="2EF0B394"/>
    <w:rsid w:val="2EF31174"/>
    <w:rsid w:val="2EF34165"/>
    <w:rsid w:val="2EF40ED2"/>
    <w:rsid w:val="2EF62F8D"/>
    <w:rsid w:val="2EFC9E51"/>
    <w:rsid w:val="2EFD20F7"/>
    <w:rsid w:val="2F035B24"/>
    <w:rsid w:val="2F0654C3"/>
    <w:rsid w:val="2F097714"/>
    <w:rsid w:val="2F111111"/>
    <w:rsid w:val="2F17E51A"/>
    <w:rsid w:val="2F18FD79"/>
    <w:rsid w:val="2F210F79"/>
    <w:rsid w:val="2F24E838"/>
    <w:rsid w:val="2F255216"/>
    <w:rsid w:val="2F41B21D"/>
    <w:rsid w:val="2F442DA0"/>
    <w:rsid w:val="2F4C4ED2"/>
    <w:rsid w:val="2F5718E0"/>
    <w:rsid w:val="2F5D8F4F"/>
    <w:rsid w:val="2F61ACF6"/>
    <w:rsid w:val="2F6AF2E0"/>
    <w:rsid w:val="2F6F5E9C"/>
    <w:rsid w:val="2F72696A"/>
    <w:rsid w:val="2F77605E"/>
    <w:rsid w:val="2F7B1385"/>
    <w:rsid w:val="2F7C709E"/>
    <w:rsid w:val="2F8A5A95"/>
    <w:rsid w:val="2F8CC4EB"/>
    <w:rsid w:val="2F99936F"/>
    <w:rsid w:val="2F9B77BA"/>
    <w:rsid w:val="2F9CADA1"/>
    <w:rsid w:val="2F9CBD71"/>
    <w:rsid w:val="2F9E218B"/>
    <w:rsid w:val="2FA546E1"/>
    <w:rsid w:val="2FB6BA61"/>
    <w:rsid w:val="2FC438D6"/>
    <w:rsid w:val="2FC8F0AA"/>
    <w:rsid w:val="2FC9D11A"/>
    <w:rsid w:val="2FCA8A5B"/>
    <w:rsid w:val="2FCFAFF3"/>
    <w:rsid w:val="2FD1782F"/>
    <w:rsid w:val="2FD2C439"/>
    <w:rsid w:val="2FD39630"/>
    <w:rsid w:val="2FD8F632"/>
    <w:rsid w:val="2FDB2FD5"/>
    <w:rsid w:val="2FDD1FA0"/>
    <w:rsid w:val="2FF47230"/>
    <w:rsid w:val="30135B9A"/>
    <w:rsid w:val="302480F3"/>
    <w:rsid w:val="30285D2E"/>
    <w:rsid w:val="302B1CAA"/>
    <w:rsid w:val="3033DEC5"/>
    <w:rsid w:val="30395290"/>
    <w:rsid w:val="30443B4D"/>
    <w:rsid w:val="30449285"/>
    <w:rsid w:val="3048312C"/>
    <w:rsid w:val="305D340F"/>
    <w:rsid w:val="306F7739"/>
    <w:rsid w:val="3072A30D"/>
    <w:rsid w:val="307A185A"/>
    <w:rsid w:val="307F6EA9"/>
    <w:rsid w:val="30810049"/>
    <w:rsid w:val="3081C877"/>
    <w:rsid w:val="308712A9"/>
    <w:rsid w:val="3088D184"/>
    <w:rsid w:val="30895BB3"/>
    <w:rsid w:val="308C0E15"/>
    <w:rsid w:val="30902C46"/>
    <w:rsid w:val="309C5D02"/>
    <w:rsid w:val="309EC998"/>
    <w:rsid w:val="309EF8B4"/>
    <w:rsid w:val="30A06DB7"/>
    <w:rsid w:val="30A65A0A"/>
    <w:rsid w:val="30AB619A"/>
    <w:rsid w:val="30ABCF01"/>
    <w:rsid w:val="30BF2CC9"/>
    <w:rsid w:val="30C25FD0"/>
    <w:rsid w:val="30C2CB0D"/>
    <w:rsid w:val="30CD78A1"/>
    <w:rsid w:val="30D26244"/>
    <w:rsid w:val="30D5853F"/>
    <w:rsid w:val="30D59D3F"/>
    <w:rsid w:val="30E3BB99"/>
    <w:rsid w:val="30E817EF"/>
    <w:rsid w:val="30E8C0C2"/>
    <w:rsid w:val="30F03113"/>
    <w:rsid w:val="30F520EE"/>
    <w:rsid w:val="30F72BB2"/>
    <w:rsid w:val="30FD2E12"/>
    <w:rsid w:val="310CA42E"/>
    <w:rsid w:val="3115B9A1"/>
    <w:rsid w:val="3117D405"/>
    <w:rsid w:val="3123844E"/>
    <w:rsid w:val="3125B4DD"/>
    <w:rsid w:val="312F485F"/>
    <w:rsid w:val="3131D242"/>
    <w:rsid w:val="313438C3"/>
    <w:rsid w:val="3134908A"/>
    <w:rsid w:val="31385DFB"/>
    <w:rsid w:val="31429C8B"/>
    <w:rsid w:val="314373FC"/>
    <w:rsid w:val="31509EDB"/>
    <w:rsid w:val="3156BD3C"/>
    <w:rsid w:val="315ED012"/>
    <w:rsid w:val="316786E6"/>
    <w:rsid w:val="316B8054"/>
    <w:rsid w:val="31703461"/>
    <w:rsid w:val="3175C424"/>
    <w:rsid w:val="3175DC7A"/>
    <w:rsid w:val="317C2D8E"/>
    <w:rsid w:val="3188F350"/>
    <w:rsid w:val="318A0C3D"/>
    <w:rsid w:val="318B1EA4"/>
    <w:rsid w:val="318B59AF"/>
    <w:rsid w:val="318BFE3D"/>
    <w:rsid w:val="319D8520"/>
    <w:rsid w:val="31A6656E"/>
    <w:rsid w:val="31AC4217"/>
    <w:rsid w:val="31BAE945"/>
    <w:rsid w:val="31C60BB1"/>
    <w:rsid w:val="31E42B9E"/>
    <w:rsid w:val="31E71EB2"/>
    <w:rsid w:val="31EC010D"/>
    <w:rsid w:val="31F7F598"/>
    <w:rsid w:val="31F893C3"/>
    <w:rsid w:val="3208B02B"/>
    <w:rsid w:val="3208F40F"/>
    <w:rsid w:val="320900D5"/>
    <w:rsid w:val="320B09BF"/>
    <w:rsid w:val="32105D9B"/>
    <w:rsid w:val="3217F2D9"/>
    <w:rsid w:val="321C7260"/>
    <w:rsid w:val="3235709D"/>
    <w:rsid w:val="32395330"/>
    <w:rsid w:val="323ACBC8"/>
    <w:rsid w:val="32509666"/>
    <w:rsid w:val="325CE55C"/>
    <w:rsid w:val="325DEC4D"/>
    <w:rsid w:val="3263C9B7"/>
    <w:rsid w:val="3265EBA6"/>
    <w:rsid w:val="3273F9FE"/>
    <w:rsid w:val="3278447D"/>
    <w:rsid w:val="32788103"/>
    <w:rsid w:val="3280D97C"/>
    <w:rsid w:val="3292017C"/>
    <w:rsid w:val="32952AEA"/>
    <w:rsid w:val="3295DDEA"/>
    <w:rsid w:val="32962A21"/>
    <w:rsid w:val="32991A45"/>
    <w:rsid w:val="32A65D7D"/>
    <w:rsid w:val="32B2C2D2"/>
    <w:rsid w:val="32B38C84"/>
    <w:rsid w:val="32B5169D"/>
    <w:rsid w:val="32B68032"/>
    <w:rsid w:val="32B7F36F"/>
    <w:rsid w:val="32BBD504"/>
    <w:rsid w:val="32C32468"/>
    <w:rsid w:val="32C4B594"/>
    <w:rsid w:val="32C5BEB6"/>
    <w:rsid w:val="32C5DC95"/>
    <w:rsid w:val="32C72E84"/>
    <w:rsid w:val="32C7E5A5"/>
    <w:rsid w:val="32CA4463"/>
    <w:rsid w:val="32CA58B8"/>
    <w:rsid w:val="32EFF9D5"/>
    <w:rsid w:val="32F207F0"/>
    <w:rsid w:val="32F35CE7"/>
    <w:rsid w:val="32F521CC"/>
    <w:rsid w:val="33078010"/>
    <w:rsid w:val="33085467"/>
    <w:rsid w:val="330A5CE3"/>
    <w:rsid w:val="330E19A3"/>
    <w:rsid w:val="331056E0"/>
    <w:rsid w:val="3314D203"/>
    <w:rsid w:val="331C219A"/>
    <w:rsid w:val="332D22E2"/>
    <w:rsid w:val="33331008"/>
    <w:rsid w:val="334444DA"/>
    <w:rsid w:val="3348B4CB"/>
    <w:rsid w:val="33497B94"/>
    <w:rsid w:val="335824E0"/>
    <w:rsid w:val="335E3060"/>
    <w:rsid w:val="3364FDC2"/>
    <w:rsid w:val="336A76A7"/>
    <w:rsid w:val="33752D93"/>
    <w:rsid w:val="337D6145"/>
    <w:rsid w:val="33823503"/>
    <w:rsid w:val="338678BF"/>
    <w:rsid w:val="338F87AD"/>
    <w:rsid w:val="33923592"/>
    <w:rsid w:val="3397FD29"/>
    <w:rsid w:val="3398EDCD"/>
    <w:rsid w:val="33B64843"/>
    <w:rsid w:val="33CD766D"/>
    <w:rsid w:val="33D7737D"/>
    <w:rsid w:val="33DE01A3"/>
    <w:rsid w:val="33E0F035"/>
    <w:rsid w:val="33E7F81F"/>
    <w:rsid w:val="33EAC973"/>
    <w:rsid w:val="33EE732C"/>
    <w:rsid w:val="3401C1E0"/>
    <w:rsid w:val="340B12BD"/>
    <w:rsid w:val="340DF29F"/>
    <w:rsid w:val="340E015B"/>
    <w:rsid w:val="34167462"/>
    <w:rsid w:val="34198A8B"/>
    <w:rsid w:val="341D41AE"/>
    <w:rsid w:val="3420506C"/>
    <w:rsid w:val="34234D48"/>
    <w:rsid w:val="3432D13D"/>
    <w:rsid w:val="3436D084"/>
    <w:rsid w:val="343C3758"/>
    <w:rsid w:val="343D0360"/>
    <w:rsid w:val="3440B351"/>
    <w:rsid w:val="34424556"/>
    <w:rsid w:val="3446CC7E"/>
    <w:rsid w:val="3451916C"/>
    <w:rsid w:val="3451C311"/>
    <w:rsid w:val="345B1220"/>
    <w:rsid w:val="346F7514"/>
    <w:rsid w:val="34726F28"/>
    <w:rsid w:val="347D63D0"/>
    <w:rsid w:val="347ECF2E"/>
    <w:rsid w:val="34875174"/>
    <w:rsid w:val="34911030"/>
    <w:rsid w:val="349E04F5"/>
    <w:rsid w:val="34A2720E"/>
    <w:rsid w:val="34AEBA45"/>
    <w:rsid w:val="34AFD888"/>
    <w:rsid w:val="34B22B07"/>
    <w:rsid w:val="34B36744"/>
    <w:rsid w:val="34B63664"/>
    <w:rsid w:val="34B78E9E"/>
    <w:rsid w:val="34B9FCD5"/>
    <w:rsid w:val="34BF0961"/>
    <w:rsid w:val="34C23BC8"/>
    <w:rsid w:val="34C689DD"/>
    <w:rsid w:val="34D2D967"/>
    <w:rsid w:val="34D5833C"/>
    <w:rsid w:val="34D616E4"/>
    <w:rsid w:val="34DEC07B"/>
    <w:rsid w:val="34E0B422"/>
    <w:rsid w:val="34E501E0"/>
    <w:rsid w:val="34E913B1"/>
    <w:rsid w:val="34F35587"/>
    <w:rsid w:val="34FA90F3"/>
    <w:rsid w:val="34FDF1F3"/>
    <w:rsid w:val="35044AE7"/>
    <w:rsid w:val="350599D1"/>
    <w:rsid w:val="3506CAE5"/>
    <w:rsid w:val="35083221"/>
    <w:rsid w:val="350B027C"/>
    <w:rsid w:val="3510C63D"/>
    <w:rsid w:val="35126288"/>
    <w:rsid w:val="35133638"/>
    <w:rsid w:val="35228FCC"/>
    <w:rsid w:val="3524434E"/>
    <w:rsid w:val="352692E2"/>
    <w:rsid w:val="3529468A"/>
    <w:rsid w:val="352AF551"/>
    <w:rsid w:val="353303B1"/>
    <w:rsid w:val="354CCE07"/>
    <w:rsid w:val="354F3B68"/>
    <w:rsid w:val="3550DC62"/>
    <w:rsid w:val="3556677C"/>
    <w:rsid w:val="355C4492"/>
    <w:rsid w:val="355F1844"/>
    <w:rsid w:val="356332E2"/>
    <w:rsid w:val="3563DBCF"/>
    <w:rsid w:val="356491B0"/>
    <w:rsid w:val="3564EEB4"/>
    <w:rsid w:val="3572B2BA"/>
    <w:rsid w:val="3576BDC1"/>
    <w:rsid w:val="3577E5C3"/>
    <w:rsid w:val="357D82D2"/>
    <w:rsid w:val="358240EB"/>
    <w:rsid w:val="35866C34"/>
    <w:rsid w:val="3589286A"/>
    <w:rsid w:val="358B9851"/>
    <w:rsid w:val="358BECF3"/>
    <w:rsid w:val="358D3562"/>
    <w:rsid w:val="359F2EA5"/>
    <w:rsid w:val="35A6F049"/>
    <w:rsid w:val="35AB3141"/>
    <w:rsid w:val="35B254B2"/>
    <w:rsid w:val="35C0C5ED"/>
    <w:rsid w:val="35D6424C"/>
    <w:rsid w:val="35D9D8C7"/>
    <w:rsid w:val="35DC6CB7"/>
    <w:rsid w:val="35E8BA8C"/>
    <w:rsid w:val="35EABE3F"/>
    <w:rsid w:val="35FAC609"/>
    <w:rsid w:val="361B0FA7"/>
    <w:rsid w:val="361FF1A2"/>
    <w:rsid w:val="363125FE"/>
    <w:rsid w:val="3632E440"/>
    <w:rsid w:val="3646ACA5"/>
    <w:rsid w:val="36497E33"/>
    <w:rsid w:val="364CA57D"/>
    <w:rsid w:val="3656BF46"/>
    <w:rsid w:val="36594D65"/>
    <w:rsid w:val="36634757"/>
    <w:rsid w:val="36662A96"/>
    <w:rsid w:val="36663609"/>
    <w:rsid w:val="366A6DC9"/>
    <w:rsid w:val="366B9DF2"/>
    <w:rsid w:val="366BFF7C"/>
    <w:rsid w:val="366F49E9"/>
    <w:rsid w:val="36731415"/>
    <w:rsid w:val="3673901E"/>
    <w:rsid w:val="3675DE87"/>
    <w:rsid w:val="367D7D93"/>
    <w:rsid w:val="36828D8E"/>
    <w:rsid w:val="3694A3C1"/>
    <w:rsid w:val="369CDC37"/>
    <w:rsid w:val="36A0EA46"/>
    <w:rsid w:val="36A5F3B1"/>
    <w:rsid w:val="36A72BF1"/>
    <w:rsid w:val="36A7421C"/>
    <w:rsid w:val="36A74AF1"/>
    <w:rsid w:val="36C0745D"/>
    <w:rsid w:val="36C7D238"/>
    <w:rsid w:val="36C7D59E"/>
    <w:rsid w:val="36D4AFCE"/>
    <w:rsid w:val="36D57D1C"/>
    <w:rsid w:val="36D9AB9E"/>
    <w:rsid w:val="36DDBF84"/>
    <w:rsid w:val="36E5BD11"/>
    <w:rsid w:val="36EE6E30"/>
    <w:rsid w:val="36F5298A"/>
    <w:rsid w:val="36F5F502"/>
    <w:rsid w:val="37034A05"/>
    <w:rsid w:val="370D2E4F"/>
    <w:rsid w:val="371B1FFD"/>
    <w:rsid w:val="371DFAF7"/>
    <w:rsid w:val="37281460"/>
    <w:rsid w:val="3729175E"/>
    <w:rsid w:val="372C489C"/>
    <w:rsid w:val="37303494"/>
    <w:rsid w:val="3733E073"/>
    <w:rsid w:val="373FEDDB"/>
    <w:rsid w:val="374FD8D3"/>
    <w:rsid w:val="375F06D6"/>
    <w:rsid w:val="375F83AA"/>
    <w:rsid w:val="3760B29A"/>
    <w:rsid w:val="37699265"/>
    <w:rsid w:val="376A1D73"/>
    <w:rsid w:val="376F34A5"/>
    <w:rsid w:val="377D8BCA"/>
    <w:rsid w:val="37872457"/>
    <w:rsid w:val="37884827"/>
    <w:rsid w:val="37949C5F"/>
    <w:rsid w:val="37A3BA0B"/>
    <w:rsid w:val="37ADC8E5"/>
    <w:rsid w:val="37AE0D91"/>
    <w:rsid w:val="37BB00C9"/>
    <w:rsid w:val="37BBB550"/>
    <w:rsid w:val="37BE057B"/>
    <w:rsid w:val="37C3944E"/>
    <w:rsid w:val="37C7F0CB"/>
    <w:rsid w:val="37C9D9C9"/>
    <w:rsid w:val="37D35107"/>
    <w:rsid w:val="37D42148"/>
    <w:rsid w:val="37D5E97A"/>
    <w:rsid w:val="37D6421D"/>
    <w:rsid w:val="37D860D6"/>
    <w:rsid w:val="37E55DB7"/>
    <w:rsid w:val="37F4E8F4"/>
    <w:rsid w:val="37F65CBC"/>
    <w:rsid w:val="38036F7F"/>
    <w:rsid w:val="38051073"/>
    <w:rsid w:val="3809453D"/>
    <w:rsid w:val="38186401"/>
    <w:rsid w:val="382268B1"/>
    <w:rsid w:val="382350C2"/>
    <w:rsid w:val="3827B2BB"/>
    <w:rsid w:val="38314A0C"/>
    <w:rsid w:val="3832EAF3"/>
    <w:rsid w:val="3834AA58"/>
    <w:rsid w:val="3837C3A0"/>
    <w:rsid w:val="3840CD81"/>
    <w:rsid w:val="3841CE1A"/>
    <w:rsid w:val="384BEBA5"/>
    <w:rsid w:val="386529BC"/>
    <w:rsid w:val="3868E987"/>
    <w:rsid w:val="386E19E9"/>
    <w:rsid w:val="3879A64C"/>
    <w:rsid w:val="387A4A90"/>
    <w:rsid w:val="3881A789"/>
    <w:rsid w:val="388367B6"/>
    <w:rsid w:val="3887A488"/>
    <w:rsid w:val="388BD77D"/>
    <w:rsid w:val="3891F6EC"/>
    <w:rsid w:val="3892D4E1"/>
    <w:rsid w:val="3896179B"/>
    <w:rsid w:val="389E6322"/>
    <w:rsid w:val="389FC24F"/>
    <w:rsid w:val="38B102EB"/>
    <w:rsid w:val="38B65D1C"/>
    <w:rsid w:val="38B7E5D8"/>
    <w:rsid w:val="38BB9617"/>
    <w:rsid w:val="38C03DCE"/>
    <w:rsid w:val="38C5F4D8"/>
    <w:rsid w:val="38D10E83"/>
    <w:rsid w:val="38D55F65"/>
    <w:rsid w:val="38D58041"/>
    <w:rsid w:val="38D7A285"/>
    <w:rsid w:val="38DDB585"/>
    <w:rsid w:val="38E48E3E"/>
    <w:rsid w:val="38E4BC1C"/>
    <w:rsid w:val="38F8A858"/>
    <w:rsid w:val="38FC639D"/>
    <w:rsid w:val="39032F83"/>
    <w:rsid w:val="39065251"/>
    <w:rsid w:val="391E74B8"/>
    <w:rsid w:val="392386EE"/>
    <w:rsid w:val="3923EC50"/>
    <w:rsid w:val="3928952E"/>
    <w:rsid w:val="392D13C6"/>
    <w:rsid w:val="3932A355"/>
    <w:rsid w:val="39368E53"/>
    <w:rsid w:val="3936B01E"/>
    <w:rsid w:val="3937AD35"/>
    <w:rsid w:val="394C0753"/>
    <w:rsid w:val="394D66FD"/>
    <w:rsid w:val="394F03F3"/>
    <w:rsid w:val="39524B8B"/>
    <w:rsid w:val="3957459D"/>
    <w:rsid w:val="3957EB66"/>
    <w:rsid w:val="39599232"/>
    <w:rsid w:val="395ED02C"/>
    <w:rsid w:val="395FCBF0"/>
    <w:rsid w:val="39702766"/>
    <w:rsid w:val="3972FF1D"/>
    <w:rsid w:val="397AAB47"/>
    <w:rsid w:val="397C849A"/>
    <w:rsid w:val="397E42E3"/>
    <w:rsid w:val="3980318E"/>
    <w:rsid w:val="398DA4E6"/>
    <w:rsid w:val="398DE24F"/>
    <w:rsid w:val="399EB85D"/>
    <w:rsid w:val="39A93281"/>
    <w:rsid w:val="39AB3731"/>
    <w:rsid w:val="39AFA1E0"/>
    <w:rsid w:val="39B2A412"/>
    <w:rsid w:val="39B659C9"/>
    <w:rsid w:val="39B8D4F2"/>
    <w:rsid w:val="39C1E169"/>
    <w:rsid w:val="39C24DF6"/>
    <w:rsid w:val="39C3BDE4"/>
    <w:rsid w:val="39C3FC27"/>
    <w:rsid w:val="39C7579B"/>
    <w:rsid w:val="39D29042"/>
    <w:rsid w:val="39D37516"/>
    <w:rsid w:val="39DD4787"/>
    <w:rsid w:val="39E131F0"/>
    <w:rsid w:val="39E994B8"/>
    <w:rsid w:val="39EFDCCF"/>
    <w:rsid w:val="39F05637"/>
    <w:rsid w:val="39F67673"/>
    <w:rsid w:val="39FDFA88"/>
    <w:rsid w:val="39FEF771"/>
    <w:rsid w:val="3A00C20F"/>
    <w:rsid w:val="3A074AF3"/>
    <w:rsid w:val="3A09AFA0"/>
    <w:rsid w:val="3A0A6539"/>
    <w:rsid w:val="3A130719"/>
    <w:rsid w:val="3A14FF1B"/>
    <w:rsid w:val="3A195FD1"/>
    <w:rsid w:val="3A1BE7E7"/>
    <w:rsid w:val="3A2A6EE4"/>
    <w:rsid w:val="3A2AD7B8"/>
    <w:rsid w:val="3A2DA922"/>
    <w:rsid w:val="3A326848"/>
    <w:rsid w:val="3A36CB75"/>
    <w:rsid w:val="3A3A9FEA"/>
    <w:rsid w:val="3A3C2913"/>
    <w:rsid w:val="3A4243E3"/>
    <w:rsid w:val="3A46E7A0"/>
    <w:rsid w:val="3A482C39"/>
    <w:rsid w:val="3A49930C"/>
    <w:rsid w:val="3A4E8648"/>
    <w:rsid w:val="3A51C77E"/>
    <w:rsid w:val="3A578A47"/>
    <w:rsid w:val="3A6061E9"/>
    <w:rsid w:val="3A65962E"/>
    <w:rsid w:val="3A68D0BC"/>
    <w:rsid w:val="3A69384A"/>
    <w:rsid w:val="3A6BE527"/>
    <w:rsid w:val="3A6DAA0D"/>
    <w:rsid w:val="3A7017A0"/>
    <w:rsid w:val="3A716AD1"/>
    <w:rsid w:val="3A72374A"/>
    <w:rsid w:val="3A7571C8"/>
    <w:rsid w:val="3A7C7F61"/>
    <w:rsid w:val="3A7CACE0"/>
    <w:rsid w:val="3A7E8CA0"/>
    <w:rsid w:val="3A8820CC"/>
    <w:rsid w:val="3A909FF3"/>
    <w:rsid w:val="3A91EE92"/>
    <w:rsid w:val="3A9A898C"/>
    <w:rsid w:val="3AA6D567"/>
    <w:rsid w:val="3AA9FFC3"/>
    <w:rsid w:val="3AAB8489"/>
    <w:rsid w:val="3AB4ED2D"/>
    <w:rsid w:val="3AC11330"/>
    <w:rsid w:val="3AC3FAB0"/>
    <w:rsid w:val="3AC561AE"/>
    <w:rsid w:val="3ADD88BB"/>
    <w:rsid w:val="3AE3A887"/>
    <w:rsid w:val="3AE72439"/>
    <w:rsid w:val="3AF04506"/>
    <w:rsid w:val="3AF3FA1C"/>
    <w:rsid w:val="3B1298FF"/>
    <w:rsid w:val="3B14F2A9"/>
    <w:rsid w:val="3B16B9A7"/>
    <w:rsid w:val="3B1701B1"/>
    <w:rsid w:val="3B282363"/>
    <w:rsid w:val="3B28F43D"/>
    <w:rsid w:val="3B2ACF92"/>
    <w:rsid w:val="3B2AD858"/>
    <w:rsid w:val="3B329A45"/>
    <w:rsid w:val="3B352951"/>
    <w:rsid w:val="3B3BB97C"/>
    <w:rsid w:val="3B417628"/>
    <w:rsid w:val="3B448FAB"/>
    <w:rsid w:val="3B4725DB"/>
    <w:rsid w:val="3B4A913F"/>
    <w:rsid w:val="3B4CC436"/>
    <w:rsid w:val="3B59EDDF"/>
    <w:rsid w:val="3B66A615"/>
    <w:rsid w:val="3B66C256"/>
    <w:rsid w:val="3B76E448"/>
    <w:rsid w:val="3B7CDC83"/>
    <w:rsid w:val="3B7DA9DC"/>
    <w:rsid w:val="3B883FBE"/>
    <w:rsid w:val="3B893D5A"/>
    <w:rsid w:val="3B895973"/>
    <w:rsid w:val="3B8B569E"/>
    <w:rsid w:val="3B8BD8E6"/>
    <w:rsid w:val="3B926F43"/>
    <w:rsid w:val="3B97E488"/>
    <w:rsid w:val="3B9C729A"/>
    <w:rsid w:val="3BAABACB"/>
    <w:rsid w:val="3BACED3E"/>
    <w:rsid w:val="3BAED351"/>
    <w:rsid w:val="3BB395D3"/>
    <w:rsid w:val="3BB6BD4E"/>
    <w:rsid w:val="3BB8B6AB"/>
    <w:rsid w:val="3BC1F8E7"/>
    <w:rsid w:val="3BD0BF68"/>
    <w:rsid w:val="3BD3B564"/>
    <w:rsid w:val="3BDDBAF0"/>
    <w:rsid w:val="3BDFF724"/>
    <w:rsid w:val="3BE11B6C"/>
    <w:rsid w:val="3BE2A468"/>
    <w:rsid w:val="3BE8ED5A"/>
    <w:rsid w:val="3BEEDF72"/>
    <w:rsid w:val="3BF19BA8"/>
    <w:rsid w:val="3BF681AA"/>
    <w:rsid w:val="3BF7D296"/>
    <w:rsid w:val="3C0952E3"/>
    <w:rsid w:val="3C10CA04"/>
    <w:rsid w:val="3C1669CC"/>
    <w:rsid w:val="3C182B0E"/>
    <w:rsid w:val="3C18F266"/>
    <w:rsid w:val="3C1C18BD"/>
    <w:rsid w:val="3C29C47E"/>
    <w:rsid w:val="3C2F3332"/>
    <w:rsid w:val="3C50072B"/>
    <w:rsid w:val="3C5A981E"/>
    <w:rsid w:val="3C5B33F3"/>
    <w:rsid w:val="3C5CE42E"/>
    <w:rsid w:val="3C61202F"/>
    <w:rsid w:val="3C634EF2"/>
    <w:rsid w:val="3C6B0D65"/>
    <w:rsid w:val="3C6E112A"/>
    <w:rsid w:val="3C78BEAC"/>
    <w:rsid w:val="3C8F7BDF"/>
    <w:rsid w:val="3C9CE486"/>
    <w:rsid w:val="3C9F0620"/>
    <w:rsid w:val="3CA0F9BA"/>
    <w:rsid w:val="3CA32616"/>
    <w:rsid w:val="3CA72225"/>
    <w:rsid w:val="3CAB8715"/>
    <w:rsid w:val="3CAE0FDA"/>
    <w:rsid w:val="3CBCB27E"/>
    <w:rsid w:val="3CBD1BF7"/>
    <w:rsid w:val="3CC67498"/>
    <w:rsid w:val="3CC92511"/>
    <w:rsid w:val="3CCA486E"/>
    <w:rsid w:val="3CCB8D89"/>
    <w:rsid w:val="3CD11CEC"/>
    <w:rsid w:val="3CD17DE3"/>
    <w:rsid w:val="3CD3DCB1"/>
    <w:rsid w:val="3CD4C68A"/>
    <w:rsid w:val="3CD814DF"/>
    <w:rsid w:val="3CD9CAE7"/>
    <w:rsid w:val="3CDFE103"/>
    <w:rsid w:val="3CE49BC8"/>
    <w:rsid w:val="3CE573A1"/>
    <w:rsid w:val="3CF4B7B1"/>
    <w:rsid w:val="3D1A5DC0"/>
    <w:rsid w:val="3D2441B3"/>
    <w:rsid w:val="3D441D13"/>
    <w:rsid w:val="3D4D6D1A"/>
    <w:rsid w:val="3D4DC349"/>
    <w:rsid w:val="3D5717C6"/>
    <w:rsid w:val="3D5B8349"/>
    <w:rsid w:val="3D61C15C"/>
    <w:rsid w:val="3D649A9E"/>
    <w:rsid w:val="3D76EF81"/>
    <w:rsid w:val="3D77DCF9"/>
    <w:rsid w:val="3D7FBCDD"/>
    <w:rsid w:val="3D846133"/>
    <w:rsid w:val="3D8B50AA"/>
    <w:rsid w:val="3D8D9DAC"/>
    <w:rsid w:val="3D8E124F"/>
    <w:rsid w:val="3D9ABF13"/>
    <w:rsid w:val="3D9E0F3E"/>
    <w:rsid w:val="3D9E3B4F"/>
    <w:rsid w:val="3D9F755F"/>
    <w:rsid w:val="3DADA826"/>
    <w:rsid w:val="3DC03EDB"/>
    <w:rsid w:val="3DC8889D"/>
    <w:rsid w:val="3DCA216B"/>
    <w:rsid w:val="3DCBB670"/>
    <w:rsid w:val="3DD901DA"/>
    <w:rsid w:val="3DEDAF07"/>
    <w:rsid w:val="3DF32C9F"/>
    <w:rsid w:val="3DF88A6F"/>
    <w:rsid w:val="3DFB6566"/>
    <w:rsid w:val="3E11CCE6"/>
    <w:rsid w:val="3E154015"/>
    <w:rsid w:val="3E192A98"/>
    <w:rsid w:val="3E196F00"/>
    <w:rsid w:val="3E1A71CE"/>
    <w:rsid w:val="3E1B59C9"/>
    <w:rsid w:val="3E2260DB"/>
    <w:rsid w:val="3E320061"/>
    <w:rsid w:val="3E34905E"/>
    <w:rsid w:val="3E3A176C"/>
    <w:rsid w:val="3E3DE84A"/>
    <w:rsid w:val="3E4107E4"/>
    <w:rsid w:val="3E43572D"/>
    <w:rsid w:val="3E47B16D"/>
    <w:rsid w:val="3E54ADD3"/>
    <w:rsid w:val="3E55B603"/>
    <w:rsid w:val="3E57427D"/>
    <w:rsid w:val="3E64A0C6"/>
    <w:rsid w:val="3E67A8A5"/>
    <w:rsid w:val="3E74C3E5"/>
    <w:rsid w:val="3E789DDB"/>
    <w:rsid w:val="3E804D0D"/>
    <w:rsid w:val="3E8CC916"/>
    <w:rsid w:val="3E98FE56"/>
    <w:rsid w:val="3EA0F678"/>
    <w:rsid w:val="3EA39B20"/>
    <w:rsid w:val="3EA7CC13"/>
    <w:rsid w:val="3EA8C0A8"/>
    <w:rsid w:val="3EACD60B"/>
    <w:rsid w:val="3EAE24BA"/>
    <w:rsid w:val="3EAF7FCA"/>
    <w:rsid w:val="3EAFEB89"/>
    <w:rsid w:val="3ECA9417"/>
    <w:rsid w:val="3ECD1657"/>
    <w:rsid w:val="3ECD9B5B"/>
    <w:rsid w:val="3ED350B8"/>
    <w:rsid w:val="3ED376C1"/>
    <w:rsid w:val="3ED818D3"/>
    <w:rsid w:val="3EDA139B"/>
    <w:rsid w:val="3EDBC2BC"/>
    <w:rsid w:val="3EDF727D"/>
    <w:rsid w:val="3EE11454"/>
    <w:rsid w:val="3EEE6FC2"/>
    <w:rsid w:val="3EF673A1"/>
    <w:rsid w:val="3EF9658B"/>
    <w:rsid w:val="3EFE0107"/>
    <w:rsid w:val="3F044787"/>
    <w:rsid w:val="3F066C22"/>
    <w:rsid w:val="3F076D02"/>
    <w:rsid w:val="3F07A60B"/>
    <w:rsid w:val="3F0DF074"/>
    <w:rsid w:val="3F13A4CD"/>
    <w:rsid w:val="3F152564"/>
    <w:rsid w:val="3F15860C"/>
    <w:rsid w:val="3F206F5A"/>
    <w:rsid w:val="3F21D3EF"/>
    <w:rsid w:val="3F22A6AC"/>
    <w:rsid w:val="3F232BA6"/>
    <w:rsid w:val="3F33F5EA"/>
    <w:rsid w:val="3F350186"/>
    <w:rsid w:val="3F35B3E9"/>
    <w:rsid w:val="3F5506B5"/>
    <w:rsid w:val="3F5B7834"/>
    <w:rsid w:val="3F67D4C0"/>
    <w:rsid w:val="3F71A4F4"/>
    <w:rsid w:val="3F751154"/>
    <w:rsid w:val="3F7C3999"/>
    <w:rsid w:val="3F80BA65"/>
    <w:rsid w:val="3F8F41DF"/>
    <w:rsid w:val="3F923FC0"/>
    <w:rsid w:val="3FAF5939"/>
    <w:rsid w:val="3FAFBF0C"/>
    <w:rsid w:val="3FB07A4C"/>
    <w:rsid w:val="3FB78AD4"/>
    <w:rsid w:val="3FC476AA"/>
    <w:rsid w:val="3FCA13B3"/>
    <w:rsid w:val="3FD38F48"/>
    <w:rsid w:val="3FE21158"/>
    <w:rsid w:val="3FE37E11"/>
    <w:rsid w:val="3FE63D04"/>
    <w:rsid w:val="3FED2918"/>
    <w:rsid w:val="3FF2FD38"/>
    <w:rsid w:val="3FF547B8"/>
    <w:rsid w:val="40020D05"/>
    <w:rsid w:val="40025C2A"/>
    <w:rsid w:val="400D0E28"/>
    <w:rsid w:val="40116932"/>
    <w:rsid w:val="401CB8D2"/>
    <w:rsid w:val="4021D432"/>
    <w:rsid w:val="4022A226"/>
    <w:rsid w:val="40255E2A"/>
    <w:rsid w:val="402EA78A"/>
    <w:rsid w:val="40376A18"/>
    <w:rsid w:val="40378456"/>
    <w:rsid w:val="4039AD47"/>
    <w:rsid w:val="403AAAE7"/>
    <w:rsid w:val="4044FD15"/>
    <w:rsid w:val="405113F1"/>
    <w:rsid w:val="4055963D"/>
    <w:rsid w:val="40658D63"/>
    <w:rsid w:val="407EAE73"/>
    <w:rsid w:val="407F89CD"/>
    <w:rsid w:val="40882B6E"/>
    <w:rsid w:val="408B508C"/>
    <w:rsid w:val="408D22A4"/>
    <w:rsid w:val="4098E319"/>
    <w:rsid w:val="409BF979"/>
    <w:rsid w:val="409EDD59"/>
    <w:rsid w:val="40AB62D5"/>
    <w:rsid w:val="40B5AFB6"/>
    <w:rsid w:val="40B7DC50"/>
    <w:rsid w:val="40C43527"/>
    <w:rsid w:val="40C55705"/>
    <w:rsid w:val="40D414BE"/>
    <w:rsid w:val="40DA9328"/>
    <w:rsid w:val="40DE936D"/>
    <w:rsid w:val="40DF48DD"/>
    <w:rsid w:val="40E4066D"/>
    <w:rsid w:val="40E724D7"/>
    <w:rsid w:val="40E967D2"/>
    <w:rsid w:val="40ED7021"/>
    <w:rsid w:val="40EF17F5"/>
    <w:rsid w:val="40F463D1"/>
    <w:rsid w:val="40FA46C4"/>
    <w:rsid w:val="40FD3BD6"/>
    <w:rsid w:val="4103EA5D"/>
    <w:rsid w:val="4103F372"/>
    <w:rsid w:val="4117C0EB"/>
    <w:rsid w:val="4118FB12"/>
    <w:rsid w:val="411F6764"/>
    <w:rsid w:val="41264854"/>
    <w:rsid w:val="4134A757"/>
    <w:rsid w:val="413F8515"/>
    <w:rsid w:val="4144234D"/>
    <w:rsid w:val="414A3DE5"/>
    <w:rsid w:val="4150B744"/>
    <w:rsid w:val="416056F3"/>
    <w:rsid w:val="416F690B"/>
    <w:rsid w:val="4170A767"/>
    <w:rsid w:val="41771D42"/>
    <w:rsid w:val="41855BF6"/>
    <w:rsid w:val="418C2BEF"/>
    <w:rsid w:val="418D87D8"/>
    <w:rsid w:val="419F1CEC"/>
    <w:rsid w:val="41A0603A"/>
    <w:rsid w:val="41A6445D"/>
    <w:rsid w:val="41A7BC00"/>
    <w:rsid w:val="41A96F3A"/>
    <w:rsid w:val="41AE8DD1"/>
    <w:rsid w:val="41B277F5"/>
    <w:rsid w:val="41BCD704"/>
    <w:rsid w:val="41C69DAE"/>
    <w:rsid w:val="41C96E99"/>
    <w:rsid w:val="41CD0A5B"/>
    <w:rsid w:val="41D02A56"/>
    <w:rsid w:val="41D0E03F"/>
    <w:rsid w:val="41DDAB00"/>
    <w:rsid w:val="41DDB2B9"/>
    <w:rsid w:val="41E904B9"/>
    <w:rsid w:val="41EC5BC2"/>
    <w:rsid w:val="41F4B5A0"/>
    <w:rsid w:val="41F8954C"/>
    <w:rsid w:val="41FDA38A"/>
    <w:rsid w:val="4200284B"/>
    <w:rsid w:val="42012FA1"/>
    <w:rsid w:val="42046377"/>
    <w:rsid w:val="4205B779"/>
    <w:rsid w:val="42065C39"/>
    <w:rsid w:val="4207D393"/>
    <w:rsid w:val="420980BA"/>
    <w:rsid w:val="4213B3F9"/>
    <w:rsid w:val="423CB25C"/>
    <w:rsid w:val="423D4523"/>
    <w:rsid w:val="424302B9"/>
    <w:rsid w:val="42455E3B"/>
    <w:rsid w:val="4254E64B"/>
    <w:rsid w:val="425A95EA"/>
    <w:rsid w:val="425AFEE0"/>
    <w:rsid w:val="425CC44D"/>
    <w:rsid w:val="426413C2"/>
    <w:rsid w:val="427EEEA9"/>
    <w:rsid w:val="4287FD1F"/>
    <w:rsid w:val="4297853E"/>
    <w:rsid w:val="429F3661"/>
    <w:rsid w:val="42A37319"/>
    <w:rsid w:val="42A51BE0"/>
    <w:rsid w:val="42B00A4F"/>
    <w:rsid w:val="42BF195D"/>
    <w:rsid w:val="42C03C29"/>
    <w:rsid w:val="42D5B251"/>
    <w:rsid w:val="42D61FF5"/>
    <w:rsid w:val="42DE4B97"/>
    <w:rsid w:val="42E48E60"/>
    <w:rsid w:val="42F19EA6"/>
    <w:rsid w:val="42F96F86"/>
    <w:rsid w:val="4309EC33"/>
    <w:rsid w:val="4314FC56"/>
    <w:rsid w:val="431C68DF"/>
    <w:rsid w:val="4322DD41"/>
    <w:rsid w:val="43248BA3"/>
    <w:rsid w:val="4324A224"/>
    <w:rsid w:val="43271C00"/>
    <w:rsid w:val="43273E4E"/>
    <w:rsid w:val="4328CA30"/>
    <w:rsid w:val="4330E526"/>
    <w:rsid w:val="43343EC1"/>
    <w:rsid w:val="433DEF37"/>
    <w:rsid w:val="433FD286"/>
    <w:rsid w:val="435E5361"/>
    <w:rsid w:val="435E5B90"/>
    <w:rsid w:val="435F411A"/>
    <w:rsid w:val="4367DDA2"/>
    <w:rsid w:val="4379459B"/>
    <w:rsid w:val="437D3DDC"/>
    <w:rsid w:val="4381DF2F"/>
    <w:rsid w:val="4382A136"/>
    <w:rsid w:val="4388A40E"/>
    <w:rsid w:val="438F420B"/>
    <w:rsid w:val="439CF221"/>
    <w:rsid w:val="43A6D923"/>
    <w:rsid w:val="43A840D5"/>
    <w:rsid w:val="43A9D0C5"/>
    <w:rsid w:val="43B02EBA"/>
    <w:rsid w:val="43CEC1B9"/>
    <w:rsid w:val="43DCA320"/>
    <w:rsid w:val="43E34B3D"/>
    <w:rsid w:val="43EAC502"/>
    <w:rsid w:val="43F9506C"/>
    <w:rsid w:val="43FADF84"/>
    <w:rsid w:val="4405F653"/>
    <w:rsid w:val="441AB88F"/>
    <w:rsid w:val="44273483"/>
    <w:rsid w:val="44348F50"/>
    <w:rsid w:val="4436ACF4"/>
    <w:rsid w:val="4438E7CF"/>
    <w:rsid w:val="4440090C"/>
    <w:rsid w:val="444AF87E"/>
    <w:rsid w:val="444FBF89"/>
    <w:rsid w:val="44569498"/>
    <w:rsid w:val="4462CA4F"/>
    <w:rsid w:val="44757A74"/>
    <w:rsid w:val="44758C91"/>
    <w:rsid w:val="4477D0C5"/>
    <w:rsid w:val="4477EDED"/>
    <w:rsid w:val="4478EE2F"/>
    <w:rsid w:val="447B2427"/>
    <w:rsid w:val="44811FD3"/>
    <w:rsid w:val="4492B6AC"/>
    <w:rsid w:val="44932B2D"/>
    <w:rsid w:val="449C00E8"/>
    <w:rsid w:val="449F70E0"/>
    <w:rsid w:val="44A33013"/>
    <w:rsid w:val="44A5A5DD"/>
    <w:rsid w:val="44A5CE07"/>
    <w:rsid w:val="44A9D890"/>
    <w:rsid w:val="44ADB23B"/>
    <w:rsid w:val="44B320A6"/>
    <w:rsid w:val="44BDE3F7"/>
    <w:rsid w:val="44BF6C57"/>
    <w:rsid w:val="44C02757"/>
    <w:rsid w:val="44C8C7A8"/>
    <w:rsid w:val="44CB9A96"/>
    <w:rsid w:val="44CC7609"/>
    <w:rsid w:val="44CE243C"/>
    <w:rsid w:val="44CEBA3E"/>
    <w:rsid w:val="44D1AEAE"/>
    <w:rsid w:val="44DB069F"/>
    <w:rsid w:val="44E3AFAB"/>
    <w:rsid w:val="44E42CC0"/>
    <w:rsid w:val="44E9BDC1"/>
    <w:rsid w:val="44F53EFD"/>
    <w:rsid w:val="44FC8B26"/>
    <w:rsid w:val="45048F4C"/>
    <w:rsid w:val="45088ECF"/>
    <w:rsid w:val="4509E303"/>
    <w:rsid w:val="450C81AC"/>
    <w:rsid w:val="450EA252"/>
    <w:rsid w:val="4514FFD0"/>
    <w:rsid w:val="45180639"/>
    <w:rsid w:val="451D69E5"/>
    <w:rsid w:val="45282DC0"/>
    <w:rsid w:val="453F0566"/>
    <w:rsid w:val="4544382A"/>
    <w:rsid w:val="454D72D8"/>
    <w:rsid w:val="45517938"/>
    <w:rsid w:val="4551C846"/>
    <w:rsid w:val="4555DDF7"/>
    <w:rsid w:val="4556915D"/>
    <w:rsid w:val="45617CFC"/>
    <w:rsid w:val="4565DED1"/>
    <w:rsid w:val="4565F975"/>
    <w:rsid w:val="456A4FFA"/>
    <w:rsid w:val="456B1806"/>
    <w:rsid w:val="456E86D7"/>
    <w:rsid w:val="457D0CE7"/>
    <w:rsid w:val="45808064"/>
    <w:rsid w:val="4583A5F1"/>
    <w:rsid w:val="4584C867"/>
    <w:rsid w:val="4592677B"/>
    <w:rsid w:val="459C20F7"/>
    <w:rsid w:val="459CF4A5"/>
    <w:rsid w:val="459FF0A2"/>
    <w:rsid w:val="45A6A2B3"/>
    <w:rsid w:val="45ACABA6"/>
    <w:rsid w:val="45B30258"/>
    <w:rsid w:val="45B39705"/>
    <w:rsid w:val="45BC7D3D"/>
    <w:rsid w:val="45C2FD0D"/>
    <w:rsid w:val="45C89683"/>
    <w:rsid w:val="45DA23B7"/>
    <w:rsid w:val="45E0D66E"/>
    <w:rsid w:val="45E6034E"/>
    <w:rsid w:val="45E62CAC"/>
    <w:rsid w:val="45E8B75C"/>
    <w:rsid w:val="45F96B49"/>
    <w:rsid w:val="460C15BF"/>
    <w:rsid w:val="4617CC6A"/>
    <w:rsid w:val="461B7328"/>
    <w:rsid w:val="461DC60D"/>
    <w:rsid w:val="462C69D6"/>
    <w:rsid w:val="4638A231"/>
    <w:rsid w:val="463F60C4"/>
    <w:rsid w:val="4644C97D"/>
    <w:rsid w:val="464AA886"/>
    <w:rsid w:val="4659C8BF"/>
    <w:rsid w:val="46604466"/>
    <w:rsid w:val="46634DA4"/>
    <w:rsid w:val="4669C37B"/>
    <w:rsid w:val="46729DA1"/>
    <w:rsid w:val="4676648F"/>
    <w:rsid w:val="46796459"/>
    <w:rsid w:val="467F3AE2"/>
    <w:rsid w:val="468AC091"/>
    <w:rsid w:val="4693BD84"/>
    <w:rsid w:val="46953B16"/>
    <w:rsid w:val="4697673F"/>
    <w:rsid w:val="46987F8F"/>
    <w:rsid w:val="4698CD7B"/>
    <w:rsid w:val="46BACDDD"/>
    <w:rsid w:val="46BB097E"/>
    <w:rsid w:val="46C7DD10"/>
    <w:rsid w:val="46C8ED19"/>
    <w:rsid w:val="46CBAC60"/>
    <w:rsid w:val="46CF757D"/>
    <w:rsid w:val="46CFAEA7"/>
    <w:rsid w:val="46D076E9"/>
    <w:rsid w:val="46D32207"/>
    <w:rsid w:val="46E3C61C"/>
    <w:rsid w:val="46E8213B"/>
    <w:rsid w:val="46F37007"/>
    <w:rsid w:val="46F6E312"/>
    <w:rsid w:val="47051521"/>
    <w:rsid w:val="4705256B"/>
    <w:rsid w:val="4708D5B5"/>
    <w:rsid w:val="470CC3A3"/>
    <w:rsid w:val="47103EE5"/>
    <w:rsid w:val="47189BAD"/>
    <w:rsid w:val="471936D5"/>
    <w:rsid w:val="4730484A"/>
    <w:rsid w:val="4730B085"/>
    <w:rsid w:val="47374CC4"/>
    <w:rsid w:val="47380204"/>
    <w:rsid w:val="47384EC7"/>
    <w:rsid w:val="473CBF6A"/>
    <w:rsid w:val="47409B66"/>
    <w:rsid w:val="4740B4F9"/>
    <w:rsid w:val="474254AA"/>
    <w:rsid w:val="474613C1"/>
    <w:rsid w:val="474B4B73"/>
    <w:rsid w:val="475BDAC5"/>
    <w:rsid w:val="475C4E52"/>
    <w:rsid w:val="4761A9D3"/>
    <w:rsid w:val="4762139F"/>
    <w:rsid w:val="47680A5A"/>
    <w:rsid w:val="47692092"/>
    <w:rsid w:val="476F818C"/>
    <w:rsid w:val="4774D6B0"/>
    <w:rsid w:val="477769A6"/>
    <w:rsid w:val="47816459"/>
    <w:rsid w:val="478E9C88"/>
    <w:rsid w:val="47902D00"/>
    <w:rsid w:val="4790C4D2"/>
    <w:rsid w:val="47933D3A"/>
    <w:rsid w:val="4796EFE6"/>
    <w:rsid w:val="479CE5F2"/>
    <w:rsid w:val="47B7FC9F"/>
    <w:rsid w:val="47BDA098"/>
    <w:rsid w:val="47C23812"/>
    <w:rsid w:val="47E5AC62"/>
    <w:rsid w:val="47E8FEE0"/>
    <w:rsid w:val="47E9EDEF"/>
    <w:rsid w:val="47EE4830"/>
    <w:rsid w:val="47F0265F"/>
    <w:rsid w:val="47F87B0D"/>
    <w:rsid w:val="47F9E4D0"/>
    <w:rsid w:val="47FCC1DE"/>
    <w:rsid w:val="47FE9933"/>
    <w:rsid w:val="48032127"/>
    <w:rsid w:val="480B2105"/>
    <w:rsid w:val="480E2BC9"/>
    <w:rsid w:val="4815D9DE"/>
    <w:rsid w:val="4819BE0A"/>
    <w:rsid w:val="4820C093"/>
    <w:rsid w:val="48280A08"/>
    <w:rsid w:val="48298C69"/>
    <w:rsid w:val="4829E3B6"/>
    <w:rsid w:val="48348CC4"/>
    <w:rsid w:val="4835F26F"/>
    <w:rsid w:val="484729CF"/>
    <w:rsid w:val="48472B3E"/>
    <w:rsid w:val="484DB5EE"/>
    <w:rsid w:val="4856DB22"/>
    <w:rsid w:val="485AF8A5"/>
    <w:rsid w:val="485E6D87"/>
    <w:rsid w:val="485F65D5"/>
    <w:rsid w:val="4860A2D7"/>
    <w:rsid w:val="486A2622"/>
    <w:rsid w:val="48703F2E"/>
    <w:rsid w:val="48710A3E"/>
    <w:rsid w:val="487788B6"/>
    <w:rsid w:val="487A5167"/>
    <w:rsid w:val="487F4982"/>
    <w:rsid w:val="48804789"/>
    <w:rsid w:val="48816A36"/>
    <w:rsid w:val="48823B86"/>
    <w:rsid w:val="48A3531D"/>
    <w:rsid w:val="48BB96A6"/>
    <w:rsid w:val="48BEDFBC"/>
    <w:rsid w:val="48CBEECB"/>
    <w:rsid w:val="48D053E6"/>
    <w:rsid w:val="48D75F32"/>
    <w:rsid w:val="48DC5760"/>
    <w:rsid w:val="48E481A9"/>
    <w:rsid w:val="48F3769A"/>
    <w:rsid w:val="490393CD"/>
    <w:rsid w:val="491D78DF"/>
    <w:rsid w:val="491ED41B"/>
    <w:rsid w:val="492C4BE0"/>
    <w:rsid w:val="493A38CA"/>
    <w:rsid w:val="493EB0ED"/>
    <w:rsid w:val="4948CD9A"/>
    <w:rsid w:val="494E6A73"/>
    <w:rsid w:val="494FBBC1"/>
    <w:rsid w:val="49573467"/>
    <w:rsid w:val="49626AF9"/>
    <w:rsid w:val="49696E15"/>
    <w:rsid w:val="496FB5B1"/>
    <w:rsid w:val="4978F005"/>
    <w:rsid w:val="497E9820"/>
    <w:rsid w:val="497EB3C6"/>
    <w:rsid w:val="497F1397"/>
    <w:rsid w:val="497F8AAB"/>
    <w:rsid w:val="498AF03A"/>
    <w:rsid w:val="4990845B"/>
    <w:rsid w:val="4997869B"/>
    <w:rsid w:val="499D4F23"/>
    <w:rsid w:val="49A28592"/>
    <w:rsid w:val="49A34EA7"/>
    <w:rsid w:val="49AE6DF3"/>
    <w:rsid w:val="49B42E79"/>
    <w:rsid w:val="49B516F8"/>
    <w:rsid w:val="49BE031B"/>
    <w:rsid w:val="49C1312A"/>
    <w:rsid w:val="49C45613"/>
    <w:rsid w:val="49C62D4B"/>
    <w:rsid w:val="49CAD4FF"/>
    <w:rsid w:val="49CF0883"/>
    <w:rsid w:val="49CFB4B4"/>
    <w:rsid w:val="49D04C29"/>
    <w:rsid w:val="49D5CECB"/>
    <w:rsid w:val="49D60DA8"/>
    <w:rsid w:val="49D6C6B6"/>
    <w:rsid w:val="49D6E07C"/>
    <w:rsid w:val="49D871C0"/>
    <w:rsid w:val="49DCBA79"/>
    <w:rsid w:val="49DFA359"/>
    <w:rsid w:val="49ED579E"/>
    <w:rsid w:val="49F16072"/>
    <w:rsid w:val="49F7AF42"/>
    <w:rsid w:val="49FE45CA"/>
    <w:rsid w:val="4A023896"/>
    <w:rsid w:val="4A04E2D4"/>
    <w:rsid w:val="4A091EA9"/>
    <w:rsid w:val="4A21C114"/>
    <w:rsid w:val="4A257429"/>
    <w:rsid w:val="4A290EFA"/>
    <w:rsid w:val="4A2AAD01"/>
    <w:rsid w:val="4A2FE842"/>
    <w:rsid w:val="4A3215D6"/>
    <w:rsid w:val="4A379CC1"/>
    <w:rsid w:val="4A43A372"/>
    <w:rsid w:val="4A4F1873"/>
    <w:rsid w:val="4A5070EC"/>
    <w:rsid w:val="4A57B5FF"/>
    <w:rsid w:val="4A5CF70C"/>
    <w:rsid w:val="4A5E3A9C"/>
    <w:rsid w:val="4A5EAB07"/>
    <w:rsid w:val="4A66B318"/>
    <w:rsid w:val="4A7EA476"/>
    <w:rsid w:val="4A811DA7"/>
    <w:rsid w:val="4A8339D2"/>
    <w:rsid w:val="4A8B21BE"/>
    <w:rsid w:val="4A90E9DD"/>
    <w:rsid w:val="4A939338"/>
    <w:rsid w:val="4A9E5C85"/>
    <w:rsid w:val="4AACB362"/>
    <w:rsid w:val="4AB4D71B"/>
    <w:rsid w:val="4ABD4BDA"/>
    <w:rsid w:val="4AC2AC07"/>
    <w:rsid w:val="4AC6A550"/>
    <w:rsid w:val="4ACB47AF"/>
    <w:rsid w:val="4ACC949A"/>
    <w:rsid w:val="4AD15690"/>
    <w:rsid w:val="4AD19372"/>
    <w:rsid w:val="4AD34F13"/>
    <w:rsid w:val="4AD58BC7"/>
    <w:rsid w:val="4AD7E890"/>
    <w:rsid w:val="4ADA34A5"/>
    <w:rsid w:val="4ADFC789"/>
    <w:rsid w:val="4AE46629"/>
    <w:rsid w:val="4AE57B2F"/>
    <w:rsid w:val="4AE85F99"/>
    <w:rsid w:val="4AF0E008"/>
    <w:rsid w:val="4AF6E1BD"/>
    <w:rsid w:val="4AFCEAA3"/>
    <w:rsid w:val="4AFF55FD"/>
    <w:rsid w:val="4B00B43A"/>
    <w:rsid w:val="4B04C835"/>
    <w:rsid w:val="4B06C82E"/>
    <w:rsid w:val="4B0D3B47"/>
    <w:rsid w:val="4B0F434F"/>
    <w:rsid w:val="4B158062"/>
    <w:rsid w:val="4B159628"/>
    <w:rsid w:val="4B1E9654"/>
    <w:rsid w:val="4B24A567"/>
    <w:rsid w:val="4B2AE7ED"/>
    <w:rsid w:val="4B3B8B64"/>
    <w:rsid w:val="4B45D155"/>
    <w:rsid w:val="4B4A43E1"/>
    <w:rsid w:val="4B53E859"/>
    <w:rsid w:val="4B57D219"/>
    <w:rsid w:val="4B5A42B6"/>
    <w:rsid w:val="4B6BABC3"/>
    <w:rsid w:val="4B6F52E2"/>
    <w:rsid w:val="4B7174CA"/>
    <w:rsid w:val="4B73B5DD"/>
    <w:rsid w:val="4B7AD2D3"/>
    <w:rsid w:val="4B7BE3C4"/>
    <w:rsid w:val="4B7C46AC"/>
    <w:rsid w:val="4B804182"/>
    <w:rsid w:val="4B808EB8"/>
    <w:rsid w:val="4B831B81"/>
    <w:rsid w:val="4B85A6AA"/>
    <w:rsid w:val="4B864067"/>
    <w:rsid w:val="4B8B007C"/>
    <w:rsid w:val="4B8F253F"/>
    <w:rsid w:val="4B9911CA"/>
    <w:rsid w:val="4B9942CC"/>
    <w:rsid w:val="4B9E91DE"/>
    <w:rsid w:val="4BA127EE"/>
    <w:rsid w:val="4BA8D69B"/>
    <w:rsid w:val="4BD0C329"/>
    <w:rsid w:val="4BDD910D"/>
    <w:rsid w:val="4BE184B0"/>
    <w:rsid w:val="4BE29D3E"/>
    <w:rsid w:val="4BE655DD"/>
    <w:rsid w:val="4BEB16CB"/>
    <w:rsid w:val="4BEC2B1D"/>
    <w:rsid w:val="4BED585B"/>
    <w:rsid w:val="4BEE1181"/>
    <w:rsid w:val="4BFE3F26"/>
    <w:rsid w:val="4C08E36E"/>
    <w:rsid w:val="4C090D53"/>
    <w:rsid w:val="4C112DC7"/>
    <w:rsid w:val="4C17B3BF"/>
    <w:rsid w:val="4C18104B"/>
    <w:rsid w:val="4C1BC18F"/>
    <w:rsid w:val="4C294EA6"/>
    <w:rsid w:val="4C37E002"/>
    <w:rsid w:val="4C3DF858"/>
    <w:rsid w:val="4C41447C"/>
    <w:rsid w:val="4C442ABE"/>
    <w:rsid w:val="4C44C641"/>
    <w:rsid w:val="4C4B8FCD"/>
    <w:rsid w:val="4C50E7F7"/>
    <w:rsid w:val="4C5371B9"/>
    <w:rsid w:val="4C6358BB"/>
    <w:rsid w:val="4C64D8DA"/>
    <w:rsid w:val="4C696BA0"/>
    <w:rsid w:val="4C6BE02D"/>
    <w:rsid w:val="4C709868"/>
    <w:rsid w:val="4C7984DF"/>
    <w:rsid w:val="4C811EF7"/>
    <w:rsid w:val="4C836BD8"/>
    <w:rsid w:val="4C89FE58"/>
    <w:rsid w:val="4C8A4FE6"/>
    <w:rsid w:val="4C919080"/>
    <w:rsid w:val="4C92FC07"/>
    <w:rsid w:val="4C939574"/>
    <w:rsid w:val="4C94B7AE"/>
    <w:rsid w:val="4C975934"/>
    <w:rsid w:val="4C9A08E1"/>
    <w:rsid w:val="4C9F08E3"/>
    <w:rsid w:val="4CA85FF2"/>
    <w:rsid w:val="4CAA11DF"/>
    <w:rsid w:val="4CAB6192"/>
    <w:rsid w:val="4CB6DB1F"/>
    <w:rsid w:val="4CC28FAA"/>
    <w:rsid w:val="4CC74060"/>
    <w:rsid w:val="4CCCBE51"/>
    <w:rsid w:val="4CD2C441"/>
    <w:rsid w:val="4CD7D378"/>
    <w:rsid w:val="4CDC3E53"/>
    <w:rsid w:val="4CE42FE6"/>
    <w:rsid w:val="4CE8252E"/>
    <w:rsid w:val="4CED3CA4"/>
    <w:rsid w:val="4CEF7BA1"/>
    <w:rsid w:val="4CFE61E4"/>
    <w:rsid w:val="4D097306"/>
    <w:rsid w:val="4D0C8B0A"/>
    <w:rsid w:val="4D1469A1"/>
    <w:rsid w:val="4D183D12"/>
    <w:rsid w:val="4D18B52C"/>
    <w:rsid w:val="4D18F858"/>
    <w:rsid w:val="4D291112"/>
    <w:rsid w:val="4D348286"/>
    <w:rsid w:val="4D44E05B"/>
    <w:rsid w:val="4D53BF20"/>
    <w:rsid w:val="4D5E1135"/>
    <w:rsid w:val="4D63A66E"/>
    <w:rsid w:val="4D6B8906"/>
    <w:rsid w:val="4D73C490"/>
    <w:rsid w:val="4D776FE1"/>
    <w:rsid w:val="4D7E1C81"/>
    <w:rsid w:val="4D899A86"/>
    <w:rsid w:val="4D89E303"/>
    <w:rsid w:val="4D96C75B"/>
    <w:rsid w:val="4D9A3B25"/>
    <w:rsid w:val="4DA6F23A"/>
    <w:rsid w:val="4DA9A2D5"/>
    <w:rsid w:val="4DAB51E6"/>
    <w:rsid w:val="4DB58A19"/>
    <w:rsid w:val="4DBA5234"/>
    <w:rsid w:val="4DCDA278"/>
    <w:rsid w:val="4DDE46C5"/>
    <w:rsid w:val="4DDF05FF"/>
    <w:rsid w:val="4DF2A445"/>
    <w:rsid w:val="4DF2FA2F"/>
    <w:rsid w:val="4DF95839"/>
    <w:rsid w:val="4DFA7E58"/>
    <w:rsid w:val="4DFA9F29"/>
    <w:rsid w:val="4E0774D1"/>
    <w:rsid w:val="4E0B20E1"/>
    <w:rsid w:val="4E0FE817"/>
    <w:rsid w:val="4E11FE92"/>
    <w:rsid w:val="4E1490D4"/>
    <w:rsid w:val="4E1AA0AC"/>
    <w:rsid w:val="4E1B91E7"/>
    <w:rsid w:val="4E2FD5E5"/>
    <w:rsid w:val="4E395179"/>
    <w:rsid w:val="4E3F6A48"/>
    <w:rsid w:val="4E44BD9C"/>
    <w:rsid w:val="4E486B7D"/>
    <w:rsid w:val="4E493C3F"/>
    <w:rsid w:val="4E516FE2"/>
    <w:rsid w:val="4E54DED1"/>
    <w:rsid w:val="4E593EE1"/>
    <w:rsid w:val="4E5A4AC6"/>
    <w:rsid w:val="4E5C6205"/>
    <w:rsid w:val="4E6BB24F"/>
    <w:rsid w:val="4E6D5D40"/>
    <w:rsid w:val="4E7107EB"/>
    <w:rsid w:val="4E81D5A4"/>
    <w:rsid w:val="4E8509DB"/>
    <w:rsid w:val="4E85F83B"/>
    <w:rsid w:val="4E89D570"/>
    <w:rsid w:val="4E8B45EB"/>
    <w:rsid w:val="4E8C59D7"/>
    <w:rsid w:val="4E8E1BB3"/>
    <w:rsid w:val="4E967E0F"/>
    <w:rsid w:val="4E973563"/>
    <w:rsid w:val="4E97F8F9"/>
    <w:rsid w:val="4EA0E8E9"/>
    <w:rsid w:val="4EA4D3A1"/>
    <w:rsid w:val="4EA693CB"/>
    <w:rsid w:val="4EADC30A"/>
    <w:rsid w:val="4EB2E276"/>
    <w:rsid w:val="4EB97A3D"/>
    <w:rsid w:val="4EC03E77"/>
    <w:rsid w:val="4EC5806B"/>
    <w:rsid w:val="4EC5C0CF"/>
    <w:rsid w:val="4EC8B9FF"/>
    <w:rsid w:val="4ECB7DF3"/>
    <w:rsid w:val="4ED9A1C9"/>
    <w:rsid w:val="4EDFA778"/>
    <w:rsid w:val="4EE90584"/>
    <w:rsid w:val="4EE9A2EE"/>
    <w:rsid w:val="4EFF7922"/>
    <w:rsid w:val="4F00654C"/>
    <w:rsid w:val="4F007B89"/>
    <w:rsid w:val="4F02EF19"/>
    <w:rsid w:val="4F049D6C"/>
    <w:rsid w:val="4F15A019"/>
    <w:rsid w:val="4F1840F9"/>
    <w:rsid w:val="4F1A30AE"/>
    <w:rsid w:val="4F274C93"/>
    <w:rsid w:val="4F356B85"/>
    <w:rsid w:val="4F3AD423"/>
    <w:rsid w:val="4F3EABEC"/>
    <w:rsid w:val="4F42F38F"/>
    <w:rsid w:val="4F4E92AF"/>
    <w:rsid w:val="4F56F880"/>
    <w:rsid w:val="4F64B50F"/>
    <w:rsid w:val="4F6DC2B7"/>
    <w:rsid w:val="4F6DD575"/>
    <w:rsid w:val="4F713FA8"/>
    <w:rsid w:val="4F741CF9"/>
    <w:rsid w:val="4F7E7672"/>
    <w:rsid w:val="4F85F9EF"/>
    <w:rsid w:val="4F94D91D"/>
    <w:rsid w:val="4F98BD1B"/>
    <w:rsid w:val="4FA15637"/>
    <w:rsid w:val="4FA3A757"/>
    <w:rsid w:val="4FBAB47C"/>
    <w:rsid w:val="4FBDD070"/>
    <w:rsid w:val="4FC32772"/>
    <w:rsid w:val="4FC4E71B"/>
    <w:rsid w:val="4FC7388B"/>
    <w:rsid w:val="4FD1B605"/>
    <w:rsid w:val="4FE7C262"/>
    <w:rsid w:val="4FEA6D8A"/>
    <w:rsid w:val="4FF5FCD0"/>
    <w:rsid w:val="4FFA9FE0"/>
    <w:rsid w:val="4FFBEF28"/>
    <w:rsid w:val="4FFC5A1A"/>
    <w:rsid w:val="500152BD"/>
    <w:rsid w:val="50045E95"/>
    <w:rsid w:val="5006C8AF"/>
    <w:rsid w:val="5007E4B0"/>
    <w:rsid w:val="500EDE64"/>
    <w:rsid w:val="5019DDFA"/>
    <w:rsid w:val="5019FAA0"/>
    <w:rsid w:val="501DA964"/>
    <w:rsid w:val="50239831"/>
    <w:rsid w:val="5026DBD4"/>
    <w:rsid w:val="5052201D"/>
    <w:rsid w:val="5058C439"/>
    <w:rsid w:val="50661F65"/>
    <w:rsid w:val="506D42A1"/>
    <w:rsid w:val="50747F93"/>
    <w:rsid w:val="507BD15F"/>
    <w:rsid w:val="50814A97"/>
    <w:rsid w:val="508B2799"/>
    <w:rsid w:val="508DFA70"/>
    <w:rsid w:val="508EB198"/>
    <w:rsid w:val="509C832F"/>
    <w:rsid w:val="50A5FB47"/>
    <w:rsid w:val="50A64078"/>
    <w:rsid w:val="50A90C4A"/>
    <w:rsid w:val="50B47492"/>
    <w:rsid w:val="50B7BAAB"/>
    <w:rsid w:val="50C38A92"/>
    <w:rsid w:val="50C6A335"/>
    <w:rsid w:val="50CA1F3A"/>
    <w:rsid w:val="50D7A496"/>
    <w:rsid w:val="50D831A0"/>
    <w:rsid w:val="50DC94B4"/>
    <w:rsid w:val="50E0CBBE"/>
    <w:rsid w:val="50E0F136"/>
    <w:rsid w:val="50E6D022"/>
    <w:rsid w:val="50E9CBD0"/>
    <w:rsid w:val="50EC1545"/>
    <w:rsid w:val="50F011A2"/>
    <w:rsid w:val="50F03646"/>
    <w:rsid w:val="50F127B9"/>
    <w:rsid w:val="50F1DFF0"/>
    <w:rsid w:val="50F3271B"/>
    <w:rsid w:val="50FF7220"/>
    <w:rsid w:val="510C7BB4"/>
    <w:rsid w:val="51145F83"/>
    <w:rsid w:val="5119416B"/>
    <w:rsid w:val="511C68B4"/>
    <w:rsid w:val="511D3D0C"/>
    <w:rsid w:val="511ED35C"/>
    <w:rsid w:val="51213773"/>
    <w:rsid w:val="5129525A"/>
    <w:rsid w:val="513391A0"/>
    <w:rsid w:val="513409E0"/>
    <w:rsid w:val="51353243"/>
    <w:rsid w:val="5135D5CC"/>
    <w:rsid w:val="513AFDC0"/>
    <w:rsid w:val="514FAB9A"/>
    <w:rsid w:val="51597C44"/>
    <w:rsid w:val="515D6CB0"/>
    <w:rsid w:val="516D3967"/>
    <w:rsid w:val="516D3A3A"/>
    <w:rsid w:val="518007C7"/>
    <w:rsid w:val="51833EA2"/>
    <w:rsid w:val="5186054D"/>
    <w:rsid w:val="51885376"/>
    <w:rsid w:val="5190C72E"/>
    <w:rsid w:val="5198C21B"/>
    <w:rsid w:val="51A3A0D5"/>
    <w:rsid w:val="51A67F76"/>
    <w:rsid w:val="51A9F5D8"/>
    <w:rsid w:val="51ABD037"/>
    <w:rsid w:val="51AF54DE"/>
    <w:rsid w:val="51B7EEB1"/>
    <w:rsid w:val="51C514E1"/>
    <w:rsid w:val="51C82E72"/>
    <w:rsid w:val="51D194F3"/>
    <w:rsid w:val="51DC8F1E"/>
    <w:rsid w:val="51DF1A5F"/>
    <w:rsid w:val="51E22E13"/>
    <w:rsid w:val="51E509BD"/>
    <w:rsid w:val="51EB8BB3"/>
    <w:rsid w:val="51EDA121"/>
    <w:rsid w:val="51F175FF"/>
    <w:rsid w:val="51F7C3C9"/>
    <w:rsid w:val="51FFE539"/>
    <w:rsid w:val="5200084A"/>
    <w:rsid w:val="520474E3"/>
    <w:rsid w:val="5205D4D5"/>
    <w:rsid w:val="52097458"/>
    <w:rsid w:val="52195439"/>
    <w:rsid w:val="52207921"/>
    <w:rsid w:val="52251625"/>
    <w:rsid w:val="522B53E0"/>
    <w:rsid w:val="52329ADA"/>
    <w:rsid w:val="5233B39F"/>
    <w:rsid w:val="5238E5E0"/>
    <w:rsid w:val="523B1B89"/>
    <w:rsid w:val="523BD1F8"/>
    <w:rsid w:val="523F7E82"/>
    <w:rsid w:val="5246C716"/>
    <w:rsid w:val="524DA752"/>
    <w:rsid w:val="52597306"/>
    <w:rsid w:val="525A2208"/>
    <w:rsid w:val="525C8E17"/>
    <w:rsid w:val="525DE862"/>
    <w:rsid w:val="525DF29C"/>
    <w:rsid w:val="52630B0E"/>
    <w:rsid w:val="52643903"/>
    <w:rsid w:val="5266480B"/>
    <w:rsid w:val="52683F02"/>
    <w:rsid w:val="526C3E05"/>
    <w:rsid w:val="526EBF19"/>
    <w:rsid w:val="527A5DD7"/>
    <w:rsid w:val="527D5BAA"/>
    <w:rsid w:val="528281CC"/>
    <w:rsid w:val="52865E65"/>
    <w:rsid w:val="5286ECF2"/>
    <w:rsid w:val="5288D15C"/>
    <w:rsid w:val="528917E2"/>
    <w:rsid w:val="52901CBD"/>
    <w:rsid w:val="52A12D71"/>
    <w:rsid w:val="52A57DD8"/>
    <w:rsid w:val="52A82AF2"/>
    <w:rsid w:val="52AA68EB"/>
    <w:rsid w:val="52BA8F7B"/>
    <w:rsid w:val="52C91067"/>
    <w:rsid w:val="52C9D0A7"/>
    <w:rsid w:val="52CAD321"/>
    <w:rsid w:val="52CC0973"/>
    <w:rsid w:val="52D14E43"/>
    <w:rsid w:val="52DF5834"/>
    <w:rsid w:val="52DFE61E"/>
    <w:rsid w:val="52E60E6E"/>
    <w:rsid w:val="52E848BF"/>
    <w:rsid w:val="52FE5C3A"/>
    <w:rsid w:val="53019563"/>
    <w:rsid w:val="53037CFC"/>
    <w:rsid w:val="5309DB2C"/>
    <w:rsid w:val="530C9DF8"/>
    <w:rsid w:val="5316862F"/>
    <w:rsid w:val="535195B3"/>
    <w:rsid w:val="5353F279"/>
    <w:rsid w:val="535B2728"/>
    <w:rsid w:val="535C3667"/>
    <w:rsid w:val="536016B6"/>
    <w:rsid w:val="53634D39"/>
    <w:rsid w:val="53668B13"/>
    <w:rsid w:val="536A53E0"/>
    <w:rsid w:val="536F4244"/>
    <w:rsid w:val="537003EE"/>
    <w:rsid w:val="53735493"/>
    <w:rsid w:val="537B783A"/>
    <w:rsid w:val="5384E914"/>
    <w:rsid w:val="538D0E3C"/>
    <w:rsid w:val="538E3D2C"/>
    <w:rsid w:val="53961157"/>
    <w:rsid w:val="5397B1CB"/>
    <w:rsid w:val="539FA184"/>
    <w:rsid w:val="53ADA4CF"/>
    <w:rsid w:val="53AE2800"/>
    <w:rsid w:val="53B64DBA"/>
    <w:rsid w:val="53BEDF54"/>
    <w:rsid w:val="53CA9FEA"/>
    <w:rsid w:val="53D2511F"/>
    <w:rsid w:val="53D434DC"/>
    <w:rsid w:val="53D9B6D2"/>
    <w:rsid w:val="53DDC7C0"/>
    <w:rsid w:val="53DFEF8E"/>
    <w:rsid w:val="53EA3461"/>
    <w:rsid w:val="53ECEE43"/>
    <w:rsid w:val="53ED3887"/>
    <w:rsid w:val="53F7AA5A"/>
    <w:rsid w:val="540142C2"/>
    <w:rsid w:val="540DD8FF"/>
    <w:rsid w:val="5410F5BF"/>
    <w:rsid w:val="5413EBD0"/>
    <w:rsid w:val="54235871"/>
    <w:rsid w:val="5429A96F"/>
    <w:rsid w:val="542D7B13"/>
    <w:rsid w:val="543DE22E"/>
    <w:rsid w:val="543E31E2"/>
    <w:rsid w:val="5440A7BC"/>
    <w:rsid w:val="54497E66"/>
    <w:rsid w:val="54528C4D"/>
    <w:rsid w:val="5466B455"/>
    <w:rsid w:val="5478B48A"/>
    <w:rsid w:val="548254D5"/>
    <w:rsid w:val="5485B64A"/>
    <w:rsid w:val="548F90C2"/>
    <w:rsid w:val="5490C8C3"/>
    <w:rsid w:val="5490CC03"/>
    <w:rsid w:val="5492BAE2"/>
    <w:rsid w:val="54997105"/>
    <w:rsid w:val="549BA221"/>
    <w:rsid w:val="549C2808"/>
    <w:rsid w:val="549D5AB4"/>
    <w:rsid w:val="54A3931F"/>
    <w:rsid w:val="54A48EF0"/>
    <w:rsid w:val="54A633B3"/>
    <w:rsid w:val="54AE047A"/>
    <w:rsid w:val="54AFB580"/>
    <w:rsid w:val="54AFB5DC"/>
    <w:rsid w:val="54B838D3"/>
    <w:rsid w:val="54BC4E70"/>
    <w:rsid w:val="54BE4173"/>
    <w:rsid w:val="54CE8FE4"/>
    <w:rsid w:val="54D0F5AD"/>
    <w:rsid w:val="54D2167F"/>
    <w:rsid w:val="54D7C961"/>
    <w:rsid w:val="54DCA7F3"/>
    <w:rsid w:val="54E728FA"/>
    <w:rsid w:val="54E89822"/>
    <w:rsid w:val="54E951E3"/>
    <w:rsid w:val="54EA932A"/>
    <w:rsid w:val="54EF6401"/>
    <w:rsid w:val="54F5832D"/>
    <w:rsid w:val="54FC3F20"/>
    <w:rsid w:val="54FE29AD"/>
    <w:rsid w:val="55005AC4"/>
    <w:rsid w:val="5508BAA0"/>
    <w:rsid w:val="5510F1FC"/>
    <w:rsid w:val="55148B23"/>
    <w:rsid w:val="5516A7CE"/>
    <w:rsid w:val="5519AEEF"/>
    <w:rsid w:val="551DD57C"/>
    <w:rsid w:val="551F5026"/>
    <w:rsid w:val="552282F2"/>
    <w:rsid w:val="5527BE08"/>
    <w:rsid w:val="552E1427"/>
    <w:rsid w:val="5531B150"/>
    <w:rsid w:val="55328D5D"/>
    <w:rsid w:val="55338B6A"/>
    <w:rsid w:val="5534930D"/>
    <w:rsid w:val="55359041"/>
    <w:rsid w:val="55362BF0"/>
    <w:rsid w:val="5541F14D"/>
    <w:rsid w:val="554213A6"/>
    <w:rsid w:val="554A5933"/>
    <w:rsid w:val="556FBA8D"/>
    <w:rsid w:val="5571B1B5"/>
    <w:rsid w:val="557EAAAD"/>
    <w:rsid w:val="558262EC"/>
    <w:rsid w:val="55838378"/>
    <w:rsid w:val="55A050A6"/>
    <w:rsid w:val="55A138CE"/>
    <w:rsid w:val="55AF5B40"/>
    <w:rsid w:val="55B62F74"/>
    <w:rsid w:val="55B7CC89"/>
    <w:rsid w:val="55BC0B01"/>
    <w:rsid w:val="55C9504D"/>
    <w:rsid w:val="55CCB52A"/>
    <w:rsid w:val="55D20E19"/>
    <w:rsid w:val="55D3D026"/>
    <w:rsid w:val="55D5FEB1"/>
    <w:rsid w:val="55E07BBE"/>
    <w:rsid w:val="55EA4C49"/>
    <w:rsid w:val="55EA790F"/>
    <w:rsid w:val="55EC245A"/>
    <w:rsid w:val="55EF2B00"/>
    <w:rsid w:val="55F93339"/>
    <w:rsid w:val="55FCAD7D"/>
    <w:rsid w:val="55FE4899"/>
    <w:rsid w:val="5600480E"/>
    <w:rsid w:val="56031FC3"/>
    <w:rsid w:val="560A5E97"/>
    <w:rsid w:val="560FD953"/>
    <w:rsid w:val="561B46B9"/>
    <w:rsid w:val="562992F8"/>
    <w:rsid w:val="562E0BB5"/>
    <w:rsid w:val="562EC090"/>
    <w:rsid w:val="562EDE73"/>
    <w:rsid w:val="5637B210"/>
    <w:rsid w:val="563D2045"/>
    <w:rsid w:val="564B8132"/>
    <w:rsid w:val="564B8A09"/>
    <w:rsid w:val="5650E2B6"/>
    <w:rsid w:val="56597F45"/>
    <w:rsid w:val="566C7D5A"/>
    <w:rsid w:val="5670264C"/>
    <w:rsid w:val="5670F8B5"/>
    <w:rsid w:val="5672D90B"/>
    <w:rsid w:val="5672EC79"/>
    <w:rsid w:val="5672F0D9"/>
    <w:rsid w:val="567466ED"/>
    <w:rsid w:val="567C15B6"/>
    <w:rsid w:val="56A037BB"/>
    <w:rsid w:val="56A69B92"/>
    <w:rsid w:val="56A72825"/>
    <w:rsid w:val="56B90CFA"/>
    <w:rsid w:val="56BADFB6"/>
    <w:rsid w:val="56BC16C5"/>
    <w:rsid w:val="56BFA8B5"/>
    <w:rsid w:val="56C28C42"/>
    <w:rsid w:val="56C3F12D"/>
    <w:rsid w:val="56C7A817"/>
    <w:rsid w:val="56C959A9"/>
    <w:rsid w:val="56C9951E"/>
    <w:rsid w:val="56CC0DD1"/>
    <w:rsid w:val="56D6F3A8"/>
    <w:rsid w:val="56D72228"/>
    <w:rsid w:val="56D8508E"/>
    <w:rsid w:val="56D9DCDE"/>
    <w:rsid w:val="56DB44F2"/>
    <w:rsid w:val="56DBF49B"/>
    <w:rsid w:val="56DC24E1"/>
    <w:rsid w:val="56E3144A"/>
    <w:rsid w:val="56E626D1"/>
    <w:rsid w:val="56ECC4C2"/>
    <w:rsid w:val="56F4BAFB"/>
    <w:rsid w:val="56FD534A"/>
    <w:rsid w:val="5709B127"/>
    <w:rsid w:val="570DC284"/>
    <w:rsid w:val="570E2140"/>
    <w:rsid w:val="57159741"/>
    <w:rsid w:val="57159D12"/>
    <w:rsid w:val="571A4B4F"/>
    <w:rsid w:val="571D746D"/>
    <w:rsid w:val="57208355"/>
    <w:rsid w:val="57213CFD"/>
    <w:rsid w:val="572FE7B0"/>
    <w:rsid w:val="57323F36"/>
    <w:rsid w:val="574021D5"/>
    <w:rsid w:val="5741CAF8"/>
    <w:rsid w:val="5749386A"/>
    <w:rsid w:val="574A4B9F"/>
    <w:rsid w:val="574A72B8"/>
    <w:rsid w:val="574AF703"/>
    <w:rsid w:val="574F75BA"/>
    <w:rsid w:val="5752D94C"/>
    <w:rsid w:val="57537F5A"/>
    <w:rsid w:val="576AD028"/>
    <w:rsid w:val="57795F50"/>
    <w:rsid w:val="577EF11D"/>
    <w:rsid w:val="57832746"/>
    <w:rsid w:val="57833350"/>
    <w:rsid w:val="57899FCA"/>
    <w:rsid w:val="578CBBF9"/>
    <w:rsid w:val="578D28FA"/>
    <w:rsid w:val="5793A90B"/>
    <w:rsid w:val="5794C0F6"/>
    <w:rsid w:val="579A44FF"/>
    <w:rsid w:val="579F140E"/>
    <w:rsid w:val="579F4759"/>
    <w:rsid w:val="579FDB83"/>
    <w:rsid w:val="57AE2786"/>
    <w:rsid w:val="57BA91CC"/>
    <w:rsid w:val="57BBE259"/>
    <w:rsid w:val="57C64B0B"/>
    <w:rsid w:val="57C933CE"/>
    <w:rsid w:val="57CF7F49"/>
    <w:rsid w:val="57DDFD1E"/>
    <w:rsid w:val="57E2E599"/>
    <w:rsid w:val="57E6AF35"/>
    <w:rsid w:val="57F7AD5C"/>
    <w:rsid w:val="57FB3E64"/>
    <w:rsid w:val="57FCBBA7"/>
    <w:rsid w:val="58022121"/>
    <w:rsid w:val="5804E588"/>
    <w:rsid w:val="58067008"/>
    <w:rsid w:val="580AA15D"/>
    <w:rsid w:val="580B042C"/>
    <w:rsid w:val="58120544"/>
    <w:rsid w:val="58161A2C"/>
    <w:rsid w:val="582CE21D"/>
    <w:rsid w:val="582F4F43"/>
    <w:rsid w:val="5835F2A8"/>
    <w:rsid w:val="583B422F"/>
    <w:rsid w:val="58413B77"/>
    <w:rsid w:val="5842FAAC"/>
    <w:rsid w:val="58445136"/>
    <w:rsid w:val="584F0CD5"/>
    <w:rsid w:val="5852CFB6"/>
    <w:rsid w:val="585698BE"/>
    <w:rsid w:val="5859E0BB"/>
    <w:rsid w:val="585CB540"/>
    <w:rsid w:val="586114B1"/>
    <w:rsid w:val="586939FE"/>
    <w:rsid w:val="58748E3A"/>
    <w:rsid w:val="58785BE2"/>
    <w:rsid w:val="587D4897"/>
    <w:rsid w:val="587FDD86"/>
    <w:rsid w:val="58819580"/>
    <w:rsid w:val="58879560"/>
    <w:rsid w:val="5887D202"/>
    <w:rsid w:val="588A9DBA"/>
    <w:rsid w:val="5891C5FC"/>
    <w:rsid w:val="5894C180"/>
    <w:rsid w:val="58952A03"/>
    <w:rsid w:val="5898EFCD"/>
    <w:rsid w:val="58A02EA6"/>
    <w:rsid w:val="58A861C4"/>
    <w:rsid w:val="58A89920"/>
    <w:rsid w:val="58A8B9A5"/>
    <w:rsid w:val="58AF19BB"/>
    <w:rsid w:val="58B35A4C"/>
    <w:rsid w:val="58B425C5"/>
    <w:rsid w:val="58BD9FD5"/>
    <w:rsid w:val="58BDB307"/>
    <w:rsid w:val="58C05104"/>
    <w:rsid w:val="58C3D31D"/>
    <w:rsid w:val="58D41B47"/>
    <w:rsid w:val="58D77696"/>
    <w:rsid w:val="58DCE02F"/>
    <w:rsid w:val="58E0DF00"/>
    <w:rsid w:val="58E1DF6B"/>
    <w:rsid w:val="5900D14B"/>
    <w:rsid w:val="59013C9E"/>
    <w:rsid w:val="590D2AEC"/>
    <w:rsid w:val="590EAF65"/>
    <w:rsid w:val="5912CDDF"/>
    <w:rsid w:val="591E902F"/>
    <w:rsid w:val="59207862"/>
    <w:rsid w:val="593D2B6F"/>
    <w:rsid w:val="593D82F1"/>
    <w:rsid w:val="5940DF08"/>
    <w:rsid w:val="594C2D8E"/>
    <w:rsid w:val="594C758F"/>
    <w:rsid w:val="5953191F"/>
    <w:rsid w:val="5957A06C"/>
    <w:rsid w:val="596387E3"/>
    <w:rsid w:val="596D80FE"/>
    <w:rsid w:val="59764C82"/>
    <w:rsid w:val="597727E1"/>
    <w:rsid w:val="598498D9"/>
    <w:rsid w:val="59969C74"/>
    <w:rsid w:val="5997FDDB"/>
    <w:rsid w:val="59A0CECF"/>
    <w:rsid w:val="59A6B6AB"/>
    <w:rsid w:val="59AF5C80"/>
    <w:rsid w:val="59BFB7AC"/>
    <w:rsid w:val="59BFBDE9"/>
    <w:rsid w:val="59CD469B"/>
    <w:rsid w:val="59CE52DF"/>
    <w:rsid w:val="59D48707"/>
    <w:rsid w:val="59E464DE"/>
    <w:rsid w:val="59EA43FB"/>
    <w:rsid w:val="59EA5E86"/>
    <w:rsid w:val="59EE1F14"/>
    <w:rsid w:val="59F4FCAB"/>
    <w:rsid w:val="59F84847"/>
    <w:rsid w:val="59FB4583"/>
    <w:rsid w:val="59FF5803"/>
    <w:rsid w:val="5A00C949"/>
    <w:rsid w:val="5A05299F"/>
    <w:rsid w:val="5A07F8AC"/>
    <w:rsid w:val="5A12836D"/>
    <w:rsid w:val="5A134F25"/>
    <w:rsid w:val="5A14F809"/>
    <w:rsid w:val="5A21C1A7"/>
    <w:rsid w:val="5A2B948E"/>
    <w:rsid w:val="5A2CCB5A"/>
    <w:rsid w:val="5A3139A3"/>
    <w:rsid w:val="5A31F54B"/>
    <w:rsid w:val="5A349D1C"/>
    <w:rsid w:val="5A368066"/>
    <w:rsid w:val="5A375A3C"/>
    <w:rsid w:val="5A3BF944"/>
    <w:rsid w:val="5A3C31DB"/>
    <w:rsid w:val="5A5031C8"/>
    <w:rsid w:val="5A505A6A"/>
    <w:rsid w:val="5A5B0E95"/>
    <w:rsid w:val="5A61803B"/>
    <w:rsid w:val="5A6A9A9A"/>
    <w:rsid w:val="5A6BB76D"/>
    <w:rsid w:val="5A6D09FD"/>
    <w:rsid w:val="5A714CF8"/>
    <w:rsid w:val="5A7AA83C"/>
    <w:rsid w:val="5A7D49F2"/>
    <w:rsid w:val="5A82F68A"/>
    <w:rsid w:val="5A84B892"/>
    <w:rsid w:val="5A952F42"/>
    <w:rsid w:val="5A972539"/>
    <w:rsid w:val="5A9C52D8"/>
    <w:rsid w:val="5AA74B5D"/>
    <w:rsid w:val="5AA87061"/>
    <w:rsid w:val="5AAE3B20"/>
    <w:rsid w:val="5ABAD0C4"/>
    <w:rsid w:val="5AC45259"/>
    <w:rsid w:val="5AC53EC2"/>
    <w:rsid w:val="5ACB2D62"/>
    <w:rsid w:val="5ACBD69D"/>
    <w:rsid w:val="5ACCE0DB"/>
    <w:rsid w:val="5ACD8192"/>
    <w:rsid w:val="5AD1384F"/>
    <w:rsid w:val="5ADC9B5E"/>
    <w:rsid w:val="5AEB2910"/>
    <w:rsid w:val="5AFCF224"/>
    <w:rsid w:val="5B0C776E"/>
    <w:rsid w:val="5B0F39F5"/>
    <w:rsid w:val="5B12650D"/>
    <w:rsid w:val="5B1B2AE2"/>
    <w:rsid w:val="5B1DB6A5"/>
    <w:rsid w:val="5B278ABA"/>
    <w:rsid w:val="5B2994EB"/>
    <w:rsid w:val="5B2B5103"/>
    <w:rsid w:val="5B348B4D"/>
    <w:rsid w:val="5B359F50"/>
    <w:rsid w:val="5B4BC29C"/>
    <w:rsid w:val="5B4DA4A2"/>
    <w:rsid w:val="5B51B44E"/>
    <w:rsid w:val="5B5B5292"/>
    <w:rsid w:val="5B626FBE"/>
    <w:rsid w:val="5B767935"/>
    <w:rsid w:val="5B7C0D25"/>
    <w:rsid w:val="5B7FD876"/>
    <w:rsid w:val="5B802052"/>
    <w:rsid w:val="5B8631CB"/>
    <w:rsid w:val="5B8C01C2"/>
    <w:rsid w:val="5B90DDF9"/>
    <w:rsid w:val="5B924EDF"/>
    <w:rsid w:val="5B9CF6A7"/>
    <w:rsid w:val="5B9E1706"/>
    <w:rsid w:val="5B9FFA8D"/>
    <w:rsid w:val="5BA9AEC6"/>
    <w:rsid w:val="5BB33586"/>
    <w:rsid w:val="5BB75FCF"/>
    <w:rsid w:val="5BBD6620"/>
    <w:rsid w:val="5BBDD57D"/>
    <w:rsid w:val="5BC13D06"/>
    <w:rsid w:val="5BC6510E"/>
    <w:rsid w:val="5BC81200"/>
    <w:rsid w:val="5BCC98B2"/>
    <w:rsid w:val="5BCEA592"/>
    <w:rsid w:val="5BD4A422"/>
    <w:rsid w:val="5BE28270"/>
    <w:rsid w:val="5BE394FD"/>
    <w:rsid w:val="5BE9112E"/>
    <w:rsid w:val="5BED118B"/>
    <w:rsid w:val="5BFAF2BC"/>
    <w:rsid w:val="5BFDEF1D"/>
    <w:rsid w:val="5C016A8A"/>
    <w:rsid w:val="5C0CF2FB"/>
    <w:rsid w:val="5C0E7FE9"/>
    <w:rsid w:val="5C0FE07C"/>
    <w:rsid w:val="5C16E4EF"/>
    <w:rsid w:val="5C1CD191"/>
    <w:rsid w:val="5C20F280"/>
    <w:rsid w:val="5C277DBF"/>
    <w:rsid w:val="5C28E1C5"/>
    <w:rsid w:val="5C2A9202"/>
    <w:rsid w:val="5C2B66D9"/>
    <w:rsid w:val="5C32013C"/>
    <w:rsid w:val="5C376C86"/>
    <w:rsid w:val="5C434BAA"/>
    <w:rsid w:val="5C467570"/>
    <w:rsid w:val="5C5857CF"/>
    <w:rsid w:val="5C5E2CDF"/>
    <w:rsid w:val="5C67618A"/>
    <w:rsid w:val="5C6B32D3"/>
    <w:rsid w:val="5C6FDB79"/>
    <w:rsid w:val="5C8565DA"/>
    <w:rsid w:val="5C934A5F"/>
    <w:rsid w:val="5C952D0F"/>
    <w:rsid w:val="5C9E1E27"/>
    <w:rsid w:val="5CA7741B"/>
    <w:rsid w:val="5CA7944E"/>
    <w:rsid w:val="5CA8CDD8"/>
    <w:rsid w:val="5CAE0D3E"/>
    <w:rsid w:val="5CAE255F"/>
    <w:rsid w:val="5CBC5CF2"/>
    <w:rsid w:val="5CC62C2A"/>
    <w:rsid w:val="5CC6E2D0"/>
    <w:rsid w:val="5CE9BE9F"/>
    <w:rsid w:val="5CE9FFA9"/>
    <w:rsid w:val="5CED0C74"/>
    <w:rsid w:val="5CEF1C9E"/>
    <w:rsid w:val="5CEF27BA"/>
    <w:rsid w:val="5CF34B4E"/>
    <w:rsid w:val="5CF416BA"/>
    <w:rsid w:val="5CFA0A14"/>
    <w:rsid w:val="5CFC4372"/>
    <w:rsid w:val="5CFCB0E8"/>
    <w:rsid w:val="5CFEECC7"/>
    <w:rsid w:val="5D035805"/>
    <w:rsid w:val="5D046093"/>
    <w:rsid w:val="5D06D3FC"/>
    <w:rsid w:val="5D11F800"/>
    <w:rsid w:val="5D1A0A75"/>
    <w:rsid w:val="5D212C39"/>
    <w:rsid w:val="5D221CEF"/>
    <w:rsid w:val="5D2319FB"/>
    <w:rsid w:val="5D283ED6"/>
    <w:rsid w:val="5D2EEDDB"/>
    <w:rsid w:val="5D37EABC"/>
    <w:rsid w:val="5D38B2D7"/>
    <w:rsid w:val="5D45EDE0"/>
    <w:rsid w:val="5D531667"/>
    <w:rsid w:val="5D67137B"/>
    <w:rsid w:val="5D6885B8"/>
    <w:rsid w:val="5D7285FC"/>
    <w:rsid w:val="5D7A41BC"/>
    <w:rsid w:val="5D83166F"/>
    <w:rsid w:val="5D86EBF3"/>
    <w:rsid w:val="5D878BB4"/>
    <w:rsid w:val="5D938E17"/>
    <w:rsid w:val="5D953E40"/>
    <w:rsid w:val="5D9B091D"/>
    <w:rsid w:val="5DA59135"/>
    <w:rsid w:val="5DA64D2F"/>
    <w:rsid w:val="5DAADB26"/>
    <w:rsid w:val="5DB2FB58"/>
    <w:rsid w:val="5DB59ABE"/>
    <w:rsid w:val="5DBC658F"/>
    <w:rsid w:val="5DBECC8C"/>
    <w:rsid w:val="5DC1D2CF"/>
    <w:rsid w:val="5DD290B9"/>
    <w:rsid w:val="5DD45D5E"/>
    <w:rsid w:val="5DD52E47"/>
    <w:rsid w:val="5DD86BA0"/>
    <w:rsid w:val="5DD90993"/>
    <w:rsid w:val="5DDF5B76"/>
    <w:rsid w:val="5DEF35C1"/>
    <w:rsid w:val="5DF04742"/>
    <w:rsid w:val="5DF224F8"/>
    <w:rsid w:val="5DF841B3"/>
    <w:rsid w:val="5E01BEB8"/>
    <w:rsid w:val="5E0B6170"/>
    <w:rsid w:val="5E11C388"/>
    <w:rsid w:val="5E1AE1C0"/>
    <w:rsid w:val="5E2872B8"/>
    <w:rsid w:val="5E2D6E4C"/>
    <w:rsid w:val="5E2E65DC"/>
    <w:rsid w:val="5E2F25F7"/>
    <w:rsid w:val="5E3066C6"/>
    <w:rsid w:val="5E3104B9"/>
    <w:rsid w:val="5E3481F2"/>
    <w:rsid w:val="5E37907E"/>
    <w:rsid w:val="5E3E11D5"/>
    <w:rsid w:val="5E4EEE3B"/>
    <w:rsid w:val="5E4F1134"/>
    <w:rsid w:val="5E4F4214"/>
    <w:rsid w:val="5E59DA21"/>
    <w:rsid w:val="5E636686"/>
    <w:rsid w:val="5E66A3DA"/>
    <w:rsid w:val="5E7BC49A"/>
    <w:rsid w:val="5E89618E"/>
    <w:rsid w:val="5E89A7D0"/>
    <w:rsid w:val="5E8F5CDD"/>
    <w:rsid w:val="5EA2AAAE"/>
    <w:rsid w:val="5EAC8CF9"/>
    <w:rsid w:val="5EB1396C"/>
    <w:rsid w:val="5EB166C4"/>
    <w:rsid w:val="5EB687F1"/>
    <w:rsid w:val="5EB7196D"/>
    <w:rsid w:val="5EC08C7C"/>
    <w:rsid w:val="5EC8DFF2"/>
    <w:rsid w:val="5ED412BB"/>
    <w:rsid w:val="5EDE8EDA"/>
    <w:rsid w:val="5EE4D8C5"/>
    <w:rsid w:val="5EE6C5E4"/>
    <w:rsid w:val="5EECFB37"/>
    <w:rsid w:val="5EF27A87"/>
    <w:rsid w:val="5EF9AB47"/>
    <w:rsid w:val="5EFF57F5"/>
    <w:rsid w:val="5F06F8EE"/>
    <w:rsid w:val="5F091588"/>
    <w:rsid w:val="5F0C1AEE"/>
    <w:rsid w:val="5F13DC3C"/>
    <w:rsid w:val="5F145D6A"/>
    <w:rsid w:val="5F1B24AC"/>
    <w:rsid w:val="5F1CC951"/>
    <w:rsid w:val="5F2114A4"/>
    <w:rsid w:val="5F29F87E"/>
    <w:rsid w:val="5F352E21"/>
    <w:rsid w:val="5F355DF2"/>
    <w:rsid w:val="5F35EC47"/>
    <w:rsid w:val="5F38C67A"/>
    <w:rsid w:val="5F3FF06D"/>
    <w:rsid w:val="5F4155D5"/>
    <w:rsid w:val="5F453016"/>
    <w:rsid w:val="5F4B3E09"/>
    <w:rsid w:val="5F517C4B"/>
    <w:rsid w:val="5F62E4E9"/>
    <w:rsid w:val="5F63F494"/>
    <w:rsid w:val="5F7D2BC8"/>
    <w:rsid w:val="5F8C799C"/>
    <w:rsid w:val="5F8F3B80"/>
    <w:rsid w:val="5F908BAB"/>
    <w:rsid w:val="5F93316F"/>
    <w:rsid w:val="5F940D8C"/>
    <w:rsid w:val="5F9850F0"/>
    <w:rsid w:val="5F99F093"/>
    <w:rsid w:val="5F9AEDE9"/>
    <w:rsid w:val="5F9D7419"/>
    <w:rsid w:val="5FA06067"/>
    <w:rsid w:val="5FA2E220"/>
    <w:rsid w:val="5FA5EA3A"/>
    <w:rsid w:val="5FAB11E1"/>
    <w:rsid w:val="5FB4EB3E"/>
    <w:rsid w:val="5FB5DE3F"/>
    <w:rsid w:val="5FB6B423"/>
    <w:rsid w:val="5FC04571"/>
    <w:rsid w:val="5FC8C83B"/>
    <w:rsid w:val="5FD16185"/>
    <w:rsid w:val="5FD4E304"/>
    <w:rsid w:val="5FE0BA32"/>
    <w:rsid w:val="5FE9EFDE"/>
    <w:rsid w:val="5FEB0AD5"/>
    <w:rsid w:val="5FEB21CC"/>
    <w:rsid w:val="5FEB3F51"/>
    <w:rsid w:val="5FEE375E"/>
    <w:rsid w:val="5FF06ACE"/>
    <w:rsid w:val="5FF0E865"/>
    <w:rsid w:val="5FF3E9E2"/>
    <w:rsid w:val="5FF97595"/>
    <w:rsid w:val="60095FD6"/>
    <w:rsid w:val="600FE9F6"/>
    <w:rsid w:val="6010119F"/>
    <w:rsid w:val="6010A8AC"/>
    <w:rsid w:val="601EB0C2"/>
    <w:rsid w:val="602079F5"/>
    <w:rsid w:val="602BDB02"/>
    <w:rsid w:val="602F8AF5"/>
    <w:rsid w:val="603C02E7"/>
    <w:rsid w:val="603E1150"/>
    <w:rsid w:val="6040C93F"/>
    <w:rsid w:val="6041F1DE"/>
    <w:rsid w:val="6045D7C2"/>
    <w:rsid w:val="60494B27"/>
    <w:rsid w:val="604A9568"/>
    <w:rsid w:val="6058D249"/>
    <w:rsid w:val="6065186A"/>
    <w:rsid w:val="6072EBA5"/>
    <w:rsid w:val="6073F0C6"/>
    <w:rsid w:val="6075B168"/>
    <w:rsid w:val="6076FE67"/>
    <w:rsid w:val="60897B7B"/>
    <w:rsid w:val="6093F790"/>
    <w:rsid w:val="60A5A8A2"/>
    <w:rsid w:val="60AC6548"/>
    <w:rsid w:val="60B2FB65"/>
    <w:rsid w:val="60C126B4"/>
    <w:rsid w:val="60CB2B0F"/>
    <w:rsid w:val="60CF46D8"/>
    <w:rsid w:val="60D51515"/>
    <w:rsid w:val="60DA1ED9"/>
    <w:rsid w:val="60DA5BC8"/>
    <w:rsid w:val="60E1FB74"/>
    <w:rsid w:val="60E3BFBE"/>
    <w:rsid w:val="60E592B2"/>
    <w:rsid w:val="60E72073"/>
    <w:rsid w:val="60E7B962"/>
    <w:rsid w:val="60EE16F5"/>
    <w:rsid w:val="60FF8148"/>
    <w:rsid w:val="61159114"/>
    <w:rsid w:val="61193476"/>
    <w:rsid w:val="611AD49B"/>
    <w:rsid w:val="611B52EC"/>
    <w:rsid w:val="611CADF6"/>
    <w:rsid w:val="611E2606"/>
    <w:rsid w:val="611F7510"/>
    <w:rsid w:val="612BAF59"/>
    <w:rsid w:val="6138BF3F"/>
    <w:rsid w:val="613C6F65"/>
    <w:rsid w:val="613FAB4F"/>
    <w:rsid w:val="614A2B32"/>
    <w:rsid w:val="614FABD2"/>
    <w:rsid w:val="615FDCD0"/>
    <w:rsid w:val="616AA2E9"/>
    <w:rsid w:val="616D2CD5"/>
    <w:rsid w:val="616FAC0A"/>
    <w:rsid w:val="61766DFB"/>
    <w:rsid w:val="6186D63D"/>
    <w:rsid w:val="6187B6C5"/>
    <w:rsid w:val="618A18D2"/>
    <w:rsid w:val="618C1110"/>
    <w:rsid w:val="61924120"/>
    <w:rsid w:val="6194AFB7"/>
    <w:rsid w:val="6198BB57"/>
    <w:rsid w:val="619B23EA"/>
    <w:rsid w:val="61A34C50"/>
    <w:rsid w:val="61AB1C1D"/>
    <w:rsid w:val="61AB75FC"/>
    <w:rsid w:val="61ADECAA"/>
    <w:rsid w:val="61AE5BE9"/>
    <w:rsid w:val="61BA4483"/>
    <w:rsid w:val="61BAD05E"/>
    <w:rsid w:val="61BEEE8C"/>
    <w:rsid w:val="61C01866"/>
    <w:rsid w:val="61C11A53"/>
    <w:rsid w:val="61C3C240"/>
    <w:rsid w:val="61C5D8B4"/>
    <w:rsid w:val="61C7D874"/>
    <w:rsid w:val="61CA8F89"/>
    <w:rsid w:val="61CC3267"/>
    <w:rsid w:val="61CD65BC"/>
    <w:rsid w:val="61D06B1B"/>
    <w:rsid w:val="61D7E9FC"/>
    <w:rsid w:val="61DA8B08"/>
    <w:rsid w:val="61DEAAC1"/>
    <w:rsid w:val="61DF2019"/>
    <w:rsid w:val="61E243BE"/>
    <w:rsid w:val="61E61A45"/>
    <w:rsid w:val="61FEFAFE"/>
    <w:rsid w:val="6206CE20"/>
    <w:rsid w:val="62099A8E"/>
    <w:rsid w:val="62115E9D"/>
    <w:rsid w:val="6212433A"/>
    <w:rsid w:val="6214AA60"/>
    <w:rsid w:val="6223BB18"/>
    <w:rsid w:val="62244BA0"/>
    <w:rsid w:val="6228466A"/>
    <w:rsid w:val="622EA658"/>
    <w:rsid w:val="6236C8D8"/>
    <w:rsid w:val="623F8888"/>
    <w:rsid w:val="6254E633"/>
    <w:rsid w:val="625577F0"/>
    <w:rsid w:val="6256D290"/>
    <w:rsid w:val="62576934"/>
    <w:rsid w:val="625C03C7"/>
    <w:rsid w:val="62620E82"/>
    <w:rsid w:val="626A50E6"/>
    <w:rsid w:val="6270F27D"/>
    <w:rsid w:val="62728BB8"/>
    <w:rsid w:val="627608E3"/>
    <w:rsid w:val="62767F75"/>
    <w:rsid w:val="627E0210"/>
    <w:rsid w:val="62921256"/>
    <w:rsid w:val="62976E99"/>
    <w:rsid w:val="62980B62"/>
    <w:rsid w:val="629A6427"/>
    <w:rsid w:val="62A7A2F2"/>
    <w:rsid w:val="62A7F269"/>
    <w:rsid w:val="62AEC57C"/>
    <w:rsid w:val="62B25E1B"/>
    <w:rsid w:val="62BB9D69"/>
    <w:rsid w:val="62D22B55"/>
    <w:rsid w:val="62D4697A"/>
    <w:rsid w:val="62D8606C"/>
    <w:rsid w:val="62E861FB"/>
    <w:rsid w:val="62ED1F10"/>
    <w:rsid w:val="62EF66D4"/>
    <w:rsid w:val="62F5715C"/>
    <w:rsid w:val="62FA0893"/>
    <w:rsid w:val="62FB3672"/>
    <w:rsid w:val="62FDB10E"/>
    <w:rsid w:val="62FF2C78"/>
    <w:rsid w:val="6307B176"/>
    <w:rsid w:val="63085CE5"/>
    <w:rsid w:val="6308CBFA"/>
    <w:rsid w:val="630AF374"/>
    <w:rsid w:val="631185BB"/>
    <w:rsid w:val="63183CD5"/>
    <w:rsid w:val="631CA3EC"/>
    <w:rsid w:val="6322DCA9"/>
    <w:rsid w:val="632E2E75"/>
    <w:rsid w:val="6333081A"/>
    <w:rsid w:val="63381119"/>
    <w:rsid w:val="633A79D3"/>
    <w:rsid w:val="633DCB50"/>
    <w:rsid w:val="635BF362"/>
    <w:rsid w:val="635E29A8"/>
    <w:rsid w:val="635F9601"/>
    <w:rsid w:val="63615B3A"/>
    <w:rsid w:val="63681D9B"/>
    <w:rsid w:val="636B86C7"/>
    <w:rsid w:val="636CC560"/>
    <w:rsid w:val="636F7012"/>
    <w:rsid w:val="6376772B"/>
    <w:rsid w:val="637805C2"/>
    <w:rsid w:val="637CA7A9"/>
    <w:rsid w:val="6380167C"/>
    <w:rsid w:val="638178C9"/>
    <w:rsid w:val="638436C1"/>
    <w:rsid w:val="6391AFDF"/>
    <w:rsid w:val="63921A3A"/>
    <w:rsid w:val="63971C28"/>
    <w:rsid w:val="639A703D"/>
    <w:rsid w:val="63B5AE26"/>
    <w:rsid w:val="63B5FDEC"/>
    <w:rsid w:val="63B6ECF1"/>
    <w:rsid w:val="63B75EB2"/>
    <w:rsid w:val="63BAAB7B"/>
    <w:rsid w:val="63BB6D7E"/>
    <w:rsid w:val="63C5E79C"/>
    <w:rsid w:val="63CB3DD5"/>
    <w:rsid w:val="63CCDA7E"/>
    <w:rsid w:val="63D981F1"/>
    <w:rsid w:val="63DDB977"/>
    <w:rsid w:val="63E11FDA"/>
    <w:rsid w:val="63E997C0"/>
    <w:rsid w:val="63F173BE"/>
    <w:rsid w:val="63F1BE27"/>
    <w:rsid w:val="63FB03EA"/>
    <w:rsid w:val="63FD3B95"/>
    <w:rsid w:val="64018A63"/>
    <w:rsid w:val="640B93DD"/>
    <w:rsid w:val="640E28B0"/>
    <w:rsid w:val="641820F1"/>
    <w:rsid w:val="6431147D"/>
    <w:rsid w:val="643946FB"/>
    <w:rsid w:val="643E4668"/>
    <w:rsid w:val="64412BCD"/>
    <w:rsid w:val="644F55E4"/>
    <w:rsid w:val="6458195B"/>
    <w:rsid w:val="6459943B"/>
    <w:rsid w:val="645DC7B9"/>
    <w:rsid w:val="6463501B"/>
    <w:rsid w:val="64681F01"/>
    <w:rsid w:val="646CE1DF"/>
    <w:rsid w:val="6476429E"/>
    <w:rsid w:val="6476C652"/>
    <w:rsid w:val="647E2423"/>
    <w:rsid w:val="6486E5A6"/>
    <w:rsid w:val="649C5387"/>
    <w:rsid w:val="649E76B5"/>
    <w:rsid w:val="649FF99E"/>
    <w:rsid w:val="64A95C65"/>
    <w:rsid w:val="64AF4347"/>
    <w:rsid w:val="64B3FFFA"/>
    <w:rsid w:val="64BFC857"/>
    <w:rsid w:val="64C6B57A"/>
    <w:rsid w:val="64C9F553"/>
    <w:rsid w:val="64DF6C15"/>
    <w:rsid w:val="64E651AF"/>
    <w:rsid w:val="64E6AA37"/>
    <w:rsid w:val="64E9AD37"/>
    <w:rsid w:val="64ECD0A3"/>
    <w:rsid w:val="64ED8E8F"/>
    <w:rsid w:val="64F30EF1"/>
    <w:rsid w:val="64F4E46C"/>
    <w:rsid w:val="64F61D6E"/>
    <w:rsid w:val="64F801CE"/>
    <w:rsid w:val="64F833FD"/>
    <w:rsid w:val="64F8A9B1"/>
    <w:rsid w:val="64FD7904"/>
    <w:rsid w:val="65094038"/>
    <w:rsid w:val="65134905"/>
    <w:rsid w:val="6521A421"/>
    <w:rsid w:val="6525CCEA"/>
    <w:rsid w:val="65284D21"/>
    <w:rsid w:val="652CE973"/>
    <w:rsid w:val="652F5F1A"/>
    <w:rsid w:val="653B429C"/>
    <w:rsid w:val="654088A2"/>
    <w:rsid w:val="6553F99F"/>
    <w:rsid w:val="65540CBB"/>
    <w:rsid w:val="65685B61"/>
    <w:rsid w:val="65805C8C"/>
    <w:rsid w:val="65841279"/>
    <w:rsid w:val="6585A19A"/>
    <w:rsid w:val="65894935"/>
    <w:rsid w:val="658D9F00"/>
    <w:rsid w:val="65938BA7"/>
    <w:rsid w:val="6595E137"/>
    <w:rsid w:val="659D8005"/>
    <w:rsid w:val="65BDD9BF"/>
    <w:rsid w:val="65C4D91D"/>
    <w:rsid w:val="65CD297B"/>
    <w:rsid w:val="65D3923A"/>
    <w:rsid w:val="65D979D6"/>
    <w:rsid w:val="65DF5179"/>
    <w:rsid w:val="65E05BAC"/>
    <w:rsid w:val="65E09E2E"/>
    <w:rsid w:val="65E3622D"/>
    <w:rsid w:val="65E48CEB"/>
    <w:rsid w:val="65E9F418"/>
    <w:rsid w:val="65EFC497"/>
    <w:rsid w:val="65F1B62F"/>
    <w:rsid w:val="65F36109"/>
    <w:rsid w:val="65FB018F"/>
    <w:rsid w:val="65FD0D85"/>
    <w:rsid w:val="660E384F"/>
    <w:rsid w:val="66152B34"/>
    <w:rsid w:val="66197407"/>
    <w:rsid w:val="661BE7C3"/>
    <w:rsid w:val="66213AAC"/>
    <w:rsid w:val="66230BB3"/>
    <w:rsid w:val="6629D191"/>
    <w:rsid w:val="66315865"/>
    <w:rsid w:val="6633DA9C"/>
    <w:rsid w:val="663E5DED"/>
    <w:rsid w:val="66463D39"/>
    <w:rsid w:val="6652DF8C"/>
    <w:rsid w:val="6655025B"/>
    <w:rsid w:val="6656D055"/>
    <w:rsid w:val="6657F601"/>
    <w:rsid w:val="665C1D9C"/>
    <w:rsid w:val="665E5AE8"/>
    <w:rsid w:val="666123A2"/>
    <w:rsid w:val="6663880D"/>
    <w:rsid w:val="6667AF3D"/>
    <w:rsid w:val="66700482"/>
    <w:rsid w:val="667A668C"/>
    <w:rsid w:val="667ECCE2"/>
    <w:rsid w:val="66940423"/>
    <w:rsid w:val="66946875"/>
    <w:rsid w:val="669ED016"/>
    <w:rsid w:val="66A147F1"/>
    <w:rsid w:val="66A68167"/>
    <w:rsid w:val="66B7E8C2"/>
    <w:rsid w:val="66BC5C21"/>
    <w:rsid w:val="66C81D75"/>
    <w:rsid w:val="66CCCBEB"/>
    <w:rsid w:val="66CF84E1"/>
    <w:rsid w:val="66D8C91B"/>
    <w:rsid w:val="66DBF7F8"/>
    <w:rsid w:val="66DCC8C1"/>
    <w:rsid w:val="66DE4E83"/>
    <w:rsid w:val="66E440E4"/>
    <w:rsid w:val="66EFC9BD"/>
    <w:rsid w:val="66F002C0"/>
    <w:rsid w:val="66F21312"/>
    <w:rsid w:val="66F5E1F4"/>
    <w:rsid w:val="66F60957"/>
    <w:rsid w:val="66F6C71F"/>
    <w:rsid w:val="6702EEA6"/>
    <w:rsid w:val="670C55B6"/>
    <w:rsid w:val="671B6221"/>
    <w:rsid w:val="672567E8"/>
    <w:rsid w:val="672E6C5E"/>
    <w:rsid w:val="67325E1C"/>
    <w:rsid w:val="673C11CC"/>
    <w:rsid w:val="6740F46E"/>
    <w:rsid w:val="6743A02F"/>
    <w:rsid w:val="67516558"/>
    <w:rsid w:val="67551911"/>
    <w:rsid w:val="67635A4D"/>
    <w:rsid w:val="676543CB"/>
    <w:rsid w:val="67694CCA"/>
    <w:rsid w:val="67697B12"/>
    <w:rsid w:val="676B8A8C"/>
    <w:rsid w:val="67743AD2"/>
    <w:rsid w:val="67782B01"/>
    <w:rsid w:val="6786C1A4"/>
    <w:rsid w:val="6793C859"/>
    <w:rsid w:val="67A3D025"/>
    <w:rsid w:val="67B42986"/>
    <w:rsid w:val="67BFB4B6"/>
    <w:rsid w:val="67C52488"/>
    <w:rsid w:val="67C9529B"/>
    <w:rsid w:val="67CBFA1A"/>
    <w:rsid w:val="67DA17EE"/>
    <w:rsid w:val="67DEC3F3"/>
    <w:rsid w:val="67E7908A"/>
    <w:rsid w:val="67EA63B2"/>
    <w:rsid w:val="67F410B8"/>
    <w:rsid w:val="67F6F60E"/>
    <w:rsid w:val="67FF8A34"/>
    <w:rsid w:val="68114F1C"/>
    <w:rsid w:val="6812B12E"/>
    <w:rsid w:val="68154050"/>
    <w:rsid w:val="681CC88C"/>
    <w:rsid w:val="681D10BF"/>
    <w:rsid w:val="681F3104"/>
    <w:rsid w:val="68213D01"/>
    <w:rsid w:val="6821FD9E"/>
    <w:rsid w:val="682734D4"/>
    <w:rsid w:val="682EF83E"/>
    <w:rsid w:val="683A2172"/>
    <w:rsid w:val="68471C73"/>
    <w:rsid w:val="684E4C00"/>
    <w:rsid w:val="6858CBFC"/>
    <w:rsid w:val="685A6C74"/>
    <w:rsid w:val="685CD082"/>
    <w:rsid w:val="685D0445"/>
    <w:rsid w:val="68612958"/>
    <w:rsid w:val="686361A0"/>
    <w:rsid w:val="686912A5"/>
    <w:rsid w:val="686BAEC9"/>
    <w:rsid w:val="686F3D41"/>
    <w:rsid w:val="686FBD2B"/>
    <w:rsid w:val="6875DC91"/>
    <w:rsid w:val="6875E34E"/>
    <w:rsid w:val="68773BDA"/>
    <w:rsid w:val="6879B8E8"/>
    <w:rsid w:val="687A4D7C"/>
    <w:rsid w:val="687DE0C7"/>
    <w:rsid w:val="687E1629"/>
    <w:rsid w:val="68886EFD"/>
    <w:rsid w:val="6889D561"/>
    <w:rsid w:val="688ADCCB"/>
    <w:rsid w:val="688AE752"/>
    <w:rsid w:val="688E3E48"/>
    <w:rsid w:val="68941CD1"/>
    <w:rsid w:val="68955875"/>
    <w:rsid w:val="68988552"/>
    <w:rsid w:val="689C9ED3"/>
    <w:rsid w:val="689DD7B9"/>
    <w:rsid w:val="689E7C4D"/>
    <w:rsid w:val="689EDF6B"/>
    <w:rsid w:val="68A1B539"/>
    <w:rsid w:val="68A598E9"/>
    <w:rsid w:val="68A9F99F"/>
    <w:rsid w:val="68AF9198"/>
    <w:rsid w:val="68B0538E"/>
    <w:rsid w:val="68B286EF"/>
    <w:rsid w:val="68B2C821"/>
    <w:rsid w:val="68BBA682"/>
    <w:rsid w:val="68BC93F2"/>
    <w:rsid w:val="68C386A1"/>
    <w:rsid w:val="68C9B18E"/>
    <w:rsid w:val="68D7B392"/>
    <w:rsid w:val="68F245D9"/>
    <w:rsid w:val="68FA3FC1"/>
    <w:rsid w:val="68FE3588"/>
    <w:rsid w:val="6909546B"/>
    <w:rsid w:val="691F8C4F"/>
    <w:rsid w:val="6921D53D"/>
    <w:rsid w:val="692307CF"/>
    <w:rsid w:val="693B0B18"/>
    <w:rsid w:val="694944ED"/>
    <w:rsid w:val="694C0154"/>
    <w:rsid w:val="694CA3BD"/>
    <w:rsid w:val="69523398"/>
    <w:rsid w:val="6953A568"/>
    <w:rsid w:val="6954F8C9"/>
    <w:rsid w:val="695B3CA6"/>
    <w:rsid w:val="695D24CB"/>
    <w:rsid w:val="6971F880"/>
    <w:rsid w:val="6972E7DA"/>
    <w:rsid w:val="69776C3A"/>
    <w:rsid w:val="6982DEAD"/>
    <w:rsid w:val="699F7925"/>
    <w:rsid w:val="699FAAB9"/>
    <w:rsid w:val="69B24D87"/>
    <w:rsid w:val="69B8DBBC"/>
    <w:rsid w:val="69BEF569"/>
    <w:rsid w:val="69C96839"/>
    <w:rsid w:val="69D6CF64"/>
    <w:rsid w:val="69DC6BFE"/>
    <w:rsid w:val="69DCCC00"/>
    <w:rsid w:val="69DD4104"/>
    <w:rsid w:val="69DE4D97"/>
    <w:rsid w:val="69E73C34"/>
    <w:rsid w:val="69EC3C66"/>
    <w:rsid w:val="69F4ED45"/>
    <w:rsid w:val="69F75F19"/>
    <w:rsid w:val="69FA025C"/>
    <w:rsid w:val="69FAF282"/>
    <w:rsid w:val="6A1E28D3"/>
    <w:rsid w:val="6A22A5E6"/>
    <w:rsid w:val="6A24BEC2"/>
    <w:rsid w:val="6A2E3C57"/>
    <w:rsid w:val="6A361D8C"/>
    <w:rsid w:val="6A371AEC"/>
    <w:rsid w:val="6A38ABFB"/>
    <w:rsid w:val="6A3FCF59"/>
    <w:rsid w:val="6A42BD33"/>
    <w:rsid w:val="6A444384"/>
    <w:rsid w:val="6A46B98A"/>
    <w:rsid w:val="6A4CB76C"/>
    <w:rsid w:val="6A52A830"/>
    <w:rsid w:val="6A6084F1"/>
    <w:rsid w:val="6A6B758C"/>
    <w:rsid w:val="6A6BF886"/>
    <w:rsid w:val="6A70AA92"/>
    <w:rsid w:val="6A717FD2"/>
    <w:rsid w:val="6A77DA11"/>
    <w:rsid w:val="6A78E6A9"/>
    <w:rsid w:val="6A828D40"/>
    <w:rsid w:val="6A82B579"/>
    <w:rsid w:val="6A8423F7"/>
    <w:rsid w:val="6A86FC6D"/>
    <w:rsid w:val="6A8A1220"/>
    <w:rsid w:val="6A8F8D68"/>
    <w:rsid w:val="6A8FF4C8"/>
    <w:rsid w:val="6A927E01"/>
    <w:rsid w:val="6AA8819E"/>
    <w:rsid w:val="6AB600F3"/>
    <w:rsid w:val="6AB8385E"/>
    <w:rsid w:val="6ABFBC41"/>
    <w:rsid w:val="6AC13330"/>
    <w:rsid w:val="6AC89A1E"/>
    <w:rsid w:val="6ACEEE90"/>
    <w:rsid w:val="6AD4DDBD"/>
    <w:rsid w:val="6ADA741C"/>
    <w:rsid w:val="6AE32901"/>
    <w:rsid w:val="6AE51217"/>
    <w:rsid w:val="6AFB8B40"/>
    <w:rsid w:val="6B0173DB"/>
    <w:rsid w:val="6B1A186E"/>
    <w:rsid w:val="6B231294"/>
    <w:rsid w:val="6B2444A1"/>
    <w:rsid w:val="6B26B974"/>
    <w:rsid w:val="6B27C75D"/>
    <w:rsid w:val="6B3611E0"/>
    <w:rsid w:val="6B40083C"/>
    <w:rsid w:val="6B41675F"/>
    <w:rsid w:val="6B4AB2D9"/>
    <w:rsid w:val="6B5D5D8B"/>
    <w:rsid w:val="6B635234"/>
    <w:rsid w:val="6B63FA2C"/>
    <w:rsid w:val="6B664AC7"/>
    <w:rsid w:val="6B6D1D80"/>
    <w:rsid w:val="6B6D93E9"/>
    <w:rsid w:val="6B6FA434"/>
    <w:rsid w:val="6B766EF4"/>
    <w:rsid w:val="6B7994F7"/>
    <w:rsid w:val="6B7DD817"/>
    <w:rsid w:val="6B860FB9"/>
    <w:rsid w:val="6B904412"/>
    <w:rsid w:val="6B93F595"/>
    <w:rsid w:val="6B94ABB3"/>
    <w:rsid w:val="6B94CACD"/>
    <w:rsid w:val="6B951085"/>
    <w:rsid w:val="6B97F1FB"/>
    <w:rsid w:val="6B9C5F8E"/>
    <w:rsid w:val="6BAB062C"/>
    <w:rsid w:val="6BB0C613"/>
    <w:rsid w:val="6BB38850"/>
    <w:rsid w:val="6BB65F14"/>
    <w:rsid w:val="6BB6D00D"/>
    <w:rsid w:val="6BB86BCC"/>
    <w:rsid w:val="6BB94F35"/>
    <w:rsid w:val="6BC7D0B1"/>
    <w:rsid w:val="6BD9BAA2"/>
    <w:rsid w:val="6BEECF69"/>
    <w:rsid w:val="6BFA4B5B"/>
    <w:rsid w:val="6C002A01"/>
    <w:rsid w:val="6C0606C0"/>
    <w:rsid w:val="6C08C554"/>
    <w:rsid w:val="6C13F983"/>
    <w:rsid w:val="6C144C3F"/>
    <w:rsid w:val="6C18CB3B"/>
    <w:rsid w:val="6C18ED7B"/>
    <w:rsid w:val="6C1F4B90"/>
    <w:rsid w:val="6C209F72"/>
    <w:rsid w:val="6C532ACB"/>
    <w:rsid w:val="6C5E16EF"/>
    <w:rsid w:val="6C5E7EDE"/>
    <w:rsid w:val="6C61792F"/>
    <w:rsid w:val="6C622952"/>
    <w:rsid w:val="6C65C6C3"/>
    <w:rsid w:val="6C667193"/>
    <w:rsid w:val="6C71F527"/>
    <w:rsid w:val="6C74C326"/>
    <w:rsid w:val="6C86E77C"/>
    <w:rsid w:val="6C99A6D9"/>
    <w:rsid w:val="6CA28A03"/>
    <w:rsid w:val="6CA9C09A"/>
    <w:rsid w:val="6CB91743"/>
    <w:rsid w:val="6CBC2E52"/>
    <w:rsid w:val="6CC0E5C6"/>
    <w:rsid w:val="6CC61CEF"/>
    <w:rsid w:val="6CCEC95C"/>
    <w:rsid w:val="6CCF806B"/>
    <w:rsid w:val="6CCFCB69"/>
    <w:rsid w:val="6CD09720"/>
    <w:rsid w:val="6CD11E00"/>
    <w:rsid w:val="6CD2DFEC"/>
    <w:rsid w:val="6CD5713E"/>
    <w:rsid w:val="6CD8633F"/>
    <w:rsid w:val="6CDF49B5"/>
    <w:rsid w:val="6CEA29B1"/>
    <w:rsid w:val="6CF09C22"/>
    <w:rsid w:val="6CF2A736"/>
    <w:rsid w:val="6CF70EDA"/>
    <w:rsid w:val="6CF9269B"/>
    <w:rsid w:val="6CFB0272"/>
    <w:rsid w:val="6CFC6984"/>
    <w:rsid w:val="6D00E15D"/>
    <w:rsid w:val="6D0E9949"/>
    <w:rsid w:val="6D0F5562"/>
    <w:rsid w:val="6D1544B5"/>
    <w:rsid w:val="6D15F711"/>
    <w:rsid w:val="6D1807EB"/>
    <w:rsid w:val="6D1D3518"/>
    <w:rsid w:val="6D1D714E"/>
    <w:rsid w:val="6D219843"/>
    <w:rsid w:val="6D248BCF"/>
    <w:rsid w:val="6D24CDFC"/>
    <w:rsid w:val="6D2C4337"/>
    <w:rsid w:val="6D2D310E"/>
    <w:rsid w:val="6D3116D8"/>
    <w:rsid w:val="6D3218AF"/>
    <w:rsid w:val="6D34B882"/>
    <w:rsid w:val="6D3FF1E0"/>
    <w:rsid w:val="6D41075C"/>
    <w:rsid w:val="6D45701C"/>
    <w:rsid w:val="6D45B22B"/>
    <w:rsid w:val="6D4F2C31"/>
    <w:rsid w:val="6D54DD89"/>
    <w:rsid w:val="6D5EE983"/>
    <w:rsid w:val="6D5FBB6C"/>
    <w:rsid w:val="6D627260"/>
    <w:rsid w:val="6D634401"/>
    <w:rsid w:val="6D678A45"/>
    <w:rsid w:val="6D680153"/>
    <w:rsid w:val="6D69DBE4"/>
    <w:rsid w:val="6D7271C9"/>
    <w:rsid w:val="6D7774B9"/>
    <w:rsid w:val="6D7E3607"/>
    <w:rsid w:val="6D86585A"/>
    <w:rsid w:val="6D8C9F07"/>
    <w:rsid w:val="6D91BF32"/>
    <w:rsid w:val="6D939722"/>
    <w:rsid w:val="6D9E238F"/>
    <w:rsid w:val="6D9F4E10"/>
    <w:rsid w:val="6DBD4312"/>
    <w:rsid w:val="6DC15549"/>
    <w:rsid w:val="6DC21335"/>
    <w:rsid w:val="6DCF0617"/>
    <w:rsid w:val="6DD471BA"/>
    <w:rsid w:val="6DD49F7A"/>
    <w:rsid w:val="6DE203F8"/>
    <w:rsid w:val="6DE74C75"/>
    <w:rsid w:val="6DEC7A4E"/>
    <w:rsid w:val="6DED1846"/>
    <w:rsid w:val="6DEF9238"/>
    <w:rsid w:val="6DF18D8F"/>
    <w:rsid w:val="6DFE08AC"/>
    <w:rsid w:val="6E027518"/>
    <w:rsid w:val="6E06AE33"/>
    <w:rsid w:val="6E072024"/>
    <w:rsid w:val="6E11AA56"/>
    <w:rsid w:val="6E1E6128"/>
    <w:rsid w:val="6E2FA697"/>
    <w:rsid w:val="6E38774E"/>
    <w:rsid w:val="6E394173"/>
    <w:rsid w:val="6E3A5FAC"/>
    <w:rsid w:val="6E3F7961"/>
    <w:rsid w:val="6E40D058"/>
    <w:rsid w:val="6E510147"/>
    <w:rsid w:val="6E51CB1A"/>
    <w:rsid w:val="6E6CE71D"/>
    <w:rsid w:val="6E6D6C3A"/>
    <w:rsid w:val="6E719B1E"/>
    <w:rsid w:val="6E92A744"/>
    <w:rsid w:val="6E9886C1"/>
    <w:rsid w:val="6EAC3423"/>
    <w:rsid w:val="6EBB9CCA"/>
    <w:rsid w:val="6EBCCED4"/>
    <w:rsid w:val="6EBF60E2"/>
    <w:rsid w:val="6EC323BE"/>
    <w:rsid w:val="6ED3DBE5"/>
    <w:rsid w:val="6EDBB33B"/>
    <w:rsid w:val="6EDFD17B"/>
    <w:rsid w:val="6EE66C18"/>
    <w:rsid w:val="6EF3D098"/>
    <w:rsid w:val="6F04BC0B"/>
    <w:rsid w:val="6F052462"/>
    <w:rsid w:val="6F0AC17B"/>
    <w:rsid w:val="6F0D20B5"/>
    <w:rsid w:val="6F1A1AFF"/>
    <w:rsid w:val="6F1C50E2"/>
    <w:rsid w:val="6F1EEF35"/>
    <w:rsid w:val="6F359A15"/>
    <w:rsid w:val="6F3857A3"/>
    <w:rsid w:val="6F39B8DD"/>
    <w:rsid w:val="6F3A1081"/>
    <w:rsid w:val="6F3A6C02"/>
    <w:rsid w:val="6F42AC68"/>
    <w:rsid w:val="6F4675E4"/>
    <w:rsid w:val="6F471919"/>
    <w:rsid w:val="6F6069ED"/>
    <w:rsid w:val="6F639CEE"/>
    <w:rsid w:val="6F63E16F"/>
    <w:rsid w:val="6F6B6AFE"/>
    <w:rsid w:val="6F7F1381"/>
    <w:rsid w:val="6F7F8223"/>
    <w:rsid w:val="6F879411"/>
    <w:rsid w:val="6F8BDA43"/>
    <w:rsid w:val="6F8D9167"/>
    <w:rsid w:val="6F8DE5D3"/>
    <w:rsid w:val="6F8DF638"/>
    <w:rsid w:val="6F8FE973"/>
    <w:rsid w:val="6F9B9765"/>
    <w:rsid w:val="6F9D6BA2"/>
    <w:rsid w:val="6FB9C82F"/>
    <w:rsid w:val="6FBB223F"/>
    <w:rsid w:val="6FC7E52B"/>
    <w:rsid w:val="6FD0FB3A"/>
    <w:rsid w:val="6FD2DAEF"/>
    <w:rsid w:val="6FD53D2F"/>
    <w:rsid w:val="6FDCAE69"/>
    <w:rsid w:val="6FE92BD4"/>
    <w:rsid w:val="6FF22B40"/>
    <w:rsid w:val="6FF64224"/>
    <w:rsid w:val="6FF9B992"/>
    <w:rsid w:val="70038AC0"/>
    <w:rsid w:val="70079EFC"/>
    <w:rsid w:val="700B7450"/>
    <w:rsid w:val="7012D0D7"/>
    <w:rsid w:val="7013DC12"/>
    <w:rsid w:val="702009ED"/>
    <w:rsid w:val="70244365"/>
    <w:rsid w:val="7024471C"/>
    <w:rsid w:val="70323A3E"/>
    <w:rsid w:val="703AB475"/>
    <w:rsid w:val="703AEADA"/>
    <w:rsid w:val="7043C8A9"/>
    <w:rsid w:val="7044BE90"/>
    <w:rsid w:val="704FA073"/>
    <w:rsid w:val="7052C246"/>
    <w:rsid w:val="7056D889"/>
    <w:rsid w:val="705BD3F2"/>
    <w:rsid w:val="70618392"/>
    <w:rsid w:val="7069933E"/>
    <w:rsid w:val="706CBF57"/>
    <w:rsid w:val="70746D57"/>
    <w:rsid w:val="707EE10D"/>
    <w:rsid w:val="708111F0"/>
    <w:rsid w:val="7082E07B"/>
    <w:rsid w:val="7086500B"/>
    <w:rsid w:val="708F935E"/>
    <w:rsid w:val="70916EDB"/>
    <w:rsid w:val="70A6FFD3"/>
    <w:rsid w:val="70AA886C"/>
    <w:rsid w:val="70BE8087"/>
    <w:rsid w:val="70C118D6"/>
    <w:rsid w:val="70CC6D4F"/>
    <w:rsid w:val="70CF75BC"/>
    <w:rsid w:val="70CF7B75"/>
    <w:rsid w:val="70D06EBF"/>
    <w:rsid w:val="70D3B3C3"/>
    <w:rsid w:val="70D64DEE"/>
    <w:rsid w:val="70DC2AB3"/>
    <w:rsid w:val="70DC3284"/>
    <w:rsid w:val="70EA7F8B"/>
    <w:rsid w:val="70F6B407"/>
    <w:rsid w:val="70F73D57"/>
    <w:rsid w:val="70FD75F4"/>
    <w:rsid w:val="7115D860"/>
    <w:rsid w:val="71163FF0"/>
    <w:rsid w:val="71199E08"/>
    <w:rsid w:val="7121F6B4"/>
    <w:rsid w:val="712B6665"/>
    <w:rsid w:val="712BA39D"/>
    <w:rsid w:val="712D1626"/>
    <w:rsid w:val="712D9628"/>
    <w:rsid w:val="712E21E9"/>
    <w:rsid w:val="713EF29C"/>
    <w:rsid w:val="714438EA"/>
    <w:rsid w:val="7148FD5E"/>
    <w:rsid w:val="7149DF4E"/>
    <w:rsid w:val="714E25CC"/>
    <w:rsid w:val="71597FFD"/>
    <w:rsid w:val="7167357A"/>
    <w:rsid w:val="716B3FA2"/>
    <w:rsid w:val="716F5E4A"/>
    <w:rsid w:val="71713B75"/>
    <w:rsid w:val="7173F676"/>
    <w:rsid w:val="7175D9E1"/>
    <w:rsid w:val="7178F539"/>
    <w:rsid w:val="717BCC0E"/>
    <w:rsid w:val="717C7FD1"/>
    <w:rsid w:val="7184481B"/>
    <w:rsid w:val="71855AAC"/>
    <w:rsid w:val="71A8BE9B"/>
    <w:rsid w:val="71AAB9D8"/>
    <w:rsid w:val="71ACC0C2"/>
    <w:rsid w:val="71AECF2F"/>
    <w:rsid w:val="71B136CF"/>
    <w:rsid w:val="71BDFB63"/>
    <w:rsid w:val="71C62FF3"/>
    <w:rsid w:val="71E52BC5"/>
    <w:rsid w:val="71E605DA"/>
    <w:rsid w:val="71E712E9"/>
    <w:rsid w:val="71EBBB90"/>
    <w:rsid w:val="71F72E71"/>
    <w:rsid w:val="71F79A86"/>
    <w:rsid w:val="72017BA0"/>
    <w:rsid w:val="720374FD"/>
    <w:rsid w:val="7209923E"/>
    <w:rsid w:val="72106BA0"/>
    <w:rsid w:val="72287C82"/>
    <w:rsid w:val="722B74F6"/>
    <w:rsid w:val="724008AF"/>
    <w:rsid w:val="724E9862"/>
    <w:rsid w:val="726B6280"/>
    <w:rsid w:val="726B6A69"/>
    <w:rsid w:val="726F1593"/>
    <w:rsid w:val="72719B91"/>
    <w:rsid w:val="72734F4E"/>
    <w:rsid w:val="72740ECD"/>
    <w:rsid w:val="72796693"/>
    <w:rsid w:val="727A0A4D"/>
    <w:rsid w:val="727A3C23"/>
    <w:rsid w:val="728A360E"/>
    <w:rsid w:val="728D593F"/>
    <w:rsid w:val="729096C4"/>
    <w:rsid w:val="72916446"/>
    <w:rsid w:val="729B8E36"/>
    <w:rsid w:val="729C447D"/>
    <w:rsid w:val="729E338C"/>
    <w:rsid w:val="72A9256E"/>
    <w:rsid w:val="72B9F637"/>
    <w:rsid w:val="72C60B30"/>
    <w:rsid w:val="72D0797C"/>
    <w:rsid w:val="72D345CA"/>
    <w:rsid w:val="72D5E7E1"/>
    <w:rsid w:val="72D657FA"/>
    <w:rsid w:val="72D7C5C3"/>
    <w:rsid w:val="72DC6177"/>
    <w:rsid w:val="72DEBFE1"/>
    <w:rsid w:val="72EE1714"/>
    <w:rsid w:val="72EF9FDE"/>
    <w:rsid w:val="72F16BDD"/>
    <w:rsid w:val="72F90371"/>
    <w:rsid w:val="730122CD"/>
    <w:rsid w:val="73013B80"/>
    <w:rsid w:val="730425DB"/>
    <w:rsid w:val="731254A3"/>
    <w:rsid w:val="7321C31F"/>
    <w:rsid w:val="732F630F"/>
    <w:rsid w:val="73363CB3"/>
    <w:rsid w:val="7337874E"/>
    <w:rsid w:val="733792E1"/>
    <w:rsid w:val="733CA20C"/>
    <w:rsid w:val="733E68EF"/>
    <w:rsid w:val="733FA422"/>
    <w:rsid w:val="7340CCE1"/>
    <w:rsid w:val="7341F037"/>
    <w:rsid w:val="736A2301"/>
    <w:rsid w:val="736AF380"/>
    <w:rsid w:val="736FC57E"/>
    <w:rsid w:val="73719E8E"/>
    <w:rsid w:val="73747CA3"/>
    <w:rsid w:val="7378A433"/>
    <w:rsid w:val="737BC37A"/>
    <w:rsid w:val="737BE480"/>
    <w:rsid w:val="73877784"/>
    <w:rsid w:val="73973020"/>
    <w:rsid w:val="739CBC4B"/>
    <w:rsid w:val="73A0F60A"/>
    <w:rsid w:val="73A28389"/>
    <w:rsid w:val="73A40244"/>
    <w:rsid w:val="73A4626F"/>
    <w:rsid w:val="73AAAECF"/>
    <w:rsid w:val="73AC46E3"/>
    <w:rsid w:val="73AE07E9"/>
    <w:rsid w:val="73B11794"/>
    <w:rsid w:val="73B21EDB"/>
    <w:rsid w:val="73B37752"/>
    <w:rsid w:val="73B41DB1"/>
    <w:rsid w:val="73B7566A"/>
    <w:rsid w:val="73D4FBA8"/>
    <w:rsid w:val="73D76F86"/>
    <w:rsid w:val="73E180A2"/>
    <w:rsid w:val="73E4FF7D"/>
    <w:rsid w:val="73EF4348"/>
    <w:rsid w:val="73F7C0FA"/>
    <w:rsid w:val="73F8C10C"/>
    <w:rsid w:val="73FBDA8C"/>
    <w:rsid w:val="740D42E6"/>
    <w:rsid w:val="7414B656"/>
    <w:rsid w:val="742EFACC"/>
    <w:rsid w:val="742F4E22"/>
    <w:rsid w:val="7431139E"/>
    <w:rsid w:val="74312D22"/>
    <w:rsid w:val="743D5FD8"/>
    <w:rsid w:val="743E3013"/>
    <w:rsid w:val="74406FBB"/>
    <w:rsid w:val="745B7E4F"/>
    <w:rsid w:val="745EB484"/>
    <w:rsid w:val="7464141D"/>
    <w:rsid w:val="746F5E16"/>
    <w:rsid w:val="746FFC77"/>
    <w:rsid w:val="74740311"/>
    <w:rsid w:val="74740727"/>
    <w:rsid w:val="74745C62"/>
    <w:rsid w:val="7486DADB"/>
    <w:rsid w:val="748AABD6"/>
    <w:rsid w:val="7490404B"/>
    <w:rsid w:val="7493C188"/>
    <w:rsid w:val="749581B8"/>
    <w:rsid w:val="749B0190"/>
    <w:rsid w:val="74A99FD9"/>
    <w:rsid w:val="74AC2014"/>
    <w:rsid w:val="74B20320"/>
    <w:rsid w:val="74C89933"/>
    <w:rsid w:val="74E152A5"/>
    <w:rsid w:val="74EA2070"/>
    <w:rsid w:val="74ED2F70"/>
    <w:rsid w:val="750A4DC6"/>
    <w:rsid w:val="7513ECEF"/>
    <w:rsid w:val="7520E251"/>
    <w:rsid w:val="75332B40"/>
    <w:rsid w:val="753BA961"/>
    <w:rsid w:val="753D0586"/>
    <w:rsid w:val="753F3D61"/>
    <w:rsid w:val="754696BE"/>
    <w:rsid w:val="7546F7F2"/>
    <w:rsid w:val="7549A394"/>
    <w:rsid w:val="754B7E08"/>
    <w:rsid w:val="754EB9A2"/>
    <w:rsid w:val="755B8133"/>
    <w:rsid w:val="755BA41E"/>
    <w:rsid w:val="755D1E66"/>
    <w:rsid w:val="7562E6B8"/>
    <w:rsid w:val="756A5A18"/>
    <w:rsid w:val="756E5D1B"/>
    <w:rsid w:val="756F5183"/>
    <w:rsid w:val="7572223A"/>
    <w:rsid w:val="7575955E"/>
    <w:rsid w:val="7585B544"/>
    <w:rsid w:val="7593E3D0"/>
    <w:rsid w:val="759A3582"/>
    <w:rsid w:val="759F5EAA"/>
    <w:rsid w:val="75A4F833"/>
    <w:rsid w:val="75B0E7D1"/>
    <w:rsid w:val="75B16DA6"/>
    <w:rsid w:val="75B41B38"/>
    <w:rsid w:val="75BE7E35"/>
    <w:rsid w:val="75C21BF9"/>
    <w:rsid w:val="75C2472A"/>
    <w:rsid w:val="75C3F5CD"/>
    <w:rsid w:val="75C69A8E"/>
    <w:rsid w:val="75C6B8F3"/>
    <w:rsid w:val="75CC42A1"/>
    <w:rsid w:val="75D093F6"/>
    <w:rsid w:val="75D23E90"/>
    <w:rsid w:val="75D31A21"/>
    <w:rsid w:val="75D75E35"/>
    <w:rsid w:val="75DB268B"/>
    <w:rsid w:val="75E0B1E5"/>
    <w:rsid w:val="75E0DD6F"/>
    <w:rsid w:val="75E38350"/>
    <w:rsid w:val="75EAE439"/>
    <w:rsid w:val="75EF2806"/>
    <w:rsid w:val="75F52CEA"/>
    <w:rsid w:val="75FAEC32"/>
    <w:rsid w:val="75FD79D5"/>
    <w:rsid w:val="760E3079"/>
    <w:rsid w:val="760EF962"/>
    <w:rsid w:val="761719D9"/>
    <w:rsid w:val="761B64E7"/>
    <w:rsid w:val="761DAA3B"/>
    <w:rsid w:val="7625FC2F"/>
    <w:rsid w:val="7627DA78"/>
    <w:rsid w:val="76362B38"/>
    <w:rsid w:val="7640C688"/>
    <w:rsid w:val="764E1C1C"/>
    <w:rsid w:val="76539DE5"/>
    <w:rsid w:val="766B9CDC"/>
    <w:rsid w:val="766C91DF"/>
    <w:rsid w:val="766CAB45"/>
    <w:rsid w:val="767247E3"/>
    <w:rsid w:val="767D6356"/>
    <w:rsid w:val="76803E24"/>
    <w:rsid w:val="76827954"/>
    <w:rsid w:val="768AB282"/>
    <w:rsid w:val="769650ED"/>
    <w:rsid w:val="76A1A425"/>
    <w:rsid w:val="76AB0586"/>
    <w:rsid w:val="76B9FA05"/>
    <w:rsid w:val="76C173D4"/>
    <w:rsid w:val="76C1F387"/>
    <w:rsid w:val="76CDF76E"/>
    <w:rsid w:val="76E0DC6D"/>
    <w:rsid w:val="76E445E8"/>
    <w:rsid w:val="76F11E72"/>
    <w:rsid w:val="76F1A3D9"/>
    <w:rsid w:val="76F1EA9A"/>
    <w:rsid w:val="76F50999"/>
    <w:rsid w:val="76F7F678"/>
    <w:rsid w:val="76FB5C34"/>
    <w:rsid w:val="7707CBD1"/>
    <w:rsid w:val="770A2B5C"/>
    <w:rsid w:val="77183298"/>
    <w:rsid w:val="771CF5B0"/>
    <w:rsid w:val="77261F6C"/>
    <w:rsid w:val="77265D60"/>
    <w:rsid w:val="7732D5A3"/>
    <w:rsid w:val="7734714E"/>
    <w:rsid w:val="775091DE"/>
    <w:rsid w:val="7752AA06"/>
    <w:rsid w:val="778BBAA0"/>
    <w:rsid w:val="778C989E"/>
    <w:rsid w:val="778EBF5C"/>
    <w:rsid w:val="7792A35E"/>
    <w:rsid w:val="7798136F"/>
    <w:rsid w:val="779AD421"/>
    <w:rsid w:val="77A10EFB"/>
    <w:rsid w:val="77A19DF7"/>
    <w:rsid w:val="77ABAC58"/>
    <w:rsid w:val="77B1E6BE"/>
    <w:rsid w:val="77B29B98"/>
    <w:rsid w:val="77C52390"/>
    <w:rsid w:val="77D52B68"/>
    <w:rsid w:val="77D6BC01"/>
    <w:rsid w:val="77D7C876"/>
    <w:rsid w:val="77DFFD44"/>
    <w:rsid w:val="77E04D6A"/>
    <w:rsid w:val="77E7BE65"/>
    <w:rsid w:val="77EB2F3B"/>
    <w:rsid w:val="77FB5F8B"/>
    <w:rsid w:val="77FC8414"/>
    <w:rsid w:val="77FECE7F"/>
    <w:rsid w:val="7801781E"/>
    <w:rsid w:val="78061E22"/>
    <w:rsid w:val="7808019F"/>
    <w:rsid w:val="780D7539"/>
    <w:rsid w:val="78134F22"/>
    <w:rsid w:val="7815BB34"/>
    <w:rsid w:val="781BDA4D"/>
    <w:rsid w:val="7821BE37"/>
    <w:rsid w:val="7822F6C0"/>
    <w:rsid w:val="782DC1A7"/>
    <w:rsid w:val="78353467"/>
    <w:rsid w:val="784257C2"/>
    <w:rsid w:val="784CC3F1"/>
    <w:rsid w:val="784CF9A0"/>
    <w:rsid w:val="7854FE89"/>
    <w:rsid w:val="78565782"/>
    <w:rsid w:val="7871E7B4"/>
    <w:rsid w:val="788C41D5"/>
    <w:rsid w:val="789227BB"/>
    <w:rsid w:val="7894D4E3"/>
    <w:rsid w:val="789AD2F3"/>
    <w:rsid w:val="78A331F0"/>
    <w:rsid w:val="78A84EF3"/>
    <w:rsid w:val="78A93DC9"/>
    <w:rsid w:val="78ABFB52"/>
    <w:rsid w:val="78ACE4F7"/>
    <w:rsid w:val="78C7F8E1"/>
    <w:rsid w:val="78C93CA2"/>
    <w:rsid w:val="78CFDC76"/>
    <w:rsid w:val="78D005E4"/>
    <w:rsid w:val="78D1CAAE"/>
    <w:rsid w:val="78DDE2BD"/>
    <w:rsid w:val="7905BBD8"/>
    <w:rsid w:val="790BD2E5"/>
    <w:rsid w:val="791102B7"/>
    <w:rsid w:val="7912E85B"/>
    <w:rsid w:val="79180100"/>
    <w:rsid w:val="791F2AB9"/>
    <w:rsid w:val="7925748B"/>
    <w:rsid w:val="7926A401"/>
    <w:rsid w:val="7927384C"/>
    <w:rsid w:val="7929D393"/>
    <w:rsid w:val="79339FF6"/>
    <w:rsid w:val="7939D082"/>
    <w:rsid w:val="793A988F"/>
    <w:rsid w:val="793B745C"/>
    <w:rsid w:val="794CC790"/>
    <w:rsid w:val="79597DBD"/>
    <w:rsid w:val="795EFEE8"/>
    <w:rsid w:val="79611994"/>
    <w:rsid w:val="7962E9FE"/>
    <w:rsid w:val="7968C093"/>
    <w:rsid w:val="79709DC7"/>
    <w:rsid w:val="79838834"/>
    <w:rsid w:val="7987B68C"/>
    <w:rsid w:val="79902FE5"/>
    <w:rsid w:val="799946A0"/>
    <w:rsid w:val="799D0473"/>
    <w:rsid w:val="79A3D475"/>
    <w:rsid w:val="79AAB9AD"/>
    <w:rsid w:val="79BB26A4"/>
    <w:rsid w:val="79C6CDC0"/>
    <w:rsid w:val="79C92D69"/>
    <w:rsid w:val="79D0E7E4"/>
    <w:rsid w:val="79D7F1F4"/>
    <w:rsid w:val="79DB11BE"/>
    <w:rsid w:val="79DE3221"/>
    <w:rsid w:val="79E0CB50"/>
    <w:rsid w:val="79E1B6B2"/>
    <w:rsid w:val="79EC8899"/>
    <w:rsid w:val="79ED4197"/>
    <w:rsid w:val="79EE91EE"/>
    <w:rsid w:val="79EF6CC3"/>
    <w:rsid w:val="79F02016"/>
    <w:rsid w:val="79F4BFA9"/>
    <w:rsid w:val="79F6EBD9"/>
    <w:rsid w:val="79F94660"/>
    <w:rsid w:val="7A00DC8F"/>
    <w:rsid w:val="7A08A0A7"/>
    <w:rsid w:val="7A0D57CE"/>
    <w:rsid w:val="7A1142DA"/>
    <w:rsid w:val="7A165D29"/>
    <w:rsid w:val="7A1BF8A2"/>
    <w:rsid w:val="7A1C7C65"/>
    <w:rsid w:val="7A2788C9"/>
    <w:rsid w:val="7A2AA53A"/>
    <w:rsid w:val="7A3482A0"/>
    <w:rsid w:val="7A353C5F"/>
    <w:rsid w:val="7A386D7A"/>
    <w:rsid w:val="7A3D4AC1"/>
    <w:rsid w:val="7A459AF3"/>
    <w:rsid w:val="7A468ECD"/>
    <w:rsid w:val="7A4B5E93"/>
    <w:rsid w:val="7A4D7997"/>
    <w:rsid w:val="7A599AAA"/>
    <w:rsid w:val="7A674CA3"/>
    <w:rsid w:val="7A78272A"/>
    <w:rsid w:val="7A847A7C"/>
    <w:rsid w:val="7A8B42C6"/>
    <w:rsid w:val="7A8F7555"/>
    <w:rsid w:val="7A92979A"/>
    <w:rsid w:val="7A98CFCA"/>
    <w:rsid w:val="7A9D2037"/>
    <w:rsid w:val="7AA7B71C"/>
    <w:rsid w:val="7AAB7B18"/>
    <w:rsid w:val="7AB57E65"/>
    <w:rsid w:val="7ACC045E"/>
    <w:rsid w:val="7AD095F7"/>
    <w:rsid w:val="7AEAD8EA"/>
    <w:rsid w:val="7AEFD43B"/>
    <w:rsid w:val="7AF74BB6"/>
    <w:rsid w:val="7AF88E06"/>
    <w:rsid w:val="7B00AD6E"/>
    <w:rsid w:val="7B0BF356"/>
    <w:rsid w:val="7B0F2E6A"/>
    <w:rsid w:val="7B104C8C"/>
    <w:rsid w:val="7B14E078"/>
    <w:rsid w:val="7B150439"/>
    <w:rsid w:val="7B161ED6"/>
    <w:rsid w:val="7B16795D"/>
    <w:rsid w:val="7B1689B5"/>
    <w:rsid w:val="7B1762B3"/>
    <w:rsid w:val="7B1AE4F9"/>
    <w:rsid w:val="7B1BC11F"/>
    <w:rsid w:val="7B2C038A"/>
    <w:rsid w:val="7B2DF1B5"/>
    <w:rsid w:val="7B2F961F"/>
    <w:rsid w:val="7B335E6C"/>
    <w:rsid w:val="7B387665"/>
    <w:rsid w:val="7B442E98"/>
    <w:rsid w:val="7B45DEC6"/>
    <w:rsid w:val="7B48E68E"/>
    <w:rsid w:val="7B4CBD99"/>
    <w:rsid w:val="7B4E4FF7"/>
    <w:rsid w:val="7B548154"/>
    <w:rsid w:val="7B54AF81"/>
    <w:rsid w:val="7B695015"/>
    <w:rsid w:val="7B6BDA44"/>
    <w:rsid w:val="7B6D7E6F"/>
    <w:rsid w:val="7B6E2480"/>
    <w:rsid w:val="7B724615"/>
    <w:rsid w:val="7B7E55BC"/>
    <w:rsid w:val="7B88B273"/>
    <w:rsid w:val="7B99EF16"/>
    <w:rsid w:val="7B9D26AC"/>
    <w:rsid w:val="7BAD8068"/>
    <w:rsid w:val="7BB04840"/>
    <w:rsid w:val="7BB07D42"/>
    <w:rsid w:val="7BB7183A"/>
    <w:rsid w:val="7BC4C25F"/>
    <w:rsid w:val="7BC85133"/>
    <w:rsid w:val="7BC9DBEE"/>
    <w:rsid w:val="7BCC6B10"/>
    <w:rsid w:val="7BD117E1"/>
    <w:rsid w:val="7BD4011D"/>
    <w:rsid w:val="7BD42062"/>
    <w:rsid w:val="7BD70CFF"/>
    <w:rsid w:val="7BDF0CF8"/>
    <w:rsid w:val="7BE4A0E5"/>
    <w:rsid w:val="7BE95466"/>
    <w:rsid w:val="7BF3A780"/>
    <w:rsid w:val="7C01818F"/>
    <w:rsid w:val="7C03970F"/>
    <w:rsid w:val="7C163CB8"/>
    <w:rsid w:val="7C1C9185"/>
    <w:rsid w:val="7C1E8F72"/>
    <w:rsid w:val="7C1FC7E5"/>
    <w:rsid w:val="7C2676EA"/>
    <w:rsid w:val="7C2BDE6F"/>
    <w:rsid w:val="7C32BE43"/>
    <w:rsid w:val="7C33CF2C"/>
    <w:rsid w:val="7C5961C5"/>
    <w:rsid w:val="7C736D77"/>
    <w:rsid w:val="7C7D84A1"/>
    <w:rsid w:val="7C7EECCF"/>
    <w:rsid w:val="7C86988C"/>
    <w:rsid w:val="7C9ADAFA"/>
    <w:rsid w:val="7CA55093"/>
    <w:rsid w:val="7CAB2DA3"/>
    <w:rsid w:val="7CAC2E7F"/>
    <w:rsid w:val="7CB30EDA"/>
    <w:rsid w:val="7CDA3F81"/>
    <w:rsid w:val="7CDA77F3"/>
    <w:rsid w:val="7CDB091A"/>
    <w:rsid w:val="7CDCB2B2"/>
    <w:rsid w:val="7CEB8E92"/>
    <w:rsid w:val="7CED5FD3"/>
    <w:rsid w:val="7CEEBB6E"/>
    <w:rsid w:val="7CF7F410"/>
    <w:rsid w:val="7D0D55E0"/>
    <w:rsid w:val="7D12A15F"/>
    <w:rsid w:val="7D1980C4"/>
    <w:rsid w:val="7D204C12"/>
    <w:rsid w:val="7D2464A1"/>
    <w:rsid w:val="7D28566C"/>
    <w:rsid w:val="7D28BF27"/>
    <w:rsid w:val="7D38AECD"/>
    <w:rsid w:val="7D397EF8"/>
    <w:rsid w:val="7D3D01CA"/>
    <w:rsid w:val="7D4B3B8D"/>
    <w:rsid w:val="7D50E89E"/>
    <w:rsid w:val="7D5211ED"/>
    <w:rsid w:val="7D539919"/>
    <w:rsid w:val="7D561167"/>
    <w:rsid w:val="7D5B7B0F"/>
    <w:rsid w:val="7D64ADBF"/>
    <w:rsid w:val="7D697FC2"/>
    <w:rsid w:val="7D69C7B4"/>
    <w:rsid w:val="7D6A6E2E"/>
    <w:rsid w:val="7D6C631A"/>
    <w:rsid w:val="7D6D5A0E"/>
    <w:rsid w:val="7D6F0F31"/>
    <w:rsid w:val="7D70A423"/>
    <w:rsid w:val="7D7268ED"/>
    <w:rsid w:val="7D7354F0"/>
    <w:rsid w:val="7D7785AB"/>
    <w:rsid w:val="7D7EA373"/>
    <w:rsid w:val="7D8E97FA"/>
    <w:rsid w:val="7D90CD09"/>
    <w:rsid w:val="7D91FACB"/>
    <w:rsid w:val="7D9B2994"/>
    <w:rsid w:val="7D9C9541"/>
    <w:rsid w:val="7D9FF5EB"/>
    <w:rsid w:val="7DA2B872"/>
    <w:rsid w:val="7DA3CABC"/>
    <w:rsid w:val="7DAA567E"/>
    <w:rsid w:val="7DAB07E9"/>
    <w:rsid w:val="7DAFFEDA"/>
    <w:rsid w:val="7DB39A79"/>
    <w:rsid w:val="7DB58F79"/>
    <w:rsid w:val="7DBF2E7B"/>
    <w:rsid w:val="7DC38622"/>
    <w:rsid w:val="7DC9889E"/>
    <w:rsid w:val="7DCA08F8"/>
    <w:rsid w:val="7DCF0100"/>
    <w:rsid w:val="7DD01C37"/>
    <w:rsid w:val="7DD7C7BD"/>
    <w:rsid w:val="7DDFADB9"/>
    <w:rsid w:val="7DE11F47"/>
    <w:rsid w:val="7DE9AF88"/>
    <w:rsid w:val="7DECC709"/>
    <w:rsid w:val="7DEFA095"/>
    <w:rsid w:val="7E17A1E9"/>
    <w:rsid w:val="7E1CB240"/>
    <w:rsid w:val="7E1EA33B"/>
    <w:rsid w:val="7E1FFA70"/>
    <w:rsid w:val="7E236A12"/>
    <w:rsid w:val="7E32F2ED"/>
    <w:rsid w:val="7E37CDC4"/>
    <w:rsid w:val="7E3A476E"/>
    <w:rsid w:val="7E3CEFE3"/>
    <w:rsid w:val="7E40FAF9"/>
    <w:rsid w:val="7E45B94B"/>
    <w:rsid w:val="7E4DFF46"/>
    <w:rsid w:val="7E529939"/>
    <w:rsid w:val="7E57CED3"/>
    <w:rsid w:val="7E68D437"/>
    <w:rsid w:val="7E6CB82D"/>
    <w:rsid w:val="7E71DDA1"/>
    <w:rsid w:val="7E73AF77"/>
    <w:rsid w:val="7E7DF8E9"/>
    <w:rsid w:val="7E86BF83"/>
    <w:rsid w:val="7E886504"/>
    <w:rsid w:val="7E91036C"/>
    <w:rsid w:val="7E9530B8"/>
    <w:rsid w:val="7E983D7E"/>
    <w:rsid w:val="7E985C50"/>
    <w:rsid w:val="7EA693F8"/>
    <w:rsid w:val="7ECB3E79"/>
    <w:rsid w:val="7ECBF794"/>
    <w:rsid w:val="7ECE8049"/>
    <w:rsid w:val="7ED2F73E"/>
    <w:rsid w:val="7ED8683F"/>
    <w:rsid w:val="7EEF4FFB"/>
    <w:rsid w:val="7EF00904"/>
    <w:rsid w:val="7EF08F1C"/>
    <w:rsid w:val="7EF8A816"/>
    <w:rsid w:val="7F04B20E"/>
    <w:rsid w:val="7F0B9198"/>
    <w:rsid w:val="7F1ACA5B"/>
    <w:rsid w:val="7F25E88A"/>
    <w:rsid w:val="7F263AF5"/>
    <w:rsid w:val="7F28C215"/>
    <w:rsid w:val="7F470E6F"/>
    <w:rsid w:val="7F47BBFD"/>
    <w:rsid w:val="7F48B4C1"/>
    <w:rsid w:val="7F545731"/>
    <w:rsid w:val="7F5A204D"/>
    <w:rsid w:val="7F5BDB22"/>
    <w:rsid w:val="7F5C0496"/>
    <w:rsid w:val="7F6CDBA4"/>
    <w:rsid w:val="7F70CA07"/>
    <w:rsid w:val="7F781B3B"/>
    <w:rsid w:val="7F7F3545"/>
    <w:rsid w:val="7F87F3BA"/>
    <w:rsid w:val="7F9281EF"/>
    <w:rsid w:val="7F9CD9F5"/>
    <w:rsid w:val="7FA03CDC"/>
    <w:rsid w:val="7FA43DDA"/>
    <w:rsid w:val="7FA4CD23"/>
    <w:rsid w:val="7FA5D90D"/>
    <w:rsid w:val="7FA93C78"/>
    <w:rsid w:val="7FAF406B"/>
    <w:rsid w:val="7FB1CC11"/>
    <w:rsid w:val="7FBFD890"/>
    <w:rsid w:val="7FD7BA81"/>
    <w:rsid w:val="7FDFDFEA"/>
    <w:rsid w:val="7FE0F16B"/>
    <w:rsid w:val="7FECEF2E"/>
    <w:rsid w:val="7FF6A4AA"/>
    <w:rsid w:val="7FFF91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B227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3F5"/>
    <w:pPr>
      <w:spacing w:before="120" w:after="80" w:line="240" w:lineRule="auto"/>
    </w:pPr>
    <w:rPr>
      <w:rFonts w:ascii="Aptos" w:hAnsi="Aptos"/>
      <w:color w:val="313D48" w:themeColor="accent4"/>
      <w:sz w:val="22"/>
      <w:lang w:val="en-AU"/>
    </w:rPr>
  </w:style>
  <w:style w:type="paragraph" w:styleId="Heading1">
    <w:name w:val="heading 1"/>
    <w:basedOn w:val="Normal"/>
    <w:next w:val="Normal"/>
    <w:link w:val="Heading1Char"/>
    <w:uiPriority w:val="9"/>
    <w:qFormat/>
    <w:rsid w:val="008623B1"/>
    <w:pPr>
      <w:numPr>
        <w:numId w:val="5"/>
      </w:numPr>
      <w:spacing w:before="240" w:after="120"/>
      <w:outlineLvl w:val="0"/>
    </w:pPr>
    <w:rPr>
      <w:rFonts w:eastAsiaTheme="majorEastAsia" w:cstheme="majorBidi"/>
      <w:b/>
      <w:color w:val="00837C" w:themeColor="accent1"/>
      <w:sz w:val="36"/>
      <w:szCs w:val="40"/>
    </w:rPr>
  </w:style>
  <w:style w:type="paragraph" w:styleId="Heading2">
    <w:name w:val="heading 2"/>
    <w:basedOn w:val="Normal"/>
    <w:next w:val="Normal"/>
    <w:link w:val="Heading2Char"/>
    <w:uiPriority w:val="9"/>
    <w:unhideWhenUsed/>
    <w:qFormat/>
    <w:rsid w:val="00414D53"/>
    <w:pPr>
      <w:keepNext/>
      <w:spacing w:before="240"/>
      <w:ind w:left="576" w:hanging="576"/>
      <w:outlineLvl w:val="1"/>
    </w:pPr>
    <w:rPr>
      <w:b/>
      <w:bCs/>
      <w:color w:val="00837C" w:themeColor="accent1"/>
      <w:sz w:val="26"/>
      <w:lang w:eastAsia="en-IE"/>
    </w:rPr>
  </w:style>
  <w:style w:type="paragraph" w:styleId="Heading3">
    <w:name w:val="heading 3"/>
    <w:basedOn w:val="Heading2"/>
    <w:next w:val="Normal"/>
    <w:link w:val="Heading3Char"/>
    <w:uiPriority w:val="9"/>
    <w:unhideWhenUsed/>
    <w:qFormat/>
    <w:rsid w:val="00F91D2A"/>
    <w:pPr>
      <w:outlineLvl w:val="2"/>
    </w:pPr>
  </w:style>
  <w:style w:type="paragraph" w:styleId="Heading4">
    <w:name w:val="heading 4"/>
    <w:basedOn w:val="Normal"/>
    <w:next w:val="Normal"/>
    <w:link w:val="Heading4Char"/>
    <w:uiPriority w:val="9"/>
    <w:unhideWhenUsed/>
    <w:qFormat/>
    <w:rsid w:val="00CD1C4C"/>
    <w:pPr>
      <w:keepNext/>
      <w:keepLines/>
      <w:numPr>
        <w:ilvl w:val="3"/>
        <w:numId w:val="5"/>
      </w:numPr>
      <w:tabs>
        <w:tab w:val="num" w:pos="360"/>
      </w:tabs>
      <w:spacing w:before="4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qFormat/>
    <w:rsid w:val="00CD1C4C"/>
    <w:pPr>
      <w:keepNext/>
      <w:keepLines/>
      <w:numPr>
        <w:ilvl w:val="4"/>
        <w:numId w:val="5"/>
      </w:numPr>
      <w:tabs>
        <w:tab w:val="num" w:pos="360"/>
      </w:tabs>
      <w:spacing w:before="40" w:after="0"/>
      <w:outlineLvl w:val="4"/>
    </w:pPr>
    <w:rPr>
      <w:rFonts w:asciiTheme="majorHAnsi" w:eastAsiaTheme="majorEastAsia" w:hAnsiTheme="majorHAnsi" w:cstheme="majorBidi"/>
      <w:color w:val="00625C" w:themeColor="accent1" w:themeShade="BF"/>
    </w:rPr>
  </w:style>
  <w:style w:type="paragraph" w:styleId="Heading6">
    <w:name w:val="heading 6"/>
    <w:basedOn w:val="Normal"/>
    <w:next w:val="Normal"/>
    <w:link w:val="Heading6Char"/>
    <w:uiPriority w:val="9"/>
    <w:unhideWhenUsed/>
    <w:qFormat/>
    <w:rsid w:val="00CD1C4C"/>
    <w:pPr>
      <w:keepNext/>
      <w:keepLines/>
      <w:numPr>
        <w:ilvl w:val="5"/>
        <w:numId w:val="5"/>
      </w:numPr>
      <w:tabs>
        <w:tab w:val="num" w:pos="360"/>
      </w:tabs>
      <w:spacing w:before="40" w:after="0"/>
      <w:outlineLvl w:val="5"/>
    </w:pPr>
    <w:rPr>
      <w:rFonts w:asciiTheme="majorHAnsi" w:eastAsiaTheme="majorEastAsia" w:hAnsiTheme="majorHAnsi" w:cstheme="majorBidi"/>
      <w:color w:val="00413D" w:themeColor="accent1" w:themeShade="7F"/>
    </w:rPr>
  </w:style>
  <w:style w:type="paragraph" w:styleId="Heading7">
    <w:name w:val="heading 7"/>
    <w:basedOn w:val="Normal"/>
    <w:next w:val="Normal"/>
    <w:link w:val="Heading7Char"/>
    <w:uiPriority w:val="9"/>
    <w:unhideWhenUsed/>
    <w:qFormat/>
    <w:rsid w:val="00CD1C4C"/>
    <w:pPr>
      <w:keepNext/>
      <w:keepLines/>
      <w:numPr>
        <w:ilvl w:val="6"/>
        <w:numId w:val="5"/>
      </w:numPr>
      <w:tabs>
        <w:tab w:val="num" w:pos="360"/>
      </w:tabs>
      <w:spacing w:before="40" w:after="0"/>
      <w:outlineLvl w:val="6"/>
    </w:pPr>
    <w:rPr>
      <w:rFonts w:asciiTheme="majorHAnsi" w:eastAsiaTheme="majorEastAsia" w:hAnsiTheme="majorHAnsi" w:cstheme="majorBidi"/>
      <w:i/>
      <w:iCs/>
      <w:color w:val="00413D" w:themeColor="accent1" w:themeShade="7F"/>
    </w:rPr>
  </w:style>
  <w:style w:type="paragraph" w:styleId="Heading8">
    <w:name w:val="heading 8"/>
    <w:basedOn w:val="Normal"/>
    <w:next w:val="Normal"/>
    <w:link w:val="Heading8Char"/>
    <w:uiPriority w:val="9"/>
    <w:semiHidden/>
    <w:unhideWhenUsed/>
    <w:qFormat/>
    <w:rsid w:val="00CD1C4C"/>
    <w:pPr>
      <w:keepNext/>
      <w:keepLines/>
      <w:numPr>
        <w:ilvl w:val="7"/>
        <w:numId w:val="5"/>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1C4C"/>
    <w:pPr>
      <w:keepNext/>
      <w:keepLines/>
      <w:numPr>
        <w:ilvl w:val="8"/>
        <w:numId w:val="5"/>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3B1"/>
    <w:rPr>
      <w:rFonts w:ascii="Aptos" w:eastAsiaTheme="majorEastAsia" w:hAnsi="Aptos" w:cstheme="majorBidi"/>
      <w:b/>
      <w:color w:val="00837C" w:themeColor="accent1"/>
      <w:sz w:val="36"/>
      <w:szCs w:val="40"/>
      <w:lang w:val="en-AU"/>
    </w:rPr>
  </w:style>
  <w:style w:type="character" w:customStyle="1" w:styleId="Heading2Char">
    <w:name w:val="Heading 2 Char"/>
    <w:basedOn w:val="DefaultParagraphFont"/>
    <w:link w:val="Heading2"/>
    <w:uiPriority w:val="9"/>
    <w:rsid w:val="00414D53"/>
    <w:rPr>
      <w:rFonts w:ascii="Aptos" w:hAnsi="Aptos"/>
      <w:b/>
      <w:bCs/>
      <w:color w:val="00837C" w:themeColor="accent1"/>
      <w:sz w:val="26"/>
      <w:lang w:val="en-AU" w:eastAsia="en-IE"/>
    </w:rPr>
  </w:style>
  <w:style w:type="character" w:customStyle="1" w:styleId="Heading3Char">
    <w:name w:val="Heading 3 Char"/>
    <w:basedOn w:val="DefaultParagraphFont"/>
    <w:link w:val="Heading3"/>
    <w:uiPriority w:val="9"/>
    <w:rsid w:val="00F91D2A"/>
    <w:rPr>
      <w:rFonts w:ascii="Aptos" w:hAnsi="Aptos"/>
      <w:b/>
      <w:bCs/>
      <w:color w:val="00837C" w:themeColor="accent1"/>
      <w:sz w:val="26"/>
      <w:lang w:val="en-AU" w:eastAsia="en-IE"/>
    </w:rPr>
  </w:style>
  <w:style w:type="character" w:customStyle="1" w:styleId="Heading4Char">
    <w:name w:val="Heading 4 Char"/>
    <w:basedOn w:val="DefaultParagraphFont"/>
    <w:link w:val="Heading4"/>
    <w:uiPriority w:val="9"/>
    <w:rsid w:val="00CD1C4C"/>
    <w:rPr>
      <w:rFonts w:asciiTheme="majorHAnsi" w:eastAsiaTheme="majorEastAsia" w:hAnsiTheme="majorHAnsi" w:cstheme="majorBidi"/>
      <w:color w:val="313D48" w:themeColor="accent4"/>
      <w:sz w:val="22"/>
      <w:lang w:val="en-AU"/>
    </w:rPr>
  </w:style>
  <w:style w:type="character" w:customStyle="1" w:styleId="Heading5Char">
    <w:name w:val="Heading 5 Char"/>
    <w:basedOn w:val="DefaultParagraphFont"/>
    <w:link w:val="Heading5"/>
    <w:uiPriority w:val="9"/>
    <w:rsid w:val="00CD1C4C"/>
    <w:rPr>
      <w:rFonts w:asciiTheme="majorHAnsi" w:eastAsiaTheme="majorEastAsia" w:hAnsiTheme="majorHAnsi" w:cstheme="majorBidi"/>
      <w:color w:val="00625C" w:themeColor="accent1" w:themeShade="BF"/>
      <w:sz w:val="22"/>
      <w:lang w:val="en-AU"/>
    </w:rPr>
  </w:style>
  <w:style w:type="character" w:customStyle="1" w:styleId="Heading6Char">
    <w:name w:val="Heading 6 Char"/>
    <w:basedOn w:val="DefaultParagraphFont"/>
    <w:link w:val="Heading6"/>
    <w:uiPriority w:val="9"/>
    <w:rsid w:val="00CD1C4C"/>
    <w:rPr>
      <w:rFonts w:asciiTheme="majorHAnsi" w:eastAsiaTheme="majorEastAsia" w:hAnsiTheme="majorHAnsi" w:cstheme="majorBidi"/>
      <w:color w:val="00413D" w:themeColor="accent1" w:themeShade="7F"/>
      <w:sz w:val="22"/>
      <w:lang w:val="en-AU"/>
    </w:rPr>
  </w:style>
  <w:style w:type="character" w:customStyle="1" w:styleId="Heading7Char">
    <w:name w:val="Heading 7 Char"/>
    <w:basedOn w:val="DefaultParagraphFont"/>
    <w:link w:val="Heading7"/>
    <w:uiPriority w:val="9"/>
    <w:rsid w:val="00CD1C4C"/>
    <w:rPr>
      <w:rFonts w:asciiTheme="majorHAnsi" w:eastAsiaTheme="majorEastAsia" w:hAnsiTheme="majorHAnsi" w:cstheme="majorBidi"/>
      <w:i/>
      <w:iCs/>
      <w:color w:val="00413D" w:themeColor="accent1" w:themeShade="7F"/>
      <w:sz w:val="22"/>
      <w:lang w:val="en-AU"/>
    </w:rPr>
  </w:style>
  <w:style w:type="character" w:customStyle="1" w:styleId="Heading8Char">
    <w:name w:val="Heading 8 Char"/>
    <w:basedOn w:val="DefaultParagraphFont"/>
    <w:link w:val="Heading8"/>
    <w:uiPriority w:val="9"/>
    <w:semiHidden/>
    <w:rsid w:val="00CD1C4C"/>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CD1C4C"/>
    <w:rPr>
      <w:rFonts w:asciiTheme="majorHAnsi" w:eastAsiaTheme="majorEastAsia" w:hAnsiTheme="majorHAnsi" w:cstheme="majorBidi"/>
      <w:i/>
      <w:iCs/>
      <w:color w:val="272727" w:themeColor="text1" w:themeTint="D8"/>
      <w:sz w:val="21"/>
      <w:szCs w:val="21"/>
      <w:lang w:val="en-AU"/>
    </w:rPr>
  </w:style>
  <w:style w:type="table" w:styleId="TableGrid">
    <w:name w:val="Table Grid"/>
    <w:aliases w:val="Tetra Tech Table Style Lt Blue"/>
    <w:basedOn w:val="TableNormal"/>
    <w:uiPriority w:val="39"/>
    <w:rsid w:val="00262B0F"/>
    <w:pPr>
      <w:spacing w:before="60" w:after="60" w:line="252" w:lineRule="auto"/>
    </w:pPr>
    <w:tblPr>
      <w:tblStyleRowBandSize w:val="1"/>
      <w:tblStyleColBandSize w:val="1"/>
      <w:tblBorders>
        <w:top w:val="single" w:sz="4" w:space="0" w:color="FFFFFF" w:themeColor="background2"/>
        <w:bottom w:val="single" w:sz="4" w:space="0" w:color="FFFFFF" w:themeColor="background2"/>
        <w:insideH w:val="single" w:sz="4" w:space="0" w:color="FFFFFF" w:themeColor="background2"/>
      </w:tblBorders>
    </w:tblPr>
    <w:tblStylePr w:type="firstRow">
      <w:pPr>
        <w:jc w:val="left"/>
      </w:pPr>
      <w:rPr>
        <w:rFonts w:asciiTheme="majorHAnsi" w:hAnsiTheme="majorHAnsi"/>
        <w:b/>
        <w:color w:val="FFFFFF" w:themeColor="background1"/>
        <w:sz w:val="20"/>
      </w:rPr>
      <w:tblPr/>
      <w:tcPr>
        <w:shd w:val="clear" w:color="auto" w:fill="FFFFFF" w:themeFill="background2"/>
      </w:tcPr>
    </w:tblStylePr>
    <w:tblStylePr w:type="lastRow">
      <w:rPr>
        <w:color w:val="000000" w:themeColor="text1"/>
      </w:rPr>
      <w:tblPr/>
      <w:tcPr>
        <w:shd w:val="clear" w:color="auto" w:fill="FFFFFF" w:themeFill="background2" w:themeFillTint="33"/>
      </w:tcPr>
    </w:tblStylePr>
    <w:tblStylePr w:type="firstCol">
      <w:rPr>
        <w:b/>
      </w:rPr>
      <w:tblPr/>
      <w:tcPr>
        <w:shd w:val="clear" w:color="auto" w:fill="F2F2F2" w:themeFill="background1" w:themeFillShade="F2"/>
      </w:tcPr>
    </w:tblStylePr>
  </w:style>
  <w:style w:type="paragraph" w:styleId="NoSpacing">
    <w:name w:val="No Spacing"/>
    <w:link w:val="NoSpacingChar"/>
    <w:uiPriority w:val="1"/>
    <w:qFormat/>
    <w:rsid w:val="00CE139E"/>
    <w:pPr>
      <w:spacing w:after="0" w:line="240" w:lineRule="auto"/>
    </w:pPr>
  </w:style>
  <w:style w:type="paragraph" w:customStyle="1" w:styleId="Copyright">
    <w:name w:val="Copyright"/>
    <w:uiPriority w:val="99"/>
    <w:qFormat/>
    <w:rsid w:val="00CD1C4C"/>
    <w:pPr>
      <w:spacing w:before="120" w:after="120" w:line="240" w:lineRule="auto"/>
      <w:ind w:right="5387"/>
    </w:pPr>
    <w:rPr>
      <w:rFonts w:eastAsia="Arial" w:cs="Times New Roman"/>
      <w:b/>
      <w:bCs/>
      <w:color w:val="FFFFFF" w:themeColor="background1"/>
      <w:sz w:val="18"/>
      <w:szCs w:val="18"/>
      <w:lang w:val="en-AU"/>
    </w:rPr>
  </w:style>
  <w:style w:type="paragraph" w:styleId="Title">
    <w:name w:val="Title"/>
    <w:basedOn w:val="Normal"/>
    <w:next w:val="Normal"/>
    <w:link w:val="TitleChar"/>
    <w:uiPriority w:val="10"/>
    <w:qFormat/>
    <w:rsid w:val="00CE139E"/>
    <w:pPr>
      <w:spacing w:before="240" w:after="240" w:line="240" w:lineRule="atLeast"/>
      <w:contextualSpacing/>
    </w:pPr>
    <w:rPr>
      <w:rFonts w:ascii="Franklin Gothic Demi" w:eastAsiaTheme="majorEastAsia" w:hAnsi="Franklin Gothic Demi" w:cstheme="majorBidi"/>
      <w:color w:val="000000" w:themeColor="text2"/>
      <w:spacing w:val="-10"/>
      <w:kern w:val="28"/>
      <w:sz w:val="48"/>
      <w:szCs w:val="48"/>
    </w:rPr>
  </w:style>
  <w:style w:type="character" w:customStyle="1" w:styleId="TitleChar">
    <w:name w:val="Title Char"/>
    <w:basedOn w:val="DefaultParagraphFont"/>
    <w:link w:val="Title"/>
    <w:uiPriority w:val="10"/>
    <w:rsid w:val="00CE139E"/>
    <w:rPr>
      <w:rFonts w:ascii="Franklin Gothic Demi" w:eastAsiaTheme="majorEastAsia" w:hAnsi="Franklin Gothic Demi" w:cstheme="majorBidi"/>
      <w:color w:val="000000" w:themeColor="text2"/>
      <w:spacing w:val="-10"/>
      <w:kern w:val="28"/>
      <w:sz w:val="48"/>
      <w:szCs w:val="48"/>
    </w:rPr>
  </w:style>
  <w:style w:type="paragraph" w:styleId="Header">
    <w:name w:val="header"/>
    <w:basedOn w:val="Normal"/>
    <w:link w:val="HeaderChar"/>
    <w:uiPriority w:val="99"/>
    <w:unhideWhenUsed/>
    <w:rsid w:val="00CD21D3"/>
    <w:pPr>
      <w:tabs>
        <w:tab w:val="center" w:pos="4680"/>
        <w:tab w:val="right" w:pos="9360"/>
      </w:tabs>
      <w:spacing w:after="0"/>
    </w:pPr>
  </w:style>
  <w:style w:type="character" w:customStyle="1" w:styleId="HeaderChar">
    <w:name w:val="Header Char"/>
    <w:basedOn w:val="DefaultParagraphFont"/>
    <w:link w:val="Header"/>
    <w:uiPriority w:val="99"/>
    <w:rsid w:val="00CD21D3"/>
    <w:rPr>
      <w:lang w:val="en-AU"/>
    </w:rPr>
  </w:style>
  <w:style w:type="paragraph" w:styleId="Footer">
    <w:name w:val="footer"/>
    <w:basedOn w:val="Normal"/>
    <w:link w:val="FooterChar"/>
    <w:uiPriority w:val="99"/>
    <w:unhideWhenUsed/>
    <w:rsid w:val="005A2536"/>
    <w:pPr>
      <w:tabs>
        <w:tab w:val="center" w:pos="4680"/>
        <w:tab w:val="right" w:pos="9360"/>
      </w:tabs>
      <w:spacing w:after="0"/>
      <w:jc w:val="right"/>
    </w:pPr>
    <w:rPr>
      <w:sz w:val="17"/>
      <w:szCs w:val="17"/>
    </w:rPr>
  </w:style>
  <w:style w:type="character" w:customStyle="1" w:styleId="FooterChar">
    <w:name w:val="Footer Char"/>
    <w:basedOn w:val="DefaultParagraphFont"/>
    <w:link w:val="Footer"/>
    <w:uiPriority w:val="99"/>
    <w:rsid w:val="005A2536"/>
    <w:rPr>
      <w:sz w:val="17"/>
      <w:szCs w:val="17"/>
      <w:lang w:val="en-AU"/>
    </w:rPr>
  </w:style>
  <w:style w:type="paragraph" w:customStyle="1" w:styleId="NoNumbersHeading1">
    <w:name w:val="No Numbers Heading 1"/>
    <w:basedOn w:val="Heading1"/>
    <w:link w:val="NoNumbersHeading1Char"/>
    <w:qFormat/>
    <w:rsid w:val="00BC10F4"/>
    <w:pPr>
      <w:numPr>
        <w:numId w:val="0"/>
      </w:numPr>
    </w:pPr>
  </w:style>
  <w:style w:type="character" w:customStyle="1" w:styleId="NoNumbersHeading1Char">
    <w:name w:val="No Numbers Heading 1 Char"/>
    <w:basedOn w:val="Heading1Char"/>
    <w:link w:val="NoNumbersHeading1"/>
    <w:rsid w:val="00BC10F4"/>
    <w:rPr>
      <w:rFonts w:ascii="Arial" w:eastAsiaTheme="majorEastAsia" w:hAnsi="Arial" w:cstheme="majorBidi"/>
      <w:b/>
      <w:color w:val="00837C" w:themeColor="accent1"/>
      <w:sz w:val="40"/>
      <w:szCs w:val="40"/>
      <w:lang w:val="en-AU"/>
    </w:rPr>
  </w:style>
  <w:style w:type="paragraph" w:customStyle="1" w:styleId="NoNumbersHeading2">
    <w:name w:val="No Numbers Heading 2"/>
    <w:basedOn w:val="Heading2"/>
    <w:link w:val="NoNumbersHeading2Char"/>
    <w:qFormat/>
    <w:rsid w:val="00B16007"/>
  </w:style>
  <w:style w:type="character" w:customStyle="1" w:styleId="NoNumbersHeading2Char">
    <w:name w:val="No Numbers Heading 2 Char"/>
    <w:basedOn w:val="Heading2Char"/>
    <w:link w:val="NoNumbersHeading2"/>
    <w:rsid w:val="00B16007"/>
    <w:rPr>
      <w:rFonts w:ascii="Calibri Light" w:hAnsi="Calibri Light"/>
      <w:b/>
      <w:bCs/>
      <w:color w:val="FFFFFF" w:themeColor="background2"/>
      <w:sz w:val="26"/>
      <w:lang w:val="en-AU" w:eastAsia="en-IE"/>
    </w:rPr>
  </w:style>
  <w:style w:type="paragraph" w:customStyle="1" w:styleId="NoNumbersHeading3">
    <w:name w:val="No Numbers Heading 3"/>
    <w:basedOn w:val="Heading3"/>
    <w:link w:val="NoNumbersHeading3Char"/>
    <w:qFormat/>
    <w:rsid w:val="00676CF5"/>
  </w:style>
  <w:style w:type="character" w:customStyle="1" w:styleId="NoNumbersHeading3Char">
    <w:name w:val="No Numbers Heading 3 Char"/>
    <w:basedOn w:val="Heading3Char"/>
    <w:link w:val="NoNumbersHeading3"/>
    <w:rsid w:val="00676CF5"/>
    <w:rPr>
      <w:rFonts w:ascii="Calibri Light" w:hAnsi="Calibri Light"/>
      <w:b/>
      <w:bCs/>
      <w:color w:val="313D48" w:themeColor="accent4"/>
      <w:sz w:val="22"/>
      <w:lang w:val="en-AU" w:eastAsia="en-IE"/>
    </w:rPr>
  </w:style>
  <w:style w:type="paragraph" w:customStyle="1" w:styleId="NoNumbersHeading4">
    <w:name w:val="No Numbers Heading 4"/>
    <w:basedOn w:val="Heading4"/>
    <w:link w:val="NoNumbersHeading4Char"/>
    <w:qFormat/>
    <w:rsid w:val="00CD1C4C"/>
    <w:pPr>
      <w:numPr>
        <w:ilvl w:val="0"/>
        <w:numId w:val="0"/>
      </w:numPr>
      <w:ind w:left="864" w:hanging="864"/>
    </w:pPr>
  </w:style>
  <w:style w:type="character" w:customStyle="1" w:styleId="NoNumbersHeading4Char">
    <w:name w:val="No Numbers Heading 4 Char"/>
    <w:basedOn w:val="Heading4Char"/>
    <w:link w:val="NoNumbersHeading4"/>
    <w:rsid w:val="00CD1C4C"/>
    <w:rPr>
      <w:rFonts w:asciiTheme="majorHAnsi" w:eastAsiaTheme="majorEastAsia" w:hAnsiTheme="majorHAnsi" w:cstheme="majorBidi"/>
      <w:color w:val="313D48" w:themeColor="accent4"/>
      <w:sz w:val="22"/>
      <w:lang w:val="en-AU"/>
    </w:rPr>
  </w:style>
  <w:style w:type="character" w:customStyle="1" w:styleId="Highlight1">
    <w:name w:val="*Highlight 1"/>
    <w:basedOn w:val="DefaultParagraphFont"/>
    <w:uiPriority w:val="1"/>
    <w:qFormat/>
    <w:rsid w:val="00CD1C4C"/>
    <w:rPr>
      <w:szCs w:val="20"/>
      <w:shd w:val="clear" w:color="auto" w:fill="FFFF00"/>
    </w:rPr>
  </w:style>
  <w:style w:type="character" w:customStyle="1" w:styleId="Highlight2">
    <w:name w:val="*Highlight 2"/>
    <w:basedOn w:val="DefaultParagraphFont"/>
    <w:uiPriority w:val="1"/>
    <w:qFormat/>
    <w:rsid w:val="00CD1C4C"/>
    <w:rPr>
      <w:szCs w:val="20"/>
      <w:shd w:val="clear" w:color="auto" w:fill="92D050"/>
    </w:rPr>
  </w:style>
  <w:style w:type="character" w:customStyle="1" w:styleId="Bold">
    <w:name w:val="*Bold"/>
    <w:basedOn w:val="DefaultParagraphFont"/>
    <w:uiPriority w:val="1"/>
    <w:qFormat/>
    <w:rsid w:val="00C83596"/>
    <w:rPr>
      <w:b/>
    </w:rPr>
  </w:style>
  <w:style w:type="character" w:customStyle="1" w:styleId="Italic">
    <w:name w:val="*Italic"/>
    <w:basedOn w:val="DefaultParagraphFont"/>
    <w:uiPriority w:val="1"/>
    <w:qFormat/>
    <w:rsid w:val="00C83596"/>
    <w:rPr>
      <w:i/>
    </w:rPr>
  </w:style>
  <w:style w:type="character" w:customStyle="1" w:styleId="BoldItalic">
    <w:name w:val="*Bold Italic"/>
    <w:basedOn w:val="DefaultParagraphFont"/>
    <w:uiPriority w:val="1"/>
    <w:qFormat/>
    <w:rsid w:val="00C83596"/>
    <w:rPr>
      <w:b/>
      <w:i/>
    </w:rPr>
  </w:style>
  <w:style w:type="paragraph" w:styleId="Subtitle">
    <w:name w:val="Subtitle"/>
    <w:basedOn w:val="Normal"/>
    <w:next w:val="Normal"/>
    <w:link w:val="SubtitleChar"/>
    <w:uiPriority w:val="11"/>
    <w:qFormat/>
    <w:rsid w:val="00CD1C4C"/>
    <w:rPr>
      <w:b/>
      <w:bCs/>
      <w:color w:val="CED2D3" w:themeColor="accent6"/>
      <w:sz w:val="28"/>
      <w:szCs w:val="32"/>
    </w:rPr>
  </w:style>
  <w:style w:type="character" w:customStyle="1" w:styleId="SubtitleChar">
    <w:name w:val="Subtitle Char"/>
    <w:basedOn w:val="DefaultParagraphFont"/>
    <w:link w:val="Subtitle"/>
    <w:uiPriority w:val="11"/>
    <w:rsid w:val="00CD1C4C"/>
    <w:rPr>
      <w:b/>
      <w:bCs/>
      <w:color w:val="CED2D3" w:themeColor="accent6"/>
      <w:sz w:val="28"/>
      <w:szCs w:val="32"/>
    </w:rPr>
  </w:style>
  <w:style w:type="paragraph" w:customStyle="1" w:styleId="Proposalname">
    <w:name w:val="Proposal name"/>
    <w:basedOn w:val="Header"/>
    <w:link w:val="ProposalnameChar"/>
    <w:qFormat/>
    <w:rsid w:val="00A14655"/>
    <w:pPr>
      <w:tabs>
        <w:tab w:val="clear" w:pos="4680"/>
        <w:tab w:val="clear" w:pos="9360"/>
        <w:tab w:val="right" w:pos="10204"/>
      </w:tabs>
    </w:pPr>
    <w:rPr>
      <w:sz w:val="17"/>
      <w:szCs w:val="17"/>
    </w:rPr>
  </w:style>
  <w:style w:type="character" w:customStyle="1" w:styleId="ProposalnameChar">
    <w:name w:val="Proposal name Char"/>
    <w:basedOn w:val="HeaderChar"/>
    <w:link w:val="Proposalname"/>
    <w:rsid w:val="00A14655"/>
    <w:rPr>
      <w:sz w:val="17"/>
      <w:szCs w:val="17"/>
      <w:lang w:val="en-AU"/>
    </w:rPr>
  </w:style>
  <w:style w:type="character" w:styleId="IntenseEmphasis">
    <w:name w:val="Intense Emphasis"/>
    <w:basedOn w:val="DefaultParagraphFont"/>
    <w:uiPriority w:val="21"/>
    <w:qFormat/>
    <w:rsid w:val="00D04752"/>
    <w:rPr>
      <w:color w:val="FFFFFF" w:themeColor="background2"/>
    </w:rPr>
  </w:style>
  <w:style w:type="paragraph" w:styleId="ListParagraph">
    <w:name w:val="List Paragraph"/>
    <w:aliases w:val="Bullet 1,Colorful List - Accent 11,Dot pt,F5 List Paragraph,Indicator Text,L,List 1,List Paragraph Char Char Char,List Paragraph numbered,List Paragraph1,List Paragraph12,List Paragraph2,MAIN CONTENT,No Spacing1,Normal numbered,Other List"/>
    <w:basedOn w:val="Normal"/>
    <w:link w:val="ListParagraphChar"/>
    <w:uiPriority w:val="34"/>
    <w:qFormat/>
    <w:rsid w:val="007C7CFB"/>
    <w:pPr>
      <w:numPr>
        <w:numId w:val="17"/>
      </w:numPr>
      <w:spacing w:before="40" w:after="40"/>
    </w:pPr>
  </w:style>
  <w:style w:type="character" w:customStyle="1" w:styleId="ListParagraphChar">
    <w:name w:val="List Paragraph Char"/>
    <w:aliases w:val="Bullet 1 Char,Colorful List - Accent 11 Char,Dot pt Char,F5 List Paragraph Char,Indicator Text Char,L Char,List 1 Char,List Paragraph Char Char Char Char,List Paragraph numbered Char,List Paragraph1 Char,List Paragraph12 Char"/>
    <w:basedOn w:val="DefaultParagraphFont"/>
    <w:link w:val="ListParagraph"/>
    <w:uiPriority w:val="34"/>
    <w:qFormat/>
    <w:rsid w:val="007C7CFB"/>
    <w:rPr>
      <w:rFonts w:ascii="Aptos" w:hAnsi="Aptos"/>
      <w:color w:val="313D48" w:themeColor="accent4"/>
      <w:sz w:val="22"/>
      <w:lang w:val="en-AU"/>
    </w:rPr>
  </w:style>
  <w:style w:type="table" w:styleId="TableGridLight">
    <w:name w:val="Grid Table Light"/>
    <w:basedOn w:val="TableNormal"/>
    <w:uiPriority w:val="40"/>
    <w:rsid w:val="00E372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262B0F"/>
    <w:pPr>
      <w:spacing w:before="60" w:after="60" w:line="252" w:lineRule="auto"/>
    </w:pPr>
    <w:tblPr>
      <w:tblBorders>
        <w:top w:val="single" w:sz="4" w:space="0" w:color="000000" w:themeColor="text2"/>
        <w:bottom w:val="single" w:sz="4" w:space="0" w:color="000000" w:themeColor="text2"/>
        <w:insideH w:val="single" w:sz="4" w:space="0" w:color="000000" w:themeColor="text2"/>
      </w:tblBorders>
    </w:tblPr>
    <w:tblStylePr w:type="firstRow">
      <w:rPr>
        <w:b/>
        <w:color w:val="FFFFFF" w:themeColor="background1"/>
      </w:rPr>
      <w:tblPr/>
      <w:tcPr>
        <w:shd w:val="clear" w:color="auto" w:fill="000000" w:themeFill="text2"/>
      </w:tcPr>
    </w:tblStylePr>
    <w:tblStylePr w:type="lastRow">
      <w:tblPr/>
      <w:tcPr>
        <w:shd w:val="clear" w:color="auto" w:fill="D9D9D9" w:themeFill="background1" w:themeFillShade="D9"/>
      </w:tcPr>
    </w:tblStylePr>
    <w:tblStylePr w:type="firstCol">
      <w:rPr>
        <w:b/>
      </w:rPr>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DA1A5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A56"/>
    <w:rPr>
      <w:rFonts w:ascii="Segoe UI" w:hAnsi="Segoe UI" w:cs="Segoe UI"/>
      <w:sz w:val="18"/>
      <w:szCs w:val="18"/>
      <w:lang w:val="en-AU"/>
    </w:rPr>
  </w:style>
  <w:style w:type="paragraph" w:styleId="Caption">
    <w:name w:val="caption"/>
    <w:basedOn w:val="Normal"/>
    <w:next w:val="Normal"/>
    <w:uiPriority w:val="4"/>
    <w:unhideWhenUsed/>
    <w:qFormat/>
    <w:rsid w:val="00C36F4D"/>
    <w:pPr>
      <w:spacing w:after="100"/>
    </w:pPr>
    <w:rPr>
      <w:i/>
      <w:iCs/>
      <w:color w:val="000000" w:themeColor="text2"/>
      <w:sz w:val="18"/>
      <w:szCs w:val="18"/>
    </w:rPr>
  </w:style>
  <w:style w:type="character" w:styleId="Emphasis">
    <w:name w:val="Emphasis"/>
    <w:basedOn w:val="DefaultParagraphFont"/>
    <w:uiPriority w:val="20"/>
    <w:qFormat/>
    <w:rsid w:val="00F8433A"/>
    <w:rPr>
      <w:i/>
      <w:iCs/>
    </w:rPr>
  </w:style>
  <w:style w:type="paragraph" w:styleId="IntenseQuote">
    <w:name w:val="Intense Quote"/>
    <w:basedOn w:val="Normal"/>
    <w:next w:val="Normal"/>
    <w:link w:val="IntenseQuoteChar"/>
    <w:uiPriority w:val="30"/>
    <w:qFormat/>
    <w:rsid w:val="00C85E06"/>
    <w:pPr>
      <w:pBdr>
        <w:top w:val="single" w:sz="4" w:space="10" w:color="00837C" w:themeColor="accent1"/>
        <w:bottom w:val="single" w:sz="4" w:space="10" w:color="00837C" w:themeColor="accent1"/>
      </w:pBdr>
      <w:spacing w:before="360" w:after="360"/>
      <w:ind w:left="864" w:right="864"/>
      <w:jc w:val="center"/>
    </w:pPr>
    <w:rPr>
      <w:i/>
      <w:iCs/>
      <w:color w:val="00837C" w:themeColor="accent1"/>
    </w:rPr>
  </w:style>
  <w:style w:type="character" w:customStyle="1" w:styleId="IntenseQuoteChar">
    <w:name w:val="Intense Quote Char"/>
    <w:basedOn w:val="DefaultParagraphFont"/>
    <w:link w:val="IntenseQuote"/>
    <w:uiPriority w:val="30"/>
    <w:rsid w:val="00C85E06"/>
    <w:rPr>
      <w:i/>
      <w:iCs/>
      <w:color w:val="00837C" w:themeColor="accent1"/>
    </w:rPr>
  </w:style>
  <w:style w:type="character" w:styleId="SubtleEmphasis">
    <w:name w:val="Subtle Emphasis"/>
    <w:basedOn w:val="DefaultParagraphFont"/>
    <w:uiPriority w:val="19"/>
    <w:qFormat/>
    <w:rsid w:val="00F2667A"/>
    <w:rPr>
      <w:i/>
      <w:iCs/>
      <w:color w:val="404040" w:themeColor="text1" w:themeTint="BF"/>
    </w:rPr>
  </w:style>
  <w:style w:type="table" w:customStyle="1" w:styleId="Breakoutbox">
    <w:name w:val="Breakout box"/>
    <w:basedOn w:val="TableNormal"/>
    <w:uiPriority w:val="99"/>
    <w:rsid w:val="005B0E34"/>
    <w:pPr>
      <w:spacing w:before="80" w:after="80" w:line="240" w:lineRule="auto"/>
    </w:pPr>
    <w:rPr>
      <w:color w:val="00837C" w:themeColor="accent1"/>
    </w:rPr>
    <w:tblPr/>
    <w:tcPr>
      <w:shd w:val="clear" w:color="auto" w:fill="FFFFFF" w:themeFill="background2" w:themeFillTint="33"/>
    </w:tcPr>
  </w:style>
  <w:style w:type="character" w:styleId="PlaceholderText">
    <w:name w:val="Placeholder Text"/>
    <w:basedOn w:val="DefaultParagraphFont"/>
    <w:uiPriority w:val="99"/>
    <w:semiHidden/>
    <w:rsid w:val="00FD4D09"/>
    <w:rPr>
      <w:color w:val="808080"/>
    </w:rPr>
  </w:style>
  <w:style w:type="paragraph" w:styleId="TOC1">
    <w:name w:val="toc 1"/>
    <w:basedOn w:val="Normal"/>
    <w:next w:val="Normal"/>
    <w:autoRedefine/>
    <w:uiPriority w:val="39"/>
    <w:unhideWhenUsed/>
    <w:rsid w:val="00955A87"/>
    <w:pPr>
      <w:tabs>
        <w:tab w:val="left" w:pos="426"/>
        <w:tab w:val="right" w:leader="dot" w:pos="10194"/>
      </w:tabs>
    </w:pPr>
    <w:rPr>
      <w:b/>
    </w:rPr>
  </w:style>
  <w:style w:type="paragraph" w:styleId="TOC2">
    <w:name w:val="toc 2"/>
    <w:basedOn w:val="Normal"/>
    <w:next w:val="Normal"/>
    <w:autoRedefine/>
    <w:uiPriority w:val="39"/>
    <w:unhideWhenUsed/>
    <w:rsid w:val="0058628C"/>
    <w:pPr>
      <w:tabs>
        <w:tab w:val="left" w:pos="993"/>
        <w:tab w:val="right" w:leader="dot" w:pos="10194"/>
      </w:tabs>
      <w:spacing w:after="100"/>
      <w:ind w:left="426"/>
    </w:pPr>
  </w:style>
  <w:style w:type="paragraph" w:styleId="TOC3">
    <w:name w:val="toc 3"/>
    <w:basedOn w:val="Normal"/>
    <w:next w:val="Normal"/>
    <w:autoRedefine/>
    <w:uiPriority w:val="39"/>
    <w:unhideWhenUsed/>
    <w:rsid w:val="0058628C"/>
    <w:pPr>
      <w:tabs>
        <w:tab w:val="left" w:pos="1701"/>
        <w:tab w:val="right" w:leader="dot" w:pos="10194"/>
      </w:tabs>
      <w:spacing w:after="100"/>
      <w:ind w:left="993"/>
    </w:pPr>
  </w:style>
  <w:style w:type="character" w:styleId="Hyperlink">
    <w:name w:val="Hyperlink"/>
    <w:basedOn w:val="DefaultParagraphFont"/>
    <w:uiPriority w:val="99"/>
    <w:unhideWhenUsed/>
    <w:rsid w:val="009A5786"/>
    <w:rPr>
      <w:color w:val="000000" w:themeColor="hyperlink"/>
      <w:u w:val="single"/>
    </w:rPr>
  </w:style>
  <w:style w:type="character" w:styleId="CommentReference">
    <w:name w:val="annotation reference"/>
    <w:basedOn w:val="DefaultParagraphFont"/>
    <w:uiPriority w:val="99"/>
    <w:semiHidden/>
    <w:unhideWhenUsed/>
    <w:rsid w:val="00623739"/>
    <w:rPr>
      <w:sz w:val="16"/>
      <w:szCs w:val="16"/>
    </w:rPr>
  </w:style>
  <w:style w:type="paragraph" w:styleId="CommentText">
    <w:name w:val="annotation text"/>
    <w:basedOn w:val="Normal"/>
    <w:link w:val="CommentTextChar"/>
    <w:uiPriority w:val="99"/>
    <w:unhideWhenUsed/>
    <w:rsid w:val="00623739"/>
  </w:style>
  <w:style w:type="character" w:customStyle="1" w:styleId="CommentTextChar">
    <w:name w:val="Comment Text Char"/>
    <w:basedOn w:val="DefaultParagraphFont"/>
    <w:link w:val="CommentText"/>
    <w:uiPriority w:val="99"/>
    <w:rsid w:val="00623739"/>
    <w:rPr>
      <w:lang w:val="en-AU"/>
    </w:rPr>
  </w:style>
  <w:style w:type="paragraph" w:styleId="CommentSubject">
    <w:name w:val="annotation subject"/>
    <w:basedOn w:val="CommentText"/>
    <w:next w:val="CommentText"/>
    <w:link w:val="CommentSubjectChar"/>
    <w:uiPriority w:val="99"/>
    <w:semiHidden/>
    <w:unhideWhenUsed/>
    <w:rsid w:val="00623739"/>
    <w:rPr>
      <w:b/>
      <w:bCs/>
    </w:rPr>
  </w:style>
  <w:style w:type="character" w:customStyle="1" w:styleId="CommentSubjectChar">
    <w:name w:val="Comment Subject Char"/>
    <w:basedOn w:val="CommentTextChar"/>
    <w:link w:val="CommentSubject"/>
    <w:uiPriority w:val="99"/>
    <w:semiHidden/>
    <w:rsid w:val="00623739"/>
    <w:rPr>
      <w:b/>
      <w:bCs/>
      <w:lang w:val="en-AU"/>
    </w:rPr>
  </w:style>
  <w:style w:type="character" w:styleId="Strong">
    <w:name w:val="Strong"/>
    <w:basedOn w:val="DefaultParagraphFont"/>
    <w:uiPriority w:val="1"/>
    <w:qFormat/>
    <w:rsid w:val="00F236DC"/>
    <w:rPr>
      <w:b/>
      <w:bCs/>
    </w:rPr>
  </w:style>
  <w:style w:type="table" w:customStyle="1" w:styleId="Quotetable">
    <w:name w:val="Quote table"/>
    <w:basedOn w:val="TableNormal"/>
    <w:uiPriority w:val="99"/>
    <w:rsid w:val="00F236DC"/>
    <w:pPr>
      <w:spacing w:before="80" w:after="80" w:line="240" w:lineRule="auto"/>
    </w:pPr>
    <w:rPr>
      <w:rFonts w:ascii="Arial" w:eastAsia="Times New Roman" w:hAnsi="Arial" w:cs="Arial"/>
      <w:color w:val="000000" w:themeColor="text2"/>
      <w:sz w:val="18"/>
      <w:lang w:val="en-NZ"/>
    </w:rPr>
    <w:tblPr/>
    <w:tcPr>
      <w:shd w:val="clear" w:color="auto" w:fill="FFFFFF" w:themeFill="background1"/>
    </w:tcPr>
  </w:style>
  <w:style w:type="paragraph" w:customStyle="1" w:styleId="KeyMessageBullet">
    <w:name w:val="Key Message Bullet"/>
    <w:basedOn w:val="ListParagraph"/>
    <w:qFormat/>
    <w:rsid w:val="002E76BF"/>
    <w:pPr>
      <w:spacing w:before="60" w:after="60" w:line="252" w:lineRule="auto"/>
      <w:ind w:left="340"/>
    </w:pPr>
    <w:rPr>
      <w:bCs/>
    </w:rPr>
  </w:style>
  <w:style w:type="paragraph" w:styleId="TOC4">
    <w:name w:val="toc 4"/>
    <w:basedOn w:val="Normal"/>
    <w:next w:val="Normal"/>
    <w:autoRedefine/>
    <w:uiPriority w:val="39"/>
    <w:unhideWhenUsed/>
    <w:rsid w:val="00B16007"/>
    <w:pPr>
      <w:spacing w:after="100"/>
      <w:ind w:left="660"/>
    </w:pPr>
    <w:rPr>
      <w:rFonts w:eastAsiaTheme="minorEastAsia"/>
      <w:szCs w:val="22"/>
      <w:lang w:eastAsia="en-AU"/>
    </w:rPr>
  </w:style>
  <w:style w:type="paragraph" w:styleId="TOC5">
    <w:name w:val="toc 5"/>
    <w:basedOn w:val="Normal"/>
    <w:next w:val="Normal"/>
    <w:autoRedefine/>
    <w:uiPriority w:val="39"/>
    <w:unhideWhenUsed/>
    <w:rsid w:val="00B16007"/>
    <w:pPr>
      <w:spacing w:after="100"/>
      <w:ind w:left="880"/>
    </w:pPr>
    <w:rPr>
      <w:rFonts w:eastAsiaTheme="minorEastAsia"/>
      <w:szCs w:val="22"/>
      <w:lang w:eastAsia="en-AU"/>
    </w:rPr>
  </w:style>
  <w:style w:type="paragraph" w:styleId="TOC6">
    <w:name w:val="toc 6"/>
    <w:basedOn w:val="Normal"/>
    <w:next w:val="Normal"/>
    <w:autoRedefine/>
    <w:uiPriority w:val="39"/>
    <w:unhideWhenUsed/>
    <w:rsid w:val="00B16007"/>
    <w:pPr>
      <w:spacing w:after="100"/>
      <w:ind w:left="1100"/>
    </w:pPr>
    <w:rPr>
      <w:rFonts w:eastAsiaTheme="minorEastAsia"/>
      <w:szCs w:val="22"/>
      <w:lang w:eastAsia="en-AU"/>
    </w:rPr>
  </w:style>
  <w:style w:type="paragraph" w:styleId="TOC7">
    <w:name w:val="toc 7"/>
    <w:basedOn w:val="Normal"/>
    <w:next w:val="Normal"/>
    <w:autoRedefine/>
    <w:uiPriority w:val="39"/>
    <w:unhideWhenUsed/>
    <w:rsid w:val="00B16007"/>
    <w:pPr>
      <w:spacing w:after="100"/>
      <w:ind w:left="1320"/>
    </w:pPr>
    <w:rPr>
      <w:rFonts w:eastAsiaTheme="minorEastAsia"/>
      <w:szCs w:val="22"/>
      <w:lang w:eastAsia="en-AU"/>
    </w:rPr>
  </w:style>
  <w:style w:type="paragraph" w:styleId="TOC8">
    <w:name w:val="toc 8"/>
    <w:basedOn w:val="Normal"/>
    <w:next w:val="Normal"/>
    <w:autoRedefine/>
    <w:uiPriority w:val="39"/>
    <w:unhideWhenUsed/>
    <w:rsid w:val="00D76AD3"/>
    <w:pPr>
      <w:spacing w:after="100"/>
      <w:ind w:left="1540"/>
    </w:pPr>
    <w:rPr>
      <w:rFonts w:eastAsiaTheme="minorEastAsia"/>
      <w:szCs w:val="22"/>
      <w:lang w:eastAsia="en-AU"/>
    </w:rPr>
  </w:style>
  <w:style w:type="paragraph" w:styleId="TOC9">
    <w:name w:val="toc 9"/>
    <w:basedOn w:val="Normal"/>
    <w:next w:val="Normal"/>
    <w:autoRedefine/>
    <w:uiPriority w:val="39"/>
    <w:unhideWhenUsed/>
    <w:rsid w:val="00B16007"/>
    <w:pPr>
      <w:spacing w:after="100"/>
      <w:ind w:left="720" w:hanging="360"/>
    </w:pPr>
    <w:rPr>
      <w:rFonts w:eastAsiaTheme="minorEastAsia"/>
      <w:szCs w:val="22"/>
      <w:lang w:eastAsia="en-AU"/>
    </w:rPr>
  </w:style>
  <w:style w:type="character" w:styleId="UnresolvedMention">
    <w:name w:val="Unresolved Mention"/>
    <w:basedOn w:val="DefaultParagraphFont"/>
    <w:uiPriority w:val="99"/>
    <w:unhideWhenUsed/>
    <w:rsid w:val="00B16007"/>
    <w:rPr>
      <w:color w:val="605E5C"/>
      <w:shd w:val="clear" w:color="auto" w:fill="E1DFDD"/>
    </w:rPr>
  </w:style>
  <w:style w:type="paragraph" w:customStyle="1" w:styleId="Annex">
    <w:name w:val="Annex"/>
    <w:basedOn w:val="NoNumbersHeading1"/>
    <w:qFormat/>
    <w:rsid w:val="007D06C8"/>
    <w:pPr>
      <w:numPr>
        <w:numId w:val="7"/>
      </w:numPr>
    </w:pPr>
  </w:style>
  <w:style w:type="table" w:customStyle="1" w:styleId="PlainTable21">
    <w:name w:val="Plain Table 21"/>
    <w:basedOn w:val="TableNormal"/>
    <w:uiPriority w:val="42"/>
    <w:rsid w:val="000E034E"/>
    <w:pPr>
      <w:spacing w:after="0" w:line="240" w:lineRule="auto"/>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xstylebullet">
    <w:name w:val="Box style bullet"/>
    <w:basedOn w:val="Normal"/>
    <w:uiPriority w:val="1"/>
    <w:qFormat/>
    <w:rsid w:val="003D534C"/>
    <w:pPr>
      <w:pBdr>
        <w:top w:val="single" w:sz="24" w:space="1" w:color="FFFFFF" w:themeColor="background2" w:themeTint="33"/>
        <w:left w:val="single" w:sz="24" w:space="4" w:color="FFFFFF" w:themeColor="background2" w:themeTint="33"/>
        <w:bottom w:val="single" w:sz="24" w:space="1" w:color="FFFFFF" w:themeColor="background2" w:themeTint="33"/>
        <w:right w:val="single" w:sz="24" w:space="4" w:color="FFFFFF" w:themeColor="background2" w:themeTint="33"/>
      </w:pBdr>
      <w:shd w:val="clear" w:color="auto" w:fill="CCCCCC" w:themeFill="text2" w:themeFillTint="33"/>
      <w:spacing w:before="80" w:line="252" w:lineRule="auto"/>
      <w:ind w:left="360" w:hanging="360"/>
    </w:pPr>
    <w:rPr>
      <w:rFonts w:ascii="Arial" w:eastAsia="Arial" w:hAnsi="Arial" w:cs="Arial"/>
    </w:rPr>
  </w:style>
  <w:style w:type="paragraph" w:styleId="FootnoteText">
    <w:name w:val="footnote text"/>
    <w:aliases w:val="Footnote Text Char1 Char,Footnote Text Char Char Char,Footnote Text Char1 Char1 Char Char,Footnote Text Char Char Char Char Char,Footnote Text Char1 Char Char Char Char,Footnote Text Char Char1 Char Char Char Char,fn,C,ADB,ft,single space"/>
    <w:basedOn w:val="Normal"/>
    <w:link w:val="FootnoteTextChar"/>
    <w:uiPriority w:val="99"/>
    <w:unhideWhenUsed/>
    <w:qFormat/>
    <w:rsid w:val="003D6F8B"/>
    <w:pPr>
      <w:spacing w:before="0" w:after="0"/>
    </w:pPr>
  </w:style>
  <w:style w:type="character" w:customStyle="1" w:styleId="FootnoteTextChar">
    <w:name w:val="Footnote Text Char"/>
    <w:aliases w:val="Footnote Text Char1 Char Char,Footnote Text Char Char Char Char,Footnote Text Char1 Char1 Char Char Char,Footnote Text Char Char Char Char Char Char,Footnote Text Char1 Char Char Char Char Char,fn Char,C Char,ADB Char,ft Char"/>
    <w:basedOn w:val="DefaultParagraphFont"/>
    <w:link w:val="FootnoteText"/>
    <w:uiPriority w:val="99"/>
    <w:qFormat/>
    <w:rsid w:val="003D6F8B"/>
    <w:rPr>
      <w:lang w:val="en-AU"/>
    </w:rPr>
  </w:style>
  <w:style w:type="character" w:styleId="FootnoteReference">
    <w:name w:val="footnote reference"/>
    <w:aliases w:val="ftref,(NECG) Footnote Reference,Ref,de nota al pie,footnote ref,16 Point,Superscript 6 Point,Fußnotenzeichen DISS,fr,BVI fnr,Char Char Char Char Car Char,FnR-ANZDEC,Footnote Ref in FtNote,Footnote text,SUPERS,Normal + Font:9 Point,f"/>
    <w:basedOn w:val="DefaultParagraphFont"/>
    <w:link w:val="footnotenumber"/>
    <w:uiPriority w:val="99"/>
    <w:qFormat/>
    <w:rsid w:val="003D6F8B"/>
    <w:rPr>
      <w:vertAlign w:val="superscript"/>
    </w:rPr>
  </w:style>
  <w:style w:type="paragraph" w:customStyle="1" w:styleId="TableNoSpacing">
    <w:name w:val="Table No Spacing"/>
    <w:basedOn w:val="Normal"/>
    <w:uiPriority w:val="6"/>
    <w:qFormat/>
    <w:rsid w:val="003D534C"/>
    <w:pPr>
      <w:numPr>
        <w:numId w:val="6"/>
      </w:numPr>
      <w:spacing w:after="0" w:line="264" w:lineRule="auto"/>
    </w:pPr>
    <w:rPr>
      <w:rFonts w:ascii="Arial" w:eastAsiaTheme="minorEastAsia" w:hAnsi="Arial"/>
      <w:szCs w:val="24"/>
    </w:rPr>
  </w:style>
  <w:style w:type="character" w:customStyle="1" w:styleId="normaltextrun">
    <w:name w:val="normaltextrun"/>
    <w:basedOn w:val="DefaultParagraphFont"/>
    <w:rsid w:val="00634EEC"/>
  </w:style>
  <w:style w:type="table" w:customStyle="1" w:styleId="TetraTech">
    <w:name w:val="Tetra Tech"/>
    <w:basedOn w:val="TableNormal"/>
    <w:uiPriority w:val="99"/>
    <w:rsid w:val="000477FC"/>
    <w:pPr>
      <w:spacing w:before="60" w:after="60" w:line="252" w:lineRule="auto"/>
    </w:pPr>
    <w:rPr>
      <w:rFonts w:ascii="Arial" w:eastAsiaTheme="minorEastAsia" w:hAnsi="Arial"/>
      <w:szCs w:val="24"/>
    </w:rPr>
    <w:tblPr>
      <w:tblStyleRowBandSize w:val="1"/>
      <w:tblBorders>
        <w:top w:val="single" w:sz="4" w:space="0" w:color="00837C" w:themeColor="accent1"/>
        <w:bottom w:val="single" w:sz="4" w:space="0" w:color="00837C" w:themeColor="accent1"/>
        <w:insideH w:val="single" w:sz="4" w:space="0" w:color="00837C" w:themeColor="accent1"/>
      </w:tblBorders>
    </w:tblPr>
    <w:tcPr>
      <w:shd w:val="clear" w:color="auto" w:fill="auto"/>
      <w:vAlign w:val="center"/>
    </w:tcPr>
    <w:tblStylePr w:type="firstRow">
      <w:pPr>
        <w:jc w:val="left"/>
      </w:pPr>
      <w:rPr>
        <w:rFonts w:asciiTheme="minorHAnsi" w:hAnsiTheme="minorHAnsi"/>
        <w:b/>
        <w:color w:val="FFFFFF" w:themeColor="background1"/>
        <w:sz w:val="20"/>
      </w:rPr>
      <w:tblPr/>
      <w:tcPr>
        <w:shd w:val="clear" w:color="auto" w:fill="00837C" w:themeFill="accent1"/>
      </w:tcPr>
    </w:tblStylePr>
    <w:tblStylePr w:type="lastRow">
      <w:tblPr/>
      <w:tcPr>
        <w:shd w:val="clear" w:color="auto" w:fill="D9D9D9" w:themeFill="background1" w:themeFillShade="D9"/>
      </w:tcPr>
    </w:tblStylePr>
    <w:tblStylePr w:type="firstCol">
      <w:rPr>
        <w:rFonts w:asciiTheme="minorHAnsi" w:hAnsiTheme="minorHAnsi"/>
        <w:b/>
        <w:sz w:val="20"/>
      </w:rPr>
      <w:tblPr/>
      <w:tcPr>
        <w:shd w:val="clear" w:color="auto" w:fill="F2F2F2" w:themeFill="background1" w:themeFillShade="F2"/>
      </w:tcPr>
    </w:tblStylePr>
  </w:style>
  <w:style w:type="paragraph" w:customStyle="1" w:styleId="Annextitle">
    <w:name w:val="Annex title"/>
    <w:uiPriority w:val="1"/>
    <w:qFormat/>
    <w:rsid w:val="00D83B5F"/>
    <w:pPr>
      <w:spacing w:before="200" w:after="120" w:line="240" w:lineRule="auto"/>
    </w:pPr>
    <w:rPr>
      <w:rFonts w:ascii="Arial" w:eastAsia="Arial" w:hAnsi="Arial" w:cs="Times New Roman"/>
      <w:b/>
      <w:bCs/>
      <w:noProof/>
      <w:lang w:val="en-AU"/>
    </w:rPr>
  </w:style>
  <w:style w:type="paragraph" w:customStyle="1" w:styleId="Bullet2">
    <w:name w:val="Bullet 2"/>
    <w:basedOn w:val="ListParagraph"/>
    <w:uiPriority w:val="2"/>
    <w:qFormat/>
    <w:rsid w:val="00C63D93"/>
    <w:pPr>
      <w:numPr>
        <w:numId w:val="2"/>
      </w:numPr>
      <w:ind w:left="511"/>
    </w:pPr>
    <w:rPr>
      <w:b/>
      <w:bCs/>
    </w:rPr>
  </w:style>
  <w:style w:type="paragraph" w:customStyle="1" w:styleId="Number">
    <w:name w:val="Number"/>
    <w:basedOn w:val="ListParagraph"/>
    <w:qFormat/>
    <w:rsid w:val="00265BE1"/>
    <w:pPr>
      <w:numPr>
        <w:numId w:val="3"/>
      </w:numPr>
    </w:pPr>
  </w:style>
  <w:style w:type="paragraph" w:styleId="ListBullet">
    <w:name w:val="List Bullet"/>
    <w:basedOn w:val="Normal"/>
    <w:uiPriority w:val="2"/>
    <w:unhideWhenUsed/>
    <w:rsid w:val="003B77FA"/>
    <w:pPr>
      <w:numPr>
        <w:numId w:val="1"/>
      </w:numPr>
      <w:contextualSpacing/>
    </w:pPr>
  </w:style>
  <w:style w:type="paragraph" w:styleId="BodyText">
    <w:name w:val="Body Text"/>
    <w:link w:val="BodyTextChar"/>
    <w:qFormat/>
    <w:rsid w:val="00033B90"/>
    <w:pPr>
      <w:spacing w:before="140" w:after="140" w:line="264" w:lineRule="auto"/>
      <w:ind w:left="1440" w:hanging="360"/>
    </w:pPr>
    <w:rPr>
      <w:rFonts w:ascii="Arial" w:eastAsia="Arial" w:hAnsi="Arial" w:cs="Times New Roman"/>
      <w:noProof/>
      <w:lang w:val="en-AU"/>
    </w:rPr>
  </w:style>
  <w:style w:type="character" w:customStyle="1" w:styleId="BodyTextChar">
    <w:name w:val="Body Text Char"/>
    <w:basedOn w:val="DefaultParagraphFont"/>
    <w:link w:val="BodyText"/>
    <w:rsid w:val="00033B90"/>
    <w:rPr>
      <w:rFonts w:ascii="Arial" w:eastAsia="Arial" w:hAnsi="Arial" w:cs="Times New Roman"/>
      <w:noProof/>
      <w:lang w:val="en-AU"/>
    </w:rPr>
  </w:style>
  <w:style w:type="paragraph" w:customStyle="1" w:styleId="BodyCopy">
    <w:name w:val="Body Copy"/>
    <w:link w:val="BodyCopyChar"/>
    <w:qFormat/>
    <w:rsid w:val="008623B1"/>
    <w:pPr>
      <w:spacing w:before="120" w:after="120" w:line="240" w:lineRule="atLeast"/>
    </w:pPr>
    <w:rPr>
      <w:rFonts w:ascii="Aptos" w:hAnsi="Aptos" w:cs="Times New Roman"/>
      <w:spacing w:val="-2"/>
      <w:sz w:val="22"/>
      <w:lang w:val="en-AU"/>
    </w:rPr>
  </w:style>
  <w:style w:type="character" w:customStyle="1" w:styleId="BodyCopyChar">
    <w:name w:val="Body Copy Char"/>
    <w:link w:val="BodyCopy"/>
    <w:locked/>
    <w:rsid w:val="008623B1"/>
    <w:rPr>
      <w:rFonts w:ascii="Aptos" w:hAnsi="Aptos" w:cs="Times New Roman"/>
      <w:spacing w:val="-2"/>
      <w:sz w:val="22"/>
      <w:lang w:val="en-AU"/>
    </w:rPr>
  </w:style>
  <w:style w:type="character" w:styleId="Mention">
    <w:name w:val="Mention"/>
    <w:basedOn w:val="DefaultParagraphFont"/>
    <w:uiPriority w:val="99"/>
    <w:unhideWhenUsed/>
    <w:rsid w:val="006C3329"/>
    <w:rPr>
      <w:color w:val="2B579A"/>
      <w:shd w:val="clear" w:color="auto" w:fill="E6E6E6"/>
    </w:rPr>
  </w:style>
  <w:style w:type="paragraph" w:customStyle="1" w:styleId="xl73">
    <w:name w:val="xl73"/>
    <w:basedOn w:val="Normal"/>
    <w:rsid w:val="00032BD3"/>
    <w:pPr>
      <w:spacing w:before="100" w:beforeAutospacing="1" w:after="100" w:afterAutospacing="1"/>
      <w:ind w:firstLineChars="200" w:firstLine="200"/>
    </w:pPr>
    <w:rPr>
      <w:rFonts w:ascii="Times New Roman" w:eastAsia="Times New Roman" w:hAnsi="Times New Roman" w:cs="Times New Roman"/>
      <w:sz w:val="24"/>
      <w:szCs w:val="24"/>
      <w:lang w:val="en-US"/>
    </w:rPr>
  </w:style>
  <w:style w:type="paragraph" w:customStyle="1" w:styleId="xl84">
    <w:name w:val="xl84"/>
    <w:basedOn w:val="Normal"/>
    <w:rsid w:val="00032BD3"/>
    <w:pPr>
      <w:spacing w:before="100" w:beforeAutospacing="1" w:after="100" w:afterAutospacing="1"/>
      <w:ind w:firstLineChars="100" w:firstLine="100"/>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032BD3"/>
    <w:pPr>
      <w:spacing w:before="100" w:beforeAutospacing="1" w:after="100" w:afterAutospacing="1"/>
      <w:ind w:firstLineChars="100" w:firstLine="100"/>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032BD3"/>
    <w:pPr>
      <w:spacing w:before="100" w:beforeAutospacing="1" w:after="100" w:afterAutospacing="1"/>
      <w:ind w:firstLineChars="100" w:firstLine="100"/>
      <w:textAlignment w:val="center"/>
    </w:pPr>
    <w:rPr>
      <w:rFonts w:ascii="Times New Roman" w:eastAsia="Times New Roman" w:hAnsi="Times New Roman" w:cs="Times New Roman"/>
      <w:sz w:val="24"/>
      <w:szCs w:val="24"/>
      <w:lang w:val="en-US"/>
    </w:rPr>
  </w:style>
  <w:style w:type="paragraph" w:customStyle="1" w:styleId="xl92">
    <w:name w:val="xl92"/>
    <w:basedOn w:val="Normal"/>
    <w:rsid w:val="00032BD3"/>
    <w:pPr>
      <w:spacing w:before="100" w:beforeAutospacing="1" w:after="100" w:afterAutospacing="1"/>
      <w:ind w:firstLineChars="100" w:firstLine="100"/>
      <w:textAlignment w:val="center"/>
    </w:pPr>
    <w:rPr>
      <w:rFonts w:ascii="Times New Roman" w:eastAsia="Times New Roman" w:hAnsi="Times New Roman" w:cs="Times New Roman"/>
      <w:b/>
      <w:bCs/>
      <w:sz w:val="32"/>
      <w:szCs w:val="32"/>
      <w:lang w:val="en-US"/>
    </w:rPr>
  </w:style>
  <w:style w:type="paragraph" w:customStyle="1" w:styleId="xl95">
    <w:name w:val="xl95"/>
    <w:basedOn w:val="Normal"/>
    <w:rsid w:val="00032BD3"/>
    <w:pPr>
      <w:shd w:val="clear" w:color="000000" w:fill="0082B3"/>
      <w:spacing w:before="100" w:beforeAutospacing="1" w:after="100" w:afterAutospacing="1"/>
      <w:ind w:firstLineChars="100" w:firstLine="100"/>
      <w:textAlignment w:val="center"/>
    </w:pPr>
    <w:rPr>
      <w:rFonts w:ascii="Times New Roman" w:eastAsia="Times New Roman" w:hAnsi="Times New Roman" w:cs="Times New Roman"/>
      <w:b/>
      <w:bCs/>
      <w:sz w:val="24"/>
      <w:szCs w:val="24"/>
      <w:lang w:val="en-US"/>
    </w:rPr>
  </w:style>
  <w:style w:type="paragraph" w:customStyle="1" w:styleId="xl101">
    <w:name w:val="xl101"/>
    <w:basedOn w:val="Normal"/>
    <w:rsid w:val="00032BD3"/>
    <w:pPr>
      <w:shd w:val="clear" w:color="000000" w:fill="F2F2F2"/>
      <w:spacing w:before="100" w:beforeAutospacing="1" w:after="100" w:afterAutospacing="1"/>
      <w:ind w:firstLineChars="100" w:firstLine="100"/>
      <w:textAlignment w:val="center"/>
    </w:pPr>
    <w:rPr>
      <w:rFonts w:ascii="Times New Roman" w:eastAsia="Times New Roman" w:hAnsi="Times New Roman" w:cs="Times New Roman"/>
      <w:b/>
      <w:bCs/>
      <w:color w:val="0082B3"/>
      <w:sz w:val="44"/>
      <w:szCs w:val="44"/>
      <w:lang w:val="en-US"/>
    </w:rPr>
  </w:style>
  <w:style w:type="paragraph" w:customStyle="1" w:styleId="xl104">
    <w:name w:val="xl104"/>
    <w:basedOn w:val="Normal"/>
    <w:rsid w:val="00032BD3"/>
    <w:pPr>
      <w:spacing w:before="100" w:beforeAutospacing="1" w:after="100" w:afterAutospacing="1"/>
      <w:ind w:firstLineChars="100" w:firstLine="100"/>
      <w:textAlignment w:val="center"/>
    </w:pPr>
    <w:rPr>
      <w:rFonts w:ascii="Times New Roman" w:eastAsia="Times New Roman" w:hAnsi="Times New Roman" w:cs="Times New Roman"/>
      <w:sz w:val="24"/>
      <w:szCs w:val="24"/>
      <w:lang w:val="en-US"/>
    </w:rPr>
  </w:style>
  <w:style w:type="paragraph" w:customStyle="1" w:styleId="xl109">
    <w:name w:val="xl109"/>
    <w:basedOn w:val="Normal"/>
    <w:rsid w:val="00032BD3"/>
    <w:pPr>
      <w:shd w:val="clear" w:color="000000" w:fill="F2F2F2"/>
      <w:spacing w:before="100" w:beforeAutospacing="1" w:after="100" w:afterAutospacing="1"/>
      <w:ind w:firstLineChars="100" w:firstLine="100"/>
      <w:textAlignment w:val="center"/>
    </w:pPr>
    <w:rPr>
      <w:rFonts w:ascii="Times New Roman" w:eastAsia="Times New Roman" w:hAnsi="Times New Roman" w:cs="Times New Roman"/>
      <w:b/>
      <w:bCs/>
      <w:color w:val="0082B3"/>
      <w:sz w:val="28"/>
      <w:szCs w:val="28"/>
      <w:lang w:val="en-US"/>
    </w:rPr>
  </w:style>
  <w:style w:type="paragraph" w:customStyle="1" w:styleId="xl110">
    <w:name w:val="xl110"/>
    <w:basedOn w:val="Normal"/>
    <w:rsid w:val="00032BD3"/>
    <w:pPr>
      <w:shd w:val="clear" w:color="000000" w:fill="F2F2F2"/>
      <w:spacing w:before="100" w:beforeAutospacing="1" w:after="100" w:afterAutospacing="1"/>
      <w:ind w:firstLineChars="100" w:firstLine="100"/>
      <w:textAlignment w:val="center"/>
    </w:pPr>
    <w:rPr>
      <w:rFonts w:ascii="Times New Roman" w:eastAsia="Times New Roman" w:hAnsi="Times New Roman" w:cs="Times New Roman"/>
      <w:b/>
      <w:bCs/>
      <w:color w:val="F2F2F2"/>
      <w:sz w:val="28"/>
      <w:szCs w:val="28"/>
      <w:lang w:val="en-US"/>
    </w:rPr>
  </w:style>
  <w:style w:type="paragraph" w:styleId="Revision">
    <w:name w:val="Revision"/>
    <w:hidden/>
    <w:uiPriority w:val="99"/>
    <w:semiHidden/>
    <w:rsid w:val="00C21041"/>
    <w:pPr>
      <w:spacing w:after="0" w:line="240" w:lineRule="auto"/>
    </w:pPr>
    <w:rPr>
      <w:lang w:val="en-AU"/>
    </w:rPr>
  </w:style>
  <w:style w:type="paragraph" w:customStyle="1" w:styleId="TableBullet">
    <w:name w:val="Table Bullet"/>
    <w:basedOn w:val="ListBullet"/>
    <w:uiPriority w:val="2"/>
    <w:qFormat/>
    <w:rsid w:val="006060A7"/>
    <w:pPr>
      <w:numPr>
        <w:numId w:val="0"/>
      </w:numPr>
      <w:tabs>
        <w:tab w:val="num" w:pos="288"/>
      </w:tabs>
      <w:spacing w:after="0" w:line="264" w:lineRule="auto"/>
      <w:ind w:left="288" w:hanging="216"/>
      <w:contextualSpacing w:val="0"/>
    </w:pPr>
    <w:rPr>
      <w:rFonts w:ascii="Arial" w:eastAsiaTheme="minorEastAsia" w:hAnsi="Arial"/>
      <w:noProof/>
      <w:szCs w:val="24"/>
    </w:rPr>
  </w:style>
  <w:style w:type="paragraph" w:customStyle="1" w:styleId="Bullet">
    <w:name w:val="Bullet"/>
    <w:basedOn w:val="ListParagraph"/>
    <w:qFormat/>
    <w:rsid w:val="00573FD5"/>
    <w:pPr>
      <w:numPr>
        <w:numId w:val="4"/>
      </w:numPr>
      <w:spacing w:before="120" w:after="120" w:line="240" w:lineRule="atLeast"/>
    </w:pPr>
    <w:rPr>
      <w:rFonts w:ascii="Arial" w:hAnsi="Arial" w:cs="Arial"/>
    </w:rPr>
  </w:style>
  <w:style w:type="table" w:customStyle="1" w:styleId="McLLTableGeneralText2">
    <w:name w:val="McLL Table General Text2"/>
    <w:basedOn w:val="TableNormal"/>
    <w:next w:val="TableGrid"/>
    <w:rsid w:val="00F34C05"/>
    <w:pPr>
      <w:spacing w:after="0" w:line="240" w:lineRule="auto"/>
    </w:pPr>
    <w:rPr>
      <w:rFonts w:ascii="Times New Roman" w:eastAsia="Arial" w:hAnsi="Times New Roman"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F2EA6"/>
    <w:pPr>
      <w:spacing w:before="100" w:beforeAutospacing="1" w:after="100" w:afterAutospacing="1"/>
    </w:pPr>
    <w:rPr>
      <w:rFonts w:ascii="Times New Roman" w:eastAsia="Times New Roman" w:hAnsi="Times New Roman" w:cs="Times New Roman"/>
      <w:sz w:val="24"/>
      <w:szCs w:val="24"/>
      <w:lang w:val="en-US"/>
    </w:rPr>
  </w:style>
  <w:style w:type="paragraph" w:customStyle="1" w:styleId="xl66">
    <w:name w:val="xl66"/>
    <w:basedOn w:val="Normal"/>
    <w:rsid w:val="00DF2EA6"/>
    <w:pPr>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DF2EA6"/>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68">
    <w:name w:val="xl68"/>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69">
    <w:name w:val="xl69"/>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70">
    <w:name w:val="xl70"/>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71">
    <w:name w:val="xl71"/>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72">
    <w:name w:val="xl72"/>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74">
    <w:name w:val="xl74"/>
    <w:basedOn w:val="Normal"/>
    <w:rsid w:val="00DF2EA6"/>
    <w:pPr>
      <w:spacing w:before="100" w:beforeAutospacing="1" w:after="100" w:afterAutospacing="1"/>
    </w:pPr>
    <w:rPr>
      <w:rFonts w:ascii="Times New Roman" w:eastAsia="Times New Roman" w:hAnsi="Times New Roman" w:cs="Times New Roman"/>
      <w:i/>
      <w:iCs/>
      <w:color w:val="7F7F7F"/>
      <w:sz w:val="24"/>
      <w:szCs w:val="24"/>
      <w:lang w:val="en-US"/>
    </w:rPr>
  </w:style>
  <w:style w:type="paragraph" w:customStyle="1" w:styleId="xl75">
    <w:name w:val="xl75"/>
    <w:basedOn w:val="Normal"/>
    <w:rsid w:val="00DF2EA6"/>
    <w:pPr>
      <w:pBdr>
        <w:left w:val="single" w:sz="4" w:space="0" w:color="D9D9D9"/>
        <w:right w:val="single" w:sz="4" w:space="0" w:color="D9D9D9"/>
      </w:pBdr>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DF2EA6"/>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DF2EA6"/>
    <w:pPr>
      <w:pBdr>
        <w:left w:val="single" w:sz="4" w:space="0" w:color="D9D9D9"/>
        <w:right w:val="single" w:sz="4" w:space="0" w:color="D9D9D9"/>
      </w:pBd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78">
    <w:name w:val="xl78"/>
    <w:basedOn w:val="Normal"/>
    <w:rsid w:val="00DF2EA6"/>
    <w:pPr>
      <w:shd w:val="clear" w:color="000000" w:fill="F2F2F2"/>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DF2EA6"/>
    <w:pPr>
      <w:spacing w:before="100" w:beforeAutospacing="1" w:after="100" w:afterAutospacing="1"/>
      <w:textAlignment w:val="center"/>
    </w:pPr>
    <w:rPr>
      <w:rFonts w:ascii="Times New Roman" w:eastAsia="Times New Roman" w:hAnsi="Times New Roman" w:cs="Times New Roman"/>
      <w:b/>
      <w:bCs/>
      <w:sz w:val="28"/>
      <w:szCs w:val="28"/>
      <w:lang w:val="en-US"/>
    </w:rPr>
  </w:style>
  <w:style w:type="paragraph" w:customStyle="1" w:styleId="xl80">
    <w:name w:val="xl80"/>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81">
    <w:name w:val="xl81"/>
    <w:basedOn w:val="Normal"/>
    <w:rsid w:val="00DF2EA6"/>
    <w:pPr>
      <w:shd w:val="clear" w:color="000000" w:fill="F2F2F2"/>
      <w:spacing w:before="100" w:beforeAutospacing="1" w:after="100" w:afterAutospacing="1"/>
      <w:textAlignment w:val="center"/>
    </w:pPr>
    <w:rPr>
      <w:rFonts w:ascii="Times New Roman" w:eastAsia="Times New Roman" w:hAnsi="Times New Roman" w:cs="Times New Roman"/>
      <w:b/>
      <w:bCs/>
      <w:sz w:val="40"/>
      <w:szCs w:val="40"/>
      <w:lang w:val="en-US"/>
    </w:rPr>
  </w:style>
  <w:style w:type="paragraph" w:customStyle="1" w:styleId="xl82">
    <w:name w:val="xl82"/>
    <w:basedOn w:val="Normal"/>
    <w:rsid w:val="00DF2EA6"/>
    <w:pPr>
      <w:shd w:val="clear" w:color="000000" w:fill="F2F2F2"/>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DF2EA6"/>
    <w:pPr>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85">
    <w:name w:val="xl85"/>
    <w:basedOn w:val="Normal"/>
    <w:rsid w:val="00DF2EA6"/>
    <w:pPr>
      <w:shd w:val="clear" w:color="000000" w:fill="F2F2F2"/>
      <w:spacing w:before="100" w:beforeAutospacing="1" w:after="100" w:afterAutospacing="1"/>
      <w:jc w:val="center"/>
      <w:textAlignment w:val="center"/>
    </w:pPr>
    <w:rPr>
      <w:rFonts w:ascii="Times New Roman" w:eastAsia="Times New Roman" w:hAnsi="Times New Roman" w:cs="Times New Roman"/>
      <w:sz w:val="28"/>
      <w:szCs w:val="28"/>
      <w:lang w:val="en-US"/>
    </w:rPr>
  </w:style>
  <w:style w:type="paragraph" w:customStyle="1" w:styleId="xl87">
    <w:name w:val="xl87"/>
    <w:basedOn w:val="Normal"/>
    <w:rsid w:val="00DF2EA6"/>
    <w:pPr>
      <w:spacing w:before="100" w:beforeAutospacing="1" w:after="100" w:afterAutospacing="1"/>
    </w:pPr>
    <w:rPr>
      <w:rFonts w:ascii="Times New Roman" w:eastAsia="Times New Roman" w:hAnsi="Times New Roman" w:cs="Times New Roman"/>
      <w:sz w:val="24"/>
      <w:szCs w:val="24"/>
      <w:lang w:val="en-US"/>
    </w:rPr>
  </w:style>
  <w:style w:type="paragraph" w:customStyle="1" w:styleId="xl89">
    <w:name w:val="xl89"/>
    <w:basedOn w:val="Normal"/>
    <w:rsid w:val="00DF2EA6"/>
    <w:pPr>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90">
    <w:name w:val="xl90"/>
    <w:basedOn w:val="Normal"/>
    <w:rsid w:val="00DF2EA6"/>
    <w:pPr>
      <w:shd w:val="clear" w:color="000000" w:fill="F2F2F2"/>
      <w:spacing w:before="100" w:beforeAutospacing="1" w:after="100" w:afterAutospacing="1"/>
      <w:textAlignment w:val="center"/>
    </w:pPr>
    <w:rPr>
      <w:rFonts w:ascii="Times New Roman" w:eastAsia="Times New Roman" w:hAnsi="Times New Roman" w:cs="Times New Roman"/>
      <w:sz w:val="28"/>
      <w:szCs w:val="28"/>
      <w:lang w:val="en-US"/>
    </w:rPr>
  </w:style>
  <w:style w:type="paragraph" w:customStyle="1" w:styleId="xl91">
    <w:name w:val="xl91"/>
    <w:basedOn w:val="Normal"/>
    <w:rsid w:val="00DF2EA6"/>
    <w:pPr>
      <w:pBdr>
        <w:bottom w:val="single" w:sz="4" w:space="0" w:color="172DA6"/>
      </w:pBd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93">
    <w:name w:val="xl93"/>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94">
    <w:name w:val="xl94"/>
    <w:basedOn w:val="Normal"/>
    <w:rsid w:val="00DF2EA6"/>
    <w:pPr>
      <w:spacing w:before="100" w:beforeAutospacing="1" w:after="100" w:afterAutospacing="1"/>
      <w:jc w:val="center"/>
      <w:textAlignment w:val="center"/>
    </w:pPr>
    <w:rPr>
      <w:rFonts w:ascii="Times New Roman" w:eastAsia="Times New Roman" w:hAnsi="Times New Roman" w:cs="Times New Roman"/>
      <w:b/>
      <w:bCs/>
      <w:color w:val="177B56"/>
      <w:sz w:val="24"/>
      <w:szCs w:val="24"/>
      <w:lang w:val="en-US"/>
    </w:rPr>
  </w:style>
  <w:style w:type="paragraph" w:customStyle="1" w:styleId="xl96">
    <w:name w:val="xl96"/>
    <w:basedOn w:val="Normal"/>
    <w:rsid w:val="00DF2EA6"/>
    <w:pPr>
      <w:shd w:val="clear" w:color="000000" w:fill="0082B3"/>
      <w:spacing w:before="100" w:beforeAutospacing="1" w:after="100" w:afterAutospacing="1"/>
      <w:jc w:val="center"/>
      <w:textAlignment w:val="center"/>
    </w:pPr>
    <w:rPr>
      <w:rFonts w:ascii="Times New Roman" w:eastAsia="Times New Roman" w:hAnsi="Times New Roman" w:cs="Times New Roman"/>
      <w:b/>
      <w:bCs/>
      <w:sz w:val="24"/>
      <w:szCs w:val="24"/>
      <w:lang w:val="en-US"/>
    </w:rPr>
  </w:style>
  <w:style w:type="paragraph" w:customStyle="1" w:styleId="xl97">
    <w:name w:val="xl97"/>
    <w:basedOn w:val="Normal"/>
    <w:rsid w:val="00DF2EA6"/>
    <w:pPr>
      <w:pBdr>
        <w:right w:val="single" w:sz="4" w:space="0" w:color="FFFFFF"/>
      </w:pBdr>
      <w:shd w:val="clear" w:color="0EABB7" w:fill="0082B3"/>
      <w:spacing w:before="100" w:beforeAutospacing="1" w:after="100" w:afterAutospacing="1"/>
      <w:jc w:val="center"/>
      <w:textAlignment w:val="center"/>
    </w:pPr>
    <w:rPr>
      <w:rFonts w:ascii="Times New Roman" w:eastAsia="Times New Roman" w:hAnsi="Times New Roman" w:cs="Times New Roman"/>
      <w:b/>
      <w:bCs/>
      <w:color w:val="FFFFFF"/>
      <w:lang w:val="en-US"/>
    </w:rPr>
  </w:style>
  <w:style w:type="paragraph" w:customStyle="1" w:styleId="xl98">
    <w:name w:val="xl98"/>
    <w:basedOn w:val="Normal"/>
    <w:rsid w:val="00DF2EA6"/>
    <w:pPr>
      <w:pBdr>
        <w:top w:val="single" w:sz="4" w:space="0" w:color="8439BD"/>
        <w:right w:val="single" w:sz="4" w:space="0" w:color="FFFFFF"/>
      </w:pBdr>
      <w:shd w:val="clear" w:color="000000" w:fill="0082B3"/>
      <w:spacing w:before="100" w:beforeAutospacing="1" w:after="100" w:afterAutospacing="1"/>
      <w:jc w:val="center"/>
      <w:textAlignment w:val="center"/>
    </w:pPr>
    <w:rPr>
      <w:rFonts w:ascii="Times New Roman" w:eastAsia="Times New Roman" w:hAnsi="Times New Roman" w:cs="Times New Roman"/>
      <w:color w:val="FFFFFF"/>
      <w:lang w:val="en-US"/>
    </w:rPr>
  </w:style>
  <w:style w:type="paragraph" w:customStyle="1" w:styleId="xl99">
    <w:name w:val="xl99"/>
    <w:basedOn w:val="Normal"/>
    <w:rsid w:val="00DF2EA6"/>
    <w:pPr>
      <w:pBdr>
        <w:top w:val="single" w:sz="4" w:space="0" w:color="8439BD"/>
        <w:left w:val="single" w:sz="4" w:space="0" w:color="FFFFFF"/>
        <w:right w:val="single" w:sz="4" w:space="0" w:color="FFFFFF"/>
      </w:pBdr>
      <w:shd w:val="clear" w:color="000000" w:fill="0082B3"/>
      <w:spacing w:before="100" w:beforeAutospacing="1" w:after="100" w:afterAutospacing="1"/>
      <w:jc w:val="center"/>
      <w:textAlignment w:val="center"/>
    </w:pPr>
    <w:rPr>
      <w:rFonts w:ascii="Times New Roman" w:eastAsia="Times New Roman" w:hAnsi="Times New Roman" w:cs="Times New Roman"/>
      <w:color w:val="FFFFFF"/>
      <w:lang w:val="en-US"/>
    </w:rPr>
  </w:style>
  <w:style w:type="paragraph" w:customStyle="1" w:styleId="xl100">
    <w:name w:val="xl100"/>
    <w:basedOn w:val="Normal"/>
    <w:rsid w:val="00DF2EA6"/>
    <w:pPr>
      <w:spacing w:before="100" w:beforeAutospacing="1" w:after="100" w:afterAutospacing="1"/>
      <w:textAlignment w:val="center"/>
    </w:pPr>
    <w:rPr>
      <w:rFonts w:ascii="Times New Roman" w:eastAsia="Times New Roman" w:hAnsi="Times New Roman" w:cs="Times New Roman"/>
      <w:color w:val="FFFFFF"/>
      <w:sz w:val="24"/>
      <w:szCs w:val="24"/>
      <w:lang w:val="en-US"/>
    </w:rPr>
  </w:style>
  <w:style w:type="paragraph" w:customStyle="1" w:styleId="xl102">
    <w:name w:val="xl102"/>
    <w:basedOn w:val="Normal"/>
    <w:rsid w:val="00DF2EA6"/>
    <w:pPr>
      <w:spacing w:before="100" w:beforeAutospacing="1" w:after="100" w:afterAutospacing="1"/>
      <w:textAlignment w:val="center"/>
    </w:pPr>
    <w:rPr>
      <w:rFonts w:ascii="Times New Roman" w:eastAsia="Times New Roman" w:hAnsi="Times New Roman" w:cs="Times New Roman"/>
      <w:b/>
      <w:bCs/>
      <w:sz w:val="28"/>
      <w:szCs w:val="28"/>
      <w:lang w:val="en-US"/>
    </w:rPr>
  </w:style>
  <w:style w:type="paragraph" w:customStyle="1" w:styleId="xl103">
    <w:name w:val="xl103"/>
    <w:basedOn w:val="Normal"/>
    <w:rsid w:val="00DF2EA6"/>
    <w:pPr>
      <w:pBdr>
        <w:left w:val="single" w:sz="4" w:space="0" w:color="FFFFFF"/>
        <w:bottom w:val="single" w:sz="4" w:space="0" w:color="8439BD"/>
        <w:right w:val="single" w:sz="4" w:space="0" w:color="FFFFFF"/>
      </w:pBdr>
      <w:shd w:val="clear" w:color="000000" w:fill="0082B3"/>
      <w:spacing w:before="100" w:beforeAutospacing="1" w:after="100" w:afterAutospacing="1"/>
      <w:jc w:val="center"/>
      <w:textAlignment w:val="center"/>
    </w:pPr>
    <w:rPr>
      <w:rFonts w:ascii="Times New Roman" w:eastAsia="Times New Roman" w:hAnsi="Times New Roman" w:cs="Times New Roman"/>
      <w:color w:val="0082B3"/>
      <w:lang w:val="en-US"/>
    </w:rPr>
  </w:style>
  <w:style w:type="paragraph" w:customStyle="1" w:styleId="xl105">
    <w:name w:val="xl105"/>
    <w:basedOn w:val="Normal"/>
    <w:rsid w:val="00DF2EA6"/>
    <w:pPr>
      <w:spacing w:before="100" w:beforeAutospacing="1" w:after="100" w:afterAutospacing="1"/>
    </w:pPr>
    <w:rPr>
      <w:rFonts w:ascii="Times New Roman" w:eastAsia="Times New Roman" w:hAnsi="Times New Roman" w:cs="Times New Roman"/>
      <w:sz w:val="32"/>
      <w:szCs w:val="32"/>
      <w:lang w:val="en-US"/>
    </w:rPr>
  </w:style>
  <w:style w:type="paragraph" w:customStyle="1" w:styleId="xl106">
    <w:name w:val="xl106"/>
    <w:basedOn w:val="Normal"/>
    <w:rsid w:val="00DF2EA6"/>
    <w:pPr>
      <w:pBdr>
        <w:top w:val="single" w:sz="4" w:space="0" w:color="172DA6"/>
      </w:pBdr>
      <w:spacing w:before="100" w:beforeAutospacing="1" w:after="100" w:afterAutospacing="1"/>
    </w:pPr>
    <w:rPr>
      <w:rFonts w:ascii="Times New Roman" w:eastAsia="Times New Roman" w:hAnsi="Times New Roman" w:cs="Times New Roman"/>
      <w:sz w:val="32"/>
      <w:szCs w:val="32"/>
      <w:lang w:val="en-US"/>
    </w:rPr>
  </w:style>
  <w:style w:type="paragraph" w:customStyle="1" w:styleId="xl107">
    <w:name w:val="xl107"/>
    <w:basedOn w:val="Normal"/>
    <w:rsid w:val="00DF2EA6"/>
    <w:pPr>
      <w:pBdr>
        <w:bottom w:val="single" w:sz="4" w:space="0" w:color="172DA6"/>
      </w:pBdr>
      <w:spacing w:before="100" w:beforeAutospacing="1" w:after="100" w:afterAutospacing="1"/>
      <w:textAlignment w:val="center"/>
    </w:pPr>
    <w:rPr>
      <w:rFonts w:ascii="Times New Roman" w:eastAsia="Times New Roman" w:hAnsi="Times New Roman" w:cs="Times New Roman"/>
      <w:color w:val="FFFFFF"/>
      <w:sz w:val="24"/>
      <w:szCs w:val="24"/>
      <w:lang w:val="en-US"/>
    </w:rPr>
  </w:style>
  <w:style w:type="paragraph" w:customStyle="1" w:styleId="xl108">
    <w:name w:val="xl108"/>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11">
    <w:name w:val="xl111"/>
    <w:basedOn w:val="Normal"/>
    <w:rsid w:val="00DF2EA6"/>
    <w:pPr>
      <w:spacing w:before="100" w:beforeAutospacing="1" w:after="100" w:afterAutospacing="1"/>
      <w:textAlignment w:val="center"/>
    </w:pPr>
    <w:rPr>
      <w:rFonts w:ascii="Times New Roman" w:eastAsia="Times New Roman" w:hAnsi="Times New Roman" w:cs="Times New Roman"/>
      <w:sz w:val="28"/>
      <w:szCs w:val="28"/>
      <w:lang w:val="en-US"/>
    </w:rPr>
  </w:style>
  <w:style w:type="table" w:styleId="GridTable4-Accent2">
    <w:name w:val="Grid Table 4 Accent 2"/>
    <w:basedOn w:val="TableNormal"/>
    <w:uiPriority w:val="49"/>
    <w:rsid w:val="00690263"/>
    <w:pPr>
      <w:spacing w:after="0" w:line="240" w:lineRule="auto"/>
    </w:pPr>
    <w:tblPr>
      <w:tblStyleRowBandSize w:val="1"/>
      <w:tblStyleColBandSize w:val="1"/>
      <w:tblBorders>
        <w:top w:val="single" w:sz="4" w:space="0" w:color="87BC79" w:themeColor="accent2" w:themeTint="99"/>
        <w:left w:val="single" w:sz="4" w:space="0" w:color="87BC79" w:themeColor="accent2" w:themeTint="99"/>
        <w:bottom w:val="single" w:sz="4" w:space="0" w:color="87BC79" w:themeColor="accent2" w:themeTint="99"/>
        <w:right w:val="single" w:sz="4" w:space="0" w:color="87BC79" w:themeColor="accent2" w:themeTint="99"/>
        <w:insideH w:val="single" w:sz="4" w:space="0" w:color="87BC79" w:themeColor="accent2" w:themeTint="99"/>
        <w:insideV w:val="single" w:sz="4" w:space="0" w:color="87BC79" w:themeColor="accent2" w:themeTint="99"/>
      </w:tblBorders>
    </w:tblPr>
    <w:tblStylePr w:type="firstRow">
      <w:rPr>
        <w:b/>
        <w:bCs/>
        <w:color w:val="FFFFFF" w:themeColor="background1"/>
      </w:rPr>
      <w:tblPr/>
      <w:tcPr>
        <w:tcBorders>
          <w:top w:val="single" w:sz="4" w:space="0" w:color="47763B" w:themeColor="accent2"/>
          <w:left w:val="single" w:sz="4" w:space="0" w:color="47763B" w:themeColor="accent2"/>
          <w:bottom w:val="single" w:sz="4" w:space="0" w:color="47763B" w:themeColor="accent2"/>
          <w:right w:val="single" w:sz="4" w:space="0" w:color="47763B" w:themeColor="accent2"/>
          <w:insideH w:val="nil"/>
          <w:insideV w:val="nil"/>
        </w:tcBorders>
        <w:shd w:val="clear" w:color="auto" w:fill="47763B" w:themeFill="accent2"/>
      </w:tcPr>
    </w:tblStylePr>
    <w:tblStylePr w:type="lastRow">
      <w:rPr>
        <w:b/>
        <w:bCs/>
      </w:rPr>
      <w:tblPr/>
      <w:tcPr>
        <w:tcBorders>
          <w:top w:val="double" w:sz="4" w:space="0" w:color="47763B" w:themeColor="accent2"/>
        </w:tcBorders>
      </w:tcPr>
    </w:tblStylePr>
    <w:tblStylePr w:type="firstCol">
      <w:rPr>
        <w:b/>
        <w:bCs/>
      </w:rPr>
    </w:tblStylePr>
    <w:tblStylePr w:type="lastCol">
      <w:rPr>
        <w:b/>
        <w:bCs/>
      </w:rPr>
    </w:tblStylePr>
    <w:tblStylePr w:type="band1Vert">
      <w:tblPr/>
      <w:tcPr>
        <w:shd w:val="clear" w:color="auto" w:fill="D6E8D2" w:themeFill="accent2" w:themeFillTint="33"/>
      </w:tcPr>
    </w:tblStylePr>
    <w:tblStylePr w:type="band1Horz">
      <w:tblPr/>
      <w:tcPr>
        <w:shd w:val="clear" w:color="auto" w:fill="D6E8D2" w:themeFill="accent2" w:themeFillTint="33"/>
      </w:tcPr>
    </w:tblStylePr>
  </w:style>
  <w:style w:type="table" w:customStyle="1" w:styleId="TableGrid1">
    <w:name w:val="Table Grid1"/>
    <w:basedOn w:val="TableNormal"/>
    <w:next w:val="TableGrid"/>
    <w:uiPriority w:val="59"/>
    <w:rsid w:val="007D228D"/>
    <w:pPr>
      <w:spacing w:before="77" w:after="113" w:line="250" w:lineRule="exact"/>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4470"/>
    <w:pPr>
      <w:autoSpaceDE w:val="0"/>
      <w:autoSpaceDN w:val="0"/>
      <w:adjustRightInd w:val="0"/>
      <w:spacing w:after="0" w:line="240" w:lineRule="auto"/>
    </w:pPr>
    <w:rPr>
      <w:rFonts w:ascii="Calibri" w:hAnsi="Calibri" w:cs="Calibri"/>
      <w:color w:val="000000"/>
      <w:sz w:val="24"/>
      <w:szCs w:val="24"/>
    </w:rPr>
  </w:style>
  <w:style w:type="table" w:customStyle="1" w:styleId="CoffeyGrey">
    <w:name w:val="Coffey Grey"/>
    <w:basedOn w:val="TableGrid"/>
    <w:uiPriority w:val="99"/>
    <w:rsid w:val="00CC6DCA"/>
    <w:pPr>
      <w:spacing w:before="100" w:after="100" w:line="360" w:lineRule="auto"/>
    </w:pPr>
    <w:rPr>
      <w:rFonts w:ascii="Arial" w:eastAsia="Arial" w:hAnsi="Arial" w:cs="Times New Roman"/>
      <w:sz w:val="19"/>
      <w:lang w:val="en-AU" w:eastAsia="en-AU"/>
    </w:rPr>
    <w:tblPr>
      <w:tblStyleRowBandSize w:val="0"/>
      <w:tblStyleColBandSize w:val="0"/>
      <w:tblBorders>
        <w:top w:val="none" w:sz="0" w:space="0" w:color="auto"/>
        <w:bottom w:val="dotted" w:sz="4" w:space="0" w:color="A6A6A6"/>
        <w:insideH w:val="dotted" w:sz="4" w:space="0" w:color="A6A6A6"/>
      </w:tblBorders>
    </w:tblPr>
    <w:tcPr>
      <w:shd w:val="clear" w:color="auto" w:fill="auto"/>
      <w:vAlign w:val="center"/>
    </w:tcPr>
    <w:tblStylePr w:type="firstRow">
      <w:pPr>
        <w:jc w:val="left"/>
      </w:pPr>
      <w:rPr>
        <w:rFonts w:ascii="Arial" w:hAnsi="Arial"/>
        <w:b/>
        <w:color w:val="003478"/>
        <w:sz w:val="19"/>
      </w:rPr>
      <w:tblPr/>
      <w:tcPr>
        <w:tcBorders>
          <w:top w:val="nil"/>
          <w:left w:val="nil"/>
          <w:bottom w:val="single" w:sz="24" w:space="0" w:color="5482AB"/>
          <w:right w:val="nil"/>
          <w:insideH w:val="nil"/>
          <w:insideV w:val="nil"/>
          <w:tl2br w:val="nil"/>
          <w:tr2bl w:val="nil"/>
        </w:tcBorders>
        <w:shd w:val="clear" w:color="auto" w:fill="auto"/>
      </w:tcPr>
    </w:tblStylePr>
    <w:tblStylePr w:type="lastRow">
      <w:rPr>
        <w:color w:val="000000" w:themeColor="text1"/>
      </w:rPr>
      <w:tblPr/>
      <w:tcPr>
        <w:shd w:val="clear" w:color="auto" w:fill="FFFFFF" w:themeFill="background2" w:themeFillTint="33"/>
      </w:tcPr>
    </w:tblStylePr>
    <w:tblStylePr w:type="firstCol">
      <w:rPr>
        <w:b/>
      </w:rPr>
      <w:tblPr/>
      <w:tcPr>
        <w:shd w:val="clear" w:color="auto" w:fill="F2F2F2"/>
      </w:tcPr>
    </w:tblStylePr>
  </w:style>
  <w:style w:type="character" w:customStyle="1" w:styleId="eop">
    <w:name w:val="eop"/>
    <w:basedOn w:val="DefaultParagraphFont"/>
    <w:rsid w:val="00B97BDA"/>
  </w:style>
  <w:style w:type="character" w:customStyle="1" w:styleId="NoSpacingChar">
    <w:name w:val="No Spacing Char"/>
    <w:basedOn w:val="DefaultParagraphFont"/>
    <w:link w:val="NoSpacing"/>
    <w:uiPriority w:val="1"/>
    <w:locked/>
    <w:rsid w:val="00CD7CA5"/>
  </w:style>
  <w:style w:type="table" w:customStyle="1" w:styleId="TetraTechTableStyleLtBlue1">
    <w:name w:val="Tetra Tech Table Style Lt Blue1"/>
    <w:basedOn w:val="TableNormal"/>
    <w:uiPriority w:val="39"/>
    <w:rsid w:val="00CD7CA5"/>
    <w:pPr>
      <w:spacing w:after="0" w:line="240" w:lineRule="auto"/>
    </w:pPr>
    <w:rPr>
      <w:rFonts w:ascii="Arial" w:eastAsia="Arial" w:hAnsi="Arial" w:cs="Times New Roman"/>
      <w:lang w:val="en-AU" w:eastAsia="en-AU"/>
    </w:rPr>
    <w:tblPr>
      <w:tblInd w:w="0" w:type="nil"/>
      <w:tblBorders>
        <w:top w:val="single" w:sz="4" w:space="0" w:color="FFFFFF" w:themeColor="background2"/>
        <w:bottom w:val="single" w:sz="4" w:space="0" w:color="FFFFFF" w:themeColor="background2"/>
        <w:insideH w:val="single" w:sz="4" w:space="0" w:color="FFFFFF" w:themeColor="background2"/>
      </w:tblBorders>
    </w:tblPr>
    <w:tblStylePr w:type="firstRow">
      <w:rPr>
        <w:rFonts w:ascii="Arial" w:hAnsi="Arial" w:cs="Arial" w:hint="default"/>
        <w:b/>
        <w:color w:val="FFFFFF" w:themeColor="background1"/>
      </w:rPr>
      <w:tblPr/>
      <w:tcPr>
        <w:shd w:val="clear" w:color="auto" w:fill="FFFFFF" w:themeFill="background2"/>
      </w:tcPr>
    </w:tblStylePr>
    <w:tblStylePr w:type="firstCol">
      <w:rPr>
        <w:b/>
      </w:rPr>
      <w:tblPr/>
      <w:tcPr>
        <w:shd w:val="clear" w:color="auto" w:fill="F2F2F2" w:themeFill="background1" w:themeFillShade="F2"/>
      </w:tcPr>
    </w:tblStylePr>
    <w:tblStylePr w:type="nwCell">
      <w:rPr>
        <w:rFonts w:ascii="Arial" w:hAnsi="Arial" w:cs="Arial" w:hint="default"/>
        <w:b/>
      </w:rPr>
    </w:tblStylePr>
  </w:style>
  <w:style w:type="table" w:styleId="GridTable5Dark-Accent2">
    <w:name w:val="Grid Table 5 Dark Accent 2"/>
    <w:basedOn w:val="TableNormal"/>
    <w:uiPriority w:val="50"/>
    <w:rsid w:val="00E327D0"/>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8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76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76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76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763B" w:themeFill="accent2"/>
      </w:tcPr>
    </w:tblStylePr>
    <w:tblStylePr w:type="band1Vert">
      <w:tblPr/>
      <w:tcPr>
        <w:shd w:val="clear" w:color="auto" w:fill="AED2A6" w:themeFill="accent2" w:themeFillTint="66"/>
      </w:tcPr>
    </w:tblStylePr>
    <w:tblStylePr w:type="band1Horz">
      <w:tblPr/>
      <w:tcPr>
        <w:shd w:val="clear" w:color="auto" w:fill="AED2A6" w:themeFill="accent2" w:themeFillTint="66"/>
      </w:tcPr>
    </w:tblStylePr>
  </w:style>
  <w:style w:type="character" w:customStyle="1" w:styleId="cf01">
    <w:name w:val="cf01"/>
    <w:basedOn w:val="DefaultParagraphFont"/>
    <w:rsid w:val="00F460B5"/>
    <w:rPr>
      <w:rFonts w:ascii="Segoe UI" w:hAnsi="Segoe UI" w:cs="Segoe UI" w:hint="default"/>
      <w:color w:val="313D48"/>
      <w:sz w:val="18"/>
      <w:szCs w:val="18"/>
    </w:rPr>
  </w:style>
  <w:style w:type="character" w:customStyle="1" w:styleId="cf11">
    <w:name w:val="cf11"/>
    <w:basedOn w:val="DefaultParagraphFont"/>
    <w:rsid w:val="00F460B5"/>
    <w:rPr>
      <w:rFonts w:ascii="Segoe UI" w:hAnsi="Segoe UI" w:cs="Segoe UI" w:hint="default"/>
      <w:i/>
      <w:iCs/>
      <w:color w:val="313D48"/>
      <w:sz w:val="18"/>
      <w:szCs w:val="18"/>
    </w:rPr>
  </w:style>
  <w:style w:type="paragraph" w:customStyle="1" w:styleId="pf0">
    <w:name w:val="pf0"/>
    <w:basedOn w:val="Normal"/>
    <w:rsid w:val="004C21D2"/>
    <w:pPr>
      <w:spacing w:before="100" w:beforeAutospacing="1" w:after="100" w:afterAutospacing="1"/>
    </w:pPr>
    <w:rPr>
      <w:rFonts w:ascii="Times New Roman" w:eastAsia="Times New Roman" w:hAnsi="Times New Roman" w:cs="Times New Roman"/>
      <w:color w:val="auto"/>
      <w:sz w:val="24"/>
      <w:szCs w:val="24"/>
      <w:lang w:val="en-US"/>
    </w:rPr>
  </w:style>
  <w:style w:type="paragraph" w:styleId="Bibliography">
    <w:name w:val="Bibliography"/>
    <w:basedOn w:val="Normal"/>
    <w:next w:val="Normal"/>
    <w:uiPriority w:val="37"/>
    <w:semiHidden/>
    <w:unhideWhenUsed/>
    <w:rsid w:val="00333A21"/>
  </w:style>
  <w:style w:type="paragraph" w:styleId="BlockText">
    <w:name w:val="Block Text"/>
    <w:basedOn w:val="Normal"/>
    <w:uiPriority w:val="99"/>
    <w:semiHidden/>
    <w:unhideWhenUsed/>
    <w:rsid w:val="00333A21"/>
    <w:pPr>
      <w:pBdr>
        <w:top w:val="single" w:sz="2" w:space="10" w:color="00837C" w:themeColor="accent1"/>
        <w:left w:val="single" w:sz="2" w:space="10" w:color="00837C" w:themeColor="accent1"/>
        <w:bottom w:val="single" w:sz="2" w:space="10" w:color="00837C" w:themeColor="accent1"/>
        <w:right w:val="single" w:sz="2" w:space="10" w:color="00837C" w:themeColor="accent1"/>
      </w:pBdr>
      <w:ind w:left="1152" w:right="1152"/>
    </w:pPr>
    <w:rPr>
      <w:rFonts w:asciiTheme="minorHAnsi" w:eastAsiaTheme="minorEastAsia" w:hAnsiTheme="minorHAnsi"/>
      <w:i/>
      <w:iCs/>
      <w:color w:val="00837C" w:themeColor="accent1"/>
    </w:rPr>
  </w:style>
  <w:style w:type="paragraph" w:styleId="BodyText2">
    <w:name w:val="Body Text 2"/>
    <w:basedOn w:val="Normal"/>
    <w:link w:val="BodyText2Char"/>
    <w:uiPriority w:val="99"/>
    <w:semiHidden/>
    <w:unhideWhenUsed/>
    <w:rsid w:val="00333A21"/>
    <w:pPr>
      <w:spacing w:after="120" w:line="480" w:lineRule="auto"/>
    </w:pPr>
  </w:style>
  <w:style w:type="character" w:customStyle="1" w:styleId="BodyText2Char">
    <w:name w:val="Body Text 2 Char"/>
    <w:basedOn w:val="DefaultParagraphFont"/>
    <w:link w:val="BodyText2"/>
    <w:uiPriority w:val="99"/>
    <w:semiHidden/>
    <w:rsid w:val="00333A21"/>
    <w:rPr>
      <w:rFonts w:ascii="Calibri Light" w:hAnsi="Calibri Light"/>
      <w:color w:val="313D48" w:themeColor="accent4"/>
      <w:lang w:val="en-AU"/>
    </w:rPr>
  </w:style>
  <w:style w:type="paragraph" w:styleId="BodyText3">
    <w:name w:val="Body Text 3"/>
    <w:basedOn w:val="Normal"/>
    <w:link w:val="BodyText3Char"/>
    <w:uiPriority w:val="99"/>
    <w:semiHidden/>
    <w:unhideWhenUsed/>
    <w:rsid w:val="00333A21"/>
    <w:pPr>
      <w:spacing w:after="120"/>
    </w:pPr>
    <w:rPr>
      <w:sz w:val="16"/>
      <w:szCs w:val="16"/>
    </w:rPr>
  </w:style>
  <w:style w:type="character" w:customStyle="1" w:styleId="BodyText3Char">
    <w:name w:val="Body Text 3 Char"/>
    <w:basedOn w:val="DefaultParagraphFont"/>
    <w:link w:val="BodyText3"/>
    <w:uiPriority w:val="99"/>
    <w:semiHidden/>
    <w:rsid w:val="00333A21"/>
    <w:rPr>
      <w:rFonts w:ascii="Calibri Light" w:hAnsi="Calibri Light"/>
      <w:color w:val="313D48" w:themeColor="accent4"/>
      <w:sz w:val="16"/>
      <w:szCs w:val="16"/>
      <w:lang w:val="en-AU"/>
    </w:rPr>
  </w:style>
  <w:style w:type="paragraph" w:styleId="BodyTextFirstIndent">
    <w:name w:val="Body Text First Indent"/>
    <w:basedOn w:val="BodyText"/>
    <w:link w:val="BodyTextFirstIndentChar"/>
    <w:uiPriority w:val="99"/>
    <w:semiHidden/>
    <w:unhideWhenUsed/>
    <w:rsid w:val="00333A21"/>
    <w:pPr>
      <w:spacing w:before="120" w:after="80" w:line="240" w:lineRule="auto"/>
      <w:ind w:left="0" w:firstLine="360"/>
    </w:pPr>
    <w:rPr>
      <w:rFonts w:ascii="Calibri Light" w:eastAsiaTheme="minorHAnsi" w:hAnsi="Calibri Light" w:cstheme="minorBidi"/>
      <w:noProof w:val="0"/>
      <w:color w:val="313D48" w:themeColor="accent4"/>
    </w:rPr>
  </w:style>
  <w:style w:type="character" w:customStyle="1" w:styleId="BodyTextFirstIndentChar">
    <w:name w:val="Body Text First Indent Char"/>
    <w:basedOn w:val="BodyTextChar"/>
    <w:link w:val="BodyTextFirstIndent"/>
    <w:uiPriority w:val="99"/>
    <w:semiHidden/>
    <w:rsid w:val="00333A21"/>
    <w:rPr>
      <w:rFonts w:ascii="Calibri Light" w:eastAsia="Arial" w:hAnsi="Calibri Light" w:cs="Times New Roman"/>
      <w:noProof/>
      <w:color w:val="313D48" w:themeColor="accent4"/>
      <w:lang w:val="en-AU"/>
    </w:rPr>
  </w:style>
  <w:style w:type="paragraph" w:styleId="BodyTextIndent">
    <w:name w:val="Body Text Indent"/>
    <w:basedOn w:val="Normal"/>
    <w:link w:val="BodyTextIndentChar"/>
    <w:uiPriority w:val="99"/>
    <w:semiHidden/>
    <w:unhideWhenUsed/>
    <w:rsid w:val="00333A21"/>
    <w:pPr>
      <w:spacing w:after="120"/>
      <w:ind w:left="283"/>
    </w:pPr>
  </w:style>
  <w:style w:type="character" w:customStyle="1" w:styleId="BodyTextIndentChar">
    <w:name w:val="Body Text Indent Char"/>
    <w:basedOn w:val="DefaultParagraphFont"/>
    <w:link w:val="BodyTextIndent"/>
    <w:uiPriority w:val="99"/>
    <w:semiHidden/>
    <w:rsid w:val="00333A21"/>
    <w:rPr>
      <w:rFonts w:ascii="Calibri Light" w:hAnsi="Calibri Light"/>
      <w:color w:val="313D48" w:themeColor="accent4"/>
      <w:lang w:val="en-AU"/>
    </w:rPr>
  </w:style>
  <w:style w:type="paragraph" w:styleId="BodyTextFirstIndent2">
    <w:name w:val="Body Text First Indent 2"/>
    <w:basedOn w:val="BodyTextIndent"/>
    <w:link w:val="BodyTextFirstIndent2Char"/>
    <w:uiPriority w:val="99"/>
    <w:semiHidden/>
    <w:unhideWhenUsed/>
    <w:rsid w:val="00333A21"/>
    <w:pPr>
      <w:spacing w:after="80"/>
      <w:ind w:left="360" w:firstLine="360"/>
    </w:pPr>
  </w:style>
  <w:style w:type="character" w:customStyle="1" w:styleId="BodyTextFirstIndent2Char">
    <w:name w:val="Body Text First Indent 2 Char"/>
    <w:basedOn w:val="BodyTextIndentChar"/>
    <w:link w:val="BodyTextFirstIndent2"/>
    <w:uiPriority w:val="99"/>
    <w:semiHidden/>
    <w:rsid w:val="00333A21"/>
    <w:rPr>
      <w:rFonts w:ascii="Calibri Light" w:hAnsi="Calibri Light"/>
      <w:color w:val="313D48" w:themeColor="accent4"/>
      <w:lang w:val="en-AU"/>
    </w:rPr>
  </w:style>
  <w:style w:type="paragraph" w:styleId="BodyTextIndent2">
    <w:name w:val="Body Text Indent 2"/>
    <w:basedOn w:val="Normal"/>
    <w:link w:val="BodyTextIndent2Char"/>
    <w:uiPriority w:val="99"/>
    <w:semiHidden/>
    <w:unhideWhenUsed/>
    <w:rsid w:val="00333A21"/>
    <w:pPr>
      <w:spacing w:after="120" w:line="480" w:lineRule="auto"/>
      <w:ind w:left="283"/>
    </w:pPr>
  </w:style>
  <w:style w:type="character" w:customStyle="1" w:styleId="BodyTextIndent2Char">
    <w:name w:val="Body Text Indent 2 Char"/>
    <w:basedOn w:val="DefaultParagraphFont"/>
    <w:link w:val="BodyTextIndent2"/>
    <w:uiPriority w:val="99"/>
    <w:semiHidden/>
    <w:rsid w:val="00333A21"/>
    <w:rPr>
      <w:rFonts w:ascii="Calibri Light" w:hAnsi="Calibri Light"/>
      <w:color w:val="313D48" w:themeColor="accent4"/>
      <w:lang w:val="en-AU"/>
    </w:rPr>
  </w:style>
  <w:style w:type="paragraph" w:styleId="BodyTextIndent3">
    <w:name w:val="Body Text Indent 3"/>
    <w:basedOn w:val="Normal"/>
    <w:link w:val="BodyTextIndent3Char"/>
    <w:uiPriority w:val="99"/>
    <w:semiHidden/>
    <w:unhideWhenUsed/>
    <w:rsid w:val="00333A2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33A21"/>
    <w:rPr>
      <w:rFonts w:ascii="Calibri Light" w:hAnsi="Calibri Light"/>
      <w:color w:val="313D48" w:themeColor="accent4"/>
      <w:sz w:val="16"/>
      <w:szCs w:val="16"/>
      <w:lang w:val="en-AU"/>
    </w:rPr>
  </w:style>
  <w:style w:type="paragraph" w:styleId="Closing">
    <w:name w:val="Closing"/>
    <w:basedOn w:val="Normal"/>
    <w:link w:val="ClosingChar"/>
    <w:uiPriority w:val="99"/>
    <w:semiHidden/>
    <w:unhideWhenUsed/>
    <w:rsid w:val="00333A21"/>
    <w:pPr>
      <w:spacing w:before="0" w:after="0"/>
      <w:ind w:left="4252"/>
    </w:pPr>
  </w:style>
  <w:style w:type="character" w:customStyle="1" w:styleId="ClosingChar">
    <w:name w:val="Closing Char"/>
    <w:basedOn w:val="DefaultParagraphFont"/>
    <w:link w:val="Closing"/>
    <w:uiPriority w:val="99"/>
    <w:semiHidden/>
    <w:rsid w:val="00333A21"/>
    <w:rPr>
      <w:rFonts w:ascii="Calibri Light" w:hAnsi="Calibri Light"/>
      <w:color w:val="313D48" w:themeColor="accent4"/>
      <w:lang w:val="en-AU"/>
    </w:rPr>
  </w:style>
  <w:style w:type="paragraph" w:styleId="Date">
    <w:name w:val="Date"/>
    <w:basedOn w:val="Normal"/>
    <w:next w:val="Normal"/>
    <w:link w:val="DateChar"/>
    <w:uiPriority w:val="99"/>
    <w:semiHidden/>
    <w:unhideWhenUsed/>
    <w:rsid w:val="00333A21"/>
  </w:style>
  <w:style w:type="character" w:customStyle="1" w:styleId="DateChar">
    <w:name w:val="Date Char"/>
    <w:basedOn w:val="DefaultParagraphFont"/>
    <w:link w:val="Date"/>
    <w:uiPriority w:val="99"/>
    <w:semiHidden/>
    <w:rsid w:val="00333A21"/>
    <w:rPr>
      <w:rFonts w:ascii="Calibri Light" w:hAnsi="Calibri Light"/>
      <w:color w:val="313D48" w:themeColor="accent4"/>
      <w:lang w:val="en-AU"/>
    </w:rPr>
  </w:style>
  <w:style w:type="paragraph" w:styleId="DocumentMap">
    <w:name w:val="Document Map"/>
    <w:basedOn w:val="Normal"/>
    <w:link w:val="DocumentMapChar"/>
    <w:uiPriority w:val="99"/>
    <w:semiHidden/>
    <w:unhideWhenUsed/>
    <w:rsid w:val="00333A21"/>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33A21"/>
    <w:rPr>
      <w:rFonts w:ascii="Segoe UI" w:hAnsi="Segoe UI" w:cs="Segoe UI"/>
      <w:color w:val="313D48" w:themeColor="accent4"/>
      <w:sz w:val="16"/>
      <w:szCs w:val="16"/>
      <w:lang w:val="en-AU"/>
    </w:rPr>
  </w:style>
  <w:style w:type="paragraph" w:styleId="E-mailSignature">
    <w:name w:val="E-mail Signature"/>
    <w:basedOn w:val="Normal"/>
    <w:link w:val="E-mailSignatureChar"/>
    <w:uiPriority w:val="99"/>
    <w:semiHidden/>
    <w:unhideWhenUsed/>
    <w:rsid w:val="00333A21"/>
    <w:pPr>
      <w:spacing w:before="0" w:after="0"/>
    </w:pPr>
  </w:style>
  <w:style w:type="character" w:customStyle="1" w:styleId="E-mailSignatureChar">
    <w:name w:val="E-mail Signature Char"/>
    <w:basedOn w:val="DefaultParagraphFont"/>
    <w:link w:val="E-mailSignature"/>
    <w:uiPriority w:val="99"/>
    <w:semiHidden/>
    <w:rsid w:val="00333A21"/>
    <w:rPr>
      <w:rFonts w:ascii="Calibri Light" w:hAnsi="Calibri Light"/>
      <w:color w:val="313D48" w:themeColor="accent4"/>
      <w:lang w:val="en-AU"/>
    </w:rPr>
  </w:style>
  <w:style w:type="paragraph" w:styleId="EndnoteText">
    <w:name w:val="endnote text"/>
    <w:basedOn w:val="Normal"/>
    <w:link w:val="EndnoteTextChar"/>
    <w:uiPriority w:val="99"/>
    <w:semiHidden/>
    <w:unhideWhenUsed/>
    <w:rsid w:val="00333A21"/>
    <w:pPr>
      <w:spacing w:before="0" w:after="0"/>
    </w:pPr>
  </w:style>
  <w:style w:type="character" w:customStyle="1" w:styleId="EndnoteTextChar">
    <w:name w:val="Endnote Text Char"/>
    <w:basedOn w:val="DefaultParagraphFont"/>
    <w:link w:val="EndnoteText"/>
    <w:uiPriority w:val="99"/>
    <w:semiHidden/>
    <w:rsid w:val="00333A21"/>
    <w:rPr>
      <w:rFonts w:ascii="Calibri Light" w:hAnsi="Calibri Light"/>
      <w:color w:val="313D48" w:themeColor="accent4"/>
      <w:lang w:val="en-AU"/>
    </w:rPr>
  </w:style>
  <w:style w:type="paragraph" w:styleId="EnvelopeAddress">
    <w:name w:val="envelope address"/>
    <w:basedOn w:val="Normal"/>
    <w:uiPriority w:val="99"/>
    <w:semiHidden/>
    <w:unhideWhenUsed/>
    <w:rsid w:val="00333A21"/>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33A21"/>
    <w:pPr>
      <w:spacing w:before="0" w:after="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333A21"/>
    <w:pPr>
      <w:spacing w:before="0" w:after="0"/>
    </w:pPr>
    <w:rPr>
      <w:i/>
      <w:iCs/>
    </w:rPr>
  </w:style>
  <w:style w:type="character" w:customStyle="1" w:styleId="HTMLAddressChar">
    <w:name w:val="HTML Address Char"/>
    <w:basedOn w:val="DefaultParagraphFont"/>
    <w:link w:val="HTMLAddress"/>
    <w:uiPriority w:val="99"/>
    <w:semiHidden/>
    <w:rsid w:val="00333A21"/>
    <w:rPr>
      <w:rFonts w:ascii="Calibri Light" w:hAnsi="Calibri Light"/>
      <w:i/>
      <w:iCs/>
      <w:color w:val="313D48" w:themeColor="accent4"/>
      <w:lang w:val="en-AU"/>
    </w:rPr>
  </w:style>
  <w:style w:type="paragraph" w:styleId="HTMLPreformatted">
    <w:name w:val="HTML Preformatted"/>
    <w:basedOn w:val="Normal"/>
    <w:link w:val="HTMLPreformattedChar"/>
    <w:uiPriority w:val="99"/>
    <w:semiHidden/>
    <w:unhideWhenUsed/>
    <w:rsid w:val="00333A21"/>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333A21"/>
    <w:rPr>
      <w:rFonts w:ascii="Consolas" w:hAnsi="Consolas"/>
      <w:color w:val="313D48" w:themeColor="accent4"/>
      <w:lang w:val="en-AU"/>
    </w:rPr>
  </w:style>
  <w:style w:type="paragraph" w:styleId="Index1">
    <w:name w:val="index 1"/>
    <w:basedOn w:val="Normal"/>
    <w:next w:val="Normal"/>
    <w:autoRedefine/>
    <w:uiPriority w:val="99"/>
    <w:semiHidden/>
    <w:unhideWhenUsed/>
    <w:rsid w:val="00333A21"/>
    <w:pPr>
      <w:spacing w:before="0" w:after="0"/>
      <w:ind w:left="200" w:hanging="200"/>
    </w:pPr>
  </w:style>
  <w:style w:type="paragraph" w:styleId="Index2">
    <w:name w:val="index 2"/>
    <w:basedOn w:val="Normal"/>
    <w:next w:val="Normal"/>
    <w:autoRedefine/>
    <w:uiPriority w:val="99"/>
    <w:semiHidden/>
    <w:unhideWhenUsed/>
    <w:rsid w:val="00333A21"/>
    <w:pPr>
      <w:spacing w:before="0" w:after="0"/>
      <w:ind w:left="400" w:hanging="200"/>
    </w:pPr>
  </w:style>
  <w:style w:type="paragraph" w:styleId="Index3">
    <w:name w:val="index 3"/>
    <w:basedOn w:val="Normal"/>
    <w:next w:val="Normal"/>
    <w:autoRedefine/>
    <w:uiPriority w:val="99"/>
    <w:semiHidden/>
    <w:unhideWhenUsed/>
    <w:rsid w:val="00333A21"/>
    <w:pPr>
      <w:spacing w:before="0" w:after="0"/>
      <w:ind w:left="600" w:hanging="200"/>
    </w:pPr>
  </w:style>
  <w:style w:type="paragraph" w:styleId="Index4">
    <w:name w:val="index 4"/>
    <w:basedOn w:val="Normal"/>
    <w:next w:val="Normal"/>
    <w:autoRedefine/>
    <w:uiPriority w:val="99"/>
    <w:semiHidden/>
    <w:unhideWhenUsed/>
    <w:rsid w:val="00333A21"/>
    <w:pPr>
      <w:spacing w:before="0" w:after="0"/>
      <w:ind w:left="800" w:hanging="200"/>
    </w:pPr>
  </w:style>
  <w:style w:type="paragraph" w:styleId="Index5">
    <w:name w:val="index 5"/>
    <w:basedOn w:val="Normal"/>
    <w:next w:val="Normal"/>
    <w:autoRedefine/>
    <w:uiPriority w:val="99"/>
    <w:semiHidden/>
    <w:unhideWhenUsed/>
    <w:rsid w:val="00333A21"/>
    <w:pPr>
      <w:spacing w:before="0" w:after="0"/>
      <w:ind w:left="1000" w:hanging="200"/>
    </w:pPr>
  </w:style>
  <w:style w:type="paragraph" w:styleId="Index6">
    <w:name w:val="index 6"/>
    <w:basedOn w:val="Normal"/>
    <w:next w:val="Normal"/>
    <w:autoRedefine/>
    <w:uiPriority w:val="99"/>
    <w:semiHidden/>
    <w:unhideWhenUsed/>
    <w:rsid w:val="00333A21"/>
    <w:pPr>
      <w:spacing w:before="0" w:after="0"/>
      <w:ind w:left="1200" w:hanging="200"/>
    </w:pPr>
  </w:style>
  <w:style w:type="paragraph" w:styleId="Index7">
    <w:name w:val="index 7"/>
    <w:basedOn w:val="Normal"/>
    <w:next w:val="Normal"/>
    <w:autoRedefine/>
    <w:uiPriority w:val="99"/>
    <w:semiHidden/>
    <w:unhideWhenUsed/>
    <w:rsid w:val="00333A21"/>
    <w:pPr>
      <w:spacing w:before="0" w:after="0"/>
      <w:ind w:left="1400" w:hanging="200"/>
    </w:pPr>
  </w:style>
  <w:style w:type="paragraph" w:styleId="Index8">
    <w:name w:val="index 8"/>
    <w:basedOn w:val="Normal"/>
    <w:next w:val="Normal"/>
    <w:autoRedefine/>
    <w:uiPriority w:val="99"/>
    <w:semiHidden/>
    <w:unhideWhenUsed/>
    <w:rsid w:val="00333A21"/>
    <w:pPr>
      <w:spacing w:before="0" w:after="0"/>
      <w:ind w:left="1600" w:hanging="200"/>
    </w:pPr>
  </w:style>
  <w:style w:type="paragraph" w:styleId="Index9">
    <w:name w:val="index 9"/>
    <w:basedOn w:val="Normal"/>
    <w:next w:val="Normal"/>
    <w:autoRedefine/>
    <w:uiPriority w:val="99"/>
    <w:semiHidden/>
    <w:unhideWhenUsed/>
    <w:rsid w:val="00333A21"/>
    <w:pPr>
      <w:spacing w:before="0" w:after="0"/>
      <w:ind w:left="1800" w:hanging="200"/>
    </w:pPr>
  </w:style>
  <w:style w:type="paragraph" w:styleId="IndexHeading">
    <w:name w:val="index heading"/>
    <w:basedOn w:val="Normal"/>
    <w:next w:val="Index1"/>
    <w:uiPriority w:val="99"/>
    <w:semiHidden/>
    <w:unhideWhenUsed/>
    <w:rsid w:val="00333A21"/>
    <w:rPr>
      <w:rFonts w:asciiTheme="majorHAnsi" w:eastAsiaTheme="majorEastAsia" w:hAnsiTheme="majorHAnsi" w:cstheme="majorBidi"/>
      <w:b/>
      <w:bCs/>
    </w:rPr>
  </w:style>
  <w:style w:type="paragraph" w:styleId="List">
    <w:name w:val="List"/>
    <w:basedOn w:val="Normal"/>
    <w:uiPriority w:val="99"/>
    <w:semiHidden/>
    <w:unhideWhenUsed/>
    <w:rsid w:val="00333A21"/>
    <w:pPr>
      <w:ind w:left="283" w:hanging="283"/>
      <w:contextualSpacing/>
    </w:pPr>
  </w:style>
  <w:style w:type="paragraph" w:styleId="List2">
    <w:name w:val="List 2"/>
    <w:basedOn w:val="Normal"/>
    <w:uiPriority w:val="99"/>
    <w:semiHidden/>
    <w:unhideWhenUsed/>
    <w:rsid w:val="00333A21"/>
    <w:pPr>
      <w:ind w:left="566" w:hanging="283"/>
      <w:contextualSpacing/>
    </w:pPr>
  </w:style>
  <w:style w:type="paragraph" w:styleId="List3">
    <w:name w:val="List 3"/>
    <w:basedOn w:val="Normal"/>
    <w:uiPriority w:val="99"/>
    <w:semiHidden/>
    <w:unhideWhenUsed/>
    <w:rsid w:val="00333A21"/>
    <w:pPr>
      <w:ind w:left="849" w:hanging="283"/>
      <w:contextualSpacing/>
    </w:pPr>
  </w:style>
  <w:style w:type="paragraph" w:styleId="List4">
    <w:name w:val="List 4"/>
    <w:basedOn w:val="Normal"/>
    <w:uiPriority w:val="99"/>
    <w:semiHidden/>
    <w:unhideWhenUsed/>
    <w:rsid w:val="00333A21"/>
    <w:pPr>
      <w:ind w:left="1132" w:hanging="283"/>
      <w:contextualSpacing/>
    </w:pPr>
  </w:style>
  <w:style w:type="paragraph" w:styleId="List5">
    <w:name w:val="List 5"/>
    <w:basedOn w:val="Normal"/>
    <w:uiPriority w:val="99"/>
    <w:semiHidden/>
    <w:unhideWhenUsed/>
    <w:rsid w:val="00333A21"/>
    <w:pPr>
      <w:ind w:left="1415" w:hanging="283"/>
      <w:contextualSpacing/>
    </w:pPr>
  </w:style>
  <w:style w:type="paragraph" w:styleId="ListBullet2">
    <w:name w:val="List Bullet 2"/>
    <w:basedOn w:val="Normal"/>
    <w:uiPriority w:val="99"/>
    <w:semiHidden/>
    <w:unhideWhenUsed/>
    <w:rsid w:val="00333A21"/>
    <w:pPr>
      <w:numPr>
        <w:numId w:val="8"/>
      </w:numPr>
      <w:contextualSpacing/>
    </w:pPr>
  </w:style>
  <w:style w:type="paragraph" w:styleId="ListBullet3">
    <w:name w:val="List Bullet 3"/>
    <w:basedOn w:val="Normal"/>
    <w:uiPriority w:val="99"/>
    <w:semiHidden/>
    <w:unhideWhenUsed/>
    <w:rsid w:val="00333A21"/>
    <w:pPr>
      <w:numPr>
        <w:numId w:val="9"/>
      </w:numPr>
      <w:contextualSpacing/>
    </w:pPr>
  </w:style>
  <w:style w:type="paragraph" w:styleId="ListBullet4">
    <w:name w:val="List Bullet 4"/>
    <w:basedOn w:val="Normal"/>
    <w:uiPriority w:val="99"/>
    <w:semiHidden/>
    <w:unhideWhenUsed/>
    <w:rsid w:val="00333A21"/>
    <w:pPr>
      <w:numPr>
        <w:numId w:val="10"/>
      </w:numPr>
      <w:contextualSpacing/>
    </w:pPr>
  </w:style>
  <w:style w:type="paragraph" w:styleId="ListBullet5">
    <w:name w:val="List Bullet 5"/>
    <w:basedOn w:val="Normal"/>
    <w:uiPriority w:val="99"/>
    <w:semiHidden/>
    <w:unhideWhenUsed/>
    <w:rsid w:val="00333A21"/>
    <w:pPr>
      <w:numPr>
        <w:numId w:val="11"/>
      </w:numPr>
      <w:contextualSpacing/>
    </w:pPr>
  </w:style>
  <w:style w:type="paragraph" w:styleId="ListContinue">
    <w:name w:val="List Continue"/>
    <w:basedOn w:val="Normal"/>
    <w:uiPriority w:val="99"/>
    <w:semiHidden/>
    <w:unhideWhenUsed/>
    <w:rsid w:val="00333A21"/>
    <w:pPr>
      <w:spacing w:after="120"/>
      <w:ind w:left="283"/>
      <w:contextualSpacing/>
    </w:pPr>
  </w:style>
  <w:style w:type="paragraph" w:styleId="ListContinue2">
    <w:name w:val="List Continue 2"/>
    <w:basedOn w:val="Normal"/>
    <w:uiPriority w:val="99"/>
    <w:semiHidden/>
    <w:unhideWhenUsed/>
    <w:rsid w:val="00333A21"/>
    <w:pPr>
      <w:spacing w:after="120"/>
      <w:ind w:left="566"/>
      <w:contextualSpacing/>
    </w:pPr>
  </w:style>
  <w:style w:type="paragraph" w:styleId="ListContinue3">
    <w:name w:val="List Continue 3"/>
    <w:basedOn w:val="Normal"/>
    <w:uiPriority w:val="99"/>
    <w:semiHidden/>
    <w:unhideWhenUsed/>
    <w:rsid w:val="00333A21"/>
    <w:pPr>
      <w:spacing w:after="120"/>
      <w:ind w:left="849"/>
      <w:contextualSpacing/>
    </w:pPr>
  </w:style>
  <w:style w:type="paragraph" w:styleId="ListContinue4">
    <w:name w:val="List Continue 4"/>
    <w:basedOn w:val="Normal"/>
    <w:uiPriority w:val="99"/>
    <w:semiHidden/>
    <w:unhideWhenUsed/>
    <w:rsid w:val="00333A21"/>
    <w:pPr>
      <w:spacing w:after="120"/>
      <w:ind w:left="1132"/>
      <w:contextualSpacing/>
    </w:pPr>
  </w:style>
  <w:style w:type="paragraph" w:styleId="ListContinue5">
    <w:name w:val="List Continue 5"/>
    <w:basedOn w:val="Normal"/>
    <w:uiPriority w:val="99"/>
    <w:semiHidden/>
    <w:unhideWhenUsed/>
    <w:rsid w:val="00333A21"/>
    <w:pPr>
      <w:spacing w:after="120"/>
      <w:ind w:left="1415"/>
      <w:contextualSpacing/>
    </w:pPr>
  </w:style>
  <w:style w:type="paragraph" w:styleId="ListNumber">
    <w:name w:val="List Number"/>
    <w:basedOn w:val="Normal"/>
    <w:uiPriority w:val="99"/>
    <w:semiHidden/>
    <w:unhideWhenUsed/>
    <w:rsid w:val="00333A21"/>
    <w:pPr>
      <w:numPr>
        <w:numId w:val="12"/>
      </w:numPr>
      <w:contextualSpacing/>
    </w:pPr>
  </w:style>
  <w:style w:type="paragraph" w:styleId="ListNumber2">
    <w:name w:val="List Number 2"/>
    <w:basedOn w:val="Normal"/>
    <w:uiPriority w:val="99"/>
    <w:semiHidden/>
    <w:unhideWhenUsed/>
    <w:rsid w:val="00333A21"/>
    <w:pPr>
      <w:numPr>
        <w:numId w:val="13"/>
      </w:numPr>
      <w:contextualSpacing/>
    </w:pPr>
  </w:style>
  <w:style w:type="paragraph" w:styleId="ListNumber3">
    <w:name w:val="List Number 3"/>
    <w:basedOn w:val="Normal"/>
    <w:uiPriority w:val="99"/>
    <w:semiHidden/>
    <w:unhideWhenUsed/>
    <w:rsid w:val="00333A21"/>
    <w:pPr>
      <w:numPr>
        <w:numId w:val="14"/>
      </w:numPr>
      <w:contextualSpacing/>
    </w:pPr>
  </w:style>
  <w:style w:type="paragraph" w:styleId="ListNumber4">
    <w:name w:val="List Number 4"/>
    <w:basedOn w:val="Normal"/>
    <w:uiPriority w:val="99"/>
    <w:semiHidden/>
    <w:unhideWhenUsed/>
    <w:rsid w:val="00333A21"/>
    <w:pPr>
      <w:numPr>
        <w:numId w:val="15"/>
      </w:numPr>
      <w:contextualSpacing/>
    </w:pPr>
  </w:style>
  <w:style w:type="paragraph" w:styleId="ListNumber5">
    <w:name w:val="List Number 5"/>
    <w:basedOn w:val="Normal"/>
    <w:uiPriority w:val="99"/>
    <w:semiHidden/>
    <w:unhideWhenUsed/>
    <w:rsid w:val="00333A21"/>
    <w:pPr>
      <w:numPr>
        <w:numId w:val="16"/>
      </w:numPr>
      <w:contextualSpacing/>
    </w:pPr>
  </w:style>
  <w:style w:type="paragraph" w:styleId="MacroText">
    <w:name w:val="macro"/>
    <w:link w:val="MacroTextChar"/>
    <w:uiPriority w:val="99"/>
    <w:semiHidden/>
    <w:unhideWhenUsed/>
    <w:rsid w:val="00333A21"/>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olor w:val="313D48" w:themeColor="accent4"/>
      <w:lang w:val="en-AU"/>
    </w:rPr>
  </w:style>
  <w:style w:type="character" w:customStyle="1" w:styleId="MacroTextChar">
    <w:name w:val="Macro Text Char"/>
    <w:basedOn w:val="DefaultParagraphFont"/>
    <w:link w:val="MacroText"/>
    <w:uiPriority w:val="99"/>
    <w:semiHidden/>
    <w:rsid w:val="00333A21"/>
    <w:rPr>
      <w:rFonts w:ascii="Consolas" w:hAnsi="Consolas"/>
      <w:color w:val="313D48" w:themeColor="accent4"/>
      <w:lang w:val="en-AU"/>
    </w:rPr>
  </w:style>
  <w:style w:type="paragraph" w:styleId="MessageHeader">
    <w:name w:val="Message Header"/>
    <w:basedOn w:val="Normal"/>
    <w:link w:val="MessageHeaderChar"/>
    <w:uiPriority w:val="99"/>
    <w:semiHidden/>
    <w:unhideWhenUsed/>
    <w:rsid w:val="00333A21"/>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33A21"/>
    <w:rPr>
      <w:rFonts w:asciiTheme="majorHAnsi" w:eastAsiaTheme="majorEastAsia" w:hAnsiTheme="majorHAnsi" w:cstheme="majorBidi"/>
      <w:color w:val="313D48" w:themeColor="accent4"/>
      <w:sz w:val="24"/>
      <w:szCs w:val="24"/>
      <w:shd w:val="pct20" w:color="auto" w:fill="auto"/>
      <w:lang w:val="en-AU"/>
    </w:rPr>
  </w:style>
  <w:style w:type="paragraph" w:styleId="NormalWeb">
    <w:name w:val="Normal (Web)"/>
    <w:basedOn w:val="Normal"/>
    <w:uiPriority w:val="99"/>
    <w:semiHidden/>
    <w:unhideWhenUsed/>
    <w:rsid w:val="00333A21"/>
    <w:rPr>
      <w:rFonts w:ascii="Times New Roman" w:hAnsi="Times New Roman" w:cs="Times New Roman"/>
      <w:sz w:val="24"/>
      <w:szCs w:val="24"/>
    </w:rPr>
  </w:style>
  <w:style w:type="paragraph" w:styleId="NormalIndent">
    <w:name w:val="Normal Indent"/>
    <w:basedOn w:val="Normal"/>
    <w:uiPriority w:val="99"/>
    <w:semiHidden/>
    <w:unhideWhenUsed/>
    <w:rsid w:val="00333A21"/>
    <w:pPr>
      <w:ind w:left="720"/>
    </w:pPr>
  </w:style>
  <w:style w:type="paragraph" w:styleId="NoteHeading">
    <w:name w:val="Note Heading"/>
    <w:basedOn w:val="Normal"/>
    <w:next w:val="Normal"/>
    <w:link w:val="NoteHeadingChar"/>
    <w:uiPriority w:val="99"/>
    <w:semiHidden/>
    <w:unhideWhenUsed/>
    <w:rsid w:val="00333A21"/>
    <w:pPr>
      <w:spacing w:before="0" w:after="0"/>
    </w:pPr>
  </w:style>
  <w:style w:type="character" w:customStyle="1" w:styleId="NoteHeadingChar">
    <w:name w:val="Note Heading Char"/>
    <w:basedOn w:val="DefaultParagraphFont"/>
    <w:link w:val="NoteHeading"/>
    <w:uiPriority w:val="99"/>
    <w:semiHidden/>
    <w:rsid w:val="00333A21"/>
    <w:rPr>
      <w:rFonts w:ascii="Calibri Light" w:hAnsi="Calibri Light"/>
      <w:color w:val="313D48" w:themeColor="accent4"/>
      <w:lang w:val="en-AU"/>
    </w:rPr>
  </w:style>
  <w:style w:type="paragraph" w:styleId="PlainText">
    <w:name w:val="Plain Text"/>
    <w:basedOn w:val="Normal"/>
    <w:link w:val="PlainTextChar"/>
    <w:uiPriority w:val="99"/>
    <w:semiHidden/>
    <w:unhideWhenUsed/>
    <w:rsid w:val="00333A21"/>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333A21"/>
    <w:rPr>
      <w:rFonts w:ascii="Consolas" w:hAnsi="Consolas"/>
      <w:color w:val="313D48" w:themeColor="accent4"/>
      <w:sz w:val="21"/>
      <w:szCs w:val="21"/>
      <w:lang w:val="en-AU"/>
    </w:rPr>
  </w:style>
  <w:style w:type="paragraph" w:styleId="Quote">
    <w:name w:val="Quote"/>
    <w:basedOn w:val="Normal"/>
    <w:next w:val="Normal"/>
    <w:link w:val="QuoteChar"/>
    <w:uiPriority w:val="29"/>
    <w:qFormat/>
    <w:rsid w:val="00333A2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33A21"/>
    <w:rPr>
      <w:rFonts w:ascii="Calibri Light" w:hAnsi="Calibri Light"/>
      <w:i/>
      <w:iCs/>
      <w:color w:val="404040" w:themeColor="text1" w:themeTint="BF"/>
      <w:lang w:val="en-AU"/>
    </w:rPr>
  </w:style>
  <w:style w:type="paragraph" w:styleId="Salutation">
    <w:name w:val="Salutation"/>
    <w:basedOn w:val="Normal"/>
    <w:next w:val="Normal"/>
    <w:link w:val="SalutationChar"/>
    <w:uiPriority w:val="99"/>
    <w:semiHidden/>
    <w:unhideWhenUsed/>
    <w:rsid w:val="00333A21"/>
  </w:style>
  <w:style w:type="character" w:customStyle="1" w:styleId="SalutationChar">
    <w:name w:val="Salutation Char"/>
    <w:basedOn w:val="DefaultParagraphFont"/>
    <w:link w:val="Salutation"/>
    <w:uiPriority w:val="99"/>
    <w:semiHidden/>
    <w:rsid w:val="00333A21"/>
    <w:rPr>
      <w:rFonts w:ascii="Calibri Light" w:hAnsi="Calibri Light"/>
      <w:color w:val="313D48" w:themeColor="accent4"/>
      <w:lang w:val="en-AU"/>
    </w:rPr>
  </w:style>
  <w:style w:type="paragraph" w:styleId="Signature">
    <w:name w:val="Signature"/>
    <w:basedOn w:val="Normal"/>
    <w:link w:val="SignatureChar"/>
    <w:uiPriority w:val="99"/>
    <w:semiHidden/>
    <w:unhideWhenUsed/>
    <w:rsid w:val="00333A21"/>
    <w:pPr>
      <w:spacing w:before="0" w:after="0"/>
      <w:ind w:left="4252"/>
    </w:pPr>
  </w:style>
  <w:style w:type="character" w:customStyle="1" w:styleId="SignatureChar">
    <w:name w:val="Signature Char"/>
    <w:basedOn w:val="DefaultParagraphFont"/>
    <w:link w:val="Signature"/>
    <w:uiPriority w:val="99"/>
    <w:semiHidden/>
    <w:rsid w:val="00333A21"/>
    <w:rPr>
      <w:rFonts w:ascii="Calibri Light" w:hAnsi="Calibri Light"/>
      <w:color w:val="313D48" w:themeColor="accent4"/>
      <w:lang w:val="en-AU"/>
    </w:rPr>
  </w:style>
  <w:style w:type="paragraph" w:styleId="TableofAuthorities">
    <w:name w:val="table of authorities"/>
    <w:basedOn w:val="Normal"/>
    <w:next w:val="Normal"/>
    <w:uiPriority w:val="99"/>
    <w:semiHidden/>
    <w:unhideWhenUsed/>
    <w:rsid w:val="00333A21"/>
    <w:pPr>
      <w:spacing w:after="0"/>
      <w:ind w:left="200" w:hanging="200"/>
    </w:pPr>
  </w:style>
  <w:style w:type="paragraph" w:styleId="TableofFigures">
    <w:name w:val="table of figures"/>
    <w:basedOn w:val="Normal"/>
    <w:next w:val="Normal"/>
    <w:uiPriority w:val="99"/>
    <w:semiHidden/>
    <w:unhideWhenUsed/>
    <w:rsid w:val="00333A21"/>
    <w:pPr>
      <w:spacing w:after="0"/>
    </w:pPr>
  </w:style>
  <w:style w:type="paragraph" w:styleId="TOAHeading">
    <w:name w:val="toa heading"/>
    <w:basedOn w:val="Normal"/>
    <w:next w:val="Normal"/>
    <w:uiPriority w:val="99"/>
    <w:semiHidden/>
    <w:unhideWhenUsed/>
    <w:rsid w:val="00333A21"/>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333A21"/>
    <w:pPr>
      <w:keepNext/>
      <w:keepLines/>
      <w:numPr>
        <w:numId w:val="0"/>
      </w:numPr>
      <w:spacing w:after="0"/>
      <w:outlineLvl w:val="9"/>
    </w:pPr>
    <w:rPr>
      <w:rFonts w:asciiTheme="majorHAnsi" w:hAnsiTheme="majorHAnsi"/>
      <w:b w:val="0"/>
      <w:color w:val="00625C" w:themeColor="accent1" w:themeShade="BF"/>
      <w:sz w:val="32"/>
      <w:szCs w:val="32"/>
    </w:rPr>
  </w:style>
  <w:style w:type="paragraph" w:customStyle="1" w:styleId="footnotenumber">
    <w:name w:val="footnote number"/>
    <w:basedOn w:val="FootnoteText"/>
    <w:next w:val="FootnoteText"/>
    <w:link w:val="FootnoteReference"/>
    <w:autoRedefine/>
    <w:uiPriority w:val="99"/>
    <w:qFormat/>
    <w:rsid w:val="00137534"/>
    <w:pPr>
      <w:spacing w:after="120"/>
      <w:jc w:val="both"/>
    </w:pPr>
    <w:rPr>
      <w:rFonts w:asciiTheme="minorHAnsi" w:hAnsiTheme="minorHAnsi"/>
      <w:color w:val="auto"/>
      <w:vertAlign w:val="superscript"/>
      <w:lang w:val="en-US"/>
    </w:rPr>
  </w:style>
  <w:style w:type="character" w:customStyle="1" w:styleId="A1">
    <w:name w:val="A1"/>
    <w:uiPriority w:val="99"/>
    <w:rsid w:val="00255E5F"/>
    <w:rPr>
      <w:color w:val="303D47"/>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7114">
      <w:bodyDiv w:val="1"/>
      <w:marLeft w:val="0"/>
      <w:marRight w:val="0"/>
      <w:marTop w:val="0"/>
      <w:marBottom w:val="0"/>
      <w:divBdr>
        <w:top w:val="none" w:sz="0" w:space="0" w:color="auto"/>
        <w:left w:val="none" w:sz="0" w:space="0" w:color="auto"/>
        <w:bottom w:val="none" w:sz="0" w:space="0" w:color="auto"/>
        <w:right w:val="none" w:sz="0" w:space="0" w:color="auto"/>
      </w:divBdr>
    </w:div>
    <w:div w:id="37556277">
      <w:bodyDiv w:val="1"/>
      <w:marLeft w:val="0"/>
      <w:marRight w:val="0"/>
      <w:marTop w:val="0"/>
      <w:marBottom w:val="0"/>
      <w:divBdr>
        <w:top w:val="none" w:sz="0" w:space="0" w:color="auto"/>
        <w:left w:val="none" w:sz="0" w:space="0" w:color="auto"/>
        <w:bottom w:val="none" w:sz="0" w:space="0" w:color="auto"/>
        <w:right w:val="none" w:sz="0" w:space="0" w:color="auto"/>
      </w:divBdr>
    </w:div>
    <w:div w:id="42104260">
      <w:bodyDiv w:val="1"/>
      <w:marLeft w:val="0"/>
      <w:marRight w:val="0"/>
      <w:marTop w:val="0"/>
      <w:marBottom w:val="0"/>
      <w:divBdr>
        <w:top w:val="none" w:sz="0" w:space="0" w:color="auto"/>
        <w:left w:val="none" w:sz="0" w:space="0" w:color="auto"/>
        <w:bottom w:val="none" w:sz="0" w:space="0" w:color="auto"/>
        <w:right w:val="none" w:sz="0" w:space="0" w:color="auto"/>
      </w:divBdr>
    </w:div>
    <w:div w:id="42288810">
      <w:bodyDiv w:val="1"/>
      <w:marLeft w:val="0"/>
      <w:marRight w:val="0"/>
      <w:marTop w:val="0"/>
      <w:marBottom w:val="0"/>
      <w:divBdr>
        <w:top w:val="none" w:sz="0" w:space="0" w:color="auto"/>
        <w:left w:val="none" w:sz="0" w:space="0" w:color="auto"/>
        <w:bottom w:val="none" w:sz="0" w:space="0" w:color="auto"/>
        <w:right w:val="none" w:sz="0" w:space="0" w:color="auto"/>
      </w:divBdr>
    </w:div>
    <w:div w:id="99181840">
      <w:bodyDiv w:val="1"/>
      <w:marLeft w:val="0"/>
      <w:marRight w:val="0"/>
      <w:marTop w:val="0"/>
      <w:marBottom w:val="0"/>
      <w:divBdr>
        <w:top w:val="none" w:sz="0" w:space="0" w:color="auto"/>
        <w:left w:val="none" w:sz="0" w:space="0" w:color="auto"/>
        <w:bottom w:val="none" w:sz="0" w:space="0" w:color="auto"/>
        <w:right w:val="none" w:sz="0" w:space="0" w:color="auto"/>
      </w:divBdr>
    </w:div>
    <w:div w:id="124276047">
      <w:bodyDiv w:val="1"/>
      <w:marLeft w:val="0"/>
      <w:marRight w:val="0"/>
      <w:marTop w:val="0"/>
      <w:marBottom w:val="0"/>
      <w:divBdr>
        <w:top w:val="none" w:sz="0" w:space="0" w:color="auto"/>
        <w:left w:val="none" w:sz="0" w:space="0" w:color="auto"/>
        <w:bottom w:val="none" w:sz="0" w:space="0" w:color="auto"/>
        <w:right w:val="none" w:sz="0" w:space="0" w:color="auto"/>
      </w:divBdr>
    </w:div>
    <w:div w:id="138812762">
      <w:bodyDiv w:val="1"/>
      <w:marLeft w:val="0"/>
      <w:marRight w:val="0"/>
      <w:marTop w:val="0"/>
      <w:marBottom w:val="0"/>
      <w:divBdr>
        <w:top w:val="none" w:sz="0" w:space="0" w:color="auto"/>
        <w:left w:val="none" w:sz="0" w:space="0" w:color="auto"/>
        <w:bottom w:val="none" w:sz="0" w:space="0" w:color="auto"/>
        <w:right w:val="none" w:sz="0" w:space="0" w:color="auto"/>
      </w:divBdr>
    </w:div>
    <w:div w:id="223444685">
      <w:bodyDiv w:val="1"/>
      <w:marLeft w:val="0"/>
      <w:marRight w:val="0"/>
      <w:marTop w:val="0"/>
      <w:marBottom w:val="0"/>
      <w:divBdr>
        <w:top w:val="none" w:sz="0" w:space="0" w:color="auto"/>
        <w:left w:val="none" w:sz="0" w:space="0" w:color="auto"/>
        <w:bottom w:val="none" w:sz="0" w:space="0" w:color="auto"/>
        <w:right w:val="none" w:sz="0" w:space="0" w:color="auto"/>
      </w:divBdr>
    </w:div>
    <w:div w:id="241575020">
      <w:bodyDiv w:val="1"/>
      <w:marLeft w:val="0"/>
      <w:marRight w:val="0"/>
      <w:marTop w:val="0"/>
      <w:marBottom w:val="0"/>
      <w:divBdr>
        <w:top w:val="none" w:sz="0" w:space="0" w:color="auto"/>
        <w:left w:val="none" w:sz="0" w:space="0" w:color="auto"/>
        <w:bottom w:val="none" w:sz="0" w:space="0" w:color="auto"/>
        <w:right w:val="none" w:sz="0" w:space="0" w:color="auto"/>
      </w:divBdr>
    </w:div>
    <w:div w:id="243495887">
      <w:bodyDiv w:val="1"/>
      <w:marLeft w:val="0"/>
      <w:marRight w:val="0"/>
      <w:marTop w:val="0"/>
      <w:marBottom w:val="0"/>
      <w:divBdr>
        <w:top w:val="none" w:sz="0" w:space="0" w:color="auto"/>
        <w:left w:val="none" w:sz="0" w:space="0" w:color="auto"/>
        <w:bottom w:val="none" w:sz="0" w:space="0" w:color="auto"/>
        <w:right w:val="none" w:sz="0" w:space="0" w:color="auto"/>
      </w:divBdr>
    </w:div>
    <w:div w:id="311178442">
      <w:bodyDiv w:val="1"/>
      <w:marLeft w:val="0"/>
      <w:marRight w:val="0"/>
      <w:marTop w:val="0"/>
      <w:marBottom w:val="0"/>
      <w:divBdr>
        <w:top w:val="none" w:sz="0" w:space="0" w:color="auto"/>
        <w:left w:val="none" w:sz="0" w:space="0" w:color="auto"/>
        <w:bottom w:val="none" w:sz="0" w:space="0" w:color="auto"/>
        <w:right w:val="none" w:sz="0" w:space="0" w:color="auto"/>
      </w:divBdr>
    </w:div>
    <w:div w:id="312756901">
      <w:bodyDiv w:val="1"/>
      <w:marLeft w:val="0"/>
      <w:marRight w:val="0"/>
      <w:marTop w:val="0"/>
      <w:marBottom w:val="0"/>
      <w:divBdr>
        <w:top w:val="none" w:sz="0" w:space="0" w:color="auto"/>
        <w:left w:val="none" w:sz="0" w:space="0" w:color="auto"/>
        <w:bottom w:val="none" w:sz="0" w:space="0" w:color="auto"/>
        <w:right w:val="none" w:sz="0" w:space="0" w:color="auto"/>
      </w:divBdr>
    </w:div>
    <w:div w:id="378170610">
      <w:bodyDiv w:val="1"/>
      <w:marLeft w:val="0"/>
      <w:marRight w:val="0"/>
      <w:marTop w:val="0"/>
      <w:marBottom w:val="0"/>
      <w:divBdr>
        <w:top w:val="none" w:sz="0" w:space="0" w:color="auto"/>
        <w:left w:val="none" w:sz="0" w:space="0" w:color="auto"/>
        <w:bottom w:val="none" w:sz="0" w:space="0" w:color="auto"/>
        <w:right w:val="none" w:sz="0" w:space="0" w:color="auto"/>
      </w:divBdr>
    </w:div>
    <w:div w:id="422728503">
      <w:bodyDiv w:val="1"/>
      <w:marLeft w:val="0"/>
      <w:marRight w:val="0"/>
      <w:marTop w:val="0"/>
      <w:marBottom w:val="0"/>
      <w:divBdr>
        <w:top w:val="none" w:sz="0" w:space="0" w:color="auto"/>
        <w:left w:val="none" w:sz="0" w:space="0" w:color="auto"/>
        <w:bottom w:val="none" w:sz="0" w:space="0" w:color="auto"/>
        <w:right w:val="none" w:sz="0" w:space="0" w:color="auto"/>
      </w:divBdr>
    </w:div>
    <w:div w:id="445731005">
      <w:bodyDiv w:val="1"/>
      <w:marLeft w:val="0"/>
      <w:marRight w:val="0"/>
      <w:marTop w:val="0"/>
      <w:marBottom w:val="0"/>
      <w:divBdr>
        <w:top w:val="none" w:sz="0" w:space="0" w:color="auto"/>
        <w:left w:val="none" w:sz="0" w:space="0" w:color="auto"/>
        <w:bottom w:val="none" w:sz="0" w:space="0" w:color="auto"/>
        <w:right w:val="none" w:sz="0" w:space="0" w:color="auto"/>
      </w:divBdr>
    </w:div>
    <w:div w:id="457381962">
      <w:bodyDiv w:val="1"/>
      <w:marLeft w:val="0"/>
      <w:marRight w:val="0"/>
      <w:marTop w:val="0"/>
      <w:marBottom w:val="0"/>
      <w:divBdr>
        <w:top w:val="none" w:sz="0" w:space="0" w:color="auto"/>
        <w:left w:val="none" w:sz="0" w:space="0" w:color="auto"/>
        <w:bottom w:val="none" w:sz="0" w:space="0" w:color="auto"/>
        <w:right w:val="none" w:sz="0" w:space="0" w:color="auto"/>
      </w:divBdr>
    </w:div>
    <w:div w:id="496073543">
      <w:bodyDiv w:val="1"/>
      <w:marLeft w:val="0"/>
      <w:marRight w:val="0"/>
      <w:marTop w:val="0"/>
      <w:marBottom w:val="0"/>
      <w:divBdr>
        <w:top w:val="none" w:sz="0" w:space="0" w:color="auto"/>
        <w:left w:val="none" w:sz="0" w:space="0" w:color="auto"/>
        <w:bottom w:val="none" w:sz="0" w:space="0" w:color="auto"/>
        <w:right w:val="none" w:sz="0" w:space="0" w:color="auto"/>
      </w:divBdr>
    </w:div>
    <w:div w:id="510878082">
      <w:bodyDiv w:val="1"/>
      <w:marLeft w:val="0"/>
      <w:marRight w:val="0"/>
      <w:marTop w:val="0"/>
      <w:marBottom w:val="0"/>
      <w:divBdr>
        <w:top w:val="none" w:sz="0" w:space="0" w:color="auto"/>
        <w:left w:val="none" w:sz="0" w:space="0" w:color="auto"/>
        <w:bottom w:val="none" w:sz="0" w:space="0" w:color="auto"/>
        <w:right w:val="none" w:sz="0" w:space="0" w:color="auto"/>
      </w:divBdr>
      <w:divsChild>
        <w:div w:id="730614104">
          <w:marLeft w:val="0"/>
          <w:marRight w:val="0"/>
          <w:marTop w:val="0"/>
          <w:marBottom w:val="0"/>
          <w:divBdr>
            <w:top w:val="none" w:sz="0" w:space="0" w:color="auto"/>
            <w:left w:val="none" w:sz="0" w:space="0" w:color="auto"/>
            <w:bottom w:val="none" w:sz="0" w:space="0" w:color="auto"/>
            <w:right w:val="none" w:sz="0" w:space="0" w:color="auto"/>
          </w:divBdr>
        </w:div>
      </w:divsChild>
    </w:div>
    <w:div w:id="536360418">
      <w:bodyDiv w:val="1"/>
      <w:marLeft w:val="0"/>
      <w:marRight w:val="0"/>
      <w:marTop w:val="0"/>
      <w:marBottom w:val="0"/>
      <w:divBdr>
        <w:top w:val="none" w:sz="0" w:space="0" w:color="auto"/>
        <w:left w:val="none" w:sz="0" w:space="0" w:color="auto"/>
        <w:bottom w:val="none" w:sz="0" w:space="0" w:color="auto"/>
        <w:right w:val="none" w:sz="0" w:space="0" w:color="auto"/>
      </w:divBdr>
    </w:div>
    <w:div w:id="571623433">
      <w:bodyDiv w:val="1"/>
      <w:marLeft w:val="0"/>
      <w:marRight w:val="0"/>
      <w:marTop w:val="0"/>
      <w:marBottom w:val="0"/>
      <w:divBdr>
        <w:top w:val="none" w:sz="0" w:space="0" w:color="auto"/>
        <w:left w:val="none" w:sz="0" w:space="0" w:color="auto"/>
        <w:bottom w:val="none" w:sz="0" w:space="0" w:color="auto"/>
        <w:right w:val="none" w:sz="0" w:space="0" w:color="auto"/>
      </w:divBdr>
    </w:div>
    <w:div w:id="586574020">
      <w:bodyDiv w:val="1"/>
      <w:marLeft w:val="0"/>
      <w:marRight w:val="0"/>
      <w:marTop w:val="0"/>
      <w:marBottom w:val="0"/>
      <w:divBdr>
        <w:top w:val="none" w:sz="0" w:space="0" w:color="auto"/>
        <w:left w:val="none" w:sz="0" w:space="0" w:color="auto"/>
        <w:bottom w:val="none" w:sz="0" w:space="0" w:color="auto"/>
        <w:right w:val="none" w:sz="0" w:space="0" w:color="auto"/>
      </w:divBdr>
    </w:div>
    <w:div w:id="622346047">
      <w:bodyDiv w:val="1"/>
      <w:marLeft w:val="0"/>
      <w:marRight w:val="0"/>
      <w:marTop w:val="0"/>
      <w:marBottom w:val="0"/>
      <w:divBdr>
        <w:top w:val="none" w:sz="0" w:space="0" w:color="auto"/>
        <w:left w:val="none" w:sz="0" w:space="0" w:color="auto"/>
        <w:bottom w:val="none" w:sz="0" w:space="0" w:color="auto"/>
        <w:right w:val="none" w:sz="0" w:space="0" w:color="auto"/>
      </w:divBdr>
    </w:div>
    <w:div w:id="624192259">
      <w:bodyDiv w:val="1"/>
      <w:marLeft w:val="0"/>
      <w:marRight w:val="0"/>
      <w:marTop w:val="0"/>
      <w:marBottom w:val="0"/>
      <w:divBdr>
        <w:top w:val="none" w:sz="0" w:space="0" w:color="auto"/>
        <w:left w:val="none" w:sz="0" w:space="0" w:color="auto"/>
        <w:bottom w:val="none" w:sz="0" w:space="0" w:color="auto"/>
        <w:right w:val="none" w:sz="0" w:space="0" w:color="auto"/>
      </w:divBdr>
    </w:div>
    <w:div w:id="664865718">
      <w:bodyDiv w:val="1"/>
      <w:marLeft w:val="0"/>
      <w:marRight w:val="0"/>
      <w:marTop w:val="0"/>
      <w:marBottom w:val="0"/>
      <w:divBdr>
        <w:top w:val="none" w:sz="0" w:space="0" w:color="auto"/>
        <w:left w:val="none" w:sz="0" w:space="0" w:color="auto"/>
        <w:bottom w:val="none" w:sz="0" w:space="0" w:color="auto"/>
        <w:right w:val="none" w:sz="0" w:space="0" w:color="auto"/>
      </w:divBdr>
    </w:div>
    <w:div w:id="706375862">
      <w:bodyDiv w:val="1"/>
      <w:marLeft w:val="0"/>
      <w:marRight w:val="0"/>
      <w:marTop w:val="0"/>
      <w:marBottom w:val="0"/>
      <w:divBdr>
        <w:top w:val="none" w:sz="0" w:space="0" w:color="auto"/>
        <w:left w:val="none" w:sz="0" w:space="0" w:color="auto"/>
        <w:bottom w:val="none" w:sz="0" w:space="0" w:color="auto"/>
        <w:right w:val="none" w:sz="0" w:space="0" w:color="auto"/>
      </w:divBdr>
    </w:div>
    <w:div w:id="720327946">
      <w:bodyDiv w:val="1"/>
      <w:marLeft w:val="0"/>
      <w:marRight w:val="0"/>
      <w:marTop w:val="0"/>
      <w:marBottom w:val="0"/>
      <w:divBdr>
        <w:top w:val="none" w:sz="0" w:space="0" w:color="auto"/>
        <w:left w:val="none" w:sz="0" w:space="0" w:color="auto"/>
        <w:bottom w:val="none" w:sz="0" w:space="0" w:color="auto"/>
        <w:right w:val="none" w:sz="0" w:space="0" w:color="auto"/>
      </w:divBdr>
    </w:div>
    <w:div w:id="734818263">
      <w:bodyDiv w:val="1"/>
      <w:marLeft w:val="0"/>
      <w:marRight w:val="0"/>
      <w:marTop w:val="0"/>
      <w:marBottom w:val="0"/>
      <w:divBdr>
        <w:top w:val="none" w:sz="0" w:space="0" w:color="auto"/>
        <w:left w:val="none" w:sz="0" w:space="0" w:color="auto"/>
        <w:bottom w:val="none" w:sz="0" w:space="0" w:color="auto"/>
        <w:right w:val="none" w:sz="0" w:space="0" w:color="auto"/>
      </w:divBdr>
    </w:div>
    <w:div w:id="744568756">
      <w:bodyDiv w:val="1"/>
      <w:marLeft w:val="0"/>
      <w:marRight w:val="0"/>
      <w:marTop w:val="0"/>
      <w:marBottom w:val="0"/>
      <w:divBdr>
        <w:top w:val="none" w:sz="0" w:space="0" w:color="auto"/>
        <w:left w:val="none" w:sz="0" w:space="0" w:color="auto"/>
        <w:bottom w:val="none" w:sz="0" w:space="0" w:color="auto"/>
        <w:right w:val="none" w:sz="0" w:space="0" w:color="auto"/>
      </w:divBdr>
    </w:div>
    <w:div w:id="757596747">
      <w:bodyDiv w:val="1"/>
      <w:marLeft w:val="0"/>
      <w:marRight w:val="0"/>
      <w:marTop w:val="0"/>
      <w:marBottom w:val="0"/>
      <w:divBdr>
        <w:top w:val="none" w:sz="0" w:space="0" w:color="auto"/>
        <w:left w:val="none" w:sz="0" w:space="0" w:color="auto"/>
        <w:bottom w:val="none" w:sz="0" w:space="0" w:color="auto"/>
        <w:right w:val="none" w:sz="0" w:space="0" w:color="auto"/>
      </w:divBdr>
    </w:div>
    <w:div w:id="772748529">
      <w:bodyDiv w:val="1"/>
      <w:marLeft w:val="0"/>
      <w:marRight w:val="0"/>
      <w:marTop w:val="0"/>
      <w:marBottom w:val="0"/>
      <w:divBdr>
        <w:top w:val="none" w:sz="0" w:space="0" w:color="auto"/>
        <w:left w:val="none" w:sz="0" w:space="0" w:color="auto"/>
        <w:bottom w:val="none" w:sz="0" w:space="0" w:color="auto"/>
        <w:right w:val="none" w:sz="0" w:space="0" w:color="auto"/>
      </w:divBdr>
    </w:div>
    <w:div w:id="798956243">
      <w:bodyDiv w:val="1"/>
      <w:marLeft w:val="0"/>
      <w:marRight w:val="0"/>
      <w:marTop w:val="0"/>
      <w:marBottom w:val="0"/>
      <w:divBdr>
        <w:top w:val="none" w:sz="0" w:space="0" w:color="auto"/>
        <w:left w:val="none" w:sz="0" w:space="0" w:color="auto"/>
        <w:bottom w:val="none" w:sz="0" w:space="0" w:color="auto"/>
        <w:right w:val="none" w:sz="0" w:space="0" w:color="auto"/>
      </w:divBdr>
    </w:div>
    <w:div w:id="878012994">
      <w:bodyDiv w:val="1"/>
      <w:marLeft w:val="0"/>
      <w:marRight w:val="0"/>
      <w:marTop w:val="0"/>
      <w:marBottom w:val="0"/>
      <w:divBdr>
        <w:top w:val="none" w:sz="0" w:space="0" w:color="auto"/>
        <w:left w:val="none" w:sz="0" w:space="0" w:color="auto"/>
        <w:bottom w:val="none" w:sz="0" w:space="0" w:color="auto"/>
        <w:right w:val="none" w:sz="0" w:space="0" w:color="auto"/>
      </w:divBdr>
    </w:div>
    <w:div w:id="935096979">
      <w:bodyDiv w:val="1"/>
      <w:marLeft w:val="0"/>
      <w:marRight w:val="0"/>
      <w:marTop w:val="0"/>
      <w:marBottom w:val="0"/>
      <w:divBdr>
        <w:top w:val="none" w:sz="0" w:space="0" w:color="auto"/>
        <w:left w:val="none" w:sz="0" w:space="0" w:color="auto"/>
        <w:bottom w:val="none" w:sz="0" w:space="0" w:color="auto"/>
        <w:right w:val="none" w:sz="0" w:space="0" w:color="auto"/>
      </w:divBdr>
    </w:div>
    <w:div w:id="938561866">
      <w:bodyDiv w:val="1"/>
      <w:marLeft w:val="0"/>
      <w:marRight w:val="0"/>
      <w:marTop w:val="0"/>
      <w:marBottom w:val="0"/>
      <w:divBdr>
        <w:top w:val="none" w:sz="0" w:space="0" w:color="auto"/>
        <w:left w:val="none" w:sz="0" w:space="0" w:color="auto"/>
        <w:bottom w:val="none" w:sz="0" w:space="0" w:color="auto"/>
        <w:right w:val="none" w:sz="0" w:space="0" w:color="auto"/>
      </w:divBdr>
    </w:div>
    <w:div w:id="948583429">
      <w:bodyDiv w:val="1"/>
      <w:marLeft w:val="0"/>
      <w:marRight w:val="0"/>
      <w:marTop w:val="0"/>
      <w:marBottom w:val="0"/>
      <w:divBdr>
        <w:top w:val="none" w:sz="0" w:space="0" w:color="auto"/>
        <w:left w:val="none" w:sz="0" w:space="0" w:color="auto"/>
        <w:bottom w:val="none" w:sz="0" w:space="0" w:color="auto"/>
        <w:right w:val="none" w:sz="0" w:space="0" w:color="auto"/>
      </w:divBdr>
    </w:div>
    <w:div w:id="949824092">
      <w:bodyDiv w:val="1"/>
      <w:marLeft w:val="0"/>
      <w:marRight w:val="0"/>
      <w:marTop w:val="0"/>
      <w:marBottom w:val="0"/>
      <w:divBdr>
        <w:top w:val="none" w:sz="0" w:space="0" w:color="auto"/>
        <w:left w:val="none" w:sz="0" w:space="0" w:color="auto"/>
        <w:bottom w:val="none" w:sz="0" w:space="0" w:color="auto"/>
        <w:right w:val="none" w:sz="0" w:space="0" w:color="auto"/>
      </w:divBdr>
    </w:div>
    <w:div w:id="968587983">
      <w:bodyDiv w:val="1"/>
      <w:marLeft w:val="0"/>
      <w:marRight w:val="0"/>
      <w:marTop w:val="0"/>
      <w:marBottom w:val="0"/>
      <w:divBdr>
        <w:top w:val="none" w:sz="0" w:space="0" w:color="auto"/>
        <w:left w:val="none" w:sz="0" w:space="0" w:color="auto"/>
        <w:bottom w:val="none" w:sz="0" w:space="0" w:color="auto"/>
        <w:right w:val="none" w:sz="0" w:space="0" w:color="auto"/>
      </w:divBdr>
    </w:div>
    <w:div w:id="989746395">
      <w:bodyDiv w:val="1"/>
      <w:marLeft w:val="0"/>
      <w:marRight w:val="0"/>
      <w:marTop w:val="0"/>
      <w:marBottom w:val="0"/>
      <w:divBdr>
        <w:top w:val="none" w:sz="0" w:space="0" w:color="auto"/>
        <w:left w:val="none" w:sz="0" w:space="0" w:color="auto"/>
        <w:bottom w:val="none" w:sz="0" w:space="0" w:color="auto"/>
        <w:right w:val="none" w:sz="0" w:space="0" w:color="auto"/>
      </w:divBdr>
    </w:div>
    <w:div w:id="1025866517">
      <w:bodyDiv w:val="1"/>
      <w:marLeft w:val="0"/>
      <w:marRight w:val="0"/>
      <w:marTop w:val="0"/>
      <w:marBottom w:val="0"/>
      <w:divBdr>
        <w:top w:val="none" w:sz="0" w:space="0" w:color="auto"/>
        <w:left w:val="none" w:sz="0" w:space="0" w:color="auto"/>
        <w:bottom w:val="none" w:sz="0" w:space="0" w:color="auto"/>
        <w:right w:val="none" w:sz="0" w:space="0" w:color="auto"/>
      </w:divBdr>
    </w:div>
    <w:div w:id="1046249466">
      <w:bodyDiv w:val="1"/>
      <w:marLeft w:val="0"/>
      <w:marRight w:val="0"/>
      <w:marTop w:val="0"/>
      <w:marBottom w:val="0"/>
      <w:divBdr>
        <w:top w:val="none" w:sz="0" w:space="0" w:color="auto"/>
        <w:left w:val="none" w:sz="0" w:space="0" w:color="auto"/>
        <w:bottom w:val="none" w:sz="0" w:space="0" w:color="auto"/>
        <w:right w:val="none" w:sz="0" w:space="0" w:color="auto"/>
      </w:divBdr>
    </w:div>
    <w:div w:id="1097486299">
      <w:bodyDiv w:val="1"/>
      <w:marLeft w:val="0"/>
      <w:marRight w:val="0"/>
      <w:marTop w:val="0"/>
      <w:marBottom w:val="0"/>
      <w:divBdr>
        <w:top w:val="none" w:sz="0" w:space="0" w:color="auto"/>
        <w:left w:val="none" w:sz="0" w:space="0" w:color="auto"/>
        <w:bottom w:val="none" w:sz="0" w:space="0" w:color="auto"/>
        <w:right w:val="none" w:sz="0" w:space="0" w:color="auto"/>
      </w:divBdr>
    </w:div>
    <w:div w:id="1126388235">
      <w:bodyDiv w:val="1"/>
      <w:marLeft w:val="0"/>
      <w:marRight w:val="0"/>
      <w:marTop w:val="0"/>
      <w:marBottom w:val="0"/>
      <w:divBdr>
        <w:top w:val="none" w:sz="0" w:space="0" w:color="auto"/>
        <w:left w:val="none" w:sz="0" w:space="0" w:color="auto"/>
        <w:bottom w:val="none" w:sz="0" w:space="0" w:color="auto"/>
        <w:right w:val="none" w:sz="0" w:space="0" w:color="auto"/>
      </w:divBdr>
    </w:div>
    <w:div w:id="1140079137">
      <w:bodyDiv w:val="1"/>
      <w:marLeft w:val="0"/>
      <w:marRight w:val="0"/>
      <w:marTop w:val="0"/>
      <w:marBottom w:val="0"/>
      <w:divBdr>
        <w:top w:val="none" w:sz="0" w:space="0" w:color="auto"/>
        <w:left w:val="none" w:sz="0" w:space="0" w:color="auto"/>
        <w:bottom w:val="none" w:sz="0" w:space="0" w:color="auto"/>
        <w:right w:val="none" w:sz="0" w:space="0" w:color="auto"/>
      </w:divBdr>
    </w:div>
    <w:div w:id="1145706647">
      <w:bodyDiv w:val="1"/>
      <w:marLeft w:val="0"/>
      <w:marRight w:val="0"/>
      <w:marTop w:val="0"/>
      <w:marBottom w:val="0"/>
      <w:divBdr>
        <w:top w:val="none" w:sz="0" w:space="0" w:color="auto"/>
        <w:left w:val="none" w:sz="0" w:space="0" w:color="auto"/>
        <w:bottom w:val="none" w:sz="0" w:space="0" w:color="auto"/>
        <w:right w:val="none" w:sz="0" w:space="0" w:color="auto"/>
      </w:divBdr>
    </w:div>
    <w:div w:id="1152601832">
      <w:bodyDiv w:val="1"/>
      <w:marLeft w:val="0"/>
      <w:marRight w:val="0"/>
      <w:marTop w:val="0"/>
      <w:marBottom w:val="0"/>
      <w:divBdr>
        <w:top w:val="none" w:sz="0" w:space="0" w:color="auto"/>
        <w:left w:val="none" w:sz="0" w:space="0" w:color="auto"/>
        <w:bottom w:val="none" w:sz="0" w:space="0" w:color="auto"/>
        <w:right w:val="none" w:sz="0" w:space="0" w:color="auto"/>
      </w:divBdr>
    </w:div>
    <w:div w:id="1156605315">
      <w:bodyDiv w:val="1"/>
      <w:marLeft w:val="0"/>
      <w:marRight w:val="0"/>
      <w:marTop w:val="0"/>
      <w:marBottom w:val="0"/>
      <w:divBdr>
        <w:top w:val="none" w:sz="0" w:space="0" w:color="auto"/>
        <w:left w:val="none" w:sz="0" w:space="0" w:color="auto"/>
        <w:bottom w:val="none" w:sz="0" w:space="0" w:color="auto"/>
        <w:right w:val="none" w:sz="0" w:space="0" w:color="auto"/>
      </w:divBdr>
    </w:div>
    <w:div w:id="1208253115">
      <w:bodyDiv w:val="1"/>
      <w:marLeft w:val="0"/>
      <w:marRight w:val="0"/>
      <w:marTop w:val="0"/>
      <w:marBottom w:val="0"/>
      <w:divBdr>
        <w:top w:val="none" w:sz="0" w:space="0" w:color="auto"/>
        <w:left w:val="none" w:sz="0" w:space="0" w:color="auto"/>
        <w:bottom w:val="none" w:sz="0" w:space="0" w:color="auto"/>
        <w:right w:val="none" w:sz="0" w:space="0" w:color="auto"/>
      </w:divBdr>
    </w:div>
    <w:div w:id="1234002479">
      <w:bodyDiv w:val="1"/>
      <w:marLeft w:val="0"/>
      <w:marRight w:val="0"/>
      <w:marTop w:val="0"/>
      <w:marBottom w:val="0"/>
      <w:divBdr>
        <w:top w:val="none" w:sz="0" w:space="0" w:color="auto"/>
        <w:left w:val="none" w:sz="0" w:space="0" w:color="auto"/>
        <w:bottom w:val="none" w:sz="0" w:space="0" w:color="auto"/>
        <w:right w:val="none" w:sz="0" w:space="0" w:color="auto"/>
      </w:divBdr>
    </w:div>
    <w:div w:id="1237519726">
      <w:bodyDiv w:val="1"/>
      <w:marLeft w:val="0"/>
      <w:marRight w:val="0"/>
      <w:marTop w:val="0"/>
      <w:marBottom w:val="0"/>
      <w:divBdr>
        <w:top w:val="none" w:sz="0" w:space="0" w:color="auto"/>
        <w:left w:val="none" w:sz="0" w:space="0" w:color="auto"/>
        <w:bottom w:val="none" w:sz="0" w:space="0" w:color="auto"/>
        <w:right w:val="none" w:sz="0" w:space="0" w:color="auto"/>
      </w:divBdr>
    </w:div>
    <w:div w:id="1256943800">
      <w:bodyDiv w:val="1"/>
      <w:marLeft w:val="0"/>
      <w:marRight w:val="0"/>
      <w:marTop w:val="0"/>
      <w:marBottom w:val="0"/>
      <w:divBdr>
        <w:top w:val="none" w:sz="0" w:space="0" w:color="auto"/>
        <w:left w:val="none" w:sz="0" w:space="0" w:color="auto"/>
        <w:bottom w:val="none" w:sz="0" w:space="0" w:color="auto"/>
        <w:right w:val="none" w:sz="0" w:space="0" w:color="auto"/>
      </w:divBdr>
    </w:div>
    <w:div w:id="1259872056">
      <w:bodyDiv w:val="1"/>
      <w:marLeft w:val="0"/>
      <w:marRight w:val="0"/>
      <w:marTop w:val="0"/>
      <w:marBottom w:val="0"/>
      <w:divBdr>
        <w:top w:val="none" w:sz="0" w:space="0" w:color="auto"/>
        <w:left w:val="none" w:sz="0" w:space="0" w:color="auto"/>
        <w:bottom w:val="none" w:sz="0" w:space="0" w:color="auto"/>
        <w:right w:val="none" w:sz="0" w:space="0" w:color="auto"/>
      </w:divBdr>
    </w:div>
    <w:div w:id="1273711968">
      <w:bodyDiv w:val="1"/>
      <w:marLeft w:val="0"/>
      <w:marRight w:val="0"/>
      <w:marTop w:val="0"/>
      <w:marBottom w:val="0"/>
      <w:divBdr>
        <w:top w:val="none" w:sz="0" w:space="0" w:color="auto"/>
        <w:left w:val="none" w:sz="0" w:space="0" w:color="auto"/>
        <w:bottom w:val="none" w:sz="0" w:space="0" w:color="auto"/>
        <w:right w:val="none" w:sz="0" w:space="0" w:color="auto"/>
      </w:divBdr>
    </w:div>
    <w:div w:id="1278636473">
      <w:bodyDiv w:val="1"/>
      <w:marLeft w:val="0"/>
      <w:marRight w:val="0"/>
      <w:marTop w:val="0"/>
      <w:marBottom w:val="0"/>
      <w:divBdr>
        <w:top w:val="none" w:sz="0" w:space="0" w:color="auto"/>
        <w:left w:val="none" w:sz="0" w:space="0" w:color="auto"/>
        <w:bottom w:val="none" w:sz="0" w:space="0" w:color="auto"/>
        <w:right w:val="none" w:sz="0" w:space="0" w:color="auto"/>
      </w:divBdr>
    </w:div>
    <w:div w:id="1313682458">
      <w:bodyDiv w:val="1"/>
      <w:marLeft w:val="0"/>
      <w:marRight w:val="0"/>
      <w:marTop w:val="0"/>
      <w:marBottom w:val="0"/>
      <w:divBdr>
        <w:top w:val="none" w:sz="0" w:space="0" w:color="auto"/>
        <w:left w:val="none" w:sz="0" w:space="0" w:color="auto"/>
        <w:bottom w:val="none" w:sz="0" w:space="0" w:color="auto"/>
        <w:right w:val="none" w:sz="0" w:space="0" w:color="auto"/>
      </w:divBdr>
    </w:div>
    <w:div w:id="1357610188">
      <w:bodyDiv w:val="1"/>
      <w:marLeft w:val="0"/>
      <w:marRight w:val="0"/>
      <w:marTop w:val="0"/>
      <w:marBottom w:val="0"/>
      <w:divBdr>
        <w:top w:val="none" w:sz="0" w:space="0" w:color="auto"/>
        <w:left w:val="none" w:sz="0" w:space="0" w:color="auto"/>
        <w:bottom w:val="none" w:sz="0" w:space="0" w:color="auto"/>
        <w:right w:val="none" w:sz="0" w:space="0" w:color="auto"/>
      </w:divBdr>
    </w:div>
    <w:div w:id="1386031486">
      <w:bodyDiv w:val="1"/>
      <w:marLeft w:val="0"/>
      <w:marRight w:val="0"/>
      <w:marTop w:val="0"/>
      <w:marBottom w:val="0"/>
      <w:divBdr>
        <w:top w:val="none" w:sz="0" w:space="0" w:color="auto"/>
        <w:left w:val="none" w:sz="0" w:space="0" w:color="auto"/>
        <w:bottom w:val="none" w:sz="0" w:space="0" w:color="auto"/>
        <w:right w:val="none" w:sz="0" w:space="0" w:color="auto"/>
      </w:divBdr>
    </w:div>
    <w:div w:id="1397977470">
      <w:bodyDiv w:val="1"/>
      <w:marLeft w:val="0"/>
      <w:marRight w:val="0"/>
      <w:marTop w:val="0"/>
      <w:marBottom w:val="0"/>
      <w:divBdr>
        <w:top w:val="none" w:sz="0" w:space="0" w:color="auto"/>
        <w:left w:val="none" w:sz="0" w:space="0" w:color="auto"/>
        <w:bottom w:val="none" w:sz="0" w:space="0" w:color="auto"/>
        <w:right w:val="none" w:sz="0" w:space="0" w:color="auto"/>
      </w:divBdr>
    </w:div>
    <w:div w:id="1405765242">
      <w:bodyDiv w:val="1"/>
      <w:marLeft w:val="0"/>
      <w:marRight w:val="0"/>
      <w:marTop w:val="0"/>
      <w:marBottom w:val="0"/>
      <w:divBdr>
        <w:top w:val="none" w:sz="0" w:space="0" w:color="auto"/>
        <w:left w:val="none" w:sz="0" w:space="0" w:color="auto"/>
        <w:bottom w:val="none" w:sz="0" w:space="0" w:color="auto"/>
        <w:right w:val="none" w:sz="0" w:space="0" w:color="auto"/>
      </w:divBdr>
    </w:div>
    <w:div w:id="1408962438">
      <w:bodyDiv w:val="1"/>
      <w:marLeft w:val="0"/>
      <w:marRight w:val="0"/>
      <w:marTop w:val="0"/>
      <w:marBottom w:val="0"/>
      <w:divBdr>
        <w:top w:val="none" w:sz="0" w:space="0" w:color="auto"/>
        <w:left w:val="none" w:sz="0" w:space="0" w:color="auto"/>
        <w:bottom w:val="none" w:sz="0" w:space="0" w:color="auto"/>
        <w:right w:val="none" w:sz="0" w:space="0" w:color="auto"/>
      </w:divBdr>
    </w:div>
    <w:div w:id="1414280295">
      <w:bodyDiv w:val="1"/>
      <w:marLeft w:val="0"/>
      <w:marRight w:val="0"/>
      <w:marTop w:val="0"/>
      <w:marBottom w:val="0"/>
      <w:divBdr>
        <w:top w:val="none" w:sz="0" w:space="0" w:color="auto"/>
        <w:left w:val="none" w:sz="0" w:space="0" w:color="auto"/>
        <w:bottom w:val="none" w:sz="0" w:space="0" w:color="auto"/>
        <w:right w:val="none" w:sz="0" w:space="0" w:color="auto"/>
      </w:divBdr>
    </w:div>
    <w:div w:id="1426225314">
      <w:bodyDiv w:val="1"/>
      <w:marLeft w:val="0"/>
      <w:marRight w:val="0"/>
      <w:marTop w:val="0"/>
      <w:marBottom w:val="0"/>
      <w:divBdr>
        <w:top w:val="none" w:sz="0" w:space="0" w:color="auto"/>
        <w:left w:val="none" w:sz="0" w:space="0" w:color="auto"/>
        <w:bottom w:val="none" w:sz="0" w:space="0" w:color="auto"/>
        <w:right w:val="none" w:sz="0" w:space="0" w:color="auto"/>
      </w:divBdr>
    </w:div>
    <w:div w:id="1475683284">
      <w:bodyDiv w:val="1"/>
      <w:marLeft w:val="0"/>
      <w:marRight w:val="0"/>
      <w:marTop w:val="0"/>
      <w:marBottom w:val="0"/>
      <w:divBdr>
        <w:top w:val="none" w:sz="0" w:space="0" w:color="auto"/>
        <w:left w:val="none" w:sz="0" w:space="0" w:color="auto"/>
        <w:bottom w:val="none" w:sz="0" w:space="0" w:color="auto"/>
        <w:right w:val="none" w:sz="0" w:space="0" w:color="auto"/>
      </w:divBdr>
    </w:div>
    <w:div w:id="1486163575">
      <w:bodyDiv w:val="1"/>
      <w:marLeft w:val="0"/>
      <w:marRight w:val="0"/>
      <w:marTop w:val="0"/>
      <w:marBottom w:val="0"/>
      <w:divBdr>
        <w:top w:val="none" w:sz="0" w:space="0" w:color="auto"/>
        <w:left w:val="none" w:sz="0" w:space="0" w:color="auto"/>
        <w:bottom w:val="none" w:sz="0" w:space="0" w:color="auto"/>
        <w:right w:val="none" w:sz="0" w:space="0" w:color="auto"/>
      </w:divBdr>
    </w:div>
    <w:div w:id="1540240359">
      <w:bodyDiv w:val="1"/>
      <w:marLeft w:val="0"/>
      <w:marRight w:val="0"/>
      <w:marTop w:val="0"/>
      <w:marBottom w:val="0"/>
      <w:divBdr>
        <w:top w:val="none" w:sz="0" w:space="0" w:color="auto"/>
        <w:left w:val="none" w:sz="0" w:space="0" w:color="auto"/>
        <w:bottom w:val="none" w:sz="0" w:space="0" w:color="auto"/>
        <w:right w:val="none" w:sz="0" w:space="0" w:color="auto"/>
      </w:divBdr>
    </w:div>
    <w:div w:id="1562786501">
      <w:bodyDiv w:val="1"/>
      <w:marLeft w:val="0"/>
      <w:marRight w:val="0"/>
      <w:marTop w:val="0"/>
      <w:marBottom w:val="0"/>
      <w:divBdr>
        <w:top w:val="none" w:sz="0" w:space="0" w:color="auto"/>
        <w:left w:val="none" w:sz="0" w:space="0" w:color="auto"/>
        <w:bottom w:val="none" w:sz="0" w:space="0" w:color="auto"/>
        <w:right w:val="none" w:sz="0" w:space="0" w:color="auto"/>
      </w:divBdr>
      <w:divsChild>
        <w:div w:id="814688451">
          <w:marLeft w:val="0"/>
          <w:marRight w:val="0"/>
          <w:marTop w:val="0"/>
          <w:marBottom w:val="0"/>
          <w:divBdr>
            <w:top w:val="none" w:sz="0" w:space="0" w:color="auto"/>
            <w:left w:val="none" w:sz="0" w:space="0" w:color="auto"/>
            <w:bottom w:val="none" w:sz="0" w:space="0" w:color="auto"/>
            <w:right w:val="none" w:sz="0" w:space="0" w:color="auto"/>
          </w:divBdr>
        </w:div>
      </w:divsChild>
    </w:div>
    <w:div w:id="1581479221">
      <w:bodyDiv w:val="1"/>
      <w:marLeft w:val="0"/>
      <w:marRight w:val="0"/>
      <w:marTop w:val="0"/>
      <w:marBottom w:val="0"/>
      <w:divBdr>
        <w:top w:val="none" w:sz="0" w:space="0" w:color="auto"/>
        <w:left w:val="none" w:sz="0" w:space="0" w:color="auto"/>
        <w:bottom w:val="none" w:sz="0" w:space="0" w:color="auto"/>
        <w:right w:val="none" w:sz="0" w:space="0" w:color="auto"/>
      </w:divBdr>
    </w:div>
    <w:div w:id="1615282383">
      <w:bodyDiv w:val="1"/>
      <w:marLeft w:val="0"/>
      <w:marRight w:val="0"/>
      <w:marTop w:val="0"/>
      <w:marBottom w:val="0"/>
      <w:divBdr>
        <w:top w:val="none" w:sz="0" w:space="0" w:color="auto"/>
        <w:left w:val="none" w:sz="0" w:space="0" w:color="auto"/>
        <w:bottom w:val="none" w:sz="0" w:space="0" w:color="auto"/>
        <w:right w:val="none" w:sz="0" w:space="0" w:color="auto"/>
      </w:divBdr>
    </w:div>
    <w:div w:id="1618830575">
      <w:bodyDiv w:val="1"/>
      <w:marLeft w:val="0"/>
      <w:marRight w:val="0"/>
      <w:marTop w:val="0"/>
      <w:marBottom w:val="0"/>
      <w:divBdr>
        <w:top w:val="none" w:sz="0" w:space="0" w:color="auto"/>
        <w:left w:val="none" w:sz="0" w:space="0" w:color="auto"/>
        <w:bottom w:val="none" w:sz="0" w:space="0" w:color="auto"/>
        <w:right w:val="none" w:sz="0" w:space="0" w:color="auto"/>
      </w:divBdr>
    </w:div>
    <w:div w:id="1671565225">
      <w:bodyDiv w:val="1"/>
      <w:marLeft w:val="0"/>
      <w:marRight w:val="0"/>
      <w:marTop w:val="0"/>
      <w:marBottom w:val="0"/>
      <w:divBdr>
        <w:top w:val="none" w:sz="0" w:space="0" w:color="auto"/>
        <w:left w:val="none" w:sz="0" w:space="0" w:color="auto"/>
        <w:bottom w:val="none" w:sz="0" w:space="0" w:color="auto"/>
        <w:right w:val="none" w:sz="0" w:space="0" w:color="auto"/>
      </w:divBdr>
    </w:div>
    <w:div w:id="1674991920">
      <w:bodyDiv w:val="1"/>
      <w:marLeft w:val="0"/>
      <w:marRight w:val="0"/>
      <w:marTop w:val="0"/>
      <w:marBottom w:val="0"/>
      <w:divBdr>
        <w:top w:val="none" w:sz="0" w:space="0" w:color="auto"/>
        <w:left w:val="none" w:sz="0" w:space="0" w:color="auto"/>
        <w:bottom w:val="none" w:sz="0" w:space="0" w:color="auto"/>
        <w:right w:val="none" w:sz="0" w:space="0" w:color="auto"/>
      </w:divBdr>
    </w:div>
    <w:div w:id="1691712966">
      <w:bodyDiv w:val="1"/>
      <w:marLeft w:val="0"/>
      <w:marRight w:val="0"/>
      <w:marTop w:val="0"/>
      <w:marBottom w:val="0"/>
      <w:divBdr>
        <w:top w:val="none" w:sz="0" w:space="0" w:color="auto"/>
        <w:left w:val="none" w:sz="0" w:space="0" w:color="auto"/>
        <w:bottom w:val="none" w:sz="0" w:space="0" w:color="auto"/>
        <w:right w:val="none" w:sz="0" w:space="0" w:color="auto"/>
      </w:divBdr>
    </w:div>
    <w:div w:id="1706521439">
      <w:bodyDiv w:val="1"/>
      <w:marLeft w:val="0"/>
      <w:marRight w:val="0"/>
      <w:marTop w:val="0"/>
      <w:marBottom w:val="0"/>
      <w:divBdr>
        <w:top w:val="none" w:sz="0" w:space="0" w:color="auto"/>
        <w:left w:val="none" w:sz="0" w:space="0" w:color="auto"/>
        <w:bottom w:val="none" w:sz="0" w:space="0" w:color="auto"/>
        <w:right w:val="none" w:sz="0" w:space="0" w:color="auto"/>
      </w:divBdr>
    </w:div>
    <w:div w:id="1718123770">
      <w:bodyDiv w:val="1"/>
      <w:marLeft w:val="0"/>
      <w:marRight w:val="0"/>
      <w:marTop w:val="0"/>
      <w:marBottom w:val="0"/>
      <w:divBdr>
        <w:top w:val="none" w:sz="0" w:space="0" w:color="auto"/>
        <w:left w:val="none" w:sz="0" w:space="0" w:color="auto"/>
        <w:bottom w:val="none" w:sz="0" w:space="0" w:color="auto"/>
        <w:right w:val="none" w:sz="0" w:space="0" w:color="auto"/>
      </w:divBdr>
    </w:div>
    <w:div w:id="1754232902">
      <w:bodyDiv w:val="1"/>
      <w:marLeft w:val="0"/>
      <w:marRight w:val="0"/>
      <w:marTop w:val="0"/>
      <w:marBottom w:val="0"/>
      <w:divBdr>
        <w:top w:val="none" w:sz="0" w:space="0" w:color="auto"/>
        <w:left w:val="none" w:sz="0" w:space="0" w:color="auto"/>
        <w:bottom w:val="none" w:sz="0" w:space="0" w:color="auto"/>
        <w:right w:val="none" w:sz="0" w:space="0" w:color="auto"/>
      </w:divBdr>
    </w:div>
    <w:div w:id="1767769013">
      <w:bodyDiv w:val="1"/>
      <w:marLeft w:val="0"/>
      <w:marRight w:val="0"/>
      <w:marTop w:val="0"/>
      <w:marBottom w:val="0"/>
      <w:divBdr>
        <w:top w:val="none" w:sz="0" w:space="0" w:color="auto"/>
        <w:left w:val="none" w:sz="0" w:space="0" w:color="auto"/>
        <w:bottom w:val="none" w:sz="0" w:space="0" w:color="auto"/>
        <w:right w:val="none" w:sz="0" w:space="0" w:color="auto"/>
      </w:divBdr>
    </w:div>
    <w:div w:id="1808158511">
      <w:bodyDiv w:val="1"/>
      <w:marLeft w:val="0"/>
      <w:marRight w:val="0"/>
      <w:marTop w:val="0"/>
      <w:marBottom w:val="0"/>
      <w:divBdr>
        <w:top w:val="none" w:sz="0" w:space="0" w:color="auto"/>
        <w:left w:val="none" w:sz="0" w:space="0" w:color="auto"/>
        <w:bottom w:val="none" w:sz="0" w:space="0" w:color="auto"/>
        <w:right w:val="none" w:sz="0" w:space="0" w:color="auto"/>
      </w:divBdr>
    </w:div>
    <w:div w:id="1820339683">
      <w:bodyDiv w:val="1"/>
      <w:marLeft w:val="0"/>
      <w:marRight w:val="0"/>
      <w:marTop w:val="0"/>
      <w:marBottom w:val="0"/>
      <w:divBdr>
        <w:top w:val="none" w:sz="0" w:space="0" w:color="auto"/>
        <w:left w:val="none" w:sz="0" w:space="0" w:color="auto"/>
        <w:bottom w:val="none" w:sz="0" w:space="0" w:color="auto"/>
        <w:right w:val="none" w:sz="0" w:space="0" w:color="auto"/>
      </w:divBdr>
    </w:div>
    <w:div w:id="1860895828">
      <w:bodyDiv w:val="1"/>
      <w:marLeft w:val="0"/>
      <w:marRight w:val="0"/>
      <w:marTop w:val="0"/>
      <w:marBottom w:val="0"/>
      <w:divBdr>
        <w:top w:val="none" w:sz="0" w:space="0" w:color="auto"/>
        <w:left w:val="none" w:sz="0" w:space="0" w:color="auto"/>
        <w:bottom w:val="none" w:sz="0" w:space="0" w:color="auto"/>
        <w:right w:val="none" w:sz="0" w:space="0" w:color="auto"/>
      </w:divBdr>
      <w:divsChild>
        <w:div w:id="1706517708">
          <w:marLeft w:val="0"/>
          <w:marRight w:val="0"/>
          <w:marTop w:val="0"/>
          <w:marBottom w:val="0"/>
          <w:divBdr>
            <w:top w:val="none" w:sz="0" w:space="0" w:color="auto"/>
            <w:left w:val="none" w:sz="0" w:space="0" w:color="auto"/>
            <w:bottom w:val="none" w:sz="0" w:space="0" w:color="auto"/>
            <w:right w:val="none" w:sz="0" w:space="0" w:color="auto"/>
          </w:divBdr>
        </w:div>
      </w:divsChild>
    </w:div>
    <w:div w:id="1907953969">
      <w:bodyDiv w:val="1"/>
      <w:marLeft w:val="0"/>
      <w:marRight w:val="0"/>
      <w:marTop w:val="0"/>
      <w:marBottom w:val="0"/>
      <w:divBdr>
        <w:top w:val="none" w:sz="0" w:space="0" w:color="auto"/>
        <w:left w:val="none" w:sz="0" w:space="0" w:color="auto"/>
        <w:bottom w:val="none" w:sz="0" w:space="0" w:color="auto"/>
        <w:right w:val="none" w:sz="0" w:space="0" w:color="auto"/>
      </w:divBdr>
    </w:div>
    <w:div w:id="1917669466">
      <w:bodyDiv w:val="1"/>
      <w:marLeft w:val="0"/>
      <w:marRight w:val="0"/>
      <w:marTop w:val="0"/>
      <w:marBottom w:val="0"/>
      <w:divBdr>
        <w:top w:val="none" w:sz="0" w:space="0" w:color="auto"/>
        <w:left w:val="none" w:sz="0" w:space="0" w:color="auto"/>
        <w:bottom w:val="none" w:sz="0" w:space="0" w:color="auto"/>
        <w:right w:val="none" w:sz="0" w:space="0" w:color="auto"/>
      </w:divBdr>
    </w:div>
    <w:div w:id="1940287809">
      <w:bodyDiv w:val="1"/>
      <w:marLeft w:val="0"/>
      <w:marRight w:val="0"/>
      <w:marTop w:val="0"/>
      <w:marBottom w:val="0"/>
      <w:divBdr>
        <w:top w:val="none" w:sz="0" w:space="0" w:color="auto"/>
        <w:left w:val="none" w:sz="0" w:space="0" w:color="auto"/>
        <w:bottom w:val="none" w:sz="0" w:space="0" w:color="auto"/>
        <w:right w:val="none" w:sz="0" w:space="0" w:color="auto"/>
      </w:divBdr>
    </w:div>
    <w:div w:id="1952979593">
      <w:bodyDiv w:val="1"/>
      <w:marLeft w:val="0"/>
      <w:marRight w:val="0"/>
      <w:marTop w:val="0"/>
      <w:marBottom w:val="0"/>
      <w:divBdr>
        <w:top w:val="none" w:sz="0" w:space="0" w:color="auto"/>
        <w:left w:val="none" w:sz="0" w:space="0" w:color="auto"/>
        <w:bottom w:val="none" w:sz="0" w:space="0" w:color="auto"/>
        <w:right w:val="none" w:sz="0" w:space="0" w:color="auto"/>
      </w:divBdr>
    </w:div>
    <w:div w:id="2023119089">
      <w:bodyDiv w:val="1"/>
      <w:marLeft w:val="0"/>
      <w:marRight w:val="0"/>
      <w:marTop w:val="0"/>
      <w:marBottom w:val="0"/>
      <w:divBdr>
        <w:top w:val="none" w:sz="0" w:space="0" w:color="auto"/>
        <w:left w:val="none" w:sz="0" w:space="0" w:color="auto"/>
        <w:bottom w:val="none" w:sz="0" w:space="0" w:color="auto"/>
        <w:right w:val="none" w:sz="0" w:space="0" w:color="auto"/>
      </w:divBdr>
    </w:div>
    <w:div w:id="2078935480">
      <w:bodyDiv w:val="1"/>
      <w:marLeft w:val="0"/>
      <w:marRight w:val="0"/>
      <w:marTop w:val="0"/>
      <w:marBottom w:val="0"/>
      <w:divBdr>
        <w:top w:val="none" w:sz="0" w:space="0" w:color="auto"/>
        <w:left w:val="none" w:sz="0" w:space="0" w:color="auto"/>
        <w:bottom w:val="none" w:sz="0" w:space="0" w:color="auto"/>
        <w:right w:val="none" w:sz="0" w:space="0" w:color="auto"/>
      </w:divBdr>
    </w:div>
    <w:div w:id="2102096324">
      <w:bodyDiv w:val="1"/>
      <w:marLeft w:val="0"/>
      <w:marRight w:val="0"/>
      <w:marTop w:val="0"/>
      <w:marBottom w:val="0"/>
      <w:divBdr>
        <w:top w:val="none" w:sz="0" w:space="0" w:color="auto"/>
        <w:left w:val="none" w:sz="0" w:space="0" w:color="auto"/>
        <w:bottom w:val="none" w:sz="0" w:space="0" w:color="auto"/>
        <w:right w:val="none" w:sz="0" w:space="0" w:color="auto"/>
      </w:divBdr>
    </w:div>
    <w:div w:id="210876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8.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7.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0.jpg"/></Relationships>
</file>

<file path=word/_rels/head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FFF"/>
      </a:lt2>
      <a:accent1>
        <a:srgbClr val="00837C"/>
      </a:accent1>
      <a:accent2>
        <a:srgbClr val="47763B"/>
      </a:accent2>
      <a:accent3>
        <a:srgbClr val="F4B223"/>
      </a:accent3>
      <a:accent4>
        <a:srgbClr val="313D48"/>
      </a:accent4>
      <a:accent5>
        <a:srgbClr val="B3995D"/>
      </a:accent5>
      <a:accent6>
        <a:srgbClr val="CED2D3"/>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67A22-F9A0-4282-AD0B-82563AD7A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12130</Words>
  <Characters>76288</Characters>
  <Application>Microsoft Office Word</Application>
  <DocSecurity>0</DocSecurity>
  <Lines>1720</Lines>
  <Paragraphs>499</Paragraphs>
  <ScaleCrop>false</ScaleCrop>
  <HeadingPairs>
    <vt:vector size="2" baseType="variant">
      <vt:variant>
        <vt:lpstr>Title</vt:lpstr>
      </vt:variant>
      <vt:variant>
        <vt:i4>1</vt:i4>
      </vt:variant>
    </vt:vector>
  </HeadingPairs>
  <TitlesOfParts>
    <vt:vector size="1" baseType="lpstr">
      <vt:lpstr>Mekong-Australia Partnership - Annual report</vt:lpstr>
    </vt:vector>
  </TitlesOfParts>
  <Company/>
  <LinksUpToDate>false</LinksUpToDate>
  <CharactersWithSpaces>88083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Mekong-Australia Partnership - Annual report</dc:title>
  <dc:subject/>
  <dc:creator/>
  <cp:keywords>[SEC=OFFICIAL]</cp:keywords>
  <dc:description/>
  <cp:lastModifiedBy/>
  <cp:revision>1</cp:revision>
  <dcterms:created xsi:type="dcterms:W3CDTF">2025-09-30T01:27:00Z</dcterms:created>
  <dcterms:modified xsi:type="dcterms:W3CDTF">2025-09-30T01:37:00Z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DisplayValueSecClassificationWithQualifier">
    <vt:lpwstr>OFFICIAL</vt:lpwstr>
  </property>
  <property fmtid="{D5CDD505-2E9C-101B-9397-08002B2CF9AE}" pid="4" name="PMHMAC">
    <vt:lpwstr>v=2022.1;a=SHA256;h=808AC93F28E89FA4379B26429A92D4BC2D05A497627C1D5A1710402CD30716DD</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D4CC4C8435C04940B760E629973DAD0D</vt:lpwstr>
  </property>
  <property fmtid="{D5CDD505-2E9C-101B-9397-08002B2CF9AE}" pid="9" name="PM_ProtectiveMarkingValue_Footer">
    <vt:lpwstr>OFFICIAL</vt:lpwstr>
  </property>
  <property fmtid="{D5CDD505-2E9C-101B-9397-08002B2CF9AE}" pid="10" name="PM_Originator_Hash_SHA1">
    <vt:lpwstr>E5329D78ADFF18985C404F3A4015F7B7C209C4C5</vt:lpwstr>
  </property>
  <property fmtid="{D5CDD505-2E9C-101B-9397-08002B2CF9AE}" pid="11" name="PM_OriginationTimeStamp">
    <vt:lpwstr>2023-05-14T23:18:18Z</vt:lpwstr>
  </property>
  <property fmtid="{D5CDD505-2E9C-101B-9397-08002B2CF9AE}" pid="12" name="PM_ProtectiveMarkingValue_Header">
    <vt:lpwstr>OFFICIAL</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0B505C5853C95ED0A5680A17B767E6D1</vt:lpwstr>
  </property>
  <property fmtid="{D5CDD505-2E9C-101B-9397-08002B2CF9AE}" pid="20" name="PM_Hash_Salt">
    <vt:lpwstr>037DB5C76CED4F86CC16E91D280D0AE6</vt:lpwstr>
  </property>
  <property fmtid="{D5CDD505-2E9C-101B-9397-08002B2CF9AE}" pid="21" name="PM_Hash_SHA1">
    <vt:lpwstr>89F4FD0D79E0550F6D8536F4C9ED250B152CE360</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v=2022.2;d=gov.au;g=46DD6D7C-8107-577B-BC6E-F348953B2E44</vt:lpwstr>
  </property>
  <property fmtid="{D5CDD505-2E9C-101B-9397-08002B2CF9AE}" pid="26" name="PM_OriginatorUserAccountName_SHA256">
    <vt:lpwstr>C427463A240001568B1E728057080C091949066E05DD342FA6B5B9F6FF33F8D6</vt:lpwstr>
  </property>
  <property fmtid="{D5CDD505-2E9C-101B-9397-08002B2CF9AE}" pid="27" name="PM_OriginatorDomainName_SHA256">
    <vt:lpwstr>6F3591835F3B2A8A025B00B5BA6418010DA3A17C9C26EA9C049FFD28039489A2</vt:lpwstr>
  </property>
  <property fmtid="{D5CDD505-2E9C-101B-9397-08002B2CF9AE}" pid="28" name="PM_Caveats_Count">
    <vt:lpwstr>0</vt:lpwstr>
  </property>
  <property fmtid="{D5CDD505-2E9C-101B-9397-08002B2CF9AE}" pid="29" name="PM_Expires">
    <vt:lpwstr/>
  </property>
  <property fmtid="{D5CDD505-2E9C-101B-9397-08002B2CF9AE}" pid="30" name="PM_DownTo">
    <vt:lpwstr/>
  </property>
</Properties>
</file>