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185D" w14:textId="4F69ECDC" w:rsidR="00721EBD" w:rsidRDefault="00054567" w:rsidP="00054567">
      <w:pPr>
        <w:pStyle w:val="Heading1"/>
      </w:pPr>
      <w:r w:rsidRPr="00075F0A">
        <w:t>2022-23 Solomon Islands Development Program Progress Report</w:t>
      </w:r>
      <w:r>
        <w:t>ing</w:t>
      </w:r>
    </w:p>
    <w:p w14:paraId="2590DC4F" w14:textId="0156B385" w:rsidR="00054567" w:rsidRDefault="00054567" w:rsidP="00054567">
      <w:pPr>
        <w:pStyle w:val="Heading2"/>
      </w:pPr>
      <w:r w:rsidRPr="00075F0A">
        <w:t>Progress against COVID-19 development Response plan results indicators</w:t>
      </w:r>
    </w:p>
    <w:p w14:paraId="7631B60D" w14:textId="3639C33A" w:rsidR="00054567" w:rsidRDefault="00054567" w:rsidP="00054567">
      <w:pPr>
        <w:pStyle w:val="Heading3"/>
      </w:pPr>
      <w:r w:rsidRPr="00075F0A">
        <w:t>Health Security</w:t>
      </w:r>
    </w:p>
    <w:tbl>
      <w:tblPr>
        <w:tblStyle w:val="TableGrid"/>
        <w:tblW w:w="10546" w:type="dxa"/>
        <w:tblInd w:w="-5"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health security"/>
      </w:tblPr>
      <w:tblGrid>
        <w:gridCol w:w="4534"/>
        <w:gridCol w:w="6012"/>
      </w:tblGrid>
      <w:tr w:rsidR="009D43F3" w:rsidRPr="00332DAC" w14:paraId="6CD39F62" w14:textId="77777777" w:rsidTr="000269DC">
        <w:trPr>
          <w:tblHeader/>
        </w:trPr>
        <w:tc>
          <w:tcPr>
            <w:tcW w:w="4534" w:type="dxa"/>
            <w:tcBorders>
              <w:top w:val="nil"/>
            </w:tcBorders>
            <w:shd w:val="clear" w:color="auto" w:fill="A2DCD1" w:themeFill="accent1" w:themeFillTint="99"/>
          </w:tcPr>
          <w:p w14:paraId="797E440A" w14:textId="2B4DCCAA" w:rsidR="009D43F3" w:rsidRPr="00332DAC" w:rsidRDefault="009D43F3" w:rsidP="009D43F3">
            <w:pPr>
              <w:spacing w:before="0" w:line="240" w:lineRule="auto"/>
              <w:ind w:left="84"/>
              <w:contextualSpacing/>
              <w:jc w:val="center"/>
              <w:rPr>
                <w:color w:val="auto"/>
              </w:rPr>
            </w:pPr>
            <w:r w:rsidRPr="00332DAC">
              <w:rPr>
                <w:b/>
                <w:color w:val="auto"/>
                <w:sz w:val="20"/>
                <w:szCs w:val="20"/>
              </w:rPr>
              <w:t>Key Results Indicators</w:t>
            </w:r>
          </w:p>
        </w:tc>
        <w:tc>
          <w:tcPr>
            <w:tcW w:w="6012" w:type="dxa"/>
            <w:tcBorders>
              <w:top w:val="nil"/>
            </w:tcBorders>
            <w:shd w:val="clear" w:color="auto" w:fill="A2DCD1" w:themeFill="accent1" w:themeFillTint="99"/>
          </w:tcPr>
          <w:p w14:paraId="7C0527C5" w14:textId="62B151EC" w:rsidR="009D43F3" w:rsidRPr="00332DAC" w:rsidRDefault="009D43F3" w:rsidP="009D43F3">
            <w:pPr>
              <w:spacing w:before="0" w:line="240" w:lineRule="auto"/>
              <w:ind w:left="84"/>
              <w:jc w:val="center"/>
              <w:rPr>
                <w:color w:val="auto"/>
              </w:rPr>
            </w:pPr>
            <w:r w:rsidRPr="00332DAC">
              <w:rPr>
                <w:b/>
                <w:color w:val="auto"/>
                <w:sz w:val="20"/>
                <w:szCs w:val="20"/>
              </w:rPr>
              <w:t>Progress/Result</w:t>
            </w:r>
          </w:p>
        </w:tc>
      </w:tr>
      <w:tr w:rsidR="009D43F3" w:rsidRPr="00332DAC" w14:paraId="5D4066B5" w14:textId="77777777" w:rsidTr="00721EBD">
        <w:tc>
          <w:tcPr>
            <w:tcW w:w="4534" w:type="dxa"/>
            <w:tcBorders>
              <w:top w:val="single" w:sz="4" w:space="0" w:color="auto"/>
            </w:tcBorders>
          </w:tcPr>
          <w:p w14:paraId="354112BD" w14:textId="2588E68E" w:rsidR="009D43F3" w:rsidRPr="00332DAC" w:rsidRDefault="009D43F3" w:rsidP="009D43F3">
            <w:pPr>
              <w:spacing w:before="0" w:line="240" w:lineRule="auto"/>
              <w:ind w:left="84"/>
              <w:contextualSpacing/>
              <w:rPr>
                <w:color w:val="auto"/>
              </w:rPr>
            </w:pPr>
            <w:r w:rsidRPr="00332DAC">
              <w:rPr>
                <w:color w:val="auto"/>
              </w:rPr>
              <w:t>Decrease in vector borne disease incidence</w:t>
            </w:r>
          </w:p>
        </w:tc>
        <w:tc>
          <w:tcPr>
            <w:tcW w:w="6012" w:type="dxa"/>
            <w:tcBorders>
              <w:top w:val="single" w:sz="4" w:space="0" w:color="auto"/>
            </w:tcBorders>
          </w:tcPr>
          <w:p w14:paraId="63925E41" w14:textId="0D940ED0" w:rsidR="009D43F3" w:rsidRPr="00332DAC" w:rsidRDefault="009D43F3" w:rsidP="009D43F3">
            <w:pPr>
              <w:spacing w:before="0" w:line="240" w:lineRule="auto"/>
              <w:ind w:left="84"/>
              <w:rPr>
                <w:color w:val="auto"/>
              </w:rPr>
            </w:pPr>
            <w:r w:rsidRPr="00332DAC">
              <w:rPr>
                <w:color w:val="auto"/>
              </w:rPr>
              <w:t xml:space="preserve">The Ministry of Health and Medical Services (MHMS) reported a six per cent increase of malaria cases from the 2021 baseline (84,139 cases). </w:t>
            </w:r>
            <w:r>
              <w:rPr>
                <w:color w:val="auto"/>
              </w:rPr>
              <w:t xml:space="preserve">With </w:t>
            </w:r>
            <w:r w:rsidRPr="00332DAC">
              <w:rPr>
                <w:color w:val="auto"/>
              </w:rPr>
              <w:t>Australia’s support</w:t>
            </w:r>
            <w:r>
              <w:rPr>
                <w:color w:val="auto"/>
              </w:rPr>
              <w:t xml:space="preserve">, the </w:t>
            </w:r>
            <w:r w:rsidRPr="00332DAC">
              <w:rPr>
                <w:color w:val="auto"/>
              </w:rPr>
              <w:t>W</w:t>
            </w:r>
            <w:r>
              <w:rPr>
                <w:color w:val="auto"/>
              </w:rPr>
              <w:t xml:space="preserve">orld </w:t>
            </w:r>
            <w:r w:rsidRPr="00332DAC">
              <w:rPr>
                <w:color w:val="auto"/>
              </w:rPr>
              <w:t>H</w:t>
            </w:r>
            <w:r>
              <w:rPr>
                <w:color w:val="auto"/>
              </w:rPr>
              <w:t xml:space="preserve">ealth </w:t>
            </w:r>
            <w:r w:rsidRPr="00332DAC">
              <w:rPr>
                <w:color w:val="auto"/>
              </w:rPr>
              <w:t>O</w:t>
            </w:r>
            <w:r>
              <w:rPr>
                <w:color w:val="auto"/>
              </w:rPr>
              <w:t>rganisation (WHO)</w:t>
            </w:r>
            <w:r w:rsidRPr="00332DAC">
              <w:rPr>
                <w:color w:val="auto"/>
              </w:rPr>
              <w:t xml:space="preserve"> provided urgent malaria commodities, enabled an internal MHMS program review, and established a real-time field-based household surveillance program with the Rotarians Against Malaria. </w:t>
            </w:r>
          </w:p>
        </w:tc>
      </w:tr>
      <w:tr w:rsidR="009D43F3" w:rsidRPr="00332DAC" w14:paraId="4AD746D8" w14:textId="77777777" w:rsidTr="00721EBD">
        <w:tc>
          <w:tcPr>
            <w:tcW w:w="4534" w:type="dxa"/>
          </w:tcPr>
          <w:p w14:paraId="0AB10A98" w14:textId="3BC2AC47" w:rsidR="009D43F3" w:rsidRPr="00332DAC" w:rsidRDefault="009D43F3" w:rsidP="009D43F3">
            <w:pPr>
              <w:spacing w:before="0" w:line="240" w:lineRule="auto"/>
              <w:ind w:left="84"/>
              <w:contextualSpacing/>
              <w:rPr>
                <w:color w:val="auto"/>
              </w:rPr>
            </w:pPr>
            <w:r w:rsidRPr="00332DAC">
              <w:rPr>
                <w:color w:val="auto"/>
              </w:rPr>
              <w:t>Increase in rate of supervised deliveries</w:t>
            </w:r>
          </w:p>
        </w:tc>
        <w:tc>
          <w:tcPr>
            <w:tcW w:w="6012" w:type="dxa"/>
          </w:tcPr>
          <w:p w14:paraId="08918BBC" w14:textId="0DF2357B" w:rsidR="009D43F3" w:rsidRPr="00332DAC" w:rsidRDefault="009D43F3" w:rsidP="009D43F3">
            <w:pPr>
              <w:spacing w:before="0" w:line="240" w:lineRule="auto"/>
              <w:ind w:left="84"/>
              <w:rPr>
                <w:color w:val="auto"/>
              </w:rPr>
            </w:pPr>
            <w:r w:rsidRPr="00332DAC">
              <w:rPr>
                <w:color w:val="auto"/>
              </w:rPr>
              <w:t xml:space="preserve">The MHMS has not released updated data on supervised deliveries. Australia’s support enabled WHO to provide Emergency Management of Obstetric Complications training, distribute 1,000 copies of the Solomon Islands Standard Treatment Manual for Obstetrics and Gynaecology, and provided technical support in response to four maternal deaths in Gizo, Western Province. </w:t>
            </w:r>
          </w:p>
        </w:tc>
      </w:tr>
      <w:tr w:rsidR="009D43F3" w:rsidRPr="00332DAC" w14:paraId="561E10FB" w14:textId="77777777" w:rsidTr="00721EBD">
        <w:tc>
          <w:tcPr>
            <w:tcW w:w="4534" w:type="dxa"/>
          </w:tcPr>
          <w:p w14:paraId="3FC5A9AE" w14:textId="04C4F7D1" w:rsidR="009D43F3" w:rsidRPr="00332DAC" w:rsidRDefault="009D43F3" w:rsidP="009D43F3">
            <w:pPr>
              <w:spacing w:before="0" w:line="240" w:lineRule="auto"/>
              <w:ind w:left="84"/>
              <w:contextualSpacing/>
              <w:rPr>
                <w:color w:val="auto"/>
              </w:rPr>
            </w:pPr>
            <w:r w:rsidRPr="00332DAC">
              <w:rPr>
                <w:color w:val="auto"/>
              </w:rPr>
              <w:t>Number of children immunised with Australian support</w:t>
            </w:r>
          </w:p>
        </w:tc>
        <w:tc>
          <w:tcPr>
            <w:tcW w:w="6012" w:type="dxa"/>
          </w:tcPr>
          <w:p w14:paraId="5352FD31" w14:textId="059D4AB8" w:rsidR="009D43F3" w:rsidRPr="00332DAC" w:rsidRDefault="009D43F3" w:rsidP="009D43F3">
            <w:pPr>
              <w:spacing w:before="0" w:line="240" w:lineRule="auto"/>
              <w:ind w:left="84"/>
              <w:rPr>
                <w:color w:val="auto"/>
              </w:rPr>
            </w:pPr>
            <w:r w:rsidRPr="00332DAC">
              <w:rPr>
                <w:color w:val="auto"/>
              </w:rPr>
              <w:t>Australia funded a nation-wide Measles and Rubella Immuni</w:t>
            </w:r>
            <w:r>
              <w:rPr>
                <w:color w:val="auto"/>
              </w:rPr>
              <w:t>z</w:t>
            </w:r>
            <w:r w:rsidRPr="00332DAC">
              <w:rPr>
                <w:color w:val="auto"/>
              </w:rPr>
              <w:t>ation Activity in 2022. A total of 5,783 children were immunised in Malaita, Isabel, and Honiara (the only provinces that provided data to date). An immunisation adviser from the National Centre for Immunization Research and Surveillance was embedded in MHMS for technical advice.</w:t>
            </w:r>
          </w:p>
        </w:tc>
      </w:tr>
      <w:tr w:rsidR="009D43F3" w:rsidRPr="00332DAC" w14:paraId="6024B2EE" w14:textId="77777777" w:rsidTr="00721EBD">
        <w:tc>
          <w:tcPr>
            <w:tcW w:w="4534" w:type="dxa"/>
          </w:tcPr>
          <w:p w14:paraId="5A7E4C44" w14:textId="3893BACD" w:rsidR="009D43F3" w:rsidRPr="00332DAC" w:rsidRDefault="009D43F3" w:rsidP="009D43F3">
            <w:pPr>
              <w:spacing w:before="0" w:line="240" w:lineRule="auto"/>
              <w:ind w:left="84"/>
              <w:contextualSpacing/>
              <w:rPr>
                <w:color w:val="auto"/>
              </w:rPr>
            </w:pPr>
            <w:r w:rsidRPr="00332DAC">
              <w:rPr>
                <w:color w:val="auto"/>
              </w:rPr>
              <w:t>Budget execution rate for Ministry of Health and Medical Services over 75 per cent</w:t>
            </w:r>
          </w:p>
        </w:tc>
        <w:tc>
          <w:tcPr>
            <w:tcW w:w="6012" w:type="dxa"/>
          </w:tcPr>
          <w:p w14:paraId="7D0B7CF8" w14:textId="78C3DE66" w:rsidR="009D43F3" w:rsidRPr="00332DAC" w:rsidRDefault="009D43F3" w:rsidP="009D43F3">
            <w:pPr>
              <w:spacing w:before="0" w:line="240" w:lineRule="auto"/>
              <w:ind w:left="84"/>
              <w:rPr>
                <w:color w:val="auto"/>
                <w:highlight w:val="yellow"/>
              </w:rPr>
            </w:pPr>
            <w:r w:rsidRPr="00332DAC">
              <w:rPr>
                <w:color w:val="auto"/>
              </w:rPr>
              <w:t>Australia’s budget support execution rate in 2022 was 69 per cent (down from 70 per</w:t>
            </w:r>
            <w:r>
              <w:rPr>
                <w:color w:val="auto"/>
              </w:rPr>
              <w:t xml:space="preserve"> </w:t>
            </w:r>
            <w:r w:rsidRPr="00332DAC">
              <w:rPr>
                <w:color w:val="auto"/>
              </w:rPr>
              <w:t>cent in 2021). For all donor funds, the execution rate was 57 per</w:t>
            </w:r>
            <w:r>
              <w:rPr>
                <w:color w:val="auto"/>
              </w:rPr>
              <w:t xml:space="preserve"> </w:t>
            </w:r>
            <w:r w:rsidRPr="00332DAC">
              <w:rPr>
                <w:color w:val="auto"/>
              </w:rPr>
              <w:t>cent. The MHMS recurrent budget execution rate remains at 92 per cent. For 2023 (Jan</w:t>
            </w:r>
            <w:r>
              <w:rPr>
                <w:color w:val="auto"/>
              </w:rPr>
              <w:t>uary</w:t>
            </w:r>
            <w:r w:rsidRPr="00332DAC">
              <w:rPr>
                <w:color w:val="auto"/>
              </w:rPr>
              <w:t>-June), Australia’s execution rate is currently 47 per</w:t>
            </w:r>
            <w:r>
              <w:rPr>
                <w:color w:val="auto"/>
              </w:rPr>
              <w:t xml:space="preserve"> </w:t>
            </w:r>
            <w:r w:rsidRPr="00332DAC">
              <w:rPr>
                <w:color w:val="auto"/>
              </w:rPr>
              <w:t>cent.</w:t>
            </w:r>
          </w:p>
        </w:tc>
      </w:tr>
      <w:tr w:rsidR="009D43F3" w:rsidRPr="00332DAC" w14:paraId="44EF29C4" w14:textId="77777777" w:rsidTr="00721EBD">
        <w:trPr>
          <w:trHeight w:val="300"/>
        </w:trPr>
        <w:tc>
          <w:tcPr>
            <w:tcW w:w="4534" w:type="dxa"/>
          </w:tcPr>
          <w:p w14:paraId="1EA20350" w14:textId="1FB3EA3C" w:rsidR="009D43F3" w:rsidRPr="00332DAC" w:rsidRDefault="009D43F3" w:rsidP="009D43F3">
            <w:pPr>
              <w:spacing w:before="0" w:line="240" w:lineRule="auto"/>
              <w:ind w:left="84"/>
              <w:contextualSpacing/>
              <w:rPr>
                <w:color w:val="auto"/>
              </w:rPr>
            </w:pPr>
            <w:r w:rsidRPr="00332DAC">
              <w:rPr>
                <w:color w:val="auto"/>
              </w:rPr>
              <w:t>Number of people trained in field epidemiology, surveillance and infection prevention and control</w:t>
            </w:r>
          </w:p>
        </w:tc>
        <w:tc>
          <w:tcPr>
            <w:tcW w:w="6012" w:type="dxa"/>
          </w:tcPr>
          <w:p w14:paraId="7F7B5ED2" w14:textId="397D64EF" w:rsidR="009D43F3" w:rsidRPr="00332DAC" w:rsidRDefault="009D43F3" w:rsidP="009D43F3">
            <w:pPr>
              <w:spacing w:before="0" w:line="240" w:lineRule="auto"/>
              <w:ind w:left="84"/>
              <w:rPr>
                <w:color w:val="auto"/>
              </w:rPr>
            </w:pPr>
            <w:r w:rsidRPr="00332DAC">
              <w:rPr>
                <w:color w:val="auto"/>
              </w:rPr>
              <w:t>Australia trained nine students under the Solomon Islands Field Epidemiology Training Program to complete a seven-day workshop on strengthening surveillance systems. MHMS budget support enabled national and provincial training and workshops to improve surveillance systems. Australia trained 29 nurses on infection prevention and control at the National Referral Hospital.</w:t>
            </w:r>
          </w:p>
        </w:tc>
      </w:tr>
      <w:tr w:rsidR="009D43F3" w:rsidRPr="00332DAC" w14:paraId="7757E4B9" w14:textId="77777777" w:rsidTr="00721EBD">
        <w:trPr>
          <w:trHeight w:val="300"/>
        </w:trPr>
        <w:tc>
          <w:tcPr>
            <w:tcW w:w="4534" w:type="dxa"/>
          </w:tcPr>
          <w:p w14:paraId="296041CC" w14:textId="336A1332" w:rsidR="009D43F3" w:rsidRPr="00332DAC" w:rsidRDefault="009D43F3" w:rsidP="009D43F3">
            <w:pPr>
              <w:spacing w:before="0" w:line="240" w:lineRule="auto"/>
              <w:ind w:left="84"/>
              <w:contextualSpacing/>
              <w:rPr>
                <w:color w:val="auto"/>
              </w:rPr>
            </w:pPr>
            <w:r w:rsidRPr="00332DAC">
              <w:rPr>
                <w:color w:val="auto"/>
              </w:rPr>
              <w:t>Adequate laboratory capacity to test for COVID-19</w:t>
            </w:r>
          </w:p>
        </w:tc>
        <w:tc>
          <w:tcPr>
            <w:tcW w:w="6012" w:type="dxa"/>
          </w:tcPr>
          <w:p w14:paraId="761E913C" w14:textId="34854F37" w:rsidR="009D43F3" w:rsidRPr="00332DAC" w:rsidRDefault="009D43F3" w:rsidP="009D43F3">
            <w:pPr>
              <w:spacing w:before="0" w:line="240" w:lineRule="auto"/>
              <w:ind w:left="84"/>
              <w:rPr>
                <w:color w:val="auto"/>
              </w:rPr>
            </w:pPr>
            <w:r w:rsidRPr="00332DAC">
              <w:rPr>
                <w:color w:val="auto"/>
              </w:rPr>
              <w:t xml:space="preserve">Australia funded the refurbishment of the national biomolecular laboratory at the National Referral Hospital. Australia also installed two fully equipped prefabricated biomolecular laboratories in Western Province and Choiseul province, which included a training package to use and maintain the new </w:t>
            </w:r>
            <w:r w:rsidRPr="00332DAC">
              <w:rPr>
                <w:color w:val="auto"/>
              </w:rPr>
              <w:lastRenderedPageBreak/>
              <w:t>equipment. A third laboratory is being installed in Temotu province.</w:t>
            </w:r>
          </w:p>
        </w:tc>
      </w:tr>
      <w:tr w:rsidR="009D43F3" w:rsidRPr="00332DAC" w14:paraId="7C43BD20" w14:textId="77777777" w:rsidTr="00721EBD">
        <w:trPr>
          <w:trHeight w:val="300"/>
        </w:trPr>
        <w:tc>
          <w:tcPr>
            <w:tcW w:w="4534" w:type="dxa"/>
          </w:tcPr>
          <w:p w14:paraId="7AF4F61F" w14:textId="2B3F7F76" w:rsidR="009D43F3" w:rsidRPr="00332DAC" w:rsidRDefault="009D43F3" w:rsidP="009D43F3">
            <w:pPr>
              <w:spacing w:before="0" w:line="240" w:lineRule="auto"/>
              <w:ind w:left="84"/>
              <w:contextualSpacing/>
              <w:rPr>
                <w:color w:val="auto"/>
              </w:rPr>
            </w:pPr>
            <w:r w:rsidRPr="00332DAC">
              <w:rPr>
                <w:color w:val="auto"/>
              </w:rPr>
              <w:lastRenderedPageBreak/>
              <w:t>Stock availability in national medical store and in primary health care facilities</w:t>
            </w:r>
          </w:p>
        </w:tc>
        <w:tc>
          <w:tcPr>
            <w:tcW w:w="6012" w:type="dxa"/>
          </w:tcPr>
          <w:p w14:paraId="5F5C495E" w14:textId="79B60E6B" w:rsidR="009D43F3" w:rsidRPr="00332DAC" w:rsidRDefault="009D43F3" w:rsidP="009D43F3">
            <w:pPr>
              <w:spacing w:before="0" w:line="240" w:lineRule="auto"/>
              <w:ind w:left="84"/>
              <w:rPr>
                <w:color w:val="auto"/>
              </w:rPr>
            </w:pPr>
            <w:r w:rsidRPr="00332DAC">
              <w:rPr>
                <w:color w:val="auto"/>
              </w:rPr>
              <w:t xml:space="preserve">Solomon Islands experienced critical medical supply stockouts in 2022-23. Australia responded by providing approximately </w:t>
            </w:r>
            <w:r>
              <w:rPr>
                <w:color w:val="auto"/>
              </w:rPr>
              <w:br/>
            </w:r>
            <w:r w:rsidRPr="00332DAC">
              <w:rPr>
                <w:color w:val="auto"/>
              </w:rPr>
              <w:t>$2</w:t>
            </w:r>
            <w:r>
              <w:rPr>
                <w:color w:val="auto"/>
              </w:rPr>
              <w:t xml:space="preserve"> </w:t>
            </w:r>
            <w:r w:rsidRPr="00332DAC">
              <w:rPr>
                <w:color w:val="auto"/>
              </w:rPr>
              <w:t xml:space="preserve">million of budget support to the MHMS and separately procured 26,777 units of medical supplies including consumables, pharmaceuticals, and medical equipment. Beyond Essential Systems was contracted to review the medical supply system and commenced strengthening activities.  </w:t>
            </w:r>
          </w:p>
        </w:tc>
      </w:tr>
      <w:tr w:rsidR="009D43F3" w:rsidRPr="00332DAC" w14:paraId="600B03D9" w14:textId="77777777" w:rsidTr="00721EBD">
        <w:trPr>
          <w:trHeight w:val="300"/>
        </w:trPr>
        <w:tc>
          <w:tcPr>
            <w:tcW w:w="4534" w:type="dxa"/>
            <w:tcBorders>
              <w:bottom w:val="single" w:sz="4" w:space="0" w:color="65C5B4" w:themeColor="accent1"/>
            </w:tcBorders>
          </w:tcPr>
          <w:p w14:paraId="386CEFF5" w14:textId="592B1CC2" w:rsidR="009D43F3" w:rsidRPr="00332DAC" w:rsidRDefault="009D43F3" w:rsidP="009D43F3">
            <w:pPr>
              <w:spacing w:before="0" w:line="240" w:lineRule="auto"/>
              <w:ind w:left="84"/>
              <w:contextualSpacing/>
              <w:rPr>
                <w:color w:val="auto"/>
              </w:rPr>
            </w:pPr>
            <w:r w:rsidRPr="00332DAC">
              <w:rPr>
                <w:color w:val="auto"/>
              </w:rPr>
              <w:t xml:space="preserve">Increase in number of people who have access to improved water and sanitation </w:t>
            </w:r>
          </w:p>
        </w:tc>
        <w:tc>
          <w:tcPr>
            <w:tcW w:w="6012" w:type="dxa"/>
            <w:tcBorders>
              <w:bottom w:val="single" w:sz="4" w:space="0" w:color="65C5B4" w:themeColor="accent1"/>
            </w:tcBorders>
          </w:tcPr>
          <w:p w14:paraId="2A4D744C" w14:textId="305D390B" w:rsidR="009D43F3" w:rsidRPr="00332DAC" w:rsidRDefault="009D43F3" w:rsidP="009D43F3">
            <w:pPr>
              <w:spacing w:before="0" w:line="240" w:lineRule="auto"/>
              <w:ind w:left="84"/>
              <w:rPr>
                <w:color w:val="auto"/>
              </w:rPr>
            </w:pPr>
            <w:r w:rsidRPr="00332DAC">
              <w:rPr>
                <w:color w:val="auto"/>
              </w:rPr>
              <w:t xml:space="preserve">Australia supported </w:t>
            </w:r>
            <w:r>
              <w:rPr>
                <w:color w:val="auto"/>
              </w:rPr>
              <w:t xml:space="preserve">the </w:t>
            </w:r>
            <w:r w:rsidRPr="00FD11BE">
              <w:rPr>
                <w:color w:val="auto"/>
              </w:rPr>
              <w:t>United Nations Children's Fund</w:t>
            </w:r>
            <w:r w:rsidRPr="00332DAC">
              <w:rPr>
                <w:color w:val="auto"/>
              </w:rPr>
              <w:t xml:space="preserve"> to implement a Community Led-Total Sanitation program that trained 425 people across 216 communities to improve sanitation and hygiene, established seven sanitation market vendors to sell parts for new ablution facilities, and certified five communities in Malaita province as “open defecation free”. </w:t>
            </w:r>
          </w:p>
        </w:tc>
      </w:tr>
      <w:tr w:rsidR="009D43F3" w:rsidRPr="00332DAC" w14:paraId="4D10B01E" w14:textId="77777777" w:rsidTr="00721EBD">
        <w:trPr>
          <w:trHeight w:val="300"/>
        </w:trPr>
        <w:tc>
          <w:tcPr>
            <w:tcW w:w="4534" w:type="dxa"/>
            <w:tcBorders>
              <w:bottom w:val="single" w:sz="4" w:space="0" w:color="65C5B4" w:themeColor="accent1"/>
            </w:tcBorders>
          </w:tcPr>
          <w:p w14:paraId="6298F046" w14:textId="04E39CB5" w:rsidR="009D43F3" w:rsidRPr="00332DAC" w:rsidRDefault="009D43F3" w:rsidP="009D43F3">
            <w:pPr>
              <w:spacing w:before="0" w:line="240" w:lineRule="auto"/>
              <w:ind w:left="84"/>
              <w:contextualSpacing/>
              <w:rPr>
                <w:color w:val="auto"/>
              </w:rPr>
            </w:pPr>
            <w:r w:rsidRPr="00332DAC">
              <w:rPr>
                <w:color w:val="auto"/>
              </w:rPr>
              <w:t>Number of people assisted with family planning</w:t>
            </w:r>
          </w:p>
        </w:tc>
        <w:tc>
          <w:tcPr>
            <w:tcW w:w="6012" w:type="dxa"/>
            <w:tcBorders>
              <w:bottom w:val="single" w:sz="4" w:space="0" w:color="65C5B4" w:themeColor="accent1"/>
            </w:tcBorders>
          </w:tcPr>
          <w:p w14:paraId="2704BEBB" w14:textId="1263BD6B" w:rsidR="009D43F3" w:rsidRPr="00332DAC" w:rsidRDefault="009D43F3" w:rsidP="009D43F3">
            <w:pPr>
              <w:spacing w:before="0" w:line="240" w:lineRule="auto"/>
              <w:ind w:left="84"/>
              <w:rPr>
                <w:color w:val="auto"/>
              </w:rPr>
            </w:pPr>
            <w:r w:rsidRPr="00332DAC">
              <w:rPr>
                <w:color w:val="auto"/>
              </w:rPr>
              <w:t>Through the UN Population Fund and the International Planned Parenthood Federation, we supported 95,120 people to access family planning services in Solomon Islands.</w:t>
            </w:r>
          </w:p>
        </w:tc>
      </w:tr>
    </w:tbl>
    <w:p w14:paraId="23438507" w14:textId="5D686A94" w:rsidR="00AF5EE1" w:rsidRDefault="00AF5EE1"/>
    <w:p w14:paraId="09CDA7BB" w14:textId="77DF7BD8" w:rsidR="00054567" w:rsidRDefault="00054567" w:rsidP="00054567">
      <w:pPr>
        <w:pStyle w:val="Heading3"/>
      </w:pPr>
      <w:r>
        <w:t>Stability</w:t>
      </w:r>
    </w:p>
    <w:tbl>
      <w:tblPr>
        <w:tblStyle w:val="TableGrid"/>
        <w:tblW w:w="10546" w:type="dxa"/>
        <w:tblInd w:w="-5"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health security"/>
      </w:tblPr>
      <w:tblGrid>
        <w:gridCol w:w="4255"/>
        <w:gridCol w:w="6291"/>
      </w:tblGrid>
      <w:tr w:rsidR="009D43F3" w:rsidRPr="00332DAC" w14:paraId="14EF210E" w14:textId="77777777" w:rsidTr="000269DC">
        <w:trPr>
          <w:tblHeader/>
        </w:trPr>
        <w:tc>
          <w:tcPr>
            <w:tcW w:w="4255" w:type="dxa"/>
            <w:tcBorders>
              <w:top w:val="nil"/>
            </w:tcBorders>
            <w:shd w:val="clear" w:color="auto" w:fill="A2DCD1" w:themeFill="accent1" w:themeFillTint="99"/>
            <w:vAlign w:val="bottom"/>
          </w:tcPr>
          <w:p w14:paraId="47014330" w14:textId="7A7E2C4C" w:rsidR="009D43F3" w:rsidRPr="00332DAC" w:rsidRDefault="009D43F3" w:rsidP="009D43F3">
            <w:pPr>
              <w:widowControl w:val="0"/>
              <w:spacing w:before="0" w:after="0" w:line="240" w:lineRule="auto"/>
              <w:jc w:val="center"/>
              <w:rPr>
                <w:color w:val="auto"/>
                <w:sz w:val="20"/>
                <w:szCs w:val="20"/>
              </w:rPr>
            </w:pPr>
            <w:r w:rsidRPr="00332DAC">
              <w:rPr>
                <w:b/>
                <w:color w:val="auto"/>
                <w:sz w:val="20"/>
                <w:szCs w:val="20"/>
              </w:rPr>
              <w:t>Key Results Indicators</w:t>
            </w:r>
          </w:p>
        </w:tc>
        <w:tc>
          <w:tcPr>
            <w:tcW w:w="6291" w:type="dxa"/>
            <w:tcBorders>
              <w:top w:val="nil"/>
            </w:tcBorders>
            <w:shd w:val="clear" w:color="auto" w:fill="A2DCD1" w:themeFill="accent1" w:themeFillTint="99"/>
            <w:vAlign w:val="bottom"/>
          </w:tcPr>
          <w:p w14:paraId="167B5817" w14:textId="6DB7E03D" w:rsidR="009D43F3" w:rsidRPr="00332DAC" w:rsidRDefault="009D43F3" w:rsidP="009D43F3">
            <w:pPr>
              <w:widowControl w:val="0"/>
              <w:spacing w:before="0" w:after="0" w:line="240" w:lineRule="auto"/>
              <w:jc w:val="center"/>
              <w:rPr>
                <w:color w:val="auto"/>
                <w:sz w:val="20"/>
                <w:szCs w:val="20"/>
              </w:rPr>
            </w:pPr>
            <w:r w:rsidRPr="00332DAC">
              <w:rPr>
                <w:b/>
                <w:color w:val="auto"/>
                <w:sz w:val="20"/>
                <w:szCs w:val="20"/>
              </w:rPr>
              <w:t>Progress/Result</w:t>
            </w:r>
          </w:p>
        </w:tc>
      </w:tr>
      <w:tr w:rsidR="009D43F3" w:rsidRPr="00332DAC" w14:paraId="593A8551" w14:textId="77777777" w:rsidTr="00721EBD">
        <w:tc>
          <w:tcPr>
            <w:tcW w:w="4255" w:type="dxa"/>
          </w:tcPr>
          <w:p w14:paraId="2AA59D1C" w14:textId="5FFC9531" w:rsidR="009D43F3" w:rsidRPr="00332DAC" w:rsidRDefault="009D43F3" w:rsidP="009D43F3">
            <w:pPr>
              <w:spacing w:before="0" w:line="240" w:lineRule="auto"/>
              <w:ind w:left="84"/>
              <w:contextualSpacing/>
              <w:rPr>
                <w:color w:val="auto"/>
              </w:rPr>
            </w:pPr>
            <w:r w:rsidRPr="00332DAC">
              <w:rPr>
                <w:color w:val="auto"/>
              </w:rPr>
              <w:t>Net enrolment primary school rate is over 88 per cent</w:t>
            </w:r>
          </w:p>
        </w:tc>
        <w:tc>
          <w:tcPr>
            <w:tcW w:w="6291" w:type="dxa"/>
          </w:tcPr>
          <w:p w14:paraId="2E8902BB" w14:textId="4C3154C2" w:rsidR="009D43F3" w:rsidRPr="00332DAC" w:rsidRDefault="009D43F3" w:rsidP="009D43F3">
            <w:pPr>
              <w:spacing w:before="0" w:after="0"/>
              <w:ind w:left="100"/>
              <w:rPr>
                <w:rFonts w:eastAsiaTheme="minorEastAsia"/>
                <w:color w:val="auto"/>
              </w:rPr>
            </w:pPr>
            <w:r w:rsidRPr="00332DAC">
              <w:rPr>
                <w:rFonts w:eastAsiaTheme="minorEastAsia"/>
                <w:color w:val="auto"/>
              </w:rPr>
              <w:t>Enrolment data for primary schools will be available by November 2023.</w:t>
            </w:r>
            <w:r w:rsidRPr="00332DAC">
              <w:rPr>
                <w:color w:val="auto"/>
                <w:sz w:val="20"/>
                <w:szCs w:val="20"/>
              </w:rPr>
              <w:t xml:space="preserve"> </w:t>
            </w:r>
            <w:r w:rsidRPr="00332DAC">
              <w:rPr>
                <w:rFonts w:eastAsiaTheme="minorEastAsia"/>
                <w:color w:val="auto"/>
              </w:rPr>
              <w:t xml:space="preserve">Our education program continues to support primary school enrolment and is now funding the collation of this data directly, as well as funding provincial data management assistants to improve the collation of data. </w:t>
            </w:r>
          </w:p>
        </w:tc>
      </w:tr>
      <w:tr w:rsidR="009D43F3" w:rsidRPr="00332DAC" w14:paraId="0556A95D" w14:textId="77777777" w:rsidTr="00721EBD">
        <w:tc>
          <w:tcPr>
            <w:tcW w:w="4255" w:type="dxa"/>
          </w:tcPr>
          <w:p w14:paraId="62F5276A" w14:textId="61DA12AD" w:rsidR="009D43F3" w:rsidRPr="00332DAC" w:rsidRDefault="009D43F3" w:rsidP="009D43F3">
            <w:pPr>
              <w:spacing w:before="0" w:line="240" w:lineRule="auto"/>
              <w:ind w:left="84"/>
              <w:contextualSpacing/>
              <w:rPr>
                <w:color w:val="auto"/>
              </w:rPr>
            </w:pPr>
            <w:r w:rsidRPr="00332DAC">
              <w:rPr>
                <w:color w:val="auto"/>
              </w:rPr>
              <w:t>Number of schools with improved water and sanitation facilities</w:t>
            </w:r>
          </w:p>
        </w:tc>
        <w:tc>
          <w:tcPr>
            <w:tcW w:w="6291" w:type="dxa"/>
          </w:tcPr>
          <w:p w14:paraId="07F60E1F" w14:textId="5F7372DE" w:rsidR="009D43F3" w:rsidRPr="00332DAC" w:rsidRDefault="009D43F3" w:rsidP="009D43F3">
            <w:pPr>
              <w:spacing w:before="0" w:after="0"/>
              <w:rPr>
                <w:rFonts w:eastAsiaTheme="minorEastAsia"/>
                <w:color w:val="auto"/>
              </w:rPr>
            </w:pPr>
            <w:r w:rsidRPr="00332DAC">
              <w:rPr>
                <w:rFonts w:eastAsiaTheme="minorEastAsia"/>
                <w:color w:val="auto"/>
              </w:rPr>
              <w:t>761 schools have improved WASH facilities (651 with basic water source available and 110 with limited water source) and 1,004 schools have improved sanitation (256 with basic single sex sanitation and 748 with limited sanitation)</w:t>
            </w:r>
            <w:r>
              <w:rPr>
                <w:rFonts w:eastAsiaTheme="minorEastAsia"/>
                <w:color w:val="auto"/>
              </w:rPr>
              <w:t>.</w:t>
            </w:r>
          </w:p>
          <w:p w14:paraId="71F5FF79" w14:textId="3B4F2B01" w:rsidR="009D43F3" w:rsidRPr="00332DAC" w:rsidRDefault="009D43F3" w:rsidP="009D43F3">
            <w:pPr>
              <w:spacing w:before="0" w:after="0"/>
              <w:ind w:left="100"/>
              <w:rPr>
                <w:rFonts w:eastAsiaTheme="minorEastAsia"/>
                <w:b/>
                <w:bCs/>
                <w:color w:val="auto"/>
                <w:lang w:val="en-US"/>
              </w:rPr>
            </w:pPr>
          </w:p>
        </w:tc>
      </w:tr>
      <w:tr w:rsidR="009D43F3" w:rsidRPr="00332DAC" w14:paraId="5DF0BAD4" w14:textId="77777777" w:rsidTr="00721EBD">
        <w:tc>
          <w:tcPr>
            <w:tcW w:w="4255" w:type="dxa"/>
          </w:tcPr>
          <w:p w14:paraId="476782F7" w14:textId="0EDFEDF0" w:rsidR="009D43F3" w:rsidRPr="00332DAC" w:rsidRDefault="009D43F3" w:rsidP="009D43F3">
            <w:pPr>
              <w:spacing w:before="0" w:line="240" w:lineRule="auto"/>
              <w:ind w:left="84"/>
              <w:contextualSpacing/>
              <w:rPr>
                <w:color w:val="auto"/>
              </w:rPr>
            </w:pPr>
            <w:r w:rsidRPr="00332DAC">
              <w:rPr>
                <w:color w:val="auto"/>
              </w:rPr>
              <w:t xml:space="preserve">At least 70 per cent of </w:t>
            </w:r>
            <w:r>
              <w:rPr>
                <w:color w:val="auto"/>
              </w:rPr>
              <w:t>Y</w:t>
            </w:r>
            <w:r w:rsidRPr="00332DAC">
              <w:rPr>
                <w:color w:val="auto"/>
              </w:rPr>
              <w:t xml:space="preserve">ear 4 students achieve the expected level for literacy and numeracy in the </w:t>
            </w:r>
            <w:r w:rsidRPr="001712F0">
              <w:rPr>
                <w:color w:val="auto"/>
              </w:rPr>
              <w:t xml:space="preserve">Solomon Islands Standardized Test for Achievement </w:t>
            </w:r>
            <w:r>
              <w:rPr>
                <w:color w:val="auto"/>
              </w:rPr>
              <w:t>(</w:t>
            </w:r>
            <w:r w:rsidRPr="00332DAC">
              <w:rPr>
                <w:color w:val="auto"/>
              </w:rPr>
              <w:t>SISTA</w:t>
            </w:r>
            <w:r>
              <w:rPr>
                <w:color w:val="auto"/>
              </w:rPr>
              <w:t>)</w:t>
            </w:r>
            <w:r w:rsidRPr="00332DAC">
              <w:rPr>
                <w:color w:val="auto"/>
              </w:rPr>
              <w:t xml:space="preserve"> assessment</w:t>
            </w:r>
          </w:p>
        </w:tc>
        <w:tc>
          <w:tcPr>
            <w:tcW w:w="6291" w:type="dxa"/>
          </w:tcPr>
          <w:p w14:paraId="76C7151B" w14:textId="77777777" w:rsidR="009D43F3" w:rsidRPr="00332DAC" w:rsidRDefault="009D43F3" w:rsidP="009D43F3">
            <w:pPr>
              <w:spacing w:before="0" w:after="0"/>
              <w:rPr>
                <w:rFonts w:eastAsiaTheme="minorEastAsia"/>
                <w:b/>
                <w:bCs/>
                <w:color w:val="auto"/>
              </w:rPr>
            </w:pPr>
            <w:r w:rsidRPr="00332DAC">
              <w:rPr>
                <w:rFonts w:eastAsiaTheme="minorEastAsia"/>
                <w:b/>
                <w:bCs/>
                <w:color w:val="auto"/>
              </w:rPr>
              <w:t>The 2019 SISTA released in 2020 was the latest SISTA.</w:t>
            </w:r>
          </w:p>
          <w:p w14:paraId="4E819ED9" w14:textId="50D23AF0" w:rsidR="009D43F3" w:rsidRPr="00332DAC" w:rsidRDefault="009D43F3" w:rsidP="009D43F3">
            <w:pPr>
              <w:spacing w:before="0" w:after="0"/>
              <w:rPr>
                <w:rFonts w:eastAsiaTheme="minorEastAsia"/>
                <w:color w:val="auto"/>
              </w:rPr>
            </w:pPr>
            <w:r w:rsidRPr="00332DAC">
              <w:rPr>
                <w:rFonts w:eastAsiaTheme="minorEastAsia"/>
                <w:color w:val="auto"/>
              </w:rPr>
              <w:t xml:space="preserve">No SISTA conducted in 2022 and 2023. </w:t>
            </w:r>
            <w:r>
              <w:rPr>
                <w:rFonts w:eastAsiaTheme="minorEastAsia"/>
                <w:color w:val="auto"/>
              </w:rPr>
              <w:t>The n</w:t>
            </w:r>
            <w:r w:rsidRPr="00332DAC">
              <w:rPr>
                <w:rFonts w:eastAsiaTheme="minorEastAsia"/>
                <w:color w:val="auto"/>
              </w:rPr>
              <w:t>ext SISTA</w:t>
            </w:r>
            <w:r>
              <w:rPr>
                <w:rFonts w:eastAsiaTheme="minorEastAsia"/>
                <w:color w:val="auto"/>
              </w:rPr>
              <w:t xml:space="preserve"> is</w:t>
            </w:r>
            <w:r w:rsidRPr="00332DAC">
              <w:rPr>
                <w:rFonts w:eastAsiaTheme="minorEastAsia"/>
                <w:color w:val="auto"/>
              </w:rPr>
              <w:t xml:space="preserve"> proposed for 2024.</w:t>
            </w:r>
          </w:p>
          <w:p w14:paraId="455C7F49" w14:textId="77777777" w:rsidR="009D43F3" w:rsidRPr="00332DAC" w:rsidRDefault="009D43F3" w:rsidP="009D43F3">
            <w:pPr>
              <w:spacing w:before="0" w:after="0"/>
              <w:rPr>
                <w:rFonts w:eastAsiaTheme="minorEastAsia"/>
                <w:color w:val="auto"/>
              </w:rPr>
            </w:pPr>
          </w:p>
          <w:p w14:paraId="5DB7D65A" w14:textId="3C608C5F" w:rsidR="009D43F3" w:rsidRDefault="009D43F3" w:rsidP="009D43F3">
            <w:pPr>
              <w:spacing w:before="0" w:after="0"/>
              <w:rPr>
                <w:rFonts w:eastAsiaTheme="minorEastAsia"/>
                <w:color w:val="auto"/>
              </w:rPr>
            </w:pPr>
            <w:r w:rsidRPr="00332DAC">
              <w:rPr>
                <w:rFonts w:eastAsiaTheme="minorEastAsia"/>
                <w:color w:val="auto"/>
              </w:rPr>
              <w:t>Literacy and Numeracy Assessment results for the Solomon Islands (released in 2022)</w:t>
            </w:r>
            <w:r>
              <w:rPr>
                <w:rFonts w:eastAsiaTheme="minorEastAsia"/>
                <w:color w:val="auto"/>
              </w:rPr>
              <w:t>.</w:t>
            </w:r>
          </w:p>
          <w:p w14:paraId="69182282" w14:textId="161E601D" w:rsidR="009D43F3" w:rsidRPr="00332DAC" w:rsidRDefault="009D43F3" w:rsidP="009D43F3">
            <w:pPr>
              <w:spacing w:before="0" w:after="0"/>
              <w:rPr>
                <w:rFonts w:eastAsiaTheme="minorEastAsia"/>
                <w:color w:val="auto"/>
              </w:rPr>
            </w:pPr>
            <w:r>
              <w:rPr>
                <w:noProof/>
              </w:rPr>
              <w:drawing>
                <wp:inline distT="0" distB="0" distL="0" distR="0" wp14:anchorId="153728D5" wp14:editId="65A4B2CE">
                  <wp:extent cx="3886200" cy="933450"/>
                  <wp:effectExtent l="0" t="0" r="0" b="0"/>
                  <wp:docPr id="1" name="Picture 1" descr="Assessed Area for reading or writing, it is 60% at National level of which female are 63% and Male are 57%. For Assessed Area Numeracy, at National level it is 93%, with females at 94% and male at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sessed Area for reading or writing, it is 60% at National level of which female are 63% and Male are 57%. For Assessed Area Numeracy, at National level it is 93%, with females at 94% and male at 93%."/>
                          <pic:cNvPicPr/>
                        </pic:nvPicPr>
                        <pic:blipFill>
                          <a:blip r:embed="rId11"/>
                          <a:stretch>
                            <a:fillRect/>
                          </a:stretch>
                        </pic:blipFill>
                        <pic:spPr>
                          <a:xfrm>
                            <a:off x="0" y="0"/>
                            <a:ext cx="3886200" cy="933450"/>
                          </a:xfrm>
                          <a:prstGeom prst="rect">
                            <a:avLst/>
                          </a:prstGeom>
                        </pic:spPr>
                      </pic:pic>
                    </a:graphicData>
                  </a:graphic>
                </wp:inline>
              </w:drawing>
            </w:r>
          </w:p>
        </w:tc>
      </w:tr>
      <w:tr w:rsidR="009D43F3" w:rsidRPr="00332DAC" w14:paraId="7E704FEB" w14:textId="77777777" w:rsidTr="00721EBD">
        <w:tc>
          <w:tcPr>
            <w:tcW w:w="4255" w:type="dxa"/>
          </w:tcPr>
          <w:p w14:paraId="1CC2F0CD" w14:textId="47AFCDB8" w:rsidR="009D43F3" w:rsidRPr="00332DAC" w:rsidRDefault="009D43F3" w:rsidP="009D43F3">
            <w:pPr>
              <w:spacing w:before="0" w:line="240" w:lineRule="auto"/>
              <w:ind w:left="84"/>
              <w:contextualSpacing/>
              <w:rPr>
                <w:color w:val="auto"/>
              </w:rPr>
            </w:pPr>
            <w:r w:rsidRPr="00332DAC">
              <w:rPr>
                <w:color w:val="auto"/>
              </w:rPr>
              <w:lastRenderedPageBreak/>
              <w:t>Number of women and girl's survivors of violence receiving services such as counselling</w:t>
            </w:r>
          </w:p>
        </w:tc>
        <w:tc>
          <w:tcPr>
            <w:tcW w:w="6291" w:type="dxa"/>
          </w:tcPr>
          <w:p w14:paraId="7D9CAB9B" w14:textId="524A16F3" w:rsidR="009D43F3" w:rsidRPr="00332DAC" w:rsidRDefault="009D43F3" w:rsidP="009D43F3">
            <w:pPr>
              <w:spacing w:before="0" w:after="0"/>
              <w:rPr>
                <w:rFonts w:eastAsiaTheme="minorEastAsia"/>
                <w:color w:val="auto"/>
              </w:rPr>
            </w:pPr>
            <w:r w:rsidRPr="00332DAC">
              <w:rPr>
                <w:rFonts w:eastAsiaTheme="minorEastAsia"/>
                <w:color w:val="auto"/>
              </w:rPr>
              <w:t xml:space="preserve">In 2022, 730 women and girls accessed Australian-funded services through the Family Support Centre (FSC) and Christian Care Centre (CCC) in partnership with the International Women’s Development Agency (IWDA). </w:t>
            </w:r>
            <w:r>
              <w:rPr>
                <w:rFonts w:eastAsiaTheme="minorEastAsia"/>
                <w:color w:val="auto"/>
              </w:rPr>
              <w:t xml:space="preserve">With </w:t>
            </w:r>
            <w:r w:rsidRPr="00332DAC">
              <w:rPr>
                <w:rFonts w:eastAsiaTheme="minorEastAsia"/>
                <w:color w:val="auto"/>
              </w:rPr>
              <w:t>Australian funding to UN Women and</w:t>
            </w:r>
            <w:r>
              <w:rPr>
                <w:rFonts w:eastAsiaTheme="minorEastAsia"/>
                <w:color w:val="auto"/>
              </w:rPr>
              <w:t xml:space="preserve"> IWDA</w:t>
            </w:r>
            <w:r w:rsidRPr="00332DAC">
              <w:rPr>
                <w:rFonts w:eastAsiaTheme="minorEastAsia"/>
                <w:color w:val="auto"/>
              </w:rPr>
              <w:t xml:space="preserve">, </w:t>
            </w:r>
            <w:r>
              <w:rPr>
                <w:rFonts w:eastAsiaTheme="minorEastAsia"/>
                <w:color w:val="auto"/>
              </w:rPr>
              <w:t>the FSC</w:t>
            </w:r>
            <w:r w:rsidRPr="00332DAC">
              <w:rPr>
                <w:rFonts w:eastAsiaTheme="minorEastAsia"/>
                <w:color w:val="auto"/>
              </w:rPr>
              <w:t xml:space="preserve"> was established at Gizo which supported 101 clients in 2022. </w:t>
            </w:r>
          </w:p>
        </w:tc>
      </w:tr>
      <w:tr w:rsidR="009D43F3" w:rsidRPr="00332DAC" w14:paraId="2D9FE5C3" w14:textId="77777777" w:rsidTr="00721EBD">
        <w:trPr>
          <w:trHeight w:val="300"/>
        </w:trPr>
        <w:tc>
          <w:tcPr>
            <w:tcW w:w="4255" w:type="dxa"/>
          </w:tcPr>
          <w:p w14:paraId="07505657" w14:textId="376855C3" w:rsidR="009D43F3" w:rsidRPr="00332DAC" w:rsidRDefault="009D43F3" w:rsidP="009D43F3">
            <w:pPr>
              <w:spacing w:before="0" w:line="240" w:lineRule="auto"/>
              <w:ind w:left="84"/>
              <w:contextualSpacing/>
              <w:rPr>
                <w:color w:val="auto"/>
              </w:rPr>
            </w:pPr>
            <w:r w:rsidRPr="00332DAC">
              <w:rPr>
                <w:color w:val="auto"/>
              </w:rPr>
              <w:t>Number of domestic violence counsellors trained</w:t>
            </w:r>
          </w:p>
        </w:tc>
        <w:tc>
          <w:tcPr>
            <w:tcW w:w="6291" w:type="dxa"/>
          </w:tcPr>
          <w:p w14:paraId="588EE7BB" w14:textId="28FB2E7B" w:rsidR="009D43F3" w:rsidRPr="00332DAC" w:rsidRDefault="009D43F3" w:rsidP="009D43F3">
            <w:pPr>
              <w:rPr>
                <w:rFonts w:eastAsiaTheme="minorEastAsia"/>
                <w:color w:val="auto"/>
              </w:rPr>
            </w:pPr>
            <w:r w:rsidRPr="00332DAC">
              <w:rPr>
                <w:rFonts w:eastAsiaTheme="minorEastAsia"/>
                <w:color w:val="auto"/>
              </w:rPr>
              <w:t xml:space="preserve">32 Gender-Based Violence </w:t>
            </w:r>
            <w:r>
              <w:rPr>
                <w:rFonts w:eastAsiaTheme="minorEastAsia"/>
                <w:color w:val="auto"/>
              </w:rPr>
              <w:t>(GBV) c</w:t>
            </w:r>
            <w:r w:rsidRPr="00332DAC">
              <w:rPr>
                <w:rFonts w:eastAsiaTheme="minorEastAsia"/>
                <w:color w:val="auto"/>
              </w:rPr>
              <w:t xml:space="preserve">ounsellors from the SAFENET Referral System have increased skills and knowledge of </w:t>
            </w:r>
            <w:r>
              <w:rPr>
                <w:rFonts w:eastAsiaTheme="minorEastAsia"/>
                <w:color w:val="auto"/>
              </w:rPr>
              <w:t xml:space="preserve">GBV </w:t>
            </w:r>
            <w:r w:rsidRPr="00332DAC">
              <w:rPr>
                <w:rFonts w:eastAsiaTheme="minorEastAsia"/>
                <w:color w:val="auto"/>
              </w:rPr>
              <w:t>counselling conducted by UN Women and the FSC</w:t>
            </w:r>
            <w:r>
              <w:rPr>
                <w:rFonts w:eastAsiaTheme="minorEastAsia"/>
                <w:color w:val="auto"/>
              </w:rPr>
              <w:t xml:space="preserve">. </w:t>
            </w:r>
          </w:p>
        </w:tc>
      </w:tr>
      <w:tr w:rsidR="009D43F3" w:rsidRPr="00332DAC" w14:paraId="1FB8DC0E" w14:textId="77777777" w:rsidTr="00721EBD">
        <w:trPr>
          <w:trHeight w:val="300"/>
        </w:trPr>
        <w:tc>
          <w:tcPr>
            <w:tcW w:w="4255" w:type="dxa"/>
          </w:tcPr>
          <w:p w14:paraId="1A9D0BCC" w14:textId="4A285C51" w:rsidR="009D43F3" w:rsidRPr="00332DAC" w:rsidRDefault="009D43F3" w:rsidP="009D43F3">
            <w:pPr>
              <w:spacing w:before="0" w:line="240" w:lineRule="auto"/>
              <w:ind w:left="84"/>
              <w:contextualSpacing/>
              <w:rPr>
                <w:color w:val="auto"/>
              </w:rPr>
            </w:pPr>
            <w:r w:rsidRPr="00332DAC">
              <w:rPr>
                <w:color w:val="auto"/>
              </w:rPr>
              <w:t>Numbers of households linked to markets, including digital linkages</w:t>
            </w:r>
          </w:p>
        </w:tc>
        <w:tc>
          <w:tcPr>
            <w:tcW w:w="6291" w:type="dxa"/>
          </w:tcPr>
          <w:p w14:paraId="1A2A0A29" w14:textId="58D78157" w:rsidR="009D43F3" w:rsidRPr="00332DAC" w:rsidRDefault="009D43F3" w:rsidP="009D43F3">
            <w:pPr>
              <w:rPr>
                <w:rFonts w:eastAsiaTheme="minorEastAsia"/>
                <w:color w:val="auto"/>
              </w:rPr>
            </w:pPr>
            <w:r w:rsidRPr="00332DAC">
              <w:rPr>
                <w:rFonts w:eastAsiaTheme="minorEastAsia"/>
                <w:color w:val="auto"/>
              </w:rPr>
              <w:t>Supported 1,936 households to connect with markets to source products and services as inputs in their economic activities, or to sell their products and services. This includes micro and small enterprises, which are typically family-run businesses.</w:t>
            </w:r>
          </w:p>
        </w:tc>
      </w:tr>
      <w:tr w:rsidR="009D43F3" w:rsidRPr="00332DAC" w14:paraId="5A9E75B8" w14:textId="77777777" w:rsidTr="00721EBD">
        <w:trPr>
          <w:trHeight w:val="300"/>
        </w:trPr>
        <w:tc>
          <w:tcPr>
            <w:tcW w:w="4255" w:type="dxa"/>
          </w:tcPr>
          <w:p w14:paraId="34C9BBE7" w14:textId="1AD43EC6" w:rsidR="009D43F3" w:rsidRPr="00332DAC" w:rsidRDefault="009D43F3" w:rsidP="009D43F3">
            <w:pPr>
              <w:spacing w:before="0" w:line="240" w:lineRule="auto"/>
              <w:ind w:left="84"/>
              <w:contextualSpacing/>
              <w:rPr>
                <w:color w:val="auto"/>
              </w:rPr>
            </w:pPr>
            <w:r w:rsidRPr="00332DAC">
              <w:rPr>
                <w:color w:val="auto"/>
              </w:rPr>
              <w:t>Capacity to undertake regular border surveillance activities</w:t>
            </w:r>
          </w:p>
        </w:tc>
        <w:tc>
          <w:tcPr>
            <w:tcW w:w="6291" w:type="dxa"/>
          </w:tcPr>
          <w:p w14:paraId="037FFDAA" w14:textId="7674FD2C" w:rsidR="009D43F3" w:rsidRPr="00332DAC" w:rsidRDefault="009D43F3" w:rsidP="009D43F3">
            <w:pPr>
              <w:rPr>
                <w:rFonts w:eastAsiaTheme="minorEastAsia"/>
                <w:color w:val="auto"/>
              </w:rPr>
            </w:pPr>
            <w:r w:rsidRPr="00332DAC">
              <w:rPr>
                <w:rFonts w:eastAsiaTheme="minorEastAsia"/>
                <w:color w:val="auto"/>
              </w:rPr>
              <w:t>The Defence Cooperation Program continues to support the Royal Solomon Islands Police Force build their capacity to undertake border surveillance activities at the western border, including through construction of the Western Border Outpost.</w:t>
            </w:r>
          </w:p>
        </w:tc>
      </w:tr>
    </w:tbl>
    <w:p w14:paraId="77883767" w14:textId="77777777" w:rsidR="00237A25" w:rsidRDefault="00237A25" w:rsidP="00237A25">
      <w:pPr>
        <w:spacing w:before="0" w:after="0"/>
        <w:rPr>
          <w:b/>
          <w:color w:val="auto"/>
          <w:sz w:val="26"/>
          <w:szCs w:val="26"/>
        </w:rPr>
      </w:pPr>
    </w:p>
    <w:p w14:paraId="1F6D33ED" w14:textId="77777777" w:rsidR="00237A25" w:rsidRDefault="00237A25">
      <w:pPr>
        <w:suppressAutoHyphens w:val="0"/>
        <w:spacing w:before="0" w:after="120" w:line="440" w:lineRule="atLeast"/>
        <w:rPr>
          <w:b/>
          <w:color w:val="auto"/>
          <w:sz w:val="26"/>
          <w:szCs w:val="26"/>
        </w:rPr>
      </w:pPr>
      <w:r>
        <w:rPr>
          <w:b/>
          <w:color w:val="auto"/>
          <w:sz w:val="26"/>
          <w:szCs w:val="26"/>
        </w:rPr>
        <w:br w:type="page"/>
      </w:r>
    </w:p>
    <w:p w14:paraId="79FFC575" w14:textId="2ED54A08" w:rsidR="000F2456" w:rsidRPr="00237A25" w:rsidRDefault="00AE2B7B" w:rsidP="00054567">
      <w:pPr>
        <w:pStyle w:val="Heading3"/>
      </w:pPr>
      <w:r w:rsidRPr="00237A25">
        <w:lastRenderedPageBreak/>
        <w:t>Economic Recovery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economic recovery"/>
      </w:tblPr>
      <w:tblGrid>
        <w:gridCol w:w="4390"/>
        <w:gridCol w:w="6146"/>
      </w:tblGrid>
      <w:tr w:rsidR="00332DAC" w:rsidRPr="00332DAC" w14:paraId="6541DEB5" w14:textId="77777777" w:rsidTr="1ADFD2FB">
        <w:trPr>
          <w:tblHeader/>
        </w:trPr>
        <w:tc>
          <w:tcPr>
            <w:tcW w:w="4390" w:type="dxa"/>
            <w:shd w:val="clear" w:color="auto" w:fill="A2DCD1" w:themeFill="accent1" w:themeFillTint="99"/>
            <w:vAlign w:val="bottom"/>
          </w:tcPr>
          <w:p w14:paraId="7B68B645" w14:textId="39A83BEA" w:rsidR="00CA5021" w:rsidRPr="00332DAC" w:rsidRDefault="00A96364" w:rsidP="00CA5021">
            <w:pPr>
              <w:widowControl w:val="0"/>
              <w:spacing w:before="0" w:after="0" w:line="240" w:lineRule="auto"/>
              <w:jc w:val="center"/>
              <w:rPr>
                <w:color w:val="auto"/>
                <w:sz w:val="20"/>
                <w:szCs w:val="20"/>
              </w:rPr>
            </w:pPr>
            <w:r w:rsidRPr="00332DAC">
              <w:rPr>
                <w:b/>
                <w:color w:val="auto"/>
                <w:sz w:val="20"/>
                <w:szCs w:val="20"/>
              </w:rPr>
              <w:t xml:space="preserve">Key Results </w:t>
            </w:r>
            <w:r w:rsidR="00CA5021" w:rsidRPr="00332DAC">
              <w:rPr>
                <w:b/>
                <w:color w:val="auto"/>
                <w:sz w:val="20"/>
                <w:szCs w:val="20"/>
              </w:rPr>
              <w:t>Indicator</w:t>
            </w:r>
            <w:r w:rsidRPr="00332DAC">
              <w:rPr>
                <w:b/>
                <w:color w:val="auto"/>
                <w:sz w:val="20"/>
                <w:szCs w:val="20"/>
              </w:rPr>
              <w:t>s</w:t>
            </w:r>
          </w:p>
        </w:tc>
        <w:tc>
          <w:tcPr>
            <w:tcW w:w="6146" w:type="dxa"/>
            <w:shd w:val="clear" w:color="auto" w:fill="A2DCD1" w:themeFill="accent1" w:themeFillTint="99"/>
            <w:vAlign w:val="bottom"/>
          </w:tcPr>
          <w:p w14:paraId="7B256934" w14:textId="69DE6F90" w:rsidR="00CA5021" w:rsidRPr="00332DAC" w:rsidRDefault="00AD19F7" w:rsidP="00CA5021">
            <w:pPr>
              <w:widowControl w:val="0"/>
              <w:spacing w:before="0" w:after="0" w:line="240" w:lineRule="auto"/>
              <w:jc w:val="center"/>
              <w:rPr>
                <w:color w:val="auto"/>
                <w:sz w:val="20"/>
                <w:szCs w:val="20"/>
              </w:rPr>
            </w:pPr>
            <w:r w:rsidRPr="00332DAC">
              <w:rPr>
                <w:b/>
                <w:color w:val="auto"/>
                <w:sz w:val="20"/>
                <w:szCs w:val="20"/>
              </w:rPr>
              <w:t>Progress/Result</w:t>
            </w:r>
          </w:p>
        </w:tc>
      </w:tr>
      <w:tr w:rsidR="00332DAC" w:rsidRPr="00332DAC" w14:paraId="564E6F58" w14:textId="77777777" w:rsidTr="1ADFD2FB">
        <w:trPr>
          <w:tblHeader/>
        </w:trPr>
        <w:tc>
          <w:tcPr>
            <w:tcW w:w="4390" w:type="dxa"/>
          </w:tcPr>
          <w:p w14:paraId="234C1CE4" w14:textId="298E9B47" w:rsidR="00CA5021" w:rsidRPr="00332DAC" w:rsidRDefault="000D125E" w:rsidP="1ADFD2FB">
            <w:pPr>
              <w:spacing w:before="0" w:line="240" w:lineRule="auto"/>
              <w:ind w:left="84"/>
              <w:contextualSpacing/>
              <w:rPr>
                <w:color w:val="auto"/>
                <w:sz w:val="15"/>
                <w:szCs w:val="15"/>
              </w:rPr>
            </w:pPr>
            <w:r w:rsidRPr="00332DAC">
              <w:rPr>
                <w:color w:val="auto"/>
              </w:rPr>
              <w:t>Coral Sea Cable uptake (measured in Gbps)</w:t>
            </w:r>
          </w:p>
        </w:tc>
        <w:tc>
          <w:tcPr>
            <w:tcW w:w="6146" w:type="dxa"/>
          </w:tcPr>
          <w:p w14:paraId="5A50515E" w14:textId="6DD49E03" w:rsidR="00CA5021" w:rsidRPr="00332DAC" w:rsidRDefault="4A20D867" w:rsidP="00837A4A">
            <w:pPr>
              <w:spacing w:before="0" w:line="240" w:lineRule="auto"/>
              <w:ind w:left="84"/>
              <w:rPr>
                <w:color w:val="auto"/>
              </w:rPr>
            </w:pPr>
            <w:r w:rsidRPr="00332DAC">
              <w:rPr>
                <w:color w:val="auto"/>
              </w:rPr>
              <w:t xml:space="preserve">The volume of usage on the cable was </w:t>
            </w:r>
            <w:r w:rsidR="72E9FDE9" w:rsidRPr="00332DAC">
              <w:rPr>
                <w:color w:val="auto"/>
              </w:rPr>
              <w:t>8.6Gbps at end June 2023</w:t>
            </w:r>
            <w:r w:rsidR="53BD4020" w:rsidRPr="00332DAC">
              <w:rPr>
                <w:color w:val="auto"/>
              </w:rPr>
              <w:t>.</w:t>
            </w:r>
            <w:r w:rsidR="72E9FDE9" w:rsidRPr="00332DAC">
              <w:rPr>
                <w:color w:val="auto"/>
              </w:rPr>
              <w:t xml:space="preserve"> </w:t>
            </w:r>
            <w:r w:rsidR="29734B00" w:rsidRPr="00332DAC">
              <w:rPr>
                <w:color w:val="auto"/>
              </w:rPr>
              <w:t>I</w:t>
            </w:r>
            <w:r w:rsidR="72E9FDE9" w:rsidRPr="00332DAC">
              <w:rPr>
                <w:color w:val="auto"/>
              </w:rPr>
              <w:t>n 2019</w:t>
            </w:r>
            <w:r w:rsidR="16402118" w:rsidRPr="00332DAC">
              <w:rPr>
                <w:color w:val="auto"/>
              </w:rPr>
              <w:t>,</w:t>
            </w:r>
            <w:r w:rsidR="72E9FDE9" w:rsidRPr="00332DAC">
              <w:rPr>
                <w:color w:val="auto"/>
              </w:rPr>
              <w:t xml:space="preserve"> prior to </w:t>
            </w:r>
            <w:r w:rsidR="003A1B85" w:rsidRPr="00332DAC">
              <w:rPr>
                <w:color w:val="auto"/>
              </w:rPr>
              <w:t xml:space="preserve">the </w:t>
            </w:r>
            <w:r w:rsidR="72E9FDE9" w:rsidRPr="00332DAC">
              <w:rPr>
                <w:color w:val="auto"/>
              </w:rPr>
              <w:t>cable coming online</w:t>
            </w:r>
            <w:r w:rsidR="6B0E396F" w:rsidRPr="00332DAC">
              <w:rPr>
                <w:color w:val="auto"/>
              </w:rPr>
              <w:t>,</w:t>
            </w:r>
            <w:r w:rsidR="72E9FDE9" w:rsidRPr="00332DAC">
              <w:rPr>
                <w:color w:val="auto"/>
              </w:rPr>
              <w:t xml:space="preserve"> the equivalent volume usage in Solomon </w:t>
            </w:r>
            <w:r w:rsidR="523C7082" w:rsidRPr="00332DAC">
              <w:rPr>
                <w:color w:val="auto"/>
              </w:rPr>
              <w:t>Islands</w:t>
            </w:r>
            <w:r w:rsidR="72E9FDE9" w:rsidRPr="00332DAC">
              <w:rPr>
                <w:color w:val="auto"/>
              </w:rPr>
              <w:t xml:space="preserve"> was</w:t>
            </w:r>
            <w:r w:rsidR="70F79063" w:rsidRPr="00332DAC">
              <w:rPr>
                <w:color w:val="auto"/>
              </w:rPr>
              <w:t xml:space="preserve"> around</w:t>
            </w:r>
            <w:r w:rsidR="72E9FDE9" w:rsidRPr="00332DAC">
              <w:rPr>
                <w:color w:val="auto"/>
              </w:rPr>
              <w:t xml:space="preserve"> 1.6</w:t>
            </w:r>
            <w:r w:rsidR="660F2FC1" w:rsidRPr="00332DAC">
              <w:rPr>
                <w:color w:val="auto"/>
              </w:rPr>
              <w:t>G</w:t>
            </w:r>
            <w:r w:rsidR="15903295" w:rsidRPr="00332DAC">
              <w:rPr>
                <w:color w:val="auto"/>
              </w:rPr>
              <w:t>bps</w:t>
            </w:r>
            <w:r w:rsidR="6502DC7E" w:rsidRPr="00332DAC">
              <w:rPr>
                <w:color w:val="auto"/>
              </w:rPr>
              <w:t xml:space="preserve">. </w:t>
            </w:r>
          </w:p>
        </w:tc>
      </w:tr>
      <w:tr w:rsidR="00332DAC" w:rsidRPr="00332DAC" w14:paraId="1EAE2D66" w14:textId="77777777" w:rsidTr="1ADFD2FB">
        <w:trPr>
          <w:tblHeader/>
        </w:trPr>
        <w:tc>
          <w:tcPr>
            <w:tcW w:w="4390" w:type="dxa"/>
          </w:tcPr>
          <w:p w14:paraId="65838CB2" w14:textId="5A8D6821" w:rsidR="00CA5021" w:rsidRPr="00332DAC" w:rsidRDefault="000D125E" w:rsidP="1ADFD2FB">
            <w:pPr>
              <w:spacing w:before="0" w:line="240" w:lineRule="auto"/>
              <w:ind w:left="84"/>
              <w:contextualSpacing/>
              <w:rPr>
                <w:color w:val="auto"/>
                <w:sz w:val="15"/>
                <w:szCs w:val="15"/>
              </w:rPr>
            </w:pPr>
            <w:r w:rsidRPr="00332DAC">
              <w:rPr>
                <w:color w:val="auto"/>
              </w:rPr>
              <w:t>Australian budget support as a percentage of supplementary budget expenditure (in response to COVID-19)</w:t>
            </w:r>
          </w:p>
        </w:tc>
        <w:tc>
          <w:tcPr>
            <w:tcW w:w="6146" w:type="dxa"/>
          </w:tcPr>
          <w:p w14:paraId="02B96D99" w14:textId="3FB234D6" w:rsidR="00CA5021" w:rsidRPr="00332DAC" w:rsidRDefault="00795819" w:rsidP="00837A4A">
            <w:pPr>
              <w:spacing w:before="0" w:after="0"/>
              <w:ind w:left="84"/>
              <w:rPr>
                <w:color w:val="auto"/>
              </w:rPr>
            </w:pPr>
            <w:r w:rsidRPr="00332DAC">
              <w:rPr>
                <w:color w:val="auto"/>
              </w:rPr>
              <w:t xml:space="preserve">Australia provided </w:t>
            </w:r>
            <w:r w:rsidR="00E643EC" w:rsidRPr="00332DAC">
              <w:rPr>
                <w:color w:val="auto"/>
              </w:rPr>
              <w:t xml:space="preserve">approximately </w:t>
            </w:r>
            <w:r w:rsidRPr="00332DAC">
              <w:rPr>
                <w:color w:val="auto"/>
              </w:rPr>
              <w:t>$</w:t>
            </w:r>
            <w:r w:rsidR="00166037" w:rsidRPr="00332DAC">
              <w:rPr>
                <w:color w:val="auto"/>
              </w:rPr>
              <w:t xml:space="preserve">28.5 </w:t>
            </w:r>
            <w:r w:rsidRPr="00332DAC">
              <w:rPr>
                <w:color w:val="auto"/>
              </w:rPr>
              <w:t>million in budget support in 2022-23, representing</w:t>
            </w:r>
            <w:r w:rsidR="00DF6A75" w:rsidRPr="00332DAC">
              <w:rPr>
                <w:color w:val="auto"/>
              </w:rPr>
              <w:t xml:space="preserve"> approximately</w:t>
            </w:r>
            <w:r w:rsidRPr="00332DAC">
              <w:rPr>
                <w:color w:val="auto"/>
              </w:rPr>
              <w:t xml:space="preserve"> </w:t>
            </w:r>
            <w:r w:rsidR="00166037" w:rsidRPr="00332DAC">
              <w:rPr>
                <w:color w:val="auto"/>
              </w:rPr>
              <w:t>4.97</w:t>
            </w:r>
            <w:r w:rsidRPr="00332DAC">
              <w:rPr>
                <w:color w:val="auto"/>
              </w:rPr>
              <w:t xml:space="preserve"> per cent of total domestic revenue</w:t>
            </w:r>
            <w:r w:rsidR="00166037" w:rsidRPr="00332DAC">
              <w:rPr>
                <w:color w:val="auto"/>
              </w:rPr>
              <w:t xml:space="preserve"> when compared to the 2022 Solomon Islands Government financial year</w:t>
            </w:r>
            <w:r w:rsidR="00B67CA3" w:rsidRPr="00332DAC">
              <w:rPr>
                <w:color w:val="auto"/>
              </w:rPr>
              <w:t>.</w:t>
            </w:r>
            <w:r w:rsidR="00DC27B2" w:rsidRPr="00332DAC">
              <w:rPr>
                <w:color w:val="auto"/>
              </w:rPr>
              <w:t xml:space="preserve"> </w:t>
            </w:r>
          </w:p>
        </w:tc>
      </w:tr>
      <w:tr w:rsidR="00332DAC" w:rsidRPr="00332DAC" w14:paraId="4DF45926" w14:textId="77777777" w:rsidTr="1ADFD2FB">
        <w:trPr>
          <w:tblHeader/>
        </w:trPr>
        <w:tc>
          <w:tcPr>
            <w:tcW w:w="4390" w:type="dxa"/>
          </w:tcPr>
          <w:p w14:paraId="0B1E2DC4" w14:textId="33822D1F" w:rsidR="00CA5021" w:rsidRPr="00332DAC" w:rsidRDefault="000D125E" w:rsidP="1ADFD2FB">
            <w:pPr>
              <w:spacing w:before="0" w:line="240" w:lineRule="auto"/>
              <w:ind w:left="84"/>
              <w:contextualSpacing/>
              <w:rPr>
                <w:color w:val="auto"/>
                <w:sz w:val="15"/>
                <w:szCs w:val="15"/>
              </w:rPr>
            </w:pPr>
            <w:r w:rsidRPr="00332DAC">
              <w:rPr>
                <w:color w:val="auto"/>
              </w:rPr>
              <w:t>Increased infrastructure investment to improve access to services and contribute to inclusive economic growth</w:t>
            </w:r>
          </w:p>
        </w:tc>
        <w:tc>
          <w:tcPr>
            <w:tcW w:w="6146" w:type="dxa"/>
          </w:tcPr>
          <w:p w14:paraId="1FCE71E6" w14:textId="77616196" w:rsidR="00CA5021" w:rsidRPr="00332DAC" w:rsidRDefault="37A5DB4A" w:rsidP="00837A4A">
            <w:pPr>
              <w:spacing w:before="0" w:after="0"/>
              <w:ind w:left="84"/>
              <w:rPr>
                <w:rFonts w:ascii="Calibri" w:eastAsia="Calibri" w:hAnsi="Calibri" w:cs="Calibri"/>
                <w:color w:val="auto"/>
              </w:rPr>
            </w:pPr>
            <w:r w:rsidRPr="00332DAC">
              <w:rPr>
                <w:color w:val="auto"/>
              </w:rPr>
              <w:t>In 2022-23, Australia spent $21 million on preparatory activities for high priority infrastructure for Solomon Islands. The pipeline includes the Naha Birthing and Urban Health Centre, six markets, provincial airfield upgrades, telecommunications towers</w:t>
            </w:r>
            <w:r w:rsidR="782B74FA" w:rsidRPr="00332DAC">
              <w:rPr>
                <w:color w:val="auto"/>
              </w:rPr>
              <w:t>, shipyard rehabilitation</w:t>
            </w:r>
            <w:r w:rsidRPr="00332DAC">
              <w:rPr>
                <w:color w:val="auto"/>
              </w:rPr>
              <w:t xml:space="preserve"> and transport infrastructure. </w:t>
            </w:r>
            <w:r w:rsidR="422CA225" w:rsidRPr="00332DAC">
              <w:rPr>
                <w:color w:val="auto"/>
              </w:rPr>
              <w:t>Construction</w:t>
            </w:r>
            <w:r w:rsidRPr="00332DAC">
              <w:rPr>
                <w:color w:val="auto"/>
              </w:rPr>
              <w:t xml:space="preserve"> is expected </w:t>
            </w:r>
            <w:r w:rsidR="52268F5F" w:rsidRPr="00332DAC">
              <w:rPr>
                <w:color w:val="auto"/>
              </w:rPr>
              <w:t xml:space="preserve">to </w:t>
            </w:r>
            <w:r w:rsidRPr="00332DAC">
              <w:rPr>
                <w:color w:val="auto"/>
              </w:rPr>
              <w:t>commence in 2023-24.</w:t>
            </w:r>
          </w:p>
        </w:tc>
      </w:tr>
      <w:tr w:rsidR="00332DAC" w:rsidRPr="00332DAC" w14:paraId="51A15CF9" w14:textId="77777777" w:rsidTr="1ADFD2FB">
        <w:trPr>
          <w:tblHeader/>
        </w:trPr>
        <w:tc>
          <w:tcPr>
            <w:tcW w:w="4390" w:type="dxa"/>
          </w:tcPr>
          <w:p w14:paraId="3C75C9F9" w14:textId="190E85CC" w:rsidR="00CA5021" w:rsidRPr="00332DAC" w:rsidRDefault="000D125E" w:rsidP="1ADFD2FB">
            <w:pPr>
              <w:spacing w:before="0" w:line="240" w:lineRule="auto"/>
              <w:ind w:left="84"/>
              <w:contextualSpacing/>
              <w:rPr>
                <w:color w:val="auto"/>
                <w:sz w:val="15"/>
                <w:szCs w:val="15"/>
              </w:rPr>
            </w:pPr>
            <w:r w:rsidRPr="00332DAC">
              <w:rPr>
                <w:color w:val="auto"/>
              </w:rPr>
              <w:t>Number of female entrepreneurs provided with financial/business development services</w:t>
            </w:r>
          </w:p>
        </w:tc>
        <w:tc>
          <w:tcPr>
            <w:tcW w:w="6146" w:type="dxa"/>
          </w:tcPr>
          <w:p w14:paraId="0DD22350" w14:textId="7A5FBA00" w:rsidR="00CA5021" w:rsidRPr="00332DAC" w:rsidRDefault="7BCE8D7D" w:rsidP="00837A4A">
            <w:pPr>
              <w:spacing w:before="0" w:after="0"/>
              <w:ind w:left="84"/>
              <w:rPr>
                <w:color w:val="auto"/>
              </w:rPr>
            </w:pPr>
            <w:r w:rsidRPr="00332DAC">
              <w:rPr>
                <w:color w:val="auto"/>
              </w:rPr>
              <w:t xml:space="preserve">572 female entrepreneurs were provided with financial and/or business development services through </w:t>
            </w:r>
            <w:proofErr w:type="spellStart"/>
            <w:r w:rsidRPr="00332DAC">
              <w:rPr>
                <w:color w:val="auto"/>
              </w:rPr>
              <w:t>Strongim</w:t>
            </w:r>
            <w:proofErr w:type="spellEnd"/>
            <w:r w:rsidRPr="00332DAC">
              <w:rPr>
                <w:color w:val="auto"/>
              </w:rPr>
              <w:t xml:space="preserve"> </w:t>
            </w:r>
            <w:proofErr w:type="spellStart"/>
            <w:r w:rsidRPr="00332DAC">
              <w:rPr>
                <w:color w:val="auto"/>
              </w:rPr>
              <w:t>Bisnis</w:t>
            </w:r>
            <w:proofErr w:type="spellEnd"/>
            <w:r w:rsidR="00FA519A">
              <w:rPr>
                <w:color w:val="auto"/>
              </w:rPr>
              <w:t xml:space="preserve"> partnership</w:t>
            </w:r>
            <w:r w:rsidRPr="00332DAC">
              <w:rPr>
                <w:color w:val="auto"/>
              </w:rPr>
              <w:t xml:space="preserve"> in 2022-23</w:t>
            </w:r>
            <w:r w:rsidR="64FEA4FF" w:rsidRPr="00332DAC">
              <w:rPr>
                <w:color w:val="auto"/>
              </w:rPr>
              <w:t>.</w:t>
            </w:r>
          </w:p>
        </w:tc>
      </w:tr>
      <w:tr w:rsidR="00332DAC" w:rsidRPr="00332DAC" w14:paraId="74A01CD4" w14:textId="77777777" w:rsidTr="1ADFD2FB">
        <w:trPr>
          <w:trHeight w:val="300"/>
          <w:tblHeader/>
        </w:trPr>
        <w:tc>
          <w:tcPr>
            <w:tcW w:w="4390" w:type="dxa"/>
          </w:tcPr>
          <w:p w14:paraId="7DF5CFAD" w14:textId="2B0B3A7E" w:rsidR="2CCB28A3" w:rsidRPr="00332DAC" w:rsidRDefault="000D125E" w:rsidP="1ADFD2FB">
            <w:pPr>
              <w:spacing w:before="0" w:line="240" w:lineRule="auto"/>
              <w:ind w:left="84"/>
              <w:contextualSpacing/>
              <w:rPr>
                <w:color w:val="auto"/>
                <w:sz w:val="15"/>
                <w:szCs w:val="15"/>
              </w:rPr>
            </w:pPr>
            <w:r w:rsidRPr="00332DAC">
              <w:rPr>
                <w:color w:val="auto"/>
              </w:rPr>
              <w:t>Number of Technical and Vocational Education and Training (TVET) teachers adopting improved teaching practices</w:t>
            </w:r>
          </w:p>
        </w:tc>
        <w:tc>
          <w:tcPr>
            <w:tcW w:w="6146" w:type="dxa"/>
          </w:tcPr>
          <w:p w14:paraId="21DF1B09" w14:textId="6ABF44C6" w:rsidR="11FAE953" w:rsidRPr="00332DAC" w:rsidRDefault="00837A99" w:rsidP="00837A4A">
            <w:pPr>
              <w:ind w:left="84"/>
              <w:rPr>
                <w:color w:val="auto"/>
                <w:highlight w:val="yellow"/>
              </w:rPr>
            </w:pPr>
            <w:r w:rsidRPr="00332DAC">
              <w:rPr>
                <w:color w:val="auto"/>
              </w:rPr>
              <w:t>57 trainers (13 women) undertook International Skills Training (IST) and 34 (13 women) undertook the IST Advanced training. 28 trainers (10 women) attended Certificate IV Leadership and Management training.</w:t>
            </w:r>
          </w:p>
        </w:tc>
      </w:tr>
      <w:tr w:rsidR="00332DAC" w:rsidRPr="00332DAC" w14:paraId="1773DFFC" w14:textId="77777777" w:rsidTr="1ADFD2FB">
        <w:trPr>
          <w:trHeight w:val="300"/>
          <w:tblHeader/>
        </w:trPr>
        <w:tc>
          <w:tcPr>
            <w:tcW w:w="4390" w:type="dxa"/>
          </w:tcPr>
          <w:p w14:paraId="13360B73" w14:textId="7F0361F5" w:rsidR="000D125E" w:rsidRPr="00332DAC" w:rsidRDefault="000D125E" w:rsidP="1ADFD2FB">
            <w:pPr>
              <w:spacing w:before="0" w:line="240" w:lineRule="auto"/>
              <w:ind w:left="84"/>
              <w:contextualSpacing/>
              <w:rPr>
                <w:color w:val="auto"/>
                <w:sz w:val="15"/>
                <w:szCs w:val="15"/>
              </w:rPr>
            </w:pPr>
            <w:r w:rsidRPr="00332DAC">
              <w:rPr>
                <w:color w:val="auto"/>
              </w:rPr>
              <w:t>Number of Technical and Vocational Education and Training (TVET) teachers adopting improved teaching practices</w:t>
            </w:r>
          </w:p>
        </w:tc>
        <w:tc>
          <w:tcPr>
            <w:tcW w:w="6146" w:type="dxa"/>
          </w:tcPr>
          <w:p w14:paraId="1B61F154" w14:textId="4BAAF433" w:rsidR="000D125E" w:rsidRPr="00332DAC" w:rsidRDefault="00837A99" w:rsidP="00837A4A">
            <w:pPr>
              <w:ind w:left="84"/>
              <w:rPr>
                <w:color w:val="auto"/>
                <w:highlight w:val="yellow"/>
              </w:rPr>
            </w:pPr>
            <w:r w:rsidRPr="00332DAC">
              <w:rPr>
                <w:color w:val="auto"/>
              </w:rPr>
              <w:t>348 students (81 women) enrolled in five National Skills Packages in 2022.</w:t>
            </w:r>
          </w:p>
        </w:tc>
      </w:tr>
      <w:tr w:rsidR="00332DAC" w:rsidRPr="00332DAC" w14:paraId="2935EB49" w14:textId="77777777" w:rsidTr="00B56D00">
        <w:trPr>
          <w:trHeight w:val="1350"/>
          <w:tblHeader/>
        </w:trPr>
        <w:tc>
          <w:tcPr>
            <w:tcW w:w="4390" w:type="dxa"/>
          </w:tcPr>
          <w:p w14:paraId="65652858" w14:textId="6368B65E" w:rsidR="1ADFD2FB" w:rsidRPr="00332DAC" w:rsidRDefault="1ADFD2FB" w:rsidP="1ADFD2FB">
            <w:pPr>
              <w:spacing w:before="0" w:line="240" w:lineRule="auto"/>
              <w:ind w:left="84"/>
              <w:contextualSpacing/>
              <w:rPr>
                <w:color w:val="auto"/>
              </w:rPr>
            </w:pPr>
            <w:r w:rsidRPr="00332DAC">
              <w:rPr>
                <w:color w:val="auto"/>
              </w:rPr>
              <w:t xml:space="preserve">Number of </w:t>
            </w:r>
            <w:r w:rsidR="43AF9F72" w:rsidRPr="00332DAC">
              <w:rPr>
                <w:color w:val="auto"/>
              </w:rPr>
              <w:t>returned labour mobility and seasonal workers reporting increased capacity to earn an income (employment, entrepreneurial)</w:t>
            </w:r>
          </w:p>
        </w:tc>
        <w:tc>
          <w:tcPr>
            <w:tcW w:w="6146" w:type="dxa"/>
          </w:tcPr>
          <w:p w14:paraId="53E69952" w14:textId="4732E26D" w:rsidR="51BC6068" w:rsidRPr="00332DAC" w:rsidRDefault="51BC6068" w:rsidP="00837A4A">
            <w:pPr>
              <w:spacing w:before="0" w:after="0"/>
              <w:ind w:left="84"/>
              <w:rPr>
                <w:color w:val="auto"/>
              </w:rPr>
            </w:pPr>
            <w:r w:rsidRPr="00332DAC">
              <w:rPr>
                <w:color w:val="auto"/>
              </w:rPr>
              <w:t xml:space="preserve">5,366 Solomon Islanders were working in Australia under the Pacific </w:t>
            </w:r>
            <w:r w:rsidR="00DC27B2" w:rsidRPr="00332DAC">
              <w:rPr>
                <w:color w:val="auto"/>
              </w:rPr>
              <w:t xml:space="preserve">Australia </w:t>
            </w:r>
            <w:r w:rsidRPr="00332DAC">
              <w:rPr>
                <w:color w:val="auto"/>
              </w:rPr>
              <w:t>Labour Mobility Scheme on 30 Ju</w:t>
            </w:r>
            <w:r w:rsidR="00B56D00" w:rsidRPr="00332DAC">
              <w:rPr>
                <w:color w:val="auto"/>
              </w:rPr>
              <w:t>ne</w:t>
            </w:r>
            <w:r w:rsidRPr="00332DAC">
              <w:rPr>
                <w:color w:val="auto"/>
              </w:rPr>
              <w:t xml:space="preserve"> 2023</w:t>
            </w:r>
            <w:r w:rsidR="00231A30" w:rsidRPr="00332DAC">
              <w:rPr>
                <w:color w:val="auto"/>
              </w:rPr>
              <w:t>, up from 3,942 on 30 June 2022</w:t>
            </w:r>
            <w:r w:rsidRPr="00332DAC">
              <w:rPr>
                <w:color w:val="auto"/>
              </w:rPr>
              <w:t>. Larger numbers of short-term seasonal workers are returning to Australia for their second or third harvest season (data not available at this stage) showing evidence of long-term cyclical labour movements.</w:t>
            </w:r>
          </w:p>
        </w:tc>
      </w:tr>
    </w:tbl>
    <w:p w14:paraId="2F13E6BA" w14:textId="7826E66A" w:rsidR="008A6BB7" w:rsidRPr="00332DAC" w:rsidRDefault="008A6BB7" w:rsidP="1ADFD2FB">
      <w:pPr>
        <w:rPr>
          <w:color w:val="auto"/>
        </w:rPr>
        <w:sectPr w:rsidR="008A6BB7" w:rsidRPr="00332DAC" w:rsidSect="00952815">
          <w:headerReference w:type="default" r:id="rId12"/>
          <w:footerReference w:type="default" r:id="rId13"/>
          <w:headerReference w:type="first" r:id="rId14"/>
          <w:pgSz w:w="11906" w:h="16838" w:code="9"/>
          <w:pgMar w:top="1559" w:right="680" w:bottom="1418" w:left="680" w:header="567" w:footer="340" w:gutter="0"/>
          <w:cols w:space="397"/>
          <w:docGrid w:linePitch="360"/>
        </w:sectPr>
      </w:pPr>
    </w:p>
    <w:p w14:paraId="06ABEE3D" w14:textId="6ABF67B7" w:rsidR="00D1231A" w:rsidRPr="00332DAC" w:rsidRDefault="00D1231A" w:rsidP="00054567">
      <w:pPr>
        <w:pStyle w:val="Heading3"/>
      </w:pPr>
      <w:r w:rsidRPr="00332DAC">
        <w:lastRenderedPageBreak/>
        <w:t>Investment Performance</w:t>
      </w:r>
      <w:r w:rsidR="000F78C9" w:rsidRPr="00332DAC">
        <w:t xml:space="preserve"> ratings</w:t>
      </w:r>
    </w:p>
    <w:tbl>
      <w:tblPr>
        <w:tblStyle w:val="DFATTable1"/>
        <w:tblW w:w="10627"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ayout w:type="fixed"/>
        <w:tblLook w:val="04A0" w:firstRow="1" w:lastRow="0" w:firstColumn="1" w:lastColumn="0" w:noHBand="0" w:noVBand="1"/>
        <w:tblCaption w:val="Supporting Investment Performance"/>
        <w:tblDescription w:val="Development Program Investment details, name, duration, budget and performance ratings for 2020 and 2021 for Effectiveness, Efficiency, Gender Equality; Risk and Safeguards "/>
      </w:tblPr>
      <w:tblGrid>
        <w:gridCol w:w="5807"/>
        <w:gridCol w:w="1134"/>
        <w:gridCol w:w="1276"/>
        <w:gridCol w:w="1134"/>
        <w:gridCol w:w="1276"/>
      </w:tblGrid>
      <w:tr w:rsidR="00332DAC" w:rsidRPr="00332DAC" w14:paraId="516C686E"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shd w:val="clear" w:color="auto" w:fill="A2DCD1" w:themeFill="accent1" w:themeFillTint="99"/>
            <w:noWrap/>
            <w:hideMark/>
          </w:tcPr>
          <w:p w14:paraId="75498539" w14:textId="77777777" w:rsidR="000D125E" w:rsidRPr="00332DAC" w:rsidRDefault="000D125E" w:rsidP="00240E85">
            <w:pPr>
              <w:suppressAutoHyphens w:val="0"/>
              <w:spacing w:before="0" w:after="0" w:line="240" w:lineRule="auto"/>
              <w:jc w:val="center"/>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Investment Details</w:t>
            </w:r>
          </w:p>
        </w:tc>
        <w:tc>
          <w:tcPr>
            <w:tcW w:w="1134" w:type="dxa"/>
            <w:shd w:val="clear" w:color="auto" w:fill="A2DCD1" w:themeFill="accent1" w:themeFillTint="99"/>
            <w:noWrap/>
            <w:hideMark/>
          </w:tcPr>
          <w:p w14:paraId="2088E26E" w14:textId="77777777" w:rsidR="000D125E" w:rsidRPr="00332DAC" w:rsidRDefault="000D125E"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Year</w:t>
            </w:r>
          </w:p>
        </w:tc>
        <w:tc>
          <w:tcPr>
            <w:tcW w:w="1276" w:type="dxa"/>
            <w:shd w:val="clear" w:color="auto" w:fill="A2DCD1" w:themeFill="accent1" w:themeFillTint="99"/>
            <w:noWrap/>
            <w:hideMark/>
          </w:tcPr>
          <w:p w14:paraId="3E636037" w14:textId="77777777" w:rsidR="000D125E" w:rsidRPr="00332DAC" w:rsidRDefault="000D125E"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Effectiveness</w:t>
            </w:r>
          </w:p>
        </w:tc>
        <w:tc>
          <w:tcPr>
            <w:tcW w:w="1134" w:type="dxa"/>
            <w:shd w:val="clear" w:color="auto" w:fill="A2DCD1" w:themeFill="accent1" w:themeFillTint="99"/>
            <w:noWrap/>
            <w:hideMark/>
          </w:tcPr>
          <w:p w14:paraId="056EF80C" w14:textId="77777777" w:rsidR="000D125E" w:rsidRPr="00332DAC" w:rsidRDefault="000D125E"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Efficiency</w:t>
            </w:r>
          </w:p>
        </w:tc>
        <w:tc>
          <w:tcPr>
            <w:tcW w:w="1276" w:type="dxa"/>
            <w:shd w:val="clear" w:color="auto" w:fill="A2DCD1" w:themeFill="accent1" w:themeFillTint="99"/>
            <w:noWrap/>
            <w:hideMark/>
          </w:tcPr>
          <w:p w14:paraId="0D2EA494" w14:textId="77777777" w:rsidR="000D125E" w:rsidRPr="00332DAC" w:rsidRDefault="000D125E"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Gender Equality</w:t>
            </w:r>
          </w:p>
        </w:tc>
      </w:tr>
      <w:tr w:rsidR="00332DAC" w:rsidRPr="00332DAC" w14:paraId="0BCBD206"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noWrap/>
          </w:tcPr>
          <w:p w14:paraId="0EA5DC1D" w14:textId="34B40DB1" w:rsidR="00DC27B2" w:rsidRPr="00332DAC" w:rsidRDefault="00DC27B2" w:rsidP="002B5CAE">
            <w:pPr>
              <w:suppressAutoHyphens w:val="0"/>
              <w:spacing w:before="0" w:after="0" w:line="240" w:lineRule="auto"/>
              <w:rPr>
                <w:rFonts w:asciiTheme="minorHAnsi" w:eastAsia="Times New Roman" w:hAnsiTheme="minorHAnsi"/>
                <w:b/>
                <w:bCs/>
                <w:color w:val="auto"/>
                <w:sz w:val="20"/>
                <w:szCs w:val="20"/>
                <w:lang w:eastAsia="en-AU"/>
              </w:rPr>
            </w:pPr>
            <w:r w:rsidRPr="00332DAC">
              <w:rPr>
                <w:rFonts w:asciiTheme="minorHAnsi" w:eastAsia="Times New Roman" w:hAnsiTheme="minorHAnsi"/>
                <w:b/>
                <w:bCs/>
                <w:color w:val="auto"/>
                <w:sz w:val="20"/>
                <w:szCs w:val="20"/>
                <w:lang w:eastAsia="en-AU"/>
              </w:rPr>
              <w:t>Addressing Gender Equality in Solomon Islands</w:t>
            </w:r>
          </w:p>
        </w:tc>
        <w:tc>
          <w:tcPr>
            <w:tcW w:w="1134" w:type="dxa"/>
            <w:tcBorders>
              <w:left w:val="single" w:sz="4" w:space="0" w:color="65C5B4" w:themeColor="accent1"/>
            </w:tcBorders>
            <w:shd w:val="clear" w:color="auto" w:fill="F2F2F2" w:themeFill="background1" w:themeFillShade="F2"/>
            <w:noWrap/>
          </w:tcPr>
          <w:p w14:paraId="0BFA02F4" w14:textId="1AB3C1C4" w:rsidR="00DC27B2" w:rsidRPr="00332DAC" w:rsidRDefault="00DC27B2" w:rsidP="000D125E">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eastAsia="en-AU"/>
              </w:rPr>
            </w:pPr>
            <w:r w:rsidRPr="00332DAC">
              <w:rPr>
                <w:rFonts w:asciiTheme="minorHAnsi" w:eastAsia="Times New Roman" w:hAnsiTheme="minorHAnsi" w:cstheme="minorHAnsi"/>
                <w:b/>
                <w:bCs/>
                <w:color w:val="auto"/>
                <w:sz w:val="20"/>
                <w:szCs w:val="20"/>
                <w:lang w:eastAsia="en-AU"/>
              </w:rPr>
              <w:t>2023</w:t>
            </w:r>
          </w:p>
        </w:tc>
        <w:tc>
          <w:tcPr>
            <w:tcW w:w="1276" w:type="dxa"/>
            <w:shd w:val="clear" w:color="auto" w:fill="F2F2F2" w:themeFill="background1" w:themeFillShade="F2"/>
            <w:noWrap/>
          </w:tcPr>
          <w:p w14:paraId="115009E2" w14:textId="7B27C124" w:rsidR="00DC27B2" w:rsidRPr="00332DAC" w:rsidRDefault="00DC27B2" w:rsidP="007B018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eastAsia="en-AU"/>
              </w:rPr>
            </w:pPr>
            <w:r w:rsidRPr="00332DAC">
              <w:rPr>
                <w:rFonts w:asciiTheme="minorHAnsi" w:eastAsia="Times New Roman" w:hAnsiTheme="minorHAnsi" w:cstheme="minorHAnsi"/>
                <w:b/>
                <w:bCs/>
                <w:color w:val="auto"/>
                <w:sz w:val="20"/>
                <w:szCs w:val="20"/>
                <w:lang w:eastAsia="en-AU"/>
              </w:rPr>
              <w:t>4</w:t>
            </w:r>
          </w:p>
        </w:tc>
        <w:tc>
          <w:tcPr>
            <w:tcW w:w="1134" w:type="dxa"/>
            <w:shd w:val="clear" w:color="auto" w:fill="F2F2F2" w:themeFill="background1" w:themeFillShade="F2"/>
            <w:noWrap/>
          </w:tcPr>
          <w:p w14:paraId="4697E244" w14:textId="3F296DC0" w:rsidR="00DC27B2" w:rsidRPr="00332DAC" w:rsidRDefault="00DC27B2" w:rsidP="007B018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eastAsia="en-AU"/>
              </w:rPr>
            </w:pPr>
            <w:r w:rsidRPr="00332DAC">
              <w:rPr>
                <w:rFonts w:asciiTheme="minorHAnsi" w:eastAsia="Times New Roman" w:hAnsiTheme="minorHAnsi" w:cstheme="minorHAnsi"/>
                <w:b/>
                <w:bCs/>
                <w:color w:val="auto"/>
                <w:sz w:val="20"/>
                <w:szCs w:val="20"/>
                <w:lang w:eastAsia="en-AU"/>
              </w:rPr>
              <w:t>4</w:t>
            </w:r>
          </w:p>
        </w:tc>
        <w:tc>
          <w:tcPr>
            <w:tcW w:w="1276" w:type="dxa"/>
            <w:shd w:val="clear" w:color="auto" w:fill="F2F2F2" w:themeFill="background1" w:themeFillShade="F2"/>
            <w:noWrap/>
          </w:tcPr>
          <w:p w14:paraId="4BD02943" w14:textId="33643957" w:rsidR="00DC27B2" w:rsidRPr="00332DAC" w:rsidRDefault="00DC27B2" w:rsidP="007B018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eastAsia="en-AU"/>
              </w:rPr>
            </w:pPr>
            <w:r w:rsidRPr="00332DAC">
              <w:rPr>
                <w:rFonts w:asciiTheme="minorHAnsi" w:eastAsia="Times New Roman" w:hAnsiTheme="minorHAnsi" w:cstheme="minorHAnsi"/>
                <w:b/>
                <w:bCs/>
                <w:color w:val="auto"/>
                <w:sz w:val="20"/>
                <w:szCs w:val="20"/>
                <w:lang w:eastAsia="en-AU"/>
              </w:rPr>
              <w:t>5</w:t>
            </w:r>
          </w:p>
        </w:tc>
      </w:tr>
      <w:tr w:rsidR="00332DAC" w:rsidRPr="00332DAC" w14:paraId="590680E3"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F2F2F2" w:themeFill="background1" w:themeFillShade="F2"/>
            <w:vAlign w:val="bottom"/>
            <w:hideMark/>
          </w:tcPr>
          <w:p w14:paraId="46EF134F" w14:textId="076931EC" w:rsidR="00DC27B2" w:rsidRPr="00355D31" w:rsidRDefault="00355D31" w:rsidP="00240E85">
            <w:pPr>
              <w:suppressAutoHyphens w:val="0"/>
              <w:spacing w:before="0" w:after="0" w:line="240" w:lineRule="auto"/>
              <w:rPr>
                <w:rFonts w:asciiTheme="minorHAnsi" w:eastAsia="Times New Roman" w:hAnsiTheme="minorHAnsi" w:cstheme="minorHAnsi"/>
                <w:color w:val="auto"/>
                <w:sz w:val="20"/>
                <w:szCs w:val="20"/>
                <w:lang w:val="en-AU" w:eastAsia="en-AU"/>
              </w:rPr>
            </w:pPr>
            <w:r w:rsidRPr="00355D31">
              <w:rPr>
                <w:rFonts w:asciiTheme="minorHAnsi" w:eastAsia="Times New Roman" w:hAnsiTheme="minorHAnsi" w:cstheme="minorHAnsi"/>
                <w:color w:val="auto"/>
                <w:sz w:val="20"/>
                <w:szCs w:val="20"/>
                <w:lang w:val="en-AU" w:eastAsia="en-AU"/>
              </w:rPr>
              <w:t>Investment duration: 2012-24; Budget: $41.1m</w:t>
            </w:r>
          </w:p>
        </w:tc>
        <w:tc>
          <w:tcPr>
            <w:tcW w:w="1134" w:type="dxa"/>
            <w:tcBorders>
              <w:left w:val="single" w:sz="4" w:space="0" w:color="65C5B4" w:themeColor="accent1"/>
            </w:tcBorders>
            <w:shd w:val="clear" w:color="auto" w:fill="F2F2F2" w:themeFill="background1" w:themeFillShade="F2"/>
            <w:hideMark/>
          </w:tcPr>
          <w:p w14:paraId="5CC4A540"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eastAsia="en-AU"/>
              </w:rPr>
              <w:t>2022</w:t>
            </w:r>
          </w:p>
        </w:tc>
        <w:tc>
          <w:tcPr>
            <w:tcW w:w="1276" w:type="dxa"/>
            <w:shd w:val="clear" w:color="auto" w:fill="F2F2F2" w:themeFill="background1" w:themeFillShade="F2"/>
            <w:noWrap/>
          </w:tcPr>
          <w:p w14:paraId="7F046322"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134" w:type="dxa"/>
            <w:shd w:val="clear" w:color="auto" w:fill="F2F2F2" w:themeFill="background1" w:themeFillShade="F2"/>
            <w:noWrap/>
          </w:tcPr>
          <w:p w14:paraId="665C1C37"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276" w:type="dxa"/>
            <w:shd w:val="clear" w:color="auto" w:fill="F2F2F2" w:themeFill="background1" w:themeFillShade="F2"/>
            <w:noWrap/>
          </w:tcPr>
          <w:p w14:paraId="76B35666"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r>
      <w:tr w:rsidR="00332DAC" w:rsidRPr="00332DAC" w14:paraId="061C4194"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E0F3EF" w:themeFill="accent1" w:themeFillTint="33"/>
            <w:noWrap/>
            <w:vAlign w:val="bottom"/>
          </w:tcPr>
          <w:p w14:paraId="1768D08B" w14:textId="5316D2FC" w:rsidR="00DC27B2" w:rsidRPr="001333E0" w:rsidRDefault="00DC27B2" w:rsidP="001333E0">
            <w:pPr>
              <w:suppressAutoHyphens w:val="0"/>
              <w:spacing w:before="0" w:after="0" w:line="240" w:lineRule="auto"/>
              <w:rPr>
                <w:rFonts w:eastAsia="Times New Roman"/>
                <w:b/>
                <w:bCs/>
                <w:color w:val="auto"/>
                <w:sz w:val="20"/>
                <w:szCs w:val="20"/>
                <w:lang w:eastAsia="en-AU"/>
              </w:rPr>
            </w:pPr>
            <w:r w:rsidRPr="00332DAC">
              <w:rPr>
                <w:rFonts w:asciiTheme="minorHAnsi" w:eastAsia="Times New Roman" w:hAnsiTheme="minorHAnsi"/>
                <w:b/>
                <w:bCs/>
                <w:color w:val="auto"/>
                <w:sz w:val="20"/>
                <w:szCs w:val="20"/>
                <w:lang w:eastAsia="en-AU"/>
              </w:rPr>
              <w:t xml:space="preserve">Health Sector Support Program – Phase </w:t>
            </w:r>
          </w:p>
          <w:p w14:paraId="61D6EACC" w14:textId="7267E929" w:rsidR="00DC27B2" w:rsidRPr="00332DAC" w:rsidRDefault="00DC27B2" w:rsidP="00DC27B2">
            <w:pPr>
              <w:spacing w:before="0" w:after="0" w:line="240" w:lineRule="auto"/>
              <w:rPr>
                <w:rFonts w:eastAsia="Times New Roman"/>
                <w:b/>
                <w:bCs/>
                <w:color w:val="auto"/>
                <w:sz w:val="20"/>
                <w:szCs w:val="20"/>
                <w:lang w:eastAsia="en-AU"/>
              </w:rPr>
            </w:pPr>
          </w:p>
        </w:tc>
        <w:tc>
          <w:tcPr>
            <w:tcW w:w="1134" w:type="dxa"/>
            <w:tcBorders>
              <w:left w:val="single" w:sz="4" w:space="0" w:color="65C5B4" w:themeColor="accent1"/>
            </w:tcBorders>
            <w:shd w:val="clear" w:color="auto" w:fill="E0F3EF" w:themeFill="accent1" w:themeFillTint="33"/>
          </w:tcPr>
          <w:p w14:paraId="0CFA6F86" w14:textId="025BC54D"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eastAsia="en-AU"/>
              </w:rPr>
            </w:pPr>
            <w:r w:rsidRPr="00332DAC">
              <w:rPr>
                <w:rFonts w:eastAsia="Times New Roman" w:cstheme="minorHAnsi"/>
                <w:color w:val="auto"/>
                <w:sz w:val="20"/>
                <w:szCs w:val="20"/>
                <w:lang w:eastAsia="en-AU"/>
              </w:rPr>
              <w:t>2023</w:t>
            </w:r>
          </w:p>
        </w:tc>
        <w:tc>
          <w:tcPr>
            <w:tcW w:w="1276" w:type="dxa"/>
            <w:shd w:val="clear" w:color="auto" w:fill="E0F3EF" w:themeFill="accent1" w:themeFillTint="33"/>
            <w:noWrap/>
          </w:tcPr>
          <w:p w14:paraId="7E95323B" w14:textId="26F8893C"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134" w:type="dxa"/>
            <w:shd w:val="clear" w:color="auto" w:fill="E0F3EF" w:themeFill="accent1" w:themeFillTint="33"/>
            <w:noWrap/>
          </w:tcPr>
          <w:p w14:paraId="3CB4F75F" w14:textId="27B5995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276" w:type="dxa"/>
            <w:shd w:val="clear" w:color="auto" w:fill="E0F3EF" w:themeFill="accent1" w:themeFillTint="33"/>
            <w:noWrap/>
          </w:tcPr>
          <w:p w14:paraId="0582CDC2" w14:textId="7CC87093"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r>
      <w:tr w:rsidR="00332DAC" w:rsidRPr="00332DAC" w14:paraId="4FD54BE3"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E0F3EF" w:themeFill="accent1" w:themeFillTint="33"/>
            <w:noWrap/>
            <w:vAlign w:val="bottom"/>
            <w:hideMark/>
          </w:tcPr>
          <w:p w14:paraId="60B40BF4" w14:textId="77777777" w:rsidR="00351908" w:rsidRPr="00332DAC" w:rsidRDefault="00351908" w:rsidP="00351908">
            <w:pPr>
              <w:spacing w:before="0" w:after="0" w:line="240" w:lineRule="auto"/>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Investment duration: 2016-24; Budget: $113.3m</w:t>
            </w:r>
          </w:p>
          <w:p w14:paraId="682E9989" w14:textId="539EF556" w:rsidR="00DC27B2" w:rsidRPr="00332DAC" w:rsidRDefault="00DC27B2" w:rsidP="00240E85">
            <w:pPr>
              <w:suppressAutoHyphens w:val="0"/>
              <w:spacing w:before="0" w:after="0" w:line="240" w:lineRule="auto"/>
              <w:rPr>
                <w:rFonts w:asciiTheme="minorHAnsi" w:eastAsia="Times New Roman" w:hAnsiTheme="minorHAnsi" w:cstheme="minorHAnsi"/>
                <w:b/>
                <w:bCs/>
                <w:color w:val="auto"/>
                <w:sz w:val="20"/>
                <w:szCs w:val="20"/>
                <w:lang w:val="en-AU" w:eastAsia="en-AU"/>
              </w:rPr>
            </w:pPr>
          </w:p>
        </w:tc>
        <w:tc>
          <w:tcPr>
            <w:tcW w:w="1134" w:type="dxa"/>
            <w:tcBorders>
              <w:left w:val="single" w:sz="4" w:space="0" w:color="65C5B4" w:themeColor="accent1"/>
            </w:tcBorders>
            <w:shd w:val="clear" w:color="auto" w:fill="E0F3EF" w:themeFill="accent1" w:themeFillTint="33"/>
            <w:hideMark/>
          </w:tcPr>
          <w:p w14:paraId="5EC4FBDA"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eastAsia="en-AU"/>
              </w:rPr>
              <w:t>2022</w:t>
            </w:r>
          </w:p>
        </w:tc>
        <w:tc>
          <w:tcPr>
            <w:tcW w:w="1276" w:type="dxa"/>
            <w:shd w:val="clear" w:color="auto" w:fill="E0F3EF" w:themeFill="accent1" w:themeFillTint="33"/>
            <w:noWrap/>
          </w:tcPr>
          <w:p w14:paraId="45FEC74A"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134" w:type="dxa"/>
            <w:shd w:val="clear" w:color="auto" w:fill="E0F3EF" w:themeFill="accent1" w:themeFillTint="33"/>
            <w:noWrap/>
          </w:tcPr>
          <w:p w14:paraId="5A304DB4"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3</w:t>
            </w:r>
          </w:p>
        </w:tc>
        <w:tc>
          <w:tcPr>
            <w:tcW w:w="1276" w:type="dxa"/>
            <w:shd w:val="clear" w:color="auto" w:fill="E0F3EF" w:themeFill="accent1" w:themeFillTint="33"/>
            <w:noWrap/>
          </w:tcPr>
          <w:p w14:paraId="0A21DAD8"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r>
      <w:tr w:rsidR="00332DAC" w:rsidRPr="00332DAC" w14:paraId="366A8438"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tcPr>
          <w:p w14:paraId="3F287027" w14:textId="648D860F" w:rsidR="00DC27B2" w:rsidRPr="00332DAC" w:rsidRDefault="00DC27B2" w:rsidP="1ADFD2FB">
            <w:pPr>
              <w:suppressAutoHyphens w:val="0"/>
              <w:spacing w:before="0" w:after="0" w:line="240" w:lineRule="auto"/>
              <w:rPr>
                <w:rFonts w:eastAsia="Times New Roman"/>
                <w:color w:val="auto"/>
                <w:sz w:val="20"/>
                <w:szCs w:val="20"/>
                <w:lang w:val="en-AU" w:eastAsia="en-AU"/>
              </w:rPr>
            </w:pPr>
            <w:r w:rsidRPr="00332DAC">
              <w:rPr>
                <w:rFonts w:asciiTheme="minorHAnsi" w:eastAsia="Times New Roman" w:hAnsiTheme="minorHAnsi"/>
                <w:b/>
                <w:bCs/>
                <w:color w:val="auto"/>
                <w:sz w:val="20"/>
                <w:szCs w:val="20"/>
                <w:lang w:eastAsia="en-AU"/>
              </w:rPr>
              <w:t>Education Sector Support Program</w:t>
            </w:r>
          </w:p>
          <w:p w14:paraId="76879BF9" w14:textId="360BD6BE" w:rsidR="00DC27B2" w:rsidRPr="00332DAC" w:rsidRDefault="00DC27B2" w:rsidP="00240E85">
            <w:pPr>
              <w:spacing w:before="0" w:after="0" w:line="240" w:lineRule="auto"/>
              <w:rPr>
                <w:rFonts w:eastAsia="Times New Roman"/>
                <w:color w:val="auto"/>
                <w:sz w:val="20"/>
                <w:szCs w:val="20"/>
                <w:lang w:val="en-AU" w:eastAsia="en-AU"/>
              </w:rPr>
            </w:pPr>
          </w:p>
        </w:tc>
        <w:tc>
          <w:tcPr>
            <w:tcW w:w="1134" w:type="dxa"/>
            <w:tcBorders>
              <w:left w:val="single" w:sz="4" w:space="0" w:color="65C5B4" w:themeColor="accent1"/>
            </w:tcBorders>
            <w:shd w:val="clear" w:color="auto" w:fill="F2F2F2" w:themeFill="background1" w:themeFillShade="F2"/>
          </w:tcPr>
          <w:p w14:paraId="4B778EE0" w14:textId="6622D353"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eastAsia="en-AU"/>
              </w:rPr>
            </w:pPr>
            <w:r w:rsidRPr="00332DAC">
              <w:rPr>
                <w:rFonts w:eastAsia="Times New Roman" w:cstheme="minorHAnsi"/>
                <w:color w:val="auto"/>
                <w:sz w:val="20"/>
                <w:szCs w:val="20"/>
                <w:lang w:eastAsia="en-AU"/>
              </w:rPr>
              <w:t>2023</w:t>
            </w:r>
          </w:p>
        </w:tc>
        <w:tc>
          <w:tcPr>
            <w:tcW w:w="1276" w:type="dxa"/>
            <w:shd w:val="clear" w:color="auto" w:fill="F2F2F2" w:themeFill="background1" w:themeFillShade="F2"/>
            <w:noWrap/>
          </w:tcPr>
          <w:p w14:paraId="44B1051C" w14:textId="3093ACAB"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134" w:type="dxa"/>
            <w:shd w:val="clear" w:color="auto" w:fill="F2F2F2" w:themeFill="background1" w:themeFillShade="F2"/>
            <w:noWrap/>
          </w:tcPr>
          <w:p w14:paraId="561DE5ED" w14:textId="2C53D9F0"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c>
          <w:tcPr>
            <w:tcW w:w="1276" w:type="dxa"/>
            <w:shd w:val="clear" w:color="auto" w:fill="F2F2F2" w:themeFill="background1" w:themeFillShade="F2"/>
            <w:noWrap/>
          </w:tcPr>
          <w:p w14:paraId="540A9E5F" w14:textId="27DCA069"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r>
      <w:tr w:rsidR="00332DAC" w:rsidRPr="00332DAC" w14:paraId="40CB67C9"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F2F2F2" w:themeFill="background1" w:themeFillShade="F2"/>
            <w:noWrap/>
            <w:vAlign w:val="bottom"/>
            <w:hideMark/>
          </w:tcPr>
          <w:p w14:paraId="4B1534E6" w14:textId="77777777" w:rsidR="003A653B" w:rsidRPr="00332DAC" w:rsidRDefault="003A653B" w:rsidP="003A653B">
            <w:pPr>
              <w:spacing w:before="0" w:after="0" w:line="240" w:lineRule="auto"/>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Investment duration: 2018-23; Budget: $42.9m</w:t>
            </w:r>
          </w:p>
          <w:p w14:paraId="05E413B9" w14:textId="1895A004" w:rsidR="00DC27B2" w:rsidRPr="00332DAC" w:rsidRDefault="00DC27B2" w:rsidP="00240E85">
            <w:pPr>
              <w:suppressAutoHyphens w:val="0"/>
              <w:spacing w:before="0" w:after="0" w:line="240" w:lineRule="auto"/>
              <w:rPr>
                <w:rFonts w:asciiTheme="minorHAnsi" w:eastAsia="Times New Roman" w:hAnsiTheme="minorHAnsi" w:cstheme="minorHAnsi"/>
                <w:b/>
                <w:bCs/>
                <w:color w:val="auto"/>
                <w:sz w:val="20"/>
                <w:szCs w:val="20"/>
                <w:lang w:val="en-AU" w:eastAsia="en-AU"/>
              </w:rPr>
            </w:pPr>
          </w:p>
        </w:tc>
        <w:tc>
          <w:tcPr>
            <w:tcW w:w="1134" w:type="dxa"/>
            <w:tcBorders>
              <w:left w:val="single" w:sz="4" w:space="0" w:color="65C5B4" w:themeColor="accent1"/>
            </w:tcBorders>
            <w:shd w:val="clear" w:color="auto" w:fill="F2F2F2" w:themeFill="background1" w:themeFillShade="F2"/>
            <w:hideMark/>
          </w:tcPr>
          <w:p w14:paraId="19D56226"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F2F2F2" w:themeFill="background1" w:themeFillShade="F2"/>
            <w:noWrap/>
          </w:tcPr>
          <w:p w14:paraId="2A22F94A"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3</w:t>
            </w:r>
          </w:p>
        </w:tc>
        <w:tc>
          <w:tcPr>
            <w:tcW w:w="1134" w:type="dxa"/>
            <w:shd w:val="clear" w:color="auto" w:fill="F2F2F2" w:themeFill="background1" w:themeFillShade="F2"/>
            <w:noWrap/>
          </w:tcPr>
          <w:p w14:paraId="1AC2492D"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3</w:t>
            </w:r>
          </w:p>
        </w:tc>
        <w:tc>
          <w:tcPr>
            <w:tcW w:w="1276" w:type="dxa"/>
            <w:shd w:val="clear" w:color="auto" w:fill="F2F2F2" w:themeFill="background1" w:themeFillShade="F2"/>
            <w:noWrap/>
          </w:tcPr>
          <w:p w14:paraId="2A7E0D27"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3</w:t>
            </w:r>
          </w:p>
        </w:tc>
      </w:tr>
      <w:tr w:rsidR="00332DAC" w:rsidRPr="00332DAC" w14:paraId="2F9662CF"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E0F3EF" w:themeFill="accent1" w:themeFillTint="33"/>
          </w:tcPr>
          <w:p w14:paraId="6DE7F302" w14:textId="01A5FC6D" w:rsidR="00DC27B2" w:rsidRPr="00332DAC" w:rsidRDefault="008359FA" w:rsidP="004F1E31">
            <w:pPr>
              <w:suppressAutoHyphens w:val="0"/>
              <w:spacing w:before="0" w:after="0" w:line="240" w:lineRule="auto"/>
              <w:rPr>
                <w:rFonts w:eastAsia="Times New Roman"/>
                <w:color w:val="auto"/>
                <w:sz w:val="20"/>
                <w:szCs w:val="20"/>
                <w:lang w:val="en-AU" w:eastAsia="en-AU"/>
              </w:rPr>
            </w:pPr>
            <w:r w:rsidRPr="00332DAC">
              <w:rPr>
                <w:rFonts w:asciiTheme="minorHAnsi" w:eastAsia="Times New Roman" w:hAnsiTheme="minorHAnsi"/>
                <w:b/>
                <w:bCs/>
                <w:color w:val="auto"/>
                <w:sz w:val="20"/>
                <w:szCs w:val="20"/>
                <w:lang w:eastAsia="en-AU"/>
              </w:rPr>
              <w:t>Australia Solomon Islands</w:t>
            </w:r>
            <w:r w:rsidR="00217E67" w:rsidRPr="00332DAC">
              <w:rPr>
                <w:rFonts w:asciiTheme="minorHAnsi" w:eastAsia="Times New Roman" w:hAnsiTheme="minorHAnsi"/>
                <w:b/>
                <w:bCs/>
                <w:color w:val="auto"/>
                <w:sz w:val="20"/>
                <w:szCs w:val="20"/>
                <w:lang w:eastAsia="en-AU"/>
              </w:rPr>
              <w:t xml:space="preserve"> </w:t>
            </w:r>
            <w:r w:rsidR="00674A1A" w:rsidRPr="00332DAC">
              <w:rPr>
                <w:rFonts w:asciiTheme="minorHAnsi" w:eastAsia="Times New Roman" w:hAnsiTheme="minorHAnsi"/>
                <w:b/>
                <w:bCs/>
                <w:color w:val="auto"/>
                <w:sz w:val="20"/>
                <w:szCs w:val="20"/>
                <w:lang w:eastAsia="en-AU"/>
              </w:rPr>
              <w:t xml:space="preserve">Governance Assistance </w:t>
            </w:r>
            <w:r w:rsidR="009D2D8B" w:rsidRPr="00332DAC">
              <w:rPr>
                <w:rFonts w:asciiTheme="minorHAnsi" w:eastAsia="Times New Roman" w:hAnsiTheme="minorHAnsi"/>
                <w:b/>
                <w:bCs/>
                <w:color w:val="auto"/>
                <w:sz w:val="20"/>
                <w:szCs w:val="20"/>
                <w:lang w:eastAsia="en-AU"/>
              </w:rPr>
              <w:t>2022-2027</w:t>
            </w:r>
          </w:p>
        </w:tc>
        <w:tc>
          <w:tcPr>
            <w:tcW w:w="1134" w:type="dxa"/>
            <w:tcBorders>
              <w:left w:val="single" w:sz="4" w:space="0" w:color="65C5B4" w:themeColor="accent1"/>
            </w:tcBorders>
            <w:shd w:val="clear" w:color="auto" w:fill="E0F3EF" w:themeFill="accent1" w:themeFillTint="33"/>
          </w:tcPr>
          <w:p w14:paraId="7662743B" w14:textId="7D69C670"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2023</w:t>
            </w:r>
          </w:p>
        </w:tc>
        <w:tc>
          <w:tcPr>
            <w:tcW w:w="1276" w:type="dxa"/>
            <w:shd w:val="clear" w:color="auto" w:fill="E0F3EF" w:themeFill="accent1" w:themeFillTint="33"/>
            <w:noWrap/>
          </w:tcPr>
          <w:p w14:paraId="3A11F9D7" w14:textId="1F6B168B" w:rsidR="00DC27B2" w:rsidRPr="00332DAC" w:rsidRDefault="00DC27B2" w:rsidP="1ADFD2F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5</w:t>
            </w:r>
          </w:p>
        </w:tc>
        <w:tc>
          <w:tcPr>
            <w:tcW w:w="1134" w:type="dxa"/>
            <w:shd w:val="clear" w:color="auto" w:fill="E0F3EF" w:themeFill="accent1" w:themeFillTint="33"/>
            <w:noWrap/>
          </w:tcPr>
          <w:p w14:paraId="5EAA7110" w14:textId="016E9EBF" w:rsidR="00DC27B2" w:rsidRPr="00332DAC" w:rsidRDefault="00DC27B2" w:rsidP="1ADFD2F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4</w:t>
            </w:r>
          </w:p>
        </w:tc>
        <w:tc>
          <w:tcPr>
            <w:tcW w:w="1276" w:type="dxa"/>
            <w:shd w:val="clear" w:color="auto" w:fill="E0F3EF" w:themeFill="accent1" w:themeFillTint="33"/>
            <w:noWrap/>
          </w:tcPr>
          <w:p w14:paraId="4BC06959" w14:textId="0D3A628E" w:rsidR="00DC27B2" w:rsidRPr="00332DAC" w:rsidRDefault="00DC27B2" w:rsidP="1ADFD2F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4</w:t>
            </w:r>
          </w:p>
        </w:tc>
      </w:tr>
      <w:tr w:rsidR="00332DAC" w:rsidRPr="00332DAC" w14:paraId="43270657" w14:textId="77777777" w:rsidTr="000269DC">
        <w:trPr>
          <w:cnfStyle w:val="100000000000" w:firstRow="1" w:lastRow="0" w:firstColumn="0" w:lastColumn="0" w:oddVBand="0" w:evenVBand="0" w:oddHBand="0" w:evenHBand="0" w:firstRowFirstColumn="0" w:firstRowLastColumn="0" w:lastRowFirstColumn="0" w:lastRowLastColumn="0"/>
          <w:trHeight w:hRule="exact" w:val="335"/>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E0F3EF" w:themeFill="accent1" w:themeFillTint="33"/>
            <w:noWrap/>
            <w:vAlign w:val="bottom"/>
            <w:hideMark/>
          </w:tcPr>
          <w:p w14:paraId="280386E1" w14:textId="7644B4C1" w:rsidR="00DC27B2" w:rsidRPr="00030727" w:rsidRDefault="00030727" w:rsidP="00240E85">
            <w:pPr>
              <w:suppressAutoHyphens w:val="0"/>
              <w:spacing w:before="0" w:after="0" w:line="240" w:lineRule="auto"/>
              <w:rPr>
                <w:rFonts w:asciiTheme="minorHAnsi" w:eastAsia="Times New Roman" w:hAnsiTheme="minorHAnsi" w:cstheme="minorHAnsi"/>
                <w:color w:val="auto"/>
                <w:sz w:val="20"/>
                <w:szCs w:val="20"/>
                <w:lang w:val="en-AU" w:eastAsia="en-AU"/>
              </w:rPr>
            </w:pPr>
            <w:r w:rsidRPr="00030727">
              <w:rPr>
                <w:rFonts w:asciiTheme="minorHAnsi" w:eastAsia="Times New Roman" w:hAnsiTheme="minorHAnsi" w:cstheme="minorHAnsi"/>
                <w:color w:val="auto"/>
                <w:sz w:val="20"/>
                <w:szCs w:val="20"/>
                <w:lang w:val="en-AU" w:eastAsia="en-AU"/>
              </w:rPr>
              <w:t>Investment duration: 2020-27; Budget: $36.6m</w:t>
            </w:r>
          </w:p>
        </w:tc>
        <w:tc>
          <w:tcPr>
            <w:tcW w:w="1134" w:type="dxa"/>
            <w:tcBorders>
              <w:left w:val="single" w:sz="4" w:space="0" w:color="65C5B4" w:themeColor="accent1"/>
            </w:tcBorders>
            <w:shd w:val="clear" w:color="auto" w:fill="E0F3EF" w:themeFill="accent1" w:themeFillTint="33"/>
            <w:hideMark/>
          </w:tcPr>
          <w:p w14:paraId="2A5A2761"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E0F3EF" w:themeFill="accent1" w:themeFillTint="33"/>
            <w:noWrap/>
          </w:tcPr>
          <w:p w14:paraId="5FA56C35"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134" w:type="dxa"/>
            <w:shd w:val="clear" w:color="auto" w:fill="E0F3EF" w:themeFill="accent1" w:themeFillTint="33"/>
            <w:noWrap/>
          </w:tcPr>
          <w:p w14:paraId="68352164"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276" w:type="dxa"/>
            <w:shd w:val="clear" w:color="auto" w:fill="E0F3EF" w:themeFill="accent1" w:themeFillTint="33"/>
            <w:noWrap/>
          </w:tcPr>
          <w:p w14:paraId="594EE7FF" w14:textId="77777777"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3</w:t>
            </w:r>
          </w:p>
        </w:tc>
      </w:tr>
      <w:tr w:rsidR="00332DAC" w:rsidRPr="00332DAC" w14:paraId="50B9265B"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tcPr>
          <w:p w14:paraId="7AC2531E" w14:textId="656CF20F" w:rsidR="00DC27B2" w:rsidRPr="00332DAC" w:rsidRDefault="008359FA" w:rsidP="1ADFD2FB">
            <w:pPr>
              <w:suppressAutoHyphens w:val="0"/>
              <w:spacing w:before="0" w:after="0" w:line="240" w:lineRule="auto"/>
              <w:rPr>
                <w:rFonts w:eastAsia="Times New Roman"/>
                <w:color w:val="auto"/>
                <w:sz w:val="20"/>
                <w:szCs w:val="20"/>
                <w:lang w:val="en-AU" w:eastAsia="en-AU"/>
              </w:rPr>
            </w:pPr>
            <w:bookmarkStart w:id="0" w:name="_Hlk110952804"/>
            <w:r w:rsidRPr="00332DAC">
              <w:rPr>
                <w:rFonts w:asciiTheme="minorHAnsi" w:eastAsia="Times New Roman" w:hAnsiTheme="minorHAnsi"/>
                <w:b/>
                <w:bCs/>
                <w:color w:val="auto"/>
                <w:sz w:val="20"/>
                <w:szCs w:val="20"/>
                <w:lang w:eastAsia="en-AU"/>
              </w:rPr>
              <w:t>Australia Solomon Islands</w:t>
            </w:r>
            <w:r w:rsidR="00E01F94" w:rsidRPr="00332DAC">
              <w:rPr>
                <w:rFonts w:asciiTheme="minorHAnsi" w:eastAsia="Times New Roman" w:hAnsiTheme="minorHAnsi"/>
                <w:b/>
                <w:bCs/>
                <w:color w:val="auto"/>
                <w:sz w:val="20"/>
                <w:szCs w:val="20"/>
                <w:lang w:eastAsia="en-AU"/>
              </w:rPr>
              <w:t xml:space="preserve"> </w:t>
            </w:r>
            <w:r w:rsidR="00674A1A" w:rsidRPr="00332DAC">
              <w:rPr>
                <w:rFonts w:asciiTheme="minorHAnsi" w:eastAsia="Times New Roman" w:hAnsiTheme="minorHAnsi"/>
                <w:b/>
                <w:bCs/>
                <w:color w:val="auto"/>
                <w:sz w:val="20"/>
                <w:szCs w:val="20"/>
                <w:lang w:eastAsia="en-AU"/>
              </w:rPr>
              <w:t>Justice Assistance 2021-2025</w:t>
            </w:r>
          </w:p>
          <w:p w14:paraId="1F91C84A" w14:textId="19B08D1C" w:rsidR="00DC27B2" w:rsidRPr="00332DAC" w:rsidRDefault="00DC27B2" w:rsidP="00AB4CB7">
            <w:pPr>
              <w:spacing w:before="0" w:after="0" w:line="240" w:lineRule="auto"/>
              <w:rPr>
                <w:rFonts w:eastAsia="Times New Roman"/>
                <w:color w:val="auto"/>
                <w:sz w:val="20"/>
                <w:szCs w:val="20"/>
                <w:lang w:val="en-AU" w:eastAsia="en-AU"/>
              </w:rPr>
            </w:pPr>
          </w:p>
        </w:tc>
        <w:tc>
          <w:tcPr>
            <w:tcW w:w="1134" w:type="dxa"/>
            <w:tcBorders>
              <w:left w:val="single" w:sz="4" w:space="0" w:color="65C5B4" w:themeColor="accent1"/>
            </w:tcBorders>
            <w:shd w:val="clear" w:color="auto" w:fill="F2F2F2" w:themeFill="background1" w:themeFillShade="F2"/>
          </w:tcPr>
          <w:p w14:paraId="36BD7D00" w14:textId="7FD58B52"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2023</w:t>
            </w:r>
          </w:p>
        </w:tc>
        <w:tc>
          <w:tcPr>
            <w:tcW w:w="1276" w:type="dxa"/>
            <w:shd w:val="clear" w:color="auto" w:fill="F2F2F2" w:themeFill="background1" w:themeFillShade="F2"/>
            <w:noWrap/>
          </w:tcPr>
          <w:p w14:paraId="1E7132BB" w14:textId="446FCFEF"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134" w:type="dxa"/>
            <w:shd w:val="clear" w:color="auto" w:fill="F2F2F2" w:themeFill="background1" w:themeFillShade="F2"/>
            <w:noWrap/>
          </w:tcPr>
          <w:p w14:paraId="77B3FF94" w14:textId="1088E3F6"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276" w:type="dxa"/>
            <w:shd w:val="clear" w:color="auto" w:fill="F2F2F2" w:themeFill="background1" w:themeFillShade="F2"/>
            <w:noWrap/>
          </w:tcPr>
          <w:p w14:paraId="4F60D430" w14:textId="6E9E0990" w:rsidR="00DC27B2" w:rsidRPr="00332DAC" w:rsidRDefault="00DC27B2" w:rsidP="00240E8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r>
      <w:bookmarkEnd w:id="0"/>
      <w:tr w:rsidR="00332DAC" w:rsidRPr="00332DAC" w14:paraId="077445CF"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bottom w:val="nil"/>
              <w:right w:val="single" w:sz="4" w:space="0" w:color="65C5B4" w:themeColor="accent1"/>
            </w:tcBorders>
            <w:shd w:val="clear" w:color="auto" w:fill="F2F2F2" w:themeFill="background1" w:themeFillShade="F2"/>
            <w:noWrap/>
            <w:hideMark/>
          </w:tcPr>
          <w:p w14:paraId="2EA14623" w14:textId="15205B65" w:rsidR="00DC27B2" w:rsidRPr="00332DAC" w:rsidRDefault="008720EE" w:rsidP="00AB4CB7">
            <w:pPr>
              <w:suppressAutoHyphens w:val="0"/>
              <w:spacing w:before="0" w:after="0" w:line="240" w:lineRule="auto"/>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color w:val="auto"/>
                <w:sz w:val="20"/>
                <w:szCs w:val="20"/>
                <w:lang w:val="en-AU" w:eastAsia="en-AU"/>
              </w:rPr>
              <w:t>Investment duration: 2021-26; Budget: $32.8m</w:t>
            </w:r>
          </w:p>
        </w:tc>
        <w:tc>
          <w:tcPr>
            <w:tcW w:w="1134" w:type="dxa"/>
            <w:tcBorders>
              <w:left w:val="single" w:sz="4" w:space="0" w:color="65C5B4" w:themeColor="accent1"/>
            </w:tcBorders>
            <w:shd w:val="clear" w:color="auto" w:fill="F2F2F2" w:themeFill="background1" w:themeFillShade="F2"/>
            <w:hideMark/>
          </w:tcPr>
          <w:p w14:paraId="7C0C6EE0"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F2F2F2" w:themeFill="background1" w:themeFillShade="F2"/>
            <w:noWrap/>
          </w:tcPr>
          <w:p w14:paraId="04067021"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134" w:type="dxa"/>
            <w:shd w:val="clear" w:color="auto" w:fill="F2F2F2" w:themeFill="background1" w:themeFillShade="F2"/>
            <w:noWrap/>
          </w:tcPr>
          <w:p w14:paraId="06085312"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276" w:type="dxa"/>
            <w:shd w:val="clear" w:color="auto" w:fill="F2F2F2" w:themeFill="background1" w:themeFillShade="F2"/>
            <w:noWrap/>
          </w:tcPr>
          <w:p w14:paraId="08678C0B"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r>
      <w:tr w:rsidR="00332DAC" w:rsidRPr="00332DAC" w14:paraId="2CD11F1A"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bottom w:val="nil"/>
              <w:right w:val="single" w:sz="4" w:space="0" w:color="65C5B4" w:themeColor="accent1"/>
            </w:tcBorders>
            <w:shd w:val="clear" w:color="auto" w:fill="E0F3EF" w:themeFill="accent1" w:themeFillTint="33"/>
          </w:tcPr>
          <w:p w14:paraId="2326BA62" w14:textId="5D67F052" w:rsidR="00DC27B2" w:rsidRPr="00332DAC" w:rsidRDefault="00DC27B2" w:rsidP="1ADFD2FB">
            <w:pPr>
              <w:suppressAutoHyphens w:val="0"/>
              <w:spacing w:before="0" w:after="0" w:line="240" w:lineRule="auto"/>
              <w:rPr>
                <w:rFonts w:eastAsia="Times New Roman"/>
                <w:color w:val="auto"/>
                <w:sz w:val="20"/>
                <w:szCs w:val="20"/>
                <w:lang w:val="en-AU" w:eastAsia="en-AU"/>
              </w:rPr>
            </w:pPr>
            <w:bookmarkStart w:id="1" w:name="_Hlk110952861"/>
            <w:r w:rsidRPr="00332DAC">
              <w:rPr>
                <w:rFonts w:asciiTheme="minorHAnsi" w:eastAsia="Times New Roman" w:hAnsiTheme="minorHAnsi"/>
                <w:b/>
                <w:bCs/>
                <w:color w:val="auto"/>
                <w:sz w:val="20"/>
                <w:szCs w:val="20"/>
                <w:lang w:eastAsia="en-AU"/>
              </w:rPr>
              <w:t>Solomon Islands Infrastructure Program</w:t>
            </w:r>
          </w:p>
          <w:p w14:paraId="371F5B47" w14:textId="7AD8A54F" w:rsidR="00DC27B2" w:rsidRPr="00332DAC" w:rsidRDefault="00DC27B2" w:rsidP="00AB4CB7">
            <w:pPr>
              <w:spacing w:before="0" w:after="0" w:line="240" w:lineRule="auto"/>
              <w:rPr>
                <w:rFonts w:eastAsia="Times New Roman"/>
                <w:color w:val="auto"/>
                <w:sz w:val="20"/>
                <w:szCs w:val="20"/>
                <w:lang w:val="en-AU" w:eastAsia="en-AU"/>
              </w:rPr>
            </w:pPr>
          </w:p>
        </w:tc>
        <w:tc>
          <w:tcPr>
            <w:tcW w:w="1134" w:type="dxa"/>
            <w:tcBorders>
              <w:left w:val="single" w:sz="4" w:space="0" w:color="65C5B4" w:themeColor="accent1"/>
            </w:tcBorders>
            <w:shd w:val="clear" w:color="auto" w:fill="E0F3EF" w:themeFill="accent1" w:themeFillTint="33"/>
          </w:tcPr>
          <w:p w14:paraId="48FD7687" w14:textId="0D14786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2023</w:t>
            </w:r>
          </w:p>
        </w:tc>
        <w:tc>
          <w:tcPr>
            <w:tcW w:w="1276" w:type="dxa"/>
            <w:shd w:val="clear" w:color="auto" w:fill="E0F3EF" w:themeFill="accent1" w:themeFillTint="33"/>
            <w:noWrap/>
          </w:tcPr>
          <w:p w14:paraId="3EB8FAAD" w14:textId="560295EA"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c>
          <w:tcPr>
            <w:tcW w:w="1134" w:type="dxa"/>
            <w:shd w:val="clear" w:color="auto" w:fill="E0F3EF" w:themeFill="accent1" w:themeFillTint="33"/>
            <w:noWrap/>
          </w:tcPr>
          <w:p w14:paraId="59758C53" w14:textId="3C3E0D92"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276" w:type="dxa"/>
            <w:shd w:val="clear" w:color="auto" w:fill="E0F3EF" w:themeFill="accent1" w:themeFillTint="33"/>
            <w:noWrap/>
          </w:tcPr>
          <w:p w14:paraId="0D951EF4" w14:textId="339B7288"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r>
      <w:bookmarkEnd w:id="1"/>
      <w:tr w:rsidR="00332DAC" w:rsidRPr="00332DAC" w14:paraId="44BDD3DB"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E0F3EF" w:themeFill="accent1" w:themeFillTint="33"/>
            <w:noWrap/>
            <w:vAlign w:val="bottom"/>
            <w:hideMark/>
          </w:tcPr>
          <w:p w14:paraId="5BD22891" w14:textId="17154814" w:rsidR="00DC27B2" w:rsidRPr="00717517" w:rsidRDefault="00717517" w:rsidP="00AB4CB7">
            <w:pPr>
              <w:suppressAutoHyphens w:val="0"/>
              <w:spacing w:before="0" w:after="0" w:line="240" w:lineRule="auto"/>
              <w:rPr>
                <w:rFonts w:asciiTheme="minorHAnsi" w:eastAsia="Times New Roman" w:hAnsiTheme="minorHAnsi" w:cstheme="minorHAnsi"/>
                <w:color w:val="auto"/>
                <w:sz w:val="20"/>
                <w:szCs w:val="20"/>
                <w:lang w:val="en-AU" w:eastAsia="en-AU"/>
              </w:rPr>
            </w:pPr>
            <w:r w:rsidRPr="00717517">
              <w:rPr>
                <w:rFonts w:asciiTheme="minorHAnsi" w:eastAsia="Times New Roman" w:hAnsiTheme="minorHAnsi" w:cstheme="minorHAnsi"/>
                <w:color w:val="auto"/>
                <w:sz w:val="20"/>
                <w:szCs w:val="20"/>
                <w:lang w:val="en-AU" w:eastAsia="en-AU"/>
              </w:rPr>
              <w:t>Investment duration: 2019-2030; Budget: $250.0m</w:t>
            </w:r>
          </w:p>
        </w:tc>
        <w:tc>
          <w:tcPr>
            <w:tcW w:w="1134" w:type="dxa"/>
            <w:tcBorders>
              <w:left w:val="single" w:sz="4" w:space="0" w:color="65C5B4" w:themeColor="accent1"/>
            </w:tcBorders>
            <w:shd w:val="clear" w:color="auto" w:fill="E0F3EF" w:themeFill="accent1" w:themeFillTint="33"/>
            <w:hideMark/>
          </w:tcPr>
          <w:p w14:paraId="286B2D73"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E0F3EF" w:themeFill="accent1" w:themeFillTint="33"/>
            <w:noWrap/>
          </w:tcPr>
          <w:p w14:paraId="32BB6866"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5</w:t>
            </w:r>
          </w:p>
        </w:tc>
        <w:tc>
          <w:tcPr>
            <w:tcW w:w="1134" w:type="dxa"/>
            <w:shd w:val="clear" w:color="auto" w:fill="E0F3EF" w:themeFill="accent1" w:themeFillTint="33"/>
            <w:noWrap/>
          </w:tcPr>
          <w:p w14:paraId="5AA0DFCE"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276" w:type="dxa"/>
            <w:shd w:val="clear" w:color="auto" w:fill="E0F3EF" w:themeFill="accent1" w:themeFillTint="33"/>
            <w:noWrap/>
          </w:tcPr>
          <w:p w14:paraId="68B6B800"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r>
      <w:tr w:rsidR="00332DAC" w:rsidRPr="00332DAC" w14:paraId="62308C5D"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tcPr>
          <w:p w14:paraId="05BFF8BC" w14:textId="5F1290DB" w:rsidR="00DC27B2" w:rsidRPr="00332DAC" w:rsidRDefault="00DC27B2" w:rsidP="1ADFD2FB">
            <w:pPr>
              <w:suppressAutoHyphens w:val="0"/>
              <w:spacing w:before="0" w:after="0" w:line="240" w:lineRule="auto"/>
              <w:rPr>
                <w:rFonts w:eastAsia="Times New Roman"/>
                <w:color w:val="auto"/>
                <w:sz w:val="20"/>
                <w:szCs w:val="20"/>
                <w:lang w:val="en-AU" w:eastAsia="en-AU"/>
              </w:rPr>
            </w:pPr>
            <w:proofErr w:type="spellStart"/>
            <w:r w:rsidRPr="00332DAC">
              <w:rPr>
                <w:rFonts w:asciiTheme="minorHAnsi" w:eastAsia="Times New Roman" w:hAnsiTheme="minorHAnsi"/>
                <w:b/>
                <w:bCs/>
                <w:color w:val="auto"/>
                <w:sz w:val="20"/>
                <w:szCs w:val="20"/>
                <w:lang w:eastAsia="en-AU"/>
              </w:rPr>
              <w:t>Strongim</w:t>
            </w:r>
            <w:proofErr w:type="spellEnd"/>
            <w:r w:rsidRPr="00332DAC">
              <w:rPr>
                <w:rFonts w:asciiTheme="minorHAnsi" w:eastAsia="Times New Roman" w:hAnsiTheme="minorHAnsi"/>
                <w:b/>
                <w:bCs/>
                <w:color w:val="auto"/>
                <w:sz w:val="20"/>
                <w:szCs w:val="20"/>
                <w:lang w:eastAsia="en-AU"/>
              </w:rPr>
              <w:t xml:space="preserve"> </w:t>
            </w:r>
            <w:proofErr w:type="spellStart"/>
            <w:r w:rsidRPr="00332DAC">
              <w:rPr>
                <w:rFonts w:asciiTheme="minorHAnsi" w:eastAsia="Times New Roman" w:hAnsiTheme="minorHAnsi"/>
                <w:b/>
                <w:bCs/>
                <w:color w:val="auto"/>
                <w:sz w:val="20"/>
                <w:szCs w:val="20"/>
                <w:lang w:eastAsia="en-AU"/>
              </w:rPr>
              <w:t>Bisnis</w:t>
            </w:r>
            <w:proofErr w:type="spellEnd"/>
          </w:p>
          <w:p w14:paraId="766C0736" w14:textId="045B6C76" w:rsidR="00DC27B2" w:rsidRPr="00332DAC" w:rsidRDefault="00DC27B2" w:rsidP="1ADFD2FB">
            <w:pPr>
              <w:spacing w:before="0" w:after="0" w:line="240" w:lineRule="auto"/>
              <w:rPr>
                <w:rFonts w:eastAsia="Times New Roman"/>
                <w:color w:val="auto"/>
                <w:sz w:val="20"/>
                <w:szCs w:val="20"/>
                <w:lang w:val="en-AU" w:eastAsia="en-AU"/>
              </w:rPr>
            </w:pPr>
          </w:p>
        </w:tc>
        <w:tc>
          <w:tcPr>
            <w:tcW w:w="1134" w:type="dxa"/>
            <w:tcBorders>
              <w:left w:val="single" w:sz="4" w:space="0" w:color="65C5B4" w:themeColor="accent1"/>
            </w:tcBorders>
            <w:shd w:val="clear" w:color="auto" w:fill="F2F2F2" w:themeFill="background1" w:themeFillShade="F2"/>
          </w:tcPr>
          <w:p w14:paraId="295D8CB8" w14:textId="085282BB"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2023</w:t>
            </w:r>
          </w:p>
        </w:tc>
        <w:tc>
          <w:tcPr>
            <w:tcW w:w="1276" w:type="dxa"/>
            <w:shd w:val="clear" w:color="auto" w:fill="F2F2F2" w:themeFill="background1" w:themeFillShade="F2"/>
            <w:noWrap/>
          </w:tcPr>
          <w:p w14:paraId="04EC2A1E" w14:textId="5B312B9E"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c>
          <w:tcPr>
            <w:tcW w:w="1134" w:type="dxa"/>
            <w:shd w:val="clear" w:color="auto" w:fill="F2F2F2" w:themeFill="background1" w:themeFillShade="F2"/>
            <w:noWrap/>
          </w:tcPr>
          <w:p w14:paraId="73186802" w14:textId="08632DE2"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c>
          <w:tcPr>
            <w:tcW w:w="1276" w:type="dxa"/>
            <w:shd w:val="clear" w:color="auto" w:fill="F2F2F2" w:themeFill="background1" w:themeFillShade="F2"/>
            <w:noWrap/>
          </w:tcPr>
          <w:p w14:paraId="0A5B0DE4" w14:textId="5FE3F6A4"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r>
      <w:tr w:rsidR="00332DAC" w:rsidRPr="00332DAC" w14:paraId="047D5659"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F2F2F2" w:themeFill="background1" w:themeFillShade="F2"/>
            <w:noWrap/>
            <w:vAlign w:val="bottom"/>
            <w:hideMark/>
          </w:tcPr>
          <w:p w14:paraId="7FADC821" w14:textId="374ECDB4" w:rsidR="00DC27B2" w:rsidRPr="00BD7AA3" w:rsidRDefault="00BD7AA3" w:rsidP="1ADFD2FB">
            <w:pPr>
              <w:suppressAutoHyphens w:val="0"/>
              <w:spacing w:before="0" w:after="0" w:line="240" w:lineRule="auto"/>
              <w:rPr>
                <w:rFonts w:asciiTheme="minorHAnsi" w:eastAsia="Times New Roman" w:hAnsiTheme="minorHAnsi"/>
                <w:color w:val="auto"/>
                <w:sz w:val="20"/>
                <w:szCs w:val="20"/>
                <w:lang w:val="en-AU" w:eastAsia="en-AU"/>
              </w:rPr>
            </w:pPr>
            <w:r w:rsidRPr="00BD7AA3">
              <w:rPr>
                <w:rFonts w:asciiTheme="minorHAnsi" w:eastAsia="Times New Roman" w:hAnsiTheme="minorHAnsi"/>
                <w:color w:val="auto"/>
                <w:sz w:val="20"/>
                <w:szCs w:val="20"/>
                <w:lang w:val="en-AU" w:eastAsia="en-AU"/>
              </w:rPr>
              <w:t>Investment duration: 2017-23; Budget: $18.0m</w:t>
            </w:r>
          </w:p>
        </w:tc>
        <w:tc>
          <w:tcPr>
            <w:tcW w:w="1134" w:type="dxa"/>
            <w:tcBorders>
              <w:left w:val="single" w:sz="4" w:space="0" w:color="65C5B4" w:themeColor="accent1"/>
            </w:tcBorders>
            <w:shd w:val="clear" w:color="auto" w:fill="F2F2F2" w:themeFill="background1" w:themeFillShade="F2"/>
            <w:hideMark/>
          </w:tcPr>
          <w:p w14:paraId="48E38CDB"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F2F2F2" w:themeFill="background1" w:themeFillShade="F2"/>
            <w:noWrap/>
          </w:tcPr>
          <w:p w14:paraId="5C9F897F"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5</w:t>
            </w:r>
          </w:p>
        </w:tc>
        <w:tc>
          <w:tcPr>
            <w:tcW w:w="1134" w:type="dxa"/>
            <w:shd w:val="clear" w:color="auto" w:fill="F2F2F2" w:themeFill="background1" w:themeFillShade="F2"/>
            <w:noWrap/>
          </w:tcPr>
          <w:p w14:paraId="6F6AA21A"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5</w:t>
            </w:r>
          </w:p>
        </w:tc>
        <w:tc>
          <w:tcPr>
            <w:tcW w:w="1276" w:type="dxa"/>
            <w:shd w:val="clear" w:color="auto" w:fill="F2F2F2" w:themeFill="background1" w:themeFillShade="F2"/>
            <w:noWrap/>
          </w:tcPr>
          <w:p w14:paraId="68D9BEE5"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5</w:t>
            </w:r>
          </w:p>
        </w:tc>
      </w:tr>
      <w:tr w:rsidR="00332DAC" w:rsidRPr="00332DAC" w14:paraId="780FFB79"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E0F3EF" w:themeFill="accent1" w:themeFillTint="33"/>
            <w:vAlign w:val="bottom"/>
          </w:tcPr>
          <w:p w14:paraId="3B3B5BDE" w14:textId="05313662" w:rsidR="00DC27B2" w:rsidRPr="00FE7B31" w:rsidRDefault="00DC27B2" w:rsidP="00FE7B31">
            <w:pPr>
              <w:suppressAutoHyphens w:val="0"/>
              <w:spacing w:before="0" w:after="0" w:line="240" w:lineRule="auto"/>
              <w:rPr>
                <w:rFonts w:eastAsia="Times New Roman"/>
                <w:color w:val="auto"/>
                <w:sz w:val="20"/>
                <w:szCs w:val="20"/>
                <w:lang w:val="en-AU" w:eastAsia="en-AU"/>
              </w:rPr>
            </w:pPr>
            <w:r w:rsidRPr="00332DAC">
              <w:rPr>
                <w:rFonts w:asciiTheme="minorHAnsi" w:eastAsia="Times New Roman" w:hAnsiTheme="minorHAnsi"/>
                <w:b/>
                <w:bCs/>
                <w:color w:val="auto"/>
                <w:sz w:val="20"/>
                <w:szCs w:val="20"/>
                <w:lang w:eastAsia="en-AU"/>
              </w:rPr>
              <w:t>Australia’s Solomon Islands Resource Fac</w:t>
            </w:r>
            <w:r w:rsidR="00786394" w:rsidRPr="00332DAC">
              <w:rPr>
                <w:rFonts w:asciiTheme="minorHAnsi" w:eastAsia="Times New Roman" w:hAnsiTheme="minorHAnsi"/>
                <w:b/>
                <w:bCs/>
                <w:color w:val="auto"/>
                <w:sz w:val="20"/>
                <w:szCs w:val="20"/>
                <w:lang w:eastAsia="en-AU"/>
              </w:rPr>
              <w:t>ility</w:t>
            </w:r>
          </w:p>
          <w:p w14:paraId="32AA53B0" w14:textId="13583D7B" w:rsidR="00DC27B2" w:rsidRPr="00332DAC" w:rsidRDefault="00DC27B2" w:rsidP="00AB4CB7">
            <w:pPr>
              <w:spacing w:before="0" w:after="0" w:line="240" w:lineRule="auto"/>
              <w:rPr>
                <w:rFonts w:eastAsia="Times New Roman"/>
                <w:color w:val="auto"/>
                <w:sz w:val="20"/>
                <w:szCs w:val="20"/>
                <w:lang w:val="en-AU" w:eastAsia="en-AU"/>
              </w:rPr>
            </w:pPr>
          </w:p>
        </w:tc>
        <w:tc>
          <w:tcPr>
            <w:tcW w:w="1134" w:type="dxa"/>
            <w:tcBorders>
              <w:left w:val="single" w:sz="4" w:space="0" w:color="65C5B4" w:themeColor="accent1"/>
            </w:tcBorders>
            <w:shd w:val="clear" w:color="auto" w:fill="E0F3EF" w:themeFill="accent1" w:themeFillTint="33"/>
          </w:tcPr>
          <w:p w14:paraId="4B594BB9" w14:textId="4AE0741F"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2023</w:t>
            </w:r>
          </w:p>
        </w:tc>
        <w:tc>
          <w:tcPr>
            <w:tcW w:w="1276" w:type="dxa"/>
            <w:shd w:val="clear" w:color="auto" w:fill="E0F3EF" w:themeFill="accent1" w:themeFillTint="33"/>
            <w:noWrap/>
          </w:tcPr>
          <w:p w14:paraId="3BBAC84E" w14:textId="6D8592BC"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4</w:t>
            </w:r>
          </w:p>
        </w:tc>
        <w:tc>
          <w:tcPr>
            <w:tcW w:w="1134" w:type="dxa"/>
            <w:shd w:val="clear" w:color="auto" w:fill="E0F3EF" w:themeFill="accent1" w:themeFillTint="33"/>
            <w:noWrap/>
          </w:tcPr>
          <w:p w14:paraId="07A338D9" w14:textId="385B3381"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5</w:t>
            </w:r>
          </w:p>
        </w:tc>
        <w:tc>
          <w:tcPr>
            <w:tcW w:w="1276" w:type="dxa"/>
            <w:shd w:val="clear" w:color="auto" w:fill="E0F3EF" w:themeFill="accent1" w:themeFillTint="33"/>
            <w:noWrap/>
          </w:tcPr>
          <w:p w14:paraId="1BC88E83" w14:textId="1DD3A36C"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AU" w:eastAsia="en-AU"/>
              </w:rPr>
            </w:pPr>
            <w:r w:rsidRPr="00332DAC">
              <w:rPr>
                <w:rFonts w:eastAsia="Times New Roman" w:cstheme="minorHAnsi"/>
                <w:color w:val="auto"/>
                <w:sz w:val="20"/>
                <w:szCs w:val="20"/>
                <w:lang w:val="en-AU" w:eastAsia="en-AU"/>
              </w:rPr>
              <w:t>3</w:t>
            </w:r>
          </w:p>
        </w:tc>
      </w:tr>
      <w:tr w:rsidR="00332DAC" w:rsidRPr="00332DAC" w14:paraId="5A5D0301"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E0F3EF" w:themeFill="accent1" w:themeFillTint="33"/>
            <w:noWrap/>
          </w:tcPr>
          <w:p w14:paraId="53D02BE0" w14:textId="77777777" w:rsidR="007243E4" w:rsidRPr="00332DAC" w:rsidRDefault="007243E4" w:rsidP="007243E4">
            <w:pPr>
              <w:spacing w:before="0" w:after="0" w:line="240" w:lineRule="auto"/>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Investment duration: 2020-25; Budget: $12.0m</w:t>
            </w:r>
          </w:p>
          <w:p w14:paraId="191E5888" w14:textId="3EDA9EA0" w:rsidR="00DC27B2" w:rsidRPr="00332DAC" w:rsidRDefault="00DC27B2" w:rsidP="00AB4CB7">
            <w:pPr>
              <w:suppressAutoHyphens w:val="0"/>
              <w:spacing w:before="0" w:after="0" w:line="240" w:lineRule="auto"/>
              <w:rPr>
                <w:rFonts w:asciiTheme="minorHAnsi" w:eastAsia="Times New Roman" w:hAnsiTheme="minorHAnsi" w:cstheme="minorHAnsi"/>
                <w:b/>
                <w:bCs/>
                <w:color w:val="auto"/>
                <w:sz w:val="20"/>
                <w:szCs w:val="20"/>
                <w:lang w:val="en-AU" w:eastAsia="en-AU"/>
              </w:rPr>
            </w:pPr>
          </w:p>
        </w:tc>
        <w:tc>
          <w:tcPr>
            <w:tcW w:w="1134" w:type="dxa"/>
            <w:tcBorders>
              <w:left w:val="single" w:sz="4" w:space="0" w:color="65C5B4" w:themeColor="accent1"/>
            </w:tcBorders>
            <w:shd w:val="clear" w:color="auto" w:fill="E0F3EF" w:themeFill="accent1" w:themeFillTint="33"/>
            <w:hideMark/>
          </w:tcPr>
          <w:p w14:paraId="3C371BDE"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2022</w:t>
            </w:r>
          </w:p>
        </w:tc>
        <w:tc>
          <w:tcPr>
            <w:tcW w:w="1276" w:type="dxa"/>
            <w:shd w:val="clear" w:color="auto" w:fill="E0F3EF" w:themeFill="accent1" w:themeFillTint="33"/>
            <w:noWrap/>
          </w:tcPr>
          <w:p w14:paraId="2934F1E9"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134" w:type="dxa"/>
            <w:shd w:val="clear" w:color="auto" w:fill="E0F3EF" w:themeFill="accent1" w:themeFillTint="33"/>
            <w:noWrap/>
          </w:tcPr>
          <w:p w14:paraId="6F313E73"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c>
          <w:tcPr>
            <w:tcW w:w="1276" w:type="dxa"/>
            <w:shd w:val="clear" w:color="auto" w:fill="E0F3EF" w:themeFill="accent1" w:themeFillTint="33"/>
            <w:noWrap/>
          </w:tcPr>
          <w:p w14:paraId="4F35B491" w14:textId="77777777" w:rsidR="00DC27B2" w:rsidRPr="00332DAC" w:rsidRDefault="00DC27B2" w:rsidP="00AB4CB7">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val="en-AU" w:eastAsia="en-AU"/>
              </w:rPr>
              <w:t>4</w:t>
            </w:r>
          </w:p>
        </w:tc>
      </w:tr>
      <w:tr w:rsidR="00332DAC" w:rsidRPr="00332DAC" w14:paraId="25E51324" w14:textId="77777777" w:rsidTr="000269D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tcPr>
          <w:p w14:paraId="1784D546" w14:textId="66D451F2" w:rsidR="00DC27B2" w:rsidRPr="00332DAC" w:rsidRDefault="00DC27B2" w:rsidP="1ADFD2FB">
            <w:pPr>
              <w:spacing w:before="0" w:after="0" w:line="240" w:lineRule="auto"/>
              <w:rPr>
                <w:rFonts w:asciiTheme="minorHAnsi" w:eastAsia="Times New Roman" w:hAnsiTheme="minorHAnsi"/>
                <w:b/>
                <w:bCs/>
                <w:color w:val="auto"/>
                <w:sz w:val="20"/>
                <w:szCs w:val="20"/>
                <w:lang w:eastAsia="en-AU"/>
              </w:rPr>
            </w:pPr>
            <w:r w:rsidRPr="00332DAC">
              <w:rPr>
                <w:rFonts w:asciiTheme="minorHAnsi" w:eastAsia="Times New Roman" w:hAnsiTheme="minorHAnsi"/>
                <w:b/>
                <w:bCs/>
                <w:color w:val="auto"/>
                <w:sz w:val="20"/>
                <w:szCs w:val="20"/>
                <w:lang w:eastAsia="en-AU"/>
              </w:rPr>
              <w:t>Solomon Islands Disaster Management and Climate Resilience</w:t>
            </w:r>
          </w:p>
        </w:tc>
        <w:tc>
          <w:tcPr>
            <w:tcW w:w="1134" w:type="dxa"/>
            <w:tcBorders>
              <w:left w:val="single" w:sz="4" w:space="0" w:color="65C5B4" w:themeColor="accent1"/>
            </w:tcBorders>
            <w:shd w:val="clear" w:color="auto" w:fill="F2F2F2" w:themeFill="background1" w:themeFillShade="F2"/>
            <w:hideMark/>
          </w:tcPr>
          <w:p w14:paraId="6AB8D4DE" w14:textId="085282BB"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2023</w:t>
            </w:r>
          </w:p>
        </w:tc>
        <w:tc>
          <w:tcPr>
            <w:tcW w:w="1276" w:type="dxa"/>
            <w:shd w:val="clear" w:color="auto" w:fill="F2F2F2" w:themeFill="background1" w:themeFillShade="F2"/>
            <w:noWrap/>
          </w:tcPr>
          <w:p w14:paraId="5102F70C" w14:textId="5B312B9E"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5</w:t>
            </w:r>
          </w:p>
        </w:tc>
        <w:tc>
          <w:tcPr>
            <w:tcW w:w="1134" w:type="dxa"/>
            <w:shd w:val="clear" w:color="auto" w:fill="F2F2F2" w:themeFill="background1" w:themeFillShade="F2"/>
            <w:noWrap/>
          </w:tcPr>
          <w:p w14:paraId="6B477B99" w14:textId="08632DE2"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5</w:t>
            </w:r>
          </w:p>
        </w:tc>
        <w:tc>
          <w:tcPr>
            <w:tcW w:w="1276" w:type="dxa"/>
            <w:shd w:val="clear" w:color="auto" w:fill="F2F2F2" w:themeFill="background1" w:themeFillShade="F2"/>
            <w:noWrap/>
          </w:tcPr>
          <w:p w14:paraId="3EF0AD9C" w14:textId="215C234A"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n-AU" w:eastAsia="en-AU"/>
              </w:rPr>
            </w:pPr>
            <w:r w:rsidRPr="00332DAC">
              <w:rPr>
                <w:rFonts w:eastAsia="Times New Roman"/>
                <w:color w:val="auto"/>
                <w:sz w:val="20"/>
                <w:szCs w:val="20"/>
                <w:lang w:val="en-AU" w:eastAsia="en-AU"/>
              </w:rPr>
              <w:t>3</w:t>
            </w:r>
          </w:p>
        </w:tc>
      </w:tr>
      <w:tr w:rsidR="00332DAC" w:rsidRPr="00332DAC" w14:paraId="03CBD523" w14:textId="77777777" w:rsidTr="000269D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F2F2F2" w:themeFill="background1" w:themeFillShade="F2"/>
            <w:vAlign w:val="bottom"/>
          </w:tcPr>
          <w:p w14:paraId="6CFF8C9C" w14:textId="53D84F06" w:rsidR="00DC27B2" w:rsidRPr="009D7467" w:rsidRDefault="00DB535E" w:rsidP="009D7467">
            <w:pPr>
              <w:suppressAutoHyphens w:val="0"/>
              <w:spacing w:before="0" w:after="0" w:line="240" w:lineRule="auto"/>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Investment duration: 2020-23; Budget: $6.6m</w:t>
            </w:r>
          </w:p>
        </w:tc>
        <w:tc>
          <w:tcPr>
            <w:tcW w:w="1134" w:type="dxa"/>
            <w:tcBorders>
              <w:left w:val="single" w:sz="4" w:space="0" w:color="65C5B4" w:themeColor="accent1"/>
            </w:tcBorders>
            <w:shd w:val="clear" w:color="auto" w:fill="F2F2F2" w:themeFill="background1" w:themeFillShade="F2"/>
            <w:hideMark/>
          </w:tcPr>
          <w:p w14:paraId="30A2E636" w14:textId="77777777"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2022</w:t>
            </w:r>
          </w:p>
        </w:tc>
        <w:tc>
          <w:tcPr>
            <w:tcW w:w="1276" w:type="dxa"/>
            <w:shd w:val="clear" w:color="auto" w:fill="F2F2F2" w:themeFill="background1" w:themeFillShade="F2"/>
            <w:noWrap/>
          </w:tcPr>
          <w:p w14:paraId="04C9B3A4" w14:textId="20E0D50D"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n/a</w:t>
            </w:r>
          </w:p>
        </w:tc>
        <w:tc>
          <w:tcPr>
            <w:tcW w:w="1134" w:type="dxa"/>
            <w:shd w:val="clear" w:color="auto" w:fill="F2F2F2" w:themeFill="background1" w:themeFillShade="F2"/>
            <w:noWrap/>
          </w:tcPr>
          <w:p w14:paraId="7ED164AD" w14:textId="090F63F8"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n/a</w:t>
            </w:r>
          </w:p>
        </w:tc>
        <w:tc>
          <w:tcPr>
            <w:tcW w:w="1276" w:type="dxa"/>
            <w:shd w:val="clear" w:color="auto" w:fill="F2F2F2" w:themeFill="background1" w:themeFillShade="F2"/>
            <w:noWrap/>
          </w:tcPr>
          <w:p w14:paraId="1C72D380" w14:textId="4A8BF66F" w:rsidR="00DC27B2" w:rsidRPr="00332DAC" w:rsidRDefault="00DC27B2" w:rsidP="1ADFD2F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n/a</w:t>
            </w:r>
          </w:p>
        </w:tc>
      </w:tr>
    </w:tbl>
    <w:p w14:paraId="33152B35" w14:textId="77777777" w:rsidR="00054567" w:rsidRDefault="00054567" w:rsidP="00054567">
      <w:pPr>
        <w:pStyle w:val="Heading3"/>
      </w:pPr>
    </w:p>
    <w:p w14:paraId="3800A196" w14:textId="7225E6D3" w:rsidR="00E221FA" w:rsidRPr="008B3713" w:rsidRDefault="00E221FA" w:rsidP="00054567">
      <w:pPr>
        <w:pStyle w:val="Heading3"/>
      </w:pPr>
      <w:r w:rsidRPr="008B3713">
        <w:t>Final Investment Performance ratings</w:t>
      </w:r>
    </w:p>
    <w:tbl>
      <w:tblPr>
        <w:tblStyle w:val="DFATTable1"/>
        <w:tblW w:w="10627"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ayout w:type="fixed"/>
        <w:tblLook w:val="04A0" w:firstRow="1" w:lastRow="0" w:firstColumn="1" w:lastColumn="0" w:noHBand="0" w:noVBand="1"/>
        <w:tblCaption w:val="Supporting Investment Performance"/>
        <w:tblDescription w:val="Development Program Investment details, name, duration, budget and performance ratings for 2020 and 2021 for Effectiveness, Efficiency, Gender Equality; Risk and Safeguards "/>
      </w:tblPr>
      <w:tblGrid>
        <w:gridCol w:w="5807"/>
        <w:gridCol w:w="1225"/>
        <w:gridCol w:w="1185"/>
        <w:gridCol w:w="1134"/>
        <w:gridCol w:w="1276"/>
      </w:tblGrid>
      <w:tr w:rsidR="00332DAC" w:rsidRPr="00332DAC" w14:paraId="1C7DF276" w14:textId="77777777" w:rsidTr="000269DC">
        <w:trPr>
          <w:cnfStyle w:val="100000000000" w:firstRow="1" w:lastRow="0" w:firstColumn="0" w:lastColumn="0" w:oddVBand="0" w:evenVBand="0" w:oddHBand="0" w:evenHBand="0" w:firstRowFirstColumn="0" w:firstRowLastColumn="0" w:lastRowFirstColumn="0" w:lastRowLastColumn="0"/>
          <w:trHeight w:hRule="exact" w:val="573"/>
          <w:tblHeader/>
        </w:trPr>
        <w:tc>
          <w:tcPr>
            <w:cnfStyle w:val="001000000000" w:firstRow="0" w:lastRow="0" w:firstColumn="1" w:lastColumn="0" w:oddVBand="0" w:evenVBand="0" w:oddHBand="0" w:evenHBand="0" w:firstRowFirstColumn="0" w:firstRowLastColumn="0" w:lastRowFirstColumn="0" w:lastRowLastColumn="0"/>
            <w:tcW w:w="5807" w:type="dxa"/>
            <w:shd w:val="clear" w:color="auto" w:fill="A2DCD1" w:themeFill="accent1" w:themeFillTint="99"/>
            <w:noWrap/>
            <w:hideMark/>
          </w:tcPr>
          <w:p w14:paraId="5CB2E247" w14:textId="77777777" w:rsidR="00D7310B" w:rsidRPr="00332DAC" w:rsidRDefault="00D7310B">
            <w:pPr>
              <w:suppressAutoHyphens w:val="0"/>
              <w:spacing w:before="0" w:after="0" w:line="240" w:lineRule="auto"/>
              <w:jc w:val="center"/>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Investment Details</w:t>
            </w:r>
          </w:p>
        </w:tc>
        <w:tc>
          <w:tcPr>
            <w:tcW w:w="1225" w:type="dxa"/>
            <w:shd w:val="clear" w:color="auto" w:fill="A2DCD1" w:themeFill="accent1" w:themeFillTint="99"/>
            <w:noWrap/>
            <w:hideMark/>
          </w:tcPr>
          <w:p w14:paraId="559F947C" w14:textId="77777777" w:rsidR="00D7310B" w:rsidRPr="00332DAC" w:rsidRDefault="00D7310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Year</w:t>
            </w:r>
          </w:p>
        </w:tc>
        <w:tc>
          <w:tcPr>
            <w:tcW w:w="1185" w:type="dxa"/>
            <w:shd w:val="clear" w:color="auto" w:fill="A2DCD1" w:themeFill="accent1" w:themeFillTint="99"/>
            <w:noWrap/>
            <w:hideMark/>
          </w:tcPr>
          <w:p w14:paraId="661038F4" w14:textId="77777777" w:rsidR="00D7310B" w:rsidRPr="00332DAC" w:rsidRDefault="00D7310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Effectiveness</w:t>
            </w:r>
          </w:p>
        </w:tc>
        <w:tc>
          <w:tcPr>
            <w:tcW w:w="1134" w:type="dxa"/>
            <w:shd w:val="clear" w:color="auto" w:fill="A2DCD1" w:themeFill="accent1" w:themeFillTint="99"/>
            <w:noWrap/>
            <w:hideMark/>
          </w:tcPr>
          <w:p w14:paraId="1765D5AA" w14:textId="77777777" w:rsidR="00D7310B" w:rsidRPr="00332DAC" w:rsidRDefault="00D7310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Efficiency</w:t>
            </w:r>
          </w:p>
        </w:tc>
        <w:tc>
          <w:tcPr>
            <w:tcW w:w="1276" w:type="dxa"/>
            <w:shd w:val="clear" w:color="auto" w:fill="A2DCD1" w:themeFill="accent1" w:themeFillTint="99"/>
            <w:noWrap/>
            <w:hideMark/>
          </w:tcPr>
          <w:p w14:paraId="38C29940" w14:textId="77777777" w:rsidR="00D7310B" w:rsidRPr="00332DAC" w:rsidRDefault="00D7310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sz w:val="20"/>
                <w:szCs w:val="20"/>
                <w:lang w:val="en-AU" w:eastAsia="en-AU"/>
              </w:rPr>
            </w:pPr>
            <w:r w:rsidRPr="00332DAC">
              <w:rPr>
                <w:rFonts w:asciiTheme="minorHAnsi" w:eastAsia="Times New Roman" w:hAnsiTheme="minorHAnsi" w:cstheme="minorHAnsi"/>
                <w:b/>
                <w:bCs/>
                <w:color w:val="auto"/>
                <w:sz w:val="20"/>
                <w:szCs w:val="20"/>
                <w:lang w:val="en-AU" w:eastAsia="en-AU"/>
              </w:rPr>
              <w:t>Gender Equality</w:t>
            </w:r>
          </w:p>
        </w:tc>
      </w:tr>
      <w:tr w:rsidR="00332DAC" w:rsidRPr="00332DAC" w14:paraId="5FCAA806"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F2F2F2" w:themeFill="background1" w:themeFillShade="F2"/>
            <w:vAlign w:val="bottom"/>
          </w:tcPr>
          <w:p w14:paraId="44BF558C" w14:textId="6617DAD6" w:rsidR="00D947AC" w:rsidRPr="00332DAC" w:rsidRDefault="00D947AC" w:rsidP="1ADFD2FB">
            <w:pPr>
              <w:spacing w:before="0" w:after="0" w:line="240" w:lineRule="auto"/>
              <w:rPr>
                <w:rFonts w:asciiTheme="minorHAnsi" w:eastAsia="Times New Roman" w:hAnsiTheme="minorHAnsi"/>
                <w:b/>
                <w:bCs/>
                <w:color w:val="auto"/>
                <w:sz w:val="20"/>
                <w:szCs w:val="20"/>
                <w:lang w:eastAsia="en-AU"/>
              </w:rPr>
            </w:pPr>
            <w:r w:rsidRPr="00332DAC">
              <w:rPr>
                <w:rFonts w:asciiTheme="minorHAnsi" w:eastAsia="Times New Roman" w:hAnsiTheme="minorHAnsi"/>
                <w:b/>
                <w:bCs/>
                <w:color w:val="auto"/>
                <w:sz w:val="20"/>
                <w:szCs w:val="20"/>
                <w:lang w:eastAsia="en-AU"/>
              </w:rPr>
              <w:t>Solomon Islands Governance Program</w:t>
            </w:r>
            <w:r w:rsidR="009D63A4" w:rsidRPr="00332DAC">
              <w:rPr>
                <w:rFonts w:asciiTheme="minorHAnsi" w:eastAsia="Times New Roman" w:hAnsiTheme="minorHAnsi"/>
                <w:b/>
                <w:bCs/>
                <w:color w:val="auto"/>
                <w:sz w:val="20"/>
                <w:szCs w:val="20"/>
                <w:lang w:eastAsia="en-AU"/>
              </w:rPr>
              <w:t xml:space="preserve"> 2017-2021</w:t>
            </w:r>
          </w:p>
          <w:p w14:paraId="26CB53EA" w14:textId="5C1973E3" w:rsidR="00D947AC" w:rsidRPr="00332DAC" w:rsidRDefault="00D947AC" w:rsidP="1ADFD2FB">
            <w:pPr>
              <w:spacing w:before="0" w:after="0" w:line="240" w:lineRule="auto"/>
              <w:rPr>
                <w:rFonts w:asciiTheme="minorHAnsi" w:eastAsia="Times New Roman" w:hAnsiTheme="minorHAnsi"/>
                <w:b/>
                <w:bCs/>
                <w:color w:val="auto"/>
                <w:sz w:val="20"/>
                <w:szCs w:val="20"/>
                <w:lang w:eastAsia="en-AU"/>
              </w:rPr>
            </w:pPr>
          </w:p>
        </w:tc>
        <w:tc>
          <w:tcPr>
            <w:tcW w:w="1225" w:type="dxa"/>
            <w:tcBorders>
              <w:left w:val="single" w:sz="4" w:space="0" w:color="65C5B4" w:themeColor="accent1"/>
            </w:tcBorders>
            <w:shd w:val="clear" w:color="auto" w:fill="F2F2F2" w:themeFill="background1" w:themeFillShade="F2"/>
            <w:hideMark/>
          </w:tcPr>
          <w:p w14:paraId="615EF094" w14:textId="01E9FDA8" w:rsidR="00D947AC" w:rsidRPr="00332DAC" w:rsidRDefault="00D947AC">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sidRPr="00332DAC">
              <w:rPr>
                <w:rFonts w:asciiTheme="minorHAnsi" w:eastAsia="Times New Roman" w:hAnsiTheme="minorHAnsi" w:cstheme="minorHAnsi"/>
                <w:color w:val="auto"/>
                <w:sz w:val="20"/>
                <w:szCs w:val="20"/>
                <w:lang w:eastAsia="en-AU"/>
              </w:rPr>
              <w:t>2023 FIMR</w:t>
            </w:r>
          </w:p>
        </w:tc>
        <w:tc>
          <w:tcPr>
            <w:tcW w:w="1185" w:type="dxa"/>
            <w:shd w:val="clear" w:color="auto" w:fill="F2F2F2" w:themeFill="background1" w:themeFillShade="F2"/>
            <w:noWrap/>
          </w:tcPr>
          <w:p w14:paraId="12403CED" w14:textId="175C09C5"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3</w:t>
            </w:r>
          </w:p>
        </w:tc>
        <w:tc>
          <w:tcPr>
            <w:tcW w:w="1134" w:type="dxa"/>
            <w:shd w:val="clear" w:color="auto" w:fill="F2F2F2" w:themeFill="background1" w:themeFillShade="F2"/>
            <w:noWrap/>
          </w:tcPr>
          <w:p w14:paraId="456E1DCC" w14:textId="4038ECDB"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3</w:t>
            </w:r>
          </w:p>
        </w:tc>
        <w:tc>
          <w:tcPr>
            <w:tcW w:w="1276" w:type="dxa"/>
            <w:shd w:val="clear" w:color="auto" w:fill="F2F2F2" w:themeFill="background1" w:themeFillShade="F2"/>
            <w:noWrap/>
          </w:tcPr>
          <w:p w14:paraId="2C7A02D0" w14:textId="4925042D"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3</w:t>
            </w:r>
          </w:p>
        </w:tc>
      </w:tr>
      <w:tr w:rsidR="00332DAC" w:rsidRPr="00332DAC" w14:paraId="48A88951" w14:textId="77777777" w:rsidTr="000269DC">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F2F2F2" w:themeFill="background1" w:themeFillShade="F2"/>
          </w:tcPr>
          <w:p w14:paraId="7C9CCC70" w14:textId="7261D7DD" w:rsidR="00D947AC" w:rsidRPr="00332DAC" w:rsidRDefault="00586F29" w:rsidP="00586F29">
            <w:pPr>
              <w:suppressAutoHyphens w:val="0"/>
              <w:spacing w:before="0" w:after="0" w:line="240" w:lineRule="auto"/>
              <w:rPr>
                <w:rFonts w:asciiTheme="minorHAnsi" w:eastAsia="Times New Roman" w:hAnsiTheme="minorHAnsi"/>
                <w:color w:val="auto"/>
                <w:sz w:val="20"/>
                <w:szCs w:val="20"/>
                <w:lang w:val="en-AU" w:eastAsia="en-AU"/>
              </w:rPr>
            </w:pPr>
            <w:r w:rsidRPr="00586F29">
              <w:rPr>
                <w:rFonts w:asciiTheme="minorHAnsi" w:eastAsia="Times New Roman" w:hAnsiTheme="minorHAnsi"/>
                <w:color w:val="auto"/>
                <w:sz w:val="20"/>
                <w:szCs w:val="20"/>
                <w:lang w:val="en-AU" w:eastAsia="en-AU"/>
              </w:rPr>
              <w:t>Investment duration: 2017-22; Budget: $62.9m</w:t>
            </w:r>
          </w:p>
        </w:tc>
        <w:tc>
          <w:tcPr>
            <w:tcW w:w="1225" w:type="dxa"/>
            <w:tcBorders>
              <w:left w:val="single" w:sz="4" w:space="0" w:color="65C5B4" w:themeColor="accent1"/>
            </w:tcBorders>
            <w:shd w:val="clear" w:color="auto" w:fill="F2F2F2" w:themeFill="background1" w:themeFillShade="F2"/>
            <w:hideMark/>
          </w:tcPr>
          <w:p w14:paraId="265BD1DC" w14:textId="20AA3CAC" w:rsidR="00D947AC" w:rsidRPr="00332DAC" w:rsidRDefault="008B3713" w:rsidP="008B3713">
            <w:pPr>
              <w:suppressAutoHyphens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val="en-AU" w:eastAsia="en-AU"/>
              </w:rPr>
            </w:pPr>
            <w:r>
              <w:rPr>
                <w:rFonts w:asciiTheme="minorHAnsi" w:eastAsia="Times New Roman" w:hAnsiTheme="minorHAnsi" w:cstheme="minorHAnsi"/>
                <w:color w:val="auto"/>
                <w:sz w:val="20"/>
                <w:szCs w:val="20"/>
                <w:lang w:eastAsia="en-AU"/>
              </w:rPr>
              <w:t xml:space="preserve">  </w:t>
            </w:r>
            <w:r w:rsidR="00D947AC" w:rsidRPr="00332DAC">
              <w:rPr>
                <w:rFonts w:asciiTheme="minorHAnsi" w:eastAsia="Times New Roman" w:hAnsiTheme="minorHAnsi" w:cstheme="minorHAnsi"/>
                <w:color w:val="auto"/>
                <w:sz w:val="20"/>
                <w:szCs w:val="20"/>
                <w:lang w:eastAsia="en-AU"/>
              </w:rPr>
              <w:t>2022 IMR</w:t>
            </w:r>
          </w:p>
        </w:tc>
        <w:tc>
          <w:tcPr>
            <w:tcW w:w="1185" w:type="dxa"/>
            <w:shd w:val="clear" w:color="auto" w:fill="F2F2F2" w:themeFill="background1" w:themeFillShade="F2"/>
            <w:noWrap/>
          </w:tcPr>
          <w:p w14:paraId="2B8EB16D" w14:textId="341E5CB2"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4</w:t>
            </w:r>
          </w:p>
        </w:tc>
        <w:tc>
          <w:tcPr>
            <w:tcW w:w="1134" w:type="dxa"/>
            <w:shd w:val="clear" w:color="auto" w:fill="F2F2F2" w:themeFill="background1" w:themeFillShade="F2"/>
            <w:noWrap/>
          </w:tcPr>
          <w:p w14:paraId="1C396789" w14:textId="4F4A7A3C"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4</w:t>
            </w:r>
          </w:p>
        </w:tc>
        <w:tc>
          <w:tcPr>
            <w:tcW w:w="1276" w:type="dxa"/>
            <w:shd w:val="clear" w:color="auto" w:fill="F2F2F2" w:themeFill="background1" w:themeFillShade="F2"/>
            <w:noWrap/>
          </w:tcPr>
          <w:p w14:paraId="6145AA71" w14:textId="73CC40E9" w:rsidR="00D947AC" w:rsidRPr="00332DAC" w:rsidRDefault="00D947AC" w:rsidP="11FAE953">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val="en-AU" w:eastAsia="en-AU"/>
              </w:rPr>
              <w:t>3</w:t>
            </w:r>
          </w:p>
        </w:tc>
      </w:tr>
      <w:tr w:rsidR="00332DAC" w:rsidRPr="00332DAC" w14:paraId="268CF947" w14:textId="77777777" w:rsidTr="000269D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65C5B4" w:themeColor="accent1"/>
              <w:bottom w:val="nil"/>
              <w:right w:val="single" w:sz="4" w:space="0" w:color="65C5B4" w:themeColor="accent1"/>
            </w:tcBorders>
            <w:shd w:val="clear" w:color="auto" w:fill="E0F3EF" w:themeFill="accent1" w:themeFillTint="33"/>
          </w:tcPr>
          <w:p w14:paraId="261F3509" w14:textId="6E50BB69" w:rsidR="00D947AC" w:rsidRPr="00332DAC" w:rsidRDefault="00D947AC" w:rsidP="1ADFD2FB">
            <w:pPr>
              <w:spacing w:before="0" w:after="0" w:line="240" w:lineRule="auto"/>
              <w:rPr>
                <w:rFonts w:asciiTheme="minorHAnsi" w:eastAsia="Times New Roman" w:hAnsiTheme="minorHAnsi"/>
                <w:b/>
                <w:bCs/>
                <w:color w:val="auto"/>
                <w:sz w:val="20"/>
                <w:szCs w:val="20"/>
                <w:lang w:eastAsia="en-AU"/>
              </w:rPr>
            </w:pPr>
            <w:r w:rsidRPr="00332DAC">
              <w:rPr>
                <w:rFonts w:asciiTheme="minorHAnsi" w:eastAsia="Times New Roman" w:hAnsiTheme="minorHAnsi"/>
                <w:b/>
                <w:bCs/>
                <w:color w:val="auto"/>
                <w:sz w:val="20"/>
                <w:szCs w:val="20"/>
                <w:lang w:eastAsia="en-AU"/>
              </w:rPr>
              <w:t>Solomon Islands Justice Program 2017-2021</w:t>
            </w:r>
          </w:p>
        </w:tc>
        <w:tc>
          <w:tcPr>
            <w:tcW w:w="1225" w:type="dxa"/>
            <w:tcBorders>
              <w:left w:val="single" w:sz="4" w:space="0" w:color="65C5B4" w:themeColor="accent1"/>
            </w:tcBorders>
            <w:shd w:val="clear" w:color="auto" w:fill="E0F3EF" w:themeFill="accent1" w:themeFillTint="33"/>
            <w:hideMark/>
          </w:tcPr>
          <w:p w14:paraId="63919144" w14:textId="01E9FDA8"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eastAsia="en-AU"/>
              </w:rPr>
              <w:t>2023 FIMR</w:t>
            </w:r>
          </w:p>
        </w:tc>
        <w:tc>
          <w:tcPr>
            <w:tcW w:w="1185" w:type="dxa"/>
            <w:shd w:val="clear" w:color="auto" w:fill="E0F3EF" w:themeFill="accent1" w:themeFillTint="33"/>
            <w:noWrap/>
          </w:tcPr>
          <w:p w14:paraId="184FEE55" w14:textId="0E038862"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c>
          <w:tcPr>
            <w:tcW w:w="1134" w:type="dxa"/>
            <w:shd w:val="clear" w:color="auto" w:fill="E0F3EF" w:themeFill="accent1" w:themeFillTint="33"/>
            <w:noWrap/>
          </w:tcPr>
          <w:p w14:paraId="31718D43" w14:textId="184FF689"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c>
          <w:tcPr>
            <w:tcW w:w="1276" w:type="dxa"/>
            <w:shd w:val="clear" w:color="auto" w:fill="E0F3EF" w:themeFill="accent1" w:themeFillTint="33"/>
            <w:noWrap/>
          </w:tcPr>
          <w:p w14:paraId="11C5D1FB" w14:textId="10FFD8A7"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r>
      <w:tr w:rsidR="00332DAC" w:rsidRPr="00332DAC" w14:paraId="495D3A59" w14:textId="77777777" w:rsidTr="000269DC">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65C5B4" w:themeColor="accent1"/>
              <w:right w:val="single" w:sz="4" w:space="0" w:color="65C5B4" w:themeColor="accent1"/>
            </w:tcBorders>
            <w:shd w:val="clear" w:color="auto" w:fill="E0F3EF" w:themeFill="accent1" w:themeFillTint="33"/>
          </w:tcPr>
          <w:p w14:paraId="4C81516B" w14:textId="76315CD0" w:rsidR="00D947AC" w:rsidRPr="00EB4300" w:rsidRDefault="00EB4300" w:rsidP="00EB4300">
            <w:pPr>
              <w:spacing w:before="0" w:after="0" w:line="240" w:lineRule="auto"/>
              <w:rPr>
                <w:rFonts w:asciiTheme="minorHAnsi" w:hAnsiTheme="minorHAnsi"/>
              </w:rPr>
            </w:pPr>
            <w:r w:rsidRPr="00332DAC">
              <w:rPr>
                <w:rFonts w:asciiTheme="minorHAnsi" w:eastAsia="Times New Roman" w:hAnsiTheme="minorHAnsi" w:cstheme="minorHAnsi"/>
                <w:color w:val="auto"/>
                <w:sz w:val="20"/>
                <w:szCs w:val="20"/>
                <w:lang w:val="en-AU" w:eastAsia="en-AU"/>
              </w:rPr>
              <w:t>Investment duration: 2017-22; Budget: $36.4m</w:t>
            </w:r>
          </w:p>
        </w:tc>
        <w:tc>
          <w:tcPr>
            <w:tcW w:w="1225" w:type="dxa"/>
            <w:tcBorders>
              <w:left w:val="single" w:sz="4" w:space="0" w:color="65C5B4" w:themeColor="accent1"/>
            </w:tcBorders>
            <w:shd w:val="clear" w:color="auto" w:fill="E0F3EF" w:themeFill="accent1" w:themeFillTint="33"/>
            <w:hideMark/>
          </w:tcPr>
          <w:p w14:paraId="55437D79" w14:textId="17A9942D"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lang w:val="en-AU" w:eastAsia="en-AU"/>
              </w:rPr>
            </w:pPr>
            <w:r w:rsidRPr="00332DAC">
              <w:rPr>
                <w:rFonts w:asciiTheme="minorHAnsi" w:eastAsia="Times New Roman" w:hAnsiTheme="minorHAnsi"/>
                <w:color w:val="auto"/>
                <w:sz w:val="20"/>
                <w:szCs w:val="20"/>
                <w:lang w:eastAsia="en-AU"/>
              </w:rPr>
              <w:t>2022 IMR</w:t>
            </w:r>
          </w:p>
        </w:tc>
        <w:tc>
          <w:tcPr>
            <w:tcW w:w="1185" w:type="dxa"/>
            <w:shd w:val="clear" w:color="auto" w:fill="E0F3EF" w:themeFill="accent1" w:themeFillTint="33"/>
            <w:noWrap/>
          </w:tcPr>
          <w:p w14:paraId="1CAC7ABC" w14:textId="73A99B15"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c>
          <w:tcPr>
            <w:tcW w:w="1134" w:type="dxa"/>
            <w:shd w:val="clear" w:color="auto" w:fill="E0F3EF" w:themeFill="accent1" w:themeFillTint="33"/>
            <w:noWrap/>
          </w:tcPr>
          <w:p w14:paraId="31F5BD58" w14:textId="073BC84F"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c>
          <w:tcPr>
            <w:tcW w:w="1276" w:type="dxa"/>
            <w:shd w:val="clear" w:color="auto" w:fill="E0F3EF" w:themeFill="accent1" w:themeFillTint="33"/>
            <w:noWrap/>
          </w:tcPr>
          <w:p w14:paraId="48FA8E55" w14:textId="3AC168BD" w:rsidR="00D947AC" w:rsidRPr="00332DAC" w:rsidRDefault="00D947AC" w:rsidP="11FAE953">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32DAC">
              <w:rPr>
                <w:rFonts w:asciiTheme="minorHAnsi" w:eastAsia="Times New Roman" w:hAnsiTheme="minorHAnsi"/>
                <w:color w:val="auto"/>
                <w:sz w:val="20"/>
                <w:szCs w:val="20"/>
                <w:lang w:val="en-AU" w:eastAsia="en-AU"/>
              </w:rPr>
              <w:t>4</w:t>
            </w:r>
          </w:p>
        </w:tc>
      </w:tr>
    </w:tbl>
    <w:p w14:paraId="57ED3A19" w14:textId="77777777" w:rsidR="00054567" w:rsidRDefault="00054567" w:rsidP="00054567">
      <w:pPr>
        <w:pStyle w:val="Heading3"/>
        <w:rPr>
          <w:rFonts w:eastAsia="Times New Roman"/>
        </w:rPr>
      </w:pPr>
    </w:p>
    <w:p w14:paraId="17600418" w14:textId="4E276226" w:rsidR="00681633" w:rsidRPr="00332DAC" w:rsidRDefault="300E1F71" w:rsidP="00054567">
      <w:pPr>
        <w:pStyle w:val="Heading3"/>
        <w:rPr>
          <w:rFonts w:eastAsia="Times New Roman"/>
        </w:rPr>
      </w:pPr>
      <w:r w:rsidRPr="00332DAC">
        <w:rPr>
          <w:rFonts w:eastAsia="Times New Roman"/>
        </w:rPr>
        <w:t>Definitions of rating scale:</w:t>
      </w:r>
      <w:r w:rsidR="00681633" w:rsidRPr="00332DAC">
        <w:tab/>
      </w:r>
    </w:p>
    <w:p w14:paraId="5989C7B0" w14:textId="77777777" w:rsidR="00681633" w:rsidRPr="00332DAC" w:rsidRDefault="00681633" w:rsidP="00681633">
      <w:pPr>
        <w:spacing w:before="20" w:after="20" w:line="180" w:lineRule="atLeast"/>
        <w:jc w:val="both"/>
        <w:rPr>
          <w:rFonts w:eastAsia="Times New Roman"/>
          <w:color w:val="auto"/>
          <w:sz w:val="17"/>
          <w:szCs w:val="17"/>
        </w:rPr>
      </w:pPr>
      <w:r w:rsidRPr="00332DAC">
        <w:rPr>
          <w:rFonts w:eastAsia="Times New Roman"/>
          <w:color w:val="auto"/>
          <w:sz w:val="17"/>
          <w:szCs w:val="17"/>
          <w:u w:val="single"/>
        </w:rPr>
        <w:t>Satisfactory (4, 5 and 6)</w:t>
      </w:r>
    </w:p>
    <w:p w14:paraId="15BE82E8" w14:textId="77777777" w:rsidR="00681633" w:rsidRPr="00332DAC" w:rsidRDefault="00681633" w:rsidP="00681633">
      <w:pPr>
        <w:spacing w:line="240" w:lineRule="auto"/>
        <w:rPr>
          <w:color w:val="auto"/>
          <w:sz w:val="16"/>
          <w:szCs w:val="16"/>
        </w:rPr>
      </w:pPr>
      <w:r w:rsidRPr="00332DAC">
        <w:rPr>
          <w:color w:val="auto"/>
          <w:sz w:val="16"/>
          <w:szCs w:val="16"/>
        </w:rPr>
        <w:t xml:space="preserve">6 = Very good; satisfies criteria in all areas. </w:t>
      </w:r>
      <w:r w:rsidRPr="00332DAC">
        <w:rPr>
          <w:color w:val="auto"/>
          <w:sz w:val="16"/>
          <w:szCs w:val="16"/>
        </w:rPr>
        <w:br/>
        <w:t>5 = Good; satisfies criteria in almost all areas.</w:t>
      </w:r>
      <w:r w:rsidRPr="00332DAC">
        <w:rPr>
          <w:color w:val="auto"/>
          <w:sz w:val="16"/>
          <w:szCs w:val="16"/>
        </w:rPr>
        <w:br/>
        <w:t>4 = Adequate; on balance, satisfies criteria; does not fail in any major area.</w:t>
      </w:r>
    </w:p>
    <w:p w14:paraId="48B0BB33" w14:textId="77777777" w:rsidR="00681633" w:rsidRPr="00332DAC" w:rsidRDefault="00681633" w:rsidP="00681633">
      <w:pPr>
        <w:spacing w:line="240" w:lineRule="auto"/>
        <w:rPr>
          <w:color w:val="auto"/>
          <w:sz w:val="16"/>
          <w:szCs w:val="16"/>
          <w:u w:val="single"/>
        </w:rPr>
      </w:pPr>
      <w:r w:rsidRPr="00332DAC">
        <w:rPr>
          <w:color w:val="auto"/>
          <w:sz w:val="16"/>
          <w:szCs w:val="16"/>
          <w:u w:val="single"/>
        </w:rPr>
        <w:t>Less than satisfactory (1, 2 and 3)</w:t>
      </w:r>
    </w:p>
    <w:p w14:paraId="4DC45723" w14:textId="64C8CBA9" w:rsidR="00681633" w:rsidRPr="00332DAC" w:rsidRDefault="00681633" w:rsidP="00996FC8">
      <w:pPr>
        <w:spacing w:line="240" w:lineRule="auto"/>
        <w:rPr>
          <w:color w:val="auto"/>
          <w:sz w:val="16"/>
          <w:szCs w:val="16"/>
        </w:rPr>
      </w:pPr>
      <w:r w:rsidRPr="00332DAC">
        <w:rPr>
          <w:color w:val="auto"/>
          <w:sz w:val="16"/>
          <w:szCs w:val="16"/>
        </w:rPr>
        <w:t>3 = Less than adequate; on balance does not satisfy criteria and/or fails in at least one major area.</w:t>
      </w:r>
      <w:r w:rsidRPr="00332DAC">
        <w:rPr>
          <w:color w:val="auto"/>
          <w:sz w:val="16"/>
          <w:szCs w:val="16"/>
        </w:rPr>
        <w:br/>
        <w:t>2 = Poor; does not satisfy criteria in major areas.</w:t>
      </w:r>
      <w:r w:rsidR="00996FC8" w:rsidRPr="00332DAC">
        <w:rPr>
          <w:color w:val="auto"/>
          <w:sz w:val="16"/>
          <w:szCs w:val="16"/>
        </w:rPr>
        <w:br/>
      </w:r>
      <w:r w:rsidRPr="00332DAC">
        <w:rPr>
          <w:color w:val="auto"/>
          <w:sz w:val="16"/>
          <w:szCs w:val="16"/>
        </w:rPr>
        <w:t xml:space="preserve">1 = Very poor; does not satisfy criteria in many major </w:t>
      </w:r>
      <w:proofErr w:type="gramStart"/>
      <w:r w:rsidRPr="00332DAC">
        <w:rPr>
          <w:color w:val="auto"/>
          <w:sz w:val="16"/>
          <w:szCs w:val="16"/>
        </w:rPr>
        <w:t>area</w:t>
      </w:r>
      <w:proofErr w:type="gramEnd"/>
      <w:r w:rsidRPr="00332DAC">
        <w:rPr>
          <w:color w:val="auto"/>
        </w:rPr>
        <w:t>.</w:t>
      </w:r>
    </w:p>
    <w:sectPr w:rsidR="00681633" w:rsidRPr="00332DAC" w:rsidSect="00363A9F">
      <w:pgSz w:w="11906" w:h="16838" w:code="9"/>
      <w:pgMar w:top="1559" w:right="680" w:bottom="1418" w:left="680"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D8A8" w14:textId="77777777" w:rsidR="006D4DAC" w:rsidRDefault="006D4DAC" w:rsidP="00D37B04">
      <w:r>
        <w:separator/>
      </w:r>
    </w:p>
  </w:endnote>
  <w:endnote w:type="continuationSeparator" w:id="0">
    <w:p w14:paraId="1321AB7F" w14:textId="77777777" w:rsidR="006D4DAC" w:rsidRDefault="006D4DAC" w:rsidP="00D37B04">
      <w:r>
        <w:continuationSeparator/>
      </w:r>
    </w:p>
  </w:endnote>
  <w:endnote w:type="continuationNotice" w:id="1">
    <w:p w14:paraId="23CA8BCD" w14:textId="77777777" w:rsidR="006D4DAC" w:rsidRDefault="006D4D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161368827"/>
      <w:docPartObj>
        <w:docPartGallery w:val="Page Numbers (Bottom of Page)"/>
        <w:docPartUnique/>
      </w:docPartObj>
    </w:sdtPr>
    <w:sdtEndPr>
      <w:rPr>
        <w:noProof/>
      </w:rPr>
    </w:sdtEndPr>
    <w:sdtContent>
      <w:p w14:paraId="10BB5A1F" w14:textId="2C93F819" w:rsidR="0005564F" w:rsidRDefault="0005564F" w:rsidP="000F1466">
        <w:pPr>
          <w:spacing w:before="60"/>
          <w:rPr>
            <w:color w:val="auto"/>
          </w:rPr>
        </w:pPr>
        <w:r>
          <w:rPr>
            <w:noProof/>
            <w:color w:val="auto"/>
          </w:rPr>
          <w:drawing>
            <wp:anchor distT="0" distB="0" distL="114300" distR="114300" simplePos="0" relativeHeight="251658240" behindDoc="1" locked="0" layoutInCell="1" allowOverlap="1" wp14:anchorId="0A9940EE" wp14:editId="4060A275">
              <wp:simplePos x="0" y="0"/>
              <wp:positionH relativeFrom="margin">
                <wp:align>left</wp:align>
              </wp:positionH>
              <wp:positionV relativeFrom="paragraph">
                <wp:posOffset>5163</wp:posOffset>
              </wp:positionV>
              <wp:extent cx="6629948" cy="357173"/>
              <wp:effectExtent l="0" t="0" r="0" b="5080"/>
              <wp:wrapNone/>
              <wp:docPr id="310" name="Picture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9948" cy="357173"/>
                      </a:xfrm>
                      <a:prstGeom prst="rect">
                        <a:avLst/>
                      </a:prstGeom>
                    </pic:spPr>
                  </pic:pic>
                </a:graphicData>
              </a:graphic>
              <wp14:sizeRelH relativeFrom="margin">
                <wp14:pctWidth>0</wp14:pctWidth>
              </wp14:sizeRelH>
              <wp14:sizeRelV relativeFrom="margin">
                <wp14:pctHeight>0</wp14:pctHeight>
              </wp14:sizeRelV>
            </wp:anchor>
          </w:drawing>
        </w:r>
      </w:p>
      <w:p w14:paraId="3F66EFC2" w14:textId="15A3A4C4" w:rsidR="001D3DDD" w:rsidRPr="0042526D" w:rsidRDefault="001D3DDD">
        <w:pPr>
          <w:pStyle w:val="Footer"/>
          <w:jc w:val="center"/>
          <w:rPr>
            <w:noProof/>
            <w:color w:val="auto"/>
            <w:sz w:val="20"/>
            <w:szCs w:val="20"/>
          </w:rPr>
        </w:pPr>
        <w:r w:rsidRPr="0042526D">
          <w:rPr>
            <w:color w:val="auto"/>
            <w:sz w:val="20"/>
            <w:szCs w:val="20"/>
          </w:rPr>
          <w:fldChar w:fldCharType="begin"/>
        </w:r>
        <w:r w:rsidRPr="0042526D">
          <w:rPr>
            <w:color w:val="auto"/>
            <w:sz w:val="20"/>
            <w:szCs w:val="20"/>
          </w:rPr>
          <w:instrText xml:space="preserve"> PAGE   \* MERGEFORMAT </w:instrText>
        </w:r>
        <w:r w:rsidRPr="0042526D">
          <w:rPr>
            <w:color w:val="auto"/>
            <w:sz w:val="20"/>
            <w:szCs w:val="20"/>
          </w:rPr>
          <w:fldChar w:fldCharType="separate"/>
        </w:r>
        <w:r w:rsidRPr="0042526D">
          <w:rPr>
            <w:noProof/>
            <w:color w:val="auto"/>
            <w:sz w:val="20"/>
            <w:szCs w:val="20"/>
          </w:rPr>
          <w:t>2</w:t>
        </w:r>
        <w:r w:rsidRPr="0042526D">
          <w:rPr>
            <w:noProof/>
            <w:color w:val="auto"/>
            <w:sz w:val="20"/>
            <w:szCs w:val="20"/>
          </w:rPr>
          <w:fldChar w:fldCharType="end"/>
        </w:r>
      </w:p>
      <w:p w14:paraId="1E51B8D5" w14:textId="59F3CE97" w:rsidR="001D3DDD" w:rsidRPr="001D3DDD" w:rsidRDefault="003B1B8D" w:rsidP="0005564F">
        <w:pPr>
          <w:pStyle w:val="Footer"/>
          <w:spacing w:line="240" w:lineRule="auto"/>
          <w:jc w:val="center"/>
          <w:rPr>
            <w:color w:val="auto"/>
          </w:rPr>
        </w:pPr>
      </w:p>
    </w:sdtContent>
  </w:sdt>
  <w:p w14:paraId="3A729F02" w14:textId="519EAB54" w:rsidR="009131E9" w:rsidRDefault="009131E9" w:rsidP="009131E9">
    <w:pPr>
      <w:pStyle w:val="Footer"/>
      <w:spacing w:line="240"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3D32" w14:textId="77777777" w:rsidR="006D4DAC" w:rsidRPr="008C5A0E" w:rsidRDefault="006D4DAC" w:rsidP="00D37B04">
      <w:pPr>
        <w:pStyle w:val="Footer"/>
      </w:pPr>
    </w:p>
  </w:footnote>
  <w:footnote w:type="continuationSeparator" w:id="0">
    <w:p w14:paraId="6ABC79F3" w14:textId="77777777" w:rsidR="006D4DAC" w:rsidRDefault="006D4DAC" w:rsidP="00D37B04">
      <w:r>
        <w:continuationSeparator/>
      </w:r>
    </w:p>
  </w:footnote>
  <w:footnote w:type="continuationNotice" w:id="1">
    <w:p w14:paraId="09E2BD18" w14:textId="77777777" w:rsidR="006D4DAC" w:rsidRDefault="006D4D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7E92" w14:textId="4CFCB8E8" w:rsidR="009131E9" w:rsidRDefault="009131E9" w:rsidP="007A4493">
    <w:pPr>
      <w:pStyle w:val="Header"/>
      <w:ind w:left="0"/>
    </w:pPr>
    <w:r w:rsidRPr="00A12B40">
      <w:rPr>
        <w:i/>
        <w:noProof/>
        <w:lang w:val="en-AU" w:eastAsia="en-AU"/>
      </w:rPr>
      <w:drawing>
        <wp:inline distT="0" distB="0" distL="0" distR="0" wp14:anchorId="7248A92F" wp14:editId="7CBD7E78">
          <wp:extent cx="6718853" cy="707390"/>
          <wp:effectExtent l="0" t="0" r="6350" b="0"/>
          <wp:docPr id="309" name="Picture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Aqua-Header-PT.png"/>
                  <pic:cNvPicPr/>
                </pic:nvPicPr>
                <pic:blipFill>
                  <a:blip r:embed="rId1">
                    <a:extLst>
                      <a:ext uri="{28A0092B-C50C-407E-A947-70E740481C1C}">
                        <a14:useLocalDpi xmlns:a14="http://schemas.microsoft.com/office/drawing/2010/main" val="0"/>
                      </a:ext>
                    </a:extLst>
                  </a:blip>
                  <a:stretch>
                    <a:fillRect/>
                  </a:stretch>
                </pic:blipFill>
                <pic:spPr>
                  <a:xfrm>
                    <a:off x="0" y="0"/>
                    <a:ext cx="6803267" cy="7162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2A5E" w14:textId="483FCFE4" w:rsidR="00920854" w:rsidRDefault="009131E9" w:rsidP="001F7F4D">
    <w:pPr>
      <w:pStyle w:val="Header"/>
      <w:spacing w:after="240"/>
      <w:ind w:left="0"/>
    </w:pPr>
    <w:r>
      <w:rPr>
        <w:noProof/>
      </w:rPr>
      <w:drawing>
        <wp:inline distT="0" distB="0" distL="0" distR="0" wp14:anchorId="53173A37" wp14:editId="3D212865">
          <wp:extent cx="6696075" cy="1247775"/>
          <wp:effectExtent l="0" t="0" r="9525" b="9525"/>
          <wp:docPr id="311" name="Picture 311" descr="Australian Government DFAT logo and Australian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ustralian Government DFAT logo and Australian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1247775"/>
                  </a:xfrm>
                  <a:prstGeom prst="rect">
                    <a:avLst/>
                  </a:prstGeom>
                  <a:noFill/>
                  <a:ln>
                    <a:noFill/>
                  </a:ln>
                </pic:spPr>
              </pic:pic>
            </a:graphicData>
          </a:graphic>
        </wp:inline>
      </w:drawing>
    </w:r>
  </w:p>
  <w:p w14:paraId="21592AB9" w14:textId="77777777" w:rsidR="00920854" w:rsidRPr="00943730" w:rsidRDefault="00920854" w:rsidP="008C614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5485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DF06AC3"/>
    <w:multiLevelType w:val="hybridMultilevel"/>
    <w:tmpl w:val="CFC098A4"/>
    <w:lvl w:ilvl="0" w:tplc="B7968C8E">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4" w15:restartNumberingAfterBreak="0">
    <w:nsid w:val="1F0548BC"/>
    <w:multiLevelType w:val="hybridMultilevel"/>
    <w:tmpl w:val="26D04D08"/>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38F132CE"/>
    <w:multiLevelType w:val="multilevel"/>
    <w:tmpl w:val="3B7A10DE"/>
    <w:numStyleLink w:val="BulletsList"/>
  </w:abstractNum>
  <w:abstractNum w:abstractNumId="7" w15:restartNumberingAfterBreak="0">
    <w:nsid w:val="3A854A3D"/>
    <w:multiLevelType w:val="hybridMultilevel"/>
    <w:tmpl w:val="B8BED28E"/>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2512C0"/>
    <w:multiLevelType w:val="hybridMultilevel"/>
    <w:tmpl w:val="0372A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6DF0A07"/>
    <w:multiLevelType w:val="hybridMultilevel"/>
    <w:tmpl w:val="B7E0A20E"/>
    <w:lvl w:ilvl="0" w:tplc="C2B656C8">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A148B"/>
    <w:multiLevelType w:val="hybridMultilevel"/>
    <w:tmpl w:val="FC90C7DA"/>
    <w:lvl w:ilvl="0" w:tplc="59463C12">
      <w:start w:val="6"/>
      <w:numFmt w:val="bullet"/>
      <w:lvlText w:val="-"/>
      <w:lvlJc w:val="left"/>
      <w:pPr>
        <w:ind w:left="269" w:hanging="360"/>
      </w:pPr>
      <w:rPr>
        <w:rFonts w:ascii="Calibri" w:eastAsiaTheme="minorHAnsi" w:hAnsi="Calibri" w:cs="Calibri" w:hint="default"/>
      </w:rPr>
    </w:lvl>
    <w:lvl w:ilvl="1" w:tplc="0C090003" w:tentative="1">
      <w:start w:val="1"/>
      <w:numFmt w:val="bullet"/>
      <w:lvlText w:val="o"/>
      <w:lvlJc w:val="left"/>
      <w:pPr>
        <w:ind w:left="989" w:hanging="360"/>
      </w:pPr>
      <w:rPr>
        <w:rFonts w:ascii="Courier New" w:hAnsi="Courier New" w:cs="Courier New" w:hint="default"/>
      </w:rPr>
    </w:lvl>
    <w:lvl w:ilvl="2" w:tplc="0C090005" w:tentative="1">
      <w:start w:val="1"/>
      <w:numFmt w:val="bullet"/>
      <w:lvlText w:val=""/>
      <w:lvlJc w:val="left"/>
      <w:pPr>
        <w:ind w:left="1709" w:hanging="360"/>
      </w:pPr>
      <w:rPr>
        <w:rFonts w:ascii="Wingdings" w:hAnsi="Wingdings" w:hint="default"/>
      </w:rPr>
    </w:lvl>
    <w:lvl w:ilvl="3" w:tplc="0C090001" w:tentative="1">
      <w:start w:val="1"/>
      <w:numFmt w:val="bullet"/>
      <w:lvlText w:val=""/>
      <w:lvlJc w:val="left"/>
      <w:pPr>
        <w:ind w:left="2429" w:hanging="360"/>
      </w:pPr>
      <w:rPr>
        <w:rFonts w:ascii="Symbol" w:hAnsi="Symbol" w:hint="default"/>
      </w:rPr>
    </w:lvl>
    <w:lvl w:ilvl="4" w:tplc="0C090003" w:tentative="1">
      <w:start w:val="1"/>
      <w:numFmt w:val="bullet"/>
      <w:lvlText w:val="o"/>
      <w:lvlJc w:val="left"/>
      <w:pPr>
        <w:ind w:left="3149" w:hanging="360"/>
      </w:pPr>
      <w:rPr>
        <w:rFonts w:ascii="Courier New" w:hAnsi="Courier New" w:cs="Courier New" w:hint="default"/>
      </w:rPr>
    </w:lvl>
    <w:lvl w:ilvl="5" w:tplc="0C090005" w:tentative="1">
      <w:start w:val="1"/>
      <w:numFmt w:val="bullet"/>
      <w:lvlText w:val=""/>
      <w:lvlJc w:val="left"/>
      <w:pPr>
        <w:ind w:left="3869" w:hanging="360"/>
      </w:pPr>
      <w:rPr>
        <w:rFonts w:ascii="Wingdings" w:hAnsi="Wingdings" w:hint="default"/>
      </w:rPr>
    </w:lvl>
    <w:lvl w:ilvl="6" w:tplc="0C090001" w:tentative="1">
      <w:start w:val="1"/>
      <w:numFmt w:val="bullet"/>
      <w:lvlText w:val=""/>
      <w:lvlJc w:val="left"/>
      <w:pPr>
        <w:ind w:left="4589" w:hanging="360"/>
      </w:pPr>
      <w:rPr>
        <w:rFonts w:ascii="Symbol" w:hAnsi="Symbol" w:hint="default"/>
      </w:rPr>
    </w:lvl>
    <w:lvl w:ilvl="7" w:tplc="0C090003" w:tentative="1">
      <w:start w:val="1"/>
      <w:numFmt w:val="bullet"/>
      <w:lvlText w:val="o"/>
      <w:lvlJc w:val="left"/>
      <w:pPr>
        <w:ind w:left="5309" w:hanging="360"/>
      </w:pPr>
      <w:rPr>
        <w:rFonts w:ascii="Courier New" w:hAnsi="Courier New" w:cs="Courier New" w:hint="default"/>
      </w:rPr>
    </w:lvl>
    <w:lvl w:ilvl="8" w:tplc="0C090005" w:tentative="1">
      <w:start w:val="1"/>
      <w:numFmt w:val="bullet"/>
      <w:lvlText w:val=""/>
      <w:lvlJc w:val="left"/>
      <w:pPr>
        <w:ind w:left="6029" w:hanging="360"/>
      </w:pPr>
      <w:rPr>
        <w:rFonts w:ascii="Wingdings" w:hAnsi="Wingdings" w:hint="default"/>
      </w:rPr>
    </w:lvl>
  </w:abstractNum>
  <w:abstractNum w:abstractNumId="11" w15:restartNumberingAfterBreak="0">
    <w:nsid w:val="508669A6"/>
    <w:multiLevelType w:val="hybridMultilevel"/>
    <w:tmpl w:val="96EC6980"/>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2" w15:restartNumberingAfterBreak="0">
    <w:nsid w:val="51100950"/>
    <w:multiLevelType w:val="hybridMultilevel"/>
    <w:tmpl w:val="0686927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BD54DA3"/>
    <w:multiLevelType w:val="hybridMultilevel"/>
    <w:tmpl w:val="4A14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7D667C"/>
    <w:multiLevelType w:val="hybridMultilevel"/>
    <w:tmpl w:val="ED2C4C28"/>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602A6BD8"/>
    <w:multiLevelType w:val="hybridMultilevel"/>
    <w:tmpl w:val="BBCAC7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60394743"/>
    <w:multiLevelType w:val="hybridMultilevel"/>
    <w:tmpl w:val="8F1207BC"/>
    <w:lvl w:ilvl="0" w:tplc="0C090001">
      <w:start w:val="1"/>
      <w:numFmt w:val="bullet"/>
      <w:lvlText w:val=""/>
      <w:lvlJc w:val="left"/>
      <w:pPr>
        <w:ind w:left="457" w:hanging="360"/>
      </w:pPr>
      <w:rPr>
        <w:rFonts w:ascii="Symbol" w:hAnsi="Symbol" w:hint="default"/>
      </w:rPr>
    </w:lvl>
    <w:lvl w:ilvl="1" w:tplc="0C090003">
      <w:start w:val="1"/>
      <w:numFmt w:val="bullet"/>
      <w:lvlText w:val="o"/>
      <w:lvlJc w:val="left"/>
      <w:pPr>
        <w:ind w:left="1177" w:hanging="360"/>
      </w:pPr>
      <w:rPr>
        <w:rFonts w:ascii="Courier New" w:hAnsi="Courier New" w:cs="Courier New" w:hint="default"/>
      </w:rPr>
    </w:lvl>
    <w:lvl w:ilvl="2" w:tplc="0C090005">
      <w:start w:val="1"/>
      <w:numFmt w:val="bullet"/>
      <w:lvlText w:val=""/>
      <w:lvlJc w:val="left"/>
      <w:pPr>
        <w:ind w:left="1897" w:hanging="360"/>
      </w:pPr>
      <w:rPr>
        <w:rFonts w:ascii="Wingdings" w:hAnsi="Wingdings" w:hint="default"/>
      </w:rPr>
    </w:lvl>
    <w:lvl w:ilvl="3" w:tplc="0C090001">
      <w:start w:val="1"/>
      <w:numFmt w:val="bullet"/>
      <w:lvlText w:val=""/>
      <w:lvlJc w:val="left"/>
      <w:pPr>
        <w:ind w:left="2617" w:hanging="360"/>
      </w:pPr>
      <w:rPr>
        <w:rFonts w:ascii="Symbol" w:hAnsi="Symbol" w:hint="default"/>
      </w:rPr>
    </w:lvl>
    <w:lvl w:ilvl="4" w:tplc="0C090003" w:tentative="1">
      <w:start w:val="1"/>
      <w:numFmt w:val="bullet"/>
      <w:lvlText w:val="o"/>
      <w:lvlJc w:val="left"/>
      <w:pPr>
        <w:ind w:left="3337" w:hanging="360"/>
      </w:pPr>
      <w:rPr>
        <w:rFonts w:ascii="Courier New" w:hAnsi="Courier New" w:cs="Courier New" w:hint="default"/>
      </w:rPr>
    </w:lvl>
    <w:lvl w:ilvl="5" w:tplc="0C090005" w:tentative="1">
      <w:start w:val="1"/>
      <w:numFmt w:val="bullet"/>
      <w:lvlText w:val=""/>
      <w:lvlJc w:val="left"/>
      <w:pPr>
        <w:ind w:left="4057" w:hanging="360"/>
      </w:pPr>
      <w:rPr>
        <w:rFonts w:ascii="Wingdings" w:hAnsi="Wingdings" w:hint="default"/>
      </w:rPr>
    </w:lvl>
    <w:lvl w:ilvl="6" w:tplc="0C090001" w:tentative="1">
      <w:start w:val="1"/>
      <w:numFmt w:val="bullet"/>
      <w:lvlText w:val=""/>
      <w:lvlJc w:val="left"/>
      <w:pPr>
        <w:ind w:left="4777" w:hanging="360"/>
      </w:pPr>
      <w:rPr>
        <w:rFonts w:ascii="Symbol" w:hAnsi="Symbol" w:hint="default"/>
      </w:rPr>
    </w:lvl>
    <w:lvl w:ilvl="7" w:tplc="0C090003" w:tentative="1">
      <w:start w:val="1"/>
      <w:numFmt w:val="bullet"/>
      <w:lvlText w:val="o"/>
      <w:lvlJc w:val="left"/>
      <w:pPr>
        <w:ind w:left="5497" w:hanging="360"/>
      </w:pPr>
      <w:rPr>
        <w:rFonts w:ascii="Courier New" w:hAnsi="Courier New" w:cs="Courier New" w:hint="default"/>
      </w:rPr>
    </w:lvl>
    <w:lvl w:ilvl="8" w:tplc="0C090005" w:tentative="1">
      <w:start w:val="1"/>
      <w:numFmt w:val="bullet"/>
      <w:lvlText w:val=""/>
      <w:lvlJc w:val="left"/>
      <w:pPr>
        <w:ind w:left="6217" w:hanging="360"/>
      </w:pPr>
      <w:rPr>
        <w:rFonts w:ascii="Wingdings" w:hAnsi="Wingdings" w:hint="default"/>
      </w:rPr>
    </w:lvl>
  </w:abstractNum>
  <w:abstractNum w:abstractNumId="19" w15:restartNumberingAfterBreak="0">
    <w:nsid w:val="60DC3033"/>
    <w:multiLevelType w:val="hybridMultilevel"/>
    <w:tmpl w:val="9D04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F81736"/>
    <w:multiLevelType w:val="hybridMultilevel"/>
    <w:tmpl w:val="5FA847FC"/>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084D03"/>
    <w:multiLevelType w:val="hybridMultilevel"/>
    <w:tmpl w:val="8688A9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C0679BB"/>
    <w:multiLevelType w:val="hybridMultilevel"/>
    <w:tmpl w:val="80582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CAC5D79"/>
    <w:multiLevelType w:val="hybridMultilevel"/>
    <w:tmpl w:val="D714D16E"/>
    <w:lvl w:ilvl="0" w:tplc="DF22A0BC">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07305"/>
    <w:multiLevelType w:val="multilevel"/>
    <w:tmpl w:val="3B7A10DE"/>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3166602"/>
    <w:multiLevelType w:val="hybridMultilevel"/>
    <w:tmpl w:val="71381298"/>
    <w:lvl w:ilvl="0" w:tplc="59463C12">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BE7A65"/>
    <w:multiLevelType w:val="hybridMultilevel"/>
    <w:tmpl w:val="A4D4C220"/>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D0D33EF"/>
    <w:multiLevelType w:val="hybridMultilevel"/>
    <w:tmpl w:val="0AC2FD7E"/>
    <w:lvl w:ilvl="0" w:tplc="84F409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5132929">
    <w:abstractNumId w:val="24"/>
  </w:num>
  <w:num w:numId="2" w16cid:durableId="789277552">
    <w:abstractNumId w:val="1"/>
  </w:num>
  <w:num w:numId="3" w16cid:durableId="415057235">
    <w:abstractNumId w:val="5"/>
  </w:num>
  <w:num w:numId="4" w16cid:durableId="1901938646">
    <w:abstractNumId w:val="13"/>
  </w:num>
  <w:num w:numId="5" w16cid:durableId="443766657">
    <w:abstractNumId w:val="16"/>
  </w:num>
  <w:num w:numId="6" w16cid:durableId="170418493">
    <w:abstractNumId w:val="5"/>
  </w:num>
  <w:num w:numId="7" w16cid:durableId="1559049292">
    <w:abstractNumId w:val="1"/>
  </w:num>
  <w:num w:numId="8" w16cid:durableId="502862737">
    <w:abstractNumId w:val="3"/>
  </w:num>
  <w:num w:numId="9" w16cid:durableId="946738712">
    <w:abstractNumId w:val="27"/>
  </w:num>
  <w:num w:numId="10" w16cid:durableId="1293439046">
    <w:abstractNumId w:val="6"/>
  </w:num>
  <w:num w:numId="11" w16cid:durableId="1616132132">
    <w:abstractNumId w:val="11"/>
  </w:num>
  <w:num w:numId="12" w16cid:durableId="749932280">
    <w:abstractNumId w:val="12"/>
  </w:num>
  <w:num w:numId="13" w16cid:durableId="1969509245">
    <w:abstractNumId w:val="0"/>
  </w:num>
  <w:num w:numId="14" w16cid:durableId="1665628068">
    <w:abstractNumId w:val="10"/>
  </w:num>
  <w:num w:numId="15" w16cid:durableId="1865093268">
    <w:abstractNumId w:val="14"/>
  </w:num>
  <w:num w:numId="16" w16cid:durableId="2062947188">
    <w:abstractNumId w:val="20"/>
  </w:num>
  <w:num w:numId="17" w16cid:durableId="1014069129">
    <w:abstractNumId w:val="4"/>
  </w:num>
  <w:num w:numId="18" w16cid:durableId="1134640017">
    <w:abstractNumId w:val="15"/>
  </w:num>
  <w:num w:numId="19" w16cid:durableId="462624606">
    <w:abstractNumId w:val="26"/>
  </w:num>
  <w:num w:numId="20" w16cid:durableId="946231716">
    <w:abstractNumId w:val="8"/>
  </w:num>
  <w:num w:numId="21" w16cid:durableId="1798178445">
    <w:abstractNumId w:val="25"/>
  </w:num>
  <w:num w:numId="22" w16cid:durableId="2003773460">
    <w:abstractNumId w:val="7"/>
  </w:num>
  <w:num w:numId="23" w16cid:durableId="408698333">
    <w:abstractNumId w:val="2"/>
  </w:num>
  <w:num w:numId="24" w16cid:durableId="39403587">
    <w:abstractNumId w:val="23"/>
  </w:num>
  <w:num w:numId="25" w16cid:durableId="103963916">
    <w:abstractNumId w:val="28"/>
  </w:num>
  <w:num w:numId="26" w16cid:durableId="2116366332">
    <w:abstractNumId w:val="9"/>
  </w:num>
  <w:num w:numId="27" w16cid:durableId="305089835">
    <w:abstractNumId w:val="19"/>
  </w:num>
  <w:num w:numId="28" w16cid:durableId="1176992414">
    <w:abstractNumId w:val="22"/>
  </w:num>
  <w:num w:numId="29" w16cid:durableId="1979991457">
    <w:abstractNumId w:val="10"/>
  </w:num>
  <w:num w:numId="30" w16cid:durableId="1160803029">
    <w:abstractNumId w:val="18"/>
  </w:num>
  <w:num w:numId="31" w16cid:durableId="335039656">
    <w:abstractNumId w:val="17"/>
  </w:num>
  <w:num w:numId="32" w16cid:durableId="77857334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58"/>
    <w:rsid w:val="000005F0"/>
    <w:rsid w:val="00001DA8"/>
    <w:rsid w:val="000020C1"/>
    <w:rsid w:val="00002AE6"/>
    <w:rsid w:val="0000406C"/>
    <w:rsid w:val="00010006"/>
    <w:rsid w:val="00011235"/>
    <w:rsid w:val="00015AB7"/>
    <w:rsid w:val="00015DC0"/>
    <w:rsid w:val="0002080A"/>
    <w:rsid w:val="000269DC"/>
    <w:rsid w:val="0002782F"/>
    <w:rsid w:val="00030727"/>
    <w:rsid w:val="00031486"/>
    <w:rsid w:val="000314BA"/>
    <w:rsid w:val="00035BBF"/>
    <w:rsid w:val="00035CBC"/>
    <w:rsid w:val="000417C3"/>
    <w:rsid w:val="00041CA8"/>
    <w:rsid w:val="000444F3"/>
    <w:rsid w:val="00050806"/>
    <w:rsid w:val="00051F3B"/>
    <w:rsid w:val="000534B3"/>
    <w:rsid w:val="0005417C"/>
    <w:rsid w:val="00054567"/>
    <w:rsid w:val="000546D9"/>
    <w:rsid w:val="00054AF3"/>
    <w:rsid w:val="00054E4D"/>
    <w:rsid w:val="0005564F"/>
    <w:rsid w:val="00055880"/>
    <w:rsid w:val="00056F24"/>
    <w:rsid w:val="00060073"/>
    <w:rsid w:val="000616C6"/>
    <w:rsid w:val="00070AD4"/>
    <w:rsid w:val="00075F0A"/>
    <w:rsid w:val="00080AD5"/>
    <w:rsid w:val="000822AD"/>
    <w:rsid w:val="000854FD"/>
    <w:rsid w:val="0009676B"/>
    <w:rsid w:val="000A3048"/>
    <w:rsid w:val="000A3666"/>
    <w:rsid w:val="000A39DD"/>
    <w:rsid w:val="000A407E"/>
    <w:rsid w:val="000A7826"/>
    <w:rsid w:val="000B37F5"/>
    <w:rsid w:val="000B40E9"/>
    <w:rsid w:val="000B5DA7"/>
    <w:rsid w:val="000B78E6"/>
    <w:rsid w:val="000C3A4C"/>
    <w:rsid w:val="000C40AB"/>
    <w:rsid w:val="000C4411"/>
    <w:rsid w:val="000C5D8D"/>
    <w:rsid w:val="000D003A"/>
    <w:rsid w:val="000D125E"/>
    <w:rsid w:val="000D2896"/>
    <w:rsid w:val="000D66D6"/>
    <w:rsid w:val="000E1045"/>
    <w:rsid w:val="000E58BF"/>
    <w:rsid w:val="000E6C44"/>
    <w:rsid w:val="000F1286"/>
    <w:rsid w:val="000F1466"/>
    <w:rsid w:val="000F2456"/>
    <w:rsid w:val="000F2600"/>
    <w:rsid w:val="000F78C9"/>
    <w:rsid w:val="00100347"/>
    <w:rsid w:val="00110C65"/>
    <w:rsid w:val="00113288"/>
    <w:rsid w:val="0011475A"/>
    <w:rsid w:val="00116B26"/>
    <w:rsid w:val="00116E9F"/>
    <w:rsid w:val="001203A0"/>
    <w:rsid w:val="001214BE"/>
    <w:rsid w:val="0012165D"/>
    <w:rsid w:val="00121DDD"/>
    <w:rsid w:val="001227F1"/>
    <w:rsid w:val="0013101C"/>
    <w:rsid w:val="001333E0"/>
    <w:rsid w:val="0013385F"/>
    <w:rsid w:val="00134AEA"/>
    <w:rsid w:val="00137F4E"/>
    <w:rsid w:val="001461D6"/>
    <w:rsid w:val="00146E07"/>
    <w:rsid w:val="00153419"/>
    <w:rsid w:val="001541EA"/>
    <w:rsid w:val="0015586B"/>
    <w:rsid w:val="00157568"/>
    <w:rsid w:val="0016223D"/>
    <w:rsid w:val="00162363"/>
    <w:rsid w:val="00163DB1"/>
    <w:rsid w:val="00166032"/>
    <w:rsid w:val="00166037"/>
    <w:rsid w:val="001662F8"/>
    <w:rsid w:val="001712F0"/>
    <w:rsid w:val="00171381"/>
    <w:rsid w:val="00171903"/>
    <w:rsid w:val="001841C8"/>
    <w:rsid w:val="00186B4B"/>
    <w:rsid w:val="00193C49"/>
    <w:rsid w:val="001A51EE"/>
    <w:rsid w:val="001A7815"/>
    <w:rsid w:val="001B466C"/>
    <w:rsid w:val="001B78DA"/>
    <w:rsid w:val="001C14F4"/>
    <w:rsid w:val="001C1F11"/>
    <w:rsid w:val="001C33C5"/>
    <w:rsid w:val="001C483F"/>
    <w:rsid w:val="001C72C5"/>
    <w:rsid w:val="001D1A8F"/>
    <w:rsid w:val="001D3C98"/>
    <w:rsid w:val="001D3DDD"/>
    <w:rsid w:val="001D4091"/>
    <w:rsid w:val="001D663E"/>
    <w:rsid w:val="001E03BE"/>
    <w:rsid w:val="001E1DC0"/>
    <w:rsid w:val="001E21A0"/>
    <w:rsid w:val="001E563B"/>
    <w:rsid w:val="001E6D20"/>
    <w:rsid w:val="001F16E7"/>
    <w:rsid w:val="001F63EC"/>
    <w:rsid w:val="001F7A8B"/>
    <w:rsid w:val="001F7F4D"/>
    <w:rsid w:val="00216C55"/>
    <w:rsid w:val="00217E67"/>
    <w:rsid w:val="002231BD"/>
    <w:rsid w:val="00224A0D"/>
    <w:rsid w:val="002270F7"/>
    <w:rsid w:val="0022790D"/>
    <w:rsid w:val="00231A30"/>
    <w:rsid w:val="002326DD"/>
    <w:rsid w:val="00237A25"/>
    <w:rsid w:val="002404E8"/>
    <w:rsid w:val="00240E85"/>
    <w:rsid w:val="00244229"/>
    <w:rsid w:val="002443C7"/>
    <w:rsid w:val="00245FF0"/>
    <w:rsid w:val="00247365"/>
    <w:rsid w:val="00247A7F"/>
    <w:rsid w:val="00255F45"/>
    <w:rsid w:val="0025654A"/>
    <w:rsid w:val="00261565"/>
    <w:rsid w:val="00270C70"/>
    <w:rsid w:val="002721B5"/>
    <w:rsid w:val="002800F3"/>
    <w:rsid w:val="0028082A"/>
    <w:rsid w:val="002850EC"/>
    <w:rsid w:val="0028602A"/>
    <w:rsid w:val="002936ED"/>
    <w:rsid w:val="002945C4"/>
    <w:rsid w:val="0029663F"/>
    <w:rsid w:val="00297258"/>
    <w:rsid w:val="00297FD1"/>
    <w:rsid w:val="002B3381"/>
    <w:rsid w:val="002B38AA"/>
    <w:rsid w:val="002B5CAE"/>
    <w:rsid w:val="002B5E10"/>
    <w:rsid w:val="002C793D"/>
    <w:rsid w:val="002D25D9"/>
    <w:rsid w:val="002D35C9"/>
    <w:rsid w:val="002D39F4"/>
    <w:rsid w:val="002D4108"/>
    <w:rsid w:val="002D430F"/>
    <w:rsid w:val="002D5B25"/>
    <w:rsid w:val="002D626F"/>
    <w:rsid w:val="002E2AF4"/>
    <w:rsid w:val="002E38B2"/>
    <w:rsid w:val="002E500A"/>
    <w:rsid w:val="002F03FB"/>
    <w:rsid w:val="002F0903"/>
    <w:rsid w:val="002F4F2B"/>
    <w:rsid w:val="002F6581"/>
    <w:rsid w:val="002F67AE"/>
    <w:rsid w:val="002F6863"/>
    <w:rsid w:val="003002C0"/>
    <w:rsid w:val="00300FBA"/>
    <w:rsid w:val="00301144"/>
    <w:rsid w:val="003031C6"/>
    <w:rsid w:val="00304984"/>
    <w:rsid w:val="00311946"/>
    <w:rsid w:val="00312BF8"/>
    <w:rsid w:val="003148B7"/>
    <w:rsid w:val="003158C3"/>
    <w:rsid w:val="00320DC8"/>
    <w:rsid w:val="003216BB"/>
    <w:rsid w:val="00322826"/>
    <w:rsid w:val="0032444C"/>
    <w:rsid w:val="003274CD"/>
    <w:rsid w:val="003275AF"/>
    <w:rsid w:val="00332DAC"/>
    <w:rsid w:val="00333501"/>
    <w:rsid w:val="003406AF"/>
    <w:rsid w:val="003457C4"/>
    <w:rsid w:val="0035119D"/>
    <w:rsid w:val="00351908"/>
    <w:rsid w:val="003535F8"/>
    <w:rsid w:val="00354641"/>
    <w:rsid w:val="0035532B"/>
    <w:rsid w:val="00355D31"/>
    <w:rsid w:val="003622C1"/>
    <w:rsid w:val="00363A9F"/>
    <w:rsid w:val="003664FE"/>
    <w:rsid w:val="00375D23"/>
    <w:rsid w:val="003806FE"/>
    <w:rsid w:val="003820AF"/>
    <w:rsid w:val="00382CE7"/>
    <w:rsid w:val="00384D2A"/>
    <w:rsid w:val="00387EC8"/>
    <w:rsid w:val="0039215F"/>
    <w:rsid w:val="0039344A"/>
    <w:rsid w:val="003A1B85"/>
    <w:rsid w:val="003A653B"/>
    <w:rsid w:val="003A7D5E"/>
    <w:rsid w:val="003B1B8D"/>
    <w:rsid w:val="003B26F9"/>
    <w:rsid w:val="003B3091"/>
    <w:rsid w:val="003B4F12"/>
    <w:rsid w:val="003B5132"/>
    <w:rsid w:val="003B634E"/>
    <w:rsid w:val="003C6C4F"/>
    <w:rsid w:val="003C7D0E"/>
    <w:rsid w:val="003D1253"/>
    <w:rsid w:val="003E03B8"/>
    <w:rsid w:val="003E0545"/>
    <w:rsid w:val="003E24BA"/>
    <w:rsid w:val="003F0750"/>
    <w:rsid w:val="003F2041"/>
    <w:rsid w:val="003F4679"/>
    <w:rsid w:val="003F7D26"/>
    <w:rsid w:val="004007ED"/>
    <w:rsid w:val="00400D50"/>
    <w:rsid w:val="00402ACC"/>
    <w:rsid w:val="004032C6"/>
    <w:rsid w:val="00403FD8"/>
    <w:rsid w:val="00404443"/>
    <w:rsid w:val="00404602"/>
    <w:rsid w:val="004078F7"/>
    <w:rsid w:val="0041092B"/>
    <w:rsid w:val="0041165A"/>
    <w:rsid w:val="004120EC"/>
    <w:rsid w:val="0041267F"/>
    <w:rsid w:val="00414AD9"/>
    <w:rsid w:val="00423DB9"/>
    <w:rsid w:val="00423DE0"/>
    <w:rsid w:val="00423F31"/>
    <w:rsid w:val="0042526D"/>
    <w:rsid w:val="00426340"/>
    <w:rsid w:val="004303AA"/>
    <w:rsid w:val="004311AC"/>
    <w:rsid w:val="00431899"/>
    <w:rsid w:val="00432AF0"/>
    <w:rsid w:val="00443F72"/>
    <w:rsid w:val="00446F46"/>
    <w:rsid w:val="00450381"/>
    <w:rsid w:val="004529F1"/>
    <w:rsid w:val="00453B1A"/>
    <w:rsid w:val="00462A57"/>
    <w:rsid w:val="004708FA"/>
    <w:rsid w:val="004728DD"/>
    <w:rsid w:val="00472AA3"/>
    <w:rsid w:val="00473F2D"/>
    <w:rsid w:val="00473F39"/>
    <w:rsid w:val="00474037"/>
    <w:rsid w:val="00475782"/>
    <w:rsid w:val="00477615"/>
    <w:rsid w:val="00481A26"/>
    <w:rsid w:val="004821BB"/>
    <w:rsid w:val="00482AE8"/>
    <w:rsid w:val="00486804"/>
    <w:rsid w:val="00487549"/>
    <w:rsid w:val="00493F17"/>
    <w:rsid w:val="00494242"/>
    <w:rsid w:val="00496766"/>
    <w:rsid w:val="004A41B8"/>
    <w:rsid w:val="004B3775"/>
    <w:rsid w:val="004B4EF5"/>
    <w:rsid w:val="004C0396"/>
    <w:rsid w:val="004D0BA0"/>
    <w:rsid w:val="004D7F36"/>
    <w:rsid w:val="004E058F"/>
    <w:rsid w:val="004E325C"/>
    <w:rsid w:val="004E3B87"/>
    <w:rsid w:val="004E549D"/>
    <w:rsid w:val="004E66BE"/>
    <w:rsid w:val="004F1E31"/>
    <w:rsid w:val="004F5615"/>
    <w:rsid w:val="00502041"/>
    <w:rsid w:val="00503EB4"/>
    <w:rsid w:val="0050592F"/>
    <w:rsid w:val="00510921"/>
    <w:rsid w:val="00510AD3"/>
    <w:rsid w:val="00513348"/>
    <w:rsid w:val="00513AD8"/>
    <w:rsid w:val="00517DD0"/>
    <w:rsid w:val="005204D2"/>
    <w:rsid w:val="0052111A"/>
    <w:rsid w:val="00522396"/>
    <w:rsid w:val="00527AD8"/>
    <w:rsid w:val="005303B9"/>
    <w:rsid w:val="0053159D"/>
    <w:rsid w:val="00531B69"/>
    <w:rsid w:val="00532A04"/>
    <w:rsid w:val="00533B5D"/>
    <w:rsid w:val="00534D96"/>
    <w:rsid w:val="00536343"/>
    <w:rsid w:val="00536BAB"/>
    <w:rsid w:val="00540A22"/>
    <w:rsid w:val="00546877"/>
    <w:rsid w:val="005474FC"/>
    <w:rsid w:val="00553079"/>
    <w:rsid w:val="005579C6"/>
    <w:rsid w:val="00560E83"/>
    <w:rsid w:val="005623F3"/>
    <w:rsid w:val="00565318"/>
    <w:rsid w:val="0056D3BB"/>
    <w:rsid w:val="005736BB"/>
    <w:rsid w:val="00573EFF"/>
    <w:rsid w:val="00577815"/>
    <w:rsid w:val="005822D6"/>
    <w:rsid w:val="005838FD"/>
    <w:rsid w:val="005839E5"/>
    <w:rsid w:val="00586F29"/>
    <w:rsid w:val="00594F3D"/>
    <w:rsid w:val="005A1C6A"/>
    <w:rsid w:val="005A20F6"/>
    <w:rsid w:val="005A257E"/>
    <w:rsid w:val="005A3D07"/>
    <w:rsid w:val="005B0BA9"/>
    <w:rsid w:val="005B7577"/>
    <w:rsid w:val="005C2EC9"/>
    <w:rsid w:val="005C532B"/>
    <w:rsid w:val="005D3655"/>
    <w:rsid w:val="005D5489"/>
    <w:rsid w:val="005D69AA"/>
    <w:rsid w:val="005D7F03"/>
    <w:rsid w:val="005E0058"/>
    <w:rsid w:val="005E4830"/>
    <w:rsid w:val="005E5524"/>
    <w:rsid w:val="005E5857"/>
    <w:rsid w:val="005E5A76"/>
    <w:rsid w:val="005E73CC"/>
    <w:rsid w:val="005F2F66"/>
    <w:rsid w:val="006031AC"/>
    <w:rsid w:val="00603321"/>
    <w:rsid w:val="0061664A"/>
    <w:rsid w:val="00616A58"/>
    <w:rsid w:val="00620A3D"/>
    <w:rsid w:val="00622B86"/>
    <w:rsid w:val="00623BA1"/>
    <w:rsid w:val="00630092"/>
    <w:rsid w:val="006346BC"/>
    <w:rsid w:val="006362FF"/>
    <w:rsid w:val="006373C6"/>
    <w:rsid w:val="006378FE"/>
    <w:rsid w:val="006408FF"/>
    <w:rsid w:val="00644E8C"/>
    <w:rsid w:val="006518C2"/>
    <w:rsid w:val="0065649B"/>
    <w:rsid w:val="0066203A"/>
    <w:rsid w:val="0066652A"/>
    <w:rsid w:val="006719C3"/>
    <w:rsid w:val="006745FC"/>
    <w:rsid w:val="00674A1A"/>
    <w:rsid w:val="006750D9"/>
    <w:rsid w:val="00677DD7"/>
    <w:rsid w:val="00680115"/>
    <w:rsid w:val="00680522"/>
    <w:rsid w:val="00681633"/>
    <w:rsid w:val="0068172A"/>
    <w:rsid w:val="00682167"/>
    <w:rsid w:val="00690AE1"/>
    <w:rsid w:val="00694598"/>
    <w:rsid w:val="006A6F52"/>
    <w:rsid w:val="006A791A"/>
    <w:rsid w:val="006B0064"/>
    <w:rsid w:val="006B3E95"/>
    <w:rsid w:val="006B51B2"/>
    <w:rsid w:val="006B6F6D"/>
    <w:rsid w:val="006C0B06"/>
    <w:rsid w:val="006C3BBD"/>
    <w:rsid w:val="006C42AF"/>
    <w:rsid w:val="006C50F1"/>
    <w:rsid w:val="006C565B"/>
    <w:rsid w:val="006C6498"/>
    <w:rsid w:val="006D15F1"/>
    <w:rsid w:val="006D4DAC"/>
    <w:rsid w:val="006D5A56"/>
    <w:rsid w:val="006E0EED"/>
    <w:rsid w:val="006E4323"/>
    <w:rsid w:val="006E51F5"/>
    <w:rsid w:val="006F59F1"/>
    <w:rsid w:val="006F6BA7"/>
    <w:rsid w:val="007030A3"/>
    <w:rsid w:val="00706136"/>
    <w:rsid w:val="007075DF"/>
    <w:rsid w:val="00711D8E"/>
    <w:rsid w:val="00712672"/>
    <w:rsid w:val="00717517"/>
    <w:rsid w:val="007178C4"/>
    <w:rsid w:val="00721EBD"/>
    <w:rsid w:val="007226EA"/>
    <w:rsid w:val="007243E4"/>
    <w:rsid w:val="00724E49"/>
    <w:rsid w:val="00727E09"/>
    <w:rsid w:val="007349AB"/>
    <w:rsid w:val="00734E3F"/>
    <w:rsid w:val="00736985"/>
    <w:rsid w:val="00743A3F"/>
    <w:rsid w:val="00745DF5"/>
    <w:rsid w:val="00751718"/>
    <w:rsid w:val="00753924"/>
    <w:rsid w:val="0076250F"/>
    <w:rsid w:val="00766041"/>
    <w:rsid w:val="0077324F"/>
    <w:rsid w:val="007733DC"/>
    <w:rsid w:val="00775201"/>
    <w:rsid w:val="00780469"/>
    <w:rsid w:val="00780FA5"/>
    <w:rsid w:val="00786394"/>
    <w:rsid w:val="007864CF"/>
    <w:rsid w:val="00794568"/>
    <w:rsid w:val="00794D99"/>
    <w:rsid w:val="00795819"/>
    <w:rsid w:val="00796F1C"/>
    <w:rsid w:val="007A4493"/>
    <w:rsid w:val="007A4DF5"/>
    <w:rsid w:val="007A7D38"/>
    <w:rsid w:val="007B0181"/>
    <w:rsid w:val="007B53DB"/>
    <w:rsid w:val="007B53F9"/>
    <w:rsid w:val="007B6200"/>
    <w:rsid w:val="007C05F7"/>
    <w:rsid w:val="007C19B3"/>
    <w:rsid w:val="007C35DE"/>
    <w:rsid w:val="007C4D69"/>
    <w:rsid w:val="007C735B"/>
    <w:rsid w:val="007E4107"/>
    <w:rsid w:val="007E5361"/>
    <w:rsid w:val="007E54E6"/>
    <w:rsid w:val="007E556D"/>
    <w:rsid w:val="007E7BC7"/>
    <w:rsid w:val="007F3395"/>
    <w:rsid w:val="007F4175"/>
    <w:rsid w:val="007F5C0B"/>
    <w:rsid w:val="007F646C"/>
    <w:rsid w:val="00801B9F"/>
    <w:rsid w:val="0080204D"/>
    <w:rsid w:val="00813EA6"/>
    <w:rsid w:val="0082053C"/>
    <w:rsid w:val="00822F43"/>
    <w:rsid w:val="00830866"/>
    <w:rsid w:val="008359FA"/>
    <w:rsid w:val="00836B54"/>
    <w:rsid w:val="00837A4A"/>
    <w:rsid w:val="00837A99"/>
    <w:rsid w:val="00841857"/>
    <w:rsid w:val="0084191E"/>
    <w:rsid w:val="00843B76"/>
    <w:rsid w:val="00844737"/>
    <w:rsid w:val="0084677E"/>
    <w:rsid w:val="008475F0"/>
    <w:rsid w:val="008515AF"/>
    <w:rsid w:val="0085215A"/>
    <w:rsid w:val="00852C32"/>
    <w:rsid w:val="00854F69"/>
    <w:rsid w:val="008557A7"/>
    <w:rsid w:val="00856BFE"/>
    <w:rsid w:val="00857312"/>
    <w:rsid w:val="00860698"/>
    <w:rsid w:val="00862BCF"/>
    <w:rsid w:val="00864003"/>
    <w:rsid w:val="00865DE2"/>
    <w:rsid w:val="00867883"/>
    <w:rsid w:val="00870928"/>
    <w:rsid w:val="008720EE"/>
    <w:rsid w:val="00873AEA"/>
    <w:rsid w:val="008740B3"/>
    <w:rsid w:val="008749B9"/>
    <w:rsid w:val="00876B47"/>
    <w:rsid w:val="00877620"/>
    <w:rsid w:val="00881605"/>
    <w:rsid w:val="0088554E"/>
    <w:rsid w:val="00887404"/>
    <w:rsid w:val="00891904"/>
    <w:rsid w:val="0089405C"/>
    <w:rsid w:val="00894FEB"/>
    <w:rsid w:val="00897FA2"/>
    <w:rsid w:val="008A1503"/>
    <w:rsid w:val="008A5AFE"/>
    <w:rsid w:val="008A6BB7"/>
    <w:rsid w:val="008A745C"/>
    <w:rsid w:val="008A7B6F"/>
    <w:rsid w:val="008B3713"/>
    <w:rsid w:val="008B4E65"/>
    <w:rsid w:val="008C1A18"/>
    <w:rsid w:val="008C1F60"/>
    <w:rsid w:val="008C2CD0"/>
    <w:rsid w:val="008C478C"/>
    <w:rsid w:val="008C5A0E"/>
    <w:rsid w:val="008C6149"/>
    <w:rsid w:val="008C708C"/>
    <w:rsid w:val="008C7729"/>
    <w:rsid w:val="008CC2D9"/>
    <w:rsid w:val="008E4B49"/>
    <w:rsid w:val="008E4BCA"/>
    <w:rsid w:val="008E4DF5"/>
    <w:rsid w:val="008E7A6E"/>
    <w:rsid w:val="008F6625"/>
    <w:rsid w:val="009131E9"/>
    <w:rsid w:val="00913875"/>
    <w:rsid w:val="00915401"/>
    <w:rsid w:val="00916582"/>
    <w:rsid w:val="00917A7A"/>
    <w:rsid w:val="00920854"/>
    <w:rsid w:val="0093173D"/>
    <w:rsid w:val="00937866"/>
    <w:rsid w:val="00941E94"/>
    <w:rsid w:val="00943730"/>
    <w:rsid w:val="009457FB"/>
    <w:rsid w:val="00945E20"/>
    <w:rsid w:val="009505AE"/>
    <w:rsid w:val="00950D65"/>
    <w:rsid w:val="00952815"/>
    <w:rsid w:val="009543B9"/>
    <w:rsid w:val="00975CA5"/>
    <w:rsid w:val="009774B4"/>
    <w:rsid w:val="00986590"/>
    <w:rsid w:val="0098711C"/>
    <w:rsid w:val="00991579"/>
    <w:rsid w:val="00992C76"/>
    <w:rsid w:val="009969D6"/>
    <w:rsid w:val="00996FC8"/>
    <w:rsid w:val="009A112B"/>
    <w:rsid w:val="009A2619"/>
    <w:rsid w:val="009A58FC"/>
    <w:rsid w:val="009A744E"/>
    <w:rsid w:val="009B394F"/>
    <w:rsid w:val="009B4D3B"/>
    <w:rsid w:val="009C18DB"/>
    <w:rsid w:val="009D1F71"/>
    <w:rsid w:val="009D2D8B"/>
    <w:rsid w:val="009D3438"/>
    <w:rsid w:val="009D43F3"/>
    <w:rsid w:val="009D63A4"/>
    <w:rsid w:val="009D7407"/>
    <w:rsid w:val="009D7467"/>
    <w:rsid w:val="009E0866"/>
    <w:rsid w:val="009E273C"/>
    <w:rsid w:val="009E678A"/>
    <w:rsid w:val="009E71C5"/>
    <w:rsid w:val="009F1350"/>
    <w:rsid w:val="009F6423"/>
    <w:rsid w:val="00A06782"/>
    <w:rsid w:val="00A07A86"/>
    <w:rsid w:val="00A107B9"/>
    <w:rsid w:val="00A12B40"/>
    <w:rsid w:val="00A17461"/>
    <w:rsid w:val="00A22B55"/>
    <w:rsid w:val="00A22CD1"/>
    <w:rsid w:val="00A237B8"/>
    <w:rsid w:val="00A24A62"/>
    <w:rsid w:val="00A31C9F"/>
    <w:rsid w:val="00A33149"/>
    <w:rsid w:val="00A412DE"/>
    <w:rsid w:val="00A4144F"/>
    <w:rsid w:val="00A42C0B"/>
    <w:rsid w:val="00A46B28"/>
    <w:rsid w:val="00A47135"/>
    <w:rsid w:val="00A61B4D"/>
    <w:rsid w:val="00A643A4"/>
    <w:rsid w:val="00A71167"/>
    <w:rsid w:val="00A71A2A"/>
    <w:rsid w:val="00A72201"/>
    <w:rsid w:val="00A725C7"/>
    <w:rsid w:val="00A74192"/>
    <w:rsid w:val="00A757F0"/>
    <w:rsid w:val="00A75B84"/>
    <w:rsid w:val="00A767F3"/>
    <w:rsid w:val="00A80123"/>
    <w:rsid w:val="00A80305"/>
    <w:rsid w:val="00A80F95"/>
    <w:rsid w:val="00A8460A"/>
    <w:rsid w:val="00A854F9"/>
    <w:rsid w:val="00A868CB"/>
    <w:rsid w:val="00A96364"/>
    <w:rsid w:val="00A97244"/>
    <w:rsid w:val="00A97BF1"/>
    <w:rsid w:val="00AA1F1E"/>
    <w:rsid w:val="00AA298A"/>
    <w:rsid w:val="00AA3AA8"/>
    <w:rsid w:val="00AB0F76"/>
    <w:rsid w:val="00AB4795"/>
    <w:rsid w:val="00AB4CB7"/>
    <w:rsid w:val="00AB5D49"/>
    <w:rsid w:val="00AB6748"/>
    <w:rsid w:val="00AB6BD2"/>
    <w:rsid w:val="00AC107C"/>
    <w:rsid w:val="00AC164A"/>
    <w:rsid w:val="00AC3944"/>
    <w:rsid w:val="00AC551D"/>
    <w:rsid w:val="00AC7D92"/>
    <w:rsid w:val="00AD19F7"/>
    <w:rsid w:val="00AD2C2E"/>
    <w:rsid w:val="00AE2B7B"/>
    <w:rsid w:val="00AE448A"/>
    <w:rsid w:val="00AE74DA"/>
    <w:rsid w:val="00AE7AB3"/>
    <w:rsid w:val="00AF18F4"/>
    <w:rsid w:val="00AF2050"/>
    <w:rsid w:val="00AF4103"/>
    <w:rsid w:val="00AF4A1C"/>
    <w:rsid w:val="00AF5EE1"/>
    <w:rsid w:val="00AF619E"/>
    <w:rsid w:val="00AF7ECC"/>
    <w:rsid w:val="00B00BF4"/>
    <w:rsid w:val="00B02B2A"/>
    <w:rsid w:val="00B03CA8"/>
    <w:rsid w:val="00B05B87"/>
    <w:rsid w:val="00B07010"/>
    <w:rsid w:val="00B12991"/>
    <w:rsid w:val="00B16EF6"/>
    <w:rsid w:val="00B20801"/>
    <w:rsid w:val="00B22F0E"/>
    <w:rsid w:val="00B23EB0"/>
    <w:rsid w:val="00B249EC"/>
    <w:rsid w:val="00B25CD2"/>
    <w:rsid w:val="00B33C0A"/>
    <w:rsid w:val="00B34763"/>
    <w:rsid w:val="00B401AF"/>
    <w:rsid w:val="00B50ED0"/>
    <w:rsid w:val="00B51C2F"/>
    <w:rsid w:val="00B55E19"/>
    <w:rsid w:val="00B56D00"/>
    <w:rsid w:val="00B56E71"/>
    <w:rsid w:val="00B579A6"/>
    <w:rsid w:val="00B57BB1"/>
    <w:rsid w:val="00B65136"/>
    <w:rsid w:val="00B664A8"/>
    <w:rsid w:val="00B66D3E"/>
    <w:rsid w:val="00B67CA3"/>
    <w:rsid w:val="00B71AD8"/>
    <w:rsid w:val="00B720D1"/>
    <w:rsid w:val="00B756FC"/>
    <w:rsid w:val="00B84B3C"/>
    <w:rsid w:val="00B857E1"/>
    <w:rsid w:val="00B8599B"/>
    <w:rsid w:val="00B86990"/>
    <w:rsid w:val="00B86A87"/>
    <w:rsid w:val="00B9089B"/>
    <w:rsid w:val="00B91FE7"/>
    <w:rsid w:val="00B929BE"/>
    <w:rsid w:val="00B94758"/>
    <w:rsid w:val="00BA1A85"/>
    <w:rsid w:val="00BA1B89"/>
    <w:rsid w:val="00BA4B6D"/>
    <w:rsid w:val="00BB26C5"/>
    <w:rsid w:val="00BB2F84"/>
    <w:rsid w:val="00BB3FD0"/>
    <w:rsid w:val="00BC1FED"/>
    <w:rsid w:val="00BC37C7"/>
    <w:rsid w:val="00BC4DAD"/>
    <w:rsid w:val="00BC63A8"/>
    <w:rsid w:val="00BD0F5C"/>
    <w:rsid w:val="00BD523B"/>
    <w:rsid w:val="00BD6304"/>
    <w:rsid w:val="00BD710C"/>
    <w:rsid w:val="00BD7AA3"/>
    <w:rsid w:val="00BD7EEF"/>
    <w:rsid w:val="00BE12B6"/>
    <w:rsid w:val="00BF1579"/>
    <w:rsid w:val="00BF4DE6"/>
    <w:rsid w:val="00BF6703"/>
    <w:rsid w:val="00C04D72"/>
    <w:rsid w:val="00C05DD3"/>
    <w:rsid w:val="00C06B13"/>
    <w:rsid w:val="00C16A47"/>
    <w:rsid w:val="00C27D25"/>
    <w:rsid w:val="00C35791"/>
    <w:rsid w:val="00C37697"/>
    <w:rsid w:val="00C42541"/>
    <w:rsid w:val="00C42CDE"/>
    <w:rsid w:val="00C435F1"/>
    <w:rsid w:val="00C448F0"/>
    <w:rsid w:val="00C45941"/>
    <w:rsid w:val="00C50B58"/>
    <w:rsid w:val="00C5182A"/>
    <w:rsid w:val="00C52463"/>
    <w:rsid w:val="00C52B3D"/>
    <w:rsid w:val="00C55983"/>
    <w:rsid w:val="00C61649"/>
    <w:rsid w:val="00C61935"/>
    <w:rsid w:val="00C63EE9"/>
    <w:rsid w:val="00C80F99"/>
    <w:rsid w:val="00C83F4E"/>
    <w:rsid w:val="00C84C30"/>
    <w:rsid w:val="00C87B9B"/>
    <w:rsid w:val="00C908C7"/>
    <w:rsid w:val="00C913EF"/>
    <w:rsid w:val="00C923AF"/>
    <w:rsid w:val="00C92805"/>
    <w:rsid w:val="00C95D98"/>
    <w:rsid w:val="00CA16F3"/>
    <w:rsid w:val="00CA3403"/>
    <w:rsid w:val="00CA37B1"/>
    <w:rsid w:val="00CA3FD8"/>
    <w:rsid w:val="00CA5021"/>
    <w:rsid w:val="00CA575B"/>
    <w:rsid w:val="00CA7464"/>
    <w:rsid w:val="00CB1488"/>
    <w:rsid w:val="00CB1959"/>
    <w:rsid w:val="00CB3770"/>
    <w:rsid w:val="00CB40BD"/>
    <w:rsid w:val="00CC0FD1"/>
    <w:rsid w:val="00CC1D45"/>
    <w:rsid w:val="00CC20BA"/>
    <w:rsid w:val="00CC741B"/>
    <w:rsid w:val="00CC7AC1"/>
    <w:rsid w:val="00CD0E4B"/>
    <w:rsid w:val="00CD3F5D"/>
    <w:rsid w:val="00CD4A31"/>
    <w:rsid w:val="00CD4AD4"/>
    <w:rsid w:val="00CE2CF5"/>
    <w:rsid w:val="00CE4C89"/>
    <w:rsid w:val="00CF07BA"/>
    <w:rsid w:val="00CF21A3"/>
    <w:rsid w:val="00CF2BBB"/>
    <w:rsid w:val="00CF5502"/>
    <w:rsid w:val="00D0296C"/>
    <w:rsid w:val="00D05E55"/>
    <w:rsid w:val="00D1231A"/>
    <w:rsid w:val="00D123D7"/>
    <w:rsid w:val="00D20A30"/>
    <w:rsid w:val="00D20BC7"/>
    <w:rsid w:val="00D2641E"/>
    <w:rsid w:val="00D303B2"/>
    <w:rsid w:val="00D3068D"/>
    <w:rsid w:val="00D3170B"/>
    <w:rsid w:val="00D32D6F"/>
    <w:rsid w:val="00D34D5D"/>
    <w:rsid w:val="00D37B04"/>
    <w:rsid w:val="00D40886"/>
    <w:rsid w:val="00D41866"/>
    <w:rsid w:val="00D45555"/>
    <w:rsid w:val="00D4628C"/>
    <w:rsid w:val="00D462F8"/>
    <w:rsid w:val="00D479B5"/>
    <w:rsid w:val="00D53B23"/>
    <w:rsid w:val="00D540C6"/>
    <w:rsid w:val="00D63519"/>
    <w:rsid w:val="00D64BD1"/>
    <w:rsid w:val="00D71F34"/>
    <w:rsid w:val="00D7310B"/>
    <w:rsid w:val="00D84E17"/>
    <w:rsid w:val="00D85AD2"/>
    <w:rsid w:val="00D85F0B"/>
    <w:rsid w:val="00D90B37"/>
    <w:rsid w:val="00D92254"/>
    <w:rsid w:val="00D924D3"/>
    <w:rsid w:val="00D947AC"/>
    <w:rsid w:val="00D94CF9"/>
    <w:rsid w:val="00DA0EC5"/>
    <w:rsid w:val="00DA1B52"/>
    <w:rsid w:val="00DA4B3C"/>
    <w:rsid w:val="00DB535E"/>
    <w:rsid w:val="00DC0996"/>
    <w:rsid w:val="00DC238C"/>
    <w:rsid w:val="00DC27B2"/>
    <w:rsid w:val="00DC2D22"/>
    <w:rsid w:val="00DC5A4E"/>
    <w:rsid w:val="00DC6D78"/>
    <w:rsid w:val="00DD3E88"/>
    <w:rsid w:val="00DE084C"/>
    <w:rsid w:val="00DE266B"/>
    <w:rsid w:val="00DF2254"/>
    <w:rsid w:val="00DF68CF"/>
    <w:rsid w:val="00DF6A75"/>
    <w:rsid w:val="00E0138E"/>
    <w:rsid w:val="00E01F94"/>
    <w:rsid w:val="00E0497E"/>
    <w:rsid w:val="00E055AB"/>
    <w:rsid w:val="00E14E3E"/>
    <w:rsid w:val="00E14E55"/>
    <w:rsid w:val="00E14F51"/>
    <w:rsid w:val="00E15A6C"/>
    <w:rsid w:val="00E1666D"/>
    <w:rsid w:val="00E16D5F"/>
    <w:rsid w:val="00E17A3A"/>
    <w:rsid w:val="00E20945"/>
    <w:rsid w:val="00E221FA"/>
    <w:rsid w:val="00E25CE8"/>
    <w:rsid w:val="00E3076E"/>
    <w:rsid w:val="00E32094"/>
    <w:rsid w:val="00E357B7"/>
    <w:rsid w:val="00E40E8B"/>
    <w:rsid w:val="00E410F8"/>
    <w:rsid w:val="00E42990"/>
    <w:rsid w:val="00E42E50"/>
    <w:rsid w:val="00E4584F"/>
    <w:rsid w:val="00E47DFC"/>
    <w:rsid w:val="00E532A8"/>
    <w:rsid w:val="00E5350F"/>
    <w:rsid w:val="00E53800"/>
    <w:rsid w:val="00E6081F"/>
    <w:rsid w:val="00E614AA"/>
    <w:rsid w:val="00E624EC"/>
    <w:rsid w:val="00E643EC"/>
    <w:rsid w:val="00E652AA"/>
    <w:rsid w:val="00E70C37"/>
    <w:rsid w:val="00E70D1B"/>
    <w:rsid w:val="00E8296D"/>
    <w:rsid w:val="00E8457B"/>
    <w:rsid w:val="00E944AA"/>
    <w:rsid w:val="00EA04B2"/>
    <w:rsid w:val="00EA20F3"/>
    <w:rsid w:val="00EA36D9"/>
    <w:rsid w:val="00EB4300"/>
    <w:rsid w:val="00EC2B54"/>
    <w:rsid w:val="00EC608A"/>
    <w:rsid w:val="00EC6D38"/>
    <w:rsid w:val="00EC78EB"/>
    <w:rsid w:val="00ED179A"/>
    <w:rsid w:val="00ED18EE"/>
    <w:rsid w:val="00ED2831"/>
    <w:rsid w:val="00ED3B2D"/>
    <w:rsid w:val="00ED43D1"/>
    <w:rsid w:val="00ED6E38"/>
    <w:rsid w:val="00EE0466"/>
    <w:rsid w:val="00EE0FCB"/>
    <w:rsid w:val="00EE1CFF"/>
    <w:rsid w:val="00EE4EE1"/>
    <w:rsid w:val="00EF4574"/>
    <w:rsid w:val="00F003E0"/>
    <w:rsid w:val="00F01921"/>
    <w:rsid w:val="00F06982"/>
    <w:rsid w:val="00F13373"/>
    <w:rsid w:val="00F13E4D"/>
    <w:rsid w:val="00F20898"/>
    <w:rsid w:val="00F251BE"/>
    <w:rsid w:val="00F258BF"/>
    <w:rsid w:val="00F25A93"/>
    <w:rsid w:val="00F2684E"/>
    <w:rsid w:val="00F27235"/>
    <w:rsid w:val="00F32F70"/>
    <w:rsid w:val="00F3685E"/>
    <w:rsid w:val="00F45486"/>
    <w:rsid w:val="00F47942"/>
    <w:rsid w:val="00F53309"/>
    <w:rsid w:val="00F53E91"/>
    <w:rsid w:val="00F5404C"/>
    <w:rsid w:val="00F55791"/>
    <w:rsid w:val="00F64397"/>
    <w:rsid w:val="00F64AD5"/>
    <w:rsid w:val="00F650C7"/>
    <w:rsid w:val="00F67C6A"/>
    <w:rsid w:val="00F70504"/>
    <w:rsid w:val="00F707E0"/>
    <w:rsid w:val="00F71CB4"/>
    <w:rsid w:val="00F729EF"/>
    <w:rsid w:val="00F73413"/>
    <w:rsid w:val="00F746B7"/>
    <w:rsid w:val="00F760AE"/>
    <w:rsid w:val="00F767DA"/>
    <w:rsid w:val="00F77CAE"/>
    <w:rsid w:val="00F82271"/>
    <w:rsid w:val="00F83428"/>
    <w:rsid w:val="00F8386A"/>
    <w:rsid w:val="00F875A8"/>
    <w:rsid w:val="00F90B17"/>
    <w:rsid w:val="00F96BB9"/>
    <w:rsid w:val="00F975C0"/>
    <w:rsid w:val="00FA11D5"/>
    <w:rsid w:val="00FA4D1A"/>
    <w:rsid w:val="00FA519A"/>
    <w:rsid w:val="00FA5EFD"/>
    <w:rsid w:val="00FC075D"/>
    <w:rsid w:val="00FC1216"/>
    <w:rsid w:val="00FC5365"/>
    <w:rsid w:val="00FD11BE"/>
    <w:rsid w:val="00FD1850"/>
    <w:rsid w:val="00FD710F"/>
    <w:rsid w:val="00FE480B"/>
    <w:rsid w:val="00FE6D51"/>
    <w:rsid w:val="00FE6F2A"/>
    <w:rsid w:val="00FE7B31"/>
    <w:rsid w:val="00FF0590"/>
    <w:rsid w:val="00FF3378"/>
    <w:rsid w:val="00FF551B"/>
    <w:rsid w:val="016B4A11"/>
    <w:rsid w:val="01D954B8"/>
    <w:rsid w:val="02796140"/>
    <w:rsid w:val="02C8CB11"/>
    <w:rsid w:val="02ED7AD8"/>
    <w:rsid w:val="0304547A"/>
    <w:rsid w:val="03742070"/>
    <w:rsid w:val="04971E2F"/>
    <w:rsid w:val="04D23A1E"/>
    <w:rsid w:val="050FF0D1"/>
    <w:rsid w:val="05353499"/>
    <w:rsid w:val="05B10202"/>
    <w:rsid w:val="05F53B74"/>
    <w:rsid w:val="0746FC22"/>
    <w:rsid w:val="07BFF5F4"/>
    <w:rsid w:val="08479193"/>
    <w:rsid w:val="0913F967"/>
    <w:rsid w:val="0984AAD9"/>
    <w:rsid w:val="0A22D4D0"/>
    <w:rsid w:val="0B763A87"/>
    <w:rsid w:val="0B7F3255"/>
    <w:rsid w:val="0C19B50A"/>
    <w:rsid w:val="0C76811D"/>
    <w:rsid w:val="0C8F1C9A"/>
    <w:rsid w:val="0D583FEB"/>
    <w:rsid w:val="0D836C6D"/>
    <w:rsid w:val="0EB6D317"/>
    <w:rsid w:val="0EC34891"/>
    <w:rsid w:val="0ED914AA"/>
    <w:rsid w:val="0FAE21DF"/>
    <w:rsid w:val="10142F8E"/>
    <w:rsid w:val="1052A378"/>
    <w:rsid w:val="1102BFE0"/>
    <w:rsid w:val="118AE76E"/>
    <w:rsid w:val="11BDB75A"/>
    <w:rsid w:val="11FAE953"/>
    <w:rsid w:val="134AED97"/>
    <w:rsid w:val="13ECEC14"/>
    <w:rsid w:val="1461AD0A"/>
    <w:rsid w:val="15323006"/>
    <w:rsid w:val="15903295"/>
    <w:rsid w:val="16402118"/>
    <w:rsid w:val="16E5F9D4"/>
    <w:rsid w:val="1763D58D"/>
    <w:rsid w:val="17F09CDA"/>
    <w:rsid w:val="188CFA94"/>
    <w:rsid w:val="18FA9940"/>
    <w:rsid w:val="19D96124"/>
    <w:rsid w:val="19E45950"/>
    <w:rsid w:val="1A56DA97"/>
    <w:rsid w:val="1A93A3CC"/>
    <w:rsid w:val="1ADFD2FB"/>
    <w:rsid w:val="1D2BC4C5"/>
    <w:rsid w:val="1D3C6C47"/>
    <w:rsid w:val="1EECA8D3"/>
    <w:rsid w:val="1FCACEA6"/>
    <w:rsid w:val="213CCA42"/>
    <w:rsid w:val="220DB0D9"/>
    <w:rsid w:val="2228AC7B"/>
    <w:rsid w:val="23B1E1E1"/>
    <w:rsid w:val="23C47CDC"/>
    <w:rsid w:val="23F6F432"/>
    <w:rsid w:val="23F83131"/>
    <w:rsid w:val="24520B51"/>
    <w:rsid w:val="260AC1D1"/>
    <w:rsid w:val="2610161C"/>
    <w:rsid w:val="264DDDD8"/>
    <w:rsid w:val="27FB10F0"/>
    <w:rsid w:val="295AE937"/>
    <w:rsid w:val="2970B550"/>
    <w:rsid w:val="29734B00"/>
    <w:rsid w:val="2A33BE60"/>
    <w:rsid w:val="2AB47AF1"/>
    <w:rsid w:val="2ABB962E"/>
    <w:rsid w:val="2B0AA791"/>
    <w:rsid w:val="2B457185"/>
    <w:rsid w:val="2B8E2DE8"/>
    <w:rsid w:val="2B906769"/>
    <w:rsid w:val="2BA34280"/>
    <w:rsid w:val="2BB54A97"/>
    <w:rsid w:val="2C1AD208"/>
    <w:rsid w:val="2CA85612"/>
    <w:rsid w:val="2CCB28A3"/>
    <w:rsid w:val="2D5B22AB"/>
    <w:rsid w:val="2E2AFE16"/>
    <w:rsid w:val="2E45F9B8"/>
    <w:rsid w:val="2E7E055E"/>
    <w:rsid w:val="2EB2A337"/>
    <w:rsid w:val="2F9D90A7"/>
    <w:rsid w:val="2FB46F69"/>
    <w:rsid w:val="2FC6CE77"/>
    <w:rsid w:val="300E1F71"/>
    <w:rsid w:val="31396108"/>
    <w:rsid w:val="3151E31F"/>
    <w:rsid w:val="31751AB6"/>
    <w:rsid w:val="317BC735"/>
    <w:rsid w:val="31C056DC"/>
    <w:rsid w:val="31DAF39D"/>
    <w:rsid w:val="32EDB380"/>
    <w:rsid w:val="33181F71"/>
    <w:rsid w:val="34B367F7"/>
    <w:rsid w:val="3564A37A"/>
    <w:rsid w:val="360F8CD6"/>
    <w:rsid w:val="36360FFB"/>
    <w:rsid w:val="363DFD81"/>
    <w:rsid w:val="364F3858"/>
    <w:rsid w:val="36510B9D"/>
    <w:rsid w:val="373A411E"/>
    <w:rsid w:val="37A5DB4A"/>
    <w:rsid w:val="38F6FCBD"/>
    <w:rsid w:val="39CB68C1"/>
    <w:rsid w:val="39D7A7F9"/>
    <w:rsid w:val="3B08556E"/>
    <w:rsid w:val="3BAB0121"/>
    <w:rsid w:val="3CDC5E57"/>
    <w:rsid w:val="3D263862"/>
    <w:rsid w:val="3D803B95"/>
    <w:rsid w:val="3DF609F7"/>
    <w:rsid w:val="3DFDFFEA"/>
    <w:rsid w:val="3E046DB7"/>
    <w:rsid w:val="3E45BB16"/>
    <w:rsid w:val="3E4630F0"/>
    <w:rsid w:val="3E58284A"/>
    <w:rsid w:val="3E5C1D82"/>
    <w:rsid w:val="3F67F39B"/>
    <w:rsid w:val="3FE4DFC7"/>
    <w:rsid w:val="404F49B3"/>
    <w:rsid w:val="4056996D"/>
    <w:rsid w:val="407E0DAB"/>
    <w:rsid w:val="411EBEC2"/>
    <w:rsid w:val="4193BE44"/>
    <w:rsid w:val="422CA225"/>
    <w:rsid w:val="426DDF30"/>
    <w:rsid w:val="43149303"/>
    <w:rsid w:val="43AF9F72"/>
    <w:rsid w:val="449B5755"/>
    <w:rsid w:val="44A9E100"/>
    <w:rsid w:val="453A7DB5"/>
    <w:rsid w:val="46397161"/>
    <w:rsid w:val="464C33C5"/>
    <w:rsid w:val="4654214B"/>
    <w:rsid w:val="46E89917"/>
    <w:rsid w:val="47121FA6"/>
    <w:rsid w:val="47DB72C8"/>
    <w:rsid w:val="492056C0"/>
    <w:rsid w:val="497B80B4"/>
    <w:rsid w:val="4A20D867"/>
    <w:rsid w:val="4A40E94A"/>
    <w:rsid w:val="4A4C8765"/>
    <w:rsid w:val="4A7F8500"/>
    <w:rsid w:val="4ADAAC53"/>
    <w:rsid w:val="4C22734C"/>
    <w:rsid w:val="4E7421A6"/>
    <w:rsid w:val="4EE9990E"/>
    <w:rsid w:val="4F2967B5"/>
    <w:rsid w:val="4F480448"/>
    <w:rsid w:val="4F52F623"/>
    <w:rsid w:val="5075A5E1"/>
    <w:rsid w:val="512B68A5"/>
    <w:rsid w:val="51325D80"/>
    <w:rsid w:val="5148935E"/>
    <w:rsid w:val="51B39B0E"/>
    <w:rsid w:val="51BC6068"/>
    <w:rsid w:val="52268F5F"/>
    <w:rsid w:val="523C7082"/>
    <w:rsid w:val="52716E88"/>
    <w:rsid w:val="52A0494D"/>
    <w:rsid w:val="53347798"/>
    <w:rsid w:val="5390AAAC"/>
    <w:rsid w:val="53AD46A3"/>
    <w:rsid w:val="53BD4020"/>
    <w:rsid w:val="540D3EE9"/>
    <w:rsid w:val="54C414E5"/>
    <w:rsid w:val="54D14DE7"/>
    <w:rsid w:val="5664C1F5"/>
    <w:rsid w:val="56911A96"/>
    <w:rsid w:val="56E25C4C"/>
    <w:rsid w:val="572D204D"/>
    <w:rsid w:val="577240A2"/>
    <w:rsid w:val="58C41B1E"/>
    <w:rsid w:val="58E3B241"/>
    <w:rsid w:val="591873AD"/>
    <w:rsid w:val="59A1E5D7"/>
    <w:rsid w:val="5B0C4FC1"/>
    <w:rsid w:val="5B223644"/>
    <w:rsid w:val="5B295360"/>
    <w:rsid w:val="5B561869"/>
    <w:rsid w:val="5C2DA45D"/>
    <w:rsid w:val="5CB70689"/>
    <w:rsid w:val="5D04A77E"/>
    <w:rsid w:val="5D3B66FD"/>
    <w:rsid w:val="5D4B557A"/>
    <w:rsid w:val="5D969B5C"/>
    <w:rsid w:val="5DDA4D30"/>
    <w:rsid w:val="5DFD491A"/>
    <w:rsid w:val="5F20783C"/>
    <w:rsid w:val="60192EA7"/>
    <w:rsid w:val="60CE3C1E"/>
    <w:rsid w:val="62271D5A"/>
    <w:rsid w:val="62F6F082"/>
    <w:rsid w:val="638DBAF6"/>
    <w:rsid w:val="63A5FF0F"/>
    <w:rsid w:val="64B4FB4D"/>
    <w:rsid w:val="64CE8071"/>
    <w:rsid w:val="64FEA4FF"/>
    <w:rsid w:val="6502DC7E"/>
    <w:rsid w:val="651EF096"/>
    <w:rsid w:val="654C8EC7"/>
    <w:rsid w:val="65534BFF"/>
    <w:rsid w:val="6565F964"/>
    <w:rsid w:val="65BE0764"/>
    <w:rsid w:val="65FFB14D"/>
    <w:rsid w:val="660F2FC1"/>
    <w:rsid w:val="6639283B"/>
    <w:rsid w:val="6681246B"/>
    <w:rsid w:val="6699CDAA"/>
    <w:rsid w:val="66B70669"/>
    <w:rsid w:val="681CF4CC"/>
    <w:rsid w:val="68E30A31"/>
    <w:rsid w:val="69452C73"/>
    <w:rsid w:val="696C839B"/>
    <w:rsid w:val="69D16E6C"/>
    <w:rsid w:val="69ECF6EE"/>
    <w:rsid w:val="6A3A9977"/>
    <w:rsid w:val="6A6238CC"/>
    <w:rsid w:val="6AE36542"/>
    <w:rsid w:val="6B0E396F"/>
    <w:rsid w:val="6C2E7498"/>
    <w:rsid w:val="6C7F35A3"/>
    <w:rsid w:val="6D2497B0"/>
    <w:rsid w:val="6D89C2A6"/>
    <w:rsid w:val="6DAFF0EC"/>
    <w:rsid w:val="6DC4C1D9"/>
    <w:rsid w:val="6DE8C46F"/>
    <w:rsid w:val="6E66014E"/>
    <w:rsid w:val="6EB61A66"/>
    <w:rsid w:val="6F2F672A"/>
    <w:rsid w:val="6F710515"/>
    <w:rsid w:val="7040AFF0"/>
    <w:rsid w:val="70431015"/>
    <w:rsid w:val="70744D1D"/>
    <w:rsid w:val="7074D3EF"/>
    <w:rsid w:val="70F79063"/>
    <w:rsid w:val="71693A3F"/>
    <w:rsid w:val="729F8961"/>
    <w:rsid w:val="72C9AF59"/>
    <w:rsid w:val="72E9FDE9"/>
    <w:rsid w:val="72FD66E2"/>
    <w:rsid w:val="738E07A8"/>
    <w:rsid w:val="7434EB30"/>
    <w:rsid w:val="74461D11"/>
    <w:rsid w:val="74707649"/>
    <w:rsid w:val="75047D13"/>
    <w:rsid w:val="75DF264F"/>
    <w:rsid w:val="760C46AA"/>
    <w:rsid w:val="7680964B"/>
    <w:rsid w:val="76EFDE7E"/>
    <w:rsid w:val="7701A923"/>
    <w:rsid w:val="77430F72"/>
    <w:rsid w:val="77D8E5C5"/>
    <w:rsid w:val="782B74FA"/>
    <w:rsid w:val="788E01AE"/>
    <w:rsid w:val="79B7DEC0"/>
    <w:rsid w:val="79E9F25B"/>
    <w:rsid w:val="7A454A3A"/>
    <w:rsid w:val="7A498F13"/>
    <w:rsid w:val="7B516A13"/>
    <w:rsid w:val="7BCE8D7D"/>
    <w:rsid w:val="7BD54752"/>
    <w:rsid w:val="7BFAB8C9"/>
    <w:rsid w:val="7C7985AF"/>
    <w:rsid w:val="7CF5F528"/>
    <w:rsid w:val="7E3F1B6B"/>
    <w:rsid w:val="7E957C9A"/>
    <w:rsid w:val="7EB36C9C"/>
    <w:rsid w:val="7EDB5663"/>
    <w:rsid w:val="7F8FE9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66032"/>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054567"/>
    <w:pPr>
      <w:keepNext/>
      <w:keepLines/>
      <w:spacing w:before="0" w:after="180" w:line="380" w:lineRule="exact"/>
      <w:contextualSpacing/>
      <w:outlineLvl w:val="0"/>
    </w:pPr>
    <w:rPr>
      <w:rFonts w:asciiTheme="majorHAnsi" w:eastAsiaTheme="majorEastAsia" w:hAnsiTheme="majorHAnsi" w:cstheme="majorBidi"/>
      <w:b/>
      <w:bCs/>
      <w:caps/>
      <w:color w:val="auto"/>
      <w:sz w:val="38"/>
      <w:szCs w:val="28"/>
    </w:rPr>
  </w:style>
  <w:style w:type="paragraph" w:styleId="Heading2">
    <w:name w:val="heading 2"/>
    <w:basedOn w:val="Heading1"/>
    <w:next w:val="Normal"/>
    <w:link w:val="Heading2Char"/>
    <w:autoRedefine/>
    <w:uiPriority w:val="9"/>
    <w:unhideWhenUsed/>
    <w:qFormat/>
    <w:rsid w:val="00054567"/>
    <w:pPr>
      <w:spacing w:before="240" w:after="120" w:line="240" w:lineRule="auto"/>
      <w:outlineLvl w:val="1"/>
    </w:pPr>
    <w:rPr>
      <w:rFonts w:asciiTheme="minorHAnsi" w:hAnsiTheme="minorHAnsi" w:cstheme="minorHAnsi"/>
      <w:bCs w:val="0"/>
      <w:sz w:val="26"/>
      <w:szCs w:val="26"/>
    </w:rPr>
  </w:style>
  <w:style w:type="paragraph" w:styleId="Heading3">
    <w:name w:val="heading 3"/>
    <w:basedOn w:val="Heading2"/>
    <w:next w:val="Normal"/>
    <w:link w:val="Heading3Char"/>
    <w:autoRedefine/>
    <w:uiPriority w:val="9"/>
    <w:unhideWhenUsed/>
    <w:qFormat/>
    <w:rsid w:val="00891904"/>
    <w:pPr>
      <w:spacing w:before="0" w:after="0"/>
      <w:contextualSpacing w:val="0"/>
      <w:outlineLvl w:val="2"/>
    </w:pPr>
    <w:rPr>
      <w:bCs/>
      <w:iCs/>
      <w:caps w:val="0"/>
      <w:szCs w:val="22"/>
    </w:rPr>
  </w:style>
  <w:style w:type="paragraph" w:styleId="Heading4">
    <w:name w:val="heading 4"/>
    <w:basedOn w:val="Heading3"/>
    <w:next w:val="Normal"/>
    <w:link w:val="Heading4Char"/>
    <w:uiPriority w:val="9"/>
    <w:unhideWhenUsed/>
    <w:qFormat/>
    <w:rsid w:val="00A4144F"/>
    <w:pPr>
      <w:spacing w:line="280" w:lineRule="atLeast"/>
      <w:outlineLvl w:val="3"/>
    </w:pPr>
    <w:rPr>
      <w:iCs w:val="0"/>
    </w:rPr>
  </w:style>
  <w:style w:type="paragraph" w:styleId="Heading5">
    <w:name w:val="heading 5"/>
    <w:basedOn w:val="Heading4"/>
    <w:next w:val="Normal"/>
    <w:link w:val="Heading5Char"/>
    <w:uiPriority w:val="9"/>
    <w:unhideWhenUsed/>
    <w:qFormat/>
    <w:rsid w:val="00B71AD8"/>
    <w:pPr>
      <w:spacing w:line="200" w:lineRule="atLeast"/>
      <w:outlineLvl w:val="4"/>
    </w:pPr>
    <w:rPr>
      <w:b w:val="0"/>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567"/>
    <w:rPr>
      <w:rFonts w:asciiTheme="majorHAnsi" w:eastAsiaTheme="majorEastAsia" w:hAnsiTheme="majorHAnsi" w:cstheme="majorBidi"/>
      <w:b/>
      <w:bCs/>
      <w:caps/>
      <w:sz w:val="38"/>
      <w:szCs w:val="28"/>
      <w:lang w:val="en-GB"/>
    </w:rPr>
  </w:style>
  <w:style w:type="character" w:customStyle="1" w:styleId="Heading2Char">
    <w:name w:val="Heading 2 Char"/>
    <w:basedOn w:val="DefaultParagraphFont"/>
    <w:link w:val="Heading2"/>
    <w:uiPriority w:val="9"/>
    <w:rsid w:val="00054567"/>
    <w:rPr>
      <w:rFonts w:eastAsiaTheme="majorEastAsia" w:cstheme="minorHAnsi"/>
      <w:b/>
      <w:caps/>
      <w:sz w:val="26"/>
      <w:szCs w:val="26"/>
      <w:lang w:val="en-GB"/>
    </w:rPr>
  </w:style>
  <w:style w:type="character" w:customStyle="1" w:styleId="Heading3Char">
    <w:name w:val="Heading 3 Char"/>
    <w:basedOn w:val="DefaultParagraphFont"/>
    <w:link w:val="Heading3"/>
    <w:uiPriority w:val="9"/>
    <w:rsid w:val="00891904"/>
    <w:rPr>
      <w:rFonts w:eastAsiaTheme="majorEastAsia" w:cstheme="minorHAnsi"/>
      <w:b/>
      <w:bCs/>
      <w:iCs/>
      <w:color w:val="495965" w:themeColor="text2"/>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B71AD8"/>
    <w:pPr>
      <w:numPr>
        <w:numId w:val="10"/>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7"/>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after="60"/>
    </w:pPr>
    <w:rPr>
      <w:bCs/>
    </w:rPr>
  </w:style>
  <w:style w:type="paragraph" w:customStyle="1" w:styleId="Heading3Numbered">
    <w:name w:val="Heading 3 Numbered"/>
    <w:basedOn w:val="Heading3"/>
    <w:next w:val="Normal"/>
    <w:qFormat/>
    <w:rsid w:val="00ED2831"/>
    <w:pPr>
      <w:numPr>
        <w:ilvl w:val="2"/>
        <w:numId w:val="6"/>
      </w:numPr>
      <w:spacing w:before="300" w:after="60"/>
    </w:pPr>
  </w:style>
  <w:style w:type="numbering" w:customStyle="1" w:styleId="BulletsList">
    <w:name w:val="Bullets List"/>
    <w:uiPriority w:val="99"/>
    <w:rsid w:val="00B71AD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B71AD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71AD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244229"/>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8"/>
      </w:numPr>
      <w:ind w:left="454" w:hanging="170"/>
    </w:pPr>
  </w:style>
  <w:style w:type="paragraph" w:customStyle="1" w:styleId="Box2Bullet">
    <w:name w:val="Box 2 Bullet"/>
    <w:basedOn w:val="Box2Text"/>
    <w:qFormat/>
    <w:rsid w:val="00C42541"/>
    <w:pPr>
      <w:numPr>
        <w:numId w:val="9"/>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locked/>
    <w:rsid w:val="00A97244"/>
    <w:pPr>
      <w:ind w:left="720"/>
      <w:contextualSpacing/>
    </w:p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sid w:val="00A97244"/>
    <w:rPr>
      <w:color w:val="495965" w:themeColor="text2"/>
      <w:lang w:val="en-GB"/>
    </w:rPr>
  </w:style>
  <w:style w:type="table" w:customStyle="1" w:styleId="DFATTable11">
    <w:name w:val="DFAT Table 11"/>
    <w:basedOn w:val="TableNormal"/>
    <w:uiPriority w:val="99"/>
    <w:rsid w:val="00E4584F"/>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table" w:styleId="GridTable4-Accent1">
    <w:name w:val="Grid Table 4 Accent 1"/>
    <w:basedOn w:val="TableNormal"/>
    <w:uiPriority w:val="49"/>
    <w:locked/>
    <w:rsid w:val="00DC238C"/>
    <w:pPr>
      <w:spacing w:after="0" w:line="240" w:lineRule="auto"/>
    </w:pPr>
    <w:tblPr>
      <w:tblStyleRowBandSize w:val="1"/>
      <w:tblStyleColBandSize w:val="1"/>
      <w:tblBorders>
        <w:top w:val="single" w:sz="4" w:space="0" w:color="A2DCD1" w:themeColor="accent1" w:themeTint="99"/>
        <w:left w:val="single" w:sz="4" w:space="0" w:color="A2DCD1" w:themeColor="accent1" w:themeTint="99"/>
        <w:bottom w:val="single" w:sz="4" w:space="0" w:color="A2DCD1" w:themeColor="accent1" w:themeTint="99"/>
        <w:right w:val="single" w:sz="4" w:space="0" w:color="A2DCD1" w:themeColor="accent1" w:themeTint="99"/>
        <w:insideH w:val="single" w:sz="4" w:space="0" w:color="A2DCD1" w:themeColor="accent1" w:themeTint="99"/>
        <w:insideV w:val="single" w:sz="4" w:space="0" w:color="A2DCD1" w:themeColor="accent1" w:themeTint="99"/>
      </w:tblBorders>
    </w:tblPr>
    <w:tblStylePr w:type="firstRow">
      <w:rPr>
        <w:b/>
        <w:bCs/>
        <w:color w:val="FFFFFF" w:themeColor="background1"/>
      </w:rPr>
      <w:tblPr/>
      <w:tcPr>
        <w:tcBorders>
          <w:top w:val="single" w:sz="4" w:space="0" w:color="65C5B4" w:themeColor="accent1"/>
          <w:left w:val="single" w:sz="4" w:space="0" w:color="65C5B4" w:themeColor="accent1"/>
          <w:bottom w:val="single" w:sz="4" w:space="0" w:color="65C5B4" w:themeColor="accent1"/>
          <w:right w:val="single" w:sz="4" w:space="0" w:color="65C5B4" w:themeColor="accent1"/>
          <w:insideH w:val="nil"/>
          <w:insideV w:val="nil"/>
        </w:tcBorders>
        <w:shd w:val="clear" w:color="auto" w:fill="65C5B4" w:themeFill="accent1"/>
      </w:tcPr>
    </w:tblStylePr>
    <w:tblStylePr w:type="lastRow">
      <w:rPr>
        <w:b/>
        <w:bCs/>
      </w:rPr>
      <w:tblPr/>
      <w:tcPr>
        <w:tcBorders>
          <w:top w:val="double" w:sz="4" w:space="0" w:color="65C5B4" w:themeColor="accent1"/>
        </w:tcBorders>
      </w:tcPr>
    </w:tblStylePr>
    <w:tblStylePr w:type="firstCol">
      <w:rPr>
        <w:b/>
        <w:bCs/>
      </w:rPr>
    </w:tblStylePr>
    <w:tblStylePr w:type="lastCol">
      <w:rPr>
        <w:b/>
        <w:bCs/>
      </w:rPr>
    </w:tblStylePr>
    <w:tblStylePr w:type="band1Vert">
      <w:tblPr/>
      <w:tcPr>
        <w:shd w:val="clear" w:color="auto" w:fill="E0F3EF" w:themeFill="accent1" w:themeFillTint="33"/>
      </w:tcPr>
    </w:tblStylePr>
    <w:tblStylePr w:type="band1Horz">
      <w:tblPr/>
      <w:tcPr>
        <w:shd w:val="clear" w:color="auto" w:fill="E0F3EF" w:themeFill="accent1" w:themeFillTint="33"/>
      </w:tcPr>
    </w:tblStylePr>
  </w:style>
  <w:style w:type="table" w:customStyle="1" w:styleId="APPR">
    <w:name w:val="APPR"/>
    <w:basedOn w:val="TableNormal"/>
    <w:uiPriority w:val="99"/>
    <w:rsid w:val="00681633"/>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semiHidden/>
    <w:unhideWhenUsed/>
    <w:locked/>
    <w:rsid w:val="008C1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pPr>
    <w:rPr>
      <w:rFonts w:ascii="Courier New" w:eastAsia="Times New Roman"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semiHidden/>
    <w:rsid w:val="008C1F60"/>
    <w:rPr>
      <w:rFonts w:ascii="Courier New" w:eastAsia="Times New Roman" w:hAnsi="Courier New" w:cs="Courier New"/>
      <w:sz w:val="20"/>
      <w:szCs w:val="20"/>
      <w:lang w:eastAsia="en-AU"/>
    </w:rPr>
  </w:style>
  <w:style w:type="character" w:customStyle="1" w:styleId="y2iqfc">
    <w:name w:val="y2iqfc"/>
    <w:basedOn w:val="DefaultParagraphFont"/>
    <w:rsid w:val="008C1F60"/>
  </w:style>
  <w:style w:type="character" w:styleId="UnresolvedMention">
    <w:name w:val="Unresolved Mention"/>
    <w:basedOn w:val="DefaultParagraphFont"/>
    <w:uiPriority w:val="99"/>
    <w:semiHidden/>
    <w:unhideWhenUsed/>
    <w:rsid w:val="00844737"/>
    <w:rPr>
      <w:color w:val="605E5C"/>
      <w:shd w:val="clear" w:color="auto" w:fill="E1DFDD"/>
    </w:rPr>
  </w:style>
  <w:style w:type="character" w:styleId="FollowedHyperlink">
    <w:name w:val="FollowedHyperlink"/>
    <w:basedOn w:val="DefaultParagraphFont"/>
    <w:uiPriority w:val="99"/>
    <w:semiHidden/>
    <w:unhideWhenUsed/>
    <w:rsid w:val="00FD710F"/>
    <w:rPr>
      <w:color w:val="800080" w:themeColor="followedHyperlink"/>
      <w:u w:val="single"/>
    </w:rPr>
  </w:style>
  <w:style w:type="paragraph" w:styleId="Revision">
    <w:name w:val="Revision"/>
    <w:hidden/>
    <w:uiPriority w:val="99"/>
    <w:semiHidden/>
    <w:rsid w:val="00873AEA"/>
    <w:pPr>
      <w:spacing w:after="0" w:line="240" w:lineRule="auto"/>
    </w:pPr>
    <w:rPr>
      <w:color w:val="495965" w:themeColor="text2"/>
      <w:lang w:val="en-GB"/>
    </w:rPr>
  </w:style>
  <w:style w:type="character" w:customStyle="1" w:styleId="eop">
    <w:name w:val="eop"/>
    <w:basedOn w:val="DefaultParagraphFont"/>
    <w:rsid w:val="00CF2BBB"/>
  </w:style>
  <w:style w:type="character" w:customStyle="1" w:styleId="cf01">
    <w:name w:val="cf01"/>
    <w:basedOn w:val="DefaultParagraphFont"/>
    <w:rsid w:val="00DC27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653">
      <w:bodyDiv w:val="1"/>
      <w:marLeft w:val="0"/>
      <w:marRight w:val="0"/>
      <w:marTop w:val="0"/>
      <w:marBottom w:val="0"/>
      <w:divBdr>
        <w:top w:val="none" w:sz="0" w:space="0" w:color="auto"/>
        <w:left w:val="none" w:sz="0" w:space="0" w:color="auto"/>
        <w:bottom w:val="none" w:sz="0" w:space="0" w:color="auto"/>
        <w:right w:val="none" w:sz="0" w:space="0" w:color="auto"/>
      </w:divBdr>
    </w:div>
    <w:div w:id="25374850">
      <w:bodyDiv w:val="1"/>
      <w:marLeft w:val="0"/>
      <w:marRight w:val="0"/>
      <w:marTop w:val="0"/>
      <w:marBottom w:val="0"/>
      <w:divBdr>
        <w:top w:val="none" w:sz="0" w:space="0" w:color="auto"/>
        <w:left w:val="none" w:sz="0" w:space="0" w:color="auto"/>
        <w:bottom w:val="none" w:sz="0" w:space="0" w:color="auto"/>
        <w:right w:val="none" w:sz="0" w:space="0" w:color="auto"/>
      </w:divBdr>
    </w:div>
    <w:div w:id="48847243">
      <w:bodyDiv w:val="1"/>
      <w:marLeft w:val="0"/>
      <w:marRight w:val="0"/>
      <w:marTop w:val="0"/>
      <w:marBottom w:val="0"/>
      <w:divBdr>
        <w:top w:val="none" w:sz="0" w:space="0" w:color="auto"/>
        <w:left w:val="none" w:sz="0" w:space="0" w:color="auto"/>
        <w:bottom w:val="none" w:sz="0" w:space="0" w:color="auto"/>
        <w:right w:val="none" w:sz="0" w:space="0" w:color="auto"/>
      </w:divBdr>
    </w:div>
    <w:div w:id="86273484">
      <w:bodyDiv w:val="1"/>
      <w:marLeft w:val="0"/>
      <w:marRight w:val="0"/>
      <w:marTop w:val="0"/>
      <w:marBottom w:val="0"/>
      <w:divBdr>
        <w:top w:val="none" w:sz="0" w:space="0" w:color="auto"/>
        <w:left w:val="none" w:sz="0" w:space="0" w:color="auto"/>
        <w:bottom w:val="none" w:sz="0" w:space="0" w:color="auto"/>
        <w:right w:val="none" w:sz="0" w:space="0" w:color="auto"/>
      </w:divBdr>
    </w:div>
    <w:div w:id="111293835">
      <w:bodyDiv w:val="1"/>
      <w:marLeft w:val="0"/>
      <w:marRight w:val="0"/>
      <w:marTop w:val="0"/>
      <w:marBottom w:val="0"/>
      <w:divBdr>
        <w:top w:val="none" w:sz="0" w:space="0" w:color="auto"/>
        <w:left w:val="none" w:sz="0" w:space="0" w:color="auto"/>
        <w:bottom w:val="none" w:sz="0" w:space="0" w:color="auto"/>
        <w:right w:val="none" w:sz="0" w:space="0" w:color="auto"/>
      </w:divBdr>
    </w:div>
    <w:div w:id="242684283">
      <w:bodyDiv w:val="1"/>
      <w:marLeft w:val="0"/>
      <w:marRight w:val="0"/>
      <w:marTop w:val="0"/>
      <w:marBottom w:val="0"/>
      <w:divBdr>
        <w:top w:val="none" w:sz="0" w:space="0" w:color="auto"/>
        <w:left w:val="none" w:sz="0" w:space="0" w:color="auto"/>
        <w:bottom w:val="none" w:sz="0" w:space="0" w:color="auto"/>
        <w:right w:val="none" w:sz="0" w:space="0" w:color="auto"/>
      </w:divBdr>
    </w:div>
    <w:div w:id="432897954">
      <w:bodyDiv w:val="1"/>
      <w:marLeft w:val="0"/>
      <w:marRight w:val="0"/>
      <w:marTop w:val="0"/>
      <w:marBottom w:val="0"/>
      <w:divBdr>
        <w:top w:val="none" w:sz="0" w:space="0" w:color="auto"/>
        <w:left w:val="none" w:sz="0" w:space="0" w:color="auto"/>
        <w:bottom w:val="none" w:sz="0" w:space="0" w:color="auto"/>
        <w:right w:val="none" w:sz="0" w:space="0" w:color="auto"/>
      </w:divBdr>
    </w:div>
    <w:div w:id="491651811">
      <w:bodyDiv w:val="1"/>
      <w:marLeft w:val="0"/>
      <w:marRight w:val="0"/>
      <w:marTop w:val="0"/>
      <w:marBottom w:val="0"/>
      <w:divBdr>
        <w:top w:val="none" w:sz="0" w:space="0" w:color="auto"/>
        <w:left w:val="none" w:sz="0" w:space="0" w:color="auto"/>
        <w:bottom w:val="none" w:sz="0" w:space="0" w:color="auto"/>
        <w:right w:val="none" w:sz="0" w:space="0" w:color="auto"/>
      </w:divBdr>
    </w:div>
    <w:div w:id="980384837">
      <w:bodyDiv w:val="1"/>
      <w:marLeft w:val="0"/>
      <w:marRight w:val="0"/>
      <w:marTop w:val="0"/>
      <w:marBottom w:val="0"/>
      <w:divBdr>
        <w:top w:val="none" w:sz="0" w:space="0" w:color="auto"/>
        <w:left w:val="none" w:sz="0" w:space="0" w:color="auto"/>
        <w:bottom w:val="none" w:sz="0" w:space="0" w:color="auto"/>
        <w:right w:val="none" w:sz="0" w:space="0" w:color="auto"/>
      </w:divBdr>
    </w:div>
    <w:div w:id="1032002213">
      <w:bodyDiv w:val="1"/>
      <w:marLeft w:val="0"/>
      <w:marRight w:val="0"/>
      <w:marTop w:val="0"/>
      <w:marBottom w:val="0"/>
      <w:divBdr>
        <w:top w:val="none" w:sz="0" w:space="0" w:color="auto"/>
        <w:left w:val="none" w:sz="0" w:space="0" w:color="auto"/>
        <w:bottom w:val="none" w:sz="0" w:space="0" w:color="auto"/>
        <w:right w:val="none" w:sz="0" w:space="0" w:color="auto"/>
      </w:divBdr>
    </w:div>
    <w:div w:id="1188061382">
      <w:bodyDiv w:val="1"/>
      <w:marLeft w:val="0"/>
      <w:marRight w:val="0"/>
      <w:marTop w:val="0"/>
      <w:marBottom w:val="0"/>
      <w:divBdr>
        <w:top w:val="none" w:sz="0" w:space="0" w:color="auto"/>
        <w:left w:val="none" w:sz="0" w:space="0" w:color="auto"/>
        <w:bottom w:val="none" w:sz="0" w:space="0" w:color="auto"/>
        <w:right w:val="none" w:sz="0" w:space="0" w:color="auto"/>
      </w:divBdr>
    </w:div>
    <w:div w:id="1232424264">
      <w:bodyDiv w:val="1"/>
      <w:marLeft w:val="0"/>
      <w:marRight w:val="0"/>
      <w:marTop w:val="0"/>
      <w:marBottom w:val="0"/>
      <w:divBdr>
        <w:top w:val="none" w:sz="0" w:space="0" w:color="auto"/>
        <w:left w:val="none" w:sz="0" w:space="0" w:color="auto"/>
        <w:bottom w:val="none" w:sz="0" w:space="0" w:color="auto"/>
        <w:right w:val="none" w:sz="0" w:space="0" w:color="auto"/>
      </w:divBdr>
    </w:div>
    <w:div w:id="1294557505">
      <w:bodyDiv w:val="1"/>
      <w:marLeft w:val="0"/>
      <w:marRight w:val="0"/>
      <w:marTop w:val="0"/>
      <w:marBottom w:val="0"/>
      <w:divBdr>
        <w:top w:val="none" w:sz="0" w:space="0" w:color="auto"/>
        <w:left w:val="none" w:sz="0" w:space="0" w:color="auto"/>
        <w:bottom w:val="none" w:sz="0" w:space="0" w:color="auto"/>
        <w:right w:val="none" w:sz="0" w:space="0" w:color="auto"/>
      </w:divBdr>
    </w:div>
    <w:div w:id="1313829694">
      <w:bodyDiv w:val="1"/>
      <w:marLeft w:val="0"/>
      <w:marRight w:val="0"/>
      <w:marTop w:val="0"/>
      <w:marBottom w:val="0"/>
      <w:divBdr>
        <w:top w:val="none" w:sz="0" w:space="0" w:color="auto"/>
        <w:left w:val="none" w:sz="0" w:space="0" w:color="auto"/>
        <w:bottom w:val="none" w:sz="0" w:space="0" w:color="auto"/>
        <w:right w:val="none" w:sz="0" w:space="0" w:color="auto"/>
      </w:divBdr>
    </w:div>
    <w:div w:id="1394888277">
      <w:bodyDiv w:val="1"/>
      <w:marLeft w:val="0"/>
      <w:marRight w:val="0"/>
      <w:marTop w:val="0"/>
      <w:marBottom w:val="0"/>
      <w:divBdr>
        <w:top w:val="none" w:sz="0" w:space="0" w:color="auto"/>
        <w:left w:val="none" w:sz="0" w:space="0" w:color="auto"/>
        <w:bottom w:val="none" w:sz="0" w:space="0" w:color="auto"/>
        <w:right w:val="none" w:sz="0" w:space="0" w:color="auto"/>
      </w:divBdr>
    </w:div>
    <w:div w:id="1397318820">
      <w:bodyDiv w:val="1"/>
      <w:marLeft w:val="0"/>
      <w:marRight w:val="0"/>
      <w:marTop w:val="0"/>
      <w:marBottom w:val="0"/>
      <w:divBdr>
        <w:top w:val="none" w:sz="0" w:space="0" w:color="auto"/>
        <w:left w:val="none" w:sz="0" w:space="0" w:color="auto"/>
        <w:bottom w:val="none" w:sz="0" w:space="0" w:color="auto"/>
        <w:right w:val="none" w:sz="0" w:space="0" w:color="auto"/>
      </w:divBdr>
    </w:div>
    <w:div w:id="1406344680">
      <w:bodyDiv w:val="1"/>
      <w:marLeft w:val="0"/>
      <w:marRight w:val="0"/>
      <w:marTop w:val="0"/>
      <w:marBottom w:val="0"/>
      <w:divBdr>
        <w:top w:val="none" w:sz="0" w:space="0" w:color="auto"/>
        <w:left w:val="none" w:sz="0" w:space="0" w:color="auto"/>
        <w:bottom w:val="none" w:sz="0" w:space="0" w:color="auto"/>
        <w:right w:val="none" w:sz="0" w:space="0" w:color="auto"/>
      </w:divBdr>
    </w:div>
    <w:div w:id="1407723286">
      <w:bodyDiv w:val="1"/>
      <w:marLeft w:val="0"/>
      <w:marRight w:val="0"/>
      <w:marTop w:val="0"/>
      <w:marBottom w:val="0"/>
      <w:divBdr>
        <w:top w:val="none" w:sz="0" w:space="0" w:color="auto"/>
        <w:left w:val="none" w:sz="0" w:space="0" w:color="auto"/>
        <w:bottom w:val="none" w:sz="0" w:space="0" w:color="auto"/>
        <w:right w:val="none" w:sz="0" w:space="0" w:color="auto"/>
      </w:divBdr>
    </w:div>
    <w:div w:id="1418601739">
      <w:bodyDiv w:val="1"/>
      <w:marLeft w:val="0"/>
      <w:marRight w:val="0"/>
      <w:marTop w:val="0"/>
      <w:marBottom w:val="0"/>
      <w:divBdr>
        <w:top w:val="none" w:sz="0" w:space="0" w:color="auto"/>
        <w:left w:val="none" w:sz="0" w:space="0" w:color="auto"/>
        <w:bottom w:val="none" w:sz="0" w:space="0" w:color="auto"/>
        <w:right w:val="none" w:sz="0" w:space="0" w:color="auto"/>
      </w:divBdr>
    </w:div>
    <w:div w:id="1430664572">
      <w:bodyDiv w:val="1"/>
      <w:marLeft w:val="0"/>
      <w:marRight w:val="0"/>
      <w:marTop w:val="0"/>
      <w:marBottom w:val="0"/>
      <w:divBdr>
        <w:top w:val="none" w:sz="0" w:space="0" w:color="auto"/>
        <w:left w:val="none" w:sz="0" w:space="0" w:color="auto"/>
        <w:bottom w:val="none" w:sz="0" w:space="0" w:color="auto"/>
        <w:right w:val="none" w:sz="0" w:space="0" w:color="auto"/>
      </w:divBdr>
    </w:div>
    <w:div w:id="1502617967">
      <w:bodyDiv w:val="1"/>
      <w:marLeft w:val="0"/>
      <w:marRight w:val="0"/>
      <w:marTop w:val="0"/>
      <w:marBottom w:val="0"/>
      <w:divBdr>
        <w:top w:val="none" w:sz="0" w:space="0" w:color="auto"/>
        <w:left w:val="none" w:sz="0" w:space="0" w:color="auto"/>
        <w:bottom w:val="none" w:sz="0" w:space="0" w:color="auto"/>
        <w:right w:val="none" w:sz="0" w:space="0" w:color="auto"/>
      </w:divBdr>
    </w:div>
    <w:div w:id="1639072277">
      <w:bodyDiv w:val="1"/>
      <w:marLeft w:val="0"/>
      <w:marRight w:val="0"/>
      <w:marTop w:val="0"/>
      <w:marBottom w:val="0"/>
      <w:divBdr>
        <w:top w:val="none" w:sz="0" w:space="0" w:color="auto"/>
        <w:left w:val="none" w:sz="0" w:space="0" w:color="auto"/>
        <w:bottom w:val="none" w:sz="0" w:space="0" w:color="auto"/>
        <w:right w:val="none" w:sz="0" w:space="0" w:color="auto"/>
      </w:divBdr>
    </w:div>
    <w:div w:id="1729306243">
      <w:bodyDiv w:val="1"/>
      <w:marLeft w:val="0"/>
      <w:marRight w:val="0"/>
      <w:marTop w:val="0"/>
      <w:marBottom w:val="0"/>
      <w:divBdr>
        <w:top w:val="none" w:sz="0" w:space="0" w:color="auto"/>
        <w:left w:val="none" w:sz="0" w:space="0" w:color="auto"/>
        <w:bottom w:val="none" w:sz="0" w:space="0" w:color="auto"/>
        <w:right w:val="none" w:sz="0" w:space="0" w:color="auto"/>
      </w:divBdr>
    </w:div>
    <w:div w:id="1834755616">
      <w:bodyDiv w:val="1"/>
      <w:marLeft w:val="0"/>
      <w:marRight w:val="0"/>
      <w:marTop w:val="0"/>
      <w:marBottom w:val="0"/>
      <w:divBdr>
        <w:top w:val="none" w:sz="0" w:space="0" w:color="auto"/>
        <w:left w:val="none" w:sz="0" w:space="0" w:color="auto"/>
        <w:bottom w:val="none" w:sz="0" w:space="0" w:color="auto"/>
        <w:right w:val="none" w:sz="0" w:space="0" w:color="auto"/>
      </w:divBdr>
    </w:div>
    <w:div w:id="1864854890">
      <w:bodyDiv w:val="1"/>
      <w:marLeft w:val="0"/>
      <w:marRight w:val="0"/>
      <w:marTop w:val="0"/>
      <w:marBottom w:val="0"/>
      <w:divBdr>
        <w:top w:val="none" w:sz="0" w:space="0" w:color="auto"/>
        <w:left w:val="none" w:sz="0" w:space="0" w:color="auto"/>
        <w:bottom w:val="none" w:sz="0" w:space="0" w:color="auto"/>
        <w:right w:val="none" w:sz="0" w:space="0" w:color="auto"/>
      </w:divBdr>
    </w:div>
    <w:div w:id="1947611727">
      <w:bodyDiv w:val="1"/>
      <w:marLeft w:val="0"/>
      <w:marRight w:val="0"/>
      <w:marTop w:val="0"/>
      <w:marBottom w:val="0"/>
      <w:divBdr>
        <w:top w:val="none" w:sz="0" w:space="0" w:color="auto"/>
        <w:left w:val="none" w:sz="0" w:space="0" w:color="auto"/>
        <w:bottom w:val="none" w:sz="0" w:space="0" w:color="auto"/>
        <w:right w:val="none" w:sz="0" w:space="0" w:color="auto"/>
      </w:divBdr>
    </w:div>
    <w:div w:id="1987969262">
      <w:bodyDiv w:val="1"/>
      <w:marLeft w:val="0"/>
      <w:marRight w:val="0"/>
      <w:marTop w:val="0"/>
      <w:marBottom w:val="0"/>
      <w:divBdr>
        <w:top w:val="none" w:sz="0" w:space="0" w:color="auto"/>
        <w:left w:val="none" w:sz="0" w:space="0" w:color="auto"/>
        <w:bottom w:val="none" w:sz="0" w:space="0" w:color="auto"/>
        <w:right w:val="none" w:sz="0" w:space="0" w:color="auto"/>
      </w:divBdr>
    </w:div>
    <w:div w:id="1996914020">
      <w:bodyDiv w:val="1"/>
      <w:marLeft w:val="0"/>
      <w:marRight w:val="0"/>
      <w:marTop w:val="0"/>
      <w:marBottom w:val="0"/>
      <w:divBdr>
        <w:top w:val="none" w:sz="0" w:space="0" w:color="auto"/>
        <w:left w:val="none" w:sz="0" w:space="0" w:color="auto"/>
        <w:bottom w:val="none" w:sz="0" w:space="0" w:color="auto"/>
        <w:right w:val="none" w:sz="0" w:space="0" w:color="auto"/>
      </w:divBdr>
    </w:div>
    <w:div w:id="20918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14CF51C84DCD4692C0DBE656617F0B" ma:contentTypeVersion="9" ma:contentTypeDescription="Create a new document." ma:contentTypeScope="" ma:versionID="b43cc67f5971412b5aa5e1fe230ff620">
  <xsd:schema xmlns:xsd="http://www.w3.org/2001/XMLSchema" xmlns:xs="http://www.w3.org/2001/XMLSchema" xmlns:p="http://schemas.microsoft.com/office/2006/metadata/properties" xmlns:ns2="78d0bf03-9cf1-435a-9150-bb1741ef4aca" xmlns:ns3="b968483e-5775-4ddf-9a20-dc883da9a1ba" targetNamespace="http://schemas.microsoft.com/office/2006/metadata/properties" ma:root="true" ma:fieldsID="188315cb295a3cf91f28238864ed215d" ns2:_="" ns3:_="">
    <xsd:import namespace="78d0bf03-9cf1-435a-9150-bb1741ef4aca"/>
    <xsd:import namespace="b968483e-5775-4ddf-9a20-dc883da9a1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bf03-9cf1-435a-9150-bb1741ef4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68483e-5775-4ddf-9a20-dc883da9a1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55413-C6F6-4B2E-946E-42B4E26591A6}">
  <ds:schemaRefs>
    <ds:schemaRef ds:uri="http://purl.org/dc/terms/"/>
    <ds:schemaRef ds:uri="b968483e-5775-4ddf-9a20-dc883da9a1ba"/>
    <ds:schemaRef ds:uri="http://schemas.microsoft.com/office/2006/documentManagement/types"/>
    <ds:schemaRef ds:uri="http://purl.org/dc/elements/1.1/"/>
    <ds:schemaRef ds:uri="http://schemas.microsoft.com/office/infopath/2007/PartnerControls"/>
    <ds:schemaRef ds:uri="78d0bf03-9cf1-435a-9150-bb1741ef4aca"/>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AF9D400-8AF7-4434-87B4-1127DA6226C5}">
  <ds:schemaRefs>
    <ds:schemaRef ds:uri="http://schemas.openxmlformats.org/officeDocument/2006/bibliography"/>
  </ds:schemaRefs>
</ds:datastoreItem>
</file>

<file path=customXml/itemProps3.xml><?xml version="1.0" encoding="utf-8"?>
<ds:datastoreItem xmlns:ds="http://schemas.openxmlformats.org/officeDocument/2006/customXml" ds:itemID="{9058DFFC-0E18-406F-9B50-53242CD2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bf03-9cf1-435a-9150-bb1741ef4aca"/>
    <ds:schemaRef ds:uri="b968483e-5775-4ddf-9a20-dc883da9a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48E43-4209-4146-8E59-4D0F09FF9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8822</Characters>
  <Application>Microsoft Office Word</Application>
  <DocSecurity>0</DocSecurity>
  <Lines>330</Lines>
  <Paragraphs>186</Paragraphs>
  <ScaleCrop>false</ScaleCrop>
  <HeadingPairs>
    <vt:vector size="2" baseType="variant">
      <vt:variant>
        <vt:lpstr>Title</vt:lpstr>
      </vt:variant>
      <vt:variant>
        <vt:i4>1</vt:i4>
      </vt:variant>
    </vt:vector>
  </HeadingPairs>
  <TitlesOfParts>
    <vt:vector size="1" baseType="lpstr">
      <vt:lpstr>Attachment B - Covid-response-progress-report-template - updated 2022</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Solomon Islands Development Program Progress Report</dc:title>
  <dc:subject/>
  <dc:creator/>
  <cp:keywords>[SEC=OFFICIAL]</cp:keywords>
  <cp:lastModifiedBy/>
  <cp:revision>1</cp:revision>
  <dcterms:created xsi:type="dcterms:W3CDTF">2023-11-09T04:32:00Z</dcterms:created>
  <dcterms:modified xsi:type="dcterms:W3CDTF">2023-11-22T02:35:00Z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64e0aaa1-fff8-40c4-b3d5-ccbb449ce979</vt:lpwstr>
  </property>
  <property fmtid="{D5CDD505-2E9C-101B-9397-08002B2CF9AE}" pid="3" name="SEC">
    <vt:lpwstr>OFFICIAL</vt:lpwstr>
  </property>
  <property fmtid="{D5CDD505-2E9C-101B-9397-08002B2CF9AE}" pid="4" name="PM_MinimumSecurityClassification">
    <vt:lpwstr>OFFICIAL</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63FA5E0138FE4A06847B5F31F02136CD</vt:lpwstr>
  </property>
  <property fmtid="{D5CDD505-2E9C-101B-9397-08002B2CF9AE}" pid="11" name="PM_ProtectiveMarkingValue_Footer">
    <vt:lpwstr>OFFICIAL</vt:lpwstr>
  </property>
  <property fmtid="{D5CDD505-2E9C-101B-9397-08002B2CF9AE}" pid="12" name="PM_Originator_Hash_SHA1">
    <vt:lpwstr>D9F6E5C82DFAF7AB6E3D596D48DD43C72EDFDAB4</vt:lpwstr>
  </property>
  <property fmtid="{D5CDD505-2E9C-101B-9397-08002B2CF9AE}" pid="13" name="PM_OriginationTimeStamp">
    <vt:lpwstr>2023-10-05T01:20:13Z</vt:lpwstr>
  </property>
  <property fmtid="{D5CDD505-2E9C-101B-9397-08002B2CF9AE}" pid="14" name="PM_ProtectiveMarkingValue_Header">
    <vt:lpwstr>OFFICIAL</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2022.1</vt:lpwstr>
  </property>
  <property fmtid="{D5CDD505-2E9C-101B-9397-08002B2CF9AE}" pid="22" name="PM_Hash_Salt_Prev">
    <vt:lpwstr>EF8B3E0D213A481FEE5A56B4B0871594</vt:lpwstr>
  </property>
  <property fmtid="{D5CDD505-2E9C-101B-9397-08002B2CF9AE}" pid="23" name="PM_Hash_Salt">
    <vt:lpwstr>24DA104832C002C4C2ADF76C98B08FAB</vt:lpwstr>
  </property>
  <property fmtid="{D5CDD505-2E9C-101B-9397-08002B2CF9AE}" pid="24" name="PM_Hash_SHA1">
    <vt:lpwstr>D2E305D5690CCEBAF869BC7A1B8FD8DB62F3C832</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0x0101007D14CF51C84DCD4692C0DBE656617F0B</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3E9DB5AB808CA91EB3E8EC398CDB7F67B110581D6BB28BC88565729DCE387350</vt:lpwstr>
  </property>
  <property fmtid="{D5CDD505-2E9C-101B-9397-08002B2CF9AE}" pid="31" name="PM_OriginatorDomainName_SHA256">
    <vt:lpwstr>6F3591835F3B2A8A025B00B5BA6418010DA3A17C9C26EA9C049FFD28039489A2</vt:lpwstr>
  </property>
  <property fmtid="{D5CDD505-2E9C-101B-9397-08002B2CF9AE}" pid="32" name="PMHMAC">
    <vt:lpwstr>v=2022.1;a=SHA256;h=1806B826FC0C0A1805FA39B250C568423B9155FC748D9709934EDEDEC8B64A96</vt:lpwstr>
  </property>
  <property fmtid="{D5CDD505-2E9C-101B-9397-08002B2CF9AE}" pid="33" name="MediaServiceImageTags">
    <vt:lpwstr/>
  </property>
</Properties>
</file>