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D15D9" w14:textId="77777777" w:rsidR="00AE36FF" w:rsidRDefault="00AE36FF" w:rsidP="00AE36FF">
      <w:bookmarkStart w:id="0" w:name="_Toc452717342"/>
    </w:p>
    <w:p w14:paraId="184BE440" w14:textId="1F78632F" w:rsidR="00AE36FF" w:rsidRDefault="0029253C" w:rsidP="00AE36FF">
      <w:pPr>
        <w:pStyle w:val="Heading1"/>
      </w:pPr>
      <w:r>
        <w:rPr>
          <w:caps w:val="0"/>
        </w:rPr>
        <w:t>2021 ANNUAL DEVELOPMENT EVALUATION PLAN</w:t>
      </w:r>
    </w:p>
    <w:p w14:paraId="32802A7E" w14:textId="77777777" w:rsidR="00AE36FF" w:rsidRDefault="00AE36FF" w:rsidP="00AE36FF">
      <w:pPr>
        <w:pStyle w:val="Heading2"/>
      </w:pPr>
      <w:r>
        <w:t>INTRODUCTION</w:t>
      </w:r>
    </w:p>
    <w:p w14:paraId="79EAE2EF" w14:textId="77777777" w:rsidR="00AE36FF" w:rsidRDefault="00AE36FF" w:rsidP="00AE36FF">
      <w:r>
        <w:t xml:space="preserve">This 2021 Annual Development Evaluation Plan produced by the Department of Foreign Affairs and Trade (DFAT) outlines the independent evaluations of development funding which DFAT plans to complete and publish in 2021. </w:t>
      </w:r>
    </w:p>
    <w:p w14:paraId="4310EFBF" w14:textId="77777777" w:rsidR="00AE36FF" w:rsidRDefault="00AE36FF" w:rsidP="00AE36FF">
      <w:r>
        <w:t xml:space="preserve">The Annual Development Evaluation Plan is a key part of DFAT’s Development Evaluation Policy, which was updated in November 2020.  </w:t>
      </w:r>
    </w:p>
    <w:p w14:paraId="7BCA5537" w14:textId="77777777" w:rsidR="00AE36FF" w:rsidRDefault="00AE36FF" w:rsidP="00AE36FF">
      <w:r>
        <w:t xml:space="preserve">This Annual Development Evaluation Plan has been approved by the Secretary of DFAT. </w:t>
      </w:r>
    </w:p>
    <w:p w14:paraId="1C340F3A" w14:textId="77777777" w:rsidR="00AE36FF" w:rsidRDefault="00AE36FF" w:rsidP="00AE36FF">
      <w:r>
        <w:t>The Annual Development Evaluation Plan outlines investment-level evaluations which will be commissioned by DFAT’s country, regional and thematic development programs.</w:t>
      </w:r>
    </w:p>
    <w:p w14:paraId="1438DB72" w14:textId="77777777" w:rsidR="00AE36FF" w:rsidRDefault="00AE36FF" w:rsidP="00AE36FF">
      <w:pPr>
        <w:pStyle w:val="Heading2"/>
      </w:pPr>
      <w:r>
        <w:t>INVESTMENT-LEVEL EVALUATIONS</w:t>
      </w:r>
    </w:p>
    <w:p w14:paraId="644760CE" w14:textId="77777777" w:rsidR="00AE36FF" w:rsidRDefault="00AE36FF" w:rsidP="00AE36FF">
      <w:r>
        <w:t>DFAT country, regional and thematic development programs are required to identify, prioritise and complete a reasonable number of independent evaluations per year. These evaluations focus on the highest priority issues facing each program. Larger programs are generally expected to complete a higher number of evaluations.</w:t>
      </w:r>
    </w:p>
    <w:p w14:paraId="2159A81D" w14:textId="77777777" w:rsidR="00AE36FF" w:rsidRDefault="00AE36FF" w:rsidP="00AE36FF">
      <w:r>
        <w:t xml:space="preserve">As outlined below, 46 investment-level evaluations are expected to be published in 2021. All investment-level evaluations will include a management response which will be completed by the relevant DFAT program. Some development programs will not publish any evaluations in 2021 but will be expected to undertake evaluations in 2022 and beyond. </w:t>
      </w:r>
    </w:p>
    <w:p w14:paraId="31A15B2F" w14:textId="77777777" w:rsidR="00AE36FF" w:rsidRDefault="00AE36FF" w:rsidP="00AE36FF">
      <w:pPr>
        <w:pStyle w:val="Heading2"/>
      </w:pPr>
      <w:r>
        <w:t>PACIFIC: 18 EVALUATIONS</w:t>
      </w:r>
    </w:p>
    <w:p w14:paraId="1633E8C0" w14:textId="77777777" w:rsidR="00AE36FF" w:rsidRDefault="00AE36FF" w:rsidP="00AE36FF">
      <w:r w:rsidRPr="00AE36FF">
        <w:rPr>
          <w:b/>
          <w:bCs/>
        </w:rPr>
        <w:t>Program:</w:t>
      </w:r>
      <w:r>
        <w:tab/>
        <w:t>PNG</w:t>
      </w:r>
    </w:p>
    <w:p w14:paraId="6074DCF3" w14:textId="77777777" w:rsidR="00AE36FF" w:rsidRDefault="00AE36FF" w:rsidP="00AE36FF">
      <w:r w:rsidRPr="00AE36FF">
        <w:rPr>
          <w:b/>
          <w:bCs/>
        </w:rPr>
        <w:t>Recommended minimum no. of evaluations:</w:t>
      </w:r>
      <w:r>
        <w:tab/>
        <w:t>5*</w:t>
      </w:r>
    </w:p>
    <w:p w14:paraId="7E4D2FE3" w14:textId="77777777" w:rsidR="00AE36FF" w:rsidRPr="00AE36FF" w:rsidRDefault="00AE36FF" w:rsidP="00AE36FF">
      <w:pPr>
        <w:rPr>
          <w:b/>
          <w:bCs/>
        </w:rPr>
      </w:pPr>
      <w:r w:rsidRPr="00AE36FF">
        <w:rPr>
          <w:b/>
          <w:bCs/>
        </w:rPr>
        <w:t>Planned evaluations:</w:t>
      </w:r>
    </w:p>
    <w:p w14:paraId="723320F5" w14:textId="3550FA6C" w:rsidR="00AE36FF" w:rsidRPr="00AD28BF" w:rsidRDefault="00AE36FF" w:rsidP="009A28D9">
      <w:pPr>
        <w:pStyle w:val="ListParagraph"/>
        <w:numPr>
          <w:ilvl w:val="0"/>
          <w:numId w:val="13"/>
        </w:numPr>
      </w:pPr>
      <w:r w:rsidRPr="00AD28BF">
        <w:t xml:space="preserve">Quality and Technical Assurance Group Review of Supporting Papua New Guinea’s Effective </w:t>
      </w:r>
      <w:proofErr w:type="spellStart"/>
      <w:r w:rsidRPr="00AD28BF">
        <w:t>Anti</w:t>
      </w:r>
      <w:r w:rsidR="00D306DC">
        <w:t xml:space="preserve"> </w:t>
      </w:r>
      <w:r w:rsidRPr="00AD28BF">
        <w:t>Money</w:t>
      </w:r>
      <w:proofErr w:type="spellEnd"/>
      <w:r w:rsidRPr="00AD28BF">
        <w:t xml:space="preserve"> Laundering (AML) /Counter Terrorism Financing (CTF)</w:t>
      </w:r>
    </w:p>
    <w:p w14:paraId="2E843CD5" w14:textId="2A9F9536" w:rsidR="00AE36FF" w:rsidRDefault="00AE36FF" w:rsidP="00D306DC">
      <w:pPr>
        <w:ind w:left="360"/>
      </w:pPr>
      <w:r>
        <w:t>Review Program successes; examine value for money and sustainability; evaluate successful</w:t>
      </w:r>
      <w:r w:rsidR="00D306DC">
        <w:t xml:space="preserve"> </w:t>
      </w:r>
      <w:r>
        <w:t>incorporation of mid-term review recommendations; identify what Program should look like going forward to support PNG to pass the Financial Action Task Force (FATF) Mutual Evaluation scheduled for November 2021.</w:t>
      </w:r>
    </w:p>
    <w:p w14:paraId="221E8B87" w14:textId="5DD191D9" w:rsidR="00AE36FF" w:rsidRDefault="00AE36FF" w:rsidP="009A28D9">
      <w:pPr>
        <w:pStyle w:val="ListParagraph"/>
        <w:numPr>
          <w:ilvl w:val="0"/>
          <w:numId w:val="13"/>
        </w:numPr>
      </w:pPr>
      <w:r>
        <w:t>Review of Papua New Guinea -Australia Governance Partnership</w:t>
      </w:r>
    </w:p>
    <w:p w14:paraId="08DB6CD9" w14:textId="2DBFED6C" w:rsidR="00AE36FF" w:rsidRDefault="00AE36FF" w:rsidP="009F60F3">
      <w:pPr>
        <w:ind w:left="360"/>
      </w:pPr>
      <w:r>
        <w:t>Assess effectiveness, efficiency and sustainability against expected outcomes and outputs including any learnings.</w:t>
      </w:r>
    </w:p>
    <w:p w14:paraId="64EB7A26" w14:textId="202F9167" w:rsidR="00AE36FF" w:rsidRDefault="00AE36FF" w:rsidP="009A28D9">
      <w:pPr>
        <w:pStyle w:val="ListParagraph"/>
        <w:numPr>
          <w:ilvl w:val="0"/>
          <w:numId w:val="13"/>
        </w:numPr>
      </w:pPr>
      <w:r>
        <w:t>End of Program Review – Ending Preventable Maternal and Neonatal Deaths in Papua New Guinea: Saving Lives, Spreading Smiles Program</w:t>
      </w:r>
    </w:p>
    <w:p w14:paraId="38BA0249" w14:textId="6E24D2C4" w:rsidR="00AE36FF" w:rsidRDefault="00AE36FF" w:rsidP="009F60F3">
      <w:pPr>
        <w:ind w:left="360"/>
      </w:pPr>
      <w:r>
        <w:lastRenderedPageBreak/>
        <w:t xml:space="preserve">Assess effectiveness, efficiency and sustainability against expected outcomes and outputs including any learnings; assess value for money of investing in Early Essential </w:t>
      </w:r>
      <w:proofErr w:type="spellStart"/>
      <w:r>
        <w:t>Newborn</w:t>
      </w:r>
      <w:proofErr w:type="spellEnd"/>
      <w:r>
        <w:t xml:space="preserve"> Care (EENC); inform health planning for the National Department of Health, Provincial Health Authorities and District Health Authority.</w:t>
      </w:r>
    </w:p>
    <w:p w14:paraId="52F6755F" w14:textId="55F3DCBB" w:rsidR="00AE36FF" w:rsidRDefault="00AE36FF" w:rsidP="009A28D9">
      <w:pPr>
        <w:pStyle w:val="ListParagraph"/>
        <w:numPr>
          <w:ilvl w:val="0"/>
          <w:numId w:val="13"/>
        </w:numPr>
      </w:pPr>
      <w:r>
        <w:t xml:space="preserve">End of Program Evaluation of Wok Bung </w:t>
      </w:r>
      <w:proofErr w:type="spellStart"/>
      <w:r>
        <w:t>Wantaim</w:t>
      </w:r>
      <w:proofErr w:type="spellEnd"/>
    </w:p>
    <w:p w14:paraId="5401A8F5" w14:textId="48313705" w:rsidR="00AE36FF" w:rsidRDefault="00AE36FF" w:rsidP="009F60F3">
      <w:pPr>
        <w:ind w:left="360"/>
      </w:pPr>
      <w:r>
        <w:t>Evaluate Program effectiveness, outputs and outcomes; document and examine how transferable the key lessons are to other settings and future investments (e.g. new PNG Australia Transition to Health (PATH) program); determine extent to which the program's innovative partnership model has created positive or negative changes to service delivery within participant facilities.</w:t>
      </w:r>
    </w:p>
    <w:p w14:paraId="5EBBAAF9" w14:textId="77777777" w:rsidR="00AE36FF" w:rsidRDefault="00AE36FF" w:rsidP="00AE36FF"/>
    <w:p w14:paraId="609B08D8" w14:textId="77777777" w:rsidR="00AE36FF" w:rsidRDefault="00AE36FF" w:rsidP="00AE36FF">
      <w:r>
        <w:t xml:space="preserve">* </w:t>
      </w:r>
      <w:r w:rsidRPr="009F60F3">
        <w:rPr>
          <w:i/>
          <w:iCs/>
        </w:rPr>
        <w:t>COVID-19 has disrupted programming efforts and timelines for PNG Post. PNG Post expects to offer five evaluations for 2022.</w:t>
      </w:r>
    </w:p>
    <w:p w14:paraId="36AF2002" w14:textId="77777777" w:rsidR="00AE36FF" w:rsidRDefault="00AE36FF" w:rsidP="00AE36FF"/>
    <w:p w14:paraId="776BC8E3" w14:textId="77777777" w:rsidR="00AE36FF" w:rsidRDefault="00AE36FF" w:rsidP="00AE36FF">
      <w:r w:rsidRPr="009F60F3">
        <w:rPr>
          <w:b/>
          <w:bCs/>
        </w:rPr>
        <w:t>Program:</w:t>
      </w:r>
      <w:r>
        <w:tab/>
        <w:t>Pacific Regional</w:t>
      </w:r>
    </w:p>
    <w:p w14:paraId="7D069656" w14:textId="77777777" w:rsidR="00AE36FF" w:rsidRDefault="00AE36FF" w:rsidP="00AE36FF">
      <w:r w:rsidRPr="009F60F3">
        <w:rPr>
          <w:b/>
          <w:bCs/>
        </w:rPr>
        <w:t>Recommended minimum no. of evaluations:</w:t>
      </w:r>
      <w:r>
        <w:tab/>
        <w:t>3</w:t>
      </w:r>
    </w:p>
    <w:p w14:paraId="00C25469" w14:textId="77777777" w:rsidR="00AE36FF" w:rsidRPr="009F60F3" w:rsidRDefault="00AE36FF" w:rsidP="00AE36FF">
      <w:pPr>
        <w:rPr>
          <w:b/>
          <w:bCs/>
        </w:rPr>
      </w:pPr>
      <w:r w:rsidRPr="009F60F3">
        <w:rPr>
          <w:b/>
          <w:bCs/>
        </w:rPr>
        <w:t>Planned evaluations:</w:t>
      </w:r>
    </w:p>
    <w:p w14:paraId="3A2CFAAA" w14:textId="1D3A52D2" w:rsidR="00AE36FF" w:rsidRDefault="00AE36FF" w:rsidP="009A28D9">
      <w:pPr>
        <w:pStyle w:val="ListParagraph"/>
        <w:numPr>
          <w:ilvl w:val="0"/>
          <w:numId w:val="12"/>
        </w:numPr>
      </w:pPr>
      <w:r>
        <w:t>Australia Pacific Training Coalition Stage 3 Strategic Review</w:t>
      </w:r>
    </w:p>
    <w:p w14:paraId="6A992047" w14:textId="77777777" w:rsidR="00AE36FF" w:rsidRDefault="00AE36FF" w:rsidP="009F60F3">
      <w:pPr>
        <w:ind w:left="360"/>
      </w:pPr>
      <w:r>
        <w:t>Identify initiatives with the most sustained relevance and value to support Pacific economic recovery in the short to medium term.</w:t>
      </w:r>
    </w:p>
    <w:p w14:paraId="0F7824E7" w14:textId="64C56B5C" w:rsidR="00AE36FF" w:rsidRDefault="00AE36FF" w:rsidP="009A28D9">
      <w:pPr>
        <w:pStyle w:val="ListParagraph"/>
        <w:numPr>
          <w:ilvl w:val="0"/>
          <w:numId w:val="12"/>
        </w:numPr>
      </w:pPr>
      <w:r>
        <w:t xml:space="preserve">Mid-Term Evaluation of the International Monetary Fund (IMF) Pacific Financial Technical Assistance </w:t>
      </w:r>
      <w:proofErr w:type="spellStart"/>
      <w:r>
        <w:t>Center</w:t>
      </w:r>
      <w:proofErr w:type="spellEnd"/>
      <w:r>
        <w:t xml:space="preserve"> (PFTAC)</w:t>
      </w:r>
    </w:p>
    <w:p w14:paraId="0F2C74FB" w14:textId="77777777" w:rsidR="00AE36FF" w:rsidRDefault="00AE36FF" w:rsidP="009F60F3">
      <w:pPr>
        <w:ind w:left="360"/>
      </w:pPr>
      <w:r>
        <w:t>Assess extent to which PFTAC is achieving its objectives, assessing relevance, effectiveness, efficiency, sustainability and impact; provide lessons learned and recommendations to improve the effectiveness of capacity development interventions as well as guide future strategic issues and direction of the program.</w:t>
      </w:r>
    </w:p>
    <w:p w14:paraId="37908A77" w14:textId="04B48530" w:rsidR="00AE36FF" w:rsidRDefault="00AE36FF" w:rsidP="009A28D9">
      <w:pPr>
        <w:pStyle w:val="ListParagraph"/>
        <w:numPr>
          <w:ilvl w:val="0"/>
          <w:numId w:val="12"/>
        </w:numPr>
      </w:pPr>
      <w:r>
        <w:t>Mid-Term Review of Australia Pacific Climate Partnership</w:t>
      </w:r>
    </w:p>
    <w:p w14:paraId="3F1CC36F" w14:textId="77777777" w:rsidR="00AE36FF" w:rsidRDefault="00AE36FF" w:rsidP="009F60F3">
      <w:pPr>
        <w:ind w:left="360"/>
      </w:pPr>
      <w:r>
        <w:t>Generate an independent perspective on how the Partnership is tracking against end of program outcomes; review Partnership's effectiveness, value for money, areas of strength to build on and any required adjustments; provide recommendations for strengthening the Partnership throughout the rest of the program; help inform DFAT's decision making to extend or recalibrate the Partnership in 2022.</w:t>
      </w:r>
    </w:p>
    <w:p w14:paraId="4D8248BF" w14:textId="1C6630F8" w:rsidR="00AE36FF" w:rsidRDefault="00AE36FF" w:rsidP="009A28D9">
      <w:pPr>
        <w:pStyle w:val="ListParagraph"/>
        <w:numPr>
          <w:ilvl w:val="0"/>
          <w:numId w:val="12"/>
        </w:numPr>
      </w:pPr>
      <w:r>
        <w:t>Australia Pacific Security College Mid-Term Review</w:t>
      </w:r>
    </w:p>
    <w:p w14:paraId="1A2DB5E9" w14:textId="77777777" w:rsidR="00AE36FF" w:rsidRDefault="00AE36FF" w:rsidP="009F60F3">
      <w:pPr>
        <w:ind w:left="360"/>
      </w:pPr>
      <w:r>
        <w:t>Demonstrate results; improve existing investment or sector; inform contract renewal.</w:t>
      </w:r>
    </w:p>
    <w:p w14:paraId="66A85C0C" w14:textId="77777777" w:rsidR="00AE36FF" w:rsidRDefault="00AE36FF" w:rsidP="00AE36FF"/>
    <w:p w14:paraId="63E01F3C" w14:textId="77777777" w:rsidR="00AE36FF" w:rsidRDefault="00AE36FF" w:rsidP="00AE36FF">
      <w:r w:rsidRPr="00D306DC">
        <w:rPr>
          <w:b/>
          <w:bCs/>
        </w:rPr>
        <w:t>Program:</w:t>
      </w:r>
      <w:r>
        <w:tab/>
        <w:t>Solomon Islands</w:t>
      </w:r>
    </w:p>
    <w:p w14:paraId="281B29B3" w14:textId="77777777" w:rsidR="00AE36FF" w:rsidRDefault="00AE36FF" w:rsidP="00AE36FF">
      <w:r w:rsidRPr="00D306DC">
        <w:rPr>
          <w:b/>
          <w:bCs/>
        </w:rPr>
        <w:t>Recommended minimum no. of evaluations:</w:t>
      </w:r>
      <w:r>
        <w:tab/>
        <w:t>2</w:t>
      </w:r>
    </w:p>
    <w:p w14:paraId="351B76E5" w14:textId="77777777" w:rsidR="00AE36FF" w:rsidRPr="00D306DC" w:rsidRDefault="00AE36FF" w:rsidP="00AE36FF">
      <w:pPr>
        <w:rPr>
          <w:b/>
          <w:bCs/>
        </w:rPr>
      </w:pPr>
      <w:r w:rsidRPr="00D306DC">
        <w:rPr>
          <w:b/>
          <w:bCs/>
        </w:rPr>
        <w:t>Planned evaluations:</w:t>
      </w:r>
    </w:p>
    <w:p w14:paraId="79ACF1E0" w14:textId="0AE48793" w:rsidR="00AE36FF" w:rsidRDefault="00AE36FF" w:rsidP="009A28D9">
      <w:pPr>
        <w:pStyle w:val="ListParagraph"/>
        <w:numPr>
          <w:ilvl w:val="0"/>
          <w:numId w:val="14"/>
        </w:numPr>
      </w:pPr>
      <w:r>
        <w:t>Evaluation of Australia’s Support to Two Election Cycles in Solomon Islands (2013 – 2020)</w:t>
      </w:r>
    </w:p>
    <w:p w14:paraId="7AC81189" w14:textId="77777777" w:rsidR="00AE36FF" w:rsidRDefault="00AE36FF" w:rsidP="00AE36FF">
      <w:r>
        <w:t>Assess the effectiveness of Australia's electoral support and provide recommendations to inform the next phase of the governance program design.</w:t>
      </w:r>
    </w:p>
    <w:p w14:paraId="6855BC03" w14:textId="046B6B03" w:rsidR="00AE36FF" w:rsidRDefault="00AE36FF" w:rsidP="009A28D9">
      <w:pPr>
        <w:pStyle w:val="ListParagraph"/>
        <w:numPr>
          <w:ilvl w:val="0"/>
          <w:numId w:val="14"/>
        </w:numPr>
      </w:pPr>
      <w:r>
        <w:t>Independent assessment of Ministry of Education and Human Resources Development’s Performance in 2019</w:t>
      </w:r>
    </w:p>
    <w:p w14:paraId="3C1ABA0C" w14:textId="77777777" w:rsidR="00AE36FF" w:rsidRDefault="00AE36FF" w:rsidP="00AE36FF">
      <w:r>
        <w:t>Annual assessment used to decide performance-linked aid.</w:t>
      </w:r>
    </w:p>
    <w:p w14:paraId="68603AF8" w14:textId="5645C72C" w:rsidR="00AE36FF" w:rsidRDefault="00AE36FF" w:rsidP="009A28D9">
      <w:pPr>
        <w:pStyle w:val="ListParagraph"/>
        <w:numPr>
          <w:ilvl w:val="0"/>
          <w:numId w:val="14"/>
        </w:numPr>
      </w:pPr>
      <w:r>
        <w:t>Solomon Islands Justice and Governance Programs Evaluation Report</w:t>
      </w:r>
    </w:p>
    <w:p w14:paraId="4EC3296A" w14:textId="77777777" w:rsidR="00AE36FF" w:rsidRDefault="00AE36FF" w:rsidP="00AE36FF">
      <w:r>
        <w:lastRenderedPageBreak/>
        <w:t>Assess progress toward program objectives and inform next program design noting the program will finish in June 2021.</w:t>
      </w:r>
    </w:p>
    <w:p w14:paraId="3018A1DF" w14:textId="77777777" w:rsidR="00AE36FF" w:rsidRDefault="00AE36FF" w:rsidP="00AE36FF"/>
    <w:p w14:paraId="3C06C419" w14:textId="77777777" w:rsidR="00AE36FF" w:rsidRDefault="00AE36FF" w:rsidP="00AE36FF">
      <w:r w:rsidRPr="000263DE">
        <w:rPr>
          <w:b/>
          <w:bCs/>
        </w:rPr>
        <w:t>Program:</w:t>
      </w:r>
      <w:r>
        <w:tab/>
        <w:t>Fiji</w:t>
      </w:r>
    </w:p>
    <w:p w14:paraId="6A9DD5FC" w14:textId="77777777" w:rsidR="00AE36FF" w:rsidRDefault="00AE36FF" w:rsidP="00AE36FF">
      <w:r w:rsidRPr="000263DE">
        <w:rPr>
          <w:b/>
          <w:bCs/>
        </w:rPr>
        <w:t>Recommended minimum no. of evaluations:</w:t>
      </w:r>
      <w:r>
        <w:tab/>
        <w:t>2</w:t>
      </w:r>
    </w:p>
    <w:p w14:paraId="44271BC2" w14:textId="77777777" w:rsidR="00AE36FF" w:rsidRPr="000263DE" w:rsidRDefault="00AE36FF" w:rsidP="00AE36FF">
      <w:pPr>
        <w:rPr>
          <w:b/>
          <w:bCs/>
        </w:rPr>
      </w:pPr>
      <w:r w:rsidRPr="000263DE">
        <w:rPr>
          <w:b/>
          <w:bCs/>
        </w:rPr>
        <w:t>Planned evaluations:</w:t>
      </w:r>
    </w:p>
    <w:p w14:paraId="38F084BF" w14:textId="3911175C" w:rsidR="00AE36FF" w:rsidRDefault="00AE36FF" w:rsidP="009A28D9">
      <w:pPr>
        <w:pStyle w:val="ListParagraph"/>
        <w:numPr>
          <w:ilvl w:val="0"/>
          <w:numId w:val="15"/>
        </w:numPr>
      </w:pPr>
      <w:r>
        <w:t>Mid-Term Review of Australia’s Support to Fiji’s Education Sector</w:t>
      </w:r>
    </w:p>
    <w:p w14:paraId="7E215B04" w14:textId="77777777" w:rsidR="00AE36FF" w:rsidRDefault="00AE36FF" w:rsidP="00AE36FF">
      <w:r>
        <w:t>Assess extent to which DFAT is achieving its objectives in the program including relevance, effectiveness, efficiency, sustainability and impact; review effectiveness, value for money, areas of strength to build on and whether adjustments are required; provide recommendations for strengthening the rest of the program.</w:t>
      </w:r>
    </w:p>
    <w:p w14:paraId="60AD9B2B" w14:textId="1B9D1D32" w:rsidR="00AE36FF" w:rsidRDefault="00AE36FF" w:rsidP="009A28D9">
      <w:pPr>
        <w:pStyle w:val="ListParagraph"/>
        <w:numPr>
          <w:ilvl w:val="0"/>
          <w:numId w:val="15"/>
        </w:numPr>
      </w:pPr>
      <w:r>
        <w:t>Independent End of Program Evaluation of Australia International Finance Corporation (IFC) Fiji Partnership</w:t>
      </w:r>
    </w:p>
    <w:p w14:paraId="7F269E0E" w14:textId="77777777" w:rsidR="00AE36FF" w:rsidRDefault="00AE36FF" w:rsidP="00AE36FF">
      <w:r>
        <w:t>Assess overall performance of the Partnership program; ensure accountability of IFC towards its development partner and stakeholders; provide recommendations and lessons that will inform and shape the design of the next Partnership.</w:t>
      </w:r>
    </w:p>
    <w:p w14:paraId="078A6C56" w14:textId="77777777" w:rsidR="00AE36FF" w:rsidRDefault="00AE36FF" w:rsidP="00AE36FF"/>
    <w:p w14:paraId="646ACC6C" w14:textId="77777777" w:rsidR="00AE36FF" w:rsidRDefault="00AE36FF" w:rsidP="00AE36FF">
      <w:r w:rsidRPr="000263DE">
        <w:rPr>
          <w:b/>
          <w:bCs/>
        </w:rPr>
        <w:t>Program:</w:t>
      </w:r>
      <w:r>
        <w:tab/>
        <w:t>Vanuatu</w:t>
      </w:r>
    </w:p>
    <w:p w14:paraId="70313960" w14:textId="77777777" w:rsidR="00AE36FF" w:rsidRDefault="00AE36FF" w:rsidP="00AE36FF">
      <w:r w:rsidRPr="000263DE">
        <w:rPr>
          <w:b/>
          <w:bCs/>
        </w:rPr>
        <w:t>Recommended minimum no. of evaluations:</w:t>
      </w:r>
      <w:r>
        <w:tab/>
        <w:t>1</w:t>
      </w:r>
    </w:p>
    <w:p w14:paraId="2B731887" w14:textId="77777777" w:rsidR="00AE36FF" w:rsidRPr="000263DE" w:rsidRDefault="00AE36FF" w:rsidP="00AE36FF">
      <w:pPr>
        <w:rPr>
          <w:b/>
          <w:bCs/>
        </w:rPr>
      </w:pPr>
      <w:r w:rsidRPr="000263DE">
        <w:rPr>
          <w:b/>
          <w:bCs/>
        </w:rPr>
        <w:t>Planned evaluations:</w:t>
      </w:r>
    </w:p>
    <w:p w14:paraId="7980C83C" w14:textId="2259D591" w:rsidR="00AE36FF" w:rsidRDefault="00AE36FF" w:rsidP="009A28D9">
      <w:pPr>
        <w:pStyle w:val="ListParagraph"/>
        <w:numPr>
          <w:ilvl w:val="0"/>
          <w:numId w:val="16"/>
        </w:numPr>
      </w:pPr>
      <w:r>
        <w:t>Independent Evaluation of the Vanuatu Skills Partnership (VSP)</w:t>
      </w:r>
    </w:p>
    <w:p w14:paraId="5C8E93CA" w14:textId="77777777" w:rsidR="00AE36FF" w:rsidRDefault="00AE36FF" w:rsidP="00AE36FF">
      <w:r>
        <w:t>Improve investment by assessing and making recommendations to maximise the effectiveness and sustainability of the Partnership including analysis of the appropriateness of the Partnership's Program Logic and Monitoring, Evaluation and Learning Framework, the structure (modality) and level of resourcing (budget, human resources and contractor support); accountability via assessment of effectiveness and efficiency of Australia's contribution through VSP; knowledge generation for enhanced impact.</w:t>
      </w:r>
    </w:p>
    <w:p w14:paraId="64C89F19" w14:textId="5E4DF678" w:rsidR="00AE36FF" w:rsidRDefault="00AE36FF" w:rsidP="009A28D9">
      <w:pPr>
        <w:pStyle w:val="ListParagraph"/>
        <w:numPr>
          <w:ilvl w:val="0"/>
          <w:numId w:val="16"/>
        </w:numPr>
      </w:pPr>
      <w:r>
        <w:t xml:space="preserve">Independent Evaluation of Wan </w:t>
      </w:r>
      <w:proofErr w:type="spellStart"/>
      <w:r>
        <w:t>Smolbag</w:t>
      </w:r>
      <w:proofErr w:type="spellEnd"/>
      <w:r>
        <w:t xml:space="preserve"> (WSB) Theatre Community Partnership, Vanuatu</w:t>
      </w:r>
    </w:p>
    <w:p w14:paraId="7F8C5F70" w14:textId="77777777" w:rsidR="00AE36FF" w:rsidRDefault="00AE36FF" w:rsidP="00AE36FF">
      <w:r>
        <w:t>Evaluate WSB's programming, and assess the effectiveness and to a lesser extent the relevance, efficiency and sustainability of the program; complete a preliminary gender analysis of WSB which identifies efforts and achievements to date as well as opportunities for further action in promoting gender equality; review and refresh WSB's Roadmap for Change 2014-2025 and associated documents.</w:t>
      </w:r>
    </w:p>
    <w:p w14:paraId="47365854" w14:textId="77777777" w:rsidR="00AE36FF" w:rsidRDefault="00AE36FF" w:rsidP="00AE36FF"/>
    <w:p w14:paraId="0AE7661C" w14:textId="77777777" w:rsidR="00AE36FF" w:rsidRDefault="00AE36FF" w:rsidP="00AE36FF">
      <w:r w:rsidRPr="000263DE">
        <w:rPr>
          <w:b/>
          <w:bCs/>
        </w:rPr>
        <w:t>Program:</w:t>
      </w:r>
      <w:r>
        <w:tab/>
        <w:t>Samoa</w:t>
      </w:r>
    </w:p>
    <w:p w14:paraId="6A45009C" w14:textId="77777777" w:rsidR="00AE36FF" w:rsidRDefault="00AE36FF" w:rsidP="00AE36FF">
      <w:r w:rsidRPr="000263DE">
        <w:rPr>
          <w:b/>
          <w:bCs/>
        </w:rPr>
        <w:t>Recommended minimum no. of evaluations:</w:t>
      </w:r>
      <w:r>
        <w:tab/>
        <w:t>1 every 2-3 years</w:t>
      </w:r>
    </w:p>
    <w:p w14:paraId="7435429A" w14:textId="77777777" w:rsidR="00AE36FF" w:rsidRPr="000263DE" w:rsidRDefault="00AE36FF" w:rsidP="00AE36FF">
      <w:pPr>
        <w:rPr>
          <w:b/>
          <w:bCs/>
        </w:rPr>
      </w:pPr>
      <w:r w:rsidRPr="000263DE">
        <w:rPr>
          <w:b/>
          <w:bCs/>
        </w:rPr>
        <w:t>Planned evaluations:</w:t>
      </w:r>
    </w:p>
    <w:p w14:paraId="1C43E113" w14:textId="1CD02060" w:rsidR="00AE36FF" w:rsidRDefault="00AE36FF" w:rsidP="009A28D9">
      <w:pPr>
        <w:pStyle w:val="ListParagraph"/>
        <w:numPr>
          <w:ilvl w:val="0"/>
          <w:numId w:val="17"/>
        </w:numPr>
      </w:pPr>
      <w:r>
        <w:t>Review of the Samoa Disability Partnership Program</w:t>
      </w:r>
    </w:p>
    <w:p w14:paraId="731E4DCC" w14:textId="77777777" w:rsidR="00AE36FF" w:rsidRDefault="00AE36FF" w:rsidP="00AE36FF">
      <w:r>
        <w:t>Demonstrate results; improve investment.</w:t>
      </w:r>
    </w:p>
    <w:p w14:paraId="6C9B7847" w14:textId="2953560F" w:rsidR="004C49F8" w:rsidRDefault="004C49F8">
      <w:pPr>
        <w:suppressAutoHyphens w:val="0"/>
        <w:spacing w:before="0" w:after="120" w:line="440" w:lineRule="atLeast"/>
      </w:pPr>
      <w:r>
        <w:br w:type="page"/>
      </w:r>
    </w:p>
    <w:p w14:paraId="23622EA9" w14:textId="77777777" w:rsidR="00AE36FF" w:rsidRDefault="00AE36FF" w:rsidP="00AE36FF">
      <w:r w:rsidRPr="000263DE">
        <w:rPr>
          <w:b/>
          <w:bCs/>
        </w:rPr>
        <w:lastRenderedPageBreak/>
        <w:t>Program:</w:t>
      </w:r>
      <w:r>
        <w:tab/>
        <w:t>Nauru</w:t>
      </w:r>
    </w:p>
    <w:p w14:paraId="08A4CE68" w14:textId="77777777" w:rsidR="00AE36FF" w:rsidRDefault="00AE36FF" w:rsidP="00AE36FF">
      <w:r w:rsidRPr="000263DE">
        <w:rPr>
          <w:b/>
          <w:bCs/>
        </w:rPr>
        <w:t>Recommended minimum no. of evaluations:</w:t>
      </w:r>
      <w:r>
        <w:tab/>
        <w:t>1 every 2-3 years</w:t>
      </w:r>
    </w:p>
    <w:p w14:paraId="358F2A6C" w14:textId="77777777" w:rsidR="00AE36FF" w:rsidRPr="000263DE" w:rsidRDefault="00AE36FF" w:rsidP="00AE36FF">
      <w:pPr>
        <w:rPr>
          <w:b/>
          <w:bCs/>
        </w:rPr>
      </w:pPr>
      <w:r w:rsidRPr="000263DE">
        <w:rPr>
          <w:b/>
          <w:bCs/>
        </w:rPr>
        <w:t>Planned evaluations:</w:t>
      </w:r>
    </w:p>
    <w:p w14:paraId="505B4561" w14:textId="362678FC" w:rsidR="00AE36FF" w:rsidRDefault="00AE36FF" w:rsidP="009A28D9">
      <w:pPr>
        <w:pStyle w:val="ListParagraph"/>
        <w:numPr>
          <w:ilvl w:val="0"/>
          <w:numId w:val="19"/>
        </w:numPr>
      </w:pPr>
      <w:r>
        <w:t>Identifying Key Barriers to Achieving Health Program Outcomes and Lessons for Program Reform</w:t>
      </w:r>
    </w:p>
    <w:p w14:paraId="58817367" w14:textId="77777777" w:rsidR="00AE36FF" w:rsidRDefault="00AE36FF" w:rsidP="00AE36FF">
      <w:r>
        <w:t>Improve investment or contribute to design of new investment (if current investment is discontinued); identify key barriers to achievement of objectives and lessons to be built into steps to improved health programming; examine value for money.</w:t>
      </w:r>
    </w:p>
    <w:p w14:paraId="79351619" w14:textId="77777777" w:rsidR="00AE36FF" w:rsidRDefault="00AE36FF" w:rsidP="00AE36FF"/>
    <w:p w14:paraId="049DBB91" w14:textId="77777777" w:rsidR="00AE36FF" w:rsidRDefault="00AE36FF" w:rsidP="00AE36FF">
      <w:r w:rsidRPr="000263DE">
        <w:rPr>
          <w:b/>
          <w:bCs/>
        </w:rPr>
        <w:t>Program:</w:t>
      </w:r>
      <w:r>
        <w:tab/>
        <w:t>Niue</w:t>
      </w:r>
    </w:p>
    <w:p w14:paraId="32314E2B" w14:textId="77777777" w:rsidR="00AE36FF" w:rsidRDefault="00AE36FF" w:rsidP="00AE36FF">
      <w:r w:rsidRPr="000263DE">
        <w:rPr>
          <w:b/>
          <w:bCs/>
        </w:rPr>
        <w:t>Recommended minimum no. of evaluations:</w:t>
      </w:r>
      <w:r>
        <w:tab/>
        <w:t>As needed</w:t>
      </w:r>
    </w:p>
    <w:p w14:paraId="28908CB5" w14:textId="77777777" w:rsidR="00AE36FF" w:rsidRPr="000263DE" w:rsidRDefault="00AE36FF" w:rsidP="00AE36FF">
      <w:pPr>
        <w:rPr>
          <w:b/>
          <w:bCs/>
        </w:rPr>
      </w:pPr>
      <w:r w:rsidRPr="000263DE">
        <w:rPr>
          <w:b/>
          <w:bCs/>
        </w:rPr>
        <w:t>Planned evaluations:</w:t>
      </w:r>
    </w:p>
    <w:p w14:paraId="4C72C15D" w14:textId="151D1905" w:rsidR="00AE36FF" w:rsidRDefault="00AE36FF" w:rsidP="009A28D9">
      <w:pPr>
        <w:pStyle w:val="ListParagraph"/>
        <w:numPr>
          <w:ilvl w:val="0"/>
          <w:numId w:val="18"/>
        </w:numPr>
      </w:pPr>
      <w:r>
        <w:t>Evaluation of the Delegated Cooperation Arrangement (DCA) with New Zealand MFAT on Niue 2014-2021</w:t>
      </w:r>
    </w:p>
    <w:p w14:paraId="6970DCCE" w14:textId="77777777" w:rsidR="00AE36FF" w:rsidRDefault="00AE36FF" w:rsidP="00AE36FF">
      <w:r>
        <w:t>Examine value for money and effectiveness of DCA; inform design of new direct bilateral program.</w:t>
      </w:r>
    </w:p>
    <w:p w14:paraId="29D3CABD" w14:textId="77777777" w:rsidR="00AE36FF" w:rsidRDefault="00AE36FF" w:rsidP="00AE36FF"/>
    <w:p w14:paraId="3D1590D3" w14:textId="77777777" w:rsidR="00AE36FF" w:rsidRDefault="00AE36FF" w:rsidP="000263DE">
      <w:pPr>
        <w:pStyle w:val="Heading2"/>
      </w:pPr>
      <w:r>
        <w:t>SOUTH EAST ASIA: 16 EVALUATIONS</w:t>
      </w:r>
    </w:p>
    <w:p w14:paraId="7F61B229" w14:textId="77777777" w:rsidR="00AE36FF" w:rsidRDefault="00AE36FF" w:rsidP="00AE36FF">
      <w:r w:rsidRPr="000263DE">
        <w:rPr>
          <w:b/>
          <w:bCs/>
        </w:rPr>
        <w:t>Program:</w:t>
      </w:r>
      <w:r>
        <w:tab/>
        <w:t>Indonesia</w:t>
      </w:r>
    </w:p>
    <w:p w14:paraId="61FCC1FC" w14:textId="77777777" w:rsidR="00AE36FF" w:rsidRDefault="00AE36FF" w:rsidP="00AE36FF">
      <w:r w:rsidRPr="000263DE">
        <w:rPr>
          <w:b/>
          <w:bCs/>
        </w:rPr>
        <w:t>Recommended minimum no. of evaluations:</w:t>
      </w:r>
      <w:r>
        <w:tab/>
        <w:t>4</w:t>
      </w:r>
    </w:p>
    <w:p w14:paraId="38AABA63" w14:textId="77777777" w:rsidR="00AE36FF" w:rsidRPr="000263DE" w:rsidRDefault="00AE36FF" w:rsidP="00AE36FF">
      <w:pPr>
        <w:rPr>
          <w:b/>
          <w:bCs/>
        </w:rPr>
      </w:pPr>
      <w:r w:rsidRPr="000263DE">
        <w:rPr>
          <w:b/>
          <w:bCs/>
        </w:rPr>
        <w:t>Planned evaluations:</w:t>
      </w:r>
    </w:p>
    <w:p w14:paraId="08BD39A4" w14:textId="493AFD19" w:rsidR="00AE36FF" w:rsidRDefault="00AE36FF" w:rsidP="009A28D9">
      <w:pPr>
        <w:pStyle w:val="ListParagraph"/>
        <w:numPr>
          <w:ilvl w:val="0"/>
          <w:numId w:val="20"/>
        </w:numPr>
      </w:pPr>
      <w:r>
        <w:t>End of Program Review for AAI (Australia Awards in Indonesia)</w:t>
      </w:r>
    </w:p>
    <w:p w14:paraId="5E58FB9A" w14:textId="77777777" w:rsidR="00AE36FF" w:rsidRDefault="00AE36FF" w:rsidP="00AE36FF">
      <w:r>
        <w:t>Assess efficiency and effectiveness of current program; assess how COVID-19 has impacted the program; improve existing investment; examine value for money; feed into design for new program in April 2022.</w:t>
      </w:r>
    </w:p>
    <w:p w14:paraId="16B93789" w14:textId="3FB3E688" w:rsidR="00AE36FF" w:rsidRDefault="00AE36FF" w:rsidP="009A28D9">
      <w:pPr>
        <w:pStyle w:val="ListParagraph"/>
        <w:numPr>
          <w:ilvl w:val="0"/>
          <w:numId w:val="20"/>
        </w:numPr>
      </w:pPr>
      <w:r>
        <w:t>The Indonesia-Australia Infrastructure Partnership (KIAT) Mid-Term Review</w:t>
      </w:r>
    </w:p>
    <w:p w14:paraId="5A944E85" w14:textId="77777777" w:rsidR="00AE36FF" w:rsidRDefault="00AE36FF" w:rsidP="00AE36FF">
      <w:r>
        <w:t>Inform the (re) design of the next phase of KIAT - its sectoral priorities and approach and alignment with the new COVID-19 Development Response Plan (CRP); demonstrate results and lessons to share with similar infra facilities in DFAT.</w:t>
      </w:r>
    </w:p>
    <w:p w14:paraId="069536A9" w14:textId="2B33F6A0" w:rsidR="00AE36FF" w:rsidRDefault="00AE36FF" w:rsidP="009A28D9">
      <w:pPr>
        <w:pStyle w:val="ListParagraph"/>
        <w:numPr>
          <w:ilvl w:val="0"/>
          <w:numId w:val="20"/>
        </w:numPr>
      </w:pPr>
      <w:r>
        <w:t>Knowledge to Policy Independent Strategic Review (ISR)</w:t>
      </w:r>
    </w:p>
    <w:p w14:paraId="255EABEA" w14:textId="77777777" w:rsidR="00AE36FF" w:rsidRDefault="00AE36FF" w:rsidP="00AE36FF">
      <w:r>
        <w:t>To assess performance of Knowledge to Policy (K2P) investments and to inform new design of future investment.</w:t>
      </w:r>
    </w:p>
    <w:p w14:paraId="3BF60487" w14:textId="09A4986E" w:rsidR="00AE36FF" w:rsidRDefault="00AE36FF" w:rsidP="009A28D9">
      <w:pPr>
        <w:pStyle w:val="ListParagraph"/>
        <w:numPr>
          <w:ilvl w:val="0"/>
          <w:numId w:val="20"/>
        </w:numPr>
      </w:pPr>
      <w:r>
        <w:t>Australia-Indonesia Partnership for Economic Development (PROSPERA) Mid-Term Review</w:t>
      </w:r>
    </w:p>
    <w:p w14:paraId="681884AF" w14:textId="77777777" w:rsidR="00AE36FF" w:rsidRDefault="00AE36FF" w:rsidP="00AE36FF">
      <w:r>
        <w:t>To inform decision-making around the scope, structure, objectives and modalities for the remaining period of the PROSPERA program.</w:t>
      </w:r>
    </w:p>
    <w:p w14:paraId="0FA71F05" w14:textId="77777777" w:rsidR="00AE36FF" w:rsidRDefault="00AE36FF" w:rsidP="00AE36FF"/>
    <w:p w14:paraId="195DB672" w14:textId="77777777" w:rsidR="00AE36FF" w:rsidRDefault="00AE36FF" w:rsidP="00AE36FF">
      <w:r w:rsidRPr="000263DE">
        <w:rPr>
          <w:b/>
          <w:bCs/>
        </w:rPr>
        <w:t>Program:</w:t>
      </w:r>
      <w:r>
        <w:tab/>
        <w:t>Timor-Leste</w:t>
      </w:r>
    </w:p>
    <w:p w14:paraId="3B2CECA9" w14:textId="77777777" w:rsidR="00AE36FF" w:rsidRDefault="00AE36FF" w:rsidP="00AE36FF">
      <w:r w:rsidRPr="000263DE">
        <w:rPr>
          <w:b/>
          <w:bCs/>
        </w:rPr>
        <w:t>Recommended minimum no. of evaluations:</w:t>
      </w:r>
      <w:r>
        <w:tab/>
        <w:t>2</w:t>
      </w:r>
    </w:p>
    <w:p w14:paraId="457FE08B" w14:textId="77777777" w:rsidR="00AE36FF" w:rsidRPr="000263DE" w:rsidRDefault="00AE36FF" w:rsidP="00AE36FF">
      <w:pPr>
        <w:rPr>
          <w:b/>
          <w:bCs/>
        </w:rPr>
      </w:pPr>
      <w:r w:rsidRPr="000263DE">
        <w:rPr>
          <w:b/>
          <w:bCs/>
        </w:rPr>
        <w:t>Planned evaluations:</w:t>
      </w:r>
    </w:p>
    <w:p w14:paraId="0E4FFDAB" w14:textId="19D3902F" w:rsidR="00AE36FF" w:rsidRDefault="00AE36FF" w:rsidP="009A28D9">
      <w:pPr>
        <w:pStyle w:val="ListParagraph"/>
        <w:numPr>
          <w:ilvl w:val="0"/>
          <w:numId w:val="21"/>
        </w:numPr>
      </w:pPr>
      <w:r>
        <w:t>Timor-Leste Police Development Program (TLPDP) Independent Evaluation</w:t>
      </w:r>
    </w:p>
    <w:p w14:paraId="2DC35241" w14:textId="77777777" w:rsidR="00AE36FF" w:rsidRDefault="00AE36FF" w:rsidP="00AE36FF">
      <w:r>
        <w:t>Inform future phase; demonstrate results; improve existing investment; examine value for money.</w:t>
      </w:r>
    </w:p>
    <w:p w14:paraId="393745E1" w14:textId="402A4B84" w:rsidR="00AE36FF" w:rsidRDefault="00AE36FF" w:rsidP="009A28D9">
      <w:pPr>
        <w:pStyle w:val="ListParagraph"/>
        <w:numPr>
          <w:ilvl w:val="0"/>
          <w:numId w:val="21"/>
        </w:numPr>
      </w:pPr>
      <w:r>
        <w:t>Partnership for Human Development (PHD) Mid-Term Review</w:t>
      </w:r>
    </w:p>
    <w:p w14:paraId="1880A068" w14:textId="77777777" w:rsidR="00AE36FF" w:rsidRDefault="00AE36FF" w:rsidP="00AE36FF">
      <w:r>
        <w:lastRenderedPageBreak/>
        <w:t>Inform new design; demonstrate results; improve existing investment; examine value for money.</w:t>
      </w:r>
    </w:p>
    <w:p w14:paraId="19967D31" w14:textId="77777777" w:rsidR="00AE36FF" w:rsidRDefault="00AE36FF" w:rsidP="00AE36FF"/>
    <w:p w14:paraId="3D4D7840" w14:textId="77777777" w:rsidR="00AE36FF" w:rsidRDefault="00AE36FF" w:rsidP="00AE36FF">
      <w:r w:rsidRPr="000263DE">
        <w:rPr>
          <w:b/>
          <w:bCs/>
        </w:rPr>
        <w:t>Program:</w:t>
      </w:r>
      <w:r>
        <w:tab/>
        <w:t>Philippines</w:t>
      </w:r>
    </w:p>
    <w:p w14:paraId="600AF29C" w14:textId="77777777" w:rsidR="00AE36FF" w:rsidRDefault="00AE36FF" w:rsidP="00AE36FF">
      <w:r w:rsidRPr="000263DE">
        <w:rPr>
          <w:b/>
          <w:bCs/>
        </w:rPr>
        <w:t>Recommended minimum no. of evaluations:</w:t>
      </w:r>
      <w:r>
        <w:tab/>
        <w:t>2</w:t>
      </w:r>
    </w:p>
    <w:p w14:paraId="1F0A2FD4" w14:textId="77777777" w:rsidR="00AE36FF" w:rsidRPr="000263DE" w:rsidRDefault="00AE36FF" w:rsidP="00AE36FF">
      <w:pPr>
        <w:rPr>
          <w:b/>
          <w:bCs/>
        </w:rPr>
      </w:pPr>
      <w:r w:rsidRPr="000263DE">
        <w:rPr>
          <w:b/>
          <w:bCs/>
        </w:rPr>
        <w:t>Planned evaluations:</w:t>
      </w:r>
    </w:p>
    <w:p w14:paraId="64D993BB" w14:textId="45AE6797" w:rsidR="00AE36FF" w:rsidRDefault="00AE36FF" w:rsidP="009A28D9">
      <w:pPr>
        <w:pStyle w:val="ListParagraph"/>
        <w:numPr>
          <w:ilvl w:val="0"/>
          <w:numId w:val="22"/>
        </w:numPr>
      </w:pPr>
      <w:r>
        <w:t>Basic Education Sector Transformation (BEST) End of Program Evaluation</w:t>
      </w:r>
    </w:p>
    <w:p w14:paraId="0A056439" w14:textId="77777777" w:rsidR="00AE36FF" w:rsidRDefault="00AE36FF" w:rsidP="00AE36FF">
      <w:r>
        <w:t>To review the program’s outcomes and generate evidence for future investments.</w:t>
      </w:r>
    </w:p>
    <w:p w14:paraId="0BE298C8" w14:textId="66CE30B4" w:rsidR="00AE36FF" w:rsidRDefault="00AE36FF" w:rsidP="009A28D9">
      <w:pPr>
        <w:pStyle w:val="ListParagraph"/>
        <w:numPr>
          <w:ilvl w:val="0"/>
          <w:numId w:val="22"/>
        </w:numPr>
      </w:pPr>
      <w:r>
        <w:t>Mid-Term Review of Innovation for Social Impact Partnership (ISIP)</w:t>
      </w:r>
    </w:p>
    <w:p w14:paraId="0F0BDB5E" w14:textId="77777777" w:rsidR="00AE36FF" w:rsidRDefault="00AE36FF" w:rsidP="00AE36FF">
      <w:r>
        <w:t>To assess the overall effectiveness of ISIP’s implementation strategy.</w:t>
      </w:r>
    </w:p>
    <w:p w14:paraId="54EB6D27" w14:textId="77777777" w:rsidR="00AE36FF" w:rsidRDefault="00AE36FF" w:rsidP="00AE36FF"/>
    <w:p w14:paraId="66C7605C" w14:textId="77777777" w:rsidR="00AE36FF" w:rsidRDefault="00AE36FF" w:rsidP="00AE36FF">
      <w:r w:rsidRPr="000263DE">
        <w:rPr>
          <w:b/>
          <w:bCs/>
        </w:rPr>
        <w:t>Program:</w:t>
      </w:r>
      <w:r>
        <w:tab/>
        <w:t>Cambodia</w:t>
      </w:r>
    </w:p>
    <w:p w14:paraId="09C8988B" w14:textId="77777777" w:rsidR="00AE36FF" w:rsidRDefault="00AE36FF" w:rsidP="00AE36FF">
      <w:r w:rsidRPr="000263DE">
        <w:rPr>
          <w:b/>
          <w:bCs/>
        </w:rPr>
        <w:t>Recommended minimum no. of evaluations:</w:t>
      </w:r>
      <w:r>
        <w:tab/>
        <w:t>2</w:t>
      </w:r>
    </w:p>
    <w:p w14:paraId="6F90CE48" w14:textId="77777777" w:rsidR="00AE36FF" w:rsidRDefault="00AE36FF" w:rsidP="00AE36FF">
      <w:r>
        <w:t>Planned evaluations:</w:t>
      </w:r>
    </w:p>
    <w:p w14:paraId="21468C6E" w14:textId="708D79F1" w:rsidR="00AE36FF" w:rsidRDefault="00AE36FF" w:rsidP="009A28D9">
      <w:pPr>
        <w:pStyle w:val="ListParagraph"/>
        <w:numPr>
          <w:ilvl w:val="0"/>
          <w:numId w:val="23"/>
        </w:numPr>
      </w:pPr>
      <w:r>
        <w:t>Health Equity and Quality Improvement Program (H-EQIP) Service De</w:t>
      </w:r>
      <w:bookmarkStart w:id="1" w:name="_GoBack"/>
      <w:bookmarkEnd w:id="1"/>
      <w:r>
        <w:t>livery Grants Impact Evaluation</w:t>
      </w:r>
    </w:p>
    <w:p w14:paraId="2A861D92" w14:textId="77777777" w:rsidR="00AE36FF" w:rsidRDefault="00AE36FF" w:rsidP="00AE36FF">
      <w:r>
        <w:t>Assess the development impact of the investment; inform the design of successor project: H-EQIP 2.</w:t>
      </w:r>
    </w:p>
    <w:p w14:paraId="76293A0F" w14:textId="178485FC" w:rsidR="00AE36FF" w:rsidRDefault="00AE36FF" w:rsidP="009A28D9">
      <w:pPr>
        <w:pStyle w:val="ListParagraph"/>
        <w:numPr>
          <w:ilvl w:val="0"/>
          <w:numId w:val="23"/>
        </w:numPr>
      </w:pPr>
      <w:r>
        <w:t>Independent Review of 3i (Investing in Infrastructure) Cambodia and associated COVID-19 Response</w:t>
      </w:r>
    </w:p>
    <w:p w14:paraId="26A5515B" w14:textId="77777777" w:rsidR="00AE36FF" w:rsidRDefault="00AE36FF" w:rsidP="00AE36FF">
      <w:r>
        <w:t>Review progress and achievements to date; verify livelihood impacts among beneficiaries; assess the effectiveness and efficiency of current or proposed COVID-19 responses; identify elements of the 3i program suitable for further support in any new support phase.</w:t>
      </w:r>
    </w:p>
    <w:p w14:paraId="2F2EC5EF" w14:textId="77777777" w:rsidR="00AE36FF" w:rsidRDefault="00AE36FF" w:rsidP="00AE36FF"/>
    <w:p w14:paraId="306C2C4E" w14:textId="77777777" w:rsidR="00AE36FF" w:rsidRDefault="00AE36FF" w:rsidP="00AE36FF">
      <w:r w:rsidRPr="000263DE">
        <w:rPr>
          <w:b/>
          <w:bCs/>
        </w:rPr>
        <w:t>Program:</w:t>
      </w:r>
      <w:r>
        <w:tab/>
        <w:t>Vietnam</w:t>
      </w:r>
    </w:p>
    <w:p w14:paraId="40EC74F1" w14:textId="77777777" w:rsidR="00AE36FF" w:rsidRDefault="00AE36FF" w:rsidP="00AE36FF">
      <w:r w:rsidRPr="000263DE">
        <w:rPr>
          <w:b/>
          <w:bCs/>
        </w:rPr>
        <w:t>Recommended minimum no. of evaluations:</w:t>
      </w:r>
      <w:r>
        <w:tab/>
        <w:t>2</w:t>
      </w:r>
    </w:p>
    <w:p w14:paraId="4A4F1BC4" w14:textId="77777777" w:rsidR="00AE36FF" w:rsidRPr="000263DE" w:rsidRDefault="00AE36FF" w:rsidP="00AE36FF">
      <w:pPr>
        <w:rPr>
          <w:b/>
          <w:bCs/>
        </w:rPr>
      </w:pPr>
      <w:r w:rsidRPr="000263DE">
        <w:rPr>
          <w:b/>
          <w:bCs/>
        </w:rPr>
        <w:t>Planned evaluations:</w:t>
      </w:r>
    </w:p>
    <w:p w14:paraId="57E8FC5A" w14:textId="5B17390C" w:rsidR="00AE36FF" w:rsidRDefault="00AE36FF" w:rsidP="009A28D9">
      <w:pPr>
        <w:pStyle w:val="ListParagraph"/>
        <w:numPr>
          <w:ilvl w:val="0"/>
          <w:numId w:val="24"/>
        </w:numPr>
      </w:pPr>
      <w:r>
        <w:t>Aus4Transport Review</w:t>
      </w:r>
    </w:p>
    <w:p w14:paraId="2025F3D8" w14:textId="77777777" w:rsidR="00AE36FF" w:rsidRDefault="00AE36FF" w:rsidP="00AE36FF">
      <w:r>
        <w:t>To test the relevance, effectiveness and efficiency of the investment to date to recommend improvements over the remaining life of the program, and considering the possibility of a second phase.</w:t>
      </w:r>
    </w:p>
    <w:p w14:paraId="6B087591" w14:textId="20EABB3D" w:rsidR="00AE36FF" w:rsidRDefault="00AE36FF" w:rsidP="009A28D9">
      <w:pPr>
        <w:pStyle w:val="ListParagraph"/>
        <w:numPr>
          <w:ilvl w:val="0"/>
          <w:numId w:val="24"/>
        </w:numPr>
      </w:pPr>
      <w:r>
        <w:t>Aus4Reform Mid-Term Review</w:t>
      </w:r>
    </w:p>
    <w:p w14:paraId="3E931C2F" w14:textId="77777777" w:rsidR="00AE36FF" w:rsidRDefault="00AE36FF" w:rsidP="00AE36FF">
      <w:r>
        <w:t>To undertake an independent assessment and review of the program implementation to date and inform management decisions on strengthening ongoing implementation and future program designs.</w:t>
      </w:r>
    </w:p>
    <w:p w14:paraId="2CAD0F1E" w14:textId="3F808885" w:rsidR="00AE36FF" w:rsidRDefault="00AE36FF" w:rsidP="009A28D9">
      <w:pPr>
        <w:pStyle w:val="ListParagraph"/>
        <w:numPr>
          <w:ilvl w:val="0"/>
          <w:numId w:val="24"/>
        </w:numPr>
      </w:pPr>
      <w:r>
        <w:t>Aus4Equality Mid-Term Review</w:t>
      </w:r>
    </w:p>
    <w:p w14:paraId="0629B5CA" w14:textId="77777777" w:rsidR="00AE36FF" w:rsidRDefault="00AE36FF" w:rsidP="00AE36FF">
      <w:r>
        <w:t>To undertake an independent assessment and review of the program implementation to date and inform management decisions on the future of the program.</w:t>
      </w:r>
    </w:p>
    <w:p w14:paraId="092FA93A" w14:textId="4B3A3CFA" w:rsidR="004C49F8" w:rsidRDefault="004C49F8">
      <w:pPr>
        <w:suppressAutoHyphens w:val="0"/>
        <w:spacing w:before="0" w:after="120" w:line="440" w:lineRule="atLeast"/>
      </w:pPr>
      <w:r>
        <w:br w:type="page"/>
      </w:r>
    </w:p>
    <w:p w14:paraId="047BDB4F" w14:textId="77777777" w:rsidR="00AE36FF" w:rsidRDefault="00AE36FF" w:rsidP="00AE36FF">
      <w:r w:rsidRPr="000263DE">
        <w:rPr>
          <w:b/>
          <w:bCs/>
        </w:rPr>
        <w:lastRenderedPageBreak/>
        <w:t>Program:</w:t>
      </w:r>
      <w:r>
        <w:tab/>
        <w:t>Myanmar</w:t>
      </w:r>
    </w:p>
    <w:p w14:paraId="1E9912E2" w14:textId="77777777" w:rsidR="00AE36FF" w:rsidRDefault="00AE36FF" w:rsidP="00AE36FF">
      <w:r w:rsidRPr="000263DE">
        <w:rPr>
          <w:b/>
          <w:bCs/>
        </w:rPr>
        <w:t>Recommended minimum no. of evaluations:</w:t>
      </w:r>
      <w:r>
        <w:tab/>
        <w:t>1</w:t>
      </w:r>
    </w:p>
    <w:p w14:paraId="71762FE1" w14:textId="77777777" w:rsidR="00AE36FF" w:rsidRPr="000263DE" w:rsidRDefault="00AE36FF" w:rsidP="00AE36FF">
      <w:pPr>
        <w:rPr>
          <w:b/>
          <w:bCs/>
        </w:rPr>
      </w:pPr>
      <w:r w:rsidRPr="000263DE">
        <w:rPr>
          <w:b/>
          <w:bCs/>
        </w:rPr>
        <w:t>Planned evaluations:</w:t>
      </w:r>
    </w:p>
    <w:p w14:paraId="5E17CB63" w14:textId="68503BB0" w:rsidR="00AE36FF" w:rsidRDefault="00AE36FF" w:rsidP="009A28D9">
      <w:pPr>
        <w:pStyle w:val="ListParagraph"/>
        <w:numPr>
          <w:ilvl w:val="0"/>
          <w:numId w:val="25"/>
        </w:numPr>
      </w:pPr>
      <w:r>
        <w:t>UNDP Country Development Program in Myanmar and project evaluations</w:t>
      </w:r>
    </w:p>
    <w:p w14:paraId="51E29085" w14:textId="77777777" w:rsidR="00AE36FF" w:rsidRDefault="00AE36FF" w:rsidP="00AE36FF">
      <w:r>
        <w:t>Two levels of mid-term evaluation of UNDP: one at country program level and one evaluating all projects (including the three projects Australia supports); support determination of Australia's future democratic governance support in Myanmar.</w:t>
      </w:r>
    </w:p>
    <w:p w14:paraId="7BCF2C4F" w14:textId="77777777" w:rsidR="00AE36FF" w:rsidRDefault="00AE36FF" w:rsidP="00AE36FF"/>
    <w:p w14:paraId="55E3C56A" w14:textId="77777777" w:rsidR="00AE36FF" w:rsidRDefault="00AE36FF" w:rsidP="00AE36FF">
      <w:r w:rsidRPr="000263DE">
        <w:rPr>
          <w:b/>
          <w:bCs/>
        </w:rPr>
        <w:t>Program:</w:t>
      </w:r>
      <w:r>
        <w:tab/>
        <w:t>South East Asia Regional</w:t>
      </w:r>
    </w:p>
    <w:p w14:paraId="1E1950F2" w14:textId="77777777" w:rsidR="00AE36FF" w:rsidRDefault="00AE36FF" w:rsidP="00AE36FF">
      <w:r w:rsidRPr="000263DE">
        <w:rPr>
          <w:b/>
          <w:bCs/>
        </w:rPr>
        <w:t>Recommended minimum no. of evaluations:</w:t>
      </w:r>
      <w:r>
        <w:tab/>
        <w:t>1</w:t>
      </w:r>
    </w:p>
    <w:p w14:paraId="4C431ACC" w14:textId="77777777" w:rsidR="00AE36FF" w:rsidRPr="000263DE" w:rsidRDefault="00AE36FF" w:rsidP="00AE36FF">
      <w:pPr>
        <w:rPr>
          <w:b/>
          <w:bCs/>
        </w:rPr>
      </w:pPr>
      <w:r w:rsidRPr="000263DE">
        <w:rPr>
          <w:b/>
          <w:bCs/>
        </w:rPr>
        <w:t>Planned evaluations:</w:t>
      </w:r>
    </w:p>
    <w:p w14:paraId="4567D781" w14:textId="389FA4D1" w:rsidR="00AE36FF" w:rsidRDefault="00AE36FF" w:rsidP="009A28D9">
      <w:pPr>
        <w:pStyle w:val="ListParagraph"/>
        <w:numPr>
          <w:ilvl w:val="0"/>
          <w:numId w:val="26"/>
        </w:numPr>
      </w:pPr>
      <w:r>
        <w:t>Mid-term Review of Australia's Support to Economic Research Institute for ASEAN and East Asia (ERIA)</w:t>
      </w:r>
    </w:p>
    <w:p w14:paraId="3BC35012" w14:textId="77777777" w:rsidR="00AE36FF" w:rsidRDefault="00AE36FF" w:rsidP="00AE36FF">
      <w:r>
        <w:t>To assess alignment with broader ASEAN-Australia economic objectives and identify opportunities for further complementarity; to assess the relevance of this investment to our ASEAN-Australia policy objectives; to inform program improvement and decisions about future funding; to assess effectiveness and efficiency including the pivot to address the impacts of COVID-19.</w:t>
      </w:r>
    </w:p>
    <w:p w14:paraId="4EE3A512" w14:textId="5A5648BD" w:rsidR="00AE36FF" w:rsidRDefault="00AE36FF" w:rsidP="009A28D9">
      <w:pPr>
        <w:pStyle w:val="ListParagraph"/>
        <w:numPr>
          <w:ilvl w:val="0"/>
          <w:numId w:val="26"/>
        </w:numPr>
      </w:pPr>
      <w:r>
        <w:t>Malaysia and Thailand Reform Partnerships Independent Evaluation</w:t>
      </w:r>
    </w:p>
    <w:p w14:paraId="0E4077E9" w14:textId="77777777" w:rsidR="00AE36FF" w:rsidRDefault="00AE36FF" w:rsidP="00AE36FF">
      <w:r>
        <w:t>A progressive evaluation in the 'critical friend' style to assess the extent to which the goals and objectives of the program are achieved, and the usefulness of the program approach for Southeast Asian middle-income countries.  The 2021 component will assess the program at mid-term.</w:t>
      </w:r>
    </w:p>
    <w:p w14:paraId="5A44ED5A" w14:textId="77777777" w:rsidR="00AE36FF" w:rsidRDefault="00AE36FF" w:rsidP="00AE36FF"/>
    <w:p w14:paraId="21526905" w14:textId="77777777" w:rsidR="00AE36FF" w:rsidRDefault="00AE36FF" w:rsidP="000263DE">
      <w:pPr>
        <w:pStyle w:val="Heading2"/>
      </w:pPr>
      <w:r>
        <w:t>SOUTH AND WEST ASIA: 4 EVALUATIONS</w:t>
      </w:r>
    </w:p>
    <w:p w14:paraId="719397B1" w14:textId="77777777" w:rsidR="00AE36FF" w:rsidRDefault="00AE36FF" w:rsidP="00AE36FF">
      <w:r w:rsidRPr="000263DE">
        <w:rPr>
          <w:b/>
          <w:bCs/>
        </w:rPr>
        <w:t>Program:</w:t>
      </w:r>
      <w:r>
        <w:tab/>
        <w:t>Afghanistan</w:t>
      </w:r>
    </w:p>
    <w:p w14:paraId="462F47F4" w14:textId="77777777" w:rsidR="00AE36FF" w:rsidRDefault="00AE36FF" w:rsidP="00AE36FF">
      <w:r w:rsidRPr="000263DE">
        <w:rPr>
          <w:b/>
          <w:bCs/>
        </w:rPr>
        <w:t>Recommended minimum no. of evaluations:</w:t>
      </w:r>
      <w:r>
        <w:tab/>
        <w:t>2</w:t>
      </w:r>
    </w:p>
    <w:p w14:paraId="1EE82FCA" w14:textId="77777777" w:rsidR="00AE36FF" w:rsidRPr="000263DE" w:rsidRDefault="00AE36FF" w:rsidP="00AE36FF">
      <w:pPr>
        <w:rPr>
          <w:b/>
          <w:bCs/>
        </w:rPr>
      </w:pPr>
      <w:r w:rsidRPr="000263DE">
        <w:rPr>
          <w:b/>
          <w:bCs/>
        </w:rPr>
        <w:t>Planned evaluations:</w:t>
      </w:r>
    </w:p>
    <w:p w14:paraId="4C7E0B2F" w14:textId="40F966B8" w:rsidR="00AE36FF" w:rsidRDefault="00AE36FF" w:rsidP="009A28D9">
      <w:pPr>
        <w:pStyle w:val="ListParagraph"/>
        <w:numPr>
          <w:ilvl w:val="0"/>
          <w:numId w:val="27"/>
        </w:numPr>
      </w:pPr>
      <w:r>
        <w:t>Final Evaluation of the Australia Afghanistan Community Resilience Scheme</w:t>
      </w:r>
    </w:p>
    <w:p w14:paraId="1A7FE9C3" w14:textId="77777777" w:rsidR="00AE36FF" w:rsidRDefault="00AE36FF" w:rsidP="00AE36FF">
      <w:r>
        <w:t>Demonstrate results; examine value for money; inform the design of a new agriculture investment in Afghanistan.</w:t>
      </w:r>
    </w:p>
    <w:p w14:paraId="38378F98" w14:textId="768FF7C1" w:rsidR="00AE36FF" w:rsidRDefault="00AE36FF" w:rsidP="009A28D9">
      <w:pPr>
        <w:pStyle w:val="ListParagraph"/>
        <w:numPr>
          <w:ilvl w:val="0"/>
          <w:numId w:val="27"/>
        </w:numPr>
      </w:pPr>
      <w:r>
        <w:t>Mid-Term Review of the Afghanistan Ending Violence Against Women – Phase 2</w:t>
      </w:r>
    </w:p>
    <w:p w14:paraId="468C8512" w14:textId="77777777" w:rsidR="00AE36FF" w:rsidRDefault="00AE36FF" w:rsidP="00AE36FF">
      <w:r>
        <w:t>Demonstrate results; examine value for money; inform the design of a new investment in women's empowerment.</w:t>
      </w:r>
    </w:p>
    <w:p w14:paraId="17D9EEFD" w14:textId="77777777" w:rsidR="00AE36FF" w:rsidRDefault="00AE36FF" w:rsidP="00AE36FF"/>
    <w:p w14:paraId="1EB22585" w14:textId="77777777" w:rsidR="00AE36FF" w:rsidRDefault="00AE36FF" w:rsidP="00AE36FF">
      <w:r w:rsidRPr="000263DE">
        <w:rPr>
          <w:b/>
          <w:bCs/>
        </w:rPr>
        <w:t>Program:</w:t>
      </w:r>
      <w:r>
        <w:tab/>
        <w:t>Bangladesh</w:t>
      </w:r>
    </w:p>
    <w:p w14:paraId="33562F57" w14:textId="77777777" w:rsidR="00AE36FF" w:rsidRDefault="00AE36FF" w:rsidP="00AE36FF">
      <w:r w:rsidRPr="000263DE">
        <w:rPr>
          <w:b/>
          <w:bCs/>
        </w:rPr>
        <w:t>Recommended minimum no. of evaluations:</w:t>
      </w:r>
      <w:r>
        <w:tab/>
        <w:t>1</w:t>
      </w:r>
    </w:p>
    <w:p w14:paraId="0C62F626" w14:textId="77777777" w:rsidR="00AE36FF" w:rsidRPr="000263DE" w:rsidRDefault="00AE36FF" w:rsidP="00AE36FF">
      <w:pPr>
        <w:rPr>
          <w:b/>
          <w:bCs/>
        </w:rPr>
      </w:pPr>
      <w:r w:rsidRPr="000263DE">
        <w:rPr>
          <w:b/>
          <w:bCs/>
        </w:rPr>
        <w:t>Planned evaluations:</w:t>
      </w:r>
    </w:p>
    <w:p w14:paraId="4B89C59A" w14:textId="77777777" w:rsidR="00AE36FF" w:rsidRDefault="00AE36FF" w:rsidP="00AE36FF"/>
    <w:p w14:paraId="7F6E8ED1" w14:textId="0C8F0685" w:rsidR="00AE36FF" w:rsidRDefault="00AE36FF" w:rsidP="009A28D9">
      <w:pPr>
        <w:pStyle w:val="ListParagraph"/>
        <w:numPr>
          <w:ilvl w:val="0"/>
          <w:numId w:val="28"/>
        </w:numPr>
      </w:pPr>
      <w:r>
        <w:t>Program Completion Review of the Strategic Partnership Arrangement, Phase II</w:t>
      </w:r>
    </w:p>
    <w:p w14:paraId="4F69DB04" w14:textId="77777777" w:rsidR="00AE36FF" w:rsidRDefault="00AE36FF" w:rsidP="00AE36FF">
      <w:r>
        <w:t>Demonstrate results and the value add of the partnership of the investment.</w:t>
      </w:r>
    </w:p>
    <w:p w14:paraId="2B04024B" w14:textId="77777777" w:rsidR="00AE36FF" w:rsidRDefault="00AE36FF" w:rsidP="00AE36FF"/>
    <w:p w14:paraId="53D8C8EB" w14:textId="77777777" w:rsidR="00AE36FF" w:rsidRDefault="00AE36FF" w:rsidP="00AE36FF">
      <w:r w:rsidRPr="000263DE">
        <w:rPr>
          <w:b/>
          <w:bCs/>
        </w:rPr>
        <w:t>Program:</w:t>
      </w:r>
      <w:r>
        <w:tab/>
        <w:t>Pakistan</w:t>
      </w:r>
    </w:p>
    <w:p w14:paraId="3EA0B8C3" w14:textId="77777777" w:rsidR="00AE36FF" w:rsidRDefault="00AE36FF" w:rsidP="00AE36FF">
      <w:r w:rsidRPr="000263DE">
        <w:rPr>
          <w:b/>
          <w:bCs/>
        </w:rPr>
        <w:t>Recommended minimum no. of evaluations:</w:t>
      </w:r>
      <w:r>
        <w:tab/>
        <w:t>1</w:t>
      </w:r>
    </w:p>
    <w:p w14:paraId="36DCDF11" w14:textId="77777777" w:rsidR="00AE36FF" w:rsidRPr="000263DE" w:rsidRDefault="00AE36FF" w:rsidP="00AE36FF">
      <w:pPr>
        <w:rPr>
          <w:b/>
          <w:bCs/>
        </w:rPr>
      </w:pPr>
      <w:r w:rsidRPr="000263DE">
        <w:rPr>
          <w:b/>
          <w:bCs/>
        </w:rPr>
        <w:t>Planned evaluations:</w:t>
      </w:r>
    </w:p>
    <w:p w14:paraId="52665AED" w14:textId="4E12A661" w:rsidR="00AE36FF" w:rsidRDefault="00AE36FF" w:rsidP="009A28D9">
      <w:pPr>
        <w:pStyle w:val="ListParagraph"/>
        <w:numPr>
          <w:ilvl w:val="0"/>
          <w:numId w:val="29"/>
        </w:numPr>
      </w:pPr>
      <w:r>
        <w:t>Independent Evaluation of the Australian Assistance to Agriculture Development in Baluchistan Border Areas (</w:t>
      </w:r>
      <w:proofErr w:type="spellStart"/>
      <w:r>
        <w:t>AusABBA</w:t>
      </w:r>
      <w:proofErr w:type="spellEnd"/>
      <w:r>
        <w:t>) Phase II</w:t>
      </w:r>
    </w:p>
    <w:p w14:paraId="3BBB2870" w14:textId="77777777" w:rsidR="00AE36FF" w:rsidRDefault="00AE36FF" w:rsidP="00AE36FF">
      <w:r>
        <w:t>Demonstrate results and the value add of the partnership of the investment.</w:t>
      </w:r>
    </w:p>
    <w:p w14:paraId="160B3193" w14:textId="77777777" w:rsidR="00AE36FF" w:rsidRDefault="00AE36FF" w:rsidP="00AE36FF"/>
    <w:p w14:paraId="4679828F" w14:textId="658B2869" w:rsidR="00AE36FF" w:rsidRDefault="00AE36FF" w:rsidP="000263DE">
      <w:pPr>
        <w:pStyle w:val="Heading2"/>
      </w:pPr>
      <w:r>
        <w:t>HUMANITARIAN</w:t>
      </w:r>
      <w:r w:rsidR="00207A9D">
        <w:t>: 2 EVALUATIONS</w:t>
      </w:r>
    </w:p>
    <w:p w14:paraId="3E927D98" w14:textId="77777777" w:rsidR="00AE36FF" w:rsidRDefault="00AE36FF" w:rsidP="00AE36FF">
      <w:r w:rsidRPr="000263DE">
        <w:rPr>
          <w:b/>
          <w:bCs/>
        </w:rPr>
        <w:t>Program:</w:t>
      </w:r>
      <w:r>
        <w:tab/>
        <w:t>Humanitarian (including Emergency Fund)</w:t>
      </w:r>
    </w:p>
    <w:p w14:paraId="14E8FB4D" w14:textId="77777777" w:rsidR="00AE36FF" w:rsidRDefault="00AE36FF" w:rsidP="00AE36FF">
      <w:r w:rsidRPr="000263DE">
        <w:rPr>
          <w:b/>
          <w:bCs/>
        </w:rPr>
        <w:t>Recommended minimum no. of evaluations:</w:t>
      </w:r>
      <w:r>
        <w:tab/>
        <w:t>2</w:t>
      </w:r>
    </w:p>
    <w:p w14:paraId="48FD6C99" w14:textId="77777777" w:rsidR="00AE36FF" w:rsidRPr="000263DE" w:rsidRDefault="00AE36FF" w:rsidP="00AE36FF">
      <w:pPr>
        <w:rPr>
          <w:b/>
          <w:bCs/>
        </w:rPr>
      </w:pPr>
      <w:r w:rsidRPr="000263DE">
        <w:rPr>
          <w:b/>
          <w:bCs/>
        </w:rPr>
        <w:t>Planned evaluations:</w:t>
      </w:r>
    </w:p>
    <w:p w14:paraId="3D3C0931" w14:textId="69410575" w:rsidR="00AE36FF" w:rsidRDefault="00AE36FF" w:rsidP="009A28D9">
      <w:pPr>
        <w:pStyle w:val="ListParagraph"/>
        <w:numPr>
          <w:ilvl w:val="0"/>
          <w:numId w:val="30"/>
        </w:numPr>
      </w:pPr>
      <w:r>
        <w:t>Independent Review – Iraq Humanitarian and Stabilisation Package</w:t>
      </w:r>
    </w:p>
    <w:p w14:paraId="43396DF3" w14:textId="77777777" w:rsidR="00AE36FF" w:rsidRDefault="00AE36FF" w:rsidP="00AE36FF">
      <w:r>
        <w:t>Inform continuation; demonstrate results; improve existing investment or sector; examine value for money; inform new aid quality check; analyse monitoring and evaluation framework.</w:t>
      </w:r>
    </w:p>
    <w:p w14:paraId="0D3BD241" w14:textId="2E07E322" w:rsidR="00AE36FF" w:rsidRDefault="00AE36FF" w:rsidP="009A28D9">
      <w:pPr>
        <w:pStyle w:val="ListParagraph"/>
        <w:numPr>
          <w:ilvl w:val="0"/>
          <w:numId w:val="30"/>
        </w:numPr>
      </w:pPr>
      <w:r>
        <w:t>Australian Humanitarian Partnership (AHP) Midterm Evaluation</w:t>
      </w:r>
    </w:p>
    <w:p w14:paraId="4AFDCC52" w14:textId="77777777" w:rsidR="00AE36FF" w:rsidRDefault="00AE36FF" w:rsidP="00AE36FF">
      <w:r>
        <w:t xml:space="preserve">Evaluate the effectiveness of: </w:t>
      </w:r>
    </w:p>
    <w:p w14:paraId="05945549" w14:textId="77777777" w:rsidR="00AE36FF" w:rsidRDefault="00AE36FF" w:rsidP="00AE36FF">
      <w:r>
        <w:t xml:space="preserve">   -AHP as a response mechanism; the AHP Support Unit; the Disaster READY program </w:t>
      </w:r>
    </w:p>
    <w:p w14:paraId="26988FC9" w14:textId="77777777" w:rsidR="00AE36FF" w:rsidRDefault="00AE36FF" w:rsidP="00AE36FF">
      <w:r>
        <w:t xml:space="preserve">   -inform the extension of the AHP and Disaster READY program</w:t>
      </w:r>
    </w:p>
    <w:p w14:paraId="45D0E9B0" w14:textId="77777777" w:rsidR="00AE36FF" w:rsidRDefault="00AE36FF" w:rsidP="00AE36FF"/>
    <w:p w14:paraId="7AA1CC57" w14:textId="73D263C1" w:rsidR="00AE36FF" w:rsidRDefault="00AE36FF" w:rsidP="000263DE">
      <w:pPr>
        <w:pStyle w:val="Heading2"/>
      </w:pPr>
      <w:r>
        <w:t>GLOBAL PROGRAM</w:t>
      </w:r>
      <w:r w:rsidR="00207A9D">
        <w:t>: 1 EVALUATION</w:t>
      </w:r>
    </w:p>
    <w:p w14:paraId="2C2929C8" w14:textId="77777777" w:rsidR="00AE36FF" w:rsidRDefault="00AE36FF" w:rsidP="00AE36FF">
      <w:r w:rsidRPr="000263DE">
        <w:rPr>
          <w:b/>
          <w:bCs/>
        </w:rPr>
        <w:t>Program:</w:t>
      </w:r>
      <w:r>
        <w:tab/>
        <w:t>Australian Volunteers Program</w:t>
      </w:r>
    </w:p>
    <w:p w14:paraId="4234A104" w14:textId="77777777" w:rsidR="00AE36FF" w:rsidRDefault="00AE36FF" w:rsidP="00AE36FF">
      <w:r w:rsidRPr="000263DE">
        <w:rPr>
          <w:b/>
          <w:bCs/>
        </w:rPr>
        <w:t>Recommended minimum no. of evaluations:</w:t>
      </w:r>
      <w:r>
        <w:tab/>
        <w:t>1 every 3-5 years</w:t>
      </w:r>
    </w:p>
    <w:p w14:paraId="7811FB9A" w14:textId="77777777" w:rsidR="00AE36FF" w:rsidRPr="000263DE" w:rsidRDefault="00AE36FF" w:rsidP="00AE36FF">
      <w:pPr>
        <w:rPr>
          <w:b/>
          <w:bCs/>
        </w:rPr>
      </w:pPr>
      <w:r w:rsidRPr="000263DE">
        <w:rPr>
          <w:b/>
          <w:bCs/>
        </w:rPr>
        <w:t>Planned evaluations:</w:t>
      </w:r>
    </w:p>
    <w:p w14:paraId="64EE4B63" w14:textId="5D11AF9B" w:rsidR="00AE36FF" w:rsidRDefault="00AE36FF" w:rsidP="009A28D9">
      <w:pPr>
        <w:pStyle w:val="ListParagraph"/>
        <w:numPr>
          <w:ilvl w:val="0"/>
          <w:numId w:val="31"/>
        </w:numPr>
      </w:pPr>
      <w:r>
        <w:t>Independent Evaluation of the Australian Volunteers Program</w:t>
      </w:r>
    </w:p>
    <w:p w14:paraId="24CF0C54" w14:textId="77777777" w:rsidR="00AE36FF" w:rsidRDefault="00AE36FF" w:rsidP="00AE36FF">
      <w:r>
        <w:t>Inform next phase of support; assess relevance, effectiveness and efficiency.</w:t>
      </w:r>
    </w:p>
    <w:p w14:paraId="6CAD1B89" w14:textId="458665C2" w:rsidR="004C49F8" w:rsidRDefault="004C49F8">
      <w:pPr>
        <w:suppressAutoHyphens w:val="0"/>
        <w:spacing w:before="0" w:after="120" w:line="440" w:lineRule="atLeast"/>
      </w:pPr>
      <w:r>
        <w:br w:type="page"/>
      </w:r>
    </w:p>
    <w:p w14:paraId="48064583" w14:textId="6F4058AD" w:rsidR="00AE36FF" w:rsidRDefault="00AE36FF" w:rsidP="004C49F8">
      <w:pPr>
        <w:pStyle w:val="Heading2"/>
      </w:pPr>
      <w:r>
        <w:lastRenderedPageBreak/>
        <w:t>SECTOR PROGRAM</w:t>
      </w:r>
      <w:r w:rsidR="00207A9D">
        <w:t>: 5 EVALUATIONS</w:t>
      </w:r>
    </w:p>
    <w:p w14:paraId="33A59E6A" w14:textId="77777777" w:rsidR="00AE36FF" w:rsidRDefault="00AE36FF" w:rsidP="00AE36FF">
      <w:r w:rsidRPr="004C49F8">
        <w:rPr>
          <w:b/>
          <w:bCs/>
        </w:rPr>
        <w:t>Program:</w:t>
      </w:r>
      <w:r>
        <w:tab/>
        <w:t>Agriculture, Fisheries and Water</w:t>
      </w:r>
    </w:p>
    <w:p w14:paraId="73BB0A97" w14:textId="77777777" w:rsidR="00AE36FF" w:rsidRDefault="00AE36FF" w:rsidP="00AE36FF">
      <w:r w:rsidRPr="004C49F8">
        <w:rPr>
          <w:b/>
          <w:bCs/>
        </w:rPr>
        <w:t>Recommended minimum no. of evaluations:</w:t>
      </w:r>
      <w:r>
        <w:tab/>
        <w:t>1 every 3-5 years</w:t>
      </w:r>
    </w:p>
    <w:p w14:paraId="69924AFF" w14:textId="77777777" w:rsidR="00AE36FF" w:rsidRPr="004C49F8" w:rsidRDefault="00AE36FF" w:rsidP="00AE36FF">
      <w:pPr>
        <w:rPr>
          <w:b/>
          <w:bCs/>
        </w:rPr>
      </w:pPr>
      <w:r w:rsidRPr="004C49F8">
        <w:rPr>
          <w:b/>
          <w:bCs/>
        </w:rPr>
        <w:t>Planned evaluations:</w:t>
      </w:r>
    </w:p>
    <w:p w14:paraId="2C541A7D" w14:textId="40ECB8FE" w:rsidR="00AE36FF" w:rsidRDefault="00AE36FF" w:rsidP="009A28D9">
      <w:pPr>
        <w:pStyle w:val="ListParagraph"/>
        <w:numPr>
          <w:ilvl w:val="0"/>
          <w:numId w:val="32"/>
        </w:numPr>
      </w:pPr>
      <w:r>
        <w:t>Mid-Term Evaluation of Australian Water Partnership (AWP) Phase II</w:t>
      </w:r>
    </w:p>
    <w:p w14:paraId="3188FEEF" w14:textId="77777777" w:rsidR="00AE36FF" w:rsidRDefault="00AE36FF" w:rsidP="00AE36FF">
      <w:r>
        <w:t>Inform new design; demonstrate results; improve existing investment or sector; examine value for money.</w:t>
      </w:r>
    </w:p>
    <w:p w14:paraId="6FA8E246" w14:textId="14AF2379" w:rsidR="00AE36FF" w:rsidRDefault="00AE36FF" w:rsidP="009A28D9">
      <w:pPr>
        <w:pStyle w:val="ListParagraph"/>
        <w:numPr>
          <w:ilvl w:val="0"/>
          <w:numId w:val="32"/>
        </w:numPr>
      </w:pPr>
      <w:r>
        <w:t>Mid-Term Review of Water for Women (including gender and social inclusion review)</w:t>
      </w:r>
    </w:p>
    <w:p w14:paraId="3CFD9443" w14:textId="77777777" w:rsidR="00AE36FF" w:rsidRDefault="00AE36FF" w:rsidP="00AE36FF">
      <w:r>
        <w:t>Inform new design; highlight results; improve existing investment (including in light of COVID-19 pivot); review gender and social inclusion approach.</w:t>
      </w:r>
    </w:p>
    <w:p w14:paraId="672D997E" w14:textId="77777777" w:rsidR="00AE36FF" w:rsidRDefault="00AE36FF" w:rsidP="00AE36FF"/>
    <w:p w14:paraId="5B6657BB" w14:textId="77777777" w:rsidR="00AE36FF" w:rsidRDefault="00AE36FF" w:rsidP="00AE36FF">
      <w:r w:rsidRPr="004C49F8">
        <w:rPr>
          <w:b/>
          <w:bCs/>
        </w:rPr>
        <w:t>Program:</w:t>
      </w:r>
      <w:r>
        <w:tab/>
        <w:t>Governance</w:t>
      </w:r>
    </w:p>
    <w:p w14:paraId="00407C6D" w14:textId="77777777" w:rsidR="00AE36FF" w:rsidRDefault="00AE36FF" w:rsidP="00AE36FF">
      <w:r w:rsidRPr="004C49F8">
        <w:rPr>
          <w:b/>
          <w:bCs/>
        </w:rPr>
        <w:t>Recommended minimum no. of evaluations:</w:t>
      </w:r>
      <w:r>
        <w:tab/>
        <w:t>1 every 3-5 years</w:t>
      </w:r>
    </w:p>
    <w:p w14:paraId="44F20CC2" w14:textId="77777777" w:rsidR="00AE36FF" w:rsidRPr="004C49F8" w:rsidRDefault="00AE36FF" w:rsidP="00AE36FF">
      <w:pPr>
        <w:rPr>
          <w:b/>
          <w:bCs/>
        </w:rPr>
      </w:pPr>
      <w:r w:rsidRPr="004C49F8">
        <w:rPr>
          <w:b/>
          <w:bCs/>
        </w:rPr>
        <w:t>Planned evaluations:</w:t>
      </w:r>
    </w:p>
    <w:p w14:paraId="14E039EF" w14:textId="5E8852B2" w:rsidR="00AE36FF" w:rsidRDefault="00AE36FF" w:rsidP="009A28D9">
      <w:pPr>
        <w:pStyle w:val="ListParagraph"/>
        <w:numPr>
          <w:ilvl w:val="0"/>
          <w:numId w:val="33"/>
        </w:numPr>
      </w:pPr>
      <w:r>
        <w:t>UNDP Final Evaluation of the 'Anti-Corruption for Peaceful and Inclusive Societies (ACPIS)' global project</w:t>
      </w:r>
    </w:p>
    <w:p w14:paraId="791B4450" w14:textId="77777777" w:rsidR="00AE36FF" w:rsidRDefault="00AE36FF" w:rsidP="00AE36FF">
      <w:r>
        <w:t>Requirement of the funding agreement; demonstrate results; evaluate partnership with UNDP.</w:t>
      </w:r>
    </w:p>
    <w:p w14:paraId="26189DA3" w14:textId="77777777" w:rsidR="00AE36FF" w:rsidRDefault="00AE36FF" w:rsidP="00AE36FF"/>
    <w:p w14:paraId="19643156" w14:textId="77777777" w:rsidR="00AE36FF" w:rsidRDefault="00AE36FF" w:rsidP="00AE36FF">
      <w:r w:rsidRPr="004C49F8">
        <w:rPr>
          <w:b/>
          <w:bCs/>
        </w:rPr>
        <w:t>Program:</w:t>
      </w:r>
      <w:r>
        <w:tab/>
        <w:t>Health</w:t>
      </w:r>
    </w:p>
    <w:p w14:paraId="33C56FC8" w14:textId="77777777" w:rsidR="00AE36FF" w:rsidRDefault="00AE36FF" w:rsidP="00AE36FF">
      <w:r w:rsidRPr="004C49F8">
        <w:rPr>
          <w:b/>
          <w:bCs/>
        </w:rPr>
        <w:t>Recommended minimum no. of evaluations:</w:t>
      </w:r>
      <w:r>
        <w:tab/>
        <w:t>1 every 3-5 years</w:t>
      </w:r>
    </w:p>
    <w:p w14:paraId="385E26B2" w14:textId="77777777" w:rsidR="00AE36FF" w:rsidRPr="004C49F8" w:rsidRDefault="00AE36FF" w:rsidP="00AE36FF">
      <w:pPr>
        <w:rPr>
          <w:b/>
          <w:bCs/>
        </w:rPr>
      </w:pPr>
      <w:r w:rsidRPr="004C49F8">
        <w:rPr>
          <w:b/>
          <w:bCs/>
        </w:rPr>
        <w:t>Planned evaluations:</w:t>
      </w:r>
    </w:p>
    <w:p w14:paraId="72965ED6" w14:textId="3CB512DD" w:rsidR="00AE36FF" w:rsidRDefault="00AE36FF" w:rsidP="009A28D9">
      <w:pPr>
        <w:pStyle w:val="ListParagraph"/>
        <w:numPr>
          <w:ilvl w:val="0"/>
          <w:numId w:val="34"/>
        </w:numPr>
      </w:pPr>
      <w:r>
        <w:t>DFAT Health Technical Advisory Mechanism Review</w:t>
      </w:r>
    </w:p>
    <w:p w14:paraId="0DC13254" w14:textId="77777777" w:rsidR="00AE36FF" w:rsidRDefault="00AE36FF" w:rsidP="00AE36FF">
      <w:r>
        <w:t>Demonstrate results of current model; examine value for money; inform new procurement process.</w:t>
      </w:r>
    </w:p>
    <w:p w14:paraId="47B47A49" w14:textId="7CDCB7F3" w:rsidR="00AE36FF" w:rsidRDefault="00AE36FF" w:rsidP="009A28D9">
      <w:pPr>
        <w:pStyle w:val="ListParagraph"/>
        <w:numPr>
          <w:ilvl w:val="0"/>
          <w:numId w:val="34"/>
        </w:numPr>
      </w:pPr>
      <w:r>
        <w:t>Mid-Term progress report on Health Security Initiative</w:t>
      </w:r>
    </w:p>
    <w:p w14:paraId="251F2F4F" w14:textId="71C41E14" w:rsidR="00647B9B" w:rsidRPr="00AE36FF" w:rsidRDefault="00AE36FF" w:rsidP="00AE36FF">
      <w:r>
        <w:t>Mid-term review of Health Security Initiative from 2017 to end of calendar year 2019; identify progress and challenges/lessons to end of 2019.</w:t>
      </w:r>
      <w:bookmarkEnd w:id="0"/>
    </w:p>
    <w:sectPr w:rsidR="00647B9B" w:rsidRPr="00AE36FF" w:rsidSect="00F12D81">
      <w:headerReference w:type="default" r:id="rId8"/>
      <w:footerReference w:type="default" r:id="rId9"/>
      <w:headerReference w:type="first" r:id="rId10"/>
      <w:footerReference w:type="first" r:id="rId11"/>
      <w:pgSz w:w="11906" w:h="16838" w:code="9"/>
      <w:pgMar w:top="1418" w:right="1134" w:bottom="1304" w:left="1134"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9DC86" w14:textId="77777777" w:rsidR="009A28D9" w:rsidRDefault="009A28D9" w:rsidP="00D37B04">
      <w:r>
        <w:separator/>
      </w:r>
    </w:p>
  </w:endnote>
  <w:endnote w:type="continuationSeparator" w:id="0">
    <w:p w14:paraId="7D2CC299" w14:textId="77777777" w:rsidR="009A28D9" w:rsidRDefault="009A28D9"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675919215"/>
      <w:docPartObj>
        <w:docPartGallery w:val="Page Numbers (Bottom of Page)"/>
        <w:docPartUnique/>
      </w:docPartObj>
    </w:sdtPr>
    <w:sdtEndPr>
      <w:rPr>
        <w:noProof/>
        <w:highlight w:val="lightGray"/>
      </w:rPr>
    </w:sdtEndPr>
    <w:sdtContent>
      <w:p w14:paraId="59CE43F2" w14:textId="3DDA8C66" w:rsidR="004A6C1F" w:rsidRPr="00D827D4" w:rsidRDefault="004A6C1F">
        <w:pPr>
          <w:pStyle w:val="Footer"/>
          <w:rPr>
            <w:color w:val="auto"/>
          </w:rPr>
        </w:pPr>
        <w:r w:rsidRPr="00D827D4">
          <w:rPr>
            <w:color w:val="auto"/>
            <w:highlight w:val="lightGray"/>
          </w:rPr>
          <w:fldChar w:fldCharType="begin"/>
        </w:r>
        <w:r w:rsidRPr="00D827D4">
          <w:rPr>
            <w:color w:val="auto"/>
            <w:highlight w:val="lightGray"/>
          </w:rPr>
          <w:instrText xml:space="preserve"> PAGE   \* MERGEFORMAT </w:instrText>
        </w:r>
        <w:r w:rsidRPr="00D827D4">
          <w:rPr>
            <w:color w:val="auto"/>
            <w:highlight w:val="lightGray"/>
          </w:rPr>
          <w:fldChar w:fldCharType="separate"/>
        </w:r>
        <w:r w:rsidR="00207A9D">
          <w:rPr>
            <w:noProof/>
            <w:color w:val="auto"/>
            <w:highlight w:val="lightGray"/>
          </w:rPr>
          <w:t>8</w:t>
        </w:r>
        <w:r w:rsidRPr="00D827D4">
          <w:rPr>
            <w:noProof/>
            <w:color w:val="auto"/>
            <w:highlight w:val="lightGray"/>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843015511"/>
      <w:docPartObj>
        <w:docPartGallery w:val="Page Numbers (Bottom of Page)"/>
        <w:docPartUnique/>
      </w:docPartObj>
    </w:sdtPr>
    <w:sdtEndPr>
      <w:rPr>
        <w:noProof/>
        <w:highlight w:val="lightGray"/>
      </w:rPr>
    </w:sdtEndPr>
    <w:sdtContent>
      <w:p w14:paraId="79ADBBB7" w14:textId="1397EF80" w:rsidR="004A6C1F" w:rsidRPr="00D827D4" w:rsidRDefault="004A6C1F">
        <w:pPr>
          <w:pStyle w:val="Footer"/>
          <w:rPr>
            <w:color w:val="auto"/>
          </w:rPr>
        </w:pPr>
        <w:r w:rsidRPr="00D827D4">
          <w:rPr>
            <w:color w:val="auto"/>
            <w:highlight w:val="lightGray"/>
          </w:rPr>
          <w:fldChar w:fldCharType="begin"/>
        </w:r>
        <w:r w:rsidRPr="00D827D4">
          <w:rPr>
            <w:color w:val="auto"/>
            <w:highlight w:val="lightGray"/>
          </w:rPr>
          <w:instrText xml:space="preserve"> PAGE   \* MERGEFORMAT </w:instrText>
        </w:r>
        <w:r w:rsidRPr="00D827D4">
          <w:rPr>
            <w:color w:val="auto"/>
            <w:highlight w:val="lightGray"/>
          </w:rPr>
          <w:fldChar w:fldCharType="separate"/>
        </w:r>
        <w:r w:rsidR="00207A9D">
          <w:rPr>
            <w:noProof/>
            <w:color w:val="auto"/>
            <w:highlight w:val="lightGray"/>
          </w:rPr>
          <w:t>1</w:t>
        </w:r>
        <w:r w:rsidRPr="00D827D4">
          <w:rPr>
            <w:noProof/>
            <w:color w:val="auto"/>
            <w:highlight w:val="lightGray"/>
          </w:rPr>
          <w:fldChar w:fldCharType="end"/>
        </w:r>
      </w:p>
    </w:sdtContent>
  </w:sdt>
  <w:p w14:paraId="19074282" w14:textId="77777777" w:rsidR="004A6C1F" w:rsidRPr="00D827D4" w:rsidRDefault="004A6C1F">
    <w:pPr>
      <w:pStyle w:val="Foo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E173F" w14:textId="77777777" w:rsidR="009A28D9" w:rsidRPr="00D827D4" w:rsidRDefault="009A28D9" w:rsidP="00D37B04">
      <w:pPr>
        <w:pStyle w:val="Footer"/>
        <w:rPr>
          <w:color w:val="auto"/>
        </w:rPr>
      </w:pPr>
    </w:p>
  </w:footnote>
  <w:footnote w:type="continuationSeparator" w:id="0">
    <w:p w14:paraId="3F9B2B18" w14:textId="77777777" w:rsidR="009A28D9" w:rsidRDefault="009A28D9"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41796" w14:textId="77777777" w:rsidR="004A6C1F" w:rsidRPr="000854FD" w:rsidRDefault="004A6C1F" w:rsidP="002D5B25">
    <w:pPr>
      <w:pStyle w:val="Header"/>
    </w:pPr>
    <w:r w:rsidRPr="00943730">
      <w:rPr>
        <w:noProof/>
        <w:lang w:val="en-AU" w:eastAsia="en-AU"/>
      </w:rPr>
      <w:drawing>
        <wp:anchor distT="0" distB="0" distL="114300" distR="114300" simplePos="0" relativeHeight="251662336" behindDoc="1" locked="1" layoutInCell="1" allowOverlap="1" wp14:anchorId="2792A5FC" wp14:editId="046580D7">
          <wp:simplePos x="0" y="0"/>
          <wp:positionH relativeFrom="page">
            <wp:posOffset>3175</wp:posOffset>
          </wp:positionH>
          <wp:positionV relativeFrom="page">
            <wp:posOffset>0</wp:posOffset>
          </wp:positionV>
          <wp:extent cx="7559675" cy="10693400"/>
          <wp:effectExtent l="0" t="0" r="3175" b="0"/>
          <wp:wrapNone/>
          <wp:docPr id="7" name="Picture 7">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3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EE5D4" w14:textId="19C8D32C" w:rsidR="004A6C1F" w:rsidRDefault="004A6C1F" w:rsidP="002D5B25">
    <w:pPr>
      <w:pStyle w:val="Header"/>
    </w:pPr>
  </w:p>
  <w:p w14:paraId="19B97040" w14:textId="51ED76E3" w:rsidR="00AA34DB" w:rsidRDefault="004A6C1F" w:rsidP="00AE36FF">
    <w:pPr>
      <w:pStyle w:val="Header"/>
      <w:tabs>
        <w:tab w:val="clear" w:pos="4513"/>
        <w:tab w:val="clear" w:pos="9026"/>
        <w:tab w:val="left" w:pos="7635"/>
      </w:tabs>
      <w:spacing w:after="480"/>
      <w:jc w:val="both"/>
    </w:pPr>
    <w:r w:rsidRPr="00943730">
      <w:fldChar w:fldCharType="begin"/>
    </w:r>
    <w:r w:rsidRPr="00943730">
      <w:instrText xml:space="preserve"> DATE  \@ "MMMM yyyy"  \* MERGEFORMAT </w:instrText>
    </w:r>
    <w:r w:rsidRPr="00943730">
      <w:fldChar w:fldCharType="separate"/>
    </w:r>
    <w:r w:rsidR="00912A83">
      <w:rPr>
        <w:noProof/>
      </w:rPr>
      <w:t>February 2021</w:t>
    </w:r>
    <w:r w:rsidRPr="00943730">
      <w:fldChar w:fldCharType="end"/>
    </w:r>
  </w:p>
  <w:p w14:paraId="00E3B3D6" w14:textId="2A8C7C13" w:rsidR="004A6C1F" w:rsidRPr="00943730" w:rsidRDefault="004A6C1F" w:rsidP="00AA34DB">
    <w:pPr>
      <w:pStyle w:val="Header"/>
      <w:jc w:val="both"/>
    </w:pPr>
    <w:r w:rsidRPr="00943730">
      <w:rPr>
        <w:noProof/>
        <w:lang w:val="en-AU" w:eastAsia="en-AU"/>
      </w:rPr>
      <w:drawing>
        <wp:inline distT="0" distB="0" distL="0" distR="0" wp14:anchorId="13CCFC18" wp14:editId="170CF594">
          <wp:extent cx="3166920" cy="554400"/>
          <wp:effectExtent l="0" t="0" r="0" b="0"/>
          <wp:docPr id="8" name="Picture 8" descr="Australian Government Department of Foreign Affairs and Trade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ustralian Government Department of Foreign Affairs and Trade Coat of Arms"/>
                  <pic:cNvPicPr/>
                </pic:nvPicPr>
                <pic:blipFill>
                  <a:blip r:embed="rId1">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inline>
      </w:drawing>
    </w:r>
    <w:r w:rsidRPr="00943730">
      <w:rPr>
        <w:noProof/>
        <w:lang w:val="en-AU" w:eastAsia="en-AU"/>
      </w:rPr>
      <w:drawing>
        <wp:anchor distT="0" distB="0" distL="114300" distR="114300" simplePos="0" relativeHeight="251656192" behindDoc="1" locked="1" layoutInCell="1" allowOverlap="1" wp14:anchorId="12C6F27D" wp14:editId="7D0A04C2">
          <wp:simplePos x="0" y="0"/>
          <wp:positionH relativeFrom="page">
            <wp:posOffset>12700</wp:posOffset>
          </wp:positionH>
          <wp:positionV relativeFrom="page">
            <wp:posOffset>0</wp:posOffset>
          </wp:positionV>
          <wp:extent cx="7559675" cy="10692765"/>
          <wp:effectExtent l="0" t="0" r="3175" b="0"/>
          <wp:wrapNone/>
          <wp:docPr id="9" name="Picture 9">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11D9"/>
    <w:multiLevelType w:val="hybridMultilevel"/>
    <w:tmpl w:val="3D344672"/>
    <w:lvl w:ilvl="0" w:tplc="E12AA7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A8A0480"/>
    <w:multiLevelType w:val="hybridMultilevel"/>
    <w:tmpl w:val="6B1A48C0"/>
    <w:lvl w:ilvl="0" w:tplc="E12AA7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C07173"/>
    <w:multiLevelType w:val="hybridMultilevel"/>
    <w:tmpl w:val="DFE85E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4579C8"/>
    <w:multiLevelType w:val="hybridMultilevel"/>
    <w:tmpl w:val="EAE889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6" w15:restartNumberingAfterBreak="0">
    <w:nsid w:val="17717550"/>
    <w:multiLevelType w:val="hybridMultilevel"/>
    <w:tmpl w:val="4FE8FD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473A2A"/>
    <w:multiLevelType w:val="hybridMultilevel"/>
    <w:tmpl w:val="F9F6DD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333474"/>
    <w:multiLevelType w:val="hybridMultilevel"/>
    <w:tmpl w:val="EB92C4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F450F2"/>
    <w:multiLevelType w:val="hybridMultilevel"/>
    <w:tmpl w:val="CF5812F6"/>
    <w:lvl w:ilvl="0" w:tplc="E12AA7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9B159F"/>
    <w:multiLevelType w:val="multilevel"/>
    <w:tmpl w:val="D374C112"/>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2ED9642A"/>
    <w:multiLevelType w:val="hybridMultilevel"/>
    <w:tmpl w:val="25905ECE"/>
    <w:lvl w:ilvl="0" w:tplc="E12AA7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214726"/>
    <w:multiLevelType w:val="hybridMultilevel"/>
    <w:tmpl w:val="1292DF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E636FA"/>
    <w:multiLevelType w:val="hybridMultilevel"/>
    <w:tmpl w:val="412E02B4"/>
    <w:lvl w:ilvl="0" w:tplc="E12AA7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856FB8"/>
    <w:multiLevelType w:val="hybridMultilevel"/>
    <w:tmpl w:val="AE464F8A"/>
    <w:lvl w:ilvl="0" w:tplc="E12AA7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351E33"/>
    <w:multiLevelType w:val="hybridMultilevel"/>
    <w:tmpl w:val="986E3D62"/>
    <w:lvl w:ilvl="0" w:tplc="DD709D00">
      <w:start w:val="1"/>
      <w:numFmt w:val="decimal"/>
      <w:pStyle w:val="ListParagraph"/>
      <w:lvlText w:val="%1."/>
      <w:lvlJc w:val="left"/>
      <w:pPr>
        <w:ind w:left="644" w:hanging="360"/>
      </w:pPr>
      <w:rPr>
        <w:rFonts w:hint="default"/>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C80CF8"/>
    <w:multiLevelType w:val="hybridMultilevel"/>
    <w:tmpl w:val="9674546A"/>
    <w:lvl w:ilvl="0" w:tplc="E12AA7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811242"/>
    <w:multiLevelType w:val="hybridMultilevel"/>
    <w:tmpl w:val="6B18DC36"/>
    <w:lvl w:ilvl="0" w:tplc="E12AA7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B8433A1"/>
    <w:multiLevelType w:val="hybridMultilevel"/>
    <w:tmpl w:val="9BC429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3C1EA7"/>
    <w:multiLevelType w:val="multilevel"/>
    <w:tmpl w:val="43428892"/>
    <w:numStyleLink w:val="BulletsList"/>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F82376B"/>
    <w:multiLevelType w:val="hybridMultilevel"/>
    <w:tmpl w:val="A22036E6"/>
    <w:lvl w:ilvl="0" w:tplc="E12AA7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4E4A71"/>
    <w:multiLevelType w:val="hybridMultilevel"/>
    <w:tmpl w:val="2940BFBE"/>
    <w:lvl w:ilvl="0" w:tplc="E12AA7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F93F17"/>
    <w:multiLevelType w:val="hybridMultilevel"/>
    <w:tmpl w:val="EAECF8F6"/>
    <w:lvl w:ilvl="0" w:tplc="E12AA7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0D769A"/>
    <w:multiLevelType w:val="hybridMultilevel"/>
    <w:tmpl w:val="29F060B4"/>
    <w:lvl w:ilvl="0" w:tplc="E12AA7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681158"/>
    <w:multiLevelType w:val="hybridMultilevel"/>
    <w:tmpl w:val="F9F6DD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D1C2442"/>
    <w:multiLevelType w:val="hybridMultilevel"/>
    <w:tmpl w:val="EEEA4A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7E7A5C2F"/>
    <w:multiLevelType w:val="hybridMultilevel"/>
    <w:tmpl w:val="73061A70"/>
    <w:lvl w:ilvl="0" w:tplc="E12AA7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8B5B84"/>
    <w:multiLevelType w:val="hybridMultilevel"/>
    <w:tmpl w:val="C8D40FF6"/>
    <w:lvl w:ilvl="0" w:tplc="E12AA7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1"/>
  </w:num>
  <w:num w:numId="3">
    <w:abstractNumId w:val="10"/>
  </w:num>
  <w:num w:numId="4">
    <w:abstractNumId w:val="18"/>
  </w:num>
  <w:num w:numId="5">
    <w:abstractNumId w:val="21"/>
  </w:num>
  <w:num w:numId="6">
    <w:abstractNumId w:val="10"/>
  </w:num>
  <w:num w:numId="7">
    <w:abstractNumId w:val="20"/>
  </w:num>
  <w:num w:numId="8">
    <w:abstractNumId w:val="1"/>
  </w:num>
  <w:num w:numId="9">
    <w:abstractNumId w:val="5"/>
  </w:num>
  <w:num w:numId="10">
    <w:abstractNumId w:val="29"/>
  </w:num>
  <w:num w:numId="11">
    <w:abstractNumId w:val="15"/>
  </w:num>
  <w:num w:numId="12">
    <w:abstractNumId w:val="6"/>
  </w:num>
  <w:num w:numId="13">
    <w:abstractNumId w:val="12"/>
  </w:num>
  <w:num w:numId="14">
    <w:abstractNumId w:val="4"/>
  </w:num>
  <w:num w:numId="15">
    <w:abstractNumId w:val="3"/>
  </w:num>
  <w:num w:numId="16">
    <w:abstractNumId w:val="27"/>
  </w:num>
  <w:num w:numId="17">
    <w:abstractNumId w:val="7"/>
  </w:num>
  <w:num w:numId="18">
    <w:abstractNumId w:val="8"/>
  </w:num>
  <w:num w:numId="19">
    <w:abstractNumId w:val="26"/>
  </w:num>
  <w:num w:numId="20">
    <w:abstractNumId w:val="19"/>
  </w:num>
  <w:num w:numId="21">
    <w:abstractNumId w:val="23"/>
  </w:num>
  <w:num w:numId="22">
    <w:abstractNumId w:val="16"/>
  </w:num>
  <w:num w:numId="23">
    <w:abstractNumId w:val="31"/>
  </w:num>
  <w:num w:numId="24">
    <w:abstractNumId w:val="9"/>
  </w:num>
  <w:num w:numId="25">
    <w:abstractNumId w:val="25"/>
  </w:num>
  <w:num w:numId="26">
    <w:abstractNumId w:val="22"/>
  </w:num>
  <w:num w:numId="27">
    <w:abstractNumId w:val="13"/>
  </w:num>
  <w:num w:numId="28">
    <w:abstractNumId w:val="24"/>
  </w:num>
  <w:num w:numId="29">
    <w:abstractNumId w:val="14"/>
  </w:num>
  <w:num w:numId="30">
    <w:abstractNumId w:val="30"/>
  </w:num>
  <w:num w:numId="31">
    <w:abstractNumId w:val="2"/>
  </w:num>
  <w:num w:numId="32">
    <w:abstractNumId w:val="17"/>
  </w:num>
  <w:num w:numId="33">
    <w:abstractNumId w:val="11"/>
  </w:num>
  <w:num w:numId="34">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defaultTableStyle w:val="DFATTable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6B5"/>
    <w:rsid w:val="000017B2"/>
    <w:rsid w:val="00001DA8"/>
    <w:rsid w:val="000020C1"/>
    <w:rsid w:val="0002080A"/>
    <w:rsid w:val="00022C43"/>
    <w:rsid w:val="000263DE"/>
    <w:rsid w:val="00027195"/>
    <w:rsid w:val="000272D4"/>
    <w:rsid w:val="0002782F"/>
    <w:rsid w:val="00032F17"/>
    <w:rsid w:val="00034A28"/>
    <w:rsid w:val="00035BBF"/>
    <w:rsid w:val="00045D91"/>
    <w:rsid w:val="00050806"/>
    <w:rsid w:val="0005436E"/>
    <w:rsid w:val="000546D9"/>
    <w:rsid w:val="00054DD6"/>
    <w:rsid w:val="00054E4D"/>
    <w:rsid w:val="00060073"/>
    <w:rsid w:val="000616C6"/>
    <w:rsid w:val="00061A2B"/>
    <w:rsid w:val="00063E12"/>
    <w:rsid w:val="00064E92"/>
    <w:rsid w:val="00065560"/>
    <w:rsid w:val="000854FD"/>
    <w:rsid w:val="000863AA"/>
    <w:rsid w:val="000A0C6B"/>
    <w:rsid w:val="000A2D52"/>
    <w:rsid w:val="000A525B"/>
    <w:rsid w:val="000A541D"/>
    <w:rsid w:val="000A5AD8"/>
    <w:rsid w:val="000B37F5"/>
    <w:rsid w:val="000B7FC0"/>
    <w:rsid w:val="000C5E1B"/>
    <w:rsid w:val="000C6B8E"/>
    <w:rsid w:val="000D572B"/>
    <w:rsid w:val="000D634E"/>
    <w:rsid w:val="000D66D6"/>
    <w:rsid w:val="000D752B"/>
    <w:rsid w:val="000D75D3"/>
    <w:rsid w:val="000F1ADD"/>
    <w:rsid w:val="000F2CD4"/>
    <w:rsid w:val="000F54E9"/>
    <w:rsid w:val="000F65DB"/>
    <w:rsid w:val="000F7F1B"/>
    <w:rsid w:val="00103BBD"/>
    <w:rsid w:val="00113288"/>
    <w:rsid w:val="001214BE"/>
    <w:rsid w:val="00126BDE"/>
    <w:rsid w:val="0013101C"/>
    <w:rsid w:val="0013715C"/>
    <w:rsid w:val="001403E9"/>
    <w:rsid w:val="00140905"/>
    <w:rsid w:val="001422B6"/>
    <w:rsid w:val="001461D6"/>
    <w:rsid w:val="00146437"/>
    <w:rsid w:val="001541EA"/>
    <w:rsid w:val="00155021"/>
    <w:rsid w:val="00155C82"/>
    <w:rsid w:val="00166FDE"/>
    <w:rsid w:val="001756E8"/>
    <w:rsid w:val="00175BDF"/>
    <w:rsid w:val="00182B08"/>
    <w:rsid w:val="00183020"/>
    <w:rsid w:val="00195A55"/>
    <w:rsid w:val="001961ED"/>
    <w:rsid w:val="001B6B31"/>
    <w:rsid w:val="001B7066"/>
    <w:rsid w:val="001C2101"/>
    <w:rsid w:val="001D58E9"/>
    <w:rsid w:val="001D663E"/>
    <w:rsid w:val="001D7168"/>
    <w:rsid w:val="001D77C8"/>
    <w:rsid w:val="001D7BA1"/>
    <w:rsid w:val="001E1DC0"/>
    <w:rsid w:val="001F2247"/>
    <w:rsid w:val="001F3366"/>
    <w:rsid w:val="001F56B7"/>
    <w:rsid w:val="001F6D5A"/>
    <w:rsid w:val="00201B81"/>
    <w:rsid w:val="00203E24"/>
    <w:rsid w:val="00205F88"/>
    <w:rsid w:val="002076FF"/>
    <w:rsid w:val="00207A9D"/>
    <w:rsid w:val="0021042E"/>
    <w:rsid w:val="00216BAC"/>
    <w:rsid w:val="00221799"/>
    <w:rsid w:val="00222008"/>
    <w:rsid w:val="00231428"/>
    <w:rsid w:val="0023164C"/>
    <w:rsid w:val="002501B0"/>
    <w:rsid w:val="00255722"/>
    <w:rsid w:val="002610E9"/>
    <w:rsid w:val="00285354"/>
    <w:rsid w:val="0028602A"/>
    <w:rsid w:val="00290FE7"/>
    <w:rsid w:val="0029253C"/>
    <w:rsid w:val="002A1110"/>
    <w:rsid w:val="002B08A9"/>
    <w:rsid w:val="002B363A"/>
    <w:rsid w:val="002B59DD"/>
    <w:rsid w:val="002B5E10"/>
    <w:rsid w:val="002B72FC"/>
    <w:rsid w:val="002C2CCD"/>
    <w:rsid w:val="002C56AC"/>
    <w:rsid w:val="002C793D"/>
    <w:rsid w:val="002D4ACC"/>
    <w:rsid w:val="002D5ACF"/>
    <w:rsid w:val="002D5B25"/>
    <w:rsid w:val="002F1BDF"/>
    <w:rsid w:val="002F4E10"/>
    <w:rsid w:val="002F4F2B"/>
    <w:rsid w:val="002F6AD5"/>
    <w:rsid w:val="003002C0"/>
    <w:rsid w:val="00301144"/>
    <w:rsid w:val="003031C6"/>
    <w:rsid w:val="00303224"/>
    <w:rsid w:val="00304984"/>
    <w:rsid w:val="00312BF8"/>
    <w:rsid w:val="003148B7"/>
    <w:rsid w:val="003158C3"/>
    <w:rsid w:val="0031656A"/>
    <w:rsid w:val="00321026"/>
    <w:rsid w:val="00321167"/>
    <w:rsid w:val="00322DFC"/>
    <w:rsid w:val="00323EE7"/>
    <w:rsid w:val="00325473"/>
    <w:rsid w:val="003274CD"/>
    <w:rsid w:val="00332550"/>
    <w:rsid w:val="00333501"/>
    <w:rsid w:val="00334535"/>
    <w:rsid w:val="00334E2B"/>
    <w:rsid w:val="00345227"/>
    <w:rsid w:val="003457C4"/>
    <w:rsid w:val="00350CBD"/>
    <w:rsid w:val="0035119D"/>
    <w:rsid w:val="00353903"/>
    <w:rsid w:val="00354C8D"/>
    <w:rsid w:val="00357E56"/>
    <w:rsid w:val="003630DF"/>
    <w:rsid w:val="00364EE3"/>
    <w:rsid w:val="00367C31"/>
    <w:rsid w:val="0037795F"/>
    <w:rsid w:val="0039344A"/>
    <w:rsid w:val="00394F78"/>
    <w:rsid w:val="00395163"/>
    <w:rsid w:val="00396203"/>
    <w:rsid w:val="003A4170"/>
    <w:rsid w:val="003A5894"/>
    <w:rsid w:val="003A6515"/>
    <w:rsid w:val="003A7B10"/>
    <w:rsid w:val="003B0EE2"/>
    <w:rsid w:val="003B1FD3"/>
    <w:rsid w:val="003B2555"/>
    <w:rsid w:val="003B4F12"/>
    <w:rsid w:val="003C13E4"/>
    <w:rsid w:val="003D3814"/>
    <w:rsid w:val="003E3169"/>
    <w:rsid w:val="003E3C8B"/>
    <w:rsid w:val="003F044F"/>
    <w:rsid w:val="003F2041"/>
    <w:rsid w:val="003F4850"/>
    <w:rsid w:val="00402ACC"/>
    <w:rsid w:val="004120EC"/>
    <w:rsid w:val="00415EE4"/>
    <w:rsid w:val="004224B2"/>
    <w:rsid w:val="00423F31"/>
    <w:rsid w:val="0042677A"/>
    <w:rsid w:val="004268E7"/>
    <w:rsid w:val="00430D23"/>
    <w:rsid w:val="00431899"/>
    <w:rsid w:val="00442055"/>
    <w:rsid w:val="004439A9"/>
    <w:rsid w:val="0044691E"/>
    <w:rsid w:val="004470B9"/>
    <w:rsid w:val="0045155C"/>
    <w:rsid w:val="00451C08"/>
    <w:rsid w:val="004611D7"/>
    <w:rsid w:val="00467E73"/>
    <w:rsid w:val="004715D8"/>
    <w:rsid w:val="004721AC"/>
    <w:rsid w:val="0047362F"/>
    <w:rsid w:val="00477359"/>
    <w:rsid w:val="00482005"/>
    <w:rsid w:val="004825D5"/>
    <w:rsid w:val="00482AE8"/>
    <w:rsid w:val="00483DE5"/>
    <w:rsid w:val="00486804"/>
    <w:rsid w:val="00493588"/>
    <w:rsid w:val="004957BF"/>
    <w:rsid w:val="004A0297"/>
    <w:rsid w:val="004A6C1F"/>
    <w:rsid w:val="004B3775"/>
    <w:rsid w:val="004B4BD6"/>
    <w:rsid w:val="004B54E3"/>
    <w:rsid w:val="004C08AC"/>
    <w:rsid w:val="004C359B"/>
    <w:rsid w:val="004C49F8"/>
    <w:rsid w:val="004D0BA0"/>
    <w:rsid w:val="004D3736"/>
    <w:rsid w:val="004E058F"/>
    <w:rsid w:val="004E3B87"/>
    <w:rsid w:val="004F0B7E"/>
    <w:rsid w:val="004F2AD3"/>
    <w:rsid w:val="00500AB4"/>
    <w:rsid w:val="00506F86"/>
    <w:rsid w:val="0051016A"/>
    <w:rsid w:val="00510921"/>
    <w:rsid w:val="00510AD3"/>
    <w:rsid w:val="00510DE6"/>
    <w:rsid w:val="00511737"/>
    <w:rsid w:val="00511F90"/>
    <w:rsid w:val="00513348"/>
    <w:rsid w:val="00513AD8"/>
    <w:rsid w:val="00515B86"/>
    <w:rsid w:val="005203CA"/>
    <w:rsid w:val="005204D2"/>
    <w:rsid w:val="005206B5"/>
    <w:rsid w:val="00520EBE"/>
    <w:rsid w:val="0052101B"/>
    <w:rsid w:val="0052201E"/>
    <w:rsid w:val="00522396"/>
    <w:rsid w:val="00524502"/>
    <w:rsid w:val="00533B5D"/>
    <w:rsid w:val="00533C26"/>
    <w:rsid w:val="0054069D"/>
    <w:rsid w:val="00540F90"/>
    <w:rsid w:val="00541D6A"/>
    <w:rsid w:val="00550801"/>
    <w:rsid w:val="00550F69"/>
    <w:rsid w:val="00557620"/>
    <w:rsid w:val="00557E65"/>
    <w:rsid w:val="00562146"/>
    <w:rsid w:val="00566573"/>
    <w:rsid w:val="005746CF"/>
    <w:rsid w:val="0057514A"/>
    <w:rsid w:val="005926EA"/>
    <w:rsid w:val="005A0873"/>
    <w:rsid w:val="005A1EBF"/>
    <w:rsid w:val="005A20F6"/>
    <w:rsid w:val="005B33C8"/>
    <w:rsid w:val="005B5407"/>
    <w:rsid w:val="005C0ED8"/>
    <w:rsid w:val="005C6B51"/>
    <w:rsid w:val="005D291E"/>
    <w:rsid w:val="005D2975"/>
    <w:rsid w:val="005D3655"/>
    <w:rsid w:val="005D7066"/>
    <w:rsid w:val="005E4830"/>
    <w:rsid w:val="005E4D71"/>
    <w:rsid w:val="005F5890"/>
    <w:rsid w:val="00606A77"/>
    <w:rsid w:val="006124E3"/>
    <w:rsid w:val="00613FC1"/>
    <w:rsid w:val="00616B53"/>
    <w:rsid w:val="00622B86"/>
    <w:rsid w:val="00622EF9"/>
    <w:rsid w:val="00623BA1"/>
    <w:rsid w:val="00626799"/>
    <w:rsid w:val="00627347"/>
    <w:rsid w:val="00627AF3"/>
    <w:rsid w:val="00631C0C"/>
    <w:rsid w:val="00633686"/>
    <w:rsid w:val="006346BC"/>
    <w:rsid w:val="00642D6C"/>
    <w:rsid w:val="00643AA9"/>
    <w:rsid w:val="00647B9B"/>
    <w:rsid w:val="00650381"/>
    <w:rsid w:val="00661521"/>
    <w:rsid w:val="00663C20"/>
    <w:rsid w:val="00663F45"/>
    <w:rsid w:val="0066652A"/>
    <w:rsid w:val="0066700E"/>
    <w:rsid w:val="0067173E"/>
    <w:rsid w:val="006719C3"/>
    <w:rsid w:val="00672A1E"/>
    <w:rsid w:val="00673F1A"/>
    <w:rsid w:val="00675E0D"/>
    <w:rsid w:val="00676EB4"/>
    <w:rsid w:val="00680522"/>
    <w:rsid w:val="00680CD3"/>
    <w:rsid w:val="00680E26"/>
    <w:rsid w:val="00682167"/>
    <w:rsid w:val="00682AE0"/>
    <w:rsid w:val="0068630D"/>
    <w:rsid w:val="006964E6"/>
    <w:rsid w:val="006B2B6A"/>
    <w:rsid w:val="006B377F"/>
    <w:rsid w:val="006C002F"/>
    <w:rsid w:val="006C166E"/>
    <w:rsid w:val="006C42AF"/>
    <w:rsid w:val="006D50AB"/>
    <w:rsid w:val="006D5AA6"/>
    <w:rsid w:val="006D7053"/>
    <w:rsid w:val="006E1E58"/>
    <w:rsid w:val="00711D8E"/>
    <w:rsid w:val="00711F75"/>
    <w:rsid w:val="00712672"/>
    <w:rsid w:val="00713E93"/>
    <w:rsid w:val="0071675B"/>
    <w:rsid w:val="00720EFC"/>
    <w:rsid w:val="007224AC"/>
    <w:rsid w:val="00725E8A"/>
    <w:rsid w:val="00727A03"/>
    <w:rsid w:val="00731F5D"/>
    <w:rsid w:val="00734E3F"/>
    <w:rsid w:val="00736985"/>
    <w:rsid w:val="00737A11"/>
    <w:rsid w:val="00745DF5"/>
    <w:rsid w:val="00754876"/>
    <w:rsid w:val="00757BEF"/>
    <w:rsid w:val="0076250F"/>
    <w:rsid w:val="0077210A"/>
    <w:rsid w:val="00777264"/>
    <w:rsid w:val="00780FA5"/>
    <w:rsid w:val="00781E6D"/>
    <w:rsid w:val="00785E7B"/>
    <w:rsid w:val="00792059"/>
    <w:rsid w:val="00792D99"/>
    <w:rsid w:val="007A2228"/>
    <w:rsid w:val="007A2793"/>
    <w:rsid w:val="007A3F0E"/>
    <w:rsid w:val="007B6200"/>
    <w:rsid w:val="007B6AE9"/>
    <w:rsid w:val="007C0220"/>
    <w:rsid w:val="007C030F"/>
    <w:rsid w:val="007C3431"/>
    <w:rsid w:val="007C3CAF"/>
    <w:rsid w:val="007C43BE"/>
    <w:rsid w:val="007F3275"/>
    <w:rsid w:val="007F3395"/>
    <w:rsid w:val="007F492A"/>
    <w:rsid w:val="00801B9F"/>
    <w:rsid w:val="0080204D"/>
    <w:rsid w:val="008021BC"/>
    <w:rsid w:val="0080506F"/>
    <w:rsid w:val="0081101A"/>
    <w:rsid w:val="00820A93"/>
    <w:rsid w:val="00823876"/>
    <w:rsid w:val="008246A3"/>
    <w:rsid w:val="0082534E"/>
    <w:rsid w:val="00833B35"/>
    <w:rsid w:val="008431DC"/>
    <w:rsid w:val="008475F0"/>
    <w:rsid w:val="008476C0"/>
    <w:rsid w:val="00847D1A"/>
    <w:rsid w:val="0085033B"/>
    <w:rsid w:val="008557A7"/>
    <w:rsid w:val="00866641"/>
    <w:rsid w:val="00866FC2"/>
    <w:rsid w:val="00870928"/>
    <w:rsid w:val="00872167"/>
    <w:rsid w:val="00872C52"/>
    <w:rsid w:val="008763F1"/>
    <w:rsid w:val="00881FFA"/>
    <w:rsid w:val="00887BA3"/>
    <w:rsid w:val="008906C2"/>
    <w:rsid w:val="0089405C"/>
    <w:rsid w:val="00895E12"/>
    <w:rsid w:val="00897FA2"/>
    <w:rsid w:val="008A5AFE"/>
    <w:rsid w:val="008B1251"/>
    <w:rsid w:val="008C2FD3"/>
    <w:rsid w:val="008C3707"/>
    <w:rsid w:val="008C3DB4"/>
    <w:rsid w:val="008C4D6B"/>
    <w:rsid w:val="008C5A0E"/>
    <w:rsid w:val="008C7142"/>
    <w:rsid w:val="008D0B1A"/>
    <w:rsid w:val="008D1DAE"/>
    <w:rsid w:val="008E2776"/>
    <w:rsid w:val="008E3311"/>
    <w:rsid w:val="008E769A"/>
    <w:rsid w:val="008F25B8"/>
    <w:rsid w:val="00900781"/>
    <w:rsid w:val="009055C7"/>
    <w:rsid w:val="009078BE"/>
    <w:rsid w:val="00912A83"/>
    <w:rsid w:val="00922DD1"/>
    <w:rsid w:val="00926132"/>
    <w:rsid w:val="00927FC1"/>
    <w:rsid w:val="009428F4"/>
    <w:rsid w:val="00943730"/>
    <w:rsid w:val="00954F38"/>
    <w:rsid w:val="00955FEF"/>
    <w:rsid w:val="009652EC"/>
    <w:rsid w:val="0096693E"/>
    <w:rsid w:val="00975CA5"/>
    <w:rsid w:val="009801CB"/>
    <w:rsid w:val="009846AA"/>
    <w:rsid w:val="00986590"/>
    <w:rsid w:val="00992C76"/>
    <w:rsid w:val="00995C44"/>
    <w:rsid w:val="009969D6"/>
    <w:rsid w:val="0099797F"/>
    <w:rsid w:val="009A05CC"/>
    <w:rsid w:val="009A28D9"/>
    <w:rsid w:val="009B4D3B"/>
    <w:rsid w:val="009C3579"/>
    <w:rsid w:val="009C3F5B"/>
    <w:rsid w:val="009C4D30"/>
    <w:rsid w:val="009D7407"/>
    <w:rsid w:val="009E0615"/>
    <w:rsid w:val="009E0866"/>
    <w:rsid w:val="009E273C"/>
    <w:rsid w:val="009E6BAE"/>
    <w:rsid w:val="009F1350"/>
    <w:rsid w:val="009F35D6"/>
    <w:rsid w:val="009F60F3"/>
    <w:rsid w:val="009F6423"/>
    <w:rsid w:val="00A001F1"/>
    <w:rsid w:val="00A12C82"/>
    <w:rsid w:val="00A13381"/>
    <w:rsid w:val="00A16D45"/>
    <w:rsid w:val="00A20B5B"/>
    <w:rsid w:val="00A24A62"/>
    <w:rsid w:val="00A258E4"/>
    <w:rsid w:val="00A25A4D"/>
    <w:rsid w:val="00A26F8B"/>
    <w:rsid w:val="00A31C9F"/>
    <w:rsid w:val="00A351A6"/>
    <w:rsid w:val="00A4144F"/>
    <w:rsid w:val="00A459AE"/>
    <w:rsid w:val="00A4681E"/>
    <w:rsid w:val="00A5194A"/>
    <w:rsid w:val="00A539ED"/>
    <w:rsid w:val="00A56BEE"/>
    <w:rsid w:val="00A60513"/>
    <w:rsid w:val="00A61487"/>
    <w:rsid w:val="00A61B4D"/>
    <w:rsid w:val="00A61C65"/>
    <w:rsid w:val="00A6563E"/>
    <w:rsid w:val="00A7450D"/>
    <w:rsid w:val="00A80531"/>
    <w:rsid w:val="00A80F95"/>
    <w:rsid w:val="00A810C6"/>
    <w:rsid w:val="00A81905"/>
    <w:rsid w:val="00A97BF1"/>
    <w:rsid w:val="00AA298A"/>
    <w:rsid w:val="00AA34DB"/>
    <w:rsid w:val="00AA390D"/>
    <w:rsid w:val="00AB3D3D"/>
    <w:rsid w:val="00AB4B4E"/>
    <w:rsid w:val="00AB4C14"/>
    <w:rsid w:val="00AC164A"/>
    <w:rsid w:val="00AC1C8D"/>
    <w:rsid w:val="00AC673D"/>
    <w:rsid w:val="00AD28BF"/>
    <w:rsid w:val="00AD4A2C"/>
    <w:rsid w:val="00AE1B44"/>
    <w:rsid w:val="00AE36FF"/>
    <w:rsid w:val="00AE448A"/>
    <w:rsid w:val="00AE6A83"/>
    <w:rsid w:val="00AF2050"/>
    <w:rsid w:val="00B01CB8"/>
    <w:rsid w:val="00B03BF5"/>
    <w:rsid w:val="00B03CA8"/>
    <w:rsid w:val="00B03E8C"/>
    <w:rsid w:val="00B13342"/>
    <w:rsid w:val="00B137D7"/>
    <w:rsid w:val="00B1441D"/>
    <w:rsid w:val="00B33C0A"/>
    <w:rsid w:val="00B34DFD"/>
    <w:rsid w:val="00B36DAD"/>
    <w:rsid w:val="00B411C3"/>
    <w:rsid w:val="00B41C26"/>
    <w:rsid w:val="00B4460E"/>
    <w:rsid w:val="00B52758"/>
    <w:rsid w:val="00B527B0"/>
    <w:rsid w:val="00B5490B"/>
    <w:rsid w:val="00B55E19"/>
    <w:rsid w:val="00B60455"/>
    <w:rsid w:val="00B62181"/>
    <w:rsid w:val="00B67857"/>
    <w:rsid w:val="00B71DC1"/>
    <w:rsid w:val="00B83B64"/>
    <w:rsid w:val="00B91801"/>
    <w:rsid w:val="00B9418C"/>
    <w:rsid w:val="00B94758"/>
    <w:rsid w:val="00B96E88"/>
    <w:rsid w:val="00BA1853"/>
    <w:rsid w:val="00BA4B6D"/>
    <w:rsid w:val="00BB056D"/>
    <w:rsid w:val="00BB2494"/>
    <w:rsid w:val="00BB26C5"/>
    <w:rsid w:val="00BB5B8E"/>
    <w:rsid w:val="00BB7E5B"/>
    <w:rsid w:val="00BC6D23"/>
    <w:rsid w:val="00BD11A2"/>
    <w:rsid w:val="00BD26FB"/>
    <w:rsid w:val="00BD4649"/>
    <w:rsid w:val="00BD659F"/>
    <w:rsid w:val="00BD6A19"/>
    <w:rsid w:val="00BF4DE6"/>
    <w:rsid w:val="00BF68D2"/>
    <w:rsid w:val="00BF7BAD"/>
    <w:rsid w:val="00C059A9"/>
    <w:rsid w:val="00C06B13"/>
    <w:rsid w:val="00C07447"/>
    <w:rsid w:val="00C1014E"/>
    <w:rsid w:val="00C15BF1"/>
    <w:rsid w:val="00C1736E"/>
    <w:rsid w:val="00C24A2F"/>
    <w:rsid w:val="00C24A9B"/>
    <w:rsid w:val="00C27D25"/>
    <w:rsid w:val="00C32E6E"/>
    <w:rsid w:val="00C3544C"/>
    <w:rsid w:val="00C36043"/>
    <w:rsid w:val="00C40838"/>
    <w:rsid w:val="00C4240E"/>
    <w:rsid w:val="00C42541"/>
    <w:rsid w:val="00C42CDE"/>
    <w:rsid w:val="00C5182A"/>
    <w:rsid w:val="00C51BBE"/>
    <w:rsid w:val="00C5571C"/>
    <w:rsid w:val="00C55D25"/>
    <w:rsid w:val="00C6252B"/>
    <w:rsid w:val="00C631E2"/>
    <w:rsid w:val="00C6321B"/>
    <w:rsid w:val="00C63EE9"/>
    <w:rsid w:val="00C675DB"/>
    <w:rsid w:val="00C70263"/>
    <w:rsid w:val="00C71A0D"/>
    <w:rsid w:val="00C77017"/>
    <w:rsid w:val="00C86185"/>
    <w:rsid w:val="00C862EB"/>
    <w:rsid w:val="00C8797E"/>
    <w:rsid w:val="00C909F2"/>
    <w:rsid w:val="00C93B9D"/>
    <w:rsid w:val="00CA0725"/>
    <w:rsid w:val="00CA16F3"/>
    <w:rsid w:val="00CA21DC"/>
    <w:rsid w:val="00CA2351"/>
    <w:rsid w:val="00CA2D90"/>
    <w:rsid w:val="00CA37B1"/>
    <w:rsid w:val="00CB00F5"/>
    <w:rsid w:val="00CB1959"/>
    <w:rsid w:val="00CC06DC"/>
    <w:rsid w:val="00CC4C0F"/>
    <w:rsid w:val="00CC5EBD"/>
    <w:rsid w:val="00CC71CA"/>
    <w:rsid w:val="00CC741B"/>
    <w:rsid w:val="00CC7BBE"/>
    <w:rsid w:val="00CD0E4B"/>
    <w:rsid w:val="00CD6A83"/>
    <w:rsid w:val="00CE3841"/>
    <w:rsid w:val="00CE4C89"/>
    <w:rsid w:val="00CE6C21"/>
    <w:rsid w:val="00CE75D2"/>
    <w:rsid w:val="00CF07BA"/>
    <w:rsid w:val="00CF3C58"/>
    <w:rsid w:val="00D02951"/>
    <w:rsid w:val="00D0296C"/>
    <w:rsid w:val="00D05A0F"/>
    <w:rsid w:val="00D079F1"/>
    <w:rsid w:val="00D1593C"/>
    <w:rsid w:val="00D20306"/>
    <w:rsid w:val="00D20EF1"/>
    <w:rsid w:val="00D306DC"/>
    <w:rsid w:val="00D32A1B"/>
    <w:rsid w:val="00D32D6F"/>
    <w:rsid w:val="00D352D1"/>
    <w:rsid w:val="00D37B04"/>
    <w:rsid w:val="00D540C6"/>
    <w:rsid w:val="00D573D8"/>
    <w:rsid w:val="00D57EA2"/>
    <w:rsid w:val="00D64BD1"/>
    <w:rsid w:val="00D679DC"/>
    <w:rsid w:val="00D726D4"/>
    <w:rsid w:val="00D827D4"/>
    <w:rsid w:val="00D83A13"/>
    <w:rsid w:val="00D86A9B"/>
    <w:rsid w:val="00D87E0E"/>
    <w:rsid w:val="00D92254"/>
    <w:rsid w:val="00D93E7D"/>
    <w:rsid w:val="00D96DED"/>
    <w:rsid w:val="00DA1483"/>
    <w:rsid w:val="00DB068B"/>
    <w:rsid w:val="00DB3425"/>
    <w:rsid w:val="00DC4369"/>
    <w:rsid w:val="00DC467D"/>
    <w:rsid w:val="00DC51CD"/>
    <w:rsid w:val="00DE084C"/>
    <w:rsid w:val="00DE270D"/>
    <w:rsid w:val="00DE6498"/>
    <w:rsid w:val="00DF7CDF"/>
    <w:rsid w:val="00E05690"/>
    <w:rsid w:val="00E06273"/>
    <w:rsid w:val="00E12414"/>
    <w:rsid w:val="00E14F51"/>
    <w:rsid w:val="00E15E6C"/>
    <w:rsid w:val="00E1606D"/>
    <w:rsid w:val="00E27A64"/>
    <w:rsid w:val="00E33752"/>
    <w:rsid w:val="00E357B7"/>
    <w:rsid w:val="00E37A02"/>
    <w:rsid w:val="00E44140"/>
    <w:rsid w:val="00E45C7F"/>
    <w:rsid w:val="00E5059D"/>
    <w:rsid w:val="00E51683"/>
    <w:rsid w:val="00E51BBD"/>
    <w:rsid w:val="00E53800"/>
    <w:rsid w:val="00E5387D"/>
    <w:rsid w:val="00E5555D"/>
    <w:rsid w:val="00E56179"/>
    <w:rsid w:val="00E6081F"/>
    <w:rsid w:val="00E608AF"/>
    <w:rsid w:val="00E61313"/>
    <w:rsid w:val="00E751EB"/>
    <w:rsid w:val="00E76909"/>
    <w:rsid w:val="00E8296D"/>
    <w:rsid w:val="00E8457B"/>
    <w:rsid w:val="00E877F3"/>
    <w:rsid w:val="00E9003D"/>
    <w:rsid w:val="00E91C46"/>
    <w:rsid w:val="00E91F63"/>
    <w:rsid w:val="00E939EE"/>
    <w:rsid w:val="00E96F2A"/>
    <w:rsid w:val="00E974BA"/>
    <w:rsid w:val="00EA04B2"/>
    <w:rsid w:val="00EA1128"/>
    <w:rsid w:val="00EA20F3"/>
    <w:rsid w:val="00EA3491"/>
    <w:rsid w:val="00EA67DE"/>
    <w:rsid w:val="00EA7E72"/>
    <w:rsid w:val="00EB0A3B"/>
    <w:rsid w:val="00EC7EBD"/>
    <w:rsid w:val="00ED27D2"/>
    <w:rsid w:val="00ED2831"/>
    <w:rsid w:val="00ED43D1"/>
    <w:rsid w:val="00ED72FD"/>
    <w:rsid w:val="00EE3553"/>
    <w:rsid w:val="00EE4EE1"/>
    <w:rsid w:val="00EF0733"/>
    <w:rsid w:val="00EF4574"/>
    <w:rsid w:val="00EF475D"/>
    <w:rsid w:val="00EF4890"/>
    <w:rsid w:val="00F07861"/>
    <w:rsid w:val="00F103C1"/>
    <w:rsid w:val="00F11074"/>
    <w:rsid w:val="00F12D5D"/>
    <w:rsid w:val="00F12D81"/>
    <w:rsid w:val="00F12FC2"/>
    <w:rsid w:val="00F15486"/>
    <w:rsid w:val="00F25A93"/>
    <w:rsid w:val="00F2684E"/>
    <w:rsid w:val="00F30050"/>
    <w:rsid w:val="00F31EC8"/>
    <w:rsid w:val="00F40ACC"/>
    <w:rsid w:val="00F41ADA"/>
    <w:rsid w:val="00F44A24"/>
    <w:rsid w:val="00F5404C"/>
    <w:rsid w:val="00F55E23"/>
    <w:rsid w:val="00F5762C"/>
    <w:rsid w:val="00F622B6"/>
    <w:rsid w:val="00F64A5F"/>
    <w:rsid w:val="00F656BA"/>
    <w:rsid w:val="00F65E8A"/>
    <w:rsid w:val="00F710B1"/>
    <w:rsid w:val="00F7177E"/>
    <w:rsid w:val="00F7244A"/>
    <w:rsid w:val="00F729EF"/>
    <w:rsid w:val="00F77CAE"/>
    <w:rsid w:val="00F82271"/>
    <w:rsid w:val="00F83428"/>
    <w:rsid w:val="00F96BB9"/>
    <w:rsid w:val="00FA1CD0"/>
    <w:rsid w:val="00FA4CC0"/>
    <w:rsid w:val="00FA4F47"/>
    <w:rsid w:val="00FA5A68"/>
    <w:rsid w:val="00FA6E65"/>
    <w:rsid w:val="00FB4172"/>
    <w:rsid w:val="00FB644A"/>
    <w:rsid w:val="00FC0BCA"/>
    <w:rsid w:val="00FC69F9"/>
    <w:rsid w:val="00FD296C"/>
    <w:rsid w:val="00FE1C88"/>
    <w:rsid w:val="00FE53D7"/>
    <w:rsid w:val="00FE6D51"/>
    <w:rsid w:val="00FE6F2A"/>
    <w:rsid w:val="00FF4E11"/>
    <w:rsid w:val="1BC3046E"/>
    <w:rsid w:val="765086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E1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B6A"/>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AE36FF"/>
    <w:pPr>
      <w:keepNext/>
      <w:keepLines/>
      <w:spacing w:before="0" w:after="0" w:line="380" w:lineRule="exact"/>
      <w:contextualSpacing/>
      <w:outlineLvl w:val="0"/>
    </w:pPr>
    <w:rPr>
      <w:rFonts w:asciiTheme="majorHAnsi" w:eastAsiaTheme="majorEastAsia" w:hAnsiTheme="majorHAnsi" w:cstheme="majorBidi"/>
      <w:b/>
      <w:bCs/>
      <w:caps/>
      <w:spacing w:val="-10"/>
      <w:kern w:val="28"/>
      <w:sz w:val="38"/>
      <w:szCs w:val="52"/>
    </w:rPr>
  </w:style>
  <w:style w:type="paragraph" w:styleId="Heading2">
    <w:name w:val="heading 2"/>
    <w:basedOn w:val="Normal"/>
    <w:next w:val="Normal"/>
    <w:link w:val="Heading2Char"/>
    <w:uiPriority w:val="9"/>
    <w:unhideWhenUsed/>
    <w:qFormat/>
    <w:rsid w:val="00AE36FF"/>
    <w:pPr>
      <w:keepNext/>
      <w:keepLines/>
      <w:spacing w:before="480" w:line="380" w:lineRule="exact"/>
      <w:ind w:left="567" w:hanging="567"/>
      <w:contextualSpacing/>
      <w:outlineLvl w:val="1"/>
    </w:pPr>
    <w:rPr>
      <w:rFonts w:asciiTheme="majorHAnsi" w:eastAsiaTheme="majorEastAsia" w:hAnsiTheme="majorHAnsi" w:cstheme="majorBidi"/>
      <w:bCs/>
      <w:caps/>
      <w:spacing w:val="-10"/>
      <w:kern w:val="28"/>
      <w:sz w:val="38"/>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val="0"/>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6FF"/>
    <w:rPr>
      <w:rFonts w:asciiTheme="majorHAnsi" w:eastAsiaTheme="majorEastAsia" w:hAnsiTheme="majorHAnsi" w:cstheme="majorBidi"/>
      <w:b/>
      <w:bCs/>
      <w:caps/>
      <w:color w:val="495965" w:themeColor="text2"/>
      <w:spacing w:val="-10"/>
      <w:kern w:val="28"/>
      <w:sz w:val="38"/>
      <w:szCs w:val="52"/>
      <w:lang w:val="en-GB"/>
    </w:rPr>
  </w:style>
  <w:style w:type="character" w:customStyle="1" w:styleId="Heading2Char">
    <w:name w:val="Heading 2 Char"/>
    <w:basedOn w:val="DefaultParagraphFont"/>
    <w:link w:val="Heading2"/>
    <w:uiPriority w:val="9"/>
    <w:rsid w:val="00AE36FF"/>
    <w:rPr>
      <w:rFonts w:asciiTheme="majorHAnsi" w:eastAsiaTheme="majorEastAsia" w:hAnsiTheme="majorHAnsi" w:cstheme="majorBidi"/>
      <w:bCs/>
      <w:caps/>
      <w:color w:val="495965" w:themeColor="text2"/>
      <w:spacing w:val="-10"/>
      <w:kern w:val="28"/>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7"/>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pPr>
    <w:rPr>
      <w:bCs w:val="0"/>
    </w:rPr>
  </w:style>
  <w:style w:type="paragraph" w:customStyle="1" w:styleId="Heading3Numbered">
    <w:name w:val="Heading 3 Numbered"/>
    <w:basedOn w:val="Heading3"/>
    <w:next w:val="Normal"/>
    <w:qFormat/>
    <w:rsid w:val="00ED2831"/>
    <w:pPr>
      <w:numPr>
        <w:ilvl w:val="2"/>
        <w:numId w:val="6"/>
      </w:numPr>
      <w:spacing w:before="30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201B81"/>
    <w:pPr>
      <w:spacing w:before="400" w:after="400" w:line="280" w:lineRule="exact"/>
    </w:pPr>
    <w:rPr>
      <w:b/>
      <w:caps/>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01B81"/>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9"/>
      </w:numPr>
      <w:ind w:left="454" w:hanging="170"/>
    </w:pPr>
  </w:style>
  <w:style w:type="paragraph" w:customStyle="1" w:styleId="Box2Bullet">
    <w:name w:val="Box 2 Bullet"/>
    <w:basedOn w:val="Box2Text"/>
    <w:qFormat/>
    <w:rsid w:val="00C42541"/>
    <w:pPr>
      <w:numPr>
        <w:numId w:val="10"/>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Recommendation,List Paragraph1"/>
    <w:basedOn w:val="Normal"/>
    <w:link w:val="ListParagraphChar"/>
    <w:uiPriority w:val="34"/>
    <w:qFormat/>
    <w:locked/>
    <w:rsid w:val="00AD28BF"/>
    <w:pPr>
      <w:numPr>
        <w:numId w:val="11"/>
      </w:numPr>
      <w:suppressAutoHyphens w:val="0"/>
      <w:spacing w:before="0" w:after="0" w:line="240" w:lineRule="auto"/>
      <w:contextualSpacing/>
    </w:pPr>
    <w:rPr>
      <w:b/>
      <w:bCs/>
    </w:rPr>
  </w:style>
  <w:style w:type="character" w:customStyle="1" w:styleId="ListParagraphChar">
    <w:name w:val="List Paragraph Char"/>
    <w:aliases w:val="Recommendation Char,List Paragraph1 Char"/>
    <w:link w:val="ListParagraph"/>
    <w:uiPriority w:val="34"/>
    <w:locked/>
    <w:rsid w:val="00AD28BF"/>
    <w:rPr>
      <w:b/>
      <w:bCs/>
      <w:color w:val="495965" w:themeColor="text2"/>
      <w:lang w:val="en-GB"/>
    </w:rPr>
  </w:style>
  <w:style w:type="table" w:styleId="GridTable1Light-Accent1">
    <w:name w:val="Grid Table 1 Light Accent 1"/>
    <w:basedOn w:val="TableNormal"/>
    <w:uiPriority w:val="46"/>
    <w:locked/>
    <w:rsid w:val="004224B2"/>
    <w:pPr>
      <w:spacing w:after="0" w:line="240" w:lineRule="auto"/>
      <w:jc w:val="both"/>
    </w:pPr>
    <w:rPr>
      <w:rFonts w:eastAsiaTheme="minorEastAsia"/>
    </w:r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table" w:customStyle="1" w:styleId="PlainTable211">
    <w:name w:val="Plain Table 211"/>
    <w:basedOn w:val="TableNormal"/>
    <w:uiPriority w:val="42"/>
    <w:locked/>
    <w:rsid w:val="003E3C8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2">
    <w:name w:val="Plain Table 212"/>
    <w:basedOn w:val="TableNormal"/>
    <w:uiPriority w:val="42"/>
    <w:locked/>
    <w:rsid w:val="003E3C8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dnoteText">
    <w:name w:val="endnote text"/>
    <w:basedOn w:val="Normal"/>
    <w:link w:val="EndnoteTextChar"/>
    <w:uiPriority w:val="99"/>
    <w:semiHidden/>
    <w:unhideWhenUsed/>
    <w:rsid w:val="003B1FD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B1FD3"/>
    <w:rPr>
      <w:color w:val="495965" w:themeColor="text2"/>
      <w:sz w:val="20"/>
      <w:szCs w:val="20"/>
      <w:lang w:val="en-GB"/>
    </w:rPr>
  </w:style>
  <w:style w:type="character" w:styleId="EndnoteReference">
    <w:name w:val="endnote reference"/>
    <w:basedOn w:val="DefaultParagraphFont"/>
    <w:uiPriority w:val="99"/>
    <w:semiHidden/>
    <w:unhideWhenUsed/>
    <w:rsid w:val="003B1FD3"/>
    <w:rPr>
      <w:vertAlign w:val="superscript"/>
    </w:rPr>
  </w:style>
  <w:style w:type="paragraph" w:styleId="HTMLPreformatted">
    <w:name w:val="HTML Preformatted"/>
    <w:basedOn w:val="Normal"/>
    <w:link w:val="HTMLPreformattedChar"/>
    <w:uiPriority w:val="99"/>
    <w:unhideWhenUsed/>
    <w:locked/>
    <w:rsid w:val="00426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rsid w:val="004268E7"/>
    <w:rPr>
      <w:rFonts w:ascii="Courier New" w:eastAsia="Times New Roman" w:hAnsi="Courier New" w:cs="Courier New"/>
      <w:sz w:val="20"/>
      <w:szCs w:val="20"/>
      <w:lang w:eastAsia="en-AU"/>
    </w:rPr>
  </w:style>
  <w:style w:type="character" w:customStyle="1" w:styleId="s1">
    <w:name w:val="s1"/>
    <w:basedOn w:val="DefaultParagraphFont"/>
    <w:rsid w:val="00DE6498"/>
  </w:style>
  <w:style w:type="character" w:customStyle="1" w:styleId="valueabout">
    <w:name w:val="value_about"/>
    <w:basedOn w:val="DefaultParagraphFont"/>
    <w:rsid w:val="00DE6498"/>
  </w:style>
  <w:style w:type="character" w:customStyle="1" w:styleId="UnresolvedMention1">
    <w:name w:val="Unresolved Mention1"/>
    <w:basedOn w:val="DefaultParagraphFont"/>
    <w:uiPriority w:val="99"/>
    <w:semiHidden/>
    <w:unhideWhenUsed/>
    <w:rsid w:val="00323EE7"/>
    <w:rPr>
      <w:color w:val="605E5C"/>
      <w:shd w:val="clear" w:color="auto" w:fill="E1DFDD"/>
    </w:rPr>
  </w:style>
  <w:style w:type="character" w:customStyle="1" w:styleId="normaltextrun">
    <w:name w:val="normaltextrun"/>
    <w:basedOn w:val="DefaultParagraphFont"/>
    <w:rsid w:val="00063E12"/>
  </w:style>
  <w:style w:type="character" w:customStyle="1" w:styleId="bcx0">
    <w:name w:val="bcx0"/>
    <w:basedOn w:val="DefaultParagraphFont"/>
    <w:rsid w:val="009E6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79562">
      <w:bodyDiv w:val="1"/>
      <w:marLeft w:val="0"/>
      <w:marRight w:val="0"/>
      <w:marTop w:val="0"/>
      <w:marBottom w:val="0"/>
      <w:divBdr>
        <w:top w:val="none" w:sz="0" w:space="0" w:color="auto"/>
        <w:left w:val="none" w:sz="0" w:space="0" w:color="auto"/>
        <w:bottom w:val="none" w:sz="0" w:space="0" w:color="auto"/>
        <w:right w:val="none" w:sz="0" w:space="0" w:color="auto"/>
      </w:divBdr>
    </w:div>
    <w:div w:id="202989124">
      <w:bodyDiv w:val="1"/>
      <w:marLeft w:val="0"/>
      <w:marRight w:val="0"/>
      <w:marTop w:val="0"/>
      <w:marBottom w:val="0"/>
      <w:divBdr>
        <w:top w:val="none" w:sz="0" w:space="0" w:color="auto"/>
        <w:left w:val="none" w:sz="0" w:space="0" w:color="auto"/>
        <w:bottom w:val="none" w:sz="0" w:space="0" w:color="auto"/>
        <w:right w:val="none" w:sz="0" w:space="0" w:color="auto"/>
      </w:divBdr>
    </w:div>
    <w:div w:id="210074922">
      <w:bodyDiv w:val="1"/>
      <w:marLeft w:val="0"/>
      <w:marRight w:val="0"/>
      <w:marTop w:val="0"/>
      <w:marBottom w:val="0"/>
      <w:divBdr>
        <w:top w:val="none" w:sz="0" w:space="0" w:color="auto"/>
        <w:left w:val="none" w:sz="0" w:space="0" w:color="auto"/>
        <w:bottom w:val="none" w:sz="0" w:space="0" w:color="auto"/>
        <w:right w:val="none" w:sz="0" w:space="0" w:color="auto"/>
      </w:divBdr>
    </w:div>
    <w:div w:id="245236054">
      <w:bodyDiv w:val="1"/>
      <w:marLeft w:val="0"/>
      <w:marRight w:val="0"/>
      <w:marTop w:val="0"/>
      <w:marBottom w:val="0"/>
      <w:divBdr>
        <w:top w:val="none" w:sz="0" w:space="0" w:color="auto"/>
        <w:left w:val="none" w:sz="0" w:space="0" w:color="auto"/>
        <w:bottom w:val="none" w:sz="0" w:space="0" w:color="auto"/>
        <w:right w:val="none" w:sz="0" w:space="0" w:color="auto"/>
      </w:divBdr>
    </w:div>
    <w:div w:id="292950975">
      <w:bodyDiv w:val="1"/>
      <w:marLeft w:val="0"/>
      <w:marRight w:val="0"/>
      <w:marTop w:val="0"/>
      <w:marBottom w:val="0"/>
      <w:divBdr>
        <w:top w:val="none" w:sz="0" w:space="0" w:color="auto"/>
        <w:left w:val="none" w:sz="0" w:space="0" w:color="auto"/>
        <w:bottom w:val="none" w:sz="0" w:space="0" w:color="auto"/>
        <w:right w:val="none" w:sz="0" w:space="0" w:color="auto"/>
      </w:divBdr>
    </w:div>
    <w:div w:id="394008445">
      <w:bodyDiv w:val="1"/>
      <w:marLeft w:val="0"/>
      <w:marRight w:val="0"/>
      <w:marTop w:val="0"/>
      <w:marBottom w:val="0"/>
      <w:divBdr>
        <w:top w:val="none" w:sz="0" w:space="0" w:color="auto"/>
        <w:left w:val="none" w:sz="0" w:space="0" w:color="auto"/>
        <w:bottom w:val="none" w:sz="0" w:space="0" w:color="auto"/>
        <w:right w:val="none" w:sz="0" w:space="0" w:color="auto"/>
      </w:divBdr>
    </w:div>
    <w:div w:id="531455584">
      <w:bodyDiv w:val="1"/>
      <w:marLeft w:val="0"/>
      <w:marRight w:val="0"/>
      <w:marTop w:val="0"/>
      <w:marBottom w:val="0"/>
      <w:divBdr>
        <w:top w:val="none" w:sz="0" w:space="0" w:color="auto"/>
        <w:left w:val="none" w:sz="0" w:space="0" w:color="auto"/>
        <w:bottom w:val="none" w:sz="0" w:space="0" w:color="auto"/>
        <w:right w:val="none" w:sz="0" w:space="0" w:color="auto"/>
      </w:divBdr>
    </w:div>
    <w:div w:id="561449222">
      <w:bodyDiv w:val="1"/>
      <w:marLeft w:val="0"/>
      <w:marRight w:val="0"/>
      <w:marTop w:val="0"/>
      <w:marBottom w:val="0"/>
      <w:divBdr>
        <w:top w:val="none" w:sz="0" w:space="0" w:color="auto"/>
        <w:left w:val="none" w:sz="0" w:space="0" w:color="auto"/>
        <w:bottom w:val="none" w:sz="0" w:space="0" w:color="auto"/>
        <w:right w:val="none" w:sz="0" w:space="0" w:color="auto"/>
      </w:divBdr>
    </w:div>
    <w:div w:id="624584939">
      <w:bodyDiv w:val="1"/>
      <w:marLeft w:val="0"/>
      <w:marRight w:val="0"/>
      <w:marTop w:val="0"/>
      <w:marBottom w:val="0"/>
      <w:divBdr>
        <w:top w:val="none" w:sz="0" w:space="0" w:color="auto"/>
        <w:left w:val="none" w:sz="0" w:space="0" w:color="auto"/>
        <w:bottom w:val="none" w:sz="0" w:space="0" w:color="auto"/>
        <w:right w:val="none" w:sz="0" w:space="0" w:color="auto"/>
      </w:divBdr>
    </w:div>
    <w:div w:id="875387362">
      <w:bodyDiv w:val="1"/>
      <w:marLeft w:val="0"/>
      <w:marRight w:val="0"/>
      <w:marTop w:val="0"/>
      <w:marBottom w:val="0"/>
      <w:divBdr>
        <w:top w:val="none" w:sz="0" w:space="0" w:color="auto"/>
        <w:left w:val="none" w:sz="0" w:space="0" w:color="auto"/>
        <w:bottom w:val="none" w:sz="0" w:space="0" w:color="auto"/>
        <w:right w:val="none" w:sz="0" w:space="0" w:color="auto"/>
      </w:divBdr>
    </w:div>
    <w:div w:id="1257206071">
      <w:bodyDiv w:val="1"/>
      <w:marLeft w:val="0"/>
      <w:marRight w:val="0"/>
      <w:marTop w:val="0"/>
      <w:marBottom w:val="0"/>
      <w:divBdr>
        <w:top w:val="none" w:sz="0" w:space="0" w:color="auto"/>
        <w:left w:val="none" w:sz="0" w:space="0" w:color="auto"/>
        <w:bottom w:val="none" w:sz="0" w:space="0" w:color="auto"/>
        <w:right w:val="none" w:sz="0" w:space="0" w:color="auto"/>
      </w:divBdr>
    </w:div>
    <w:div w:id="1276861453">
      <w:bodyDiv w:val="1"/>
      <w:marLeft w:val="0"/>
      <w:marRight w:val="0"/>
      <w:marTop w:val="0"/>
      <w:marBottom w:val="0"/>
      <w:divBdr>
        <w:top w:val="none" w:sz="0" w:space="0" w:color="auto"/>
        <w:left w:val="none" w:sz="0" w:space="0" w:color="auto"/>
        <w:bottom w:val="none" w:sz="0" w:space="0" w:color="auto"/>
        <w:right w:val="none" w:sz="0" w:space="0" w:color="auto"/>
      </w:divBdr>
    </w:div>
    <w:div w:id="1303462763">
      <w:bodyDiv w:val="1"/>
      <w:marLeft w:val="0"/>
      <w:marRight w:val="0"/>
      <w:marTop w:val="0"/>
      <w:marBottom w:val="0"/>
      <w:divBdr>
        <w:top w:val="none" w:sz="0" w:space="0" w:color="auto"/>
        <w:left w:val="none" w:sz="0" w:space="0" w:color="auto"/>
        <w:bottom w:val="none" w:sz="0" w:space="0" w:color="auto"/>
        <w:right w:val="none" w:sz="0" w:space="0" w:color="auto"/>
      </w:divBdr>
    </w:div>
    <w:div w:id="1407875393">
      <w:bodyDiv w:val="1"/>
      <w:marLeft w:val="0"/>
      <w:marRight w:val="0"/>
      <w:marTop w:val="0"/>
      <w:marBottom w:val="0"/>
      <w:divBdr>
        <w:top w:val="none" w:sz="0" w:space="0" w:color="auto"/>
        <w:left w:val="none" w:sz="0" w:space="0" w:color="auto"/>
        <w:bottom w:val="none" w:sz="0" w:space="0" w:color="auto"/>
        <w:right w:val="none" w:sz="0" w:space="0" w:color="auto"/>
      </w:divBdr>
    </w:div>
    <w:div w:id="1430466447">
      <w:bodyDiv w:val="1"/>
      <w:marLeft w:val="0"/>
      <w:marRight w:val="0"/>
      <w:marTop w:val="0"/>
      <w:marBottom w:val="0"/>
      <w:divBdr>
        <w:top w:val="none" w:sz="0" w:space="0" w:color="auto"/>
        <w:left w:val="none" w:sz="0" w:space="0" w:color="auto"/>
        <w:bottom w:val="none" w:sz="0" w:space="0" w:color="auto"/>
        <w:right w:val="none" w:sz="0" w:space="0" w:color="auto"/>
      </w:divBdr>
    </w:div>
    <w:div w:id="1525097543">
      <w:bodyDiv w:val="1"/>
      <w:marLeft w:val="0"/>
      <w:marRight w:val="0"/>
      <w:marTop w:val="0"/>
      <w:marBottom w:val="0"/>
      <w:divBdr>
        <w:top w:val="none" w:sz="0" w:space="0" w:color="auto"/>
        <w:left w:val="none" w:sz="0" w:space="0" w:color="auto"/>
        <w:bottom w:val="none" w:sz="0" w:space="0" w:color="auto"/>
        <w:right w:val="none" w:sz="0" w:space="0" w:color="auto"/>
      </w:divBdr>
    </w:div>
    <w:div w:id="1724912124">
      <w:bodyDiv w:val="1"/>
      <w:marLeft w:val="0"/>
      <w:marRight w:val="0"/>
      <w:marTop w:val="0"/>
      <w:marBottom w:val="0"/>
      <w:divBdr>
        <w:top w:val="none" w:sz="0" w:space="0" w:color="auto"/>
        <w:left w:val="none" w:sz="0" w:space="0" w:color="auto"/>
        <w:bottom w:val="none" w:sz="0" w:space="0" w:color="auto"/>
        <w:right w:val="none" w:sz="0" w:space="0" w:color="auto"/>
      </w:divBdr>
    </w:div>
    <w:div w:id="1730685036">
      <w:bodyDiv w:val="1"/>
      <w:marLeft w:val="0"/>
      <w:marRight w:val="0"/>
      <w:marTop w:val="0"/>
      <w:marBottom w:val="0"/>
      <w:divBdr>
        <w:top w:val="none" w:sz="0" w:space="0" w:color="auto"/>
        <w:left w:val="none" w:sz="0" w:space="0" w:color="auto"/>
        <w:bottom w:val="none" w:sz="0" w:space="0" w:color="auto"/>
        <w:right w:val="none" w:sz="0" w:space="0" w:color="auto"/>
      </w:divBdr>
    </w:div>
    <w:div w:id="1792091493">
      <w:bodyDiv w:val="1"/>
      <w:marLeft w:val="0"/>
      <w:marRight w:val="0"/>
      <w:marTop w:val="0"/>
      <w:marBottom w:val="0"/>
      <w:divBdr>
        <w:top w:val="none" w:sz="0" w:space="0" w:color="auto"/>
        <w:left w:val="none" w:sz="0" w:space="0" w:color="auto"/>
        <w:bottom w:val="none" w:sz="0" w:space="0" w:color="auto"/>
        <w:right w:val="none" w:sz="0" w:space="0" w:color="auto"/>
      </w:divBdr>
    </w:div>
    <w:div w:id="1920943327">
      <w:bodyDiv w:val="1"/>
      <w:marLeft w:val="0"/>
      <w:marRight w:val="0"/>
      <w:marTop w:val="0"/>
      <w:marBottom w:val="0"/>
      <w:divBdr>
        <w:top w:val="none" w:sz="0" w:space="0" w:color="auto"/>
        <w:left w:val="none" w:sz="0" w:space="0" w:color="auto"/>
        <w:bottom w:val="none" w:sz="0" w:space="0" w:color="auto"/>
        <w:right w:val="none" w:sz="0" w:space="0" w:color="auto"/>
      </w:divBdr>
    </w:div>
    <w:div w:id="210672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124B3-C5D6-46D3-85A9-A1DB347DB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2324</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2021 Annual Development Evaluation Plan</vt:lpstr>
    </vt:vector>
  </TitlesOfParts>
  <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Annual Development Evaluation Plan</dc:title>
  <dc:subject/>
  <dc:creator/>
  <cp:keywords/>
  <dc:description/>
  <cp:lastModifiedBy/>
  <cp:revision>1</cp:revision>
  <dcterms:created xsi:type="dcterms:W3CDTF">2021-02-19T04:18:00Z</dcterms:created>
  <dcterms:modified xsi:type="dcterms:W3CDTF">2021-02-19T04:24:00Z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118379a9-fa12-4ccd-a262-b14e55405835</vt:lpwstr>
  </property>
  <property fmtid="{D5CDD505-2E9C-101B-9397-08002B2CF9AE}" pid="3" name="SEC">
    <vt:lpwstr>OFFICIAL</vt:lpwstr>
  </property>
</Properties>
</file>