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0DDB3" w14:textId="1A9575B0" w:rsidR="00FA5EFD" w:rsidRDefault="002E500A" w:rsidP="0010441E">
      <w:pPr>
        <w:pStyle w:val="Heading1"/>
        <w:spacing w:after="0"/>
        <w:rPr>
          <w:szCs w:val="38"/>
        </w:rPr>
      </w:pPr>
      <w:r w:rsidRPr="00F41436">
        <w:rPr>
          <w:szCs w:val="38"/>
        </w:rPr>
        <w:t>202</w:t>
      </w:r>
      <w:r w:rsidR="009543B9" w:rsidRPr="00F41436">
        <w:rPr>
          <w:szCs w:val="38"/>
        </w:rPr>
        <w:t>1</w:t>
      </w:r>
      <w:r w:rsidRPr="00F41436">
        <w:rPr>
          <w:szCs w:val="38"/>
        </w:rPr>
        <w:t>-2</w:t>
      </w:r>
      <w:r w:rsidR="009543B9" w:rsidRPr="00F41436">
        <w:rPr>
          <w:szCs w:val="38"/>
        </w:rPr>
        <w:t>2</w:t>
      </w:r>
      <w:r w:rsidRPr="00F41436">
        <w:rPr>
          <w:szCs w:val="38"/>
        </w:rPr>
        <w:t xml:space="preserve"> </w:t>
      </w:r>
      <w:r w:rsidR="00E4437D" w:rsidRPr="00F41436">
        <w:rPr>
          <w:szCs w:val="38"/>
        </w:rPr>
        <w:t xml:space="preserve">Solomon Islands </w:t>
      </w:r>
      <w:r w:rsidR="001F7F4D" w:rsidRPr="00F41436">
        <w:rPr>
          <w:szCs w:val="38"/>
        </w:rPr>
        <w:t>D</w:t>
      </w:r>
      <w:r w:rsidR="00382CE7" w:rsidRPr="00F41436">
        <w:rPr>
          <w:szCs w:val="38"/>
        </w:rPr>
        <w:t>evelopment</w:t>
      </w:r>
      <w:r w:rsidR="001F7F4D" w:rsidRPr="00F41436">
        <w:rPr>
          <w:szCs w:val="38"/>
        </w:rPr>
        <w:t xml:space="preserve"> </w:t>
      </w:r>
      <w:r w:rsidRPr="00F41436">
        <w:rPr>
          <w:szCs w:val="38"/>
        </w:rPr>
        <w:t>P</w:t>
      </w:r>
      <w:r w:rsidR="00382CE7" w:rsidRPr="00F41436">
        <w:rPr>
          <w:szCs w:val="38"/>
        </w:rPr>
        <w:t xml:space="preserve">rogram </w:t>
      </w:r>
      <w:r w:rsidRPr="00F41436">
        <w:rPr>
          <w:szCs w:val="38"/>
        </w:rPr>
        <w:t>P</w:t>
      </w:r>
      <w:r w:rsidR="00382CE7" w:rsidRPr="00F41436">
        <w:rPr>
          <w:szCs w:val="38"/>
        </w:rPr>
        <w:t>rogress</w:t>
      </w:r>
      <w:r w:rsidRPr="00F41436">
        <w:rPr>
          <w:szCs w:val="38"/>
        </w:rPr>
        <w:t xml:space="preserve"> R</w:t>
      </w:r>
      <w:r w:rsidR="00382CE7" w:rsidRPr="00F41436">
        <w:rPr>
          <w:szCs w:val="38"/>
        </w:rPr>
        <w:t>eport</w:t>
      </w:r>
    </w:p>
    <w:p w14:paraId="7A7FFEA4" w14:textId="0318E3C6" w:rsidR="00926E69" w:rsidRPr="008A5A0F" w:rsidRDefault="008A7D60" w:rsidP="00CA49DA">
      <w:pPr>
        <w:pBdr>
          <w:top w:val="single" w:sz="4" w:space="1" w:color="65C5B4" w:themeColor="accent1"/>
          <w:left w:val="single" w:sz="4" w:space="4" w:color="65C5B4" w:themeColor="accent1"/>
          <w:bottom w:val="single" w:sz="4" w:space="1" w:color="65C5B4" w:themeColor="accent1"/>
          <w:right w:val="single" w:sz="4" w:space="4" w:color="65C5B4" w:themeColor="accent1"/>
        </w:pBdr>
        <w:spacing w:before="0" w:after="0" w:line="240" w:lineRule="auto"/>
      </w:pPr>
      <w:r w:rsidRPr="008A5A0F">
        <w:t>The COVID-19 Development Response Plan for Solomon Islands has been extended through 2022-23.</w:t>
      </w:r>
      <w:r w:rsidRPr="008A5A0F">
        <w:br/>
        <w:t xml:space="preserve">In 2022-23, the Solomon Islands program will have a stronger focus on delivering routine health activities and promoting economic recovery in support of the Solomon Islands’ </w:t>
      </w:r>
      <w:r w:rsidRPr="008A5A0F">
        <w:rPr>
          <w:i/>
          <w:iCs/>
        </w:rPr>
        <w:t>National Development Strategy</w:t>
      </w:r>
      <w:r w:rsidRPr="008A5A0F">
        <w:rPr>
          <w:rFonts w:ascii="Times New Roman" w:hAnsi="Times New Roman" w:cs="Times New Roman"/>
          <w:sz w:val="24"/>
          <w:szCs w:val="24"/>
        </w:rPr>
        <w:t xml:space="preserve"> </w:t>
      </w:r>
      <w:r w:rsidRPr="008A5A0F">
        <w:t xml:space="preserve">(2016-2035) and 2022 budget objectives ‘to live with COVID-19’ and ‘accelerate economic growth’. </w:t>
      </w:r>
    </w:p>
    <w:tbl>
      <w:tblPr>
        <w:tblStyle w:val="GridTable4-Accent1"/>
        <w:tblpPr w:leftFromText="180" w:rightFromText="180" w:vertAnchor="text" w:horzAnchor="margin" w:tblpY="28"/>
        <w:tblW w:w="4556"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ook w:val="04A0" w:firstRow="1" w:lastRow="0" w:firstColumn="1" w:lastColumn="0" w:noHBand="0" w:noVBand="1"/>
        <w:tblCaption w:val="Program Budget"/>
        <w:tblDescription w:val="Amount of Program budget allocation for 2020-21 for Bilateral, Regional, Global and Other Government Department ODA"/>
      </w:tblPr>
      <w:tblGrid>
        <w:gridCol w:w="2417"/>
        <w:gridCol w:w="2139"/>
      </w:tblGrid>
      <w:tr w:rsidR="00926E69" w14:paraId="67E4CEFD" w14:textId="77777777" w:rsidTr="001F41A2">
        <w:trPr>
          <w:cnfStyle w:val="100000000000" w:firstRow="1" w:lastRow="0" w:firstColumn="0" w:lastColumn="0" w:oddVBand="0" w:evenVBand="0" w:oddHBand="0" w:evenHBand="0" w:firstRowFirstColumn="0" w:firstRowLastColumn="0" w:lastRowFirstColumn="0" w:lastRowLastColumn="0"/>
          <w:trHeight w:val="900"/>
          <w:tblHeader/>
        </w:trPr>
        <w:tc>
          <w:tcPr>
            <w:cnfStyle w:val="001000000000" w:firstRow="0" w:lastRow="0" w:firstColumn="1" w:lastColumn="0" w:oddVBand="0" w:evenVBand="0" w:oddHBand="0" w:evenHBand="0" w:firstRowFirstColumn="0" w:firstRowLastColumn="0" w:lastRowFirstColumn="0" w:lastRowLastColumn="0"/>
            <w:tcW w:w="2417" w:type="dxa"/>
            <w:tcBorders>
              <w:top w:val="none" w:sz="0" w:space="0" w:color="auto"/>
              <w:left w:val="none" w:sz="0" w:space="0" w:color="auto"/>
              <w:bottom w:val="none" w:sz="0" w:space="0" w:color="auto"/>
              <w:right w:val="none" w:sz="0" w:space="0" w:color="auto"/>
            </w:tcBorders>
            <w:shd w:val="clear" w:color="auto" w:fill="A2DCD1" w:themeFill="accent1" w:themeFillTint="99"/>
            <w:vAlign w:val="center"/>
          </w:tcPr>
          <w:p w14:paraId="14684F48" w14:textId="77777777" w:rsidR="00926E69" w:rsidRPr="005736BB" w:rsidRDefault="00926E69" w:rsidP="00570BF7">
            <w:pPr>
              <w:widowControl w:val="0"/>
              <w:spacing w:before="60" w:after="120" w:line="260" w:lineRule="exact"/>
              <w:rPr>
                <w:b w:val="0"/>
                <w:bCs w:val="0"/>
                <w:sz w:val="20"/>
                <w:szCs w:val="20"/>
              </w:rPr>
            </w:pPr>
            <w:r w:rsidRPr="005736BB">
              <w:rPr>
                <w:sz w:val="20"/>
                <w:szCs w:val="20"/>
              </w:rPr>
              <w:t>Program Budget</w:t>
            </w:r>
          </w:p>
        </w:tc>
        <w:tc>
          <w:tcPr>
            <w:tcW w:w="2139" w:type="dxa"/>
            <w:tcBorders>
              <w:top w:val="none" w:sz="0" w:space="0" w:color="auto"/>
              <w:left w:val="none" w:sz="0" w:space="0" w:color="auto"/>
              <w:bottom w:val="none" w:sz="0" w:space="0" w:color="auto"/>
              <w:right w:val="none" w:sz="0" w:space="0" w:color="auto"/>
            </w:tcBorders>
            <w:shd w:val="clear" w:color="auto" w:fill="A2DCD1" w:themeFill="accent1" w:themeFillTint="99"/>
            <w:vAlign w:val="center"/>
          </w:tcPr>
          <w:p w14:paraId="00B62CE4" w14:textId="77777777" w:rsidR="00926E69" w:rsidRPr="005736BB" w:rsidRDefault="00926E69" w:rsidP="00570BF7">
            <w:pPr>
              <w:widowControl w:val="0"/>
              <w:spacing w:before="60" w:after="120" w:line="260" w:lineRule="exact"/>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5736BB">
              <w:rPr>
                <w:sz w:val="20"/>
                <w:szCs w:val="20"/>
              </w:rPr>
              <w:t>202</w:t>
            </w:r>
            <w:r>
              <w:rPr>
                <w:sz w:val="20"/>
                <w:szCs w:val="20"/>
              </w:rPr>
              <w:t>1</w:t>
            </w:r>
            <w:r w:rsidRPr="005736BB">
              <w:rPr>
                <w:sz w:val="20"/>
                <w:szCs w:val="20"/>
              </w:rPr>
              <w:t>-2</w:t>
            </w:r>
            <w:r>
              <w:rPr>
                <w:sz w:val="20"/>
                <w:szCs w:val="20"/>
              </w:rPr>
              <w:t>2</w:t>
            </w:r>
            <w:r w:rsidRPr="005736BB">
              <w:rPr>
                <w:sz w:val="20"/>
                <w:szCs w:val="20"/>
              </w:rPr>
              <w:t xml:space="preserve"> Budget Estimate $m</w:t>
            </w:r>
            <w:r>
              <w:rPr>
                <w:sz w:val="20"/>
                <w:szCs w:val="20"/>
              </w:rPr>
              <w:t>*</w:t>
            </w:r>
          </w:p>
        </w:tc>
      </w:tr>
      <w:tr w:rsidR="00926E69" w14:paraId="4E30ECB8" w14:textId="77777777" w:rsidTr="00BD441A">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24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FE5A789" w14:textId="77777777" w:rsidR="00926E69" w:rsidRPr="005736BB" w:rsidRDefault="00926E69" w:rsidP="00570BF7">
            <w:pPr>
              <w:widowControl w:val="0"/>
              <w:spacing w:before="60" w:after="120" w:line="260" w:lineRule="exact"/>
              <w:rPr>
                <w:sz w:val="20"/>
                <w:szCs w:val="20"/>
              </w:rPr>
            </w:pPr>
            <w:r w:rsidRPr="005736BB">
              <w:rPr>
                <w:sz w:val="20"/>
                <w:szCs w:val="20"/>
              </w:rPr>
              <w:t>Bilateral</w:t>
            </w:r>
          </w:p>
        </w:tc>
        <w:tc>
          <w:tcPr>
            <w:tcW w:w="213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8592017" w14:textId="77777777" w:rsidR="00926E69" w:rsidRDefault="00926E69" w:rsidP="00570BF7">
            <w:pPr>
              <w:widowControl w:val="0"/>
              <w:spacing w:before="60" w:after="120" w:line="260" w:lineRule="exact"/>
              <w:jc w:val="center"/>
              <w:cnfStyle w:val="100000000000" w:firstRow="1" w:lastRow="0" w:firstColumn="0" w:lastColumn="0" w:oddVBand="0" w:evenVBand="0" w:oddHBand="0" w:evenHBand="0" w:firstRowFirstColumn="0" w:firstRowLastColumn="0" w:lastRowFirstColumn="0" w:lastRowLastColumn="0"/>
            </w:pPr>
            <w:r>
              <w:t>103.1</w:t>
            </w:r>
          </w:p>
        </w:tc>
      </w:tr>
      <w:tr w:rsidR="00926E69" w14:paraId="31F519FF" w14:textId="77777777" w:rsidTr="00BD441A">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2417"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45F62AEE" w14:textId="77777777" w:rsidR="00926E69" w:rsidRPr="005736BB" w:rsidRDefault="00926E69" w:rsidP="00570BF7">
            <w:pPr>
              <w:widowControl w:val="0"/>
              <w:spacing w:before="60" w:after="120" w:line="260" w:lineRule="exact"/>
              <w:rPr>
                <w:sz w:val="20"/>
                <w:szCs w:val="20"/>
              </w:rPr>
            </w:pPr>
            <w:r w:rsidRPr="005736BB">
              <w:rPr>
                <w:sz w:val="20"/>
                <w:szCs w:val="20"/>
              </w:rPr>
              <w:t>Regional</w:t>
            </w:r>
          </w:p>
        </w:tc>
        <w:tc>
          <w:tcPr>
            <w:tcW w:w="2139"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0FD9CF5F" w14:textId="77777777" w:rsidR="00926E69" w:rsidRDefault="00926E69" w:rsidP="00570BF7">
            <w:pPr>
              <w:widowControl w:val="0"/>
              <w:spacing w:before="60" w:after="120" w:line="260" w:lineRule="exact"/>
              <w:jc w:val="center"/>
              <w:cnfStyle w:val="100000000000" w:firstRow="1" w:lastRow="0" w:firstColumn="0" w:lastColumn="0" w:oddVBand="0" w:evenVBand="0" w:oddHBand="0" w:evenHBand="0" w:firstRowFirstColumn="0" w:firstRowLastColumn="0" w:lastRowFirstColumn="0" w:lastRowLastColumn="0"/>
            </w:pPr>
            <w:r>
              <w:t xml:space="preserve"> 26.4</w:t>
            </w:r>
          </w:p>
        </w:tc>
      </w:tr>
      <w:tr w:rsidR="00926E69" w14:paraId="7A0DFA35" w14:textId="77777777" w:rsidTr="00BD441A">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24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2F3251A" w14:textId="77777777" w:rsidR="00926E69" w:rsidRPr="005736BB" w:rsidRDefault="00926E69" w:rsidP="00570BF7">
            <w:pPr>
              <w:widowControl w:val="0"/>
              <w:spacing w:before="60" w:after="120" w:line="260" w:lineRule="exact"/>
              <w:rPr>
                <w:sz w:val="20"/>
                <w:szCs w:val="20"/>
              </w:rPr>
            </w:pPr>
            <w:r w:rsidRPr="005736BB">
              <w:rPr>
                <w:sz w:val="20"/>
                <w:szCs w:val="20"/>
              </w:rPr>
              <w:t>Global</w:t>
            </w:r>
          </w:p>
        </w:tc>
        <w:tc>
          <w:tcPr>
            <w:tcW w:w="213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4E32BA3" w14:textId="77777777" w:rsidR="00926E69" w:rsidRDefault="00926E69" w:rsidP="00570BF7">
            <w:pPr>
              <w:widowControl w:val="0"/>
              <w:spacing w:before="60" w:after="120" w:line="260" w:lineRule="exact"/>
              <w:jc w:val="center"/>
              <w:cnfStyle w:val="100000000000" w:firstRow="1" w:lastRow="0" w:firstColumn="0" w:lastColumn="0" w:oddVBand="0" w:evenVBand="0" w:oddHBand="0" w:evenHBand="0" w:firstRowFirstColumn="0" w:firstRowLastColumn="0" w:lastRowFirstColumn="0" w:lastRowLastColumn="0"/>
            </w:pPr>
            <w:r>
              <w:t xml:space="preserve">  8.3</w:t>
            </w:r>
          </w:p>
        </w:tc>
      </w:tr>
      <w:tr w:rsidR="00926E69" w14:paraId="50EAD04A" w14:textId="77777777" w:rsidTr="00BD441A">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2417"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0544B5F9" w14:textId="77777777" w:rsidR="00926E69" w:rsidRPr="005736BB" w:rsidRDefault="00926E69" w:rsidP="00570BF7">
            <w:pPr>
              <w:widowControl w:val="0"/>
              <w:spacing w:before="60" w:after="120" w:line="260" w:lineRule="exact"/>
              <w:rPr>
                <w:sz w:val="20"/>
                <w:szCs w:val="20"/>
              </w:rPr>
            </w:pPr>
            <w:r w:rsidRPr="005736BB">
              <w:rPr>
                <w:sz w:val="20"/>
                <w:szCs w:val="20"/>
              </w:rPr>
              <w:t>Other Govt. Departments</w:t>
            </w:r>
          </w:p>
        </w:tc>
        <w:tc>
          <w:tcPr>
            <w:tcW w:w="2139"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3805C888" w14:textId="77777777" w:rsidR="00926E69" w:rsidRDefault="00926E69" w:rsidP="00570BF7">
            <w:pPr>
              <w:widowControl w:val="0"/>
              <w:spacing w:before="60" w:after="120" w:line="260" w:lineRule="exact"/>
              <w:jc w:val="center"/>
              <w:cnfStyle w:val="100000000000" w:firstRow="1" w:lastRow="0" w:firstColumn="0" w:lastColumn="0" w:oddVBand="0" w:evenVBand="0" w:oddHBand="0" w:evenHBand="0" w:firstRowFirstColumn="0" w:firstRowLastColumn="0" w:lastRowFirstColumn="0" w:lastRowLastColumn="0"/>
            </w:pPr>
            <w:r>
              <w:t xml:space="preserve"> 18.6</w:t>
            </w:r>
          </w:p>
        </w:tc>
      </w:tr>
      <w:tr w:rsidR="00926E69" w14:paraId="6ACEA087" w14:textId="77777777" w:rsidTr="00BD441A">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24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B457A47" w14:textId="77777777" w:rsidR="00926E69" w:rsidRPr="005736BB" w:rsidRDefault="00926E69" w:rsidP="00570BF7">
            <w:pPr>
              <w:widowControl w:val="0"/>
              <w:spacing w:before="60" w:after="120" w:line="260" w:lineRule="exact"/>
              <w:rPr>
                <w:sz w:val="20"/>
                <w:szCs w:val="20"/>
              </w:rPr>
            </w:pPr>
            <w:r w:rsidRPr="005736BB">
              <w:rPr>
                <w:sz w:val="20"/>
                <w:szCs w:val="20"/>
              </w:rPr>
              <w:t>Total ODA</w:t>
            </w:r>
          </w:p>
        </w:tc>
        <w:tc>
          <w:tcPr>
            <w:tcW w:w="213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370D601" w14:textId="77777777" w:rsidR="00926E69" w:rsidRDefault="00926E69" w:rsidP="00570BF7">
            <w:pPr>
              <w:widowControl w:val="0"/>
              <w:spacing w:before="60" w:after="120" w:line="260" w:lineRule="exact"/>
              <w:jc w:val="center"/>
              <w:cnfStyle w:val="100000000000" w:firstRow="1" w:lastRow="0" w:firstColumn="0" w:lastColumn="0" w:oddVBand="0" w:evenVBand="0" w:oddHBand="0" w:evenHBand="0" w:firstRowFirstColumn="0" w:firstRowLastColumn="0" w:lastRowFirstColumn="0" w:lastRowLastColumn="0"/>
            </w:pPr>
            <w:r>
              <w:t>156.4</w:t>
            </w:r>
          </w:p>
        </w:tc>
      </w:tr>
    </w:tbl>
    <w:p w14:paraId="3B039B44" w14:textId="26CFA193" w:rsidR="00926E69" w:rsidRDefault="001A14A9" w:rsidP="00CA49DA">
      <w:pPr>
        <w:widowControl w:val="0"/>
        <w:spacing w:before="0" w:after="0" w:line="240" w:lineRule="auto"/>
        <w:rPr>
          <w:i/>
          <w:iCs/>
          <w:sz w:val="18"/>
          <w:szCs w:val="18"/>
        </w:rPr>
      </w:pPr>
      <w:r>
        <w:rPr>
          <w:noProof/>
        </w:rPr>
        <w:drawing>
          <wp:inline distT="0" distB="0" distL="0" distR="0" wp14:anchorId="56B83DA0" wp14:editId="65EA4CFB">
            <wp:extent cx="3609975" cy="2447925"/>
            <wp:effectExtent l="0" t="0" r="9525" b="9525"/>
            <wp:docPr id="6" name="Picture 6" descr="The Solomon Islands Development Program by Sector Group 2021-22 Budget Estimate&#10;Economic Infrastructure and Services 18%&#10;Agriculture, Trade and other Production Sectors 5%&#10;Governance 28%&#10;Education 18%&#10;Health 15%&#10;Humanitarian 1%&#10;Multisector and General Development Support 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Solomon Islands Development Program by Sector Group 2021-22 Budget Estimate&#10;Economic Infrastructure and Services 18%&#10;Agriculture, Trade and other Production Sectors 5%&#10;Governance 28%&#10;Education 18%&#10;Health 15%&#10;Humanitarian 1%&#10;Multisector and General Development Support 15%&#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9975" cy="2447925"/>
                    </a:xfrm>
                    <a:prstGeom prst="rect">
                      <a:avLst/>
                    </a:prstGeom>
                    <a:noFill/>
                    <a:ln>
                      <a:noFill/>
                    </a:ln>
                  </pic:spPr>
                </pic:pic>
              </a:graphicData>
            </a:graphic>
          </wp:inline>
        </w:drawing>
      </w:r>
    </w:p>
    <w:p w14:paraId="3EDC8A44" w14:textId="1B58DC2E" w:rsidR="007B53F9" w:rsidRDefault="00CA5021" w:rsidP="007C104D">
      <w:pPr>
        <w:widowControl w:val="0"/>
        <w:spacing w:before="0" w:after="0" w:line="240" w:lineRule="auto"/>
        <w:rPr>
          <w:i/>
          <w:iCs/>
          <w:sz w:val="18"/>
          <w:szCs w:val="18"/>
        </w:rPr>
      </w:pPr>
      <w:r w:rsidRPr="005D69AA">
        <w:rPr>
          <w:i/>
          <w:iCs/>
          <w:sz w:val="18"/>
          <w:szCs w:val="18"/>
        </w:rPr>
        <w:t xml:space="preserve">*Actual expenditure is expected to be available in </w:t>
      </w:r>
      <w:r w:rsidR="00A17461" w:rsidRPr="005D69AA">
        <w:rPr>
          <w:i/>
          <w:iCs/>
          <w:sz w:val="18"/>
          <w:szCs w:val="18"/>
        </w:rPr>
        <w:t>early 2023</w:t>
      </w:r>
      <w:r w:rsidR="000B40E9" w:rsidRPr="005D69AA">
        <w:rPr>
          <w:i/>
          <w:iCs/>
          <w:sz w:val="18"/>
          <w:szCs w:val="18"/>
        </w:rPr>
        <w:t>.</w:t>
      </w:r>
      <w:r w:rsidR="000E13C0">
        <w:rPr>
          <w:i/>
          <w:iCs/>
          <w:sz w:val="18"/>
          <w:szCs w:val="18"/>
        </w:rPr>
        <w:t xml:space="preserve"> </w:t>
      </w:r>
      <w:r w:rsidR="007C104D">
        <w:rPr>
          <w:i/>
          <w:iCs/>
          <w:sz w:val="18"/>
          <w:szCs w:val="18"/>
        </w:rPr>
        <w:t>Due to rounding, totals may not match the sum of components.</w:t>
      </w:r>
    </w:p>
    <w:p w14:paraId="3A7B2D58" w14:textId="353A5D01" w:rsidR="00574EBC" w:rsidRPr="00CB5512" w:rsidRDefault="00574EBC" w:rsidP="00574EBC">
      <w:pPr>
        <w:spacing w:before="0" w:after="0" w:line="240" w:lineRule="auto"/>
        <w:rPr>
          <w:b/>
          <w:bCs/>
          <w:i/>
          <w:iCs/>
          <w:sz w:val="20"/>
          <w:szCs w:val="20"/>
        </w:rPr>
      </w:pPr>
      <w:r w:rsidRPr="00CB5512">
        <w:rPr>
          <w:b/>
          <w:bCs/>
          <w:i/>
          <w:iCs/>
          <w:sz w:val="20"/>
          <w:szCs w:val="20"/>
        </w:rPr>
        <w:t xml:space="preserve">Our development program to </w:t>
      </w:r>
      <w:r w:rsidR="006B58F2">
        <w:rPr>
          <w:b/>
          <w:bCs/>
          <w:i/>
          <w:iCs/>
          <w:sz w:val="20"/>
          <w:szCs w:val="20"/>
        </w:rPr>
        <w:t>the Solomon Islands</w:t>
      </w:r>
      <w:r w:rsidRPr="00CB5512">
        <w:rPr>
          <w:b/>
          <w:bCs/>
          <w:i/>
          <w:iCs/>
          <w:sz w:val="20"/>
          <w:szCs w:val="20"/>
        </w:rPr>
        <w:t xml:space="preserve"> contributes towards achieving the following Sustainable Development Goals:</w:t>
      </w:r>
    </w:p>
    <w:p w14:paraId="2CD68462" w14:textId="58D10407" w:rsidR="00575480" w:rsidRDefault="00F82918" w:rsidP="00D7718E">
      <w:pPr>
        <w:spacing w:before="100"/>
      </w:pPr>
      <w:r w:rsidRPr="00F82918">
        <w:rPr>
          <w:noProof/>
        </w:rPr>
        <w:drawing>
          <wp:inline distT="0" distB="0" distL="0" distR="0" wp14:anchorId="2962230F" wp14:editId="6046E69B">
            <wp:extent cx="6696075" cy="571500"/>
            <wp:effectExtent l="0" t="0" r="0" b="0"/>
            <wp:docPr id="2" name="Picture 2" descr="Sustainable Development Goal 1- No Poverty&#10;Sustainable Development Goal 3-Good Health and Well-being&#10;Sustainable Development Goal 4-Quality Education&#10;Sustainable Development Goal 5-Gender Equality&#10;Sustainable Development Goal 8- Decent Work and Economic Growth&#10;Sustainable Development Goal 9- Industry, Innovation and Infrastructure&#10;Sustainable Development Goal 10- Reduced Inequality&#10;Sustainable Development Goal 13- Climate Action&#10;Sustainable Development Goal 16- Peace and Justice Strong Institutions&#10;Sustainable Development Goal 17- Partnerships to achieve the Goal&#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stainable Development Goal 1- No Poverty&#10;Sustainable Development Goal 3-Good Health and Well-being&#10;Sustainable Development Goal 4-Quality Education&#10;Sustainable Development Goal 5-Gender Equality&#10;Sustainable Development Goal 8- Decent Work and Economic Growth&#10;Sustainable Development Goal 9- Industry, Innovation and Infrastructure&#10;Sustainable Development Goal 10- Reduced Inequality&#10;Sustainable Development Goal 13- Climate Action&#10;Sustainable Development Goal 16- Peace and Justice Strong Institutions&#10;Sustainable Development Goal 17- Partnerships to achieve the Goal&#10;&#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96075" cy="571500"/>
                    </a:xfrm>
                    <a:prstGeom prst="rect">
                      <a:avLst/>
                    </a:prstGeom>
                    <a:noFill/>
                    <a:ln>
                      <a:noFill/>
                    </a:ln>
                  </pic:spPr>
                </pic:pic>
              </a:graphicData>
            </a:graphic>
          </wp:inline>
        </w:drawing>
      </w:r>
      <w:r w:rsidR="003806FE">
        <w:t xml:space="preserve">The </w:t>
      </w:r>
      <w:r w:rsidR="003806FE" w:rsidRPr="006501DC">
        <w:t>202</w:t>
      </w:r>
      <w:r w:rsidR="00ED6E38" w:rsidRPr="007F0191">
        <w:t>1</w:t>
      </w:r>
      <w:r w:rsidR="003806FE" w:rsidRPr="007F0191">
        <w:t>-2</w:t>
      </w:r>
      <w:r w:rsidR="00ED6E38" w:rsidRPr="007F0191">
        <w:t>2</w:t>
      </w:r>
      <w:r w:rsidR="003806FE" w:rsidRPr="007F0191">
        <w:t xml:space="preserve"> </w:t>
      </w:r>
      <w:r w:rsidR="00273ECB" w:rsidRPr="007F0191">
        <w:t>Solomon Islands</w:t>
      </w:r>
      <w:r w:rsidR="003806FE" w:rsidRPr="007F0191">
        <w:t xml:space="preserve"> Development Program Progress Report summarises </w:t>
      </w:r>
      <w:r w:rsidR="003B7F51">
        <w:t xml:space="preserve">the </w:t>
      </w:r>
      <w:r w:rsidR="00404443" w:rsidRPr="007F0191">
        <w:t>progress with implementation of the Australia</w:t>
      </w:r>
      <w:r w:rsidR="00404443">
        <w:t xml:space="preserve"> – </w:t>
      </w:r>
      <w:r w:rsidR="00EB6431">
        <w:t>Solomon Islands</w:t>
      </w:r>
      <w:r w:rsidR="00404443">
        <w:t xml:space="preserve"> COVID-19 </w:t>
      </w:r>
      <w:r w:rsidR="00B66D3E">
        <w:t xml:space="preserve">Development </w:t>
      </w:r>
      <w:r w:rsidR="00404443">
        <w:t xml:space="preserve">Response Plan and </w:t>
      </w:r>
      <w:r w:rsidR="003806FE">
        <w:t>highlights</w:t>
      </w:r>
      <w:r w:rsidR="00E50DDA">
        <w:t xml:space="preserve"> program </w:t>
      </w:r>
      <w:r w:rsidR="00032990">
        <w:t>results</w:t>
      </w:r>
      <w:r w:rsidR="00404443">
        <w:t>.</w:t>
      </w:r>
      <w:r w:rsidR="000D003A">
        <w:t xml:space="preserve"> </w:t>
      </w:r>
    </w:p>
    <w:p w14:paraId="6CA4D88D" w14:textId="62A35F80" w:rsidR="00575480" w:rsidRDefault="00C84C30" w:rsidP="00D7718E">
      <w:pPr>
        <w:pStyle w:val="Heading2"/>
        <w:spacing w:before="100" w:after="60" w:line="260" w:lineRule="auto"/>
        <w:contextualSpacing w:val="0"/>
      </w:pPr>
      <w:r w:rsidRPr="00364612">
        <w:t xml:space="preserve">CONTEXT </w:t>
      </w:r>
    </w:p>
    <w:p w14:paraId="7B70664D" w14:textId="1C6BD3E6" w:rsidR="00563963" w:rsidRDefault="00563963" w:rsidP="00D7718E">
      <w:pPr>
        <w:spacing w:before="100" w:line="260" w:lineRule="auto"/>
        <w:jc w:val="both"/>
        <w:rPr>
          <w:color w:val="auto"/>
          <w:lang w:val="en-AU"/>
        </w:rPr>
      </w:pPr>
      <w:r>
        <w:t xml:space="preserve">Australia and Solomon Islands are strong development, </w:t>
      </w:r>
      <w:r w:rsidR="003B7F51">
        <w:t>economic</w:t>
      </w:r>
      <w:r w:rsidR="00D61972">
        <w:t>,</w:t>
      </w:r>
      <w:r>
        <w:t xml:space="preserve"> and </w:t>
      </w:r>
      <w:r w:rsidR="003B7F51">
        <w:t>security</w:t>
      </w:r>
      <w:r>
        <w:t xml:space="preserve"> partners. Our partnership is aligned with Solomon Islands’ </w:t>
      </w:r>
      <w:r w:rsidRPr="00882200">
        <w:rPr>
          <w:i/>
          <w:iCs/>
        </w:rPr>
        <w:t>National Development Strategy</w:t>
      </w:r>
      <w:r>
        <w:t xml:space="preserve"> (2016-2035). As Solomon Islands’ largest bilateral donor, we pivoted to respond to the </w:t>
      </w:r>
      <w:r w:rsidRPr="00882200">
        <w:rPr>
          <w:b/>
          <w:bCs/>
        </w:rPr>
        <w:t>dual impacts of COVID-19 and the November 2021 civil unrest in Honiara</w:t>
      </w:r>
      <w:r>
        <w:t xml:space="preserve">. </w:t>
      </w:r>
      <w:r w:rsidR="00C43C04">
        <w:t xml:space="preserve">Solomon Islands’ COVID-19 State of Public Emergency was in place from March 2020 to 27 May 2022, with borders closed </w:t>
      </w:r>
      <w:r w:rsidR="00CE208C">
        <w:t>until July 2022.</w:t>
      </w:r>
      <w:r w:rsidR="00C43C04">
        <w:t> </w:t>
      </w:r>
    </w:p>
    <w:p w14:paraId="22118452" w14:textId="1866F205" w:rsidR="00563963" w:rsidRPr="00882200" w:rsidRDefault="00563963" w:rsidP="00D7718E">
      <w:pPr>
        <w:spacing w:before="100" w:line="260" w:lineRule="auto"/>
        <w:jc w:val="both"/>
        <w:rPr>
          <w:b/>
          <w:bCs/>
        </w:rPr>
      </w:pPr>
      <w:r>
        <w:t>Solomon Islands</w:t>
      </w:r>
      <w:r w:rsidR="003B7F51">
        <w:t xml:space="preserve">’ </w:t>
      </w:r>
      <w:r>
        <w:t xml:space="preserve">first </w:t>
      </w:r>
      <w:r w:rsidR="00C321D5">
        <w:t xml:space="preserve">COVID-19 </w:t>
      </w:r>
      <w:r>
        <w:t xml:space="preserve">outbreak </w:t>
      </w:r>
      <w:r w:rsidR="00FD65F3">
        <w:t>occurred</w:t>
      </w:r>
      <w:r w:rsidR="00A846D7">
        <w:t xml:space="preserve"> </w:t>
      </w:r>
      <w:r>
        <w:t xml:space="preserve">in January 2022. </w:t>
      </w:r>
      <w:r w:rsidR="008D4670">
        <w:t>After</w:t>
      </w:r>
      <w:r>
        <w:t xml:space="preserve"> an initial surge, 34.8 per cent of the over </w:t>
      </w:r>
      <w:r w:rsidR="006D6A94">
        <w:br/>
      </w:r>
      <w:r>
        <w:t xml:space="preserve">12-year-old population </w:t>
      </w:r>
      <w:r w:rsidR="00294EDD">
        <w:t xml:space="preserve">was </w:t>
      </w:r>
      <w:r>
        <w:t xml:space="preserve">fully vaccinated by </w:t>
      </w:r>
      <w:r w:rsidR="003B7F51">
        <w:t xml:space="preserve">30 </w:t>
      </w:r>
      <w:r w:rsidR="00E23C35">
        <w:t>June </w:t>
      </w:r>
      <w:r>
        <w:t>2022</w:t>
      </w:r>
      <w:r w:rsidR="001E22BB">
        <w:t xml:space="preserve"> (World Health Organisation)</w:t>
      </w:r>
      <w:r>
        <w:t>. Solomon Islands reported 21,4</w:t>
      </w:r>
      <w:r w:rsidR="0085743D">
        <w:t>2</w:t>
      </w:r>
      <w:r>
        <w:t>0 COVID-19 cases (21,4</w:t>
      </w:r>
      <w:r w:rsidR="0085743D">
        <w:t>4</w:t>
      </w:r>
      <w:r>
        <w:t xml:space="preserve">0 cases in </w:t>
      </w:r>
      <w:r w:rsidR="0085743D">
        <w:t>total since 2020</w:t>
      </w:r>
      <w:r>
        <w:t>) and 193 COVID-19 related deaths as of 30 June 2022</w:t>
      </w:r>
      <w:r w:rsidR="004A2B84">
        <w:t xml:space="preserve"> </w:t>
      </w:r>
      <w:r w:rsidR="000E33C9">
        <w:t>(</w:t>
      </w:r>
      <w:r w:rsidR="00FD65F3">
        <w:t>likely underreported</w:t>
      </w:r>
      <w:r w:rsidR="000E33C9">
        <w:t>)</w:t>
      </w:r>
      <w:r w:rsidR="00C321D5">
        <w:t>.</w:t>
      </w:r>
      <w:r w:rsidR="00C43C04">
        <w:t xml:space="preserve"> </w:t>
      </w:r>
      <w:r>
        <w:t xml:space="preserve">COVID-19 </w:t>
      </w:r>
      <w:r w:rsidR="008D005A">
        <w:t xml:space="preserve">impacted </w:t>
      </w:r>
      <w:r>
        <w:t xml:space="preserve">the delivery of other health services. The Ministry of Health and Medical Services (MHMS) reported </w:t>
      </w:r>
      <w:r w:rsidRPr="00882200">
        <w:rPr>
          <w:b/>
          <w:bCs/>
        </w:rPr>
        <w:t>deteriorating health indicators</w:t>
      </w:r>
      <w:r w:rsidR="00C43C04">
        <w:t>,</w:t>
      </w:r>
      <w:r w:rsidR="003B7F51">
        <w:t xml:space="preserve"> </w:t>
      </w:r>
      <w:r>
        <w:t>including an increase in maternal and infant deaths, increased prevalence in malaria and tuberculosis, a fall in</w:t>
      </w:r>
      <w:r w:rsidR="0054528D">
        <w:t xml:space="preserve"> </w:t>
      </w:r>
      <w:r w:rsidR="003B7F51">
        <w:t xml:space="preserve">the </w:t>
      </w:r>
      <w:r w:rsidR="0054528D">
        <w:t>number of</w:t>
      </w:r>
      <w:r>
        <w:t xml:space="preserve"> children immunised against measles and the re-emergence of whooping </w:t>
      </w:r>
      <w:r w:rsidRPr="007740BE">
        <w:t xml:space="preserve">cough. Solomon Islands is </w:t>
      </w:r>
      <w:r w:rsidR="007B29A2">
        <w:t xml:space="preserve">also </w:t>
      </w:r>
      <w:r w:rsidRPr="007740BE">
        <w:t xml:space="preserve">highly </w:t>
      </w:r>
      <w:r w:rsidR="007740BE" w:rsidRPr="007740BE">
        <w:t>vulnerable</w:t>
      </w:r>
      <w:r w:rsidRPr="007740BE">
        <w:t xml:space="preserve"> to disasters and climate change and is ranked </w:t>
      </w:r>
      <w:r w:rsidRPr="00882200">
        <w:rPr>
          <w:b/>
          <w:bCs/>
        </w:rPr>
        <w:t xml:space="preserve">fifth in the world on the 2020 World Risk Index </w:t>
      </w:r>
      <w:r w:rsidR="00FD65F3" w:rsidRPr="00882200">
        <w:rPr>
          <w:b/>
          <w:bCs/>
        </w:rPr>
        <w:t>for hazards and vulnerability</w:t>
      </w:r>
      <w:r w:rsidR="000A082C" w:rsidRPr="00882200">
        <w:rPr>
          <w:b/>
          <w:bCs/>
        </w:rPr>
        <w:t>.</w:t>
      </w:r>
      <w:r w:rsidRPr="00882200">
        <w:rPr>
          <w:b/>
          <w:bCs/>
        </w:rPr>
        <w:t xml:space="preserve"> </w:t>
      </w:r>
    </w:p>
    <w:p w14:paraId="150E0A72" w14:textId="7572AAC5" w:rsidR="00563963" w:rsidRDefault="00563963" w:rsidP="00D7718E">
      <w:pPr>
        <w:spacing w:before="100" w:line="260" w:lineRule="auto"/>
        <w:jc w:val="both"/>
      </w:pPr>
      <w:bookmarkStart w:id="0" w:name="_Hlk115081987"/>
      <w:r>
        <w:t xml:space="preserve">In 2021-22, the </w:t>
      </w:r>
      <w:r w:rsidRPr="00882200">
        <w:rPr>
          <w:b/>
          <w:bCs/>
        </w:rPr>
        <w:t>economy contracted by</w:t>
      </w:r>
      <w:r w:rsidR="00B84759" w:rsidRPr="00882200">
        <w:rPr>
          <w:b/>
          <w:bCs/>
        </w:rPr>
        <w:t xml:space="preserve"> four</w:t>
      </w:r>
      <w:r w:rsidRPr="00882200">
        <w:rPr>
          <w:b/>
          <w:bCs/>
        </w:rPr>
        <w:t xml:space="preserve"> per cent</w:t>
      </w:r>
      <w:r w:rsidR="00981DE0" w:rsidRPr="00882200">
        <w:rPr>
          <w:b/>
          <w:bCs/>
        </w:rPr>
        <w:t>,</w:t>
      </w:r>
      <w:r>
        <w:t xml:space="preserve"> </w:t>
      </w:r>
      <w:r w:rsidR="00EC5B6D">
        <w:t xml:space="preserve">with </w:t>
      </w:r>
      <w:r>
        <w:t>gross government debt as a percentage of GDP increasing to 22.5</w:t>
      </w:r>
      <w:r w:rsidR="005D2AC9">
        <w:t> </w:t>
      </w:r>
      <w:r>
        <w:t>per cent</w:t>
      </w:r>
      <w:r w:rsidR="00CC7234">
        <w:t xml:space="preserve"> (IMF)</w:t>
      </w:r>
      <w:r>
        <w:t xml:space="preserve"> and </w:t>
      </w:r>
      <w:r w:rsidR="00EC5B6D">
        <w:t xml:space="preserve">the </w:t>
      </w:r>
      <w:r>
        <w:t xml:space="preserve">volume of exports decreasing by </w:t>
      </w:r>
      <w:r w:rsidR="003B7620">
        <w:t>three</w:t>
      </w:r>
      <w:r>
        <w:t xml:space="preserve"> per cent year on year. </w:t>
      </w:r>
      <w:bookmarkStart w:id="1" w:name="_Hlk120092947"/>
      <w:r>
        <w:t xml:space="preserve">The </w:t>
      </w:r>
      <w:r w:rsidRPr="006D6A94">
        <w:t xml:space="preserve">cost of living increased, </w:t>
      </w:r>
      <w:r w:rsidR="00DF5E57">
        <w:t>incomes</w:t>
      </w:r>
      <w:r w:rsidR="00DF5E57" w:rsidRPr="006D6A94">
        <w:t xml:space="preserve"> </w:t>
      </w:r>
      <w:r w:rsidRPr="006D6A94">
        <w:t xml:space="preserve">decreased, education </w:t>
      </w:r>
      <w:r w:rsidR="008D4670" w:rsidRPr="00B72D7F">
        <w:t xml:space="preserve">was interrupted </w:t>
      </w:r>
      <w:r w:rsidRPr="00B72D7F">
        <w:t xml:space="preserve">with schools closed from January to June 2022 and </w:t>
      </w:r>
      <w:r w:rsidR="008D4670" w:rsidRPr="00B72D7F">
        <w:t xml:space="preserve">reported </w:t>
      </w:r>
      <w:r w:rsidRPr="00B72D7F">
        <w:t>rates of violence against women increased</w:t>
      </w:r>
      <w:r>
        <w:t>.</w:t>
      </w:r>
      <w:r w:rsidR="006D6A94">
        <w:t xml:space="preserve"> </w:t>
      </w:r>
      <w:bookmarkEnd w:id="1"/>
      <w:r>
        <w:t xml:space="preserve">International and domestic border closures were a barrier to development assistance and </w:t>
      </w:r>
      <w:r w:rsidR="004C73BD" w:rsidRPr="00CF5F93">
        <w:t>Solomon Islands Government (SIG)</w:t>
      </w:r>
      <w:r w:rsidR="004C73BD">
        <w:t xml:space="preserve"> </w:t>
      </w:r>
      <w:r>
        <w:t>service delivery. In this challenging context, most Australian investments made satisfactory progress, with only one investment not fully meeting expected outcomes.</w:t>
      </w:r>
    </w:p>
    <w:bookmarkEnd w:id="0"/>
    <w:p w14:paraId="5E783BEF" w14:textId="6CAE8065" w:rsidR="0060726F" w:rsidRDefault="00FC1216" w:rsidP="00D7718E">
      <w:pPr>
        <w:pStyle w:val="Heading2"/>
        <w:spacing w:before="100" w:after="60" w:line="260" w:lineRule="auto"/>
        <w:contextualSpacing w:val="0"/>
      </w:pPr>
      <w:r w:rsidRPr="00FC1216">
        <w:lastRenderedPageBreak/>
        <w:t>AUSTRALIA’S RESPONS</w:t>
      </w:r>
      <w:r w:rsidR="00193C49">
        <w:t xml:space="preserve">E </w:t>
      </w:r>
      <w:r w:rsidR="00A46B28">
        <w:t>and</w:t>
      </w:r>
      <w:r w:rsidR="00193C49">
        <w:t xml:space="preserve"> PROGRAM HIGHLIGHTS</w:t>
      </w:r>
    </w:p>
    <w:p w14:paraId="79BE876C" w14:textId="68208608" w:rsidR="00297FD1" w:rsidRPr="006D6A94" w:rsidRDefault="00297FD1" w:rsidP="00D7718E">
      <w:pPr>
        <w:pStyle w:val="Heading3"/>
        <w:spacing w:before="100" w:after="60" w:line="260" w:lineRule="auto"/>
      </w:pPr>
      <w:r w:rsidRPr="006D6A94">
        <w:t>Health Security</w:t>
      </w:r>
    </w:p>
    <w:p w14:paraId="72DC75F8" w14:textId="1D186B65" w:rsidR="00FC43D4" w:rsidRDefault="00644437" w:rsidP="00D7718E">
      <w:pPr>
        <w:spacing w:before="100" w:line="260" w:lineRule="auto"/>
        <w:jc w:val="both"/>
      </w:pPr>
      <w:r>
        <w:t>As</w:t>
      </w:r>
      <w:r w:rsidR="00203B83">
        <w:t xml:space="preserve"> Solomon Islands</w:t>
      </w:r>
      <w:r w:rsidR="00316EEB">
        <w:t>’</w:t>
      </w:r>
      <w:r w:rsidR="00203B83">
        <w:t xml:space="preserve"> largest bilateral health partne</w:t>
      </w:r>
      <w:r w:rsidR="009E3C23">
        <w:t>r</w:t>
      </w:r>
      <w:r w:rsidR="00107BC1">
        <w:t>,</w:t>
      </w:r>
      <w:r w:rsidR="005D7A42">
        <w:t xml:space="preserve"> Australia’s </w:t>
      </w:r>
      <w:r w:rsidR="000D5E38" w:rsidRPr="00CF5F93">
        <w:t>preparation</w:t>
      </w:r>
      <w:r w:rsidR="00706F8A">
        <w:t>,</w:t>
      </w:r>
      <w:r w:rsidR="000D5E38" w:rsidRPr="00CF5F93">
        <w:t xml:space="preserve"> scale</w:t>
      </w:r>
      <w:r w:rsidR="00EC5B6D">
        <w:t>-</w:t>
      </w:r>
      <w:r w:rsidR="000D5E38" w:rsidRPr="00CF5F93">
        <w:t>up</w:t>
      </w:r>
      <w:r w:rsidR="00706F8A">
        <w:t xml:space="preserve"> and redirection of health program</w:t>
      </w:r>
      <w:r w:rsidR="005D7A42">
        <w:t>ming</w:t>
      </w:r>
      <w:r w:rsidR="000D5E38" w:rsidRPr="00CF5F93">
        <w:t xml:space="preserve"> was instrumental in supporting SIG</w:t>
      </w:r>
      <w:r w:rsidR="00EF35DA">
        <w:t xml:space="preserve"> </w:t>
      </w:r>
      <w:r w:rsidR="003B7F51">
        <w:t xml:space="preserve">to </w:t>
      </w:r>
      <w:r w:rsidR="00EF35DA">
        <w:t>prepare for and</w:t>
      </w:r>
      <w:r w:rsidR="000D5E38" w:rsidRPr="00CF5F93">
        <w:t xml:space="preserve"> manage the first outbreak of COVID-19 in </w:t>
      </w:r>
      <w:r w:rsidR="00D57EDC">
        <w:br/>
      </w:r>
      <w:r w:rsidR="000D5E38" w:rsidRPr="00CF5F93">
        <w:t xml:space="preserve">January 2022. </w:t>
      </w:r>
      <w:r w:rsidR="005D7A42">
        <w:t>Australia</w:t>
      </w:r>
      <w:r w:rsidR="00D77A0C">
        <w:t xml:space="preserve"> provided</w:t>
      </w:r>
      <w:r w:rsidR="000D5E38" w:rsidRPr="00CF5F93">
        <w:t xml:space="preserve"> </w:t>
      </w:r>
      <w:r w:rsidR="000D5E38" w:rsidRPr="00C34DC3">
        <w:rPr>
          <w:b/>
          <w:bCs/>
        </w:rPr>
        <w:t>three new biomolecular laboratories to improve diagnostics</w:t>
      </w:r>
      <w:r w:rsidR="000D5E38" w:rsidRPr="00CF5F93">
        <w:t xml:space="preserve">, </w:t>
      </w:r>
      <w:r w:rsidR="00FE26F0">
        <w:t xml:space="preserve">completed </w:t>
      </w:r>
      <w:r w:rsidR="001C22A7">
        <w:t xml:space="preserve">stakeholder consultation and a design for </w:t>
      </w:r>
      <w:r w:rsidR="000D5E38" w:rsidRPr="00CF5F93">
        <w:t xml:space="preserve">the National Referral Hospital’s </w:t>
      </w:r>
      <w:r w:rsidR="009C16E5">
        <w:t xml:space="preserve">(NRH) </w:t>
      </w:r>
      <w:r w:rsidR="000D5E38" w:rsidRPr="00CF5F93">
        <w:t xml:space="preserve">acute care </w:t>
      </w:r>
      <w:r w:rsidR="00300435" w:rsidRPr="00CF5F93">
        <w:t>ward and</w:t>
      </w:r>
      <w:r w:rsidR="000D5E38" w:rsidRPr="00CF5F93">
        <w:t xml:space="preserve"> </w:t>
      </w:r>
      <w:r w:rsidR="00300435" w:rsidRPr="00C34DC3">
        <w:rPr>
          <w:b/>
          <w:bCs/>
        </w:rPr>
        <w:t xml:space="preserve">delivered </w:t>
      </w:r>
      <w:r w:rsidR="00BF6DCA" w:rsidRPr="00C34DC3">
        <w:rPr>
          <w:b/>
          <w:bCs/>
        </w:rPr>
        <w:t xml:space="preserve">four </w:t>
      </w:r>
      <w:r w:rsidR="000D5E38" w:rsidRPr="00C34DC3">
        <w:rPr>
          <w:b/>
          <w:bCs/>
        </w:rPr>
        <w:t>new isolation wards</w:t>
      </w:r>
      <w:r w:rsidR="000D5E38" w:rsidRPr="00CF5F93">
        <w:t xml:space="preserve">. Our partnerships with the </w:t>
      </w:r>
      <w:r w:rsidR="001E22BB">
        <w:t>World Health Organisation (</w:t>
      </w:r>
      <w:r w:rsidR="006059F0">
        <w:t>WHO</w:t>
      </w:r>
      <w:r w:rsidR="001E22BB">
        <w:t>)</w:t>
      </w:r>
      <w:r w:rsidR="000D5E38" w:rsidRPr="00CF5F93">
        <w:t xml:space="preserve"> </w:t>
      </w:r>
      <w:r w:rsidR="00F41436" w:rsidRPr="00CF5F93">
        <w:t>and the</w:t>
      </w:r>
      <w:r w:rsidR="000D5E38" w:rsidRPr="00CF5F93">
        <w:t xml:space="preserve"> </w:t>
      </w:r>
      <w:r w:rsidR="006D6A94">
        <w:t>UN</w:t>
      </w:r>
      <w:r w:rsidR="000D5E38" w:rsidRPr="00CF5F93">
        <w:t xml:space="preserve"> Children's Fund (UNICEF) support</w:t>
      </w:r>
      <w:r w:rsidR="00835B90">
        <w:t>ed</w:t>
      </w:r>
      <w:r w:rsidR="000D5E38" w:rsidRPr="00CF5F93">
        <w:t xml:space="preserve"> </w:t>
      </w:r>
      <w:r w:rsidR="00DD1B2C">
        <w:t>MHMS</w:t>
      </w:r>
      <w:r w:rsidR="00EA0DB2">
        <w:t xml:space="preserve"> and improved testing capability</w:t>
      </w:r>
      <w:r w:rsidR="00620749">
        <w:t xml:space="preserve"> through</w:t>
      </w:r>
      <w:r w:rsidR="000D5E38" w:rsidRPr="00CF5F93">
        <w:t xml:space="preserve"> procurement of </w:t>
      </w:r>
      <w:r w:rsidR="00867904">
        <w:t xml:space="preserve">three </w:t>
      </w:r>
      <w:r w:rsidR="000774CE">
        <w:t>PCR</w:t>
      </w:r>
      <w:r w:rsidR="006F5D97">
        <w:t xml:space="preserve"> </w:t>
      </w:r>
      <w:r w:rsidR="000D5E38" w:rsidRPr="00CF5F93">
        <w:t xml:space="preserve">machines and </w:t>
      </w:r>
      <w:r w:rsidR="00BF6DCA">
        <w:t xml:space="preserve">40,400 </w:t>
      </w:r>
      <w:r w:rsidR="000D5E38" w:rsidRPr="00CF5F93">
        <w:t xml:space="preserve">cartridges. </w:t>
      </w:r>
      <w:r w:rsidR="005F235A">
        <w:t>Australia provided</w:t>
      </w:r>
      <w:r w:rsidR="001B2513" w:rsidRPr="00CF5F93">
        <w:t xml:space="preserve"> </w:t>
      </w:r>
      <w:r w:rsidR="001B2513" w:rsidRPr="00C34DC3">
        <w:rPr>
          <w:b/>
          <w:bCs/>
        </w:rPr>
        <w:t xml:space="preserve">essential equipment and supplies including </w:t>
      </w:r>
      <w:r w:rsidR="00D3032E" w:rsidRPr="00C34DC3">
        <w:rPr>
          <w:b/>
          <w:bCs/>
        </w:rPr>
        <w:t>two new</w:t>
      </w:r>
      <w:r w:rsidR="001B2513" w:rsidRPr="00C34DC3">
        <w:rPr>
          <w:b/>
          <w:bCs/>
        </w:rPr>
        <w:t xml:space="preserve"> morgues, a new </w:t>
      </w:r>
      <w:r w:rsidR="00B6478F" w:rsidRPr="00C34DC3">
        <w:rPr>
          <w:b/>
          <w:bCs/>
        </w:rPr>
        <w:t>incinerator,</w:t>
      </w:r>
      <w:r w:rsidR="001B2513" w:rsidRPr="00C34DC3">
        <w:rPr>
          <w:b/>
          <w:bCs/>
        </w:rPr>
        <w:t xml:space="preserve"> and a cold room</w:t>
      </w:r>
      <w:r w:rsidR="001B2513" w:rsidRPr="00CF5F93">
        <w:t xml:space="preserve">. We undertook critical repairs to </w:t>
      </w:r>
      <w:r w:rsidR="00835B90">
        <w:t xml:space="preserve">hospital </w:t>
      </w:r>
      <w:r w:rsidR="001B2513" w:rsidRPr="00CF5F93">
        <w:t>back</w:t>
      </w:r>
      <w:r w:rsidR="00EC5B6D">
        <w:t>-</w:t>
      </w:r>
      <w:r w:rsidR="001B2513" w:rsidRPr="00CF5F93">
        <w:t>up generators and delivered</w:t>
      </w:r>
      <w:r w:rsidR="00D3032E">
        <w:t xml:space="preserve"> </w:t>
      </w:r>
      <w:r w:rsidR="00C24284" w:rsidRPr="00296D71">
        <w:t>112,000</w:t>
      </w:r>
      <w:r w:rsidR="00C24284" w:rsidRPr="005D3DE9">
        <w:rPr>
          <w:color w:val="auto"/>
          <w:sz w:val="20"/>
          <w:szCs w:val="20"/>
        </w:rPr>
        <w:t xml:space="preserve"> </w:t>
      </w:r>
      <w:r w:rsidR="00C24284">
        <w:t>R</w:t>
      </w:r>
      <w:r w:rsidR="001B2513" w:rsidRPr="00CF5F93">
        <w:t xml:space="preserve">apid Antigen Tests, </w:t>
      </w:r>
      <w:r w:rsidR="00862CEC">
        <w:t xml:space="preserve">526,657 units of </w:t>
      </w:r>
      <w:r w:rsidR="001B2513" w:rsidRPr="00CF5F93">
        <w:t xml:space="preserve">personal protective </w:t>
      </w:r>
      <w:r w:rsidR="0093285D" w:rsidRPr="00CF5F93">
        <w:t>equipment</w:t>
      </w:r>
      <w:r w:rsidR="001B2513" w:rsidRPr="00CF5F93">
        <w:t xml:space="preserve"> and </w:t>
      </w:r>
      <w:r w:rsidR="006D4F91">
        <w:t xml:space="preserve">300 </w:t>
      </w:r>
      <w:r w:rsidR="001B2513" w:rsidRPr="00CF5F93">
        <w:t xml:space="preserve">oxygen concentrators. Australia </w:t>
      </w:r>
      <w:r w:rsidR="00D3032E">
        <w:t>supplied essential medicines</w:t>
      </w:r>
      <w:r w:rsidR="00D3032E" w:rsidRPr="00CF5F93">
        <w:t xml:space="preserve"> and </w:t>
      </w:r>
      <w:r w:rsidR="00D3032E">
        <w:t xml:space="preserve">hospital </w:t>
      </w:r>
      <w:r w:rsidR="00D3032E" w:rsidRPr="00CF5F93">
        <w:t>supplies</w:t>
      </w:r>
      <w:r w:rsidR="00D3032E" w:rsidRPr="00CF5F93" w:rsidDel="00D3032E">
        <w:t xml:space="preserve"> </w:t>
      </w:r>
      <w:r w:rsidR="00D3032E">
        <w:t xml:space="preserve">in response to </w:t>
      </w:r>
      <w:r w:rsidR="001B2513" w:rsidRPr="00CF5F93">
        <w:t>three urgent requests f</w:t>
      </w:r>
      <w:r w:rsidR="00D3032E">
        <w:t xml:space="preserve">rom </w:t>
      </w:r>
      <w:r w:rsidR="00EC5B6D">
        <w:t xml:space="preserve">MHMS and </w:t>
      </w:r>
      <w:r w:rsidR="00D3032E">
        <w:t xml:space="preserve">the NRH, allowing the </w:t>
      </w:r>
      <w:r w:rsidR="00EC5B6D">
        <w:t xml:space="preserve">latter </w:t>
      </w:r>
      <w:r w:rsidR="00D3032E">
        <w:t>to continue critical care for patients</w:t>
      </w:r>
      <w:r w:rsidR="00391208">
        <w:t>.</w:t>
      </w:r>
    </w:p>
    <w:p w14:paraId="088D5C1D" w14:textId="4EF46466" w:rsidR="00FF4734" w:rsidRDefault="00542B82" w:rsidP="00D7718E">
      <w:pPr>
        <w:spacing w:before="100" w:line="260" w:lineRule="auto"/>
        <w:jc w:val="both"/>
      </w:pPr>
      <w:r w:rsidRPr="00CF5F93">
        <w:t>Australia</w:t>
      </w:r>
      <w:r w:rsidR="0073657B">
        <w:t xml:space="preserve"> </w:t>
      </w:r>
      <w:r w:rsidRPr="00CF5F93">
        <w:t>deliver</w:t>
      </w:r>
      <w:r w:rsidR="00D3032E">
        <w:t>ed</w:t>
      </w:r>
      <w:r w:rsidRPr="00CF5F93">
        <w:t xml:space="preserve"> on </w:t>
      </w:r>
      <w:r w:rsidR="0057416C">
        <w:t>our</w:t>
      </w:r>
      <w:r w:rsidRPr="00CF5F93">
        <w:t xml:space="preserve"> commitment to support Solomon Islands and other Pacific Island countries achieve </w:t>
      </w:r>
      <w:r w:rsidRPr="00C34DC3">
        <w:rPr>
          <w:b/>
          <w:bCs/>
        </w:rPr>
        <w:t>comprehensive vaccine coverage through our regional Vaccine Access and Health Security Initiative (VAHSI).</w:t>
      </w:r>
      <w:r w:rsidRPr="00CF5F93">
        <w:t xml:space="preserve"> By </w:t>
      </w:r>
      <w:r w:rsidR="009D1752">
        <w:br/>
      </w:r>
      <w:r w:rsidRPr="00CF5F93">
        <w:t xml:space="preserve">30 June 2022, Australia had </w:t>
      </w:r>
      <w:r w:rsidR="00EC5B6D">
        <w:t>provided</w:t>
      </w:r>
      <w:r w:rsidR="00EC5B6D" w:rsidRPr="00CF5F93">
        <w:t xml:space="preserve"> </w:t>
      </w:r>
      <w:r w:rsidRPr="00CF5F93">
        <w:t xml:space="preserve">360,800 AstraZeneca </w:t>
      </w:r>
      <w:r w:rsidR="00DF0058">
        <w:t xml:space="preserve">(AZ) </w:t>
      </w:r>
      <w:r w:rsidR="007B1DAA" w:rsidRPr="00CF5F93">
        <w:t>doses</w:t>
      </w:r>
      <w:r w:rsidR="007B1DAA">
        <w:t xml:space="preserve"> </w:t>
      </w:r>
      <w:r w:rsidRPr="00CF5F93">
        <w:t xml:space="preserve">manufactured by CSL (347,800 </w:t>
      </w:r>
      <w:r w:rsidR="001C0BC5">
        <w:t>doses provided</w:t>
      </w:r>
      <w:r w:rsidRPr="00CF5F93">
        <w:t xml:space="preserve"> </w:t>
      </w:r>
      <w:r w:rsidR="006E6B86">
        <w:t>in 2021-22</w:t>
      </w:r>
      <w:r w:rsidRPr="00CF5F93">
        <w:t xml:space="preserve">) </w:t>
      </w:r>
      <w:r w:rsidR="00F41024">
        <w:t>along with</w:t>
      </w:r>
      <w:r w:rsidR="00F41024" w:rsidRPr="00CF5F93">
        <w:t xml:space="preserve"> associated </w:t>
      </w:r>
      <w:r w:rsidR="00F41024">
        <w:t xml:space="preserve">vaccine </w:t>
      </w:r>
      <w:r w:rsidR="00F41024" w:rsidRPr="00CF5F93">
        <w:t xml:space="preserve">consumables. </w:t>
      </w:r>
      <w:r w:rsidR="00FC5343">
        <w:t xml:space="preserve">An </w:t>
      </w:r>
      <w:r w:rsidR="00F41024" w:rsidRPr="00CF5F93">
        <w:t>addition</w:t>
      </w:r>
      <w:r w:rsidR="00FC5343">
        <w:t>al</w:t>
      </w:r>
      <w:r w:rsidR="00F41024" w:rsidRPr="00CF5F93">
        <w:t xml:space="preserve"> 257,400 Pfizer doses </w:t>
      </w:r>
      <w:r w:rsidR="00FC5343">
        <w:t xml:space="preserve">were </w:t>
      </w:r>
      <w:r w:rsidR="00F41024" w:rsidRPr="00CF5F93">
        <w:t xml:space="preserve">delivered </w:t>
      </w:r>
      <w:r w:rsidR="00F41024">
        <w:t xml:space="preserve">through Australia’s regional procurement agreement </w:t>
      </w:r>
      <w:r w:rsidR="00F41024" w:rsidRPr="00CF5F93">
        <w:t>with UNICEF</w:t>
      </w:r>
      <w:r w:rsidR="00EC5B6D">
        <w:t xml:space="preserve">. </w:t>
      </w:r>
      <w:r w:rsidR="004D203F">
        <w:t xml:space="preserve">Australia’s </w:t>
      </w:r>
      <w:r w:rsidR="000D5E38" w:rsidRPr="00CF5F93">
        <w:t xml:space="preserve">response to the </w:t>
      </w:r>
      <w:r w:rsidR="003B7F51">
        <w:t>COVID-19</w:t>
      </w:r>
      <w:r w:rsidR="000D5E38" w:rsidRPr="00CF5F93">
        <w:t xml:space="preserve"> outbreak featured a range of complementary activities</w:t>
      </w:r>
      <w:r w:rsidR="00536CFA">
        <w:t>, including</w:t>
      </w:r>
      <w:r w:rsidR="00D54570">
        <w:t xml:space="preserve"> </w:t>
      </w:r>
      <w:r w:rsidR="00D54570" w:rsidRPr="00DD2677">
        <w:rPr>
          <w:b/>
          <w:bCs/>
        </w:rPr>
        <w:t>rapid deployment of an</w:t>
      </w:r>
      <w:r w:rsidR="000D5E38" w:rsidRPr="00DD2677">
        <w:rPr>
          <w:b/>
          <w:bCs/>
        </w:rPr>
        <w:t xml:space="preserve"> experienced Australian Medical Assistance Team (AUSMAT)</w:t>
      </w:r>
      <w:r w:rsidR="00EC5B6D">
        <w:rPr>
          <w:b/>
          <w:bCs/>
        </w:rPr>
        <w:t xml:space="preserve"> </w:t>
      </w:r>
      <w:r w:rsidR="00EC5B6D" w:rsidRPr="004D57D9">
        <w:t>in February 2022</w:t>
      </w:r>
      <w:r w:rsidR="00D54570" w:rsidRPr="00DD2677">
        <w:rPr>
          <w:b/>
          <w:bCs/>
        </w:rPr>
        <w:t>.</w:t>
      </w:r>
      <w:r w:rsidR="00D54570">
        <w:t xml:space="preserve"> AUSMAT</w:t>
      </w:r>
      <w:r w:rsidR="000D5E38" w:rsidRPr="00CF5F93">
        <w:t xml:space="preserve"> conducted rapid COVID-19 response assessments at the </w:t>
      </w:r>
      <w:r w:rsidR="009C16E5">
        <w:t>NRH</w:t>
      </w:r>
      <w:r w:rsidR="000D5E38" w:rsidRPr="00CF5F93">
        <w:t xml:space="preserve"> and four provincial hospitals</w:t>
      </w:r>
      <w:r w:rsidR="009D48E5">
        <w:t>,</w:t>
      </w:r>
      <w:r w:rsidR="000D5E38" w:rsidRPr="00CF5F93">
        <w:t xml:space="preserve"> </w:t>
      </w:r>
      <w:r w:rsidR="00C6185B">
        <w:t xml:space="preserve">giving </w:t>
      </w:r>
      <w:r w:rsidR="000D5E38" w:rsidRPr="00CF5F93">
        <w:t xml:space="preserve">clinical training and executive </w:t>
      </w:r>
      <w:r w:rsidR="00D54570">
        <w:t>advice</w:t>
      </w:r>
      <w:r w:rsidR="00D3032E">
        <w:t xml:space="preserve">. </w:t>
      </w:r>
      <w:r w:rsidR="00D3032E" w:rsidRPr="00DD2677">
        <w:rPr>
          <w:b/>
          <w:bCs/>
        </w:rPr>
        <w:t>This</w:t>
      </w:r>
      <w:r w:rsidR="00755E8F" w:rsidRPr="00DD2677">
        <w:rPr>
          <w:b/>
          <w:bCs/>
        </w:rPr>
        <w:t xml:space="preserve"> </w:t>
      </w:r>
      <w:r w:rsidR="004B61DE" w:rsidRPr="00DD2677">
        <w:rPr>
          <w:b/>
          <w:bCs/>
        </w:rPr>
        <w:t xml:space="preserve">resulted in </w:t>
      </w:r>
      <w:r w:rsidR="000D5E38" w:rsidRPr="00DD2677">
        <w:rPr>
          <w:b/>
          <w:bCs/>
        </w:rPr>
        <w:t>significantly improved</w:t>
      </w:r>
      <w:r w:rsidR="005A7241" w:rsidRPr="00DD2677">
        <w:rPr>
          <w:b/>
          <w:bCs/>
        </w:rPr>
        <w:t xml:space="preserve"> </w:t>
      </w:r>
      <w:r w:rsidR="000D5E38" w:rsidRPr="00DD2677">
        <w:rPr>
          <w:b/>
          <w:bCs/>
        </w:rPr>
        <w:t xml:space="preserve">capability </w:t>
      </w:r>
      <w:r w:rsidR="00D3032E" w:rsidRPr="00DD2677">
        <w:rPr>
          <w:b/>
          <w:bCs/>
        </w:rPr>
        <w:t xml:space="preserve">in the Solomon Islands health system </w:t>
      </w:r>
      <w:r w:rsidR="000D5E38" w:rsidRPr="00DD2677">
        <w:rPr>
          <w:b/>
          <w:bCs/>
        </w:rPr>
        <w:t>to manage severe COVID-19 cases, saving many lives.</w:t>
      </w:r>
      <w:r w:rsidR="000D5E38" w:rsidRPr="00CF5F93">
        <w:t xml:space="preserve"> </w:t>
      </w:r>
      <w:r w:rsidR="00432109" w:rsidRPr="00CF5F93">
        <w:t xml:space="preserve">Australia’s Centre for Health Security deployed technical advisors into MHMS to </w:t>
      </w:r>
      <w:r w:rsidR="00D3032E">
        <w:t>assist with</w:t>
      </w:r>
      <w:r w:rsidR="00D3032E" w:rsidRPr="00CF5F93">
        <w:t xml:space="preserve"> </w:t>
      </w:r>
      <w:r w:rsidR="00432109" w:rsidRPr="00CF5F93">
        <w:t>epidemiology and surveillance, laboratory diagnosis, infection, prevention and control, and immunisation</w:t>
      </w:r>
      <w:r w:rsidR="00945DA9">
        <w:t xml:space="preserve"> planning and rollout</w:t>
      </w:r>
      <w:r w:rsidR="00432109" w:rsidRPr="00CF5F93">
        <w:t>.</w:t>
      </w:r>
      <w:r w:rsidR="00432109">
        <w:t xml:space="preserve"> </w:t>
      </w:r>
    </w:p>
    <w:p w14:paraId="53B4049B" w14:textId="40E8431C" w:rsidR="002260E8" w:rsidRPr="005D3DE9" w:rsidRDefault="00EC5B6D" w:rsidP="00D7718E">
      <w:pPr>
        <w:spacing w:before="100" w:line="260" w:lineRule="auto"/>
        <w:jc w:val="both"/>
      </w:pPr>
      <w:r>
        <w:t>T</w:t>
      </w:r>
      <w:r w:rsidRPr="005D3DE9">
        <w:t xml:space="preserve">he suspension of domestic sea and air transport </w:t>
      </w:r>
      <w:r>
        <w:t>due to the COVID-19 State of Public Emergency</w:t>
      </w:r>
      <w:r w:rsidRPr="005D3DE9">
        <w:t xml:space="preserve"> </w:t>
      </w:r>
      <w:r>
        <w:t>disrupted e</w:t>
      </w:r>
      <w:r w:rsidR="009D253C" w:rsidRPr="005D3DE9">
        <w:t>ssential supply chains</w:t>
      </w:r>
      <w:r w:rsidR="00D670A9">
        <w:t xml:space="preserve">. </w:t>
      </w:r>
      <w:r w:rsidR="00D3032E">
        <w:t>Solomon Islands requested Australian assistance to respond during the first weeks of the outbreak. Australia ran a</w:t>
      </w:r>
      <w:r w:rsidR="00AD145A" w:rsidRPr="00CF5F93">
        <w:t xml:space="preserve"> large-scale logistics operation over seven days in mid-February 2022</w:t>
      </w:r>
      <w:r w:rsidR="00D3032E">
        <w:t>. T</w:t>
      </w:r>
      <w:r w:rsidR="00AD145A" w:rsidRPr="00CF5F93">
        <w:t xml:space="preserve">wo Royal Australian Air Force </w:t>
      </w:r>
      <w:r w:rsidR="00C321D5">
        <w:t xml:space="preserve">(RAAF) </w:t>
      </w:r>
      <w:r w:rsidR="00AD145A" w:rsidRPr="00CF5F93">
        <w:t>planes conducted 24 flights across the country to distribute 55 tonnes of medical equipment and 39 tonnes of essential food supplies.</w:t>
      </w:r>
      <w:r w:rsidR="00323685">
        <w:t xml:space="preserve"> </w:t>
      </w:r>
      <w:r w:rsidR="00323685" w:rsidRPr="0056506F">
        <w:t xml:space="preserve">Australia worked with the Ministry of Agriculture and Livestock to deliver </w:t>
      </w:r>
      <w:r w:rsidR="00AF62CB">
        <w:t xml:space="preserve">urgent </w:t>
      </w:r>
      <w:r w:rsidR="00323685" w:rsidRPr="0056506F">
        <w:t>food to communities locked down in greater Honiara, delivering 3</w:t>
      </w:r>
      <w:r w:rsidR="00D540FB">
        <w:t>2</w:t>
      </w:r>
      <w:r w:rsidR="00323685" w:rsidRPr="0056506F">
        <w:t>,</w:t>
      </w:r>
      <w:r w:rsidR="00D540FB">
        <w:t>0</w:t>
      </w:r>
      <w:r w:rsidR="00323685" w:rsidRPr="0056506F">
        <w:t>31</w:t>
      </w:r>
      <w:r w:rsidR="00323685">
        <w:t xml:space="preserve"> bags of </w:t>
      </w:r>
      <w:r w:rsidR="00367B89">
        <w:t>rice</w:t>
      </w:r>
      <w:r w:rsidR="00323685">
        <w:t xml:space="preserve"> and 403,200 </w:t>
      </w:r>
      <w:r w:rsidR="002617FF">
        <w:t>cans</w:t>
      </w:r>
      <w:r w:rsidR="00323685">
        <w:t xml:space="preserve"> of tuna. </w:t>
      </w:r>
      <w:r w:rsidR="00D3032E">
        <w:t>Australia</w:t>
      </w:r>
      <w:r w:rsidR="00323685">
        <w:t xml:space="preserve"> </w:t>
      </w:r>
      <w:r w:rsidR="001368EA">
        <w:t xml:space="preserve">also </w:t>
      </w:r>
      <w:r w:rsidR="00323685">
        <w:t>provided $1</w:t>
      </w:r>
      <w:r w:rsidR="00A7561B">
        <w:t xml:space="preserve"> </w:t>
      </w:r>
      <w:r w:rsidR="00323685">
        <w:t>mi</w:t>
      </w:r>
      <w:r w:rsidR="00C01FA4">
        <w:t>l</w:t>
      </w:r>
      <w:r w:rsidR="00323685">
        <w:t xml:space="preserve">lion to Solomon Airlines </w:t>
      </w:r>
      <w:r w:rsidR="00EF3821">
        <w:t xml:space="preserve">and hired </w:t>
      </w:r>
      <w:r w:rsidR="00C321D5">
        <w:t xml:space="preserve">Silent World </w:t>
      </w:r>
      <w:r w:rsidR="00EF3821">
        <w:t xml:space="preserve">ships </w:t>
      </w:r>
      <w:r w:rsidR="00323685">
        <w:t>to deliver medica</w:t>
      </w:r>
      <w:r w:rsidR="001F7461">
        <w:t>l</w:t>
      </w:r>
      <w:r w:rsidR="00323685">
        <w:t xml:space="preserve"> supplies and food to </w:t>
      </w:r>
      <w:r w:rsidR="001368EA">
        <w:t xml:space="preserve">locations </w:t>
      </w:r>
      <w:r w:rsidR="00C321D5">
        <w:t>RAAF</w:t>
      </w:r>
      <w:r w:rsidR="001368EA">
        <w:t xml:space="preserve"> could not access</w:t>
      </w:r>
      <w:r w:rsidR="00A40E5B">
        <w:t xml:space="preserve">. </w:t>
      </w:r>
      <w:r w:rsidR="00A63BA4" w:rsidRPr="00DD2677">
        <w:rPr>
          <w:b/>
          <w:bCs/>
        </w:rPr>
        <w:t>Australia</w:t>
      </w:r>
      <w:r w:rsidR="005D7A42" w:rsidRPr="00DD2677">
        <w:rPr>
          <w:b/>
          <w:bCs/>
        </w:rPr>
        <w:t xml:space="preserve"> funded </w:t>
      </w:r>
      <w:r w:rsidR="002260E8" w:rsidRPr="00DD2677">
        <w:rPr>
          <w:b/>
          <w:bCs/>
        </w:rPr>
        <w:t xml:space="preserve">Solomon Water </w:t>
      </w:r>
      <w:r w:rsidR="000619BE" w:rsidRPr="00DD2677">
        <w:rPr>
          <w:b/>
          <w:bCs/>
        </w:rPr>
        <w:t>to deliver</w:t>
      </w:r>
      <w:r w:rsidR="002260E8" w:rsidRPr="00DD2677">
        <w:rPr>
          <w:b/>
          <w:bCs/>
        </w:rPr>
        <w:t xml:space="preserve"> 65.88km of new water pipelines to 2,570 households in Honiara</w:t>
      </w:r>
      <w:r w:rsidR="00A40E5B" w:rsidRPr="00DD2677">
        <w:rPr>
          <w:b/>
          <w:bCs/>
        </w:rPr>
        <w:t xml:space="preserve"> </w:t>
      </w:r>
      <w:r w:rsidR="005D7A42" w:rsidRPr="00DD2677">
        <w:rPr>
          <w:b/>
          <w:bCs/>
        </w:rPr>
        <w:t>to improve water and sanitation</w:t>
      </w:r>
      <w:r w:rsidR="005D7A42">
        <w:t xml:space="preserve"> </w:t>
      </w:r>
      <w:r w:rsidR="00A40E5B">
        <w:t>and</w:t>
      </w:r>
      <w:r w:rsidR="005D7A42">
        <w:t xml:space="preserve"> </w:t>
      </w:r>
      <w:r w:rsidR="002260E8" w:rsidRPr="005D3DE9">
        <w:t>committed a further $1 million</w:t>
      </w:r>
      <w:r w:rsidR="00634EEF" w:rsidRPr="005D3DE9">
        <w:t xml:space="preserve"> for </w:t>
      </w:r>
      <w:r w:rsidR="005D7A42">
        <w:t xml:space="preserve">health </w:t>
      </w:r>
      <w:r w:rsidR="00F00D3E">
        <w:t>infrastructure upgrades</w:t>
      </w:r>
      <w:r w:rsidR="00935C40" w:rsidRPr="005D3DE9">
        <w:t>.</w:t>
      </w:r>
      <w:r w:rsidR="002260E8" w:rsidRPr="005D3DE9">
        <w:t xml:space="preserve"> </w:t>
      </w:r>
    </w:p>
    <w:p w14:paraId="04A10C3D" w14:textId="77777777" w:rsidR="00A036F1" w:rsidRPr="000871B4" w:rsidRDefault="00297FD1" w:rsidP="00D7718E">
      <w:pPr>
        <w:pStyle w:val="Heading3"/>
        <w:spacing w:before="100" w:after="60" w:line="260" w:lineRule="auto"/>
      </w:pPr>
      <w:r w:rsidRPr="006A563D">
        <w:t>Stability</w:t>
      </w:r>
    </w:p>
    <w:p w14:paraId="61447C55" w14:textId="5A34986F" w:rsidR="00590797" w:rsidRPr="00A036F1" w:rsidRDefault="0087398D" w:rsidP="00D7718E">
      <w:pPr>
        <w:pStyle w:val="Bullet1"/>
        <w:spacing w:before="100" w:line="260" w:lineRule="auto"/>
        <w:jc w:val="both"/>
      </w:pPr>
      <w:r>
        <w:t>Australia’s</w:t>
      </w:r>
      <w:r w:rsidR="00132303" w:rsidRPr="00CA6900">
        <w:t xml:space="preserve"> </w:t>
      </w:r>
      <w:r w:rsidR="00844EC8" w:rsidRPr="00CA6900">
        <w:t>i</w:t>
      </w:r>
      <w:r w:rsidR="00844EC8">
        <w:t>nvestments in j</w:t>
      </w:r>
      <w:r w:rsidR="00132303" w:rsidRPr="00CA6900">
        <w:t>ustice</w:t>
      </w:r>
      <w:r w:rsidR="00CF5F4E">
        <w:t xml:space="preserve">, governance, education, </w:t>
      </w:r>
      <w:proofErr w:type="gramStart"/>
      <w:r w:rsidR="00D61972">
        <w:t>gender</w:t>
      </w:r>
      <w:proofErr w:type="gramEnd"/>
      <w:r w:rsidR="00CF5F4E">
        <w:t xml:space="preserve"> and polic</w:t>
      </w:r>
      <w:r w:rsidR="00663E2A">
        <w:t xml:space="preserve">ing </w:t>
      </w:r>
      <w:r w:rsidR="00E7567C">
        <w:t>contribute</w:t>
      </w:r>
      <w:r w:rsidR="009A47AF">
        <w:t>d</w:t>
      </w:r>
      <w:r w:rsidR="000F48B2">
        <w:t xml:space="preserve"> to </w:t>
      </w:r>
      <w:r w:rsidR="00132303" w:rsidRPr="00CA6900">
        <w:t>safer communities</w:t>
      </w:r>
      <w:r w:rsidR="003B7F51">
        <w:t xml:space="preserve"> </w:t>
      </w:r>
      <w:r w:rsidR="00132303" w:rsidRPr="00CA6900">
        <w:t xml:space="preserve">and </w:t>
      </w:r>
      <w:r w:rsidR="00612699">
        <w:t>increase</w:t>
      </w:r>
      <w:r w:rsidR="009A47AF">
        <w:t>d</w:t>
      </w:r>
      <w:r w:rsidR="00132303" w:rsidRPr="00CA6900">
        <w:t xml:space="preserve"> the reach of </w:t>
      </w:r>
      <w:r w:rsidR="00AB4044">
        <w:t>S</w:t>
      </w:r>
      <w:r w:rsidR="003B7F51">
        <w:t>IG</w:t>
      </w:r>
      <w:r w:rsidR="00AB4044" w:rsidRPr="00CA6900">
        <w:t xml:space="preserve"> </w:t>
      </w:r>
      <w:r w:rsidR="00132303" w:rsidRPr="00CA6900">
        <w:t>services.</w:t>
      </w:r>
      <w:r w:rsidR="00132303">
        <w:t xml:space="preserve"> </w:t>
      </w:r>
      <w:r w:rsidR="00D932B2" w:rsidRPr="00650010">
        <w:rPr>
          <w:b/>
          <w:bCs/>
        </w:rPr>
        <w:t>Our justice program</w:t>
      </w:r>
      <w:r w:rsidR="005D3A1D" w:rsidRPr="00650010">
        <w:rPr>
          <w:b/>
          <w:bCs/>
        </w:rPr>
        <w:t xml:space="preserve"> </w:t>
      </w:r>
      <w:r w:rsidR="00132303" w:rsidRPr="00650010">
        <w:rPr>
          <w:b/>
          <w:bCs/>
        </w:rPr>
        <w:t xml:space="preserve">funded the Magistrates Court to undertake a court circuit in Malaita, including </w:t>
      </w:r>
      <w:r w:rsidR="00467234" w:rsidRPr="00650010">
        <w:rPr>
          <w:b/>
          <w:bCs/>
        </w:rPr>
        <w:t xml:space="preserve">to the Malaita Outer </w:t>
      </w:r>
      <w:r w:rsidR="00467234" w:rsidRPr="00A769A4">
        <w:rPr>
          <w:b/>
          <w:bCs/>
        </w:rPr>
        <w:t xml:space="preserve">Islands </w:t>
      </w:r>
      <w:r w:rsidR="00132303" w:rsidRPr="00A769A4">
        <w:rPr>
          <w:b/>
          <w:bCs/>
        </w:rPr>
        <w:t>for the first time in three years</w:t>
      </w:r>
      <w:r w:rsidR="00AA4C9A">
        <w:t xml:space="preserve">. </w:t>
      </w:r>
      <w:r w:rsidR="006D45FC" w:rsidRPr="003A62B7">
        <w:t>We supported the Chief Magistrate to lead a three-week pilot community outreach program in Western Province</w:t>
      </w:r>
      <w:r w:rsidR="00F60D1D">
        <w:t xml:space="preserve">. </w:t>
      </w:r>
      <w:r w:rsidR="00125ABB">
        <w:t>Funding</w:t>
      </w:r>
      <w:r w:rsidR="00E55D9B" w:rsidRPr="005D3DE9">
        <w:t xml:space="preserve"> to the </w:t>
      </w:r>
      <w:r w:rsidR="00B72D7F">
        <w:t>UN</w:t>
      </w:r>
      <w:r w:rsidR="004B1CC5">
        <w:t xml:space="preserve"> Development Program</w:t>
      </w:r>
      <w:r w:rsidR="00320E39">
        <w:t>me</w:t>
      </w:r>
      <w:r w:rsidR="00325CA1">
        <w:t>’s</w:t>
      </w:r>
      <w:r w:rsidR="004B1CC5">
        <w:t xml:space="preserve"> (</w:t>
      </w:r>
      <w:r w:rsidR="00E55D9B" w:rsidRPr="005D3DE9">
        <w:t>UNDP</w:t>
      </w:r>
      <w:r w:rsidR="004B1CC5" w:rsidRPr="005D3DE9">
        <w:t>)</w:t>
      </w:r>
      <w:r w:rsidR="00E55D9B" w:rsidRPr="005D3DE9">
        <w:t xml:space="preserve"> Access to </w:t>
      </w:r>
      <w:r w:rsidR="00125ABB">
        <w:t>J</w:t>
      </w:r>
      <w:r w:rsidR="00E55D9B" w:rsidRPr="005D3DE9">
        <w:t xml:space="preserve">ustice </w:t>
      </w:r>
      <w:r w:rsidR="00125ABB">
        <w:t>P</w:t>
      </w:r>
      <w:r w:rsidR="00E55D9B" w:rsidRPr="005D3DE9">
        <w:t>rogram delivered 243 awareness sessions</w:t>
      </w:r>
      <w:r w:rsidR="005A7227">
        <w:t xml:space="preserve"> across Solomon Islands</w:t>
      </w:r>
      <w:r w:rsidR="00FD29F5">
        <w:t>,</w:t>
      </w:r>
      <w:r w:rsidR="00EE2A90">
        <w:t xml:space="preserve"> </w:t>
      </w:r>
      <w:r w:rsidR="00453B37">
        <w:t xml:space="preserve">including </w:t>
      </w:r>
      <w:r w:rsidR="00F60D1D">
        <w:t>support</w:t>
      </w:r>
      <w:r w:rsidR="007E00B9">
        <w:t xml:space="preserve"> for</w:t>
      </w:r>
      <w:r w:rsidR="00FC1305" w:rsidRPr="00CA6900">
        <w:t xml:space="preserve"> paralegals and Community Legal Advocates</w:t>
      </w:r>
      <w:r w:rsidR="00FD29F5">
        <w:t>,</w:t>
      </w:r>
      <w:r w:rsidR="00FC1305" w:rsidRPr="00CA6900">
        <w:t> benefit</w:t>
      </w:r>
      <w:r w:rsidR="00453B37">
        <w:t>ing</w:t>
      </w:r>
      <w:r w:rsidR="00FC1305" w:rsidRPr="00CA6900">
        <w:t xml:space="preserve"> 10,996 people (5</w:t>
      </w:r>
      <w:r w:rsidR="006A68B9">
        <w:t>,</w:t>
      </w:r>
      <w:r w:rsidR="00FC1305" w:rsidRPr="00CA6900">
        <w:t xml:space="preserve">650 </w:t>
      </w:r>
      <w:r w:rsidR="00E25B73">
        <w:t>women</w:t>
      </w:r>
      <w:r w:rsidR="00FC1305" w:rsidRPr="00CA6900">
        <w:t>)</w:t>
      </w:r>
      <w:r w:rsidR="00FC1305">
        <w:t xml:space="preserve">.  </w:t>
      </w:r>
      <w:bookmarkStart w:id="2" w:name="_Hlk115081710"/>
      <w:r w:rsidR="006162F6">
        <w:t xml:space="preserve">Australia’s </w:t>
      </w:r>
      <w:r w:rsidR="00652D15">
        <w:t>long-term</w:t>
      </w:r>
      <w:r w:rsidR="006162F6">
        <w:t xml:space="preserve"> </w:t>
      </w:r>
      <w:r w:rsidR="00132303" w:rsidRPr="00CA6900">
        <w:t xml:space="preserve">contribution to </w:t>
      </w:r>
      <w:r w:rsidR="00320E39">
        <w:t>e</w:t>
      </w:r>
      <w:r w:rsidR="00320E39" w:rsidRPr="00CA6900">
        <w:t xml:space="preserve">lectoral </w:t>
      </w:r>
      <w:r w:rsidR="00320E39">
        <w:t>s</w:t>
      </w:r>
      <w:r w:rsidR="00320E39" w:rsidRPr="00CA6900">
        <w:t xml:space="preserve">trengthening </w:t>
      </w:r>
      <w:r w:rsidR="00132303" w:rsidRPr="00CA6900">
        <w:t xml:space="preserve">through </w:t>
      </w:r>
      <w:r w:rsidR="00625D5A">
        <w:t xml:space="preserve">UNDP </w:t>
      </w:r>
      <w:r w:rsidR="005C15A9">
        <w:t>and community organisations</w:t>
      </w:r>
      <w:r w:rsidR="00132303" w:rsidRPr="00CA6900">
        <w:t xml:space="preserve"> </w:t>
      </w:r>
      <w:r w:rsidR="00730AC0" w:rsidRPr="00A769A4">
        <w:rPr>
          <w:b/>
          <w:bCs/>
        </w:rPr>
        <w:t>promoted and strengthened</w:t>
      </w:r>
      <w:r w:rsidR="00F75A1F" w:rsidRPr="00A769A4">
        <w:rPr>
          <w:b/>
          <w:bCs/>
        </w:rPr>
        <w:t xml:space="preserve"> women’s </w:t>
      </w:r>
      <w:r w:rsidR="00132303" w:rsidRPr="00A769A4">
        <w:rPr>
          <w:b/>
          <w:bCs/>
        </w:rPr>
        <w:t xml:space="preserve">political participation </w:t>
      </w:r>
      <w:r w:rsidR="001C6D49" w:rsidRPr="00A769A4">
        <w:rPr>
          <w:b/>
          <w:bCs/>
        </w:rPr>
        <w:t>and le</w:t>
      </w:r>
      <w:r w:rsidR="00F8492C" w:rsidRPr="00A769A4">
        <w:rPr>
          <w:b/>
          <w:bCs/>
        </w:rPr>
        <w:t>d</w:t>
      </w:r>
      <w:r w:rsidR="001C6D49" w:rsidRPr="00A769A4">
        <w:rPr>
          <w:b/>
          <w:bCs/>
        </w:rPr>
        <w:t xml:space="preserve"> to an increased </w:t>
      </w:r>
      <w:r w:rsidR="00132303" w:rsidRPr="00A769A4">
        <w:rPr>
          <w:b/>
          <w:bCs/>
        </w:rPr>
        <w:t xml:space="preserve">number of women contesting </w:t>
      </w:r>
      <w:r w:rsidR="00CC7234">
        <w:rPr>
          <w:b/>
          <w:bCs/>
        </w:rPr>
        <w:t xml:space="preserve">national and provincial </w:t>
      </w:r>
      <w:r w:rsidR="00132303" w:rsidRPr="00A769A4">
        <w:rPr>
          <w:b/>
          <w:bCs/>
        </w:rPr>
        <w:t>elections</w:t>
      </w:r>
      <w:r w:rsidR="00CC7234">
        <w:rPr>
          <w:b/>
          <w:bCs/>
        </w:rPr>
        <w:t xml:space="preserve">. </w:t>
      </w:r>
      <w:r w:rsidR="00CC7234" w:rsidRPr="00B143B0">
        <w:t>In this period</w:t>
      </w:r>
      <w:r w:rsidR="00CC7234">
        <w:rPr>
          <w:b/>
          <w:bCs/>
        </w:rPr>
        <w:t xml:space="preserve"> </w:t>
      </w:r>
      <w:r w:rsidR="00CC7234">
        <w:t xml:space="preserve">Solomon Islands </w:t>
      </w:r>
      <w:r w:rsidR="00CC7234" w:rsidRPr="00B143B0">
        <w:t>elected its</w:t>
      </w:r>
      <w:r w:rsidR="005F4216">
        <w:t xml:space="preserve"> first female provincial </w:t>
      </w:r>
      <w:r w:rsidR="0050671F">
        <w:t>P</w:t>
      </w:r>
      <w:r w:rsidR="005F4216">
        <w:t>remie</w:t>
      </w:r>
      <w:r w:rsidR="00CC7234">
        <w:t>r</w:t>
      </w:r>
      <w:r w:rsidR="00486D17">
        <w:t xml:space="preserve"> (in Isabel Province)</w:t>
      </w:r>
      <w:r w:rsidR="00CC7234">
        <w:t xml:space="preserve">. </w:t>
      </w:r>
    </w:p>
    <w:bookmarkEnd w:id="2"/>
    <w:p w14:paraId="705DBD59" w14:textId="12916AAD" w:rsidR="006802CB" w:rsidRDefault="002B1A83" w:rsidP="00D7718E">
      <w:pPr>
        <w:pStyle w:val="Bullet1"/>
        <w:spacing w:before="100" w:line="260" w:lineRule="auto"/>
        <w:jc w:val="both"/>
      </w:pPr>
      <w:r w:rsidRPr="005D56E4">
        <w:lastRenderedPageBreak/>
        <w:t xml:space="preserve">Solomon Islands’ </w:t>
      </w:r>
      <w:r w:rsidR="008E69E3" w:rsidRPr="005D56E4">
        <w:t>COVID-19 outbreaks and civil unrest interrupted access to education,</w:t>
      </w:r>
      <w:r w:rsidR="00F05CCD" w:rsidRPr="005D56E4">
        <w:t xml:space="preserve"> </w:t>
      </w:r>
      <w:r w:rsidR="00770795" w:rsidRPr="005D56E4">
        <w:t xml:space="preserve">critical </w:t>
      </w:r>
      <w:r w:rsidR="008E69E3" w:rsidRPr="005D56E4">
        <w:t xml:space="preserve">upgrades to education systems </w:t>
      </w:r>
      <w:r w:rsidRPr="005D56E4">
        <w:t>and educational</w:t>
      </w:r>
      <w:r w:rsidR="00315160" w:rsidRPr="005D56E4">
        <w:t xml:space="preserve"> </w:t>
      </w:r>
      <w:r w:rsidR="00AA6A3B" w:rsidRPr="005D56E4">
        <w:t>outcomes</w:t>
      </w:r>
      <w:r w:rsidR="008E69E3" w:rsidRPr="005D56E4">
        <w:t xml:space="preserve">. </w:t>
      </w:r>
      <w:r w:rsidR="00D97C90" w:rsidRPr="005D56E4">
        <w:t>In this challenging context,</w:t>
      </w:r>
      <w:r w:rsidR="00D97C90">
        <w:rPr>
          <w:color w:val="auto"/>
          <w:sz w:val="20"/>
          <w:szCs w:val="20"/>
        </w:rPr>
        <w:t xml:space="preserve"> </w:t>
      </w:r>
      <w:r w:rsidR="006650FD" w:rsidRPr="00A769A4">
        <w:rPr>
          <w:b/>
          <w:bCs/>
        </w:rPr>
        <w:t>Australia provided $4 million for primary school operating grants</w:t>
      </w:r>
      <w:r w:rsidR="0050671F" w:rsidRPr="00A769A4">
        <w:rPr>
          <w:b/>
          <w:bCs/>
        </w:rPr>
        <w:t xml:space="preserve"> to</w:t>
      </w:r>
      <w:r w:rsidR="006650FD" w:rsidRPr="00A769A4">
        <w:rPr>
          <w:b/>
          <w:bCs/>
        </w:rPr>
        <w:t xml:space="preserve"> prevent fee increases and</w:t>
      </w:r>
      <w:r w:rsidR="00A5622E" w:rsidRPr="00A769A4">
        <w:rPr>
          <w:b/>
          <w:bCs/>
        </w:rPr>
        <w:t xml:space="preserve"> </w:t>
      </w:r>
      <w:r w:rsidR="006650FD" w:rsidRPr="00A769A4">
        <w:rPr>
          <w:b/>
          <w:bCs/>
        </w:rPr>
        <w:t>early school closures</w:t>
      </w:r>
      <w:r w:rsidR="007859BE" w:rsidRPr="00A769A4">
        <w:rPr>
          <w:b/>
          <w:bCs/>
        </w:rPr>
        <w:t xml:space="preserve"> due to COVID-19</w:t>
      </w:r>
      <w:r w:rsidR="006650FD" w:rsidRPr="00A769A4">
        <w:rPr>
          <w:b/>
          <w:bCs/>
        </w:rPr>
        <w:t>.</w:t>
      </w:r>
      <w:r w:rsidR="006650FD">
        <w:t xml:space="preserve"> </w:t>
      </w:r>
      <w:r w:rsidR="009C0161">
        <w:t xml:space="preserve">The </w:t>
      </w:r>
      <w:r w:rsidR="00F2266B" w:rsidRPr="00364612">
        <w:t>Education Sector Support Program</w:t>
      </w:r>
      <w:r w:rsidR="003D19CE">
        <w:t xml:space="preserve"> </w:t>
      </w:r>
      <w:r w:rsidR="00F2266B">
        <w:t xml:space="preserve">(ESSP) </w:t>
      </w:r>
      <w:r w:rsidR="00E054A9">
        <w:t xml:space="preserve">funded by </w:t>
      </w:r>
      <w:r w:rsidR="00F2266B">
        <w:t>Australia</w:t>
      </w:r>
      <w:r w:rsidR="00E054A9">
        <w:t xml:space="preserve">, </w:t>
      </w:r>
      <w:r w:rsidR="00F2266B">
        <w:t xml:space="preserve">New </w:t>
      </w:r>
      <w:proofErr w:type="gramStart"/>
      <w:r w:rsidR="00D61972">
        <w:t>Zealand</w:t>
      </w:r>
      <w:proofErr w:type="gramEnd"/>
      <w:r w:rsidR="00E054A9">
        <w:t xml:space="preserve"> and Solomon Islands</w:t>
      </w:r>
      <w:r w:rsidR="0050671F">
        <w:t>,</w:t>
      </w:r>
      <w:r w:rsidR="00F2266B">
        <w:t xml:space="preserve"> </w:t>
      </w:r>
      <w:r w:rsidR="00712D9F">
        <w:t>supported the Ministry of Education and Human Resources Development’s COVID-19 Response Plan and Learning Continuity Action Plan</w:t>
      </w:r>
      <w:r w:rsidR="0000074C">
        <w:t xml:space="preserve">. </w:t>
      </w:r>
      <w:r w:rsidR="008E5FE1">
        <w:t>In</w:t>
      </w:r>
      <w:r w:rsidR="00666678">
        <w:t xml:space="preserve"> early 2022,</w:t>
      </w:r>
      <w:r w:rsidR="008E5FE1">
        <w:t xml:space="preserve"> </w:t>
      </w:r>
      <w:r w:rsidR="00712D9F">
        <w:t xml:space="preserve">Australia </w:t>
      </w:r>
      <w:r w:rsidR="008E5FE1">
        <w:t>funded the</w:t>
      </w:r>
      <w:r w:rsidR="00712D9F">
        <w:t xml:space="preserve"> </w:t>
      </w:r>
      <w:r w:rsidR="00712D9F" w:rsidRPr="00C21389">
        <w:t xml:space="preserve">distribution of 841 boxes </w:t>
      </w:r>
      <w:r w:rsidR="00702EDE">
        <w:t xml:space="preserve">of </w:t>
      </w:r>
      <w:r w:rsidR="00712D9F" w:rsidRPr="00C21389">
        <w:t xml:space="preserve">printed </w:t>
      </w:r>
      <w:r w:rsidR="00AE175A">
        <w:t xml:space="preserve">remote learning </w:t>
      </w:r>
      <w:r w:rsidR="00712D9F" w:rsidRPr="00C21389">
        <w:t xml:space="preserve">materials </w:t>
      </w:r>
      <w:r w:rsidR="00AE175A">
        <w:t>across</w:t>
      </w:r>
      <w:r w:rsidR="00712D9F" w:rsidRPr="00C21389">
        <w:t xml:space="preserve"> five provinces</w:t>
      </w:r>
      <w:r w:rsidR="00AE175A">
        <w:t xml:space="preserve">. </w:t>
      </w:r>
      <w:r w:rsidR="003C100C" w:rsidRPr="00A769A4">
        <w:rPr>
          <w:b/>
          <w:bCs/>
        </w:rPr>
        <w:t>ESSP</w:t>
      </w:r>
      <w:r w:rsidR="00AE175A" w:rsidRPr="00A769A4">
        <w:rPr>
          <w:b/>
          <w:bCs/>
        </w:rPr>
        <w:t xml:space="preserve"> </w:t>
      </w:r>
      <w:r w:rsidR="00316E7D" w:rsidRPr="00A769A4">
        <w:rPr>
          <w:b/>
          <w:bCs/>
        </w:rPr>
        <w:t>provide</w:t>
      </w:r>
      <w:r w:rsidR="00B51BF1" w:rsidRPr="00A769A4">
        <w:rPr>
          <w:b/>
          <w:bCs/>
        </w:rPr>
        <w:t>d</w:t>
      </w:r>
      <w:r w:rsidR="00316E7D" w:rsidRPr="00A769A4">
        <w:rPr>
          <w:b/>
          <w:bCs/>
        </w:rPr>
        <w:t xml:space="preserve"> funding and technical support to school infrastructure, teacher professional development, curriculum development, legislative </w:t>
      </w:r>
      <w:proofErr w:type="gramStart"/>
      <w:r w:rsidR="0093285D" w:rsidRPr="00A769A4">
        <w:rPr>
          <w:b/>
          <w:bCs/>
        </w:rPr>
        <w:t>reform</w:t>
      </w:r>
      <w:proofErr w:type="gramEnd"/>
      <w:r w:rsidR="00316E7D">
        <w:t xml:space="preserve"> and development of </w:t>
      </w:r>
      <w:r w:rsidR="0041224D">
        <w:t xml:space="preserve">the </w:t>
      </w:r>
      <w:r w:rsidR="00316E7D">
        <w:t xml:space="preserve">National Education Action Plan 2022-2026. </w:t>
      </w:r>
      <w:r w:rsidR="000000FA">
        <w:t>ESSP</w:t>
      </w:r>
      <w:r w:rsidR="00666678">
        <w:t xml:space="preserve"> also </w:t>
      </w:r>
      <w:r w:rsidR="00316E7D">
        <w:t xml:space="preserve">provided grants to </w:t>
      </w:r>
      <w:r w:rsidR="00316E7D" w:rsidRPr="00A769A4">
        <w:rPr>
          <w:b/>
          <w:bCs/>
        </w:rPr>
        <w:t>strengthen early childhood education</w:t>
      </w:r>
      <w:r w:rsidR="003B220C" w:rsidRPr="00A769A4">
        <w:rPr>
          <w:b/>
          <w:bCs/>
        </w:rPr>
        <w:t xml:space="preserve"> </w:t>
      </w:r>
      <w:r w:rsidR="001A0373" w:rsidRPr="00A769A4">
        <w:rPr>
          <w:b/>
          <w:bCs/>
        </w:rPr>
        <w:t xml:space="preserve">and </w:t>
      </w:r>
      <w:r w:rsidR="00316E7D" w:rsidRPr="00A769A4">
        <w:rPr>
          <w:b/>
          <w:bCs/>
        </w:rPr>
        <w:t>improve outcomes for disadvantaged children.</w:t>
      </w:r>
      <w:r w:rsidR="00316E7D" w:rsidRPr="00BA3C0D">
        <w:t xml:space="preserve"> </w:t>
      </w:r>
      <w:r w:rsidR="006802CB">
        <w:t xml:space="preserve">Following </w:t>
      </w:r>
      <w:r w:rsidR="00A769A4">
        <w:t xml:space="preserve">extensive </w:t>
      </w:r>
      <w:r w:rsidR="006802CB">
        <w:t>damage to Honiara High School</w:t>
      </w:r>
      <w:r w:rsidR="00B72D7F">
        <w:t>,</w:t>
      </w:r>
      <w:r w:rsidR="00EB1C68">
        <w:t xml:space="preserve"> caused by the November 2021 civil unrest</w:t>
      </w:r>
      <w:r w:rsidR="006802CB">
        <w:t xml:space="preserve">, Australia and New Zealand funded urgent </w:t>
      </w:r>
      <w:r w:rsidR="00A97F2E">
        <w:t>repair</w:t>
      </w:r>
      <w:r w:rsidR="0027562C">
        <w:t>s</w:t>
      </w:r>
      <w:r w:rsidR="00A97F2E">
        <w:t xml:space="preserve"> </w:t>
      </w:r>
      <w:r w:rsidR="006802CB">
        <w:t>enabling the school to reopen</w:t>
      </w:r>
      <w:r w:rsidR="00EB1C68">
        <w:t xml:space="preserve"> and</w:t>
      </w:r>
      <w:r w:rsidR="00666678">
        <w:t xml:space="preserve"> 800</w:t>
      </w:r>
      <w:r w:rsidR="00EB1C68">
        <w:t xml:space="preserve"> students to return to s</w:t>
      </w:r>
      <w:r w:rsidR="00ED0EBB">
        <w:t>tudy</w:t>
      </w:r>
      <w:r w:rsidR="006802CB">
        <w:t>.</w:t>
      </w:r>
      <w:r w:rsidR="00501828">
        <w:t xml:space="preserve"> </w:t>
      </w:r>
    </w:p>
    <w:p w14:paraId="2F938F88" w14:textId="77777777" w:rsidR="002D0D16" w:rsidRDefault="0021065D" w:rsidP="00D7718E">
      <w:pPr>
        <w:pStyle w:val="Bullet1"/>
        <w:spacing w:before="100" w:line="260" w:lineRule="auto"/>
        <w:jc w:val="both"/>
      </w:pPr>
      <w:bookmarkStart w:id="3" w:name="_Hlk115102571"/>
      <w:r w:rsidRPr="00882200">
        <w:rPr>
          <w:rFonts w:ascii="Calibri Light" w:hAnsi="Calibri Light" w:cs="Calibri Light"/>
        </w:rPr>
        <w:t>The RSIPF and AFP Policing Partnerships Program (RAPPP) support</w:t>
      </w:r>
      <w:r w:rsidR="00E21397" w:rsidRPr="00882200">
        <w:rPr>
          <w:rFonts w:ascii="Calibri Light" w:hAnsi="Calibri Light" w:cs="Calibri Light"/>
        </w:rPr>
        <w:t>ed</w:t>
      </w:r>
      <w:r w:rsidRPr="00882200">
        <w:rPr>
          <w:rFonts w:ascii="Calibri Light" w:hAnsi="Calibri Light" w:cs="Calibri Light"/>
        </w:rPr>
        <w:t xml:space="preserve"> Solomon Islands’ policing priorities</w:t>
      </w:r>
      <w:r>
        <w:rPr>
          <w:rFonts w:ascii="Calibri Light" w:hAnsi="Calibri Light" w:cs="Calibri Light"/>
        </w:rPr>
        <w:t xml:space="preserve"> </w:t>
      </w:r>
      <w:r w:rsidR="00F25B92">
        <w:rPr>
          <w:rFonts w:ascii="Calibri Light" w:hAnsi="Calibri Light" w:cs="Calibri Light"/>
        </w:rPr>
        <w:t xml:space="preserve">by conducting </w:t>
      </w:r>
      <w:r w:rsidR="00F25B92" w:rsidRPr="00882200">
        <w:rPr>
          <w:rFonts w:ascii="Calibri Light" w:hAnsi="Calibri Light" w:cs="Calibri Light"/>
          <w:b/>
          <w:bCs/>
        </w:rPr>
        <w:t xml:space="preserve">training in public order management, investigations, frontline policing, </w:t>
      </w:r>
      <w:proofErr w:type="gramStart"/>
      <w:r w:rsidR="00F25B92" w:rsidRPr="00882200">
        <w:rPr>
          <w:rFonts w:ascii="Calibri Light" w:hAnsi="Calibri Light" w:cs="Calibri Light"/>
          <w:b/>
          <w:bCs/>
        </w:rPr>
        <w:t>forensics</w:t>
      </w:r>
      <w:proofErr w:type="gramEnd"/>
      <w:r w:rsidR="00F25B92" w:rsidRPr="00882200">
        <w:rPr>
          <w:rFonts w:ascii="Calibri Light" w:hAnsi="Calibri Light" w:cs="Calibri Light"/>
          <w:b/>
          <w:bCs/>
        </w:rPr>
        <w:t xml:space="preserve"> and leadership</w:t>
      </w:r>
      <w:r w:rsidR="00F25B92">
        <w:rPr>
          <w:rFonts w:ascii="Calibri Light" w:hAnsi="Calibri Light" w:cs="Calibri Light"/>
        </w:rPr>
        <w:t xml:space="preserve">. RAPPP </w:t>
      </w:r>
      <w:r w:rsidR="00835B90">
        <w:rPr>
          <w:rFonts w:ascii="Calibri Light" w:hAnsi="Calibri Light" w:cs="Calibri Light"/>
        </w:rPr>
        <w:t xml:space="preserve">also </w:t>
      </w:r>
      <w:r>
        <w:rPr>
          <w:rFonts w:ascii="Calibri Light" w:hAnsi="Calibri Light" w:cs="Calibri Light"/>
        </w:rPr>
        <w:t>refurbish</w:t>
      </w:r>
      <w:r w:rsidR="0091348A">
        <w:rPr>
          <w:rFonts w:ascii="Calibri Light" w:hAnsi="Calibri Light" w:cs="Calibri Light"/>
        </w:rPr>
        <w:t>ed</w:t>
      </w:r>
      <w:r>
        <w:rPr>
          <w:rFonts w:ascii="Calibri Light" w:hAnsi="Calibri Light" w:cs="Calibri Light"/>
        </w:rPr>
        <w:t xml:space="preserve"> Naha</w:t>
      </w:r>
      <w:r w:rsidR="00835B90">
        <w:rPr>
          <w:rFonts w:ascii="Calibri Light" w:hAnsi="Calibri Light" w:cs="Calibri Light"/>
        </w:rPr>
        <w:t xml:space="preserve">, </w:t>
      </w:r>
      <w:proofErr w:type="spellStart"/>
      <w:r w:rsidR="00835B90">
        <w:rPr>
          <w:rFonts w:ascii="Calibri Light" w:hAnsi="Calibri Light" w:cs="Calibri Light"/>
        </w:rPr>
        <w:t>Aola</w:t>
      </w:r>
      <w:proofErr w:type="spellEnd"/>
      <w:r w:rsidR="00835B90">
        <w:rPr>
          <w:rFonts w:ascii="Calibri Light" w:hAnsi="Calibri Light" w:cs="Calibri Light"/>
        </w:rPr>
        <w:t xml:space="preserve"> and </w:t>
      </w:r>
      <w:proofErr w:type="spellStart"/>
      <w:r w:rsidR="00835B90">
        <w:rPr>
          <w:rFonts w:ascii="Calibri Light" w:hAnsi="Calibri Light" w:cs="Calibri Light"/>
        </w:rPr>
        <w:t>Avu</w:t>
      </w:r>
      <w:proofErr w:type="spellEnd"/>
      <w:r w:rsidR="00835B90">
        <w:rPr>
          <w:rFonts w:ascii="Calibri Light" w:hAnsi="Calibri Light" w:cs="Calibri Light"/>
        </w:rPr>
        <w:t xml:space="preserve"> </w:t>
      </w:r>
      <w:proofErr w:type="spellStart"/>
      <w:r w:rsidR="00835B90">
        <w:rPr>
          <w:rFonts w:ascii="Calibri Light" w:hAnsi="Calibri Light" w:cs="Calibri Light"/>
        </w:rPr>
        <w:t>Avu</w:t>
      </w:r>
      <w:proofErr w:type="spellEnd"/>
      <w:r w:rsidR="00835B90">
        <w:rPr>
          <w:rFonts w:ascii="Calibri Light" w:hAnsi="Calibri Light" w:cs="Calibri Light"/>
        </w:rPr>
        <w:t xml:space="preserve"> </w:t>
      </w:r>
      <w:r>
        <w:rPr>
          <w:rFonts w:ascii="Calibri Light" w:hAnsi="Calibri Light" w:cs="Calibri Light"/>
        </w:rPr>
        <w:t>Police Station</w:t>
      </w:r>
      <w:r w:rsidR="00835B90">
        <w:rPr>
          <w:rFonts w:ascii="Calibri Light" w:hAnsi="Calibri Light" w:cs="Calibri Light"/>
        </w:rPr>
        <w:t>s</w:t>
      </w:r>
      <w:r w:rsidR="00F25B92">
        <w:rPr>
          <w:rFonts w:ascii="Calibri Light" w:hAnsi="Calibri Light" w:cs="Calibri Light"/>
        </w:rPr>
        <w:t xml:space="preserve"> </w:t>
      </w:r>
      <w:r>
        <w:rPr>
          <w:rFonts w:ascii="Calibri Light" w:hAnsi="Calibri Light" w:cs="Calibri Light"/>
        </w:rPr>
        <w:t xml:space="preserve">and </w:t>
      </w:r>
      <w:proofErr w:type="spellStart"/>
      <w:r>
        <w:rPr>
          <w:rFonts w:ascii="Calibri Light" w:hAnsi="Calibri Light" w:cs="Calibri Light"/>
        </w:rPr>
        <w:t>Tetere</w:t>
      </w:r>
      <w:proofErr w:type="spellEnd"/>
      <w:r>
        <w:rPr>
          <w:rFonts w:ascii="Calibri Light" w:hAnsi="Calibri Light" w:cs="Calibri Light"/>
        </w:rPr>
        <w:t xml:space="preserve"> Barrack</w:t>
      </w:r>
      <w:r w:rsidR="00F25B92">
        <w:rPr>
          <w:rFonts w:ascii="Calibri Light" w:hAnsi="Calibri Light" w:cs="Calibri Light"/>
        </w:rPr>
        <w:t>s</w:t>
      </w:r>
      <w:r w:rsidR="0091348A">
        <w:rPr>
          <w:rFonts w:ascii="Calibri Light" w:hAnsi="Calibri Light" w:cs="Calibri Light"/>
        </w:rPr>
        <w:t xml:space="preserve"> in Guadalcanal Province.</w:t>
      </w:r>
      <w:r w:rsidR="00C80096">
        <w:t xml:space="preserve"> </w:t>
      </w:r>
      <w:bookmarkEnd w:id="3"/>
    </w:p>
    <w:p w14:paraId="505CF525" w14:textId="3BA7CDEB" w:rsidR="00FA1418" w:rsidRPr="007B0B16" w:rsidRDefault="00E91DF2" w:rsidP="00D7718E">
      <w:pPr>
        <w:pStyle w:val="Bullet1"/>
        <w:spacing w:before="100" w:line="260" w:lineRule="auto"/>
        <w:jc w:val="both"/>
      </w:pPr>
      <w:r w:rsidRPr="00AE4E9A">
        <w:t>Australia’s Solomon Islands Gender Equality Plan 2020-2</w:t>
      </w:r>
      <w:r>
        <w:t>2</w:t>
      </w:r>
      <w:r w:rsidR="00FA59F4">
        <w:t xml:space="preserve"> helped</w:t>
      </w:r>
      <w:r>
        <w:t xml:space="preserve"> </w:t>
      </w:r>
      <w:r w:rsidRPr="00AE4E9A">
        <w:t>the Ministry of Women, Youth, Children and Family Affairs</w:t>
      </w:r>
      <w:r>
        <w:t xml:space="preserve"> </w:t>
      </w:r>
      <w:r w:rsidRPr="00AE4E9A">
        <w:t>implement the</w:t>
      </w:r>
      <w:r>
        <w:t xml:space="preserve"> national</w:t>
      </w:r>
      <w:r w:rsidRPr="00AE4E9A">
        <w:t xml:space="preserve"> SAFENET referral network</w:t>
      </w:r>
      <w:r>
        <w:t>,</w:t>
      </w:r>
      <w:r w:rsidRPr="00AE4E9A">
        <w:t xml:space="preserve"> </w:t>
      </w:r>
      <w:r>
        <w:t>ensuring</w:t>
      </w:r>
      <w:r w:rsidRPr="00AE4E9A">
        <w:t xml:space="preserve"> service providers worked togeth</w:t>
      </w:r>
      <w:r w:rsidRPr="00620749">
        <w:t xml:space="preserve">er to address </w:t>
      </w:r>
      <w:r w:rsidR="00835B90" w:rsidRPr="00623CDB">
        <w:t xml:space="preserve">gender-based </w:t>
      </w:r>
      <w:r w:rsidRPr="00620749">
        <w:t xml:space="preserve">violence. </w:t>
      </w:r>
      <w:r w:rsidR="00946922">
        <w:t xml:space="preserve">Our </w:t>
      </w:r>
      <w:r w:rsidR="00F87246" w:rsidRPr="00B143B0">
        <w:rPr>
          <w:b/>
          <w:bCs/>
        </w:rPr>
        <w:t xml:space="preserve">funding </w:t>
      </w:r>
      <w:r w:rsidR="00216E61">
        <w:rPr>
          <w:b/>
          <w:bCs/>
        </w:rPr>
        <w:t>for</w:t>
      </w:r>
      <w:r w:rsidR="00216E61" w:rsidRPr="00B143B0">
        <w:rPr>
          <w:b/>
          <w:bCs/>
        </w:rPr>
        <w:t xml:space="preserve"> </w:t>
      </w:r>
      <w:r w:rsidR="00F87246" w:rsidRPr="00B143B0">
        <w:rPr>
          <w:b/>
          <w:bCs/>
        </w:rPr>
        <w:t xml:space="preserve">the Seif </w:t>
      </w:r>
      <w:proofErr w:type="spellStart"/>
      <w:r w:rsidR="00F87246" w:rsidRPr="00B143B0">
        <w:rPr>
          <w:b/>
          <w:bCs/>
        </w:rPr>
        <w:t>Ples</w:t>
      </w:r>
      <w:proofErr w:type="spellEnd"/>
      <w:r w:rsidR="00F87246" w:rsidRPr="00B143B0">
        <w:rPr>
          <w:b/>
          <w:bCs/>
        </w:rPr>
        <w:t xml:space="preserve"> crisis and referral service in Honiara provided accommodation </w:t>
      </w:r>
      <w:r w:rsidR="00216E61">
        <w:rPr>
          <w:b/>
          <w:bCs/>
        </w:rPr>
        <w:t>for</w:t>
      </w:r>
      <w:r w:rsidR="00216E61" w:rsidRPr="00B143B0">
        <w:rPr>
          <w:b/>
          <w:bCs/>
        </w:rPr>
        <w:t xml:space="preserve"> </w:t>
      </w:r>
      <w:r w:rsidR="00F87246" w:rsidRPr="00B143B0">
        <w:rPr>
          <w:b/>
          <w:bCs/>
        </w:rPr>
        <w:t>755 clients</w:t>
      </w:r>
      <w:r w:rsidR="00F87246" w:rsidRPr="00CA6900">
        <w:t>,</w:t>
      </w:r>
      <w:r w:rsidR="00F87246">
        <w:t xml:space="preserve"> medical assistance to</w:t>
      </w:r>
      <w:r w:rsidR="00F87246" w:rsidRPr="00CA6900">
        <w:t xml:space="preserve"> 253 clients</w:t>
      </w:r>
      <w:r w:rsidR="00F87246">
        <w:t xml:space="preserve">, </w:t>
      </w:r>
      <w:r w:rsidR="00362CC7">
        <w:t xml:space="preserve">and </w:t>
      </w:r>
      <w:r w:rsidR="00F87246">
        <w:t>assistance to</w:t>
      </w:r>
      <w:r w:rsidR="00F87246" w:rsidRPr="00CA6900">
        <w:t xml:space="preserve"> 71 cases of </w:t>
      </w:r>
      <w:r w:rsidR="00C37665">
        <w:t>sexual assault</w:t>
      </w:r>
      <w:r w:rsidR="00F87246">
        <w:t xml:space="preserve">. Seif </w:t>
      </w:r>
      <w:proofErr w:type="spellStart"/>
      <w:r w:rsidR="00F87246">
        <w:t>Ples</w:t>
      </w:r>
      <w:proofErr w:type="spellEnd"/>
      <w:r w:rsidR="00F87246">
        <w:t xml:space="preserve">’ </w:t>
      </w:r>
      <w:r w:rsidR="00F87246" w:rsidRPr="00CA6900">
        <w:t>toll-free hotline attended to 7,955 calls</w:t>
      </w:r>
      <w:r w:rsidR="00F87246">
        <w:t xml:space="preserve"> from clients seeking support</w:t>
      </w:r>
      <w:r w:rsidR="00F87246" w:rsidRPr="00CA6900">
        <w:t xml:space="preserve">. </w:t>
      </w:r>
      <w:r>
        <w:t>We</w:t>
      </w:r>
      <w:r w:rsidRPr="00620749">
        <w:t xml:space="preserve"> </w:t>
      </w:r>
      <w:r w:rsidR="00835B90">
        <w:t>funded</w:t>
      </w:r>
      <w:r w:rsidRPr="00A769A4">
        <w:rPr>
          <w:b/>
          <w:bCs/>
        </w:rPr>
        <w:t xml:space="preserve"> </w:t>
      </w:r>
      <w:r w:rsidR="00DB40DA">
        <w:rPr>
          <w:b/>
          <w:bCs/>
        </w:rPr>
        <w:t>UN</w:t>
      </w:r>
      <w:r w:rsidR="00FC55F7" w:rsidRPr="00A769A4">
        <w:rPr>
          <w:b/>
          <w:bCs/>
        </w:rPr>
        <w:t xml:space="preserve"> </w:t>
      </w:r>
      <w:r w:rsidRPr="00A769A4">
        <w:rPr>
          <w:b/>
          <w:bCs/>
        </w:rPr>
        <w:t xml:space="preserve">Women and the International Women’s Development Agency </w:t>
      </w:r>
      <w:r w:rsidR="00DB40DA">
        <w:rPr>
          <w:b/>
          <w:bCs/>
        </w:rPr>
        <w:t>to</w:t>
      </w:r>
      <w:r w:rsidR="00DB40DA" w:rsidRPr="00A769A4">
        <w:rPr>
          <w:b/>
          <w:bCs/>
        </w:rPr>
        <w:t xml:space="preserve"> </w:t>
      </w:r>
      <w:r w:rsidRPr="00A769A4">
        <w:rPr>
          <w:b/>
          <w:bCs/>
        </w:rPr>
        <w:t>improve services and establish the Family Support Centre’s first provincial branch in Gizo, Western Province</w:t>
      </w:r>
      <w:r>
        <w:t xml:space="preserve"> </w:t>
      </w:r>
      <w:r w:rsidR="00835B90">
        <w:t xml:space="preserve">and </w:t>
      </w:r>
      <w:r w:rsidR="008F4281">
        <w:t xml:space="preserve">funded </w:t>
      </w:r>
      <w:r w:rsidR="00835B90">
        <w:t>O</w:t>
      </w:r>
      <w:r w:rsidRPr="007B0B16">
        <w:t xml:space="preserve">xfam and World Vision’s </w:t>
      </w:r>
      <w:r w:rsidR="008F4281">
        <w:t xml:space="preserve">country wide community level </w:t>
      </w:r>
      <w:r>
        <w:t xml:space="preserve">violence </w:t>
      </w:r>
      <w:r w:rsidRPr="007B0B16">
        <w:t>prevention programs</w:t>
      </w:r>
      <w:r w:rsidR="008F4281">
        <w:t>.</w:t>
      </w:r>
      <w:r w:rsidR="00946922">
        <w:t xml:space="preserve"> </w:t>
      </w:r>
    </w:p>
    <w:p w14:paraId="0B17EEFD" w14:textId="757F3A42" w:rsidR="008C1F60" w:rsidRPr="000871B4" w:rsidRDefault="00297FD1" w:rsidP="00D7718E">
      <w:pPr>
        <w:pStyle w:val="Heading3"/>
        <w:spacing w:before="100" w:after="60" w:line="260" w:lineRule="auto"/>
      </w:pPr>
      <w:r w:rsidRPr="000871B4">
        <w:t>Economic recovery</w:t>
      </w:r>
    </w:p>
    <w:p w14:paraId="4A31D57A" w14:textId="6C7A033A" w:rsidR="000370AD" w:rsidRDefault="00BC3FD6" w:rsidP="00D7718E">
      <w:pPr>
        <w:spacing w:before="100" w:line="260" w:lineRule="auto"/>
        <w:jc w:val="both"/>
        <w:rPr>
          <w:color w:val="auto"/>
          <w:lang w:val="en-AU"/>
        </w:rPr>
      </w:pPr>
      <w:r>
        <w:t xml:space="preserve">Australia </w:t>
      </w:r>
      <w:r w:rsidR="00BA2028">
        <w:t xml:space="preserve">supported </w:t>
      </w:r>
      <w:r w:rsidR="00E517A2">
        <w:t xml:space="preserve">Solomon Islands </w:t>
      </w:r>
      <w:r w:rsidR="000D1612">
        <w:t xml:space="preserve">to </w:t>
      </w:r>
      <w:r w:rsidR="00E517A2">
        <w:t xml:space="preserve">respond to the dual impacts of COVID-19 and the </w:t>
      </w:r>
      <w:r w:rsidR="00AC1BD7">
        <w:t xml:space="preserve">November 2021 </w:t>
      </w:r>
      <w:r w:rsidR="00E517A2">
        <w:t>civil unrest</w:t>
      </w:r>
      <w:r w:rsidR="006D24CD">
        <w:t xml:space="preserve"> in Honiara</w:t>
      </w:r>
      <w:r w:rsidR="00E517A2">
        <w:t xml:space="preserve"> </w:t>
      </w:r>
      <w:r w:rsidR="00B65FA5">
        <w:t xml:space="preserve">and </w:t>
      </w:r>
      <w:r w:rsidR="00ED66E2">
        <w:t>encourage</w:t>
      </w:r>
      <w:r w:rsidR="00E517A2">
        <w:t xml:space="preserve"> longer term economic recovery. </w:t>
      </w:r>
      <w:r w:rsidR="000370AD">
        <w:t>In 2021</w:t>
      </w:r>
      <w:r w:rsidR="000370AD" w:rsidRPr="000370AD">
        <w:t xml:space="preserve">, </w:t>
      </w:r>
      <w:r w:rsidR="000370AD" w:rsidRPr="003C3933">
        <w:t>Australia provided $</w:t>
      </w:r>
      <w:r w:rsidR="00E256AA">
        <w:t>40</w:t>
      </w:r>
      <w:r w:rsidR="000370AD" w:rsidRPr="003C3933">
        <w:t xml:space="preserve"> million in budget support </w:t>
      </w:r>
      <w:r w:rsidR="00E256AA">
        <w:t>to SIG</w:t>
      </w:r>
      <w:r w:rsidR="00066CFE">
        <w:t xml:space="preserve">. </w:t>
      </w:r>
      <w:r w:rsidR="008C7350">
        <w:t>This</w:t>
      </w:r>
      <w:r w:rsidR="006159F8" w:rsidRPr="003C3933">
        <w:t xml:space="preserve"> budget support represented 7.</w:t>
      </w:r>
      <w:r w:rsidR="00AF4AB3" w:rsidRPr="003C3933">
        <w:t>39</w:t>
      </w:r>
      <w:r w:rsidR="00AF4AB3">
        <w:t> </w:t>
      </w:r>
      <w:r w:rsidR="006159F8" w:rsidRPr="003C3933">
        <w:t xml:space="preserve">per cent of total domestic </w:t>
      </w:r>
      <w:r w:rsidR="00E4024A" w:rsidRPr="003C3933">
        <w:t>revenue</w:t>
      </w:r>
      <w:r w:rsidR="00E4024A">
        <w:t>. Budget</w:t>
      </w:r>
      <w:r w:rsidR="00620D7C">
        <w:t xml:space="preserve"> support provided critical </w:t>
      </w:r>
      <w:r w:rsidR="001D264D">
        <w:t xml:space="preserve">assistance </w:t>
      </w:r>
      <w:r w:rsidR="00620D7C">
        <w:t xml:space="preserve">for </w:t>
      </w:r>
      <w:r w:rsidR="00C11773">
        <w:t>SIG</w:t>
      </w:r>
      <w:r w:rsidR="00620D7C">
        <w:t xml:space="preserve"> </w:t>
      </w:r>
      <w:r w:rsidR="00C11773">
        <w:t>service</w:t>
      </w:r>
      <w:r w:rsidR="00276CBE">
        <w:t xml:space="preserve"> </w:t>
      </w:r>
      <w:r w:rsidR="00620D7C">
        <w:t>delivery</w:t>
      </w:r>
      <w:r w:rsidR="00A51A8A">
        <w:t>,</w:t>
      </w:r>
      <w:r w:rsidR="00620D7C">
        <w:t xml:space="preserve"> including </w:t>
      </w:r>
      <w:r w:rsidR="00941DBF">
        <w:t xml:space="preserve">in </w:t>
      </w:r>
      <w:r w:rsidR="00620D7C">
        <w:t xml:space="preserve">education, </w:t>
      </w:r>
      <w:proofErr w:type="gramStart"/>
      <w:r w:rsidR="00620D7C">
        <w:t>health</w:t>
      </w:r>
      <w:proofErr w:type="gramEnd"/>
      <w:r w:rsidR="00620D7C">
        <w:t xml:space="preserve"> and infrastructure.</w:t>
      </w:r>
      <w:r w:rsidR="00476EAD">
        <w:t xml:space="preserve"> Specific budget support was provided to allow </w:t>
      </w:r>
      <w:r w:rsidR="006E0F12">
        <w:t xml:space="preserve">SIG </w:t>
      </w:r>
      <w:r w:rsidR="006E0F12" w:rsidRPr="000370AD">
        <w:t xml:space="preserve">time to develop a </w:t>
      </w:r>
      <w:r w:rsidR="006E0F12">
        <w:t xml:space="preserve">strategic </w:t>
      </w:r>
      <w:r w:rsidR="006E0F12" w:rsidRPr="000370AD">
        <w:t>fiscal plan, mitigating the need to seek unsustainable loans</w:t>
      </w:r>
      <w:r w:rsidR="006E0F12">
        <w:t xml:space="preserve"> and </w:t>
      </w:r>
      <w:r w:rsidR="00B510EF">
        <w:t>enabling prioritisation</w:t>
      </w:r>
      <w:r w:rsidR="006E0F12">
        <w:t xml:space="preserve"> of</w:t>
      </w:r>
      <w:r w:rsidR="006E0F12" w:rsidRPr="00CA6900">
        <w:t xml:space="preserve"> </w:t>
      </w:r>
      <w:r w:rsidR="006E0F12">
        <w:t xml:space="preserve">critical services </w:t>
      </w:r>
      <w:r w:rsidR="006E0F12" w:rsidRPr="00CA6900">
        <w:t>expenditure</w:t>
      </w:r>
      <w:r w:rsidR="006E0F12">
        <w:t xml:space="preserve"> </w:t>
      </w:r>
      <w:proofErr w:type="gramStart"/>
      <w:r w:rsidR="006E0F12">
        <w:t>as a result of</w:t>
      </w:r>
      <w:proofErr w:type="gramEnd"/>
      <w:r w:rsidR="006E0F12">
        <w:t xml:space="preserve"> COVID-19 and civil unres</w:t>
      </w:r>
      <w:r w:rsidR="00C11773">
        <w:t>t.</w:t>
      </w:r>
    </w:p>
    <w:p w14:paraId="5F4D5CA3" w14:textId="4922DD40" w:rsidR="00961CDC" w:rsidRDefault="004915B6" w:rsidP="00D7718E">
      <w:pPr>
        <w:spacing w:before="100" w:line="260" w:lineRule="auto"/>
        <w:jc w:val="both"/>
      </w:pPr>
      <w:r w:rsidRPr="00882200">
        <w:t xml:space="preserve">Pacific Australia Labour Mobility </w:t>
      </w:r>
      <w:r w:rsidR="007B582B" w:rsidRPr="00882200">
        <w:t xml:space="preserve">(PALM) </w:t>
      </w:r>
      <w:r w:rsidRPr="00882200">
        <w:t xml:space="preserve">Scheme </w:t>
      </w:r>
      <w:r w:rsidR="007F2A53" w:rsidRPr="00882200">
        <w:t xml:space="preserve">participation </w:t>
      </w:r>
      <w:r w:rsidR="004A2A63" w:rsidRPr="00882200">
        <w:t>increased in 2021-22</w:t>
      </w:r>
      <w:r w:rsidR="0081124C" w:rsidRPr="004D6412">
        <w:t>,</w:t>
      </w:r>
      <w:r w:rsidR="0081124C">
        <w:t xml:space="preserve"> with</w:t>
      </w:r>
      <w:r w:rsidRPr="00282B8E">
        <w:t xml:space="preserve"> 3,694 Solomon Islanders working in Australia</w:t>
      </w:r>
      <w:r w:rsidR="0081124C">
        <w:t xml:space="preserve"> </w:t>
      </w:r>
      <w:r w:rsidR="00D448A7">
        <w:t>on</w:t>
      </w:r>
      <w:r w:rsidR="0081124C">
        <w:t xml:space="preserve"> 30 June</w:t>
      </w:r>
      <w:r w:rsidR="00765E0A">
        <w:t xml:space="preserve"> 2022</w:t>
      </w:r>
      <w:r w:rsidR="004A2A63">
        <w:t xml:space="preserve"> (</w:t>
      </w:r>
      <w:r w:rsidRPr="00282B8E">
        <w:t>2,457 deployed in 2021</w:t>
      </w:r>
      <w:r w:rsidR="007E705B">
        <w:t>-2</w:t>
      </w:r>
      <w:r w:rsidR="004A2A63">
        <w:t>2</w:t>
      </w:r>
      <w:r w:rsidR="000670F5">
        <w:t>). T</w:t>
      </w:r>
      <w:r w:rsidR="001E7304">
        <w:t>he</w:t>
      </w:r>
      <w:r w:rsidRPr="00282B8E">
        <w:t xml:space="preserve"> Central Bank of Solomon Islands report</w:t>
      </w:r>
      <w:r w:rsidR="000670F5">
        <w:t>ed</w:t>
      </w:r>
      <w:r w:rsidR="001E7304">
        <w:t xml:space="preserve"> a</w:t>
      </w:r>
      <w:r w:rsidRPr="00282B8E">
        <w:t xml:space="preserve"> </w:t>
      </w:r>
      <w:r w:rsidR="004D6412">
        <w:br/>
      </w:r>
      <w:r w:rsidRPr="00882200">
        <w:rPr>
          <w:b/>
          <w:bCs/>
        </w:rPr>
        <w:t>68</w:t>
      </w:r>
      <w:r w:rsidR="004A2A63" w:rsidRPr="00882200">
        <w:rPr>
          <w:b/>
          <w:bCs/>
        </w:rPr>
        <w:t xml:space="preserve"> per cent </w:t>
      </w:r>
      <w:r w:rsidRPr="00882200">
        <w:rPr>
          <w:b/>
          <w:bCs/>
        </w:rPr>
        <w:t xml:space="preserve">increase in remittances in 2021 </w:t>
      </w:r>
      <w:r w:rsidR="0095471B" w:rsidRPr="00882200">
        <w:rPr>
          <w:b/>
          <w:bCs/>
        </w:rPr>
        <w:t>to</w:t>
      </w:r>
      <w:r w:rsidRPr="00882200">
        <w:rPr>
          <w:b/>
          <w:bCs/>
        </w:rPr>
        <w:t xml:space="preserve"> </w:t>
      </w:r>
      <w:r w:rsidR="00C8459C" w:rsidRPr="00882200">
        <w:rPr>
          <w:b/>
          <w:bCs/>
        </w:rPr>
        <w:t>$</w:t>
      </w:r>
      <w:r w:rsidRPr="00882200">
        <w:rPr>
          <w:b/>
          <w:bCs/>
        </w:rPr>
        <w:t>38</w:t>
      </w:r>
      <w:r w:rsidR="00C8459C" w:rsidRPr="00882200">
        <w:rPr>
          <w:b/>
          <w:bCs/>
        </w:rPr>
        <w:t>.</w:t>
      </w:r>
      <w:r w:rsidR="00D66865" w:rsidRPr="00882200">
        <w:rPr>
          <w:b/>
          <w:bCs/>
        </w:rPr>
        <w:t xml:space="preserve">3 </w:t>
      </w:r>
      <w:r w:rsidR="00C8459C" w:rsidRPr="00882200">
        <w:rPr>
          <w:b/>
          <w:bCs/>
        </w:rPr>
        <w:t>million</w:t>
      </w:r>
      <w:r w:rsidRPr="00282B8E">
        <w:t>,</w:t>
      </w:r>
      <w:r w:rsidR="008D7613">
        <w:t xml:space="preserve"> </w:t>
      </w:r>
      <w:r w:rsidRPr="00282B8E">
        <w:t xml:space="preserve">attributed to </w:t>
      </w:r>
      <w:r w:rsidR="007B582B">
        <w:t>PALM</w:t>
      </w:r>
      <w:r w:rsidRPr="00282B8E">
        <w:t xml:space="preserve"> workers. </w:t>
      </w:r>
      <w:r w:rsidR="009B543F" w:rsidRPr="000A6470">
        <w:t>Australia’s $11.7 million contribution to the World Bank</w:t>
      </w:r>
      <w:r w:rsidR="00B72D7F">
        <w:t>’s</w:t>
      </w:r>
      <w:r w:rsidR="009B543F" w:rsidRPr="000A6470">
        <w:t xml:space="preserve"> </w:t>
      </w:r>
      <w:r w:rsidR="009B543F" w:rsidRPr="00882200">
        <w:t xml:space="preserve">Community Access and Urban Services Enhancement Project (CAUSE) </w:t>
      </w:r>
      <w:r w:rsidR="00EF4BDE" w:rsidRPr="00882200">
        <w:t>supported</w:t>
      </w:r>
      <w:r w:rsidR="00EF4BDE" w:rsidRPr="0050538A">
        <w:rPr>
          <w:b/>
          <w:bCs/>
        </w:rPr>
        <w:t xml:space="preserve"> </w:t>
      </w:r>
      <w:r w:rsidR="009B543F" w:rsidRPr="0050538A">
        <w:rPr>
          <w:b/>
          <w:bCs/>
        </w:rPr>
        <w:t>jobs for vulnerable people in Malaita, Western and Guadalcanal provinces</w:t>
      </w:r>
      <w:r w:rsidR="0086508C">
        <w:t xml:space="preserve">. </w:t>
      </w:r>
      <w:proofErr w:type="spellStart"/>
      <w:r w:rsidR="00E02D33" w:rsidRPr="00F2579D">
        <w:t>Strongim</w:t>
      </w:r>
      <w:proofErr w:type="spellEnd"/>
      <w:r w:rsidR="00E02D33" w:rsidRPr="00F2579D">
        <w:t xml:space="preserve"> </w:t>
      </w:r>
      <w:proofErr w:type="spellStart"/>
      <w:r w:rsidR="00E02D33" w:rsidRPr="00F2579D">
        <w:t>Bisnis</w:t>
      </w:r>
      <w:proofErr w:type="spellEnd"/>
      <w:r w:rsidR="008B497D">
        <w:t>’ partnership with</w:t>
      </w:r>
      <w:r w:rsidR="00E02D33" w:rsidRPr="00F2579D">
        <w:t xml:space="preserve"> the Solomon Islands Women in Business Association </w:t>
      </w:r>
      <w:r w:rsidR="008B497D">
        <w:t>provided</w:t>
      </w:r>
      <w:r w:rsidR="00E02D33" w:rsidRPr="00F2579D">
        <w:t xml:space="preserve"> </w:t>
      </w:r>
      <w:r w:rsidR="00E02D33" w:rsidRPr="00B143B0">
        <w:rPr>
          <w:b/>
          <w:bCs/>
        </w:rPr>
        <w:t>business development services training to 61 women entrepreneurs</w:t>
      </w:r>
      <w:r w:rsidR="00F74AD5">
        <w:t xml:space="preserve">. </w:t>
      </w:r>
    </w:p>
    <w:p w14:paraId="2962C4A5" w14:textId="77777777" w:rsidR="002D0D16" w:rsidRDefault="00C8523A" w:rsidP="00D7718E">
      <w:pPr>
        <w:spacing w:before="100" w:line="260" w:lineRule="auto"/>
        <w:jc w:val="both"/>
      </w:pPr>
      <w:r w:rsidRPr="003E3A00">
        <w:t>Through</w:t>
      </w:r>
      <w:r>
        <w:t xml:space="preserve"> the Australian and New Zealand funded </w:t>
      </w:r>
      <w:r w:rsidRPr="00882200">
        <w:t xml:space="preserve">Pacific Horticultural and Agricultural </w:t>
      </w:r>
      <w:r w:rsidR="008F7220" w:rsidRPr="00882200">
        <w:t xml:space="preserve">(PHAMA) </w:t>
      </w:r>
      <w:r w:rsidRPr="00882200">
        <w:t>Plus</w:t>
      </w:r>
      <w:r w:rsidR="008F7220" w:rsidRPr="00882200">
        <w:t xml:space="preserve"> Program</w:t>
      </w:r>
      <w:r w:rsidRPr="00882200">
        <w:t xml:space="preserve"> we </w:t>
      </w:r>
      <w:r w:rsidR="00C0449B" w:rsidRPr="00882200">
        <w:t>helped</w:t>
      </w:r>
      <w:r w:rsidR="00C0449B" w:rsidRPr="00065449">
        <w:rPr>
          <w:b/>
          <w:bCs/>
        </w:rPr>
        <w:t xml:space="preserve"> </w:t>
      </w:r>
      <w:r w:rsidRPr="00065449">
        <w:rPr>
          <w:b/>
          <w:bCs/>
        </w:rPr>
        <w:t xml:space="preserve">smallholder farmers </w:t>
      </w:r>
      <w:r w:rsidR="00405429" w:rsidRPr="00065449">
        <w:rPr>
          <w:b/>
          <w:bCs/>
        </w:rPr>
        <w:t xml:space="preserve">to </w:t>
      </w:r>
      <w:r w:rsidRPr="00065449">
        <w:rPr>
          <w:b/>
          <w:bCs/>
        </w:rPr>
        <w:t>increase exports by sharing freight and logistics costs through a digital platform</w:t>
      </w:r>
      <w:r>
        <w:t>. This enabled over 50 farmer groups to contribute beans to the first consignment of cocoa exported to the United Kingdom.</w:t>
      </w:r>
      <w:r w:rsidR="00C321D5">
        <w:t xml:space="preserve"> </w:t>
      </w:r>
    </w:p>
    <w:p w14:paraId="09E38AA4" w14:textId="24C15EE9" w:rsidR="00735F27" w:rsidRPr="007B0B16" w:rsidRDefault="006D2FE0" w:rsidP="00D7718E">
      <w:pPr>
        <w:spacing w:before="100" w:line="260" w:lineRule="auto"/>
        <w:jc w:val="both"/>
      </w:pPr>
      <w:r w:rsidRPr="005D3DE9">
        <w:t xml:space="preserve">Australia’s </w:t>
      </w:r>
      <w:r w:rsidR="007666E7" w:rsidRPr="005D3DE9">
        <w:t>$250 million</w:t>
      </w:r>
      <w:r w:rsidR="00735C8E">
        <w:t xml:space="preserve"> (2019-2030) </w:t>
      </w:r>
      <w:r w:rsidRPr="005D3DE9">
        <w:t xml:space="preserve">Solomon Islands Infrastructure Program (SIIP) </w:t>
      </w:r>
      <w:r w:rsidR="00B3461E">
        <w:t xml:space="preserve">commenced </w:t>
      </w:r>
      <w:r w:rsidR="00AB05D8">
        <w:t xml:space="preserve">a series of </w:t>
      </w:r>
      <w:r w:rsidR="008B497D">
        <w:t>new market</w:t>
      </w:r>
      <w:r w:rsidR="008F515B">
        <w:t>s</w:t>
      </w:r>
      <w:r w:rsidR="005327CD">
        <w:t xml:space="preserve"> across the country</w:t>
      </w:r>
      <w:r w:rsidR="0091348A">
        <w:t>,</w:t>
      </w:r>
      <w:r w:rsidR="00152F74" w:rsidRPr="005D3DE9">
        <w:t xml:space="preserve"> </w:t>
      </w:r>
      <w:r w:rsidRPr="005D3DE9">
        <w:t xml:space="preserve">upgrades to </w:t>
      </w:r>
      <w:r w:rsidR="0091348A">
        <w:t xml:space="preserve">Western Provinces’ </w:t>
      </w:r>
      <w:proofErr w:type="spellStart"/>
      <w:r w:rsidRPr="005D3DE9">
        <w:t>Seghe</w:t>
      </w:r>
      <w:proofErr w:type="spellEnd"/>
      <w:r w:rsidRPr="005D3DE9">
        <w:t xml:space="preserve"> </w:t>
      </w:r>
      <w:r w:rsidR="00B3461E">
        <w:t xml:space="preserve">and </w:t>
      </w:r>
      <w:r w:rsidR="0091348A">
        <w:t>Choise</w:t>
      </w:r>
      <w:r w:rsidR="00623CDB">
        <w:t>u</w:t>
      </w:r>
      <w:r w:rsidR="0091348A">
        <w:t xml:space="preserve">l’s </w:t>
      </w:r>
      <w:r w:rsidR="00B3461E">
        <w:t>Taro airfields</w:t>
      </w:r>
      <w:r w:rsidR="00152F74" w:rsidRPr="005D3DE9">
        <w:t xml:space="preserve"> </w:t>
      </w:r>
      <w:r w:rsidR="008B497D">
        <w:t xml:space="preserve">(co-funded </w:t>
      </w:r>
      <w:r w:rsidR="00152F74" w:rsidRPr="005D3DE9">
        <w:t>with New Zealand</w:t>
      </w:r>
      <w:r w:rsidR="008B497D">
        <w:t>)</w:t>
      </w:r>
      <w:r w:rsidR="0091348A">
        <w:t>,</w:t>
      </w:r>
      <w:r w:rsidR="00AE6F87" w:rsidRPr="005D3DE9">
        <w:t xml:space="preserve"> designs for </w:t>
      </w:r>
      <w:r w:rsidR="0091348A">
        <w:t xml:space="preserve">Wester Province’s </w:t>
      </w:r>
      <w:r w:rsidR="00AE6F87" w:rsidRPr="005D3DE9">
        <w:t>Noro Port redevelopment</w:t>
      </w:r>
      <w:r w:rsidR="0091348A">
        <w:t>,</w:t>
      </w:r>
      <w:r w:rsidR="003F1B8A" w:rsidRPr="005D3DE9">
        <w:t xml:space="preserve"> and a</w:t>
      </w:r>
      <w:r w:rsidR="00376FC3">
        <w:t xml:space="preserve"> water supply and sanitation feasibility study for</w:t>
      </w:r>
      <w:r w:rsidR="00826678">
        <w:t xml:space="preserve"> </w:t>
      </w:r>
      <w:r w:rsidR="0091348A">
        <w:t xml:space="preserve">Malaita’s </w:t>
      </w:r>
      <w:r w:rsidR="00C321D5">
        <w:t xml:space="preserve">Bina Harbour </w:t>
      </w:r>
      <w:r w:rsidR="003F1B8A" w:rsidRPr="005D3DE9">
        <w:t>tuna processing plan</w:t>
      </w:r>
      <w:r w:rsidR="003B3887">
        <w:t>t</w:t>
      </w:r>
      <w:r w:rsidR="003F1B8A" w:rsidRPr="005D3DE9">
        <w:t xml:space="preserve">. </w:t>
      </w:r>
      <w:r w:rsidR="00F17CC8">
        <w:t>Construction commenced on</w:t>
      </w:r>
      <w:r w:rsidR="00D45A5F">
        <w:t xml:space="preserve"> the access road for the </w:t>
      </w:r>
      <w:r w:rsidR="00617716" w:rsidRPr="005D3DE9">
        <w:t>Tina River Hydropower Project</w:t>
      </w:r>
      <w:r w:rsidR="00D45A5F">
        <w:t xml:space="preserve"> and</w:t>
      </w:r>
      <w:r w:rsidR="00AE47E5">
        <w:t xml:space="preserve"> environmental and </w:t>
      </w:r>
      <w:r w:rsidR="001B761D">
        <w:t>social management</w:t>
      </w:r>
      <w:r w:rsidR="00BF18CE">
        <w:t xml:space="preserve"> plans</w:t>
      </w:r>
      <w:r w:rsidR="005B27A9">
        <w:t xml:space="preserve"> are </w:t>
      </w:r>
      <w:r w:rsidR="00C321D5">
        <w:t>nearly finalised</w:t>
      </w:r>
      <w:r w:rsidR="005B27A9">
        <w:t>.</w:t>
      </w:r>
      <w:r w:rsidR="00735F27" w:rsidRPr="00735F27">
        <w:t xml:space="preserve"> </w:t>
      </w:r>
      <w:r w:rsidR="004727F1" w:rsidRPr="00882200">
        <w:t>Our</w:t>
      </w:r>
      <w:r w:rsidR="00735F27" w:rsidRPr="00882200">
        <w:t xml:space="preserve"> </w:t>
      </w:r>
      <w:r w:rsidR="004F291D" w:rsidRPr="00882200">
        <w:t>funding for</w:t>
      </w:r>
      <w:r w:rsidR="00735F27" w:rsidRPr="00882200">
        <w:t xml:space="preserve"> UN</w:t>
      </w:r>
      <w:r w:rsidR="00191F33" w:rsidRPr="00882200">
        <w:t xml:space="preserve"> </w:t>
      </w:r>
      <w:r w:rsidR="00735F27" w:rsidRPr="00882200">
        <w:t>W</w:t>
      </w:r>
      <w:r w:rsidR="00191F33" w:rsidRPr="00882200">
        <w:t>omen</w:t>
      </w:r>
      <w:r w:rsidR="00735F27" w:rsidRPr="00882200">
        <w:t xml:space="preserve">’s Markets for Change delivered </w:t>
      </w:r>
      <w:r w:rsidR="00735F27" w:rsidRPr="00065449">
        <w:rPr>
          <w:b/>
          <w:bCs/>
        </w:rPr>
        <w:t>women’s safety infrastructure upgrades to</w:t>
      </w:r>
      <w:r w:rsidR="0091348A">
        <w:rPr>
          <w:b/>
          <w:bCs/>
        </w:rPr>
        <w:t xml:space="preserve"> Malaita’s </w:t>
      </w:r>
      <w:r w:rsidR="00735F27" w:rsidRPr="00065449">
        <w:rPr>
          <w:b/>
          <w:bCs/>
        </w:rPr>
        <w:t>Auki</w:t>
      </w:r>
      <w:r w:rsidR="0091348A">
        <w:rPr>
          <w:b/>
          <w:bCs/>
        </w:rPr>
        <w:t xml:space="preserve"> market </w:t>
      </w:r>
      <w:r w:rsidR="00735F27" w:rsidRPr="00065449">
        <w:rPr>
          <w:b/>
          <w:bCs/>
        </w:rPr>
        <w:t xml:space="preserve">and Honiara Central </w:t>
      </w:r>
      <w:r w:rsidR="00623CDB" w:rsidRPr="00065449">
        <w:rPr>
          <w:b/>
          <w:bCs/>
        </w:rPr>
        <w:t>market</w:t>
      </w:r>
      <w:r w:rsidR="00623CDB">
        <w:rPr>
          <w:b/>
          <w:bCs/>
        </w:rPr>
        <w:t xml:space="preserve"> and</w:t>
      </w:r>
      <w:r w:rsidR="00735F27" w:rsidRPr="00065449">
        <w:rPr>
          <w:b/>
          <w:bCs/>
        </w:rPr>
        <w:t xml:space="preserve"> established the predominantly women-led Munda Market Vendors Association</w:t>
      </w:r>
      <w:r w:rsidR="004F291D">
        <w:rPr>
          <w:b/>
          <w:bCs/>
        </w:rPr>
        <w:t xml:space="preserve"> in Western Province</w:t>
      </w:r>
      <w:r w:rsidR="00735F27" w:rsidRPr="00065449">
        <w:rPr>
          <w:b/>
          <w:bCs/>
        </w:rPr>
        <w:t>.</w:t>
      </w:r>
    </w:p>
    <w:p w14:paraId="12E24BAE" w14:textId="08969DAA" w:rsidR="00BC1FED" w:rsidRDefault="00F70D72" w:rsidP="0021065D">
      <w:pPr>
        <w:pStyle w:val="Heading2"/>
      </w:pPr>
      <w:r w:rsidRPr="008B0B1E">
        <w:lastRenderedPageBreak/>
        <w:t xml:space="preserve"> </w:t>
      </w:r>
      <w:r w:rsidR="00121DDD">
        <w:t>Annex 1</w:t>
      </w:r>
      <w:r w:rsidR="001F7F4D" w:rsidRPr="002945C4">
        <w:t xml:space="preserve">: </w:t>
      </w:r>
      <w:r w:rsidR="00540A22">
        <w:t xml:space="preserve">Progress against </w:t>
      </w:r>
      <w:r w:rsidR="008A1503">
        <w:t xml:space="preserve">COVID-19 </w:t>
      </w:r>
      <w:r w:rsidR="008C1A18">
        <w:t xml:space="preserve">development </w:t>
      </w:r>
      <w:r w:rsidR="008A1503">
        <w:t xml:space="preserve">Response plan </w:t>
      </w:r>
      <w:r w:rsidR="00E1666D">
        <w:t>results indicators</w:t>
      </w:r>
    </w:p>
    <w:p w14:paraId="53E0B1CB" w14:textId="4861D448" w:rsidR="00AE2B7B" w:rsidRPr="008A745C" w:rsidRDefault="00AE2B7B" w:rsidP="00D7718E">
      <w:pPr>
        <w:pStyle w:val="Heading3"/>
      </w:pPr>
      <w:r w:rsidRPr="008A745C">
        <w:t>Health Security</w:t>
      </w:r>
    </w:p>
    <w:tbl>
      <w:tblPr>
        <w:tblStyle w:val="TableGrid"/>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health security"/>
      </w:tblPr>
      <w:tblGrid>
        <w:gridCol w:w="3114"/>
        <w:gridCol w:w="7422"/>
      </w:tblGrid>
      <w:tr w:rsidR="004F5615" w:rsidRPr="005D3DE9" w14:paraId="228F7F02" w14:textId="77777777" w:rsidTr="00882200">
        <w:tc>
          <w:tcPr>
            <w:tcW w:w="3114" w:type="dxa"/>
            <w:shd w:val="clear" w:color="auto" w:fill="A2DCD1" w:themeFill="accent1" w:themeFillTint="99"/>
          </w:tcPr>
          <w:p w14:paraId="7116F4F5" w14:textId="2BCC79D7" w:rsidR="004F5615" w:rsidRPr="005D3DE9" w:rsidRDefault="00A96364" w:rsidP="00BB6E32">
            <w:pPr>
              <w:spacing w:before="0" w:after="0" w:line="240" w:lineRule="auto"/>
              <w:jc w:val="both"/>
              <w:rPr>
                <w:b/>
                <w:sz w:val="20"/>
                <w:szCs w:val="20"/>
              </w:rPr>
            </w:pPr>
            <w:r w:rsidRPr="005D3DE9">
              <w:rPr>
                <w:b/>
                <w:sz w:val="20"/>
                <w:szCs w:val="20"/>
              </w:rPr>
              <w:t xml:space="preserve">Key Results </w:t>
            </w:r>
            <w:r w:rsidR="00E1666D" w:rsidRPr="005D3DE9">
              <w:rPr>
                <w:b/>
                <w:sz w:val="20"/>
                <w:szCs w:val="20"/>
              </w:rPr>
              <w:t>Indicators</w:t>
            </w:r>
          </w:p>
        </w:tc>
        <w:tc>
          <w:tcPr>
            <w:tcW w:w="7422" w:type="dxa"/>
            <w:shd w:val="clear" w:color="auto" w:fill="A2DCD1" w:themeFill="accent1" w:themeFillTint="99"/>
          </w:tcPr>
          <w:p w14:paraId="18C04122" w14:textId="30B10914" w:rsidR="004F5615" w:rsidRPr="005D3DE9" w:rsidRDefault="00AD19F7" w:rsidP="00BB6E32">
            <w:pPr>
              <w:spacing w:before="0" w:after="0"/>
              <w:ind w:left="100"/>
              <w:jc w:val="both"/>
              <w:rPr>
                <w:sz w:val="20"/>
                <w:szCs w:val="20"/>
              </w:rPr>
            </w:pPr>
            <w:r w:rsidRPr="005D3DE9">
              <w:rPr>
                <w:b/>
                <w:sz w:val="20"/>
                <w:szCs w:val="20"/>
              </w:rPr>
              <w:t>Progress/Result</w:t>
            </w:r>
          </w:p>
        </w:tc>
      </w:tr>
      <w:tr w:rsidR="007816C2" w:rsidRPr="005D3DE9" w14:paraId="5D4066B5" w14:textId="77777777" w:rsidTr="31F83E4E">
        <w:trPr>
          <w:trHeight w:val="1100"/>
          <w:tblHeader/>
        </w:trPr>
        <w:tc>
          <w:tcPr>
            <w:tcW w:w="3114" w:type="dxa"/>
          </w:tcPr>
          <w:p w14:paraId="354112BD" w14:textId="6AEA3550" w:rsidR="007816C2" w:rsidRPr="005D3DE9" w:rsidRDefault="007816C2" w:rsidP="00882200">
            <w:pPr>
              <w:spacing w:before="60" w:line="260" w:lineRule="auto"/>
              <w:ind w:left="96"/>
              <w:rPr>
                <w:color w:val="auto"/>
                <w:sz w:val="20"/>
                <w:szCs w:val="20"/>
              </w:rPr>
            </w:pPr>
            <w:r w:rsidRPr="005D3DE9">
              <w:rPr>
                <w:color w:val="auto"/>
                <w:sz w:val="20"/>
                <w:szCs w:val="20"/>
              </w:rPr>
              <w:t>Decrease in vector borne disease incidence</w:t>
            </w:r>
          </w:p>
        </w:tc>
        <w:tc>
          <w:tcPr>
            <w:tcW w:w="7422" w:type="dxa"/>
          </w:tcPr>
          <w:p w14:paraId="1C78B18E" w14:textId="6AF9705D" w:rsidR="007816C2" w:rsidRPr="005D3DE9" w:rsidRDefault="0056169F" w:rsidP="00882200">
            <w:pPr>
              <w:spacing w:before="60" w:line="260" w:lineRule="auto"/>
              <w:ind w:left="96"/>
              <w:rPr>
                <w:color w:val="auto"/>
                <w:sz w:val="20"/>
                <w:szCs w:val="20"/>
              </w:rPr>
            </w:pPr>
            <w:r w:rsidRPr="00C57FA8">
              <w:rPr>
                <w:color w:val="auto"/>
                <w:sz w:val="20"/>
                <w:szCs w:val="20"/>
              </w:rPr>
              <w:t>Preliminary data indicates an 8 per cent increase in malaria in 2021 as MHMS resources were diverted to COVID</w:t>
            </w:r>
            <w:r w:rsidR="00F012DF">
              <w:rPr>
                <w:color w:val="auto"/>
                <w:sz w:val="20"/>
                <w:szCs w:val="20"/>
              </w:rPr>
              <w:t>-19.</w:t>
            </w:r>
            <w:r w:rsidR="00C57FA8">
              <w:rPr>
                <w:color w:val="auto"/>
                <w:sz w:val="20"/>
                <w:szCs w:val="20"/>
              </w:rPr>
              <w:t xml:space="preserve"> </w:t>
            </w:r>
            <w:r w:rsidR="00F012DF">
              <w:rPr>
                <w:color w:val="auto"/>
                <w:sz w:val="20"/>
                <w:szCs w:val="20"/>
              </w:rPr>
              <w:t>Our</w:t>
            </w:r>
            <w:r w:rsidR="00C57FA8">
              <w:rPr>
                <w:color w:val="auto"/>
                <w:sz w:val="20"/>
                <w:szCs w:val="20"/>
              </w:rPr>
              <w:t xml:space="preserve"> </w:t>
            </w:r>
            <w:r w:rsidRPr="00C57FA8">
              <w:rPr>
                <w:color w:val="auto"/>
                <w:sz w:val="20"/>
                <w:szCs w:val="20"/>
              </w:rPr>
              <w:t>budget support to MHMS in 2021-22 contributed to malaria and dengue vector surveillance and monitoring in four provinces and procurement of training equipment. We also funded a Malaria Public Health Officer in WHO’s country office.</w:t>
            </w:r>
          </w:p>
        </w:tc>
      </w:tr>
      <w:tr w:rsidR="007816C2" w:rsidRPr="005D3DE9" w14:paraId="4AD746D8" w14:textId="77777777" w:rsidTr="31F83E4E">
        <w:trPr>
          <w:tblHeader/>
        </w:trPr>
        <w:tc>
          <w:tcPr>
            <w:tcW w:w="3114" w:type="dxa"/>
          </w:tcPr>
          <w:p w14:paraId="0AB10A98" w14:textId="2740826E" w:rsidR="007816C2" w:rsidRPr="005D3DE9" w:rsidRDefault="007816C2" w:rsidP="00882200">
            <w:pPr>
              <w:spacing w:before="60" w:line="260" w:lineRule="auto"/>
              <w:ind w:left="96"/>
              <w:rPr>
                <w:color w:val="auto"/>
                <w:sz w:val="20"/>
                <w:szCs w:val="20"/>
              </w:rPr>
            </w:pPr>
            <w:r w:rsidRPr="005D3DE9">
              <w:rPr>
                <w:color w:val="auto"/>
                <w:sz w:val="20"/>
                <w:szCs w:val="20"/>
              </w:rPr>
              <w:t>Increase in rate of supervised deliveries</w:t>
            </w:r>
          </w:p>
        </w:tc>
        <w:tc>
          <w:tcPr>
            <w:tcW w:w="7422" w:type="dxa"/>
          </w:tcPr>
          <w:p w14:paraId="44F01EB8" w14:textId="74B9CD11" w:rsidR="007816C2" w:rsidRPr="005D3DE9" w:rsidRDefault="007816C2" w:rsidP="00882200">
            <w:pPr>
              <w:spacing w:before="60" w:line="260" w:lineRule="auto"/>
              <w:ind w:left="96"/>
              <w:rPr>
                <w:color w:val="auto"/>
                <w:sz w:val="20"/>
                <w:szCs w:val="20"/>
              </w:rPr>
            </w:pPr>
            <w:r w:rsidRPr="005D3DE9">
              <w:rPr>
                <w:color w:val="auto"/>
                <w:sz w:val="20"/>
                <w:szCs w:val="20"/>
              </w:rPr>
              <w:t xml:space="preserve">Budget support to MHMS </w:t>
            </w:r>
            <w:r w:rsidR="007D7CB1">
              <w:rPr>
                <w:color w:val="auto"/>
                <w:sz w:val="20"/>
                <w:szCs w:val="20"/>
              </w:rPr>
              <w:t>to</w:t>
            </w:r>
            <w:r w:rsidR="00673954">
              <w:rPr>
                <w:color w:val="auto"/>
                <w:sz w:val="20"/>
                <w:szCs w:val="20"/>
              </w:rPr>
              <w:t xml:space="preserve"> </w:t>
            </w:r>
            <w:r w:rsidRPr="005D3DE9">
              <w:rPr>
                <w:color w:val="auto"/>
                <w:sz w:val="20"/>
                <w:szCs w:val="20"/>
              </w:rPr>
              <w:t>contributed to 90.2 per cent of women having supervised deliveries (</w:t>
            </w:r>
            <w:r w:rsidR="009A5B5C">
              <w:rPr>
                <w:color w:val="auto"/>
                <w:sz w:val="20"/>
                <w:szCs w:val="20"/>
              </w:rPr>
              <w:t>retaining and building on</w:t>
            </w:r>
            <w:r w:rsidRPr="005D3DE9">
              <w:rPr>
                <w:color w:val="auto"/>
                <w:sz w:val="20"/>
                <w:szCs w:val="20"/>
              </w:rPr>
              <w:t xml:space="preserve"> 90.1 per cent in 2020).</w:t>
            </w:r>
          </w:p>
        </w:tc>
      </w:tr>
      <w:tr w:rsidR="007816C2" w:rsidRPr="005D3DE9" w14:paraId="561E10FB" w14:textId="77777777" w:rsidTr="31F83E4E">
        <w:trPr>
          <w:tblHeader/>
        </w:trPr>
        <w:tc>
          <w:tcPr>
            <w:tcW w:w="3114" w:type="dxa"/>
          </w:tcPr>
          <w:p w14:paraId="3FC5A9AE" w14:textId="1CFACDFC" w:rsidR="007816C2" w:rsidRPr="005D3DE9" w:rsidRDefault="007816C2" w:rsidP="00882200">
            <w:pPr>
              <w:spacing w:before="60" w:line="260" w:lineRule="auto"/>
              <w:ind w:left="96"/>
              <w:rPr>
                <w:color w:val="auto"/>
                <w:sz w:val="20"/>
                <w:szCs w:val="20"/>
              </w:rPr>
            </w:pPr>
            <w:r w:rsidRPr="005D3DE9">
              <w:rPr>
                <w:color w:val="auto"/>
                <w:sz w:val="20"/>
                <w:szCs w:val="20"/>
              </w:rPr>
              <w:t>Number of children immunised with Australian support</w:t>
            </w:r>
          </w:p>
        </w:tc>
        <w:tc>
          <w:tcPr>
            <w:tcW w:w="7422" w:type="dxa"/>
          </w:tcPr>
          <w:p w14:paraId="1D0B508E" w14:textId="408DB8BE" w:rsidR="007816C2" w:rsidRPr="005D3DE9" w:rsidRDefault="007816C2" w:rsidP="00882200">
            <w:pPr>
              <w:spacing w:before="60" w:line="260" w:lineRule="auto"/>
              <w:ind w:left="96"/>
              <w:rPr>
                <w:color w:val="auto"/>
                <w:sz w:val="20"/>
                <w:szCs w:val="20"/>
              </w:rPr>
            </w:pPr>
            <w:r w:rsidRPr="005D3DE9">
              <w:rPr>
                <w:color w:val="auto"/>
                <w:sz w:val="20"/>
                <w:szCs w:val="20"/>
              </w:rPr>
              <w:t xml:space="preserve">Data not available for this reporting period. </w:t>
            </w:r>
            <w:r w:rsidR="00561745" w:rsidRPr="005D3DE9">
              <w:rPr>
                <w:color w:val="auto"/>
                <w:sz w:val="20"/>
                <w:szCs w:val="20"/>
              </w:rPr>
              <w:t>We s</w:t>
            </w:r>
            <w:r w:rsidRPr="005D3DE9">
              <w:rPr>
                <w:color w:val="auto"/>
                <w:sz w:val="20"/>
                <w:szCs w:val="20"/>
              </w:rPr>
              <w:t xml:space="preserve">upported MHMS with </w:t>
            </w:r>
            <w:r w:rsidR="00561745" w:rsidRPr="005D3DE9">
              <w:rPr>
                <w:color w:val="auto"/>
                <w:sz w:val="20"/>
                <w:szCs w:val="20"/>
              </w:rPr>
              <w:t xml:space="preserve">an embedded </w:t>
            </w:r>
            <w:r w:rsidRPr="005D3DE9">
              <w:rPr>
                <w:color w:val="auto"/>
                <w:sz w:val="20"/>
                <w:szCs w:val="20"/>
              </w:rPr>
              <w:t>epidemiologist from the National Centre for Immunisation Research and Surveillance</w:t>
            </w:r>
            <w:r w:rsidR="00D22072" w:rsidRPr="005D3DE9">
              <w:rPr>
                <w:color w:val="auto"/>
                <w:sz w:val="20"/>
                <w:szCs w:val="20"/>
              </w:rPr>
              <w:t xml:space="preserve"> to support data collection and reporting.</w:t>
            </w:r>
          </w:p>
        </w:tc>
      </w:tr>
      <w:tr w:rsidR="007816C2" w:rsidRPr="005D3DE9" w14:paraId="6024B2EE" w14:textId="77777777" w:rsidTr="31F83E4E">
        <w:trPr>
          <w:tblHeader/>
        </w:trPr>
        <w:tc>
          <w:tcPr>
            <w:tcW w:w="3114" w:type="dxa"/>
          </w:tcPr>
          <w:p w14:paraId="5A7E4C44" w14:textId="49CBBFFC" w:rsidR="007816C2" w:rsidRPr="005D3DE9" w:rsidRDefault="007816C2" w:rsidP="00882200">
            <w:pPr>
              <w:spacing w:before="60" w:line="260" w:lineRule="auto"/>
              <w:ind w:left="96"/>
              <w:rPr>
                <w:color w:val="auto"/>
                <w:sz w:val="20"/>
                <w:szCs w:val="20"/>
              </w:rPr>
            </w:pPr>
            <w:bookmarkStart w:id="4" w:name="_Hlk120093012"/>
            <w:r w:rsidRPr="005D3DE9">
              <w:rPr>
                <w:color w:val="auto"/>
                <w:sz w:val="20"/>
                <w:szCs w:val="20"/>
              </w:rPr>
              <w:t>Budget execution rate for Ministry of Health and Medical Services over 75 per cent</w:t>
            </w:r>
          </w:p>
        </w:tc>
        <w:tc>
          <w:tcPr>
            <w:tcW w:w="7422" w:type="dxa"/>
          </w:tcPr>
          <w:p w14:paraId="3A40B9CD" w14:textId="50FBE124" w:rsidR="007816C2" w:rsidRPr="005D3DE9" w:rsidRDefault="70ADC868" w:rsidP="00882200">
            <w:pPr>
              <w:spacing w:before="60" w:line="260" w:lineRule="auto"/>
              <w:ind w:left="96"/>
              <w:rPr>
                <w:color w:val="auto"/>
                <w:sz w:val="20"/>
                <w:szCs w:val="20"/>
              </w:rPr>
            </w:pPr>
            <w:r w:rsidRPr="31F83E4E">
              <w:rPr>
                <w:color w:val="auto"/>
                <w:sz w:val="20"/>
                <w:szCs w:val="20"/>
              </w:rPr>
              <w:t>In 2021, the execution rate for Australian</w:t>
            </w:r>
            <w:r w:rsidR="2E387754" w:rsidRPr="31F83E4E">
              <w:rPr>
                <w:color w:val="auto"/>
                <w:sz w:val="20"/>
                <w:szCs w:val="20"/>
              </w:rPr>
              <w:t xml:space="preserve"> budget support</w:t>
            </w:r>
            <w:r w:rsidRPr="31F83E4E">
              <w:rPr>
                <w:color w:val="auto"/>
                <w:sz w:val="20"/>
                <w:szCs w:val="20"/>
              </w:rPr>
              <w:t xml:space="preserve"> funds was 70 per cent and </w:t>
            </w:r>
            <w:r w:rsidR="5C487C82" w:rsidRPr="31F83E4E">
              <w:rPr>
                <w:color w:val="auto"/>
                <w:sz w:val="20"/>
                <w:szCs w:val="20"/>
              </w:rPr>
              <w:t>48 </w:t>
            </w:r>
            <w:r w:rsidRPr="31F83E4E">
              <w:rPr>
                <w:color w:val="auto"/>
                <w:sz w:val="20"/>
                <w:szCs w:val="20"/>
              </w:rPr>
              <w:t xml:space="preserve">per cent for all donor funds (down from 61 per cent in 2020). Our flexibility to reallocate </w:t>
            </w:r>
            <w:r w:rsidR="0A53C7BC" w:rsidRPr="31F83E4E">
              <w:rPr>
                <w:color w:val="auto"/>
                <w:sz w:val="20"/>
                <w:szCs w:val="20"/>
              </w:rPr>
              <w:t xml:space="preserve">program </w:t>
            </w:r>
            <w:proofErr w:type="gramStart"/>
            <w:r w:rsidRPr="31F83E4E">
              <w:rPr>
                <w:color w:val="auto"/>
                <w:sz w:val="20"/>
                <w:szCs w:val="20"/>
              </w:rPr>
              <w:t>funds</w:t>
            </w:r>
            <w:r w:rsidR="443F7192" w:rsidRPr="31F83E4E">
              <w:rPr>
                <w:color w:val="auto"/>
                <w:sz w:val="20"/>
                <w:szCs w:val="20"/>
              </w:rPr>
              <w:t xml:space="preserve"> </w:t>
            </w:r>
            <w:r w:rsidRPr="31F83E4E">
              <w:rPr>
                <w:color w:val="auto"/>
                <w:sz w:val="20"/>
                <w:szCs w:val="20"/>
              </w:rPr>
              <w:t>maintained</w:t>
            </w:r>
            <w:proofErr w:type="gramEnd"/>
            <w:r w:rsidRPr="31F83E4E">
              <w:rPr>
                <w:color w:val="auto"/>
                <w:sz w:val="20"/>
                <w:szCs w:val="20"/>
              </w:rPr>
              <w:t xml:space="preserve"> expenditure. The </w:t>
            </w:r>
            <w:r w:rsidR="58B29DCE" w:rsidRPr="31F83E4E">
              <w:rPr>
                <w:color w:val="auto"/>
                <w:sz w:val="20"/>
                <w:szCs w:val="20"/>
              </w:rPr>
              <w:t xml:space="preserve">MHMS recurrent </w:t>
            </w:r>
            <w:r w:rsidRPr="31F83E4E">
              <w:rPr>
                <w:color w:val="auto"/>
                <w:sz w:val="20"/>
                <w:szCs w:val="20"/>
              </w:rPr>
              <w:t>budget execution rate was 92 per cent, excluding donor partner funds.</w:t>
            </w:r>
          </w:p>
        </w:tc>
      </w:tr>
      <w:bookmarkEnd w:id="4"/>
      <w:tr w:rsidR="007816C2" w:rsidRPr="005D3DE9" w14:paraId="081A72F2" w14:textId="77777777" w:rsidTr="31F83E4E">
        <w:trPr>
          <w:tblHeader/>
        </w:trPr>
        <w:tc>
          <w:tcPr>
            <w:tcW w:w="3114" w:type="dxa"/>
          </w:tcPr>
          <w:p w14:paraId="12DAB81D" w14:textId="3BA521E8" w:rsidR="007816C2" w:rsidRPr="005D3DE9" w:rsidRDefault="007816C2" w:rsidP="00882200">
            <w:pPr>
              <w:spacing w:before="60" w:line="260" w:lineRule="auto"/>
              <w:ind w:left="96"/>
              <w:rPr>
                <w:color w:val="auto"/>
                <w:sz w:val="20"/>
                <w:szCs w:val="20"/>
              </w:rPr>
            </w:pPr>
            <w:r w:rsidRPr="005D3DE9">
              <w:rPr>
                <w:color w:val="auto"/>
                <w:sz w:val="20"/>
                <w:szCs w:val="20"/>
              </w:rPr>
              <w:t>Number of people trained in field epidemiology, surveillance and infection prevention and control</w:t>
            </w:r>
          </w:p>
        </w:tc>
        <w:tc>
          <w:tcPr>
            <w:tcW w:w="7422" w:type="dxa"/>
          </w:tcPr>
          <w:p w14:paraId="6BD5E761" w14:textId="38ED5613" w:rsidR="007816C2" w:rsidRPr="005D3DE9" w:rsidRDefault="006A0CE4" w:rsidP="00882200">
            <w:pPr>
              <w:spacing w:before="60" w:line="260" w:lineRule="auto"/>
              <w:ind w:left="96"/>
              <w:rPr>
                <w:color w:val="auto"/>
                <w:sz w:val="20"/>
                <w:szCs w:val="20"/>
              </w:rPr>
            </w:pPr>
            <w:r w:rsidRPr="005D3DE9">
              <w:rPr>
                <w:color w:val="auto"/>
                <w:sz w:val="20"/>
                <w:szCs w:val="20"/>
              </w:rPr>
              <w:t xml:space="preserve">Supported seven students to complete their Field Epidemiology Training Program and selected nine candidates (one from each province) for the next program (commencing 2022-23). Budget support to MHMS in 2021 enabled national and provincial training and workshops </w:t>
            </w:r>
            <w:r>
              <w:rPr>
                <w:color w:val="auto"/>
                <w:sz w:val="20"/>
                <w:szCs w:val="20"/>
              </w:rPr>
              <w:t>to strengthen</w:t>
            </w:r>
            <w:r w:rsidRPr="005D3DE9">
              <w:rPr>
                <w:color w:val="auto"/>
                <w:sz w:val="20"/>
                <w:szCs w:val="20"/>
              </w:rPr>
              <w:t xml:space="preserve"> surveillance</w:t>
            </w:r>
            <w:r>
              <w:rPr>
                <w:color w:val="auto"/>
                <w:sz w:val="20"/>
                <w:szCs w:val="20"/>
              </w:rPr>
              <w:t xml:space="preserve"> systems</w:t>
            </w:r>
            <w:r w:rsidRPr="005D3DE9">
              <w:rPr>
                <w:color w:val="auto"/>
                <w:sz w:val="20"/>
                <w:szCs w:val="20"/>
              </w:rPr>
              <w:t>.</w:t>
            </w:r>
          </w:p>
        </w:tc>
      </w:tr>
      <w:tr w:rsidR="007816C2" w:rsidRPr="005D3DE9" w14:paraId="2472D5FD" w14:textId="77777777" w:rsidTr="31F83E4E">
        <w:trPr>
          <w:tblHeader/>
        </w:trPr>
        <w:tc>
          <w:tcPr>
            <w:tcW w:w="3114" w:type="dxa"/>
          </w:tcPr>
          <w:p w14:paraId="2E7F7677" w14:textId="212EADAC" w:rsidR="007816C2" w:rsidRPr="005D3DE9" w:rsidRDefault="007816C2" w:rsidP="00882200">
            <w:pPr>
              <w:spacing w:before="60" w:line="260" w:lineRule="auto"/>
              <w:ind w:left="96"/>
              <w:rPr>
                <w:color w:val="auto"/>
                <w:sz w:val="20"/>
                <w:szCs w:val="20"/>
              </w:rPr>
            </w:pPr>
            <w:r w:rsidRPr="005D3DE9">
              <w:rPr>
                <w:color w:val="auto"/>
                <w:sz w:val="20"/>
                <w:szCs w:val="20"/>
              </w:rPr>
              <w:t xml:space="preserve">Adequate laboratory capacity to test for COVID-19 </w:t>
            </w:r>
          </w:p>
        </w:tc>
        <w:tc>
          <w:tcPr>
            <w:tcW w:w="7422" w:type="dxa"/>
          </w:tcPr>
          <w:p w14:paraId="6AF06C2C" w14:textId="24CABF18" w:rsidR="007816C2" w:rsidRPr="005D3DE9" w:rsidRDefault="007816C2" w:rsidP="00882200">
            <w:pPr>
              <w:spacing w:before="60" w:line="260" w:lineRule="auto"/>
              <w:ind w:left="96"/>
              <w:rPr>
                <w:color w:val="auto"/>
                <w:sz w:val="20"/>
                <w:szCs w:val="20"/>
              </w:rPr>
            </w:pPr>
            <w:r w:rsidRPr="005D3DE9">
              <w:rPr>
                <w:color w:val="auto"/>
                <w:sz w:val="20"/>
                <w:szCs w:val="20"/>
              </w:rPr>
              <w:t>Procured three provincial</w:t>
            </w:r>
            <w:r w:rsidR="007A79A1">
              <w:rPr>
                <w:color w:val="auto"/>
                <w:sz w:val="20"/>
                <w:szCs w:val="20"/>
              </w:rPr>
              <w:t xml:space="preserve"> </w:t>
            </w:r>
            <w:r w:rsidRPr="005D3DE9">
              <w:rPr>
                <w:color w:val="auto"/>
                <w:sz w:val="20"/>
                <w:szCs w:val="20"/>
              </w:rPr>
              <w:t xml:space="preserve">prefabricated </w:t>
            </w:r>
            <w:r w:rsidR="00C03B96">
              <w:rPr>
                <w:color w:val="auto"/>
                <w:sz w:val="20"/>
                <w:szCs w:val="20"/>
              </w:rPr>
              <w:t>biomolecular</w:t>
            </w:r>
            <w:r w:rsidR="00C03B96" w:rsidRPr="005D3DE9">
              <w:rPr>
                <w:color w:val="auto"/>
                <w:sz w:val="20"/>
                <w:szCs w:val="20"/>
              </w:rPr>
              <w:t xml:space="preserve"> </w:t>
            </w:r>
            <w:r w:rsidRPr="005D3DE9">
              <w:rPr>
                <w:color w:val="auto"/>
                <w:sz w:val="20"/>
                <w:szCs w:val="20"/>
              </w:rPr>
              <w:t xml:space="preserve">labs, </w:t>
            </w:r>
            <w:r w:rsidR="000B3A78" w:rsidRPr="005D3DE9">
              <w:rPr>
                <w:color w:val="auto"/>
                <w:sz w:val="20"/>
                <w:szCs w:val="20"/>
              </w:rPr>
              <w:t>three</w:t>
            </w:r>
            <w:r w:rsidRPr="005D3DE9">
              <w:rPr>
                <w:color w:val="auto"/>
                <w:sz w:val="20"/>
                <w:szCs w:val="20"/>
              </w:rPr>
              <w:t xml:space="preserve"> PCR machine</w:t>
            </w:r>
            <w:r w:rsidR="000B3A78" w:rsidRPr="005D3DE9">
              <w:rPr>
                <w:color w:val="auto"/>
                <w:sz w:val="20"/>
                <w:szCs w:val="20"/>
              </w:rPr>
              <w:t>s</w:t>
            </w:r>
            <w:r w:rsidR="00E16B72" w:rsidRPr="005D3DE9">
              <w:rPr>
                <w:color w:val="auto"/>
                <w:sz w:val="20"/>
                <w:szCs w:val="20"/>
              </w:rPr>
              <w:t xml:space="preserve"> and </w:t>
            </w:r>
            <w:r w:rsidRPr="005D3DE9">
              <w:rPr>
                <w:color w:val="auto"/>
                <w:sz w:val="20"/>
                <w:szCs w:val="20"/>
              </w:rPr>
              <w:t xml:space="preserve">112,000 rapid antigen tests </w:t>
            </w:r>
            <w:r w:rsidR="00E16B72" w:rsidRPr="005D3DE9">
              <w:rPr>
                <w:color w:val="auto"/>
                <w:sz w:val="20"/>
                <w:szCs w:val="20"/>
              </w:rPr>
              <w:t>in 2021-22</w:t>
            </w:r>
            <w:r w:rsidRPr="005D3DE9">
              <w:rPr>
                <w:color w:val="auto"/>
                <w:sz w:val="20"/>
                <w:szCs w:val="20"/>
              </w:rPr>
              <w:t xml:space="preserve">. Continued refurbishment of the national </w:t>
            </w:r>
            <w:r w:rsidR="00953F4E">
              <w:rPr>
                <w:color w:val="auto"/>
                <w:sz w:val="20"/>
                <w:szCs w:val="20"/>
              </w:rPr>
              <w:t>bio</w:t>
            </w:r>
            <w:r w:rsidRPr="005D3DE9">
              <w:rPr>
                <w:color w:val="auto"/>
                <w:sz w:val="20"/>
                <w:szCs w:val="20"/>
              </w:rPr>
              <w:t>molecular laboratory</w:t>
            </w:r>
            <w:r w:rsidR="00E16B72" w:rsidRPr="005D3DE9">
              <w:rPr>
                <w:color w:val="auto"/>
                <w:sz w:val="20"/>
                <w:szCs w:val="20"/>
              </w:rPr>
              <w:t xml:space="preserve"> and supported UNICEF to procure 190,154 diagnostic items in 2021-22. MHMS</w:t>
            </w:r>
            <w:r w:rsidR="00D04F4F" w:rsidRPr="005D3DE9">
              <w:rPr>
                <w:color w:val="auto"/>
                <w:sz w:val="20"/>
                <w:szCs w:val="20"/>
              </w:rPr>
              <w:t xml:space="preserve"> b</w:t>
            </w:r>
            <w:r w:rsidRPr="005D3DE9">
              <w:rPr>
                <w:color w:val="auto"/>
                <w:sz w:val="20"/>
                <w:szCs w:val="20"/>
              </w:rPr>
              <w:t xml:space="preserve">udget support </w:t>
            </w:r>
            <w:r w:rsidR="00D04F4F" w:rsidRPr="005D3DE9">
              <w:rPr>
                <w:color w:val="auto"/>
                <w:sz w:val="20"/>
                <w:szCs w:val="20"/>
              </w:rPr>
              <w:t>in 2021 supported</w:t>
            </w:r>
            <w:r w:rsidRPr="005D3DE9">
              <w:rPr>
                <w:color w:val="auto"/>
                <w:sz w:val="20"/>
                <w:szCs w:val="20"/>
              </w:rPr>
              <w:t xml:space="preserve"> COVID-19 testing</w:t>
            </w:r>
            <w:r w:rsidR="00D04F4F" w:rsidRPr="005D3DE9">
              <w:rPr>
                <w:color w:val="auto"/>
                <w:sz w:val="20"/>
                <w:szCs w:val="20"/>
              </w:rPr>
              <w:t>,</w:t>
            </w:r>
            <w:r w:rsidRPr="005D3DE9">
              <w:rPr>
                <w:color w:val="auto"/>
                <w:sz w:val="20"/>
                <w:szCs w:val="20"/>
              </w:rPr>
              <w:t xml:space="preserve"> through equipment procurement, training</w:t>
            </w:r>
            <w:r w:rsidR="00D04F4F" w:rsidRPr="005D3DE9">
              <w:rPr>
                <w:color w:val="auto"/>
                <w:sz w:val="20"/>
                <w:szCs w:val="20"/>
              </w:rPr>
              <w:t>,</w:t>
            </w:r>
            <w:r w:rsidRPr="005D3DE9">
              <w:rPr>
                <w:color w:val="auto"/>
                <w:sz w:val="20"/>
                <w:szCs w:val="20"/>
              </w:rPr>
              <w:t xml:space="preserve"> and transport of specimens to Australia. </w:t>
            </w:r>
          </w:p>
        </w:tc>
      </w:tr>
      <w:tr w:rsidR="007816C2" w:rsidRPr="005D3DE9" w14:paraId="148D18FF" w14:textId="77777777" w:rsidTr="31F83E4E">
        <w:trPr>
          <w:tblHeader/>
        </w:trPr>
        <w:tc>
          <w:tcPr>
            <w:tcW w:w="3114" w:type="dxa"/>
          </w:tcPr>
          <w:p w14:paraId="31465120" w14:textId="06A98659" w:rsidR="007816C2" w:rsidRPr="005D3DE9" w:rsidRDefault="007816C2" w:rsidP="00882200">
            <w:pPr>
              <w:spacing w:before="60" w:line="260" w:lineRule="auto"/>
              <w:ind w:left="96"/>
              <w:rPr>
                <w:color w:val="auto"/>
                <w:sz w:val="20"/>
                <w:szCs w:val="20"/>
              </w:rPr>
            </w:pPr>
            <w:r w:rsidRPr="005D3DE9">
              <w:rPr>
                <w:color w:val="auto"/>
                <w:sz w:val="20"/>
                <w:szCs w:val="20"/>
              </w:rPr>
              <w:t>Stock availability in national medical store and in primary health care facilities</w:t>
            </w:r>
          </w:p>
        </w:tc>
        <w:tc>
          <w:tcPr>
            <w:tcW w:w="7422" w:type="dxa"/>
          </w:tcPr>
          <w:p w14:paraId="71A2FB3C" w14:textId="32AD6000" w:rsidR="007816C2" w:rsidRPr="005D3DE9" w:rsidRDefault="002E01BE" w:rsidP="00882200">
            <w:pPr>
              <w:spacing w:before="60" w:line="260" w:lineRule="auto"/>
              <w:ind w:left="96"/>
              <w:rPr>
                <w:color w:val="auto"/>
                <w:sz w:val="20"/>
                <w:szCs w:val="20"/>
              </w:rPr>
            </w:pPr>
            <w:r>
              <w:rPr>
                <w:color w:val="auto"/>
                <w:sz w:val="20"/>
                <w:szCs w:val="20"/>
              </w:rPr>
              <w:t>Delivered</w:t>
            </w:r>
            <w:r w:rsidR="003B433D">
              <w:rPr>
                <w:color w:val="auto"/>
                <w:sz w:val="20"/>
                <w:szCs w:val="20"/>
              </w:rPr>
              <w:t xml:space="preserve"> </w:t>
            </w:r>
            <w:r w:rsidR="00EE3C83" w:rsidRPr="005D3DE9">
              <w:rPr>
                <w:color w:val="auto"/>
                <w:sz w:val="20"/>
                <w:szCs w:val="20"/>
              </w:rPr>
              <w:t xml:space="preserve">605,200 </w:t>
            </w:r>
            <w:r w:rsidR="00EF3EF6">
              <w:rPr>
                <w:color w:val="auto"/>
                <w:sz w:val="20"/>
                <w:szCs w:val="20"/>
              </w:rPr>
              <w:t>COVID-19</w:t>
            </w:r>
            <w:r w:rsidR="00CF1987">
              <w:rPr>
                <w:color w:val="auto"/>
                <w:sz w:val="20"/>
                <w:szCs w:val="20"/>
              </w:rPr>
              <w:t xml:space="preserve"> </w:t>
            </w:r>
            <w:r w:rsidR="00EE3C83" w:rsidRPr="005D3DE9">
              <w:rPr>
                <w:color w:val="auto"/>
                <w:sz w:val="20"/>
                <w:szCs w:val="20"/>
              </w:rPr>
              <w:t>vaccine</w:t>
            </w:r>
            <w:r w:rsidR="00EE3C83">
              <w:rPr>
                <w:color w:val="auto"/>
                <w:sz w:val="20"/>
                <w:szCs w:val="20"/>
              </w:rPr>
              <w:t xml:space="preserve"> doses and supported delivery of 310,070 doses through our</w:t>
            </w:r>
            <w:r w:rsidR="008D00FD">
              <w:rPr>
                <w:color w:val="auto"/>
                <w:sz w:val="20"/>
                <w:szCs w:val="20"/>
              </w:rPr>
              <w:t xml:space="preserve"> COVAX</w:t>
            </w:r>
            <w:r w:rsidR="00EE3C83">
              <w:rPr>
                <w:color w:val="auto"/>
                <w:sz w:val="20"/>
                <w:szCs w:val="20"/>
              </w:rPr>
              <w:t xml:space="preserve"> contribution. Delivered</w:t>
            </w:r>
            <w:r w:rsidR="007816C2" w:rsidRPr="005D3DE9">
              <w:rPr>
                <w:color w:val="auto"/>
                <w:sz w:val="20"/>
                <w:szCs w:val="20"/>
              </w:rPr>
              <w:t xml:space="preserve"> over </w:t>
            </w:r>
            <w:r w:rsidR="00AC58DF" w:rsidRPr="005D3DE9">
              <w:rPr>
                <w:color w:val="auto"/>
                <w:sz w:val="20"/>
                <w:szCs w:val="20"/>
              </w:rPr>
              <w:t>55</w:t>
            </w:r>
            <w:r w:rsidR="007816C2" w:rsidRPr="005D3DE9">
              <w:rPr>
                <w:color w:val="auto"/>
                <w:sz w:val="20"/>
                <w:szCs w:val="20"/>
              </w:rPr>
              <w:t xml:space="preserve"> tonnes of </w:t>
            </w:r>
            <w:r w:rsidR="00AC58DF" w:rsidRPr="005D3DE9">
              <w:rPr>
                <w:color w:val="auto"/>
                <w:sz w:val="20"/>
                <w:szCs w:val="20"/>
              </w:rPr>
              <w:t>medical</w:t>
            </w:r>
            <w:r w:rsidR="007816C2" w:rsidRPr="005D3DE9">
              <w:rPr>
                <w:color w:val="auto"/>
                <w:sz w:val="20"/>
                <w:szCs w:val="20"/>
              </w:rPr>
              <w:t xml:space="preserve"> supplies</w:t>
            </w:r>
            <w:r w:rsidR="008D00FD">
              <w:rPr>
                <w:color w:val="auto"/>
                <w:sz w:val="20"/>
                <w:szCs w:val="20"/>
              </w:rPr>
              <w:t>, a forklift and a truck</w:t>
            </w:r>
            <w:r w:rsidR="007816C2" w:rsidRPr="005D3DE9">
              <w:rPr>
                <w:color w:val="auto"/>
                <w:sz w:val="20"/>
                <w:szCs w:val="20"/>
              </w:rPr>
              <w:t xml:space="preserve"> for improved warehouse management and distribution. </w:t>
            </w:r>
            <w:r w:rsidR="00CF1987">
              <w:rPr>
                <w:color w:val="auto"/>
                <w:sz w:val="20"/>
                <w:szCs w:val="20"/>
              </w:rPr>
              <w:t>Defence</w:t>
            </w:r>
            <w:r w:rsidR="007816C2" w:rsidRPr="005D3DE9">
              <w:rPr>
                <w:color w:val="auto"/>
                <w:sz w:val="20"/>
                <w:szCs w:val="20"/>
              </w:rPr>
              <w:t xml:space="preserve"> supported inventory management</w:t>
            </w:r>
            <w:r>
              <w:rPr>
                <w:color w:val="auto"/>
                <w:sz w:val="20"/>
                <w:szCs w:val="20"/>
              </w:rPr>
              <w:t xml:space="preserve">. </w:t>
            </w:r>
            <w:r w:rsidR="00032990">
              <w:rPr>
                <w:color w:val="auto"/>
                <w:sz w:val="20"/>
                <w:szCs w:val="20"/>
              </w:rPr>
              <w:t>B</w:t>
            </w:r>
            <w:r w:rsidR="007816C2" w:rsidRPr="005D3DE9">
              <w:rPr>
                <w:color w:val="auto"/>
                <w:sz w:val="20"/>
                <w:szCs w:val="20"/>
              </w:rPr>
              <w:t>udget support</w:t>
            </w:r>
            <w:r w:rsidR="00032990">
              <w:rPr>
                <w:color w:val="auto"/>
                <w:sz w:val="20"/>
                <w:szCs w:val="20"/>
              </w:rPr>
              <w:t xml:space="preserve"> in 2021</w:t>
            </w:r>
            <w:r w:rsidR="007816C2" w:rsidRPr="005D3DE9">
              <w:rPr>
                <w:color w:val="auto"/>
                <w:sz w:val="20"/>
                <w:szCs w:val="20"/>
              </w:rPr>
              <w:t xml:space="preserve"> contributed to </w:t>
            </w:r>
            <w:r w:rsidR="00EF3EF6">
              <w:rPr>
                <w:color w:val="auto"/>
                <w:sz w:val="20"/>
                <w:szCs w:val="20"/>
              </w:rPr>
              <w:t>improved</w:t>
            </w:r>
            <w:r w:rsidR="007816C2" w:rsidRPr="005D3DE9">
              <w:rPr>
                <w:color w:val="auto"/>
                <w:sz w:val="20"/>
                <w:szCs w:val="20"/>
              </w:rPr>
              <w:t xml:space="preserve"> customs processing</w:t>
            </w:r>
            <w:r w:rsidR="00EF3EF6">
              <w:rPr>
                <w:color w:val="auto"/>
                <w:sz w:val="20"/>
                <w:szCs w:val="20"/>
              </w:rPr>
              <w:t>,</w:t>
            </w:r>
            <w:r w:rsidR="007816C2" w:rsidRPr="005D3DE9">
              <w:rPr>
                <w:color w:val="auto"/>
                <w:sz w:val="20"/>
                <w:szCs w:val="20"/>
              </w:rPr>
              <w:t xml:space="preserve"> </w:t>
            </w:r>
            <w:proofErr w:type="spellStart"/>
            <w:r w:rsidR="007816C2" w:rsidRPr="005D3DE9">
              <w:rPr>
                <w:color w:val="auto"/>
                <w:sz w:val="20"/>
                <w:szCs w:val="20"/>
              </w:rPr>
              <w:t>mSupply</w:t>
            </w:r>
            <w:proofErr w:type="spellEnd"/>
            <w:r w:rsidR="007816C2" w:rsidRPr="005D3DE9">
              <w:rPr>
                <w:color w:val="auto"/>
                <w:sz w:val="20"/>
                <w:szCs w:val="20"/>
              </w:rPr>
              <w:t xml:space="preserve"> annual licence and upgrades.</w:t>
            </w:r>
          </w:p>
        </w:tc>
      </w:tr>
      <w:tr w:rsidR="007816C2" w:rsidRPr="005D3DE9" w14:paraId="431B2869" w14:textId="77777777" w:rsidTr="31F83E4E">
        <w:trPr>
          <w:tblHeader/>
        </w:trPr>
        <w:tc>
          <w:tcPr>
            <w:tcW w:w="3114" w:type="dxa"/>
          </w:tcPr>
          <w:p w14:paraId="58E45506" w14:textId="250D6BD5" w:rsidR="007816C2" w:rsidRPr="005D3DE9" w:rsidRDefault="007816C2" w:rsidP="00882200">
            <w:pPr>
              <w:spacing w:before="60" w:line="260" w:lineRule="auto"/>
              <w:ind w:left="96"/>
              <w:rPr>
                <w:color w:val="auto"/>
                <w:sz w:val="20"/>
                <w:szCs w:val="20"/>
              </w:rPr>
            </w:pPr>
            <w:r w:rsidRPr="005D3DE9">
              <w:rPr>
                <w:color w:val="auto"/>
                <w:sz w:val="20"/>
                <w:szCs w:val="20"/>
              </w:rPr>
              <w:t xml:space="preserve">Increase in number of people who have access to improved water and sanitation </w:t>
            </w:r>
          </w:p>
        </w:tc>
        <w:tc>
          <w:tcPr>
            <w:tcW w:w="7422" w:type="dxa"/>
          </w:tcPr>
          <w:p w14:paraId="4A9EA48A" w14:textId="0FC952E7" w:rsidR="00477392" w:rsidRPr="005D3DE9" w:rsidRDefault="007816C2" w:rsidP="00882200">
            <w:pPr>
              <w:spacing w:before="60" w:line="260" w:lineRule="auto"/>
              <w:ind w:left="96"/>
              <w:rPr>
                <w:color w:val="auto"/>
                <w:sz w:val="20"/>
                <w:szCs w:val="20"/>
              </w:rPr>
            </w:pPr>
            <w:r w:rsidRPr="00794DC3">
              <w:rPr>
                <w:color w:val="auto"/>
                <w:sz w:val="20"/>
                <w:szCs w:val="20"/>
              </w:rPr>
              <w:t>Supported the Rural Water, Sanitation and Hygiene program to improve access to water and sanitation</w:t>
            </w:r>
            <w:r w:rsidR="008C6BC8" w:rsidRPr="00794DC3">
              <w:rPr>
                <w:color w:val="auto"/>
                <w:sz w:val="20"/>
                <w:szCs w:val="20"/>
              </w:rPr>
              <w:t>, with th</w:t>
            </w:r>
            <w:r w:rsidRPr="00794DC3">
              <w:rPr>
                <w:color w:val="auto"/>
                <w:sz w:val="20"/>
                <w:szCs w:val="20"/>
              </w:rPr>
              <w:t>e Standard Operating Procedure endorsed</w:t>
            </w:r>
            <w:r w:rsidR="003A4C47" w:rsidRPr="00794DC3">
              <w:rPr>
                <w:color w:val="auto"/>
                <w:sz w:val="20"/>
                <w:szCs w:val="20"/>
              </w:rPr>
              <w:t xml:space="preserve"> and phase two </w:t>
            </w:r>
            <w:r w:rsidRPr="00794DC3">
              <w:rPr>
                <w:color w:val="auto"/>
                <w:sz w:val="20"/>
                <w:szCs w:val="20"/>
              </w:rPr>
              <w:t>of the National Sustainable Sanitation Plan launched in three provinces.</w:t>
            </w:r>
            <w:r w:rsidR="00A3680F" w:rsidRPr="00794DC3">
              <w:rPr>
                <w:color w:val="auto"/>
                <w:sz w:val="20"/>
                <w:szCs w:val="20"/>
              </w:rPr>
              <w:t xml:space="preserve"> </w:t>
            </w:r>
            <w:r w:rsidR="002E6E27" w:rsidRPr="00794DC3">
              <w:rPr>
                <w:color w:val="auto"/>
                <w:sz w:val="20"/>
                <w:szCs w:val="20"/>
              </w:rPr>
              <w:t xml:space="preserve">Supported </w:t>
            </w:r>
            <w:r w:rsidR="00477392" w:rsidRPr="00794DC3">
              <w:rPr>
                <w:color w:val="auto"/>
                <w:sz w:val="20"/>
                <w:szCs w:val="20"/>
              </w:rPr>
              <w:t xml:space="preserve">Solomon Water </w:t>
            </w:r>
            <w:r w:rsidR="002E6E27" w:rsidRPr="00794DC3">
              <w:rPr>
                <w:color w:val="auto"/>
                <w:sz w:val="20"/>
                <w:szCs w:val="20"/>
              </w:rPr>
              <w:t>to deliver</w:t>
            </w:r>
            <w:r w:rsidR="00477392" w:rsidRPr="00794DC3">
              <w:rPr>
                <w:color w:val="auto"/>
                <w:sz w:val="20"/>
                <w:szCs w:val="20"/>
              </w:rPr>
              <w:t xml:space="preserve"> 2,570 household water connections in 13 different settlements in Honiara.</w:t>
            </w:r>
          </w:p>
        </w:tc>
      </w:tr>
      <w:tr w:rsidR="007816C2" w:rsidRPr="005D3DE9" w14:paraId="4C70896F" w14:textId="77777777" w:rsidTr="31F83E4E">
        <w:trPr>
          <w:tblHeader/>
        </w:trPr>
        <w:tc>
          <w:tcPr>
            <w:tcW w:w="3114" w:type="dxa"/>
          </w:tcPr>
          <w:p w14:paraId="0968D270" w14:textId="2F5AF4D3" w:rsidR="007816C2" w:rsidRPr="005D3DE9" w:rsidRDefault="007816C2" w:rsidP="00882200">
            <w:pPr>
              <w:spacing w:before="60" w:line="260" w:lineRule="auto"/>
              <w:ind w:left="96"/>
              <w:rPr>
                <w:color w:val="auto"/>
                <w:sz w:val="20"/>
                <w:szCs w:val="20"/>
              </w:rPr>
            </w:pPr>
            <w:bookmarkStart w:id="5" w:name="_Hlk120093327"/>
            <w:r w:rsidRPr="005D3DE9">
              <w:rPr>
                <w:color w:val="auto"/>
                <w:sz w:val="20"/>
                <w:szCs w:val="20"/>
              </w:rPr>
              <w:t>Number of people assisted with family planning</w:t>
            </w:r>
          </w:p>
        </w:tc>
        <w:tc>
          <w:tcPr>
            <w:tcW w:w="7422" w:type="dxa"/>
          </w:tcPr>
          <w:p w14:paraId="155DD993" w14:textId="6D4A1A88" w:rsidR="007816C2" w:rsidRPr="005D3DE9" w:rsidRDefault="007816C2" w:rsidP="00882200">
            <w:pPr>
              <w:spacing w:before="60" w:line="260" w:lineRule="auto"/>
              <w:ind w:left="96"/>
              <w:rPr>
                <w:color w:val="auto"/>
                <w:sz w:val="20"/>
                <w:szCs w:val="20"/>
              </w:rPr>
            </w:pPr>
            <w:r w:rsidRPr="005D3DE9">
              <w:rPr>
                <w:rFonts w:cstheme="minorHAnsi"/>
                <w:color w:val="auto"/>
                <w:sz w:val="20"/>
                <w:szCs w:val="20"/>
              </w:rPr>
              <w:t xml:space="preserve">Supported Solomon Islands Planned Parenthood Association’s </w:t>
            </w:r>
            <w:r w:rsidR="00AC23D9" w:rsidRPr="005D3DE9">
              <w:rPr>
                <w:rFonts w:cstheme="minorHAnsi"/>
                <w:color w:val="auto"/>
                <w:sz w:val="20"/>
                <w:szCs w:val="20"/>
              </w:rPr>
              <w:t>COVI</w:t>
            </w:r>
            <w:r w:rsidR="00D60886" w:rsidRPr="005D3DE9">
              <w:rPr>
                <w:rFonts w:cstheme="minorHAnsi"/>
                <w:color w:val="auto"/>
                <w:sz w:val="20"/>
                <w:szCs w:val="20"/>
              </w:rPr>
              <w:t>D</w:t>
            </w:r>
            <w:r w:rsidR="00AC23D9" w:rsidRPr="005D3DE9">
              <w:rPr>
                <w:rFonts w:cstheme="minorHAnsi"/>
                <w:color w:val="auto"/>
                <w:sz w:val="20"/>
                <w:szCs w:val="20"/>
              </w:rPr>
              <w:t xml:space="preserve">-19 </w:t>
            </w:r>
            <w:r w:rsidRPr="005D3DE9">
              <w:rPr>
                <w:rFonts w:cstheme="minorHAnsi"/>
                <w:color w:val="auto"/>
                <w:sz w:val="20"/>
                <w:szCs w:val="20"/>
              </w:rPr>
              <w:t>emergency response</w:t>
            </w:r>
            <w:r w:rsidR="002B3F4D" w:rsidRPr="005D3DE9">
              <w:rPr>
                <w:rFonts w:cstheme="minorHAnsi"/>
                <w:color w:val="auto"/>
                <w:sz w:val="20"/>
                <w:szCs w:val="20"/>
              </w:rPr>
              <w:t>,</w:t>
            </w:r>
            <w:r w:rsidRPr="005D3DE9">
              <w:rPr>
                <w:rFonts w:cstheme="minorHAnsi"/>
                <w:color w:val="auto"/>
                <w:sz w:val="20"/>
                <w:szCs w:val="20"/>
              </w:rPr>
              <w:t xml:space="preserve"> reaching 24,272 beneficiaries with sexual and reproductive health and </w:t>
            </w:r>
            <w:r w:rsidR="00AA17E6">
              <w:rPr>
                <w:rFonts w:cstheme="minorHAnsi"/>
                <w:color w:val="auto"/>
                <w:sz w:val="20"/>
                <w:szCs w:val="20"/>
              </w:rPr>
              <w:br/>
            </w:r>
            <w:r w:rsidRPr="005D3DE9">
              <w:rPr>
                <w:rFonts w:cstheme="minorHAnsi"/>
                <w:color w:val="auto"/>
                <w:sz w:val="20"/>
                <w:szCs w:val="20"/>
              </w:rPr>
              <w:t xml:space="preserve">COVID-19 prevention messages. Budget support to </w:t>
            </w:r>
            <w:r w:rsidR="00B011DE" w:rsidRPr="005D3DE9">
              <w:rPr>
                <w:rFonts w:cstheme="minorHAnsi"/>
                <w:color w:val="auto"/>
                <w:sz w:val="20"/>
                <w:szCs w:val="20"/>
              </w:rPr>
              <w:t xml:space="preserve">MHMS </w:t>
            </w:r>
            <w:r w:rsidR="00451A55">
              <w:rPr>
                <w:rFonts w:cstheme="minorHAnsi"/>
                <w:color w:val="auto"/>
                <w:sz w:val="20"/>
                <w:szCs w:val="20"/>
              </w:rPr>
              <w:t xml:space="preserve">represented </w:t>
            </w:r>
            <w:r w:rsidR="00451A55" w:rsidRPr="00451A55">
              <w:rPr>
                <w:rFonts w:cstheme="minorHAnsi"/>
                <w:color w:val="auto"/>
                <w:sz w:val="20"/>
                <w:szCs w:val="20"/>
              </w:rPr>
              <w:t>5</w:t>
            </w:r>
            <w:r w:rsidR="00032990">
              <w:rPr>
                <w:rFonts w:cstheme="minorHAnsi"/>
                <w:color w:val="auto"/>
                <w:sz w:val="20"/>
                <w:szCs w:val="20"/>
              </w:rPr>
              <w:t>,</w:t>
            </w:r>
            <w:r w:rsidR="00451A55" w:rsidRPr="00451A55">
              <w:rPr>
                <w:rFonts w:cstheme="minorHAnsi"/>
                <w:color w:val="auto"/>
                <w:sz w:val="20"/>
                <w:szCs w:val="20"/>
              </w:rPr>
              <w:t>904.21</w:t>
            </w:r>
            <w:r w:rsidR="00451A55">
              <w:rPr>
                <w:rFonts w:cstheme="minorHAnsi"/>
                <w:color w:val="auto"/>
                <w:sz w:val="20"/>
                <w:szCs w:val="20"/>
              </w:rPr>
              <w:t xml:space="preserve"> </w:t>
            </w:r>
            <w:r w:rsidR="00451A55" w:rsidRPr="005D3DE9">
              <w:rPr>
                <w:rFonts w:cstheme="minorHAnsi"/>
                <w:color w:val="auto"/>
                <w:sz w:val="20"/>
                <w:szCs w:val="20"/>
              </w:rPr>
              <w:t>couple</w:t>
            </w:r>
            <w:r w:rsidR="009A75F3">
              <w:rPr>
                <w:rFonts w:cstheme="minorHAnsi"/>
                <w:color w:val="auto"/>
                <w:sz w:val="20"/>
                <w:szCs w:val="20"/>
              </w:rPr>
              <w:t>-years of</w:t>
            </w:r>
            <w:r w:rsidR="00451A55" w:rsidRPr="005D3DE9">
              <w:rPr>
                <w:rFonts w:cstheme="minorHAnsi"/>
                <w:color w:val="auto"/>
                <w:sz w:val="20"/>
                <w:szCs w:val="20"/>
              </w:rPr>
              <w:t xml:space="preserve"> protection</w:t>
            </w:r>
            <w:r w:rsidR="00494961">
              <w:rPr>
                <w:rFonts w:cstheme="minorHAnsi"/>
                <w:color w:val="auto"/>
                <w:sz w:val="20"/>
                <w:szCs w:val="20"/>
              </w:rPr>
              <w:t xml:space="preserve"> </w:t>
            </w:r>
            <w:r w:rsidR="004C128D">
              <w:rPr>
                <w:rFonts w:cstheme="minorHAnsi"/>
                <w:color w:val="auto"/>
                <w:sz w:val="20"/>
                <w:szCs w:val="20"/>
              </w:rPr>
              <w:t>(CYP)</w:t>
            </w:r>
            <w:r w:rsidR="00451A55" w:rsidRPr="005D3DE9">
              <w:rPr>
                <w:rFonts w:cstheme="minorHAnsi"/>
                <w:color w:val="auto"/>
                <w:sz w:val="20"/>
                <w:szCs w:val="20"/>
              </w:rPr>
              <w:t xml:space="preserve"> in 2021</w:t>
            </w:r>
            <w:r w:rsidR="00451A55">
              <w:rPr>
                <w:rFonts w:cstheme="minorHAnsi"/>
                <w:color w:val="auto"/>
                <w:sz w:val="20"/>
                <w:szCs w:val="20"/>
              </w:rPr>
              <w:t xml:space="preserve"> and supported</w:t>
            </w:r>
            <w:r w:rsidR="00B011DE" w:rsidRPr="005D3DE9">
              <w:rPr>
                <w:rFonts w:cstheme="minorHAnsi"/>
                <w:color w:val="auto"/>
                <w:sz w:val="20"/>
                <w:szCs w:val="20"/>
              </w:rPr>
              <w:t xml:space="preserve"> </w:t>
            </w:r>
            <w:r w:rsidR="00AC23D9" w:rsidRPr="005D3DE9">
              <w:rPr>
                <w:rFonts w:cstheme="minorHAnsi"/>
                <w:color w:val="auto"/>
                <w:sz w:val="20"/>
                <w:szCs w:val="20"/>
              </w:rPr>
              <w:t xml:space="preserve">contraceptive use </w:t>
            </w:r>
            <w:r w:rsidR="00B011DE" w:rsidRPr="005D3DE9">
              <w:rPr>
                <w:rFonts w:cstheme="minorHAnsi"/>
                <w:color w:val="auto"/>
                <w:sz w:val="20"/>
                <w:szCs w:val="20"/>
              </w:rPr>
              <w:t xml:space="preserve">training of trainers </w:t>
            </w:r>
            <w:r w:rsidR="00B011DE" w:rsidRPr="005D3DE9">
              <w:rPr>
                <w:rFonts w:cstheme="minorHAnsi"/>
                <w:color w:val="auto"/>
                <w:sz w:val="20"/>
                <w:szCs w:val="20"/>
              </w:rPr>
              <w:lastRenderedPageBreak/>
              <w:t>and strengthening youth</w:t>
            </w:r>
            <w:r w:rsidR="002B3F4D" w:rsidRPr="005D3DE9">
              <w:rPr>
                <w:rFonts w:cstheme="minorHAnsi"/>
                <w:color w:val="auto"/>
                <w:sz w:val="20"/>
                <w:szCs w:val="20"/>
              </w:rPr>
              <w:t>-</w:t>
            </w:r>
            <w:r w:rsidR="00B011DE" w:rsidRPr="005D3DE9">
              <w:rPr>
                <w:rFonts w:cstheme="minorHAnsi"/>
                <w:color w:val="auto"/>
                <w:sz w:val="20"/>
                <w:szCs w:val="20"/>
              </w:rPr>
              <w:t>friendly health services.</w:t>
            </w:r>
            <w:r w:rsidR="004C128D">
              <w:rPr>
                <w:rFonts w:cstheme="minorHAnsi"/>
                <w:color w:val="auto"/>
                <w:sz w:val="20"/>
                <w:szCs w:val="20"/>
              </w:rPr>
              <w:t xml:space="preserve"> </w:t>
            </w:r>
            <w:r w:rsidR="004C128D" w:rsidRPr="0010441E">
              <w:rPr>
                <w:rFonts w:cstheme="minorHAnsi"/>
                <w:color w:val="auto"/>
                <w:sz w:val="20"/>
                <w:szCs w:val="20"/>
              </w:rPr>
              <w:t>CYP is a measure that estimates the protection from pregnancy over a one-year period, based on the volume of all contraception provided.</w:t>
            </w:r>
          </w:p>
        </w:tc>
      </w:tr>
    </w:tbl>
    <w:bookmarkEnd w:id="5"/>
    <w:p w14:paraId="08BBE344" w14:textId="6BCC6A36" w:rsidR="00AE2B7B" w:rsidRPr="00AE2B7B" w:rsidRDefault="00AE2B7B" w:rsidP="00D7718E">
      <w:pPr>
        <w:pStyle w:val="Heading3"/>
      </w:pPr>
      <w:r w:rsidRPr="00AE2B7B">
        <w:lastRenderedPageBreak/>
        <w:t>Stability</w:t>
      </w:r>
    </w:p>
    <w:tbl>
      <w:tblPr>
        <w:tblStyle w:val="TableGrid"/>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Stability "/>
      </w:tblPr>
      <w:tblGrid>
        <w:gridCol w:w="3114"/>
        <w:gridCol w:w="7422"/>
      </w:tblGrid>
      <w:tr w:rsidR="00CA5021" w:rsidRPr="005D3DE9" w14:paraId="14EF210E" w14:textId="77777777" w:rsidTr="00882200">
        <w:tc>
          <w:tcPr>
            <w:tcW w:w="3114" w:type="dxa"/>
            <w:shd w:val="clear" w:color="auto" w:fill="A2DCD1" w:themeFill="accent1" w:themeFillTint="99"/>
            <w:vAlign w:val="bottom"/>
          </w:tcPr>
          <w:p w14:paraId="47014330" w14:textId="7A7E2C4C" w:rsidR="00CA5021" w:rsidRPr="005D3DE9" w:rsidRDefault="00A96364" w:rsidP="00BB6E32">
            <w:pPr>
              <w:widowControl w:val="0"/>
              <w:spacing w:before="0" w:after="0" w:line="240" w:lineRule="auto"/>
              <w:jc w:val="both"/>
              <w:rPr>
                <w:sz w:val="20"/>
                <w:szCs w:val="20"/>
              </w:rPr>
            </w:pPr>
            <w:r w:rsidRPr="005D3DE9">
              <w:rPr>
                <w:b/>
                <w:sz w:val="20"/>
                <w:szCs w:val="20"/>
              </w:rPr>
              <w:t>Key Results</w:t>
            </w:r>
            <w:r w:rsidR="00CA5021" w:rsidRPr="005D3DE9">
              <w:rPr>
                <w:b/>
                <w:sz w:val="20"/>
                <w:szCs w:val="20"/>
              </w:rPr>
              <w:t xml:space="preserve"> Indicator</w:t>
            </w:r>
            <w:r w:rsidRPr="005D3DE9">
              <w:rPr>
                <w:b/>
                <w:sz w:val="20"/>
                <w:szCs w:val="20"/>
              </w:rPr>
              <w:t>s</w:t>
            </w:r>
          </w:p>
        </w:tc>
        <w:tc>
          <w:tcPr>
            <w:tcW w:w="7422" w:type="dxa"/>
            <w:shd w:val="clear" w:color="auto" w:fill="A2DCD1" w:themeFill="accent1" w:themeFillTint="99"/>
            <w:vAlign w:val="bottom"/>
          </w:tcPr>
          <w:p w14:paraId="167B5817" w14:textId="6DB7E03D" w:rsidR="00CA5021" w:rsidRPr="005D3DE9" w:rsidRDefault="00AD19F7" w:rsidP="00BB6E32">
            <w:pPr>
              <w:widowControl w:val="0"/>
              <w:spacing w:before="0" w:after="0" w:line="240" w:lineRule="auto"/>
              <w:jc w:val="both"/>
              <w:rPr>
                <w:sz w:val="20"/>
                <w:szCs w:val="20"/>
              </w:rPr>
            </w:pPr>
            <w:r w:rsidRPr="005D3DE9">
              <w:rPr>
                <w:b/>
                <w:sz w:val="20"/>
                <w:szCs w:val="20"/>
              </w:rPr>
              <w:t>Progress/Result</w:t>
            </w:r>
          </w:p>
        </w:tc>
      </w:tr>
      <w:tr w:rsidR="0037778A" w:rsidRPr="005D3DE9" w14:paraId="593A8551" w14:textId="77777777" w:rsidTr="00882200">
        <w:tc>
          <w:tcPr>
            <w:tcW w:w="3114" w:type="dxa"/>
          </w:tcPr>
          <w:p w14:paraId="2AA59D1C" w14:textId="45073284" w:rsidR="0037778A" w:rsidRPr="004D6412" w:rsidRDefault="0037778A" w:rsidP="00882200">
            <w:pPr>
              <w:spacing w:before="60"/>
              <w:ind w:left="96"/>
              <w:rPr>
                <w:color w:val="auto"/>
                <w:sz w:val="20"/>
                <w:szCs w:val="20"/>
              </w:rPr>
            </w:pPr>
            <w:r w:rsidRPr="004D6412">
              <w:rPr>
                <w:color w:val="auto"/>
                <w:sz w:val="20"/>
                <w:szCs w:val="20"/>
              </w:rPr>
              <w:t>Net enrolment primary school rate is over 88 per cent</w:t>
            </w:r>
          </w:p>
        </w:tc>
        <w:tc>
          <w:tcPr>
            <w:tcW w:w="7422" w:type="dxa"/>
          </w:tcPr>
          <w:p w14:paraId="2E8902BB" w14:textId="0A65EF71" w:rsidR="0037778A" w:rsidRPr="004D6412" w:rsidRDefault="00BA229A" w:rsidP="00882200">
            <w:pPr>
              <w:spacing w:before="60"/>
              <w:ind w:left="96"/>
              <w:rPr>
                <w:color w:val="auto"/>
                <w:sz w:val="20"/>
                <w:szCs w:val="20"/>
              </w:rPr>
            </w:pPr>
            <w:r w:rsidRPr="004D6412">
              <w:rPr>
                <w:color w:val="auto"/>
                <w:sz w:val="20"/>
                <w:szCs w:val="20"/>
              </w:rPr>
              <w:t xml:space="preserve">Due to </w:t>
            </w:r>
            <w:r w:rsidR="008153A1" w:rsidRPr="004D6412">
              <w:rPr>
                <w:color w:val="auto"/>
                <w:sz w:val="20"/>
                <w:szCs w:val="20"/>
              </w:rPr>
              <w:t xml:space="preserve">COVID-19 </w:t>
            </w:r>
            <w:r w:rsidR="004F7C90" w:rsidRPr="004D6412">
              <w:rPr>
                <w:color w:val="auto"/>
                <w:sz w:val="20"/>
                <w:szCs w:val="20"/>
              </w:rPr>
              <w:t xml:space="preserve">outbreaks </w:t>
            </w:r>
            <w:r w:rsidR="008153A1" w:rsidRPr="004D6412">
              <w:rPr>
                <w:color w:val="auto"/>
                <w:sz w:val="20"/>
                <w:szCs w:val="20"/>
              </w:rPr>
              <w:t xml:space="preserve">and civil unrest </w:t>
            </w:r>
            <w:r w:rsidRPr="004D6412">
              <w:rPr>
                <w:color w:val="auto"/>
                <w:sz w:val="20"/>
                <w:szCs w:val="20"/>
              </w:rPr>
              <w:t xml:space="preserve">interruptions </w:t>
            </w:r>
            <w:r w:rsidR="008153A1" w:rsidRPr="004D6412">
              <w:rPr>
                <w:color w:val="auto"/>
                <w:sz w:val="20"/>
                <w:szCs w:val="20"/>
              </w:rPr>
              <w:t>to</w:t>
            </w:r>
            <w:r w:rsidR="004F7C90" w:rsidRPr="004D6412">
              <w:rPr>
                <w:color w:val="auto"/>
                <w:sz w:val="20"/>
                <w:szCs w:val="20"/>
              </w:rPr>
              <w:t xml:space="preserve"> </w:t>
            </w:r>
            <w:r w:rsidRPr="004D6412">
              <w:rPr>
                <w:color w:val="auto"/>
                <w:sz w:val="20"/>
                <w:szCs w:val="20"/>
              </w:rPr>
              <w:t xml:space="preserve">education </w:t>
            </w:r>
            <w:r w:rsidR="00422DEA" w:rsidRPr="004D6412">
              <w:rPr>
                <w:color w:val="auto"/>
                <w:sz w:val="20"/>
                <w:szCs w:val="20"/>
              </w:rPr>
              <w:t>system</w:t>
            </w:r>
            <w:r w:rsidR="008153A1" w:rsidRPr="004D6412">
              <w:rPr>
                <w:color w:val="auto"/>
                <w:sz w:val="20"/>
                <w:szCs w:val="20"/>
              </w:rPr>
              <w:t>s</w:t>
            </w:r>
            <w:r w:rsidR="00802B24">
              <w:rPr>
                <w:color w:val="auto"/>
                <w:sz w:val="20"/>
                <w:szCs w:val="20"/>
              </w:rPr>
              <w:t>,</w:t>
            </w:r>
            <w:r w:rsidR="00422DEA" w:rsidRPr="004D6412">
              <w:rPr>
                <w:color w:val="auto"/>
                <w:sz w:val="20"/>
                <w:szCs w:val="20"/>
              </w:rPr>
              <w:t xml:space="preserve"> </w:t>
            </w:r>
            <w:r w:rsidR="008153A1" w:rsidRPr="004D6412">
              <w:rPr>
                <w:color w:val="auto"/>
                <w:sz w:val="20"/>
                <w:szCs w:val="20"/>
              </w:rPr>
              <w:t>data</w:t>
            </w:r>
            <w:r w:rsidR="0037778A" w:rsidRPr="004D6412">
              <w:rPr>
                <w:color w:val="auto"/>
                <w:sz w:val="20"/>
                <w:szCs w:val="20"/>
              </w:rPr>
              <w:t xml:space="preserve"> not yet available for this reporting period. </w:t>
            </w:r>
            <w:r w:rsidR="00C72739" w:rsidRPr="004D6412">
              <w:rPr>
                <w:color w:val="auto"/>
                <w:sz w:val="20"/>
                <w:szCs w:val="20"/>
              </w:rPr>
              <w:t>Our education program continues</w:t>
            </w:r>
            <w:r w:rsidR="00710038" w:rsidRPr="004D6412">
              <w:rPr>
                <w:color w:val="auto"/>
                <w:sz w:val="20"/>
                <w:szCs w:val="20"/>
              </w:rPr>
              <w:t xml:space="preserve"> to</w:t>
            </w:r>
            <w:r w:rsidR="00C72739" w:rsidRPr="004D6412">
              <w:rPr>
                <w:color w:val="auto"/>
                <w:sz w:val="20"/>
                <w:szCs w:val="20"/>
              </w:rPr>
              <w:t xml:space="preserve"> support primary school en</w:t>
            </w:r>
            <w:r w:rsidR="00710038" w:rsidRPr="004D6412">
              <w:rPr>
                <w:color w:val="auto"/>
                <w:sz w:val="20"/>
                <w:szCs w:val="20"/>
              </w:rPr>
              <w:t>rolment</w:t>
            </w:r>
            <w:r w:rsidR="008E69E3" w:rsidRPr="004D6412">
              <w:rPr>
                <w:color w:val="auto"/>
                <w:sz w:val="20"/>
                <w:szCs w:val="20"/>
              </w:rPr>
              <w:t>.</w:t>
            </w:r>
          </w:p>
        </w:tc>
      </w:tr>
      <w:tr w:rsidR="0037778A" w:rsidRPr="005D3DE9" w14:paraId="0556A95D" w14:textId="77777777" w:rsidTr="00882200">
        <w:tc>
          <w:tcPr>
            <w:tcW w:w="3114" w:type="dxa"/>
          </w:tcPr>
          <w:p w14:paraId="62F5276A" w14:textId="4029D994" w:rsidR="0037778A" w:rsidRPr="004D6412" w:rsidRDefault="0037778A" w:rsidP="00882200">
            <w:pPr>
              <w:spacing w:before="60"/>
              <w:ind w:left="96"/>
              <w:rPr>
                <w:color w:val="auto"/>
                <w:sz w:val="20"/>
                <w:szCs w:val="20"/>
              </w:rPr>
            </w:pPr>
            <w:r w:rsidRPr="004D6412">
              <w:rPr>
                <w:color w:val="auto"/>
                <w:sz w:val="20"/>
                <w:szCs w:val="20"/>
              </w:rPr>
              <w:t>Number of schools with improved water and sanitation facilities</w:t>
            </w:r>
          </w:p>
        </w:tc>
        <w:tc>
          <w:tcPr>
            <w:tcW w:w="7422" w:type="dxa"/>
          </w:tcPr>
          <w:p w14:paraId="71F5FF79" w14:textId="7B583A6A" w:rsidR="0037778A" w:rsidRPr="004D6412" w:rsidRDefault="0037778A" w:rsidP="00882200">
            <w:pPr>
              <w:spacing w:before="60"/>
              <w:ind w:left="96"/>
              <w:rPr>
                <w:color w:val="auto"/>
                <w:sz w:val="20"/>
                <w:szCs w:val="20"/>
              </w:rPr>
            </w:pPr>
            <w:r w:rsidRPr="004D6412">
              <w:rPr>
                <w:color w:val="auto"/>
                <w:sz w:val="20"/>
                <w:szCs w:val="20"/>
              </w:rPr>
              <w:t xml:space="preserve">Six schools have improved WASH facilities, including </w:t>
            </w:r>
            <w:r w:rsidR="00487C0A" w:rsidRPr="004D6412">
              <w:rPr>
                <w:color w:val="auto"/>
                <w:sz w:val="20"/>
                <w:szCs w:val="20"/>
              </w:rPr>
              <w:t xml:space="preserve">completion of </w:t>
            </w:r>
            <w:r w:rsidRPr="004D6412">
              <w:rPr>
                <w:color w:val="auto"/>
                <w:sz w:val="20"/>
                <w:szCs w:val="20"/>
              </w:rPr>
              <w:t xml:space="preserve">four WASH projects and </w:t>
            </w:r>
            <w:r w:rsidR="00487C0A" w:rsidRPr="004D6412">
              <w:rPr>
                <w:color w:val="auto"/>
                <w:sz w:val="20"/>
                <w:szCs w:val="20"/>
              </w:rPr>
              <w:t xml:space="preserve">construction of </w:t>
            </w:r>
            <w:r w:rsidRPr="004D6412">
              <w:rPr>
                <w:color w:val="auto"/>
                <w:sz w:val="20"/>
                <w:szCs w:val="20"/>
              </w:rPr>
              <w:t>one ablutions block for girls.</w:t>
            </w:r>
          </w:p>
        </w:tc>
      </w:tr>
      <w:tr w:rsidR="0037778A" w:rsidRPr="005D3DE9" w14:paraId="5DF0BAD4" w14:textId="77777777" w:rsidTr="00882200">
        <w:tc>
          <w:tcPr>
            <w:tcW w:w="3114" w:type="dxa"/>
          </w:tcPr>
          <w:p w14:paraId="476782F7" w14:textId="0C70BD07" w:rsidR="0037778A" w:rsidRPr="004D6412" w:rsidRDefault="0037778A" w:rsidP="00882200">
            <w:pPr>
              <w:spacing w:before="60"/>
              <w:ind w:left="96"/>
              <w:rPr>
                <w:color w:val="auto"/>
                <w:sz w:val="20"/>
                <w:szCs w:val="20"/>
              </w:rPr>
            </w:pPr>
            <w:r w:rsidRPr="004D6412">
              <w:rPr>
                <w:color w:val="auto"/>
                <w:sz w:val="20"/>
                <w:szCs w:val="20"/>
              </w:rPr>
              <w:t xml:space="preserve">At least 70 per cent of </w:t>
            </w:r>
            <w:r w:rsidR="00CC40A5" w:rsidRPr="004D6412">
              <w:rPr>
                <w:color w:val="auto"/>
                <w:sz w:val="20"/>
                <w:szCs w:val="20"/>
              </w:rPr>
              <w:t>Y</w:t>
            </w:r>
            <w:r w:rsidRPr="004D6412">
              <w:rPr>
                <w:color w:val="auto"/>
                <w:sz w:val="20"/>
                <w:szCs w:val="20"/>
              </w:rPr>
              <w:t>ear 4 students achieve the expected level for literacy and numeracy in the SISTA assessment</w:t>
            </w:r>
          </w:p>
        </w:tc>
        <w:tc>
          <w:tcPr>
            <w:tcW w:w="7422" w:type="dxa"/>
          </w:tcPr>
          <w:p w14:paraId="69182282" w14:textId="3E6FADD9" w:rsidR="00926A9D" w:rsidRPr="004D6412" w:rsidRDefault="00BD0383" w:rsidP="00882200">
            <w:pPr>
              <w:spacing w:before="60"/>
              <w:ind w:left="96"/>
              <w:rPr>
                <w:color w:val="auto"/>
                <w:sz w:val="20"/>
                <w:szCs w:val="20"/>
              </w:rPr>
            </w:pPr>
            <w:r w:rsidRPr="004D6412">
              <w:rPr>
                <w:color w:val="auto"/>
                <w:sz w:val="20"/>
                <w:szCs w:val="20"/>
              </w:rPr>
              <w:t xml:space="preserve">Due to COVID-19 outbreaks and </w:t>
            </w:r>
            <w:r w:rsidR="00F160AF" w:rsidRPr="004D6412">
              <w:rPr>
                <w:color w:val="auto"/>
                <w:sz w:val="20"/>
                <w:szCs w:val="20"/>
              </w:rPr>
              <w:t xml:space="preserve">civil </w:t>
            </w:r>
            <w:r w:rsidRPr="004D6412">
              <w:rPr>
                <w:color w:val="auto"/>
                <w:sz w:val="20"/>
                <w:szCs w:val="20"/>
              </w:rPr>
              <w:t xml:space="preserve">unrest </w:t>
            </w:r>
            <w:r w:rsidR="00F160AF" w:rsidRPr="004D6412">
              <w:rPr>
                <w:color w:val="auto"/>
                <w:sz w:val="20"/>
                <w:szCs w:val="20"/>
              </w:rPr>
              <w:t xml:space="preserve">interruptions to education systems, the </w:t>
            </w:r>
            <w:r w:rsidR="00523730" w:rsidRPr="004D6412">
              <w:rPr>
                <w:color w:val="auto"/>
                <w:sz w:val="20"/>
                <w:szCs w:val="20"/>
              </w:rPr>
              <w:t>Solomon Islands has not conducted the</w:t>
            </w:r>
            <w:r w:rsidR="00BA7ABA" w:rsidRPr="004D6412">
              <w:rPr>
                <w:color w:val="auto"/>
                <w:sz w:val="20"/>
                <w:szCs w:val="20"/>
              </w:rPr>
              <w:t xml:space="preserve"> </w:t>
            </w:r>
            <w:r w:rsidR="00A03D3E" w:rsidRPr="004D6412">
              <w:rPr>
                <w:color w:val="auto"/>
                <w:sz w:val="20"/>
                <w:szCs w:val="20"/>
              </w:rPr>
              <w:t xml:space="preserve">SISTA </w:t>
            </w:r>
            <w:r w:rsidR="00464271" w:rsidRPr="004D6412">
              <w:rPr>
                <w:color w:val="auto"/>
                <w:sz w:val="20"/>
                <w:szCs w:val="20"/>
              </w:rPr>
              <w:t xml:space="preserve">assessment </w:t>
            </w:r>
            <w:r w:rsidR="00A03D3E" w:rsidRPr="004D6412">
              <w:rPr>
                <w:color w:val="auto"/>
                <w:sz w:val="20"/>
                <w:szCs w:val="20"/>
              </w:rPr>
              <w:t>since 2019</w:t>
            </w:r>
            <w:r w:rsidR="00464271" w:rsidRPr="004D6412">
              <w:rPr>
                <w:color w:val="auto"/>
                <w:sz w:val="20"/>
                <w:szCs w:val="20"/>
              </w:rPr>
              <w:t>.</w:t>
            </w:r>
            <w:r w:rsidR="008E69E3" w:rsidRPr="004D6412">
              <w:rPr>
                <w:color w:val="auto"/>
                <w:sz w:val="20"/>
                <w:szCs w:val="20"/>
              </w:rPr>
              <w:t xml:space="preserve">  </w:t>
            </w:r>
            <w:r w:rsidR="00464271" w:rsidRPr="004D6412">
              <w:rPr>
                <w:color w:val="auto"/>
                <w:sz w:val="20"/>
                <w:szCs w:val="20"/>
              </w:rPr>
              <w:t>In 2019 it was</w:t>
            </w:r>
            <w:r w:rsidR="00A03D3E" w:rsidRPr="004D6412">
              <w:rPr>
                <w:color w:val="auto"/>
                <w:sz w:val="20"/>
                <w:szCs w:val="20"/>
              </w:rPr>
              <w:t xml:space="preserve"> reported 69.2 per cent of </w:t>
            </w:r>
            <w:r w:rsidR="00CC40A5" w:rsidRPr="004D6412">
              <w:rPr>
                <w:color w:val="auto"/>
                <w:sz w:val="20"/>
                <w:szCs w:val="20"/>
              </w:rPr>
              <w:t>Y</w:t>
            </w:r>
            <w:r w:rsidR="00A03D3E" w:rsidRPr="004D6412">
              <w:rPr>
                <w:color w:val="auto"/>
                <w:sz w:val="20"/>
                <w:szCs w:val="20"/>
              </w:rPr>
              <w:t>ear 4 students achieved the expected levels for literacy and 69 per cent for numeracy. </w:t>
            </w:r>
          </w:p>
        </w:tc>
      </w:tr>
      <w:tr w:rsidR="00541E43" w:rsidRPr="005D3DE9" w14:paraId="7E704FEB" w14:textId="77777777" w:rsidTr="00882200">
        <w:trPr>
          <w:trHeight w:val="793"/>
        </w:trPr>
        <w:tc>
          <w:tcPr>
            <w:tcW w:w="3114" w:type="dxa"/>
          </w:tcPr>
          <w:p w14:paraId="1CC2F0CD" w14:textId="582B8A24" w:rsidR="00541E43" w:rsidRPr="004D6412" w:rsidRDefault="00541E43" w:rsidP="00882200">
            <w:pPr>
              <w:spacing w:before="60"/>
              <w:ind w:left="96"/>
              <w:rPr>
                <w:color w:val="auto"/>
                <w:sz w:val="20"/>
                <w:szCs w:val="20"/>
              </w:rPr>
            </w:pPr>
            <w:r w:rsidRPr="004D6412">
              <w:rPr>
                <w:color w:val="auto"/>
                <w:sz w:val="20"/>
                <w:szCs w:val="20"/>
              </w:rPr>
              <w:t xml:space="preserve">Number of women and </w:t>
            </w:r>
            <w:proofErr w:type="gramStart"/>
            <w:r w:rsidRPr="004D6412">
              <w:rPr>
                <w:color w:val="auto"/>
                <w:sz w:val="20"/>
                <w:szCs w:val="20"/>
              </w:rPr>
              <w:t>girls</w:t>
            </w:r>
            <w:proofErr w:type="gramEnd"/>
            <w:r w:rsidRPr="004D6412">
              <w:rPr>
                <w:color w:val="auto"/>
                <w:sz w:val="20"/>
                <w:szCs w:val="20"/>
              </w:rPr>
              <w:t xml:space="preserve"> survivors of violence receiving services such as counselling</w:t>
            </w:r>
          </w:p>
        </w:tc>
        <w:tc>
          <w:tcPr>
            <w:tcW w:w="7422" w:type="dxa"/>
          </w:tcPr>
          <w:p w14:paraId="7D9CAB9B" w14:textId="1A735491" w:rsidR="00541E43" w:rsidRPr="004D6412" w:rsidRDefault="009174B6" w:rsidP="00882200">
            <w:pPr>
              <w:spacing w:before="60"/>
              <w:ind w:left="96"/>
              <w:rPr>
                <w:color w:val="auto"/>
                <w:sz w:val="20"/>
                <w:szCs w:val="20"/>
              </w:rPr>
            </w:pPr>
            <w:r w:rsidRPr="004D6412">
              <w:rPr>
                <w:color w:val="auto"/>
                <w:sz w:val="20"/>
                <w:szCs w:val="20"/>
              </w:rPr>
              <w:t xml:space="preserve">5,620 women and </w:t>
            </w:r>
            <w:proofErr w:type="gramStart"/>
            <w:r w:rsidRPr="004D6412">
              <w:rPr>
                <w:color w:val="auto"/>
                <w:sz w:val="20"/>
                <w:szCs w:val="20"/>
              </w:rPr>
              <w:t>girls</w:t>
            </w:r>
            <w:proofErr w:type="gramEnd"/>
            <w:r w:rsidRPr="004D6412">
              <w:rPr>
                <w:color w:val="auto"/>
                <w:sz w:val="20"/>
                <w:szCs w:val="20"/>
              </w:rPr>
              <w:t xml:space="preserve"> </w:t>
            </w:r>
            <w:r w:rsidR="00C36F98" w:rsidRPr="004D6412">
              <w:rPr>
                <w:color w:val="auto"/>
                <w:sz w:val="20"/>
                <w:szCs w:val="20"/>
              </w:rPr>
              <w:t xml:space="preserve">survivors of violence </w:t>
            </w:r>
            <w:r w:rsidRPr="004D6412">
              <w:rPr>
                <w:color w:val="auto"/>
                <w:sz w:val="20"/>
                <w:szCs w:val="20"/>
              </w:rPr>
              <w:t>accessed accommodation, medical</w:t>
            </w:r>
            <w:r w:rsidR="00C17104" w:rsidRPr="004D6412">
              <w:t xml:space="preserve"> </w:t>
            </w:r>
            <w:r w:rsidR="00C17104" w:rsidRPr="004D6412">
              <w:rPr>
                <w:color w:val="auto"/>
                <w:sz w:val="20"/>
                <w:szCs w:val="20"/>
              </w:rPr>
              <w:t>services</w:t>
            </w:r>
            <w:r w:rsidRPr="004D6412">
              <w:rPr>
                <w:color w:val="auto"/>
                <w:sz w:val="20"/>
                <w:szCs w:val="20"/>
              </w:rPr>
              <w:t xml:space="preserve">, information and counselling </w:t>
            </w:r>
            <w:r w:rsidR="005E452F" w:rsidRPr="004D6412">
              <w:rPr>
                <w:color w:val="auto"/>
                <w:sz w:val="20"/>
                <w:szCs w:val="20"/>
              </w:rPr>
              <w:t>in 2021</w:t>
            </w:r>
            <w:r w:rsidRPr="004D6412">
              <w:rPr>
                <w:color w:val="auto"/>
                <w:sz w:val="20"/>
                <w:szCs w:val="20"/>
              </w:rPr>
              <w:t>.  This decrease from 6,809 in 2020 reflects improved accuracy of reporting mechanisms, which removed duplicat</w:t>
            </w:r>
            <w:r w:rsidR="00E83AD6" w:rsidRPr="004D6412">
              <w:rPr>
                <w:color w:val="auto"/>
                <w:sz w:val="20"/>
                <w:szCs w:val="20"/>
              </w:rPr>
              <w:t>e counting records</w:t>
            </w:r>
            <w:r w:rsidRPr="004D6412">
              <w:rPr>
                <w:color w:val="auto"/>
                <w:sz w:val="20"/>
                <w:szCs w:val="20"/>
              </w:rPr>
              <w:t xml:space="preserve"> and general enquiries. Referrals increased by 93 per cent within the SAFENET referral pathway system, from 1,023 in 2020 to 1,975 in 2021.</w:t>
            </w:r>
          </w:p>
        </w:tc>
      </w:tr>
      <w:tr w:rsidR="00541E43" w:rsidRPr="005D3DE9" w14:paraId="2B585E8F" w14:textId="77777777" w:rsidTr="00882200">
        <w:tc>
          <w:tcPr>
            <w:tcW w:w="3114" w:type="dxa"/>
          </w:tcPr>
          <w:p w14:paraId="62A8FEF9" w14:textId="195F73E0" w:rsidR="00541E43" w:rsidRPr="004D6412" w:rsidRDefault="00541E43" w:rsidP="00882200">
            <w:pPr>
              <w:spacing w:before="60"/>
              <w:ind w:left="96"/>
              <w:rPr>
                <w:color w:val="auto"/>
                <w:sz w:val="20"/>
                <w:szCs w:val="20"/>
              </w:rPr>
            </w:pPr>
            <w:r w:rsidRPr="004D6412">
              <w:rPr>
                <w:color w:val="auto"/>
                <w:sz w:val="20"/>
                <w:szCs w:val="20"/>
              </w:rPr>
              <w:t>Number of domestic violence counsellors trained</w:t>
            </w:r>
          </w:p>
        </w:tc>
        <w:tc>
          <w:tcPr>
            <w:tcW w:w="7422" w:type="dxa"/>
          </w:tcPr>
          <w:p w14:paraId="084A7432" w14:textId="1F010001" w:rsidR="00541E43" w:rsidRPr="004D6412" w:rsidRDefault="00FB491C" w:rsidP="00882200">
            <w:pPr>
              <w:spacing w:before="60"/>
              <w:ind w:left="96"/>
              <w:rPr>
                <w:color w:val="auto"/>
                <w:sz w:val="20"/>
                <w:szCs w:val="20"/>
              </w:rPr>
            </w:pPr>
            <w:r w:rsidRPr="004D6412">
              <w:rPr>
                <w:color w:val="000000"/>
                <w:sz w:val="20"/>
                <w:szCs w:val="20"/>
              </w:rPr>
              <w:t>Training of three domestic violence counsellors for the Family Support Centre (FSC). COVID-19 stalled establishment of the Domestic Violence Counselling Register (DVCR) and counsellor recruitment. FSC will play an active role in governance of the DVCR subcommittee and brings growing technical and operational expertise to support the ministry to administer the DVCR.</w:t>
            </w:r>
          </w:p>
        </w:tc>
      </w:tr>
      <w:tr w:rsidR="0002509A" w:rsidRPr="005D3DE9" w14:paraId="33A9AF85" w14:textId="77777777" w:rsidTr="00882200">
        <w:tc>
          <w:tcPr>
            <w:tcW w:w="3114" w:type="dxa"/>
          </w:tcPr>
          <w:p w14:paraId="158C999C" w14:textId="7B1AD1D6" w:rsidR="0002509A" w:rsidRPr="004D6412" w:rsidRDefault="0002509A" w:rsidP="00882200">
            <w:pPr>
              <w:spacing w:before="60"/>
              <w:ind w:left="96"/>
              <w:rPr>
                <w:color w:val="auto"/>
                <w:sz w:val="20"/>
                <w:szCs w:val="20"/>
              </w:rPr>
            </w:pPr>
            <w:r w:rsidRPr="004D6412">
              <w:rPr>
                <w:color w:val="auto"/>
                <w:sz w:val="20"/>
                <w:szCs w:val="20"/>
              </w:rPr>
              <w:t>Capacity to undertake regular border surveillance activities</w:t>
            </w:r>
          </w:p>
        </w:tc>
        <w:tc>
          <w:tcPr>
            <w:tcW w:w="7422" w:type="dxa"/>
          </w:tcPr>
          <w:p w14:paraId="4DEDB79C" w14:textId="69D3DCBA" w:rsidR="0002509A" w:rsidRPr="004D6412" w:rsidRDefault="00004C78" w:rsidP="00882200">
            <w:pPr>
              <w:spacing w:before="60"/>
              <w:ind w:left="96"/>
              <w:rPr>
                <w:color w:val="auto"/>
                <w:sz w:val="20"/>
                <w:szCs w:val="20"/>
              </w:rPr>
            </w:pPr>
            <w:r w:rsidRPr="004D6412">
              <w:rPr>
                <w:color w:val="auto"/>
                <w:sz w:val="20"/>
                <w:szCs w:val="20"/>
              </w:rPr>
              <w:t>Supported the National Disaster Management Office to establish a multi</w:t>
            </w:r>
            <w:r w:rsidR="005101B9" w:rsidRPr="004D6412">
              <w:rPr>
                <w:color w:val="auto"/>
                <w:sz w:val="20"/>
                <w:szCs w:val="20"/>
              </w:rPr>
              <w:t>-agency COVID-19 On-Sit</w:t>
            </w:r>
            <w:r w:rsidR="00E158B2" w:rsidRPr="004D6412">
              <w:rPr>
                <w:color w:val="auto"/>
                <w:sz w:val="20"/>
                <w:szCs w:val="20"/>
              </w:rPr>
              <w:t>e</w:t>
            </w:r>
            <w:r w:rsidR="005101B9" w:rsidRPr="004D6412">
              <w:rPr>
                <w:color w:val="auto"/>
                <w:sz w:val="20"/>
                <w:szCs w:val="20"/>
              </w:rPr>
              <w:t>-Operations Coordination Centre to strengthen sector coordination and integrate surveillance, community outreach and preparedness along the western border with PNG.</w:t>
            </w:r>
          </w:p>
        </w:tc>
      </w:tr>
      <w:tr w:rsidR="00786EAE" w:rsidRPr="005D3DE9" w14:paraId="73BD492C" w14:textId="77777777" w:rsidTr="00882200">
        <w:tc>
          <w:tcPr>
            <w:tcW w:w="3114" w:type="dxa"/>
          </w:tcPr>
          <w:p w14:paraId="63145980" w14:textId="28E9AAA1" w:rsidR="00786EAE" w:rsidRPr="00882200" w:rsidRDefault="00786EAE" w:rsidP="00882200">
            <w:pPr>
              <w:spacing w:before="60"/>
              <w:ind w:left="96"/>
              <w:rPr>
                <w:color w:val="auto"/>
                <w:sz w:val="20"/>
                <w:szCs w:val="20"/>
              </w:rPr>
            </w:pPr>
            <w:r w:rsidRPr="004D6412">
              <w:rPr>
                <w:color w:val="auto"/>
                <w:sz w:val="20"/>
                <w:szCs w:val="20"/>
              </w:rPr>
              <w:t>Profes</w:t>
            </w:r>
            <w:r w:rsidR="00F0658B" w:rsidRPr="004D6412">
              <w:rPr>
                <w:color w:val="auto"/>
                <w:sz w:val="20"/>
                <w:szCs w:val="20"/>
              </w:rPr>
              <w:t xml:space="preserve">sional development and training for teachers, and preparedness for </w:t>
            </w:r>
            <w:r w:rsidR="003114B4" w:rsidRPr="004D6412">
              <w:rPr>
                <w:color w:val="auto"/>
                <w:sz w:val="20"/>
                <w:szCs w:val="20"/>
              </w:rPr>
              <w:t>continued education during a COVID-19 environment</w:t>
            </w:r>
            <w:r w:rsidRPr="00882200">
              <w:rPr>
                <w:rStyle w:val="FootnoteReference"/>
                <w:color w:val="auto"/>
                <w:sz w:val="20"/>
                <w:szCs w:val="20"/>
              </w:rPr>
              <w:footnoteReference w:id="2"/>
            </w:r>
          </w:p>
        </w:tc>
        <w:tc>
          <w:tcPr>
            <w:tcW w:w="7422" w:type="dxa"/>
          </w:tcPr>
          <w:p w14:paraId="1EBA7F95" w14:textId="557FF273" w:rsidR="00786EAE" w:rsidRPr="004D6412" w:rsidRDefault="002F4608" w:rsidP="00882200">
            <w:pPr>
              <w:spacing w:before="60"/>
              <w:ind w:left="96"/>
              <w:rPr>
                <w:color w:val="auto"/>
                <w:sz w:val="20"/>
                <w:szCs w:val="20"/>
              </w:rPr>
            </w:pPr>
            <w:r w:rsidRPr="004D6412">
              <w:rPr>
                <w:color w:val="auto"/>
                <w:sz w:val="20"/>
                <w:szCs w:val="20"/>
              </w:rPr>
              <w:t>Supported 547 unqualified teachers to undertake qualification training. Provided technical and financial support to MEHRD’s COVID-19 Response and Learning Continuity Plans, including online, radio, and print remote learning. Distributed 841 boxes of print materials to provinces. Provided $4 million to ease COVID-related budgetary pressures on schools and prevent closures.</w:t>
            </w:r>
          </w:p>
        </w:tc>
      </w:tr>
      <w:tr w:rsidR="00822CC5" w:rsidRPr="005D3DE9" w14:paraId="0F8BEC5B" w14:textId="77777777" w:rsidTr="00882200">
        <w:tc>
          <w:tcPr>
            <w:tcW w:w="3114" w:type="dxa"/>
          </w:tcPr>
          <w:p w14:paraId="595A71F4" w14:textId="1291DC91" w:rsidR="00871AB2" w:rsidRPr="004D6412" w:rsidRDefault="00E67C0F" w:rsidP="00882200">
            <w:pPr>
              <w:spacing w:before="60"/>
              <w:ind w:left="96"/>
              <w:rPr>
                <w:color w:val="auto"/>
                <w:sz w:val="20"/>
                <w:szCs w:val="20"/>
              </w:rPr>
            </w:pPr>
            <w:r w:rsidRPr="004D6412">
              <w:rPr>
                <w:color w:val="auto"/>
                <w:sz w:val="20"/>
                <w:szCs w:val="20"/>
              </w:rPr>
              <w:t>Numbers of households linked to markets, including digital linkages</w:t>
            </w:r>
          </w:p>
        </w:tc>
        <w:tc>
          <w:tcPr>
            <w:tcW w:w="7422" w:type="dxa"/>
          </w:tcPr>
          <w:p w14:paraId="7DD2802B" w14:textId="0C23D8A9" w:rsidR="00822CC5" w:rsidRPr="004D6412" w:rsidRDefault="00754E97" w:rsidP="00882200">
            <w:pPr>
              <w:spacing w:before="60"/>
              <w:ind w:left="96"/>
              <w:rPr>
                <w:color w:val="auto"/>
                <w:sz w:val="20"/>
                <w:szCs w:val="20"/>
              </w:rPr>
            </w:pPr>
            <w:r w:rsidRPr="004D6412">
              <w:rPr>
                <w:color w:val="auto"/>
                <w:sz w:val="20"/>
                <w:szCs w:val="20"/>
              </w:rPr>
              <w:t>Supported 765 households to connect with markets to source products and services as inputs in their economic activities, or to sell their products and services. This includes micro and small enterprises, which are typically family</w:t>
            </w:r>
            <w:r w:rsidR="00B36268" w:rsidRPr="004D6412">
              <w:rPr>
                <w:color w:val="auto"/>
                <w:sz w:val="20"/>
                <w:szCs w:val="20"/>
              </w:rPr>
              <w:t>-</w:t>
            </w:r>
            <w:r w:rsidRPr="004D6412">
              <w:rPr>
                <w:color w:val="auto"/>
                <w:sz w:val="20"/>
                <w:szCs w:val="20"/>
              </w:rPr>
              <w:t xml:space="preserve">run businesses. </w:t>
            </w:r>
          </w:p>
        </w:tc>
      </w:tr>
    </w:tbl>
    <w:p w14:paraId="3F2619AB" w14:textId="64D997BA" w:rsidR="00AE2B7B" w:rsidRPr="00AE2B7B" w:rsidRDefault="00AE2B7B" w:rsidP="00D7718E">
      <w:pPr>
        <w:pStyle w:val="Heading3"/>
      </w:pPr>
      <w:r w:rsidRPr="00AE2B7B">
        <w:lastRenderedPageBreak/>
        <w:t>Economic Recovery</w:t>
      </w:r>
    </w:p>
    <w:tbl>
      <w:tblPr>
        <w:tblStyle w:val="TableGrid"/>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economic recovery"/>
      </w:tblPr>
      <w:tblGrid>
        <w:gridCol w:w="3114"/>
        <w:gridCol w:w="7422"/>
      </w:tblGrid>
      <w:tr w:rsidR="00CA5021" w:rsidRPr="005D3DE9" w14:paraId="6541DEB5" w14:textId="77777777" w:rsidTr="00882200">
        <w:trPr>
          <w:tblHeader/>
        </w:trPr>
        <w:tc>
          <w:tcPr>
            <w:tcW w:w="3114" w:type="dxa"/>
            <w:shd w:val="clear" w:color="auto" w:fill="A2DCD1" w:themeFill="accent1" w:themeFillTint="99"/>
            <w:vAlign w:val="bottom"/>
          </w:tcPr>
          <w:p w14:paraId="7B68B645" w14:textId="39A83BEA" w:rsidR="00CA5021" w:rsidRPr="005D3DE9" w:rsidRDefault="00A96364" w:rsidP="00BB6E32">
            <w:pPr>
              <w:widowControl w:val="0"/>
              <w:spacing w:before="0" w:after="0" w:line="240" w:lineRule="auto"/>
              <w:jc w:val="center"/>
              <w:rPr>
                <w:sz w:val="20"/>
                <w:szCs w:val="20"/>
              </w:rPr>
            </w:pPr>
            <w:r w:rsidRPr="005D3DE9">
              <w:rPr>
                <w:b/>
                <w:sz w:val="20"/>
                <w:szCs w:val="20"/>
              </w:rPr>
              <w:t xml:space="preserve">Key Results </w:t>
            </w:r>
            <w:r w:rsidR="00CA5021" w:rsidRPr="005D3DE9">
              <w:rPr>
                <w:b/>
                <w:sz w:val="20"/>
                <w:szCs w:val="20"/>
              </w:rPr>
              <w:t>Indicator</w:t>
            </w:r>
            <w:r w:rsidRPr="005D3DE9">
              <w:rPr>
                <w:b/>
                <w:sz w:val="20"/>
                <w:szCs w:val="20"/>
              </w:rPr>
              <w:t>s</w:t>
            </w:r>
          </w:p>
        </w:tc>
        <w:tc>
          <w:tcPr>
            <w:tcW w:w="7422" w:type="dxa"/>
            <w:shd w:val="clear" w:color="auto" w:fill="A2DCD1" w:themeFill="accent1" w:themeFillTint="99"/>
            <w:vAlign w:val="bottom"/>
          </w:tcPr>
          <w:p w14:paraId="7B256934" w14:textId="69DE6F90" w:rsidR="00CA5021" w:rsidRPr="005D3DE9" w:rsidRDefault="00AD19F7" w:rsidP="00BB6E32">
            <w:pPr>
              <w:widowControl w:val="0"/>
              <w:spacing w:before="0" w:after="0" w:line="240" w:lineRule="auto"/>
              <w:jc w:val="center"/>
              <w:rPr>
                <w:sz w:val="20"/>
                <w:szCs w:val="20"/>
              </w:rPr>
            </w:pPr>
            <w:r w:rsidRPr="005D3DE9">
              <w:rPr>
                <w:b/>
                <w:sz w:val="20"/>
                <w:szCs w:val="20"/>
              </w:rPr>
              <w:t>Progress/Result</w:t>
            </w:r>
          </w:p>
        </w:tc>
      </w:tr>
      <w:tr w:rsidR="006E0E29" w:rsidRPr="005D3DE9" w14:paraId="564E6F58" w14:textId="77777777" w:rsidTr="00882200">
        <w:trPr>
          <w:tblHeader/>
        </w:trPr>
        <w:tc>
          <w:tcPr>
            <w:tcW w:w="3114" w:type="dxa"/>
          </w:tcPr>
          <w:p w14:paraId="234C1CE4" w14:textId="1550F246" w:rsidR="006E0E29" w:rsidRPr="005D3DE9" w:rsidRDefault="006E0E29" w:rsidP="00882200">
            <w:pPr>
              <w:spacing w:before="60"/>
              <w:ind w:left="96"/>
              <w:rPr>
                <w:color w:val="auto"/>
                <w:sz w:val="20"/>
                <w:szCs w:val="20"/>
              </w:rPr>
            </w:pPr>
            <w:r w:rsidRPr="005D3DE9">
              <w:rPr>
                <w:color w:val="auto"/>
                <w:sz w:val="20"/>
                <w:szCs w:val="20"/>
              </w:rPr>
              <w:t xml:space="preserve">Coral Sea Cable uptake (measured in </w:t>
            </w:r>
            <w:r w:rsidR="0073674E" w:rsidRPr="005D3DE9">
              <w:rPr>
                <w:color w:val="auto"/>
                <w:sz w:val="20"/>
                <w:szCs w:val="20"/>
              </w:rPr>
              <w:t xml:space="preserve">billions of bits per second- </w:t>
            </w:r>
            <w:r w:rsidRPr="005D3DE9">
              <w:rPr>
                <w:color w:val="auto"/>
                <w:sz w:val="20"/>
                <w:szCs w:val="20"/>
              </w:rPr>
              <w:t>Gbps)</w:t>
            </w:r>
          </w:p>
        </w:tc>
        <w:tc>
          <w:tcPr>
            <w:tcW w:w="7422" w:type="dxa"/>
          </w:tcPr>
          <w:p w14:paraId="5A50515E" w14:textId="25FEE59B" w:rsidR="006E0E29" w:rsidRPr="005D3DE9" w:rsidRDefault="00DD4269" w:rsidP="00882200">
            <w:pPr>
              <w:spacing w:before="60"/>
              <w:ind w:left="96"/>
              <w:rPr>
                <w:color w:val="auto"/>
                <w:sz w:val="20"/>
                <w:szCs w:val="20"/>
              </w:rPr>
            </w:pPr>
            <w:r w:rsidRPr="005D3DE9">
              <w:rPr>
                <w:color w:val="auto"/>
                <w:sz w:val="20"/>
                <w:szCs w:val="20"/>
              </w:rPr>
              <w:t>The Coral Sea Cable has led to an increase in wholesale internet supply from 1.4 to 6.03 Gbps between 2018 and 2021 (a more than four-fold increase)</w:t>
            </w:r>
            <w:r w:rsidR="00E52221" w:rsidRPr="00FD2A37">
              <w:rPr>
                <w:rStyle w:val="FootnoteReference"/>
                <w:color w:val="auto"/>
                <w:sz w:val="20"/>
                <w:szCs w:val="20"/>
              </w:rPr>
              <w:footnoteReference w:id="3"/>
            </w:r>
            <w:r w:rsidRPr="005D3DE9">
              <w:rPr>
                <w:color w:val="auto"/>
                <w:sz w:val="20"/>
                <w:szCs w:val="20"/>
              </w:rPr>
              <w:t>.</w:t>
            </w:r>
          </w:p>
        </w:tc>
      </w:tr>
      <w:tr w:rsidR="006E0E29" w:rsidRPr="005D3DE9" w14:paraId="1EAE2D66" w14:textId="77777777" w:rsidTr="00882200">
        <w:trPr>
          <w:tblHeader/>
        </w:trPr>
        <w:tc>
          <w:tcPr>
            <w:tcW w:w="3114" w:type="dxa"/>
          </w:tcPr>
          <w:p w14:paraId="65838CB2" w14:textId="19B29DC2" w:rsidR="00F44415" w:rsidRPr="005D3DE9" w:rsidRDefault="4B981E6F" w:rsidP="00882200">
            <w:pPr>
              <w:spacing w:before="60"/>
              <w:ind w:left="96"/>
              <w:rPr>
                <w:color w:val="auto"/>
                <w:sz w:val="20"/>
                <w:szCs w:val="20"/>
              </w:rPr>
            </w:pPr>
            <w:r w:rsidRPr="58C2A526">
              <w:rPr>
                <w:color w:val="auto"/>
                <w:sz w:val="20"/>
                <w:szCs w:val="20"/>
              </w:rPr>
              <w:t>Au</w:t>
            </w:r>
            <w:r w:rsidR="5C0E0A20" w:rsidRPr="58C2A526">
              <w:rPr>
                <w:color w:val="auto"/>
                <w:sz w:val="20"/>
                <w:szCs w:val="20"/>
              </w:rPr>
              <w:t>stralian budget</w:t>
            </w:r>
            <w:r w:rsidR="002F690F">
              <w:rPr>
                <w:color w:val="auto"/>
                <w:sz w:val="20"/>
                <w:szCs w:val="20"/>
              </w:rPr>
              <w:t xml:space="preserve"> </w:t>
            </w:r>
            <w:r w:rsidR="5C0E0A20" w:rsidRPr="58C2A526">
              <w:rPr>
                <w:color w:val="auto"/>
                <w:sz w:val="20"/>
                <w:szCs w:val="20"/>
              </w:rPr>
              <w:t xml:space="preserve">support as </w:t>
            </w:r>
            <w:r w:rsidR="000E33C9" w:rsidRPr="58C2A526">
              <w:rPr>
                <w:color w:val="auto"/>
                <w:sz w:val="20"/>
                <w:szCs w:val="20"/>
              </w:rPr>
              <w:t xml:space="preserve">a </w:t>
            </w:r>
            <w:r w:rsidR="2D6A5436" w:rsidRPr="58C2A526">
              <w:rPr>
                <w:color w:val="auto"/>
                <w:sz w:val="20"/>
                <w:szCs w:val="20"/>
              </w:rPr>
              <w:t>percentage</w:t>
            </w:r>
            <w:r w:rsidR="5C0E0A20" w:rsidRPr="58C2A526">
              <w:rPr>
                <w:color w:val="auto"/>
                <w:sz w:val="20"/>
                <w:szCs w:val="20"/>
              </w:rPr>
              <w:t xml:space="preserve"> of total domestic revenue in response to COVID-19</w:t>
            </w:r>
            <w:r w:rsidR="002F690F">
              <w:rPr>
                <w:rStyle w:val="FootnoteReference"/>
                <w:color w:val="auto"/>
                <w:sz w:val="20"/>
                <w:szCs w:val="20"/>
              </w:rPr>
              <w:footnoteReference w:id="4"/>
            </w:r>
            <w:r w:rsidR="00B27783" w:rsidRPr="58C2A526">
              <w:rPr>
                <w:color w:val="auto"/>
                <w:sz w:val="20"/>
                <w:szCs w:val="20"/>
              </w:rPr>
              <w:t xml:space="preserve"> </w:t>
            </w:r>
          </w:p>
        </w:tc>
        <w:tc>
          <w:tcPr>
            <w:tcW w:w="7422" w:type="dxa"/>
          </w:tcPr>
          <w:p w14:paraId="02B96D99" w14:textId="6294FB3C" w:rsidR="006E0E29" w:rsidRPr="005D3DE9" w:rsidRDefault="00946B4A" w:rsidP="00882200">
            <w:pPr>
              <w:spacing w:before="60"/>
              <w:ind w:left="96"/>
              <w:rPr>
                <w:color w:val="auto"/>
                <w:sz w:val="20"/>
                <w:szCs w:val="20"/>
              </w:rPr>
            </w:pPr>
            <w:r w:rsidRPr="005D3DE9">
              <w:rPr>
                <w:rFonts w:eastAsia="Times New Roman"/>
                <w:color w:val="auto"/>
                <w:sz w:val="20"/>
                <w:szCs w:val="20"/>
              </w:rPr>
              <w:t xml:space="preserve">Australian budget support </w:t>
            </w:r>
            <w:r w:rsidR="002C7085" w:rsidRPr="005D3DE9">
              <w:rPr>
                <w:rFonts w:eastAsia="Times New Roman"/>
                <w:color w:val="auto"/>
                <w:sz w:val="20"/>
                <w:szCs w:val="20"/>
              </w:rPr>
              <w:t>represented 7.</w:t>
            </w:r>
            <w:r w:rsidR="00B660F5">
              <w:rPr>
                <w:rFonts w:eastAsia="Times New Roman"/>
                <w:color w:val="auto"/>
                <w:sz w:val="20"/>
                <w:szCs w:val="20"/>
              </w:rPr>
              <w:t>3</w:t>
            </w:r>
            <w:r w:rsidR="002C7085" w:rsidRPr="005D3DE9">
              <w:rPr>
                <w:rFonts w:eastAsia="Times New Roman"/>
                <w:color w:val="auto"/>
                <w:sz w:val="20"/>
                <w:szCs w:val="20"/>
              </w:rPr>
              <w:t xml:space="preserve">9 per cent of total domestic revenue. </w:t>
            </w:r>
          </w:p>
        </w:tc>
      </w:tr>
      <w:tr w:rsidR="0057176A" w:rsidRPr="005D3DE9" w14:paraId="4DF45926" w14:textId="77777777" w:rsidTr="00882200">
        <w:trPr>
          <w:tblHeader/>
        </w:trPr>
        <w:tc>
          <w:tcPr>
            <w:tcW w:w="3114" w:type="dxa"/>
          </w:tcPr>
          <w:p w14:paraId="0B1E2DC4" w14:textId="4DA4A1E4" w:rsidR="0057176A" w:rsidRPr="005D3DE9" w:rsidRDefault="0057176A" w:rsidP="00882200">
            <w:pPr>
              <w:spacing w:before="60"/>
              <w:ind w:left="96"/>
              <w:rPr>
                <w:color w:val="auto"/>
                <w:sz w:val="20"/>
                <w:szCs w:val="20"/>
              </w:rPr>
            </w:pPr>
            <w:r w:rsidRPr="005D3DE9">
              <w:rPr>
                <w:color w:val="auto"/>
                <w:sz w:val="20"/>
                <w:szCs w:val="20"/>
              </w:rPr>
              <w:t>Increased infrastructure investment to improve access to services and contribute to inclusive economic growth</w:t>
            </w:r>
          </w:p>
        </w:tc>
        <w:tc>
          <w:tcPr>
            <w:tcW w:w="7422" w:type="dxa"/>
          </w:tcPr>
          <w:p w14:paraId="1FCE71E6" w14:textId="08BE5EF9" w:rsidR="0057176A" w:rsidRPr="005D3DE9" w:rsidRDefault="0057176A" w:rsidP="00882200">
            <w:pPr>
              <w:spacing w:before="60"/>
              <w:ind w:left="96"/>
              <w:rPr>
                <w:color w:val="auto"/>
                <w:sz w:val="20"/>
                <w:szCs w:val="20"/>
              </w:rPr>
            </w:pPr>
            <w:bookmarkStart w:id="6" w:name="_Hlk113291909"/>
            <w:r w:rsidRPr="005D3DE9">
              <w:rPr>
                <w:color w:val="auto"/>
                <w:sz w:val="20"/>
                <w:szCs w:val="20"/>
              </w:rPr>
              <w:t xml:space="preserve">Under the Solomon Islands Infrastructure </w:t>
            </w:r>
            <w:r w:rsidR="001016CB">
              <w:rPr>
                <w:color w:val="auto"/>
                <w:sz w:val="20"/>
                <w:szCs w:val="20"/>
              </w:rPr>
              <w:t>P</w:t>
            </w:r>
            <w:r w:rsidRPr="005D3DE9">
              <w:rPr>
                <w:color w:val="auto"/>
                <w:sz w:val="20"/>
                <w:szCs w:val="20"/>
              </w:rPr>
              <w:t xml:space="preserve">rogram, Australia spent </w:t>
            </w:r>
            <w:r w:rsidR="00995428" w:rsidRPr="005D3DE9">
              <w:rPr>
                <w:color w:val="auto"/>
                <w:sz w:val="20"/>
                <w:szCs w:val="20"/>
              </w:rPr>
              <w:t>$</w:t>
            </w:r>
            <w:r w:rsidRPr="005D3DE9">
              <w:rPr>
                <w:color w:val="auto"/>
                <w:sz w:val="20"/>
                <w:szCs w:val="20"/>
              </w:rPr>
              <w:t xml:space="preserve">13 million on economic infrastructure in 2021-22. </w:t>
            </w:r>
            <w:bookmarkEnd w:id="6"/>
            <w:r w:rsidRPr="005D3DE9">
              <w:rPr>
                <w:color w:val="auto"/>
                <w:sz w:val="20"/>
                <w:szCs w:val="20"/>
              </w:rPr>
              <w:t xml:space="preserve">This includes a </w:t>
            </w:r>
            <w:r w:rsidR="00995428" w:rsidRPr="005D3DE9">
              <w:rPr>
                <w:color w:val="auto"/>
                <w:sz w:val="20"/>
                <w:szCs w:val="20"/>
              </w:rPr>
              <w:t>$</w:t>
            </w:r>
            <w:r w:rsidRPr="005D3DE9">
              <w:rPr>
                <w:color w:val="auto"/>
                <w:sz w:val="20"/>
                <w:szCs w:val="20"/>
              </w:rPr>
              <w:t xml:space="preserve">10 million contribution to upgrades at </w:t>
            </w:r>
            <w:proofErr w:type="spellStart"/>
            <w:r w:rsidRPr="005D3DE9">
              <w:rPr>
                <w:color w:val="auto"/>
                <w:sz w:val="20"/>
                <w:szCs w:val="20"/>
              </w:rPr>
              <w:t>Seghe</w:t>
            </w:r>
            <w:proofErr w:type="spellEnd"/>
            <w:r w:rsidRPr="005D3DE9">
              <w:rPr>
                <w:color w:val="auto"/>
                <w:sz w:val="20"/>
                <w:szCs w:val="20"/>
              </w:rPr>
              <w:t xml:space="preserve"> and Taro provincial airfields.</w:t>
            </w:r>
          </w:p>
        </w:tc>
      </w:tr>
      <w:tr w:rsidR="0057176A" w:rsidRPr="005D3DE9" w14:paraId="51A15CF9" w14:textId="77777777" w:rsidTr="00882200">
        <w:trPr>
          <w:tblHeader/>
        </w:trPr>
        <w:tc>
          <w:tcPr>
            <w:tcW w:w="3114" w:type="dxa"/>
          </w:tcPr>
          <w:p w14:paraId="3C75C9F9" w14:textId="3FE37CCC" w:rsidR="0057176A" w:rsidRPr="005D3DE9" w:rsidRDefault="0057176A" w:rsidP="00882200">
            <w:pPr>
              <w:spacing w:before="60"/>
              <w:ind w:left="96"/>
              <w:rPr>
                <w:color w:val="auto"/>
                <w:sz w:val="20"/>
                <w:szCs w:val="20"/>
              </w:rPr>
            </w:pPr>
            <w:r w:rsidRPr="005D3DE9">
              <w:rPr>
                <w:color w:val="auto"/>
                <w:sz w:val="20"/>
                <w:szCs w:val="20"/>
              </w:rPr>
              <w:t>Number of female entrepreneurs provided with financial/business development services</w:t>
            </w:r>
          </w:p>
        </w:tc>
        <w:tc>
          <w:tcPr>
            <w:tcW w:w="7422" w:type="dxa"/>
          </w:tcPr>
          <w:p w14:paraId="0DD22350" w14:textId="54E9677F" w:rsidR="0057176A" w:rsidRPr="005D3DE9" w:rsidRDefault="0057176A" w:rsidP="00882200">
            <w:pPr>
              <w:spacing w:before="60"/>
              <w:ind w:left="96"/>
              <w:rPr>
                <w:color w:val="auto"/>
                <w:sz w:val="20"/>
                <w:szCs w:val="20"/>
              </w:rPr>
            </w:pPr>
            <w:r w:rsidRPr="005D3DE9">
              <w:rPr>
                <w:color w:val="auto"/>
                <w:sz w:val="20"/>
                <w:szCs w:val="20"/>
              </w:rPr>
              <w:t>Supported 197 women entrepreneurs with financial and business development services.</w:t>
            </w:r>
          </w:p>
        </w:tc>
      </w:tr>
      <w:tr w:rsidR="00BC0F65" w:rsidRPr="005D3DE9" w14:paraId="2E8A4FD3" w14:textId="77777777" w:rsidTr="00882200">
        <w:trPr>
          <w:tblHeader/>
        </w:trPr>
        <w:tc>
          <w:tcPr>
            <w:tcW w:w="3114" w:type="dxa"/>
          </w:tcPr>
          <w:p w14:paraId="5BB21214" w14:textId="15377734" w:rsidR="00BC0F65" w:rsidRPr="005D3DE9" w:rsidRDefault="00BC0F65" w:rsidP="00882200">
            <w:pPr>
              <w:spacing w:before="60"/>
              <w:ind w:left="96"/>
              <w:rPr>
                <w:color w:val="auto"/>
                <w:sz w:val="20"/>
                <w:szCs w:val="20"/>
              </w:rPr>
            </w:pPr>
            <w:r w:rsidRPr="005D3DE9">
              <w:rPr>
                <w:color w:val="auto"/>
                <w:sz w:val="20"/>
                <w:szCs w:val="20"/>
              </w:rPr>
              <w:t>Number of Technical and Vocational Education and Training (TVET) teachers adopting improved teaching practices</w:t>
            </w:r>
          </w:p>
        </w:tc>
        <w:tc>
          <w:tcPr>
            <w:tcW w:w="7422" w:type="dxa"/>
          </w:tcPr>
          <w:p w14:paraId="596C65CD" w14:textId="0A1B37D0" w:rsidR="00BC0F65" w:rsidRPr="005D3DE9" w:rsidRDefault="00BC0F65" w:rsidP="00882200">
            <w:pPr>
              <w:spacing w:before="60"/>
              <w:ind w:left="96"/>
              <w:rPr>
                <w:color w:val="auto"/>
                <w:sz w:val="20"/>
                <w:szCs w:val="20"/>
              </w:rPr>
            </w:pPr>
            <w:r w:rsidRPr="005D3DE9">
              <w:rPr>
                <w:color w:val="auto"/>
                <w:sz w:val="20"/>
                <w:szCs w:val="20"/>
              </w:rPr>
              <w:t xml:space="preserve">55 trainers (23 </w:t>
            </w:r>
            <w:r w:rsidR="006C64A2" w:rsidRPr="005D3DE9">
              <w:rPr>
                <w:color w:val="auto"/>
                <w:sz w:val="20"/>
                <w:szCs w:val="20"/>
              </w:rPr>
              <w:t>women</w:t>
            </w:r>
            <w:r w:rsidRPr="005D3DE9">
              <w:rPr>
                <w:color w:val="auto"/>
                <w:sz w:val="20"/>
                <w:szCs w:val="20"/>
              </w:rPr>
              <w:t xml:space="preserve">) undertook International Skills Training (IST) and 24 (5 </w:t>
            </w:r>
            <w:r w:rsidR="006C64A2" w:rsidRPr="005D3DE9">
              <w:rPr>
                <w:color w:val="auto"/>
                <w:sz w:val="20"/>
                <w:szCs w:val="20"/>
              </w:rPr>
              <w:t>women</w:t>
            </w:r>
            <w:r w:rsidRPr="005D3DE9">
              <w:rPr>
                <w:color w:val="auto"/>
                <w:sz w:val="20"/>
                <w:szCs w:val="20"/>
              </w:rPr>
              <w:t xml:space="preserve">) </w:t>
            </w:r>
            <w:r w:rsidR="00835593">
              <w:rPr>
                <w:color w:val="auto"/>
                <w:sz w:val="20"/>
                <w:szCs w:val="20"/>
              </w:rPr>
              <w:t>completed</w:t>
            </w:r>
            <w:r w:rsidR="00835593" w:rsidRPr="005D3DE9">
              <w:rPr>
                <w:color w:val="auto"/>
                <w:sz w:val="20"/>
                <w:szCs w:val="20"/>
              </w:rPr>
              <w:t xml:space="preserve"> </w:t>
            </w:r>
            <w:r w:rsidRPr="005D3DE9">
              <w:rPr>
                <w:color w:val="auto"/>
                <w:sz w:val="20"/>
                <w:szCs w:val="20"/>
              </w:rPr>
              <w:t xml:space="preserve">the IST Advanced training. 29 trainers (6 </w:t>
            </w:r>
            <w:r w:rsidR="006C64A2" w:rsidRPr="005D3DE9">
              <w:rPr>
                <w:color w:val="auto"/>
                <w:sz w:val="20"/>
                <w:szCs w:val="20"/>
              </w:rPr>
              <w:t>women</w:t>
            </w:r>
            <w:r w:rsidRPr="005D3DE9">
              <w:rPr>
                <w:color w:val="auto"/>
                <w:sz w:val="20"/>
                <w:szCs w:val="20"/>
              </w:rPr>
              <w:t xml:space="preserve">) attended Certificate IV Leadership and Management training. </w:t>
            </w:r>
          </w:p>
        </w:tc>
      </w:tr>
      <w:tr w:rsidR="00BC0F65" w:rsidRPr="005D3DE9" w14:paraId="1CEBEDCC" w14:textId="77777777" w:rsidTr="00882200">
        <w:trPr>
          <w:tblHeader/>
        </w:trPr>
        <w:tc>
          <w:tcPr>
            <w:tcW w:w="3114" w:type="dxa"/>
          </w:tcPr>
          <w:p w14:paraId="170960E6" w14:textId="32F8D877" w:rsidR="00BC0F65" w:rsidRPr="005D3DE9" w:rsidRDefault="00BC0F65" w:rsidP="00882200">
            <w:pPr>
              <w:spacing w:before="60"/>
              <w:ind w:left="96"/>
              <w:rPr>
                <w:color w:val="auto"/>
                <w:sz w:val="20"/>
                <w:szCs w:val="20"/>
              </w:rPr>
            </w:pPr>
            <w:r w:rsidRPr="005D3DE9">
              <w:rPr>
                <w:color w:val="auto"/>
                <w:sz w:val="20"/>
                <w:szCs w:val="20"/>
              </w:rPr>
              <w:t>Number of TVET students (women/men) reached with improved teaching practices</w:t>
            </w:r>
          </w:p>
        </w:tc>
        <w:tc>
          <w:tcPr>
            <w:tcW w:w="7422" w:type="dxa"/>
          </w:tcPr>
          <w:p w14:paraId="5DD7051C" w14:textId="66736172" w:rsidR="00BC0F65" w:rsidRPr="005D3DE9" w:rsidRDefault="00BC0F65" w:rsidP="00882200">
            <w:pPr>
              <w:spacing w:before="60"/>
              <w:ind w:left="96"/>
              <w:rPr>
                <w:color w:val="auto"/>
                <w:sz w:val="20"/>
                <w:szCs w:val="20"/>
              </w:rPr>
            </w:pPr>
            <w:r w:rsidRPr="005D3DE9">
              <w:rPr>
                <w:color w:val="auto"/>
                <w:sz w:val="20"/>
                <w:szCs w:val="20"/>
              </w:rPr>
              <w:t xml:space="preserve">403 students (90 </w:t>
            </w:r>
            <w:r w:rsidR="006C64A2" w:rsidRPr="005D3DE9">
              <w:rPr>
                <w:color w:val="auto"/>
                <w:sz w:val="20"/>
                <w:szCs w:val="20"/>
              </w:rPr>
              <w:t>women</w:t>
            </w:r>
            <w:r w:rsidRPr="005D3DE9">
              <w:rPr>
                <w:color w:val="auto"/>
                <w:sz w:val="20"/>
                <w:szCs w:val="20"/>
              </w:rPr>
              <w:t>) enrolled in five National Skills Packages in 2021.</w:t>
            </w:r>
          </w:p>
        </w:tc>
      </w:tr>
      <w:tr w:rsidR="00BC0F65" w:rsidRPr="001459DE" w14:paraId="07464975" w14:textId="77777777" w:rsidTr="00882200">
        <w:trPr>
          <w:tblHeader/>
        </w:trPr>
        <w:tc>
          <w:tcPr>
            <w:tcW w:w="3114" w:type="dxa"/>
          </w:tcPr>
          <w:p w14:paraId="2576CA27" w14:textId="607CFEC2" w:rsidR="00BC0F65" w:rsidRPr="005D3DE9" w:rsidRDefault="00BC0F65" w:rsidP="00882200">
            <w:pPr>
              <w:spacing w:before="60"/>
              <w:ind w:left="96"/>
              <w:rPr>
                <w:color w:val="auto"/>
                <w:sz w:val="20"/>
                <w:szCs w:val="20"/>
              </w:rPr>
            </w:pPr>
            <w:r w:rsidRPr="005D3DE9">
              <w:rPr>
                <w:color w:val="auto"/>
                <w:sz w:val="20"/>
                <w:szCs w:val="20"/>
              </w:rPr>
              <w:t xml:space="preserve">Number of returned labour mobility and seasonal workers reporting increased capacity to earn an income (employment, entrepreneurial) </w:t>
            </w:r>
          </w:p>
        </w:tc>
        <w:tc>
          <w:tcPr>
            <w:tcW w:w="7422" w:type="dxa"/>
          </w:tcPr>
          <w:p w14:paraId="3B393501" w14:textId="28851353" w:rsidR="00967615" w:rsidRPr="005D3DE9" w:rsidRDefault="009335C3" w:rsidP="00882200">
            <w:pPr>
              <w:spacing w:before="60"/>
              <w:ind w:left="96"/>
              <w:rPr>
                <w:color w:val="auto"/>
                <w:sz w:val="20"/>
                <w:szCs w:val="20"/>
              </w:rPr>
            </w:pPr>
            <w:r w:rsidRPr="005D3DE9">
              <w:rPr>
                <w:color w:val="auto"/>
                <w:sz w:val="20"/>
                <w:szCs w:val="20"/>
              </w:rPr>
              <w:t xml:space="preserve">3,694 Solomon Islanders were working in Australia </w:t>
            </w:r>
            <w:r w:rsidR="00AB3C07" w:rsidRPr="005D3DE9">
              <w:rPr>
                <w:color w:val="auto"/>
                <w:sz w:val="20"/>
                <w:szCs w:val="20"/>
              </w:rPr>
              <w:t xml:space="preserve">under the Pacific Labour Mobility (PALM) Scheme </w:t>
            </w:r>
            <w:r w:rsidR="00D448A7">
              <w:rPr>
                <w:color w:val="auto"/>
                <w:sz w:val="20"/>
                <w:szCs w:val="20"/>
              </w:rPr>
              <w:t>on</w:t>
            </w:r>
            <w:r w:rsidRPr="005D3DE9">
              <w:rPr>
                <w:color w:val="auto"/>
                <w:sz w:val="20"/>
                <w:szCs w:val="20"/>
              </w:rPr>
              <w:t xml:space="preserve"> 30 June</w:t>
            </w:r>
            <w:r w:rsidR="009B5FEC">
              <w:rPr>
                <w:color w:val="auto"/>
                <w:sz w:val="20"/>
                <w:szCs w:val="20"/>
              </w:rPr>
              <w:t xml:space="preserve"> 2022</w:t>
            </w:r>
            <w:r w:rsidR="00AB3C07" w:rsidRPr="005D3DE9">
              <w:rPr>
                <w:color w:val="auto"/>
                <w:sz w:val="20"/>
                <w:szCs w:val="20"/>
              </w:rPr>
              <w:t xml:space="preserve">, of </w:t>
            </w:r>
            <w:r w:rsidR="00BA22EA">
              <w:rPr>
                <w:color w:val="auto"/>
                <w:sz w:val="20"/>
                <w:szCs w:val="20"/>
              </w:rPr>
              <w:t>whom</w:t>
            </w:r>
            <w:r w:rsidR="00BA22EA" w:rsidRPr="005D3DE9">
              <w:rPr>
                <w:color w:val="auto"/>
                <w:sz w:val="20"/>
                <w:szCs w:val="20"/>
              </w:rPr>
              <w:t xml:space="preserve"> </w:t>
            </w:r>
            <w:r w:rsidR="00AB3C07" w:rsidRPr="005D3DE9">
              <w:rPr>
                <w:color w:val="auto"/>
                <w:sz w:val="20"/>
                <w:szCs w:val="20"/>
              </w:rPr>
              <w:t>2,457 workers were deployed in 2021.</w:t>
            </w:r>
            <w:r w:rsidR="002A4E3D" w:rsidRPr="005D3DE9">
              <w:rPr>
                <w:color w:val="auto"/>
                <w:sz w:val="20"/>
                <w:szCs w:val="20"/>
              </w:rPr>
              <w:t xml:space="preserve"> With ov</w:t>
            </w:r>
            <w:r w:rsidR="00AB3C07" w:rsidRPr="005D3DE9">
              <w:rPr>
                <w:color w:val="auto"/>
                <w:sz w:val="20"/>
                <w:szCs w:val="20"/>
              </w:rPr>
              <w:t xml:space="preserve">er 70 per cent </w:t>
            </w:r>
            <w:r w:rsidR="00464D13">
              <w:rPr>
                <w:color w:val="auto"/>
                <w:sz w:val="20"/>
                <w:szCs w:val="20"/>
              </w:rPr>
              <w:t xml:space="preserve">participating </w:t>
            </w:r>
            <w:r w:rsidR="00BC0F65" w:rsidRPr="005D3DE9">
              <w:rPr>
                <w:color w:val="auto"/>
                <w:sz w:val="20"/>
                <w:szCs w:val="20"/>
              </w:rPr>
              <w:t xml:space="preserve">in the longer-term </w:t>
            </w:r>
            <w:r w:rsidR="00570442" w:rsidRPr="005D3DE9">
              <w:rPr>
                <w:color w:val="auto"/>
                <w:sz w:val="20"/>
                <w:szCs w:val="20"/>
              </w:rPr>
              <w:t>scheme</w:t>
            </w:r>
            <w:r w:rsidR="00BC0F65" w:rsidRPr="005D3DE9">
              <w:rPr>
                <w:color w:val="auto"/>
                <w:sz w:val="20"/>
                <w:szCs w:val="20"/>
              </w:rPr>
              <w:t xml:space="preserve"> we anticipate a lag in availability of data until the 2023-24 financial year.</w:t>
            </w:r>
            <w:r w:rsidR="004A6826" w:rsidRPr="005D3DE9">
              <w:rPr>
                <w:color w:val="auto"/>
                <w:sz w:val="20"/>
                <w:szCs w:val="20"/>
              </w:rPr>
              <w:t xml:space="preserve"> </w:t>
            </w:r>
          </w:p>
          <w:p w14:paraId="5935FD61" w14:textId="3B2E9C21" w:rsidR="00967615" w:rsidRPr="005D3DE9" w:rsidRDefault="00967615" w:rsidP="00882200">
            <w:pPr>
              <w:spacing w:before="60"/>
              <w:ind w:left="96"/>
              <w:rPr>
                <w:color w:val="auto"/>
                <w:sz w:val="20"/>
                <w:szCs w:val="20"/>
              </w:rPr>
            </w:pPr>
          </w:p>
        </w:tc>
      </w:tr>
    </w:tbl>
    <w:p w14:paraId="2F13E6BA" w14:textId="77777777" w:rsidR="008A6BB7" w:rsidRDefault="008A6BB7" w:rsidP="0021065D">
      <w:pPr>
        <w:pStyle w:val="Heading2"/>
        <w:sectPr w:rsidR="008A6BB7" w:rsidSect="00952815">
          <w:headerReference w:type="default" r:id="rId10"/>
          <w:footerReference w:type="default" r:id="rId11"/>
          <w:headerReference w:type="first" r:id="rId12"/>
          <w:pgSz w:w="11906" w:h="16838" w:code="9"/>
          <w:pgMar w:top="1559" w:right="680" w:bottom="1418" w:left="680" w:header="567" w:footer="340" w:gutter="0"/>
          <w:cols w:space="397"/>
          <w:docGrid w:linePitch="360"/>
        </w:sectPr>
      </w:pPr>
    </w:p>
    <w:p w14:paraId="06ABEE3D" w14:textId="62B75A66" w:rsidR="00D1231A" w:rsidRDefault="00121DDD" w:rsidP="0021065D">
      <w:pPr>
        <w:pStyle w:val="Heading2"/>
      </w:pPr>
      <w:r>
        <w:lastRenderedPageBreak/>
        <w:t>Annex 2</w:t>
      </w:r>
      <w:r w:rsidR="00D1231A" w:rsidRPr="00D1231A">
        <w:t xml:space="preserve">: </w:t>
      </w:r>
      <w:r w:rsidR="00D1231A">
        <w:t>I</w:t>
      </w:r>
      <w:r w:rsidR="00D1231A" w:rsidRPr="00D1231A">
        <w:t>nvestment Performance</w:t>
      </w:r>
      <w:r w:rsidR="000F78C9">
        <w:t xml:space="preserve"> ratings</w:t>
      </w:r>
    </w:p>
    <w:tbl>
      <w:tblPr>
        <w:tblStyle w:val="DFATTable1"/>
        <w:tblW w:w="10627"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ayout w:type="fixed"/>
        <w:tblLook w:val="04A0" w:firstRow="1" w:lastRow="0" w:firstColumn="1" w:lastColumn="0" w:noHBand="0" w:noVBand="1"/>
        <w:tblCaption w:val="Progress against performance indicators"/>
        <w:tblDescription w:val="This table shows the progress made against key indicators for economic recovery"/>
      </w:tblPr>
      <w:tblGrid>
        <w:gridCol w:w="5098"/>
        <w:gridCol w:w="1276"/>
        <w:gridCol w:w="1418"/>
        <w:gridCol w:w="1842"/>
        <w:gridCol w:w="993"/>
      </w:tblGrid>
      <w:tr w:rsidR="0010441E" w:rsidRPr="00AF18F4" w14:paraId="69FD1E5F" w14:textId="77777777" w:rsidTr="0039639E">
        <w:trPr>
          <w:cnfStyle w:val="100000000000" w:firstRow="1" w:lastRow="0" w:firstColumn="0" w:lastColumn="0" w:oddVBand="0" w:evenVBand="0" w:oddHBand="0" w:evenHBand="0" w:firstRowFirstColumn="0" w:firstRowLastColumn="0" w:lastRowFirstColumn="0" w:lastRowLastColumn="0"/>
          <w:trHeight w:hRule="exact" w:val="550"/>
          <w:tblHeader/>
        </w:trPr>
        <w:tc>
          <w:tcPr>
            <w:cnfStyle w:val="001000000000" w:firstRow="0" w:lastRow="0" w:firstColumn="1" w:lastColumn="0" w:oddVBand="0" w:evenVBand="0" w:oddHBand="0" w:evenHBand="0" w:firstRowFirstColumn="0" w:firstRowLastColumn="0" w:lastRowFirstColumn="0" w:lastRowLastColumn="0"/>
            <w:tcW w:w="5098" w:type="dxa"/>
            <w:shd w:val="clear" w:color="auto" w:fill="A2DCD1" w:themeFill="accent1" w:themeFillTint="99"/>
            <w:noWrap/>
            <w:vAlign w:val="center"/>
            <w:hideMark/>
          </w:tcPr>
          <w:p w14:paraId="287BF78E" w14:textId="77777777" w:rsidR="00AC551D" w:rsidRPr="005736BB" w:rsidRDefault="00AC551D" w:rsidP="00BB6E32">
            <w:pPr>
              <w:suppressAutoHyphens w:val="0"/>
              <w:spacing w:before="0" w:after="0" w:line="240" w:lineRule="auto"/>
              <w:jc w:val="center"/>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Investment Details</w:t>
            </w:r>
          </w:p>
        </w:tc>
        <w:tc>
          <w:tcPr>
            <w:tcW w:w="1276" w:type="dxa"/>
            <w:shd w:val="clear" w:color="auto" w:fill="A2DCD1" w:themeFill="accent1" w:themeFillTint="99"/>
            <w:noWrap/>
            <w:vAlign w:val="center"/>
            <w:hideMark/>
          </w:tcPr>
          <w:p w14:paraId="36D4C187" w14:textId="77777777" w:rsidR="00AC551D" w:rsidRPr="005736BB" w:rsidRDefault="00AC551D" w:rsidP="00BB6E3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Year</w:t>
            </w:r>
          </w:p>
        </w:tc>
        <w:tc>
          <w:tcPr>
            <w:tcW w:w="1418" w:type="dxa"/>
            <w:shd w:val="clear" w:color="auto" w:fill="A2DCD1" w:themeFill="accent1" w:themeFillTint="99"/>
            <w:noWrap/>
            <w:vAlign w:val="center"/>
            <w:hideMark/>
          </w:tcPr>
          <w:p w14:paraId="1B1121B3" w14:textId="77777777" w:rsidR="00AC551D" w:rsidRPr="005736BB" w:rsidRDefault="00AC551D" w:rsidP="00BB6E3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Effectiveness</w:t>
            </w:r>
          </w:p>
        </w:tc>
        <w:tc>
          <w:tcPr>
            <w:tcW w:w="1842" w:type="dxa"/>
            <w:shd w:val="clear" w:color="auto" w:fill="A2DCD1" w:themeFill="accent1" w:themeFillTint="99"/>
            <w:noWrap/>
            <w:vAlign w:val="center"/>
            <w:hideMark/>
          </w:tcPr>
          <w:p w14:paraId="7B4698B4" w14:textId="77777777" w:rsidR="00AC551D" w:rsidRPr="005736BB" w:rsidRDefault="00AC551D" w:rsidP="00BB6E3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Efficiency</w:t>
            </w:r>
          </w:p>
        </w:tc>
        <w:tc>
          <w:tcPr>
            <w:tcW w:w="993" w:type="dxa"/>
            <w:shd w:val="clear" w:color="auto" w:fill="A2DCD1" w:themeFill="accent1" w:themeFillTint="99"/>
            <w:noWrap/>
            <w:vAlign w:val="center"/>
            <w:hideMark/>
          </w:tcPr>
          <w:p w14:paraId="5E5D38EF" w14:textId="4CC6B5C6" w:rsidR="00AC551D" w:rsidRPr="005736BB" w:rsidRDefault="00AC551D" w:rsidP="00BB6E3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Gender Equality</w:t>
            </w:r>
          </w:p>
        </w:tc>
      </w:tr>
      <w:tr w:rsidR="0010441E" w:rsidRPr="00AF18F4" w14:paraId="1867487D" w14:textId="77777777" w:rsidTr="0039639E">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098" w:type="dxa"/>
            <w:tcBorders>
              <w:bottom w:val="nil"/>
              <w:right w:val="single" w:sz="4" w:space="0" w:color="65C5B4" w:themeColor="accent1"/>
            </w:tcBorders>
            <w:shd w:val="clear" w:color="auto" w:fill="F2F2F2" w:themeFill="background1" w:themeFillShade="F2"/>
            <w:vAlign w:val="bottom"/>
            <w:hideMark/>
          </w:tcPr>
          <w:p w14:paraId="2E831155" w14:textId="7D7AD19D" w:rsidR="00AC551D" w:rsidRPr="00CA5021" w:rsidRDefault="00673DFD" w:rsidP="00BB6E32">
            <w:pPr>
              <w:suppressAutoHyphens w:val="0"/>
              <w:spacing w:before="0" w:after="0" w:line="240" w:lineRule="auto"/>
              <w:rPr>
                <w:rFonts w:asciiTheme="minorHAnsi" w:eastAsia="Times New Roman" w:hAnsiTheme="minorHAnsi" w:cstheme="minorHAnsi"/>
                <w:b/>
                <w:bCs/>
                <w:color w:val="404040"/>
                <w:sz w:val="20"/>
                <w:szCs w:val="20"/>
                <w:lang w:val="en-AU" w:eastAsia="en-AU"/>
              </w:rPr>
            </w:pPr>
            <w:r>
              <w:rPr>
                <w:rFonts w:asciiTheme="minorHAnsi" w:eastAsia="Times New Roman" w:hAnsiTheme="minorHAnsi" w:cstheme="minorHAnsi"/>
                <w:b/>
                <w:bCs/>
                <w:color w:val="404040"/>
                <w:sz w:val="20"/>
                <w:szCs w:val="20"/>
                <w:lang w:eastAsia="en-AU"/>
              </w:rPr>
              <w:t>Addressing Gender Equality in Solomon Islands</w:t>
            </w:r>
          </w:p>
        </w:tc>
        <w:tc>
          <w:tcPr>
            <w:tcW w:w="1276" w:type="dxa"/>
            <w:tcBorders>
              <w:left w:val="single" w:sz="4" w:space="0" w:color="65C5B4" w:themeColor="accent1"/>
              <w:bottom w:val="nil"/>
              <w:right w:val="single" w:sz="4" w:space="0" w:color="65C5B4" w:themeColor="accent1"/>
            </w:tcBorders>
            <w:shd w:val="clear" w:color="auto" w:fill="F2F2F2" w:themeFill="background1" w:themeFillShade="F2"/>
            <w:hideMark/>
          </w:tcPr>
          <w:p w14:paraId="753CB627" w14:textId="0949A421" w:rsidR="00AC551D" w:rsidRPr="00CA5021" w:rsidRDefault="00AC551D" w:rsidP="00BB6E3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eastAsia="en-AU"/>
              </w:rPr>
              <w:t>202</w:t>
            </w:r>
            <w:r w:rsidR="00A22CD1">
              <w:rPr>
                <w:rFonts w:asciiTheme="minorHAnsi" w:eastAsia="Times New Roman" w:hAnsiTheme="minorHAnsi" w:cstheme="minorHAnsi"/>
                <w:color w:val="000000"/>
                <w:sz w:val="20"/>
                <w:szCs w:val="20"/>
                <w:lang w:eastAsia="en-AU"/>
              </w:rPr>
              <w:t>2</w:t>
            </w:r>
          </w:p>
        </w:tc>
        <w:tc>
          <w:tcPr>
            <w:tcW w:w="1418" w:type="dxa"/>
            <w:tcBorders>
              <w:left w:val="single" w:sz="4" w:space="0" w:color="65C5B4" w:themeColor="accent1"/>
              <w:bottom w:val="nil"/>
              <w:right w:val="single" w:sz="4" w:space="0" w:color="65C5B4" w:themeColor="accent1"/>
            </w:tcBorders>
            <w:shd w:val="clear" w:color="auto" w:fill="F2F2F2" w:themeFill="background1" w:themeFillShade="F2"/>
            <w:noWrap/>
          </w:tcPr>
          <w:p w14:paraId="3524F2ED" w14:textId="6340BB09" w:rsidR="00AC551D" w:rsidRPr="00CA5021" w:rsidRDefault="007344D2" w:rsidP="00BB6E3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c>
          <w:tcPr>
            <w:tcW w:w="1842" w:type="dxa"/>
            <w:tcBorders>
              <w:left w:val="single" w:sz="4" w:space="0" w:color="65C5B4" w:themeColor="accent1"/>
              <w:bottom w:val="nil"/>
              <w:right w:val="single" w:sz="4" w:space="0" w:color="65C5B4" w:themeColor="accent1"/>
            </w:tcBorders>
            <w:shd w:val="clear" w:color="auto" w:fill="F2F2F2" w:themeFill="background1" w:themeFillShade="F2"/>
            <w:noWrap/>
          </w:tcPr>
          <w:p w14:paraId="65883235" w14:textId="45543D88" w:rsidR="00AC551D" w:rsidRPr="00CA5021" w:rsidRDefault="007344D2" w:rsidP="00BB6E3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c>
          <w:tcPr>
            <w:tcW w:w="993" w:type="dxa"/>
            <w:tcBorders>
              <w:left w:val="single" w:sz="4" w:space="0" w:color="65C5B4" w:themeColor="accent1"/>
              <w:bottom w:val="nil"/>
            </w:tcBorders>
            <w:shd w:val="clear" w:color="auto" w:fill="F2F2F2" w:themeFill="background1" w:themeFillShade="F2"/>
            <w:noWrap/>
          </w:tcPr>
          <w:p w14:paraId="34FAF95D" w14:textId="4BC96E83" w:rsidR="00AC551D" w:rsidRPr="00CA5021" w:rsidRDefault="007344D2" w:rsidP="00BB6E3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r>
      <w:tr w:rsidR="0010441E" w:rsidRPr="00AF18F4" w14:paraId="3F9940CA" w14:textId="77777777" w:rsidTr="0039639E">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098" w:type="dxa"/>
            <w:tcBorders>
              <w:top w:val="nil"/>
              <w:right w:val="single" w:sz="4" w:space="0" w:color="65C5B4" w:themeColor="accent1"/>
            </w:tcBorders>
            <w:shd w:val="clear" w:color="auto" w:fill="F2F2F2" w:themeFill="background1" w:themeFillShade="F2"/>
            <w:hideMark/>
          </w:tcPr>
          <w:p w14:paraId="4D54A0A0" w14:textId="5038AB21" w:rsidR="00AC551D" w:rsidRPr="00CA5021" w:rsidRDefault="007178C4" w:rsidP="00BB6E32">
            <w:pPr>
              <w:suppressAutoHyphens w:val="0"/>
              <w:spacing w:before="0" w:after="0" w:line="240" w:lineRule="auto"/>
              <w:ind w:firstLineChars="100" w:firstLine="200"/>
              <w:rPr>
                <w:rFonts w:asciiTheme="minorHAnsi" w:eastAsia="Times New Roman" w:hAnsiTheme="minorHAnsi" w:cstheme="minorHAnsi"/>
                <w:color w:val="404040"/>
                <w:sz w:val="20"/>
                <w:szCs w:val="20"/>
                <w:lang w:val="en-AU" w:eastAsia="en-AU"/>
              </w:rPr>
            </w:pPr>
            <w:r>
              <w:rPr>
                <w:rFonts w:asciiTheme="minorHAnsi" w:eastAsia="Times New Roman" w:hAnsiTheme="minorHAnsi" w:cstheme="minorHAnsi"/>
                <w:color w:val="404040"/>
                <w:sz w:val="20"/>
                <w:szCs w:val="20"/>
                <w:lang w:val="en-AU" w:eastAsia="en-AU"/>
              </w:rPr>
              <w:t>Investment d</w:t>
            </w:r>
            <w:r w:rsidR="00AC551D" w:rsidRPr="00CA5021">
              <w:rPr>
                <w:rFonts w:asciiTheme="minorHAnsi" w:eastAsia="Times New Roman" w:hAnsiTheme="minorHAnsi" w:cstheme="minorHAnsi"/>
                <w:color w:val="404040"/>
                <w:sz w:val="20"/>
                <w:szCs w:val="20"/>
                <w:lang w:val="en-AU" w:eastAsia="en-AU"/>
              </w:rPr>
              <w:t xml:space="preserve">uration: </w:t>
            </w:r>
            <w:r w:rsidR="00AC551D" w:rsidRPr="00163DB1">
              <w:rPr>
                <w:rFonts w:asciiTheme="minorHAnsi" w:eastAsia="Times New Roman" w:hAnsiTheme="minorHAnsi" w:cstheme="minorHAnsi"/>
                <w:color w:val="404040"/>
                <w:sz w:val="20"/>
                <w:szCs w:val="20"/>
                <w:lang w:val="en-AU" w:eastAsia="en-AU"/>
              </w:rPr>
              <w:t>20</w:t>
            </w:r>
            <w:r w:rsidR="00C24B91">
              <w:rPr>
                <w:rFonts w:asciiTheme="minorHAnsi" w:eastAsia="Times New Roman" w:hAnsiTheme="minorHAnsi" w:cstheme="minorHAnsi"/>
                <w:color w:val="404040"/>
                <w:sz w:val="20"/>
                <w:szCs w:val="20"/>
                <w:lang w:val="en-AU" w:eastAsia="en-AU"/>
              </w:rPr>
              <w:t>1</w:t>
            </w:r>
            <w:r w:rsidR="00356EFE">
              <w:rPr>
                <w:rFonts w:asciiTheme="minorHAnsi" w:eastAsia="Times New Roman" w:hAnsiTheme="minorHAnsi" w:cstheme="minorHAnsi"/>
                <w:color w:val="404040"/>
                <w:sz w:val="20"/>
                <w:szCs w:val="20"/>
                <w:lang w:val="en-AU" w:eastAsia="en-AU"/>
              </w:rPr>
              <w:t>2</w:t>
            </w:r>
            <w:r w:rsidR="00AC551D" w:rsidRPr="00163DB1">
              <w:rPr>
                <w:rFonts w:asciiTheme="minorHAnsi" w:eastAsia="Times New Roman" w:hAnsiTheme="minorHAnsi" w:cstheme="minorHAnsi"/>
                <w:color w:val="404040"/>
                <w:sz w:val="20"/>
                <w:szCs w:val="20"/>
                <w:lang w:val="en-AU" w:eastAsia="en-AU"/>
              </w:rPr>
              <w:t>-2</w:t>
            </w:r>
            <w:r w:rsidR="00C24B91">
              <w:rPr>
                <w:rFonts w:asciiTheme="minorHAnsi" w:eastAsia="Times New Roman" w:hAnsiTheme="minorHAnsi" w:cstheme="minorHAnsi"/>
                <w:color w:val="404040"/>
                <w:sz w:val="20"/>
                <w:szCs w:val="20"/>
                <w:lang w:val="en-AU" w:eastAsia="en-AU"/>
              </w:rPr>
              <w:t>3</w:t>
            </w:r>
            <w:r w:rsidR="00AC551D" w:rsidRPr="00163DB1">
              <w:rPr>
                <w:rFonts w:asciiTheme="minorHAnsi" w:eastAsia="Times New Roman" w:hAnsiTheme="minorHAnsi" w:cstheme="minorHAnsi"/>
                <w:color w:val="404040"/>
                <w:sz w:val="20"/>
                <w:szCs w:val="20"/>
                <w:lang w:val="en-AU" w:eastAsia="en-AU"/>
              </w:rPr>
              <w:t>; Budget: $</w:t>
            </w:r>
            <w:r w:rsidR="00C24B91">
              <w:rPr>
                <w:rFonts w:asciiTheme="minorHAnsi" w:eastAsia="Times New Roman" w:hAnsiTheme="minorHAnsi" w:cstheme="minorHAnsi"/>
                <w:color w:val="404040"/>
                <w:sz w:val="20"/>
                <w:szCs w:val="20"/>
                <w:lang w:val="en-AU" w:eastAsia="en-AU"/>
              </w:rPr>
              <w:t>35.2</w:t>
            </w:r>
            <w:r w:rsidR="00AC551D" w:rsidRPr="00163DB1">
              <w:rPr>
                <w:rFonts w:asciiTheme="minorHAnsi" w:eastAsia="Times New Roman" w:hAnsiTheme="minorHAnsi" w:cstheme="minorHAnsi"/>
                <w:color w:val="404040"/>
                <w:sz w:val="20"/>
                <w:szCs w:val="20"/>
                <w:lang w:val="en-AU" w:eastAsia="en-AU"/>
              </w:rPr>
              <w:t>m</w:t>
            </w:r>
            <w:r w:rsidR="00AC551D" w:rsidRPr="00CA5021">
              <w:rPr>
                <w:rFonts w:asciiTheme="minorHAnsi" w:eastAsia="Times New Roman" w:hAnsiTheme="minorHAnsi" w:cstheme="minorHAnsi"/>
                <w:color w:val="404040"/>
                <w:sz w:val="20"/>
                <w:szCs w:val="20"/>
                <w:lang w:val="en-AU" w:eastAsia="en-AU"/>
              </w:rPr>
              <w:t xml:space="preserve"> </w:t>
            </w:r>
          </w:p>
        </w:tc>
        <w:tc>
          <w:tcPr>
            <w:tcW w:w="1276" w:type="dxa"/>
            <w:tcBorders>
              <w:top w:val="nil"/>
              <w:left w:val="single" w:sz="4" w:space="0" w:color="65C5B4" w:themeColor="accent1"/>
              <w:right w:val="single" w:sz="4" w:space="0" w:color="65C5B4" w:themeColor="accent1"/>
            </w:tcBorders>
            <w:shd w:val="clear" w:color="auto" w:fill="F2F2F2" w:themeFill="background1" w:themeFillShade="F2"/>
            <w:hideMark/>
          </w:tcPr>
          <w:p w14:paraId="42A30353" w14:textId="692A36B1" w:rsidR="00AC551D" w:rsidRPr="00CA5021" w:rsidRDefault="00AC551D" w:rsidP="00BB6E3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eastAsia="en-AU"/>
              </w:rPr>
              <w:t>202</w:t>
            </w:r>
            <w:r w:rsidR="00A22CD1">
              <w:rPr>
                <w:rFonts w:asciiTheme="minorHAnsi" w:eastAsia="Times New Roman" w:hAnsiTheme="minorHAnsi" w:cstheme="minorHAnsi"/>
                <w:color w:val="000000"/>
                <w:sz w:val="20"/>
                <w:szCs w:val="20"/>
                <w:lang w:eastAsia="en-AU"/>
              </w:rPr>
              <w:t>1</w:t>
            </w:r>
          </w:p>
        </w:tc>
        <w:tc>
          <w:tcPr>
            <w:tcW w:w="1418" w:type="dxa"/>
            <w:tcBorders>
              <w:top w:val="nil"/>
              <w:left w:val="single" w:sz="4" w:space="0" w:color="65C5B4" w:themeColor="accent1"/>
              <w:right w:val="single" w:sz="4" w:space="0" w:color="65C5B4" w:themeColor="accent1"/>
            </w:tcBorders>
            <w:shd w:val="clear" w:color="auto" w:fill="F2F2F2" w:themeFill="background1" w:themeFillShade="F2"/>
            <w:noWrap/>
            <w:hideMark/>
          </w:tcPr>
          <w:p w14:paraId="02C361E5" w14:textId="57D71B89" w:rsidR="00AC551D" w:rsidRPr="00CA5021" w:rsidRDefault="00356EFE" w:rsidP="00BB6E3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eastAsia="en-AU"/>
              </w:rPr>
              <w:t>4</w:t>
            </w:r>
          </w:p>
        </w:tc>
        <w:tc>
          <w:tcPr>
            <w:tcW w:w="1842" w:type="dxa"/>
            <w:tcBorders>
              <w:top w:val="nil"/>
              <w:left w:val="single" w:sz="4" w:space="0" w:color="65C5B4" w:themeColor="accent1"/>
              <w:right w:val="single" w:sz="4" w:space="0" w:color="65C5B4" w:themeColor="accent1"/>
            </w:tcBorders>
            <w:shd w:val="clear" w:color="auto" w:fill="F2F2F2" w:themeFill="background1" w:themeFillShade="F2"/>
            <w:noWrap/>
            <w:hideMark/>
          </w:tcPr>
          <w:p w14:paraId="1C8F4065" w14:textId="5641450F" w:rsidR="00AC551D" w:rsidRPr="00CA5021" w:rsidRDefault="00356EFE" w:rsidP="00BB6E3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eastAsia="en-AU"/>
              </w:rPr>
              <w:t>3</w:t>
            </w:r>
          </w:p>
        </w:tc>
        <w:tc>
          <w:tcPr>
            <w:tcW w:w="993" w:type="dxa"/>
            <w:tcBorders>
              <w:top w:val="nil"/>
              <w:left w:val="single" w:sz="4" w:space="0" w:color="65C5B4" w:themeColor="accent1"/>
            </w:tcBorders>
            <w:shd w:val="clear" w:color="auto" w:fill="F2F2F2" w:themeFill="background1" w:themeFillShade="F2"/>
            <w:noWrap/>
            <w:hideMark/>
          </w:tcPr>
          <w:p w14:paraId="3EA630FF" w14:textId="12E45A43" w:rsidR="00AC551D" w:rsidRPr="00CA5021" w:rsidRDefault="00356EFE" w:rsidP="00BB6E3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eastAsia="en-AU"/>
              </w:rPr>
              <w:t>4</w:t>
            </w:r>
          </w:p>
        </w:tc>
      </w:tr>
      <w:tr w:rsidR="0010441E" w:rsidRPr="00AF18F4" w14:paraId="664415AC" w14:textId="77777777" w:rsidTr="0039639E">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098" w:type="dxa"/>
            <w:tcBorders>
              <w:bottom w:val="nil"/>
              <w:right w:val="single" w:sz="4" w:space="0" w:color="65C5B4" w:themeColor="accent1"/>
            </w:tcBorders>
            <w:shd w:val="clear" w:color="auto" w:fill="E0F3EF" w:themeFill="accent1" w:themeFillTint="33"/>
            <w:noWrap/>
            <w:vAlign w:val="bottom"/>
            <w:hideMark/>
          </w:tcPr>
          <w:p w14:paraId="75576776" w14:textId="3AF9011A" w:rsidR="00AC551D" w:rsidRPr="00CA5021" w:rsidRDefault="00356EFE" w:rsidP="00BB6E32">
            <w:pPr>
              <w:suppressAutoHyphens w:val="0"/>
              <w:spacing w:before="0" w:after="0" w:line="240" w:lineRule="auto"/>
              <w:rPr>
                <w:rFonts w:asciiTheme="minorHAnsi" w:eastAsia="Times New Roman" w:hAnsiTheme="minorHAnsi" w:cstheme="minorHAnsi"/>
                <w:b/>
                <w:bCs/>
                <w:color w:val="404040"/>
                <w:sz w:val="20"/>
                <w:szCs w:val="20"/>
                <w:lang w:val="en-AU" w:eastAsia="en-AU"/>
              </w:rPr>
            </w:pPr>
            <w:r>
              <w:rPr>
                <w:rFonts w:asciiTheme="minorHAnsi" w:eastAsia="Times New Roman" w:hAnsiTheme="minorHAnsi" w:cstheme="minorHAnsi"/>
                <w:b/>
                <w:bCs/>
                <w:color w:val="404040"/>
                <w:sz w:val="20"/>
                <w:szCs w:val="20"/>
                <w:lang w:eastAsia="en-AU"/>
              </w:rPr>
              <w:t>Health Sector Support Program – Phase 3</w:t>
            </w:r>
          </w:p>
        </w:tc>
        <w:tc>
          <w:tcPr>
            <w:tcW w:w="1276" w:type="dxa"/>
            <w:tcBorders>
              <w:left w:val="single" w:sz="4" w:space="0" w:color="65C5B4" w:themeColor="accent1"/>
              <w:bottom w:val="nil"/>
              <w:right w:val="single" w:sz="4" w:space="0" w:color="65C5B4" w:themeColor="accent1"/>
            </w:tcBorders>
            <w:shd w:val="clear" w:color="auto" w:fill="E0F3EF" w:themeFill="accent1" w:themeFillTint="33"/>
            <w:hideMark/>
          </w:tcPr>
          <w:p w14:paraId="35291127" w14:textId="138100B1" w:rsidR="00AC551D" w:rsidRPr="00CA5021" w:rsidRDefault="00AC551D" w:rsidP="00BB6E3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eastAsia="en-AU"/>
              </w:rPr>
              <w:t>202</w:t>
            </w:r>
            <w:r w:rsidR="00A22CD1">
              <w:rPr>
                <w:rFonts w:asciiTheme="minorHAnsi" w:eastAsia="Times New Roman" w:hAnsiTheme="minorHAnsi" w:cstheme="minorHAnsi"/>
                <w:color w:val="000000"/>
                <w:sz w:val="20"/>
                <w:szCs w:val="20"/>
                <w:lang w:eastAsia="en-AU"/>
              </w:rPr>
              <w:t>2</w:t>
            </w:r>
          </w:p>
        </w:tc>
        <w:tc>
          <w:tcPr>
            <w:tcW w:w="1418" w:type="dxa"/>
            <w:tcBorders>
              <w:left w:val="single" w:sz="4" w:space="0" w:color="65C5B4" w:themeColor="accent1"/>
              <w:bottom w:val="nil"/>
              <w:right w:val="single" w:sz="4" w:space="0" w:color="65C5B4" w:themeColor="accent1"/>
            </w:tcBorders>
            <w:shd w:val="clear" w:color="auto" w:fill="E0F3EF" w:themeFill="accent1" w:themeFillTint="33"/>
            <w:noWrap/>
          </w:tcPr>
          <w:p w14:paraId="0383E59B" w14:textId="6B6351F4" w:rsidR="00AC551D" w:rsidRPr="00CA5021" w:rsidRDefault="00F51B26" w:rsidP="00BB6E3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c>
          <w:tcPr>
            <w:tcW w:w="1842" w:type="dxa"/>
            <w:tcBorders>
              <w:left w:val="single" w:sz="4" w:space="0" w:color="65C5B4" w:themeColor="accent1"/>
              <w:bottom w:val="nil"/>
              <w:right w:val="single" w:sz="4" w:space="0" w:color="65C5B4" w:themeColor="accent1"/>
            </w:tcBorders>
            <w:shd w:val="clear" w:color="auto" w:fill="E0F3EF" w:themeFill="accent1" w:themeFillTint="33"/>
            <w:noWrap/>
          </w:tcPr>
          <w:p w14:paraId="760C1604" w14:textId="5C4BEC88" w:rsidR="00AC551D" w:rsidRPr="00CA5021" w:rsidRDefault="00F51B26" w:rsidP="00BB6E3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3</w:t>
            </w:r>
          </w:p>
        </w:tc>
        <w:tc>
          <w:tcPr>
            <w:tcW w:w="993" w:type="dxa"/>
            <w:tcBorders>
              <w:left w:val="single" w:sz="4" w:space="0" w:color="65C5B4" w:themeColor="accent1"/>
              <w:bottom w:val="nil"/>
            </w:tcBorders>
            <w:shd w:val="clear" w:color="auto" w:fill="E0F3EF" w:themeFill="accent1" w:themeFillTint="33"/>
            <w:noWrap/>
          </w:tcPr>
          <w:p w14:paraId="48B585D3" w14:textId="67BE1703" w:rsidR="00AC551D" w:rsidRPr="00CA5021" w:rsidRDefault="00F51B26" w:rsidP="00BB6E3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r>
      <w:tr w:rsidR="0010441E" w:rsidRPr="00AF18F4" w14:paraId="5EA4A873" w14:textId="77777777" w:rsidTr="0039639E">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098" w:type="dxa"/>
            <w:tcBorders>
              <w:top w:val="nil"/>
              <w:right w:val="single" w:sz="4" w:space="0" w:color="65C5B4" w:themeColor="accent1"/>
            </w:tcBorders>
            <w:shd w:val="clear" w:color="auto" w:fill="E0F3EF" w:themeFill="accent1" w:themeFillTint="33"/>
            <w:hideMark/>
          </w:tcPr>
          <w:p w14:paraId="5D004B83" w14:textId="465AE2FB" w:rsidR="00AC551D" w:rsidRPr="00CA5021" w:rsidRDefault="00FC5365" w:rsidP="00BB6E32">
            <w:pPr>
              <w:suppressAutoHyphens w:val="0"/>
              <w:spacing w:before="0" w:after="0" w:line="240" w:lineRule="auto"/>
              <w:ind w:firstLineChars="100" w:firstLine="200"/>
              <w:rPr>
                <w:rFonts w:asciiTheme="minorHAnsi" w:eastAsia="Times New Roman" w:hAnsiTheme="minorHAnsi" w:cstheme="minorHAnsi"/>
                <w:color w:val="404040"/>
                <w:sz w:val="20"/>
                <w:szCs w:val="20"/>
                <w:lang w:val="en-AU" w:eastAsia="en-AU"/>
              </w:rPr>
            </w:pPr>
            <w:r>
              <w:rPr>
                <w:rFonts w:asciiTheme="minorHAnsi" w:eastAsia="Times New Roman" w:hAnsiTheme="minorHAnsi" w:cstheme="minorHAnsi"/>
                <w:color w:val="404040"/>
                <w:sz w:val="20"/>
                <w:szCs w:val="20"/>
                <w:lang w:val="en-AU" w:eastAsia="en-AU"/>
              </w:rPr>
              <w:t>Investment d</w:t>
            </w:r>
            <w:r w:rsidR="00AC551D" w:rsidRPr="00CA5021">
              <w:rPr>
                <w:rFonts w:asciiTheme="minorHAnsi" w:eastAsia="Times New Roman" w:hAnsiTheme="minorHAnsi" w:cstheme="minorHAnsi"/>
                <w:color w:val="404040"/>
                <w:sz w:val="20"/>
                <w:szCs w:val="20"/>
                <w:lang w:val="en-AU" w:eastAsia="en-AU"/>
              </w:rPr>
              <w:t>uration: 201</w:t>
            </w:r>
            <w:r w:rsidR="00356EFE">
              <w:rPr>
                <w:rFonts w:asciiTheme="minorHAnsi" w:eastAsia="Times New Roman" w:hAnsiTheme="minorHAnsi" w:cstheme="minorHAnsi"/>
                <w:color w:val="404040"/>
                <w:sz w:val="20"/>
                <w:szCs w:val="20"/>
                <w:lang w:val="en-AU" w:eastAsia="en-AU"/>
              </w:rPr>
              <w:t>6</w:t>
            </w:r>
            <w:r w:rsidR="00AC551D" w:rsidRPr="00CA5021">
              <w:rPr>
                <w:rFonts w:asciiTheme="minorHAnsi" w:eastAsia="Times New Roman" w:hAnsiTheme="minorHAnsi" w:cstheme="minorHAnsi"/>
                <w:color w:val="404040"/>
                <w:sz w:val="20"/>
                <w:szCs w:val="20"/>
                <w:lang w:val="en-AU" w:eastAsia="en-AU"/>
              </w:rPr>
              <w:t>-2</w:t>
            </w:r>
            <w:r w:rsidR="00F51B26">
              <w:rPr>
                <w:rFonts w:asciiTheme="minorHAnsi" w:eastAsia="Times New Roman" w:hAnsiTheme="minorHAnsi" w:cstheme="minorHAnsi"/>
                <w:color w:val="404040"/>
                <w:sz w:val="20"/>
                <w:szCs w:val="20"/>
                <w:lang w:val="en-AU" w:eastAsia="en-AU"/>
              </w:rPr>
              <w:t>4</w:t>
            </w:r>
            <w:r w:rsidR="00AC551D" w:rsidRPr="00CA5021">
              <w:rPr>
                <w:rFonts w:asciiTheme="minorHAnsi" w:eastAsia="Times New Roman" w:hAnsiTheme="minorHAnsi" w:cstheme="minorHAnsi"/>
                <w:color w:val="404040"/>
                <w:sz w:val="20"/>
                <w:szCs w:val="20"/>
                <w:lang w:val="en-AU" w:eastAsia="en-AU"/>
              </w:rPr>
              <w:t>; Budget: $</w:t>
            </w:r>
            <w:r w:rsidR="00E834AE">
              <w:rPr>
                <w:rFonts w:asciiTheme="minorHAnsi" w:eastAsia="Times New Roman" w:hAnsiTheme="minorHAnsi" w:cstheme="minorHAnsi"/>
                <w:color w:val="404040"/>
                <w:sz w:val="20"/>
                <w:szCs w:val="20"/>
                <w:lang w:val="en-AU" w:eastAsia="en-AU"/>
              </w:rPr>
              <w:t>1</w:t>
            </w:r>
            <w:r w:rsidR="00FD7BF9">
              <w:rPr>
                <w:rFonts w:asciiTheme="minorHAnsi" w:eastAsia="Times New Roman" w:hAnsiTheme="minorHAnsi" w:cstheme="minorHAnsi"/>
                <w:color w:val="404040"/>
                <w:sz w:val="20"/>
                <w:szCs w:val="20"/>
                <w:lang w:val="en-AU" w:eastAsia="en-AU"/>
              </w:rPr>
              <w:t>26.</w:t>
            </w:r>
            <w:r w:rsidR="00211F34">
              <w:rPr>
                <w:rFonts w:asciiTheme="minorHAnsi" w:eastAsia="Times New Roman" w:hAnsiTheme="minorHAnsi" w:cstheme="minorHAnsi"/>
                <w:color w:val="404040"/>
                <w:sz w:val="20"/>
                <w:szCs w:val="20"/>
                <w:lang w:val="en-AU" w:eastAsia="en-AU"/>
              </w:rPr>
              <w:t>6</w:t>
            </w:r>
            <w:r w:rsidR="00AC551D" w:rsidRPr="00CA5021">
              <w:rPr>
                <w:rFonts w:asciiTheme="minorHAnsi" w:eastAsia="Times New Roman" w:hAnsiTheme="minorHAnsi" w:cstheme="minorHAnsi"/>
                <w:color w:val="404040"/>
                <w:sz w:val="20"/>
                <w:szCs w:val="20"/>
                <w:lang w:val="en-AU" w:eastAsia="en-AU"/>
              </w:rPr>
              <w:t xml:space="preserve">m </w:t>
            </w:r>
          </w:p>
        </w:tc>
        <w:tc>
          <w:tcPr>
            <w:tcW w:w="1276" w:type="dxa"/>
            <w:tcBorders>
              <w:top w:val="nil"/>
              <w:left w:val="single" w:sz="4" w:space="0" w:color="65C5B4" w:themeColor="accent1"/>
              <w:right w:val="single" w:sz="4" w:space="0" w:color="65C5B4" w:themeColor="accent1"/>
            </w:tcBorders>
            <w:shd w:val="clear" w:color="auto" w:fill="E0F3EF" w:themeFill="accent1" w:themeFillTint="33"/>
            <w:hideMark/>
          </w:tcPr>
          <w:p w14:paraId="6F5DCD3C" w14:textId="5704385A" w:rsidR="00AC551D" w:rsidRPr="00CA5021" w:rsidRDefault="00AC551D" w:rsidP="00BB6E3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eastAsia="en-AU"/>
              </w:rPr>
              <w:t>202</w:t>
            </w:r>
            <w:r w:rsidR="00A22CD1">
              <w:rPr>
                <w:rFonts w:asciiTheme="minorHAnsi" w:eastAsia="Times New Roman" w:hAnsiTheme="minorHAnsi" w:cstheme="minorHAnsi"/>
                <w:color w:val="000000"/>
                <w:sz w:val="20"/>
                <w:szCs w:val="20"/>
                <w:lang w:eastAsia="en-AU"/>
              </w:rPr>
              <w:t>1</w:t>
            </w:r>
          </w:p>
        </w:tc>
        <w:tc>
          <w:tcPr>
            <w:tcW w:w="1418" w:type="dxa"/>
            <w:tcBorders>
              <w:top w:val="nil"/>
              <w:left w:val="single" w:sz="4" w:space="0" w:color="65C5B4" w:themeColor="accent1"/>
              <w:right w:val="single" w:sz="4" w:space="0" w:color="65C5B4" w:themeColor="accent1"/>
            </w:tcBorders>
            <w:shd w:val="clear" w:color="auto" w:fill="E0F3EF" w:themeFill="accent1" w:themeFillTint="33"/>
            <w:noWrap/>
          </w:tcPr>
          <w:p w14:paraId="7C975F2B" w14:textId="0FDAD1C2" w:rsidR="00AC551D" w:rsidRPr="00CA5021" w:rsidRDefault="00E834AE" w:rsidP="00BB6E3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5</w:t>
            </w:r>
          </w:p>
        </w:tc>
        <w:tc>
          <w:tcPr>
            <w:tcW w:w="1842" w:type="dxa"/>
            <w:tcBorders>
              <w:top w:val="nil"/>
              <w:left w:val="single" w:sz="4" w:space="0" w:color="65C5B4" w:themeColor="accent1"/>
              <w:right w:val="single" w:sz="4" w:space="0" w:color="65C5B4" w:themeColor="accent1"/>
            </w:tcBorders>
            <w:shd w:val="clear" w:color="auto" w:fill="E0F3EF" w:themeFill="accent1" w:themeFillTint="33"/>
            <w:noWrap/>
          </w:tcPr>
          <w:p w14:paraId="562AF5DF" w14:textId="58ADBD71" w:rsidR="00AC551D" w:rsidRPr="00CA5021" w:rsidRDefault="00E834AE" w:rsidP="00BB6E3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5</w:t>
            </w:r>
          </w:p>
        </w:tc>
        <w:tc>
          <w:tcPr>
            <w:tcW w:w="993" w:type="dxa"/>
            <w:tcBorders>
              <w:top w:val="nil"/>
              <w:left w:val="single" w:sz="4" w:space="0" w:color="65C5B4" w:themeColor="accent1"/>
            </w:tcBorders>
            <w:shd w:val="clear" w:color="auto" w:fill="E0F3EF" w:themeFill="accent1" w:themeFillTint="33"/>
            <w:noWrap/>
          </w:tcPr>
          <w:p w14:paraId="49275297" w14:textId="1C497A36" w:rsidR="00AC551D" w:rsidRPr="00CA5021" w:rsidRDefault="00E834AE" w:rsidP="00BB6E3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5</w:t>
            </w:r>
          </w:p>
        </w:tc>
      </w:tr>
      <w:tr w:rsidR="0010441E" w:rsidRPr="00AF18F4" w14:paraId="7C3C602D" w14:textId="77777777" w:rsidTr="0039639E">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098" w:type="dxa"/>
            <w:tcBorders>
              <w:bottom w:val="nil"/>
              <w:right w:val="single" w:sz="4" w:space="0" w:color="65C5B4" w:themeColor="accent1"/>
            </w:tcBorders>
            <w:shd w:val="clear" w:color="auto" w:fill="F2F2F2" w:themeFill="background1" w:themeFillShade="F2"/>
            <w:noWrap/>
            <w:vAlign w:val="bottom"/>
            <w:hideMark/>
          </w:tcPr>
          <w:p w14:paraId="6DDF2B53" w14:textId="53BA3FA2" w:rsidR="00AC551D" w:rsidRPr="00CA5021" w:rsidRDefault="00AB4F6B" w:rsidP="00BB6E32">
            <w:pPr>
              <w:suppressAutoHyphens w:val="0"/>
              <w:spacing w:before="0" w:after="0" w:line="240" w:lineRule="auto"/>
              <w:rPr>
                <w:rFonts w:asciiTheme="minorHAnsi" w:eastAsia="Times New Roman" w:hAnsiTheme="minorHAnsi" w:cstheme="minorHAnsi"/>
                <w:b/>
                <w:bCs/>
                <w:color w:val="404040"/>
                <w:sz w:val="20"/>
                <w:szCs w:val="20"/>
                <w:lang w:val="en-AU" w:eastAsia="en-AU"/>
              </w:rPr>
            </w:pPr>
            <w:r>
              <w:rPr>
                <w:rFonts w:asciiTheme="minorHAnsi" w:eastAsia="Times New Roman" w:hAnsiTheme="minorHAnsi" w:cstheme="minorHAnsi"/>
                <w:b/>
                <w:bCs/>
                <w:color w:val="404040"/>
                <w:sz w:val="20"/>
                <w:szCs w:val="20"/>
                <w:lang w:eastAsia="en-AU"/>
              </w:rPr>
              <w:t>Education Sector Support Program</w:t>
            </w:r>
          </w:p>
        </w:tc>
        <w:tc>
          <w:tcPr>
            <w:tcW w:w="1276" w:type="dxa"/>
            <w:tcBorders>
              <w:left w:val="single" w:sz="4" w:space="0" w:color="65C5B4" w:themeColor="accent1"/>
              <w:bottom w:val="nil"/>
              <w:right w:val="single" w:sz="4" w:space="0" w:color="65C5B4" w:themeColor="accent1"/>
            </w:tcBorders>
            <w:shd w:val="clear" w:color="auto" w:fill="F2F2F2" w:themeFill="background1" w:themeFillShade="F2"/>
            <w:hideMark/>
          </w:tcPr>
          <w:p w14:paraId="258E1068" w14:textId="57F2BB6C" w:rsidR="00AC551D" w:rsidRPr="00CA5021" w:rsidRDefault="00AC551D" w:rsidP="00BB6E3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val="en-AU" w:eastAsia="en-AU"/>
              </w:rPr>
              <w:t>202</w:t>
            </w:r>
            <w:r w:rsidR="00A22CD1">
              <w:rPr>
                <w:rFonts w:asciiTheme="minorHAnsi" w:eastAsia="Times New Roman" w:hAnsiTheme="minorHAnsi" w:cstheme="minorHAnsi"/>
                <w:color w:val="000000"/>
                <w:sz w:val="20"/>
                <w:szCs w:val="20"/>
                <w:lang w:val="en-AU" w:eastAsia="en-AU"/>
              </w:rPr>
              <w:t>2</w:t>
            </w:r>
          </w:p>
        </w:tc>
        <w:tc>
          <w:tcPr>
            <w:tcW w:w="1418" w:type="dxa"/>
            <w:tcBorders>
              <w:left w:val="single" w:sz="4" w:space="0" w:color="65C5B4" w:themeColor="accent1"/>
              <w:bottom w:val="nil"/>
              <w:right w:val="single" w:sz="4" w:space="0" w:color="65C5B4" w:themeColor="accent1"/>
            </w:tcBorders>
            <w:shd w:val="clear" w:color="auto" w:fill="F2F2F2" w:themeFill="background1" w:themeFillShade="F2"/>
            <w:noWrap/>
          </w:tcPr>
          <w:p w14:paraId="561825FE" w14:textId="7AB7F3A6" w:rsidR="00AC551D" w:rsidRPr="00CA5021" w:rsidRDefault="00616B62" w:rsidP="00BB6E3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3</w:t>
            </w:r>
          </w:p>
        </w:tc>
        <w:tc>
          <w:tcPr>
            <w:tcW w:w="1842" w:type="dxa"/>
            <w:tcBorders>
              <w:left w:val="single" w:sz="4" w:space="0" w:color="65C5B4" w:themeColor="accent1"/>
              <w:bottom w:val="nil"/>
              <w:right w:val="single" w:sz="4" w:space="0" w:color="65C5B4" w:themeColor="accent1"/>
            </w:tcBorders>
            <w:shd w:val="clear" w:color="auto" w:fill="F2F2F2" w:themeFill="background1" w:themeFillShade="F2"/>
            <w:noWrap/>
          </w:tcPr>
          <w:p w14:paraId="777674A9" w14:textId="7E0B1F69" w:rsidR="00AC551D" w:rsidRPr="00CA5021" w:rsidRDefault="00616B62" w:rsidP="00BB6E3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3</w:t>
            </w:r>
          </w:p>
        </w:tc>
        <w:tc>
          <w:tcPr>
            <w:tcW w:w="993" w:type="dxa"/>
            <w:tcBorders>
              <w:left w:val="single" w:sz="4" w:space="0" w:color="65C5B4" w:themeColor="accent1"/>
              <w:bottom w:val="nil"/>
            </w:tcBorders>
            <w:shd w:val="clear" w:color="auto" w:fill="F2F2F2" w:themeFill="background1" w:themeFillShade="F2"/>
            <w:noWrap/>
          </w:tcPr>
          <w:p w14:paraId="16666D1C" w14:textId="0BC105F2" w:rsidR="00AC551D" w:rsidRPr="00CA5021" w:rsidRDefault="00616B62" w:rsidP="00BB6E3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3</w:t>
            </w:r>
          </w:p>
        </w:tc>
      </w:tr>
      <w:tr w:rsidR="0010441E" w:rsidRPr="00AF18F4" w14:paraId="173568D7" w14:textId="77777777" w:rsidTr="0039639E">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098" w:type="dxa"/>
            <w:tcBorders>
              <w:top w:val="nil"/>
              <w:right w:val="single" w:sz="4" w:space="0" w:color="65C5B4" w:themeColor="accent1"/>
            </w:tcBorders>
            <w:shd w:val="clear" w:color="auto" w:fill="F2F2F2" w:themeFill="background1" w:themeFillShade="F2"/>
            <w:hideMark/>
          </w:tcPr>
          <w:p w14:paraId="3342A73E" w14:textId="4A0EE8E3" w:rsidR="00AC551D" w:rsidRPr="00CA5021" w:rsidRDefault="00FC5365" w:rsidP="00BB6E32">
            <w:pPr>
              <w:suppressAutoHyphens w:val="0"/>
              <w:spacing w:before="0" w:after="0" w:line="240" w:lineRule="auto"/>
              <w:ind w:firstLineChars="100" w:firstLine="200"/>
              <w:rPr>
                <w:rFonts w:asciiTheme="minorHAnsi" w:eastAsia="Times New Roman" w:hAnsiTheme="minorHAnsi" w:cstheme="minorHAnsi"/>
                <w:color w:val="404040"/>
                <w:sz w:val="20"/>
                <w:szCs w:val="20"/>
                <w:lang w:val="en-AU" w:eastAsia="en-AU"/>
              </w:rPr>
            </w:pPr>
            <w:r>
              <w:rPr>
                <w:rFonts w:asciiTheme="minorHAnsi" w:eastAsia="Times New Roman" w:hAnsiTheme="minorHAnsi" w:cstheme="minorHAnsi"/>
                <w:color w:val="404040"/>
                <w:sz w:val="20"/>
                <w:szCs w:val="20"/>
                <w:lang w:val="en-AU" w:eastAsia="en-AU"/>
              </w:rPr>
              <w:t>Investment d</w:t>
            </w:r>
            <w:r w:rsidR="00AC551D" w:rsidRPr="00CA5021">
              <w:rPr>
                <w:rFonts w:asciiTheme="minorHAnsi" w:eastAsia="Times New Roman" w:hAnsiTheme="minorHAnsi" w:cstheme="minorHAnsi"/>
                <w:color w:val="404040"/>
                <w:sz w:val="20"/>
                <w:szCs w:val="20"/>
                <w:lang w:val="en-AU" w:eastAsia="en-AU"/>
              </w:rPr>
              <w:t>uration: 201</w:t>
            </w:r>
            <w:r w:rsidR="00AB4F6B">
              <w:rPr>
                <w:rFonts w:asciiTheme="minorHAnsi" w:eastAsia="Times New Roman" w:hAnsiTheme="minorHAnsi" w:cstheme="minorHAnsi"/>
                <w:color w:val="404040"/>
                <w:sz w:val="20"/>
                <w:szCs w:val="20"/>
                <w:lang w:val="en-AU" w:eastAsia="en-AU"/>
              </w:rPr>
              <w:t>8-23</w:t>
            </w:r>
            <w:r w:rsidR="00AC551D" w:rsidRPr="00CA5021">
              <w:rPr>
                <w:rFonts w:asciiTheme="minorHAnsi" w:eastAsia="Times New Roman" w:hAnsiTheme="minorHAnsi" w:cstheme="minorHAnsi"/>
                <w:color w:val="404040"/>
                <w:sz w:val="20"/>
                <w:szCs w:val="20"/>
                <w:lang w:val="en-AU" w:eastAsia="en-AU"/>
              </w:rPr>
              <w:t>; Budget: $</w:t>
            </w:r>
            <w:r w:rsidR="00616B62">
              <w:rPr>
                <w:rFonts w:asciiTheme="minorHAnsi" w:eastAsia="Times New Roman" w:hAnsiTheme="minorHAnsi" w:cstheme="minorHAnsi"/>
                <w:color w:val="404040"/>
                <w:sz w:val="20"/>
                <w:szCs w:val="20"/>
                <w:lang w:val="en-AU" w:eastAsia="en-AU"/>
              </w:rPr>
              <w:t>45.2</w:t>
            </w:r>
            <w:r w:rsidR="00AC551D" w:rsidRPr="00CA5021">
              <w:rPr>
                <w:rFonts w:asciiTheme="minorHAnsi" w:eastAsia="Times New Roman" w:hAnsiTheme="minorHAnsi" w:cstheme="minorHAnsi"/>
                <w:color w:val="404040"/>
                <w:sz w:val="20"/>
                <w:szCs w:val="20"/>
                <w:lang w:val="en-AU" w:eastAsia="en-AU"/>
              </w:rPr>
              <w:t xml:space="preserve">m </w:t>
            </w:r>
          </w:p>
        </w:tc>
        <w:tc>
          <w:tcPr>
            <w:tcW w:w="1276" w:type="dxa"/>
            <w:tcBorders>
              <w:top w:val="nil"/>
              <w:left w:val="single" w:sz="4" w:space="0" w:color="65C5B4" w:themeColor="accent1"/>
              <w:right w:val="single" w:sz="4" w:space="0" w:color="65C5B4" w:themeColor="accent1"/>
            </w:tcBorders>
            <w:shd w:val="clear" w:color="auto" w:fill="F2F2F2" w:themeFill="background1" w:themeFillShade="F2"/>
            <w:hideMark/>
          </w:tcPr>
          <w:p w14:paraId="1F16C9F8" w14:textId="160CF933" w:rsidR="00AC551D" w:rsidRPr="00CA5021" w:rsidRDefault="00AC551D" w:rsidP="00BB6E3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val="en-AU" w:eastAsia="en-AU"/>
              </w:rPr>
              <w:t>202</w:t>
            </w:r>
            <w:r w:rsidR="00A22CD1">
              <w:rPr>
                <w:rFonts w:asciiTheme="minorHAnsi" w:eastAsia="Times New Roman" w:hAnsiTheme="minorHAnsi" w:cstheme="minorHAnsi"/>
                <w:color w:val="000000"/>
                <w:sz w:val="20"/>
                <w:szCs w:val="20"/>
                <w:lang w:val="en-AU" w:eastAsia="en-AU"/>
              </w:rPr>
              <w:t>1</w:t>
            </w:r>
          </w:p>
        </w:tc>
        <w:tc>
          <w:tcPr>
            <w:tcW w:w="1418" w:type="dxa"/>
            <w:tcBorders>
              <w:top w:val="nil"/>
              <w:left w:val="single" w:sz="4" w:space="0" w:color="65C5B4" w:themeColor="accent1"/>
              <w:right w:val="single" w:sz="4" w:space="0" w:color="65C5B4" w:themeColor="accent1"/>
            </w:tcBorders>
            <w:shd w:val="clear" w:color="auto" w:fill="F2F2F2" w:themeFill="background1" w:themeFillShade="F2"/>
            <w:noWrap/>
          </w:tcPr>
          <w:p w14:paraId="484EFDC5" w14:textId="56340601" w:rsidR="00AC551D" w:rsidRPr="00CA5021" w:rsidRDefault="00DC741D" w:rsidP="00BB6E3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c>
          <w:tcPr>
            <w:tcW w:w="1842" w:type="dxa"/>
            <w:tcBorders>
              <w:top w:val="nil"/>
              <w:left w:val="single" w:sz="4" w:space="0" w:color="65C5B4" w:themeColor="accent1"/>
              <w:right w:val="single" w:sz="4" w:space="0" w:color="65C5B4" w:themeColor="accent1"/>
            </w:tcBorders>
            <w:shd w:val="clear" w:color="auto" w:fill="F2F2F2" w:themeFill="background1" w:themeFillShade="F2"/>
            <w:noWrap/>
          </w:tcPr>
          <w:p w14:paraId="196A3DC5" w14:textId="24D73E17" w:rsidR="00AC551D" w:rsidRPr="00CA5021" w:rsidRDefault="00DC741D" w:rsidP="00BB6E3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c>
          <w:tcPr>
            <w:tcW w:w="993" w:type="dxa"/>
            <w:tcBorders>
              <w:top w:val="nil"/>
              <w:left w:val="single" w:sz="4" w:space="0" w:color="65C5B4" w:themeColor="accent1"/>
            </w:tcBorders>
            <w:shd w:val="clear" w:color="auto" w:fill="F2F2F2" w:themeFill="background1" w:themeFillShade="F2"/>
            <w:noWrap/>
          </w:tcPr>
          <w:p w14:paraId="1BD061D2" w14:textId="7075B725" w:rsidR="00AC551D" w:rsidRPr="00CA5021" w:rsidRDefault="00DC741D" w:rsidP="00BB6E3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r>
      <w:tr w:rsidR="0010441E" w:rsidRPr="00AF18F4" w14:paraId="433D367E" w14:textId="77777777" w:rsidTr="0039639E">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098" w:type="dxa"/>
            <w:tcBorders>
              <w:bottom w:val="nil"/>
              <w:right w:val="single" w:sz="4" w:space="0" w:color="65C5B4" w:themeColor="accent1"/>
            </w:tcBorders>
            <w:shd w:val="clear" w:color="auto" w:fill="E0F3EF" w:themeFill="accent1" w:themeFillTint="33"/>
            <w:noWrap/>
            <w:vAlign w:val="bottom"/>
            <w:hideMark/>
          </w:tcPr>
          <w:p w14:paraId="7703CD34" w14:textId="0B9C04B7" w:rsidR="00AC551D" w:rsidRPr="00CA5021" w:rsidRDefault="00DC741D" w:rsidP="00BB6E32">
            <w:pPr>
              <w:suppressAutoHyphens w:val="0"/>
              <w:spacing w:before="0" w:after="0" w:line="240" w:lineRule="auto"/>
              <w:rPr>
                <w:rFonts w:asciiTheme="minorHAnsi" w:eastAsia="Times New Roman" w:hAnsiTheme="minorHAnsi" w:cstheme="minorHAnsi"/>
                <w:b/>
                <w:bCs/>
                <w:color w:val="404040"/>
                <w:sz w:val="20"/>
                <w:szCs w:val="20"/>
                <w:lang w:val="en-AU" w:eastAsia="en-AU"/>
              </w:rPr>
            </w:pPr>
            <w:bookmarkStart w:id="7" w:name="_Hlk110952804"/>
            <w:r>
              <w:rPr>
                <w:rFonts w:asciiTheme="minorHAnsi" w:eastAsia="Times New Roman" w:hAnsiTheme="minorHAnsi" w:cstheme="minorHAnsi"/>
                <w:b/>
                <w:bCs/>
                <w:color w:val="404040"/>
                <w:sz w:val="20"/>
                <w:szCs w:val="20"/>
                <w:lang w:eastAsia="en-AU"/>
              </w:rPr>
              <w:t>Solomon Islands Governance Program</w:t>
            </w:r>
          </w:p>
        </w:tc>
        <w:tc>
          <w:tcPr>
            <w:tcW w:w="1276" w:type="dxa"/>
            <w:tcBorders>
              <w:left w:val="single" w:sz="4" w:space="0" w:color="65C5B4" w:themeColor="accent1"/>
              <w:bottom w:val="nil"/>
              <w:right w:val="single" w:sz="4" w:space="0" w:color="65C5B4" w:themeColor="accent1"/>
            </w:tcBorders>
            <w:shd w:val="clear" w:color="auto" w:fill="E0F3EF" w:themeFill="accent1" w:themeFillTint="33"/>
            <w:hideMark/>
          </w:tcPr>
          <w:p w14:paraId="67E44092" w14:textId="0AC0E0A3" w:rsidR="00AC551D" w:rsidRPr="00CA5021" w:rsidRDefault="00AC551D" w:rsidP="00BB6E3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val="en-AU" w:eastAsia="en-AU"/>
              </w:rPr>
              <w:t>202</w:t>
            </w:r>
            <w:r w:rsidR="00A22CD1">
              <w:rPr>
                <w:rFonts w:asciiTheme="minorHAnsi" w:eastAsia="Times New Roman" w:hAnsiTheme="minorHAnsi" w:cstheme="minorHAnsi"/>
                <w:color w:val="000000"/>
                <w:sz w:val="20"/>
                <w:szCs w:val="20"/>
                <w:lang w:val="en-AU" w:eastAsia="en-AU"/>
              </w:rPr>
              <w:t>2</w:t>
            </w:r>
          </w:p>
        </w:tc>
        <w:tc>
          <w:tcPr>
            <w:tcW w:w="1418" w:type="dxa"/>
            <w:tcBorders>
              <w:left w:val="single" w:sz="4" w:space="0" w:color="65C5B4" w:themeColor="accent1"/>
              <w:bottom w:val="nil"/>
              <w:right w:val="single" w:sz="4" w:space="0" w:color="65C5B4" w:themeColor="accent1"/>
            </w:tcBorders>
            <w:shd w:val="clear" w:color="auto" w:fill="E0F3EF" w:themeFill="accent1" w:themeFillTint="33"/>
            <w:noWrap/>
          </w:tcPr>
          <w:p w14:paraId="3A8E0478" w14:textId="7CDECBB3" w:rsidR="00AC551D" w:rsidRPr="00CA5021" w:rsidRDefault="000F3A03" w:rsidP="00BB6E3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c>
          <w:tcPr>
            <w:tcW w:w="1842" w:type="dxa"/>
            <w:tcBorders>
              <w:left w:val="single" w:sz="4" w:space="0" w:color="65C5B4" w:themeColor="accent1"/>
              <w:bottom w:val="nil"/>
              <w:right w:val="single" w:sz="4" w:space="0" w:color="65C5B4" w:themeColor="accent1"/>
            </w:tcBorders>
            <w:shd w:val="clear" w:color="auto" w:fill="E0F3EF" w:themeFill="accent1" w:themeFillTint="33"/>
            <w:noWrap/>
          </w:tcPr>
          <w:p w14:paraId="754E4ADA" w14:textId="0A398EDD" w:rsidR="00AC551D" w:rsidRPr="00CA5021" w:rsidRDefault="000F3A03" w:rsidP="00BB6E3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c>
          <w:tcPr>
            <w:tcW w:w="993" w:type="dxa"/>
            <w:tcBorders>
              <w:left w:val="single" w:sz="4" w:space="0" w:color="65C5B4" w:themeColor="accent1"/>
              <w:bottom w:val="nil"/>
            </w:tcBorders>
            <w:shd w:val="clear" w:color="auto" w:fill="E0F3EF" w:themeFill="accent1" w:themeFillTint="33"/>
            <w:noWrap/>
          </w:tcPr>
          <w:p w14:paraId="579A968A" w14:textId="5D2A5913" w:rsidR="00AC551D" w:rsidRPr="00CA5021" w:rsidRDefault="000F3A03" w:rsidP="00BB6E3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3</w:t>
            </w:r>
          </w:p>
        </w:tc>
      </w:tr>
      <w:tr w:rsidR="0010441E" w:rsidRPr="00AF18F4" w14:paraId="2F1DE13E" w14:textId="77777777" w:rsidTr="0039639E">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098" w:type="dxa"/>
            <w:tcBorders>
              <w:top w:val="nil"/>
              <w:right w:val="single" w:sz="4" w:space="0" w:color="65C5B4" w:themeColor="accent1"/>
            </w:tcBorders>
            <w:shd w:val="clear" w:color="auto" w:fill="E0F3EF" w:themeFill="accent1" w:themeFillTint="33"/>
            <w:hideMark/>
          </w:tcPr>
          <w:p w14:paraId="1E605139" w14:textId="390921F5" w:rsidR="00AC551D" w:rsidRPr="00CA5021" w:rsidRDefault="00FC5365" w:rsidP="00BB6E32">
            <w:pPr>
              <w:suppressAutoHyphens w:val="0"/>
              <w:spacing w:before="0" w:after="0" w:line="240" w:lineRule="auto"/>
              <w:ind w:firstLineChars="100" w:firstLine="200"/>
              <w:rPr>
                <w:rFonts w:asciiTheme="minorHAnsi" w:eastAsia="Times New Roman" w:hAnsiTheme="minorHAnsi" w:cstheme="minorHAnsi"/>
                <w:color w:val="404040"/>
                <w:sz w:val="20"/>
                <w:szCs w:val="20"/>
                <w:lang w:val="en-AU" w:eastAsia="en-AU"/>
              </w:rPr>
            </w:pPr>
            <w:r>
              <w:rPr>
                <w:rFonts w:asciiTheme="minorHAnsi" w:eastAsia="Times New Roman" w:hAnsiTheme="minorHAnsi" w:cstheme="minorHAnsi"/>
                <w:color w:val="404040"/>
                <w:sz w:val="20"/>
                <w:szCs w:val="20"/>
                <w:lang w:val="en-AU" w:eastAsia="en-AU"/>
              </w:rPr>
              <w:t>Investment d</w:t>
            </w:r>
            <w:r w:rsidR="00AC551D" w:rsidRPr="00CA5021">
              <w:rPr>
                <w:rFonts w:asciiTheme="minorHAnsi" w:eastAsia="Times New Roman" w:hAnsiTheme="minorHAnsi" w:cstheme="minorHAnsi"/>
                <w:color w:val="404040"/>
                <w:sz w:val="20"/>
                <w:szCs w:val="20"/>
                <w:lang w:val="en-AU" w:eastAsia="en-AU"/>
              </w:rPr>
              <w:t>uration: 201</w:t>
            </w:r>
            <w:r w:rsidR="00DC741D">
              <w:rPr>
                <w:rFonts w:asciiTheme="minorHAnsi" w:eastAsia="Times New Roman" w:hAnsiTheme="minorHAnsi" w:cstheme="minorHAnsi"/>
                <w:color w:val="404040"/>
                <w:sz w:val="20"/>
                <w:szCs w:val="20"/>
                <w:lang w:val="en-AU" w:eastAsia="en-AU"/>
              </w:rPr>
              <w:t>7-2</w:t>
            </w:r>
            <w:r w:rsidR="000F3A03">
              <w:rPr>
                <w:rFonts w:asciiTheme="minorHAnsi" w:eastAsia="Times New Roman" w:hAnsiTheme="minorHAnsi" w:cstheme="minorHAnsi"/>
                <w:color w:val="404040"/>
                <w:sz w:val="20"/>
                <w:szCs w:val="20"/>
                <w:lang w:val="en-AU" w:eastAsia="en-AU"/>
              </w:rPr>
              <w:t>2</w:t>
            </w:r>
            <w:r w:rsidR="00AC551D" w:rsidRPr="00CA5021">
              <w:rPr>
                <w:rFonts w:asciiTheme="minorHAnsi" w:eastAsia="Times New Roman" w:hAnsiTheme="minorHAnsi" w:cstheme="minorHAnsi"/>
                <w:color w:val="404040"/>
                <w:sz w:val="20"/>
                <w:szCs w:val="20"/>
                <w:lang w:val="en-AU" w:eastAsia="en-AU"/>
              </w:rPr>
              <w:t>; Budget: $</w:t>
            </w:r>
            <w:r w:rsidR="000F3A03">
              <w:rPr>
                <w:rFonts w:asciiTheme="minorHAnsi" w:eastAsia="Times New Roman" w:hAnsiTheme="minorHAnsi" w:cstheme="minorHAnsi"/>
                <w:color w:val="404040"/>
                <w:sz w:val="20"/>
                <w:szCs w:val="20"/>
                <w:lang w:val="en-AU" w:eastAsia="en-AU"/>
              </w:rPr>
              <w:t>67.9</w:t>
            </w:r>
            <w:r w:rsidR="00AC551D" w:rsidRPr="00CA5021">
              <w:rPr>
                <w:rFonts w:asciiTheme="minorHAnsi" w:eastAsia="Times New Roman" w:hAnsiTheme="minorHAnsi" w:cstheme="minorHAnsi"/>
                <w:color w:val="404040"/>
                <w:sz w:val="20"/>
                <w:szCs w:val="20"/>
                <w:lang w:val="en-AU" w:eastAsia="en-AU"/>
              </w:rPr>
              <w:t xml:space="preserve">m </w:t>
            </w:r>
          </w:p>
        </w:tc>
        <w:tc>
          <w:tcPr>
            <w:tcW w:w="1276" w:type="dxa"/>
            <w:tcBorders>
              <w:top w:val="nil"/>
              <w:left w:val="single" w:sz="4" w:space="0" w:color="65C5B4" w:themeColor="accent1"/>
              <w:right w:val="single" w:sz="4" w:space="0" w:color="65C5B4" w:themeColor="accent1"/>
            </w:tcBorders>
            <w:shd w:val="clear" w:color="auto" w:fill="E0F3EF" w:themeFill="accent1" w:themeFillTint="33"/>
            <w:hideMark/>
          </w:tcPr>
          <w:p w14:paraId="7018BC30" w14:textId="24768F27" w:rsidR="00AC551D" w:rsidRPr="00CA5021" w:rsidRDefault="00AC551D" w:rsidP="00BB6E3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val="en-AU" w:eastAsia="en-AU"/>
              </w:rPr>
              <w:t>202</w:t>
            </w:r>
            <w:r w:rsidR="00A22CD1">
              <w:rPr>
                <w:rFonts w:asciiTheme="minorHAnsi" w:eastAsia="Times New Roman" w:hAnsiTheme="minorHAnsi" w:cstheme="minorHAnsi"/>
                <w:color w:val="000000"/>
                <w:sz w:val="20"/>
                <w:szCs w:val="20"/>
                <w:lang w:val="en-AU" w:eastAsia="en-AU"/>
              </w:rPr>
              <w:t>1</w:t>
            </w:r>
          </w:p>
        </w:tc>
        <w:tc>
          <w:tcPr>
            <w:tcW w:w="1418" w:type="dxa"/>
            <w:tcBorders>
              <w:top w:val="nil"/>
              <w:left w:val="single" w:sz="4" w:space="0" w:color="65C5B4" w:themeColor="accent1"/>
              <w:right w:val="single" w:sz="4" w:space="0" w:color="65C5B4" w:themeColor="accent1"/>
            </w:tcBorders>
            <w:shd w:val="clear" w:color="auto" w:fill="E0F3EF" w:themeFill="accent1" w:themeFillTint="33"/>
            <w:noWrap/>
          </w:tcPr>
          <w:p w14:paraId="7FF87E63" w14:textId="658FEB84" w:rsidR="00AC551D" w:rsidRPr="00CA5021" w:rsidRDefault="00E31930" w:rsidP="00BB6E3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c>
          <w:tcPr>
            <w:tcW w:w="1842" w:type="dxa"/>
            <w:tcBorders>
              <w:top w:val="nil"/>
              <w:left w:val="single" w:sz="4" w:space="0" w:color="65C5B4" w:themeColor="accent1"/>
              <w:right w:val="single" w:sz="4" w:space="0" w:color="65C5B4" w:themeColor="accent1"/>
            </w:tcBorders>
            <w:shd w:val="clear" w:color="auto" w:fill="E0F3EF" w:themeFill="accent1" w:themeFillTint="33"/>
            <w:noWrap/>
          </w:tcPr>
          <w:p w14:paraId="7B158D07" w14:textId="5D4B16F8" w:rsidR="00AC551D" w:rsidRPr="00CA5021" w:rsidRDefault="00E31930" w:rsidP="00BB6E3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c>
          <w:tcPr>
            <w:tcW w:w="993" w:type="dxa"/>
            <w:tcBorders>
              <w:top w:val="nil"/>
              <w:left w:val="single" w:sz="4" w:space="0" w:color="65C5B4" w:themeColor="accent1"/>
            </w:tcBorders>
            <w:shd w:val="clear" w:color="auto" w:fill="E0F3EF" w:themeFill="accent1" w:themeFillTint="33"/>
            <w:noWrap/>
          </w:tcPr>
          <w:p w14:paraId="04D0497F" w14:textId="24BD1724" w:rsidR="00AC551D" w:rsidRPr="00CA5021" w:rsidRDefault="00E31930" w:rsidP="00BB6E3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r>
      <w:tr w:rsidR="0010441E" w:rsidRPr="00AF18F4" w14:paraId="1FF9A082" w14:textId="77777777" w:rsidTr="0039639E">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098" w:type="dxa"/>
            <w:tcBorders>
              <w:bottom w:val="nil"/>
              <w:right w:val="single" w:sz="4" w:space="0" w:color="65C5B4" w:themeColor="accent1"/>
            </w:tcBorders>
            <w:shd w:val="clear" w:color="auto" w:fill="F2F2F2" w:themeFill="background1" w:themeFillShade="F2"/>
            <w:noWrap/>
            <w:vAlign w:val="bottom"/>
            <w:hideMark/>
          </w:tcPr>
          <w:p w14:paraId="2856E45D" w14:textId="3992F4C6" w:rsidR="00AC551D" w:rsidRPr="00CA5021" w:rsidRDefault="00812DBD" w:rsidP="00BB6E32">
            <w:pPr>
              <w:suppressAutoHyphens w:val="0"/>
              <w:spacing w:before="0" w:after="0" w:line="240" w:lineRule="auto"/>
              <w:rPr>
                <w:rFonts w:asciiTheme="minorHAnsi" w:eastAsia="Times New Roman" w:hAnsiTheme="minorHAnsi" w:cstheme="minorHAnsi"/>
                <w:b/>
                <w:bCs/>
                <w:color w:val="404040"/>
                <w:sz w:val="20"/>
                <w:szCs w:val="20"/>
                <w:lang w:val="en-AU" w:eastAsia="en-AU"/>
              </w:rPr>
            </w:pPr>
            <w:bookmarkStart w:id="8" w:name="_Hlk110952861"/>
            <w:bookmarkEnd w:id="7"/>
            <w:r>
              <w:rPr>
                <w:rFonts w:asciiTheme="minorHAnsi" w:eastAsia="Times New Roman" w:hAnsiTheme="minorHAnsi" w:cstheme="minorHAnsi"/>
                <w:b/>
                <w:bCs/>
                <w:color w:val="404040"/>
                <w:sz w:val="20"/>
                <w:szCs w:val="20"/>
                <w:lang w:eastAsia="en-AU"/>
              </w:rPr>
              <w:t>Solomon Islands Justice Program</w:t>
            </w:r>
          </w:p>
        </w:tc>
        <w:tc>
          <w:tcPr>
            <w:tcW w:w="1276" w:type="dxa"/>
            <w:tcBorders>
              <w:left w:val="single" w:sz="4" w:space="0" w:color="65C5B4" w:themeColor="accent1"/>
              <w:bottom w:val="nil"/>
              <w:right w:val="single" w:sz="4" w:space="0" w:color="65C5B4" w:themeColor="accent1"/>
            </w:tcBorders>
            <w:shd w:val="clear" w:color="auto" w:fill="F2F2F2" w:themeFill="background1" w:themeFillShade="F2"/>
            <w:hideMark/>
          </w:tcPr>
          <w:p w14:paraId="28837949" w14:textId="735E9F03" w:rsidR="00AC551D" w:rsidRPr="00CA5021" w:rsidRDefault="00AC551D" w:rsidP="00BB6E3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val="en-AU" w:eastAsia="en-AU"/>
              </w:rPr>
              <w:t>202</w:t>
            </w:r>
            <w:r w:rsidR="00A22CD1">
              <w:rPr>
                <w:rFonts w:asciiTheme="minorHAnsi" w:eastAsia="Times New Roman" w:hAnsiTheme="minorHAnsi" w:cstheme="minorHAnsi"/>
                <w:color w:val="000000"/>
                <w:sz w:val="20"/>
                <w:szCs w:val="20"/>
                <w:lang w:val="en-AU" w:eastAsia="en-AU"/>
              </w:rPr>
              <w:t>2</w:t>
            </w:r>
          </w:p>
        </w:tc>
        <w:tc>
          <w:tcPr>
            <w:tcW w:w="1418" w:type="dxa"/>
            <w:tcBorders>
              <w:left w:val="single" w:sz="4" w:space="0" w:color="65C5B4" w:themeColor="accent1"/>
              <w:bottom w:val="nil"/>
              <w:right w:val="single" w:sz="4" w:space="0" w:color="65C5B4" w:themeColor="accent1"/>
            </w:tcBorders>
            <w:shd w:val="clear" w:color="auto" w:fill="F2F2F2" w:themeFill="background1" w:themeFillShade="F2"/>
            <w:noWrap/>
          </w:tcPr>
          <w:p w14:paraId="56D0B385" w14:textId="35DAF8A9" w:rsidR="00AC551D" w:rsidRPr="00CA5021" w:rsidRDefault="00A735A8" w:rsidP="00BB6E3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c>
          <w:tcPr>
            <w:tcW w:w="1842" w:type="dxa"/>
            <w:tcBorders>
              <w:left w:val="single" w:sz="4" w:space="0" w:color="65C5B4" w:themeColor="accent1"/>
              <w:bottom w:val="nil"/>
              <w:right w:val="single" w:sz="4" w:space="0" w:color="65C5B4" w:themeColor="accent1"/>
            </w:tcBorders>
            <w:shd w:val="clear" w:color="auto" w:fill="F2F2F2" w:themeFill="background1" w:themeFillShade="F2"/>
            <w:noWrap/>
          </w:tcPr>
          <w:p w14:paraId="1F83D288" w14:textId="2C822AB6" w:rsidR="00AC551D" w:rsidRPr="00CA5021" w:rsidRDefault="00A735A8" w:rsidP="00BB6E3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c>
          <w:tcPr>
            <w:tcW w:w="993" w:type="dxa"/>
            <w:tcBorders>
              <w:left w:val="single" w:sz="4" w:space="0" w:color="65C5B4" w:themeColor="accent1"/>
              <w:bottom w:val="nil"/>
            </w:tcBorders>
            <w:shd w:val="clear" w:color="auto" w:fill="F2F2F2" w:themeFill="background1" w:themeFillShade="F2"/>
            <w:noWrap/>
          </w:tcPr>
          <w:p w14:paraId="1F305D63" w14:textId="18AD4E41" w:rsidR="00AC551D" w:rsidRPr="00CA5021" w:rsidRDefault="00A735A8" w:rsidP="00BB6E3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r>
      <w:tr w:rsidR="0010441E" w:rsidRPr="00AF18F4" w14:paraId="51634969" w14:textId="77777777" w:rsidTr="0039639E">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098" w:type="dxa"/>
            <w:tcBorders>
              <w:top w:val="nil"/>
              <w:right w:val="single" w:sz="4" w:space="0" w:color="65C5B4" w:themeColor="accent1"/>
            </w:tcBorders>
            <w:shd w:val="clear" w:color="auto" w:fill="F2F2F2" w:themeFill="background1" w:themeFillShade="F2"/>
            <w:hideMark/>
          </w:tcPr>
          <w:p w14:paraId="468F61F5" w14:textId="2E689783" w:rsidR="00AC551D" w:rsidRPr="00CA5021" w:rsidRDefault="00FC5365" w:rsidP="00BB6E32">
            <w:pPr>
              <w:suppressAutoHyphens w:val="0"/>
              <w:spacing w:before="0" w:after="0" w:line="240" w:lineRule="auto"/>
              <w:ind w:firstLineChars="100" w:firstLine="200"/>
              <w:rPr>
                <w:rFonts w:asciiTheme="minorHAnsi" w:eastAsia="Times New Roman" w:hAnsiTheme="minorHAnsi" w:cstheme="minorHAnsi"/>
                <w:color w:val="404040"/>
                <w:sz w:val="20"/>
                <w:szCs w:val="20"/>
                <w:lang w:val="en-AU" w:eastAsia="en-AU"/>
              </w:rPr>
            </w:pPr>
            <w:r>
              <w:rPr>
                <w:rFonts w:asciiTheme="minorHAnsi" w:eastAsia="Times New Roman" w:hAnsiTheme="minorHAnsi" w:cstheme="minorHAnsi"/>
                <w:color w:val="404040"/>
                <w:sz w:val="20"/>
                <w:szCs w:val="20"/>
                <w:lang w:val="en-AU" w:eastAsia="en-AU"/>
              </w:rPr>
              <w:t>Investment d</w:t>
            </w:r>
            <w:r w:rsidR="00AC551D" w:rsidRPr="00CA5021">
              <w:rPr>
                <w:rFonts w:asciiTheme="minorHAnsi" w:eastAsia="Times New Roman" w:hAnsiTheme="minorHAnsi" w:cstheme="minorHAnsi"/>
                <w:color w:val="404040"/>
                <w:sz w:val="20"/>
                <w:szCs w:val="20"/>
                <w:lang w:val="en-AU" w:eastAsia="en-AU"/>
              </w:rPr>
              <w:t>uration: 20</w:t>
            </w:r>
            <w:r w:rsidR="00812DBD">
              <w:rPr>
                <w:rFonts w:asciiTheme="minorHAnsi" w:eastAsia="Times New Roman" w:hAnsiTheme="minorHAnsi" w:cstheme="minorHAnsi"/>
                <w:color w:val="404040"/>
                <w:sz w:val="20"/>
                <w:szCs w:val="20"/>
                <w:lang w:val="en-AU" w:eastAsia="en-AU"/>
              </w:rPr>
              <w:t>17-2</w:t>
            </w:r>
            <w:r w:rsidR="00A735A8">
              <w:rPr>
                <w:rFonts w:asciiTheme="minorHAnsi" w:eastAsia="Times New Roman" w:hAnsiTheme="minorHAnsi" w:cstheme="minorHAnsi"/>
                <w:color w:val="404040"/>
                <w:sz w:val="20"/>
                <w:szCs w:val="20"/>
                <w:lang w:val="en-AU" w:eastAsia="en-AU"/>
              </w:rPr>
              <w:t>2</w:t>
            </w:r>
            <w:r w:rsidR="00AC551D" w:rsidRPr="00CA5021">
              <w:rPr>
                <w:rFonts w:asciiTheme="minorHAnsi" w:eastAsia="Times New Roman" w:hAnsiTheme="minorHAnsi" w:cstheme="minorHAnsi"/>
                <w:color w:val="404040"/>
                <w:sz w:val="20"/>
                <w:szCs w:val="20"/>
                <w:lang w:val="en-AU" w:eastAsia="en-AU"/>
              </w:rPr>
              <w:t>; Budget: $</w:t>
            </w:r>
            <w:r w:rsidR="00A735A8">
              <w:rPr>
                <w:rFonts w:asciiTheme="minorHAnsi" w:eastAsia="Times New Roman" w:hAnsiTheme="minorHAnsi" w:cstheme="minorHAnsi"/>
                <w:color w:val="404040"/>
                <w:sz w:val="20"/>
                <w:szCs w:val="20"/>
                <w:lang w:val="en-AU" w:eastAsia="en-AU"/>
              </w:rPr>
              <w:t>37.2</w:t>
            </w:r>
            <w:r w:rsidR="00AC551D" w:rsidRPr="00CA5021">
              <w:rPr>
                <w:rFonts w:asciiTheme="minorHAnsi" w:eastAsia="Times New Roman" w:hAnsiTheme="minorHAnsi" w:cstheme="minorHAnsi"/>
                <w:color w:val="404040"/>
                <w:sz w:val="20"/>
                <w:szCs w:val="20"/>
                <w:lang w:val="en-AU" w:eastAsia="en-AU"/>
              </w:rPr>
              <w:t xml:space="preserve">m </w:t>
            </w:r>
          </w:p>
        </w:tc>
        <w:tc>
          <w:tcPr>
            <w:tcW w:w="1276" w:type="dxa"/>
            <w:tcBorders>
              <w:top w:val="nil"/>
              <w:left w:val="single" w:sz="4" w:space="0" w:color="65C5B4" w:themeColor="accent1"/>
              <w:right w:val="single" w:sz="4" w:space="0" w:color="65C5B4" w:themeColor="accent1"/>
            </w:tcBorders>
            <w:shd w:val="clear" w:color="auto" w:fill="F2F2F2" w:themeFill="background1" w:themeFillShade="F2"/>
            <w:hideMark/>
          </w:tcPr>
          <w:p w14:paraId="05ADDFD4" w14:textId="100719BF" w:rsidR="00AC551D" w:rsidRPr="00CA5021" w:rsidRDefault="00AC551D" w:rsidP="00BB6E3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val="en-AU" w:eastAsia="en-AU"/>
              </w:rPr>
              <w:t>202</w:t>
            </w:r>
            <w:r w:rsidR="00A22CD1">
              <w:rPr>
                <w:rFonts w:asciiTheme="minorHAnsi" w:eastAsia="Times New Roman" w:hAnsiTheme="minorHAnsi" w:cstheme="minorHAnsi"/>
                <w:color w:val="000000"/>
                <w:sz w:val="20"/>
                <w:szCs w:val="20"/>
                <w:lang w:val="en-AU" w:eastAsia="en-AU"/>
              </w:rPr>
              <w:t>1</w:t>
            </w:r>
          </w:p>
        </w:tc>
        <w:tc>
          <w:tcPr>
            <w:tcW w:w="1418" w:type="dxa"/>
            <w:tcBorders>
              <w:top w:val="nil"/>
              <w:left w:val="single" w:sz="4" w:space="0" w:color="65C5B4" w:themeColor="accent1"/>
              <w:right w:val="single" w:sz="4" w:space="0" w:color="65C5B4" w:themeColor="accent1"/>
            </w:tcBorders>
            <w:shd w:val="clear" w:color="auto" w:fill="F2F2F2" w:themeFill="background1" w:themeFillShade="F2"/>
            <w:noWrap/>
          </w:tcPr>
          <w:p w14:paraId="7A708A19" w14:textId="7FF9BEB0" w:rsidR="00AC551D" w:rsidRPr="00CA5021" w:rsidRDefault="003A0034" w:rsidP="00BB6E3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c>
          <w:tcPr>
            <w:tcW w:w="1842" w:type="dxa"/>
            <w:tcBorders>
              <w:top w:val="nil"/>
              <w:left w:val="single" w:sz="4" w:space="0" w:color="65C5B4" w:themeColor="accent1"/>
              <w:right w:val="single" w:sz="4" w:space="0" w:color="65C5B4" w:themeColor="accent1"/>
            </w:tcBorders>
            <w:shd w:val="clear" w:color="auto" w:fill="F2F2F2" w:themeFill="background1" w:themeFillShade="F2"/>
            <w:noWrap/>
          </w:tcPr>
          <w:p w14:paraId="4A6EE93A" w14:textId="2B156B63" w:rsidR="00AC551D" w:rsidRPr="00CA5021" w:rsidRDefault="003A0034" w:rsidP="00BB6E3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c>
          <w:tcPr>
            <w:tcW w:w="993" w:type="dxa"/>
            <w:tcBorders>
              <w:top w:val="nil"/>
              <w:left w:val="single" w:sz="4" w:space="0" w:color="65C5B4" w:themeColor="accent1"/>
            </w:tcBorders>
            <w:shd w:val="clear" w:color="auto" w:fill="F2F2F2" w:themeFill="background1" w:themeFillShade="F2"/>
            <w:noWrap/>
          </w:tcPr>
          <w:p w14:paraId="1BF6318F" w14:textId="6FC58A28" w:rsidR="00AC551D" w:rsidRPr="00CA5021" w:rsidRDefault="003A0034" w:rsidP="00BB6E3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r>
      <w:bookmarkEnd w:id="8"/>
      <w:tr w:rsidR="0010441E" w:rsidRPr="00AF18F4" w14:paraId="4E18A9BC" w14:textId="77777777" w:rsidTr="0039639E">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098" w:type="dxa"/>
            <w:tcBorders>
              <w:bottom w:val="nil"/>
              <w:right w:val="single" w:sz="4" w:space="0" w:color="65C5B4" w:themeColor="accent1"/>
            </w:tcBorders>
            <w:shd w:val="clear" w:color="auto" w:fill="E0F3EF" w:themeFill="accent1" w:themeFillTint="33"/>
            <w:noWrap/>
            <w:vAlign w:val="bottom"/>
            <w:hideMark/>
          </w:tcPr>
          <w:p w14:paraId="3524E797" w14:textId="1D52E66E" w:rsidR="003A0034" w:rsidRPr="00CA5021" w:rsidRDefault="00E06376" w:rsidP="00BB6E32">
            <w:pPr>
              <w:suppressAutoHyphens w:val="0"/>
              <w:spacing w:before="0" w:after="0" w:line="240" w:lineRule="auto"/>
              <w:rPr>
                <w:rFonts w:asciiTheme="minorHAnsi" w:eastAsia="Times New Roman" w:hAnsiTheme="minorHAnsi" w:cstheme="minorHAnsi"/>
                <w:b/>
                <w:bCs/>
                <w:color w:val="404040"/>
                <w:sz w:val="20"/>
                <w:szCs w:val="20"/>
                <w:lang w:val="en-AU" w:eastAsia="en-AU"/>
              </w:rPr>
            </w:pPr>
            <w:r>
              <w:rPr>
                <w:rFonts w:asciiTheme="minorHAnsi" w:eastAsia="Times New Roman" w:hAnsiTheme="minorHAnsi" w:cstheme="minorHAnsi"/>
                <w:b/>
                <w:bCs/>
                <w:color w:val="404040"/>
                <w:sz w:val="20"/>
                <w:szCs w:val="20"/>
                <w:lang w:eastAsia="en-AU"/>
              </w:rPr>
              <w:t>Solomon Islands Infrastructure Program</w:t>
            </w:r>
          </w:p>
        </w:tc>
        <w:tc>
          <w:tcPr>
            <w:tcW w:w="1276" w:type="dxa"/>
            <w:tcBorders>
              <w:left w:val="single" w:sz="4" w:space="0" w:color="65C5B4" w:themeColor="accent1"/>
              <w:bottom w:val="nil"/>
              <w:right w:val="single" w:sz="4" w:space="0" w:color="65C5B4" w:themeColor="accent1"/>
            </w:tcBorders>
            <w:shd w:val="clear" w:color="auto" w:fill="E0F3EF" w:themeFill="accent1" w:themeFillTint="33"/>
            <w:hideMark/>
          </w:tcPr>
          <w:p w14:paraId="63D562FF" w14:textId="77777777" w:rsidR="003A0034" w:rsidRPr="00CA5021" w:rsidRDefault="003A0034" w:rsidP="00BB6E3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val="en-AU" w:eastAsia="en-AU"/>
              </w:rPr>
              <w:t>202</w:t>
            </w:r>
            <w:r>
              <w:rPr>
                <w:rFonts w:asciiTheme="minorHAnsi" w:eastAsia="Times New Roman" w:hAnsiTheme="minorHAnsi" w:cstheme="minorHAnsi"/>
                <w:color w:val="000000"/>
                <w:sz w:val="20"/>
                <w:szCs w:val="20"/>
                <w:lang w:val="en-AU" w:eastAsia="en-AU"/>
              </w:rPr>
              <w:t>2</w:t>
            </w:r>
          </w:p>
        </w:tc>
        <w:tc>
          <w:tcPr>
            <w:tcW w:w="1418" w:type="dxa"/>
            <w:tcBorders>
              <w:left w:val="single" w:sz="4" w:space="0" w:color="65C5B4" w:themeColor="accent1"/>
              <w:bottom w:val="nil"/>
              <w:right w:val="single" w:sz="4" w:space="0" w:color="65C5B4" w:themeColor="accent1"/>
            </w:tcBorders>
            <w:shd w:val="clear" w:color="auto" w:fill="E0F3EF" w:themeFill="accent1" w:themeFillTint="33"/>
            <w:noWrap/>
          </w:tcPr>
          <w:p w14:paraId="0C43B3FF" w14:textId="41C56262" w:rsidR="003A0034" w:rsidRPr="00CA5021" w:rsidRDefault="00366BB2" w:rsidP="00BB6E3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5</w:t>
            </w:r>
          </w:p>
        </w:tc>
        <w:tc>
          <w:tcPr>
            <w:tcW w:w="1842" w:type="dxa"/>
            <w:tcBorders>
              <w:left w:val="single" w:sz="4" w:space="0" w:color="65C5B4" w:themeColor="accent1"/>
              <w:bottom w:val="nil"/>
              <w:right w:val="single" w:sz="4" w:space="0" w:color="65C5B4" w:themeColor="accent1"/>
            </w:tcBorders>
            <w:shd w:val="clear" w:color="auto" w:fill="E0F3EF" w:themeFill="accent1" w:themeFillTint="33"/>
            <w:noWrap/>
          </w:tcPr>
          <w:p w14:paraId="1C5CEB92" w14:textId="4C5C289C" w:rsidR="003A0034" w:rsidRPr="00CA5021" w:rsidRDefault="00366BB2" w:rsidP="00BB6E3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c>
          <w:tcPr>
            <w:tcW w:w="993" w:type="dxa"/>
            <w:tcBorders>
              <w:left w:val="single" w:sz="4" w:space="0" w:color="65C5B4" w:themeColor="accent1"/>
              <w:bottom w:val="nil"/>
            </w:tcBorders>
            <w:shd w:val="clear" w:color="auto" w:fill="E0F3EF" w:themeFill="accent1" w:themeFillTint="33"/>
            <w:noWrap/>
          </w:tcPr>
          <w:p w14:paraId="33C600C7" w14:textId="068ECECE" w:rsidR="003A0034" w:rsidRPr="00CA5021" w:rsidRDefault="00366BB2" w:rsidP="00BB6E3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r>
      <w:tr w:rsidR="0010441E" w:rsidRPr="00AF18F4" w14:paraId="7B29729F" w14:textId="77777777" w:rsidTr="0039639E">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098" w:type="dxa"/>
            <w:tcBorders>
              <w:top w:val="nil"/>
              <w:right w:val="single" w:sz="4" w:space="0" w:color="65C5B4" w:themeColor="accent1"/>
            </w:tcBorders>
            <w:shd w:val="clear" w:color="auto" w:fill="E0F3EF" w:themeFill="accent1" w:themeFillTint="33"/>
            <w:hideMark/>
          </w:tcPr>
          <w:p w14:paraId="23346A2A" w14:textId="5BB54329" w:rsidR="003A0034" w:rsidRPr="00CA5021" w:rsidRDefault="003A0034" w:rsidP="00BB6E32">
            <w:pPr>
              <w:suppressAutoHyphens w:val="0"/>
              <w:spacing w:before="0" w:after="0" w:line="240" w:lineRule="auto"/>
              <w:ind w:firstLineChars="100" w:firstLine="200"/>
              <w:rPr>
                <w:rFonts w:asciiTheme="minorHAnsi" w:eastAsia="Times New Roman" w:hAnsiTheme="minorHAnsi" w:cstheme="minorHAnsi"/>
                <w:color w:val="404040"/>
                <w:sz w:val="20"/>
                <w:szCs w:val="20"/>
                <w:lang w:val="en-AU" w:eastAsia="en-AU"/>
              </w:rPr>
            </w:pPr>
            <w:r>
              <w:rPr>
                <w:rFonts w:asciiTheme="minorHAnsi" w:eastAsia="Times New Roman" w:hAnsiTheme="minorHAnsi" w:cstheme="minorHAnsi"/>
                <w:color w:val="404040"/>
                <w:sz w:val="20"/>
                <w:szCs w:val="20"/>
                <w:lang w:val="en-AU" w:eastAsia="en-AU"/>
              </w:rPr>
              <w:t>Investment d</w:t>
            </w:r>
            <w:r w:rsidRPr="00CA5021">
              <w:rPr>
                <w:rFonts w:asciiTheme="minorHAnsi" w:eastAsia="Times New Roman" w:hAnsiTheme="minorHAnsi" w:cstheme="minorHAnsi"/>
                <w:color w:val="404040"/>
                <w:sz w:val="20"/>
                <w:szCs w:val="20"/>
                <w:lang w:val="en-AU" w:eastAsia="en-AU"/>
              </w:rPr>
              <w:t>uration: 201</w:t>
            </w:r>
            <w:r w:rsidR="00CF17D7">
              <w:rPr>
                <w:rFonts w:asciiTheme="minorHAnsi" w:eastAsia="Times New Roman" w:hAnsiTheme="minorHAnsi" w:cstheme="minorHAnsi"/>
                <w:color w:val="404040"/>
                <w:sz w:val="20"/>
                <w:szCs w:val="20"/>
                <w:lang w:val="en-AU" w:eastAsia="en-AU"/>
              </w:rPr>
              <w:t>9</w:t>
            </w:r>
            <w:r>
              <w:rPr>
                <w:rFonts w:asciiTheme="minorHAnsi" w:eastAsia="Times New Roman" w:hAnsiTheme="minorHAnsi" w:cstheme="minorHAnsi"/>
                <w:color w:val="404040"/>
                <w:sz w:val="20"/>
                <w:szCs w:val="20"/>
                <w:lang w:val="en-AU" w:eastAsia="en-AU"/>
              </w:rPr>
              <w:t>-2</w:t>
            </w:r>
            <w:r w:rsidR="00CF17D7">
              <w:rPr>
                <w:rFonts w:asciiTheme="minorHAnsi" w:eastAsia="Times New Roman" w:hAnsiTheme="minorHAnsi" w:cstheme="minorHAnsi"/>
                <w:color w:val="404040"/>
                <w:sz w:val="20"/>
                <w:szCs w:val="20"/>
                <w:lang w:val="en-AU" w:eastAsia="en-AU"/>
              </w:rPr>
              <w:t>030</w:t>
            </w:r>
            <w:r w:rsidRPr="00CA5021">
              <w:rPr>
                <w:rFonts w:asciiTheme="minorHAnsi" w:eastAsia="Times New Roman" w:hAnsiTheme="minorHAnsi" w:cstheme="minorHAnsi"/>
                <w:color w:val="404040"/>
                <w:sz w:val="20"/>
                <w:szCs w:val="20"/>
                <w:lang w:val="en-AU" w:eastAsia="en-AU"/>
              </w:rPr>
              <w:t>; Budget: $</w:t>
            </w:r>
            <w:r w:rsidR="00366BB2">
              <w:rPr>
                <w:rFonts w:asciiTheme="minorHAnsi" w:eastAsia="Times New Roman" w:hAnsiTheme="minorHAnsi" w:cstheme="minorHAnsi"/>
                <w:color w:val="404040"/>
                <w:sz w:val="20"/>
                <w:szCs w:val="20"/>
                <w:lang w:val="en-AU" w:eastAsia="en-AU"/>
              </w:rPr>
              <w:t>252.0</w:t>
            </w:r>
            <w:r w:rsidRPr="00CA5021">
              <w:rPr>
                <w:rFonts w:asciiTheme="minorHAnsi" w:eastAsia="Times New Roman" w:hAnsiTheme="minorHAnsi" w:cstheme="minorHAnsi"/>
                <w:color w:val="404040"/>
                <w:sz w:val="20"/>
                <w:szCs w:val="20"/>
                <w:lang w:val="en-AU" w:eastAsia="en-AU"/>
              </w:rPr>
              <w:t xml:space="preserve">m </w:t>
            </w:r>
          </w:p>
        </w:tc>
        <w:tc>
          <w:tcPr>
            <w:tcW w:w="1276" w:type="dxa"/>
            <w:tcBorders>
              <w:top w:val="nil"/>
              <w:left w:val="single" w:sz="4" w:space="0" w:color="65C5B4" w:themeColor="accent1"/>
              <w:right w:val="single" w:sz="4" w:space="0" w:color="65C5B4" w:themeColor="accent1"/>
            </w:tcBorders>
            <w:shd w:val="clear" w:color="auto" w:fill="E0F3EF" w:themeFill="accent1" w:themeFillTint="33"/>
            <w:hideMark/>
          </w:tcPr>
          <w:p w14:paraId="2CD99112" w14:textId="77777777" w:rsidR="003A0034" w:rsidRPr="00CA5021" w:rsidRDefault="003A0034" w:rsidP="00BB6E3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val="en-AU" w:eastAsia="en-AU"/>
              </w:rPr>
              <w:t>202</w:t>
            </w:r>
            <w:r>
              <w:rPr>
                <w:rFonts w:asciiTheme="minorHAnsi" w:eastAsia="Times New Roman" w:hAnsiTheme="minorHAnsi" w:cstheme="minorHAnsi"/>
                <w:color w:val="000000"/>
                <w:sz w:val="20"/>
                <w:szCs w:val="20"/>
                <w:lang w:val="en-AU" w:eastAsia="en-AU"/>
              </w:rPr>
              <w:t>1</w:t>
            </w:r>
          </w:p>
        </w:tc>
        <w:tc>
          <w:tcPr>
            <w:tcW w:w="1418" w:type="dxa"/>
            <w:tcBorders>
              <w:top w:val="nil"/>
              <w:left w:val="single" w:sz="4" w:space="0" w:color="65C5B4" w:themeColor="accent1"/>
              <w:right w:val="single" w:sz="4" w:space="0" w:color="65C5B4" w:themeColor="accent1"/>
            </w:tcBorders>
            <w:shd w:val="clear" w:color="auto" w:fill="E0F3EF" w:themeFill="accent1" w:themeFillTint="33"/>
            <w:noWrap/>
          </w:tcPr>
          <w:p w14:paraId="319F21C7" w14:textId="11C9C16A" w:rsidR="003A0034" w:rsidRPr="00CA5021" w:rsidRDefault="00366BB2" w:rsidP="00BB6E3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n/a</w:t>
            </w:r>
          </w:p>
        </w:tc>
        <w:tc>
          <w:tcPr>
            <w:tcW w:w="1842" w:type="dxa"/>
            <w:tcBorders>
              <w:top w:val="nil"/>
              <w:left w:val="single" w:sz="4" w:space="0" w:color="65C5B4" w:themeColor="accent1"/>
              <w:right w:val="single" w:sz="4" w:space="0" w:color="65C5B4" w:themeColor="accent1"/>
            </w:tcBorders>
            <w:shd w:val="clear" w:color="auto" w:fill="E0F3EF" w:themeFill="accent1" w:themeFillTint="33"/>
            <w:noWrap/>
          </w:tcPr>
          <w:p w14:paraId="40DF98A6" w14:textId="1928905F" w:rsidR="003A0034" w:rsidRPr="00CA5021" w:rsidRDefault="00366BB2" w:rsidP="00BB6E3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n/a</w:t>
            </w:r>
          </w:p>
        </w:tc>
        <w:tc>
          <w:tcPr>
            <w:tcW w:w="993" w:type="dxa"/>
            <w:tcBorders>
              <w:top w:val="nil"/>
              <w:left w:val="single" w:sz="4" w:space="0" w:color="65C5B4" w:themeColor="accent1"/>
            </w:tcBorders>
            <w:shd w:val="clear" w:color="auto" w:fill="E0F3EF" w:themeFill="accent1" w:themeFillTint="33"/>
            <w:noWrap/>
          </w:tcPr>
          <w:p w14:paraId="5CEFEB79" w14:textId="4B0CC672" w:rsidR="003A0034" w:rsidRPr="00CA5021" w:rsidRDefault="00366BB2" w:rsidP="00BB6E3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n/a</w:t>
            </w:r>
          </w:p>
        </w:tc>
      </w:tr>
      <w:tr w:rsidR="0010441E" w:rsidRPr="00AF18F4" w14:paraId="2E4EC7F7" w14:textId="77777777" w:rsidTr="0039639E">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098" w:type="dxa"/>
            <w:tcBorders>
              <w:bottom w:val="nil"/>
              <w:right w:val="single" w:sz="4" w:space="0" w:color="65C5B4" w:themeColor="accent1"/>
            </w:tcBorders>
            <w:shd w:val="clear" w:color="auto" w:fill="F2F2F2" w:themeFill="background1" w:themeFillShade="F2"/>
            <w:noWrap/>
            <w:vAlign w:val="bottom"/>
            <w:hideMark/>
          </w:tcPr>
          <w:p w14:paraId="035B0733" w14:textId="6583809D" w:rsidR="0072779A" w:rsidRPr="00CA5021" w:rsidRDefault="0072779A" w:rsidP="00BB6E32">
            <w:pPr>
              <w:suppressAutoHyphens w:val="0"/>
              <w:spacing w:before="0" w:after="0" w:line="240" w:lineRule="auto"/>
              <w:rPr>
                <w:rFonts w:asciiTheme="minorHAnsi" w:eastAsia="Times New Roman" w:hAnsiTheme="minorHAnsi" w:cstheme="minorHAnsi"/>
                <w:b/>
                <w:bCs/>
                <w:color w:val="404040"/>
                <w:sz w:val="20"/>
                <w:szCs w:val="20"/>
                <w:lang w:val="en-AU" w:eastAsia="en-AU"/>
              </w:rPr>
            </w:pPr>
            <w:proofErr w:type="spellStart"/>
            <w:r>
              <w:rPr>
                <w:rFonts w:asciiTheme="minorHAnsi" w:eastAsia="Times New Roman" w:hAnsiTheme="minorHAnsi" w:cstheme="minorHAnsi"/>
                <w:b/>
                <w:bCs/>
                <w:color w:val="404040"/>
                <w:sz w:val="20"/>
                <w:szCs w:val="20"/>
                <w:lang w:eastAsia="en-AU"/>
              </w:rPr>
              <w:t>Strongim</w:t>
            </w:r>
            <w:proofErr w:type="spellEnd"/>
            <w:r>
              <w:rPr>
                <w:rFonts w:asciiTheme="minorHAnsi" w:eastAsia="Times New Roman" w:hAnsiTheme="minorHAnsi" w:cstheme="minorHAnsi"/>
                <w:b/>
                <w:bCs/>
                <w:color w:val="404040"/>
                <w:sz w:val="20"/>
                <w:szCs w:val="20"/>
                <w:lang w:eastAsia="en-AU"/>
              </w:rPr>
              <w:t xml:space="preserve"> </w:t>
            </w:r>
            <w:proofErr w:type="spellStart"/>
            <w:r>
              <w:rPr>
                <w:rFonts w:asciiTheme="minorHAnsi" w:eastAsia="Times New Roman" w:hAnsiTheme="minorHAnsi" w:cstheme="minorHAnsi"/>
                <w:b/>
                <w:bCs/>
                <w:color w:val="404040"/>
                <w:sz w:val="20"/>
                <w:szCs w:val="20"/>
                <w:lang w:eastAsia="en-AU"/>
              </w:rPr>
              <w:t>Bisnis</w:t>
            </w:r>
            <w:proofErr w:type="spellEnd"/>
          </w:p>
        </w:tc>
        <w:tc>
          <w:tcPr>
            <w:tcW w:w="1276" w:type="dxa"/>
            <w:tcBorders>
              <w:left w:val="single" w:sz="4" w:space="0" w:color="65C5B4" w:themeColor="accent1"/>
              <w:bottom w:val="nil"/>
              <w:right w:val="single" w:sz="4" w:space="0" w:color="65C5B4" w:themeColor="accent1"/>
            </w:tcBorders>
            <w:shd w:val="clear" w:color="auto" w:fill="F2F2F2" w:themeFill="background1" w:themeFillShade="F2"/>
            <w:hideMark/>
          </w:tcPr>
          <w:p w14:paraId="562FD8BD" w14:textId="77777777" w:rsidR="0072779A" w:rsidRPr="00CA5021" w:rsidRDefault="0072779A" w:rsidP="00BB6E3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val="en-AU" w:eastAsia="en-AU"/>
              </w:rPr>
              <w:t>202</w:t>
            </w:r>
            <w:r>
              <w:rPr>
                <w:rFonts w:asciiTheme="minorHAnsi" w:eastAsia="Times New Roman" w:hAnsiTheme="minorHAnsi" w:cstheme="minorHAnsi"/>
                <w:color w:val="000000"/>
                <w:sz w:val="20"/>
                <w:szCs w:val="20"/>
                <w:lang w:val="en-AU" w:eastAsia="en-AU"/>
              </w:rPr>
              <w:t>2</w:t>
            </w:r>
          </w:p>
        </w:tc>
        <w:tc>
          <w:tcPr>
            <w:tcW w:w="1418" w:type="dxa"/>
            <w:tcBorders>
              <w:left w:val="single" w:sz="4" w:space="0" w:color="65C5B4" w:themeColor="accent1"/>
              <w:bottom w:val="nil"/>
              <w:right w:val="single" w:sz="4" w:space="0" w:color="65C5B4" w:themeColor="accent1"/>
            </w:tcBorders>
            <w:shd w:val="clear" w:color="auto" w:fill="F2F2F2" w:themeFill="background1" w:themeFillShade="F2"/>
            <w:noWrap/>
          </w:tcPr>
          <w:p w14:paraId="049AA0C2" w14:textId="7A852BC5" w:rsidR="0072779A" w:rsidRPr="00CA5021" w:rsidRDefault="00037B1F" w:rsidP="00BB6E3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5</w:t>
            </w:r>
          </w:p>
        </w:tc>
        <w:tc>
          <w:tcPr>
            <w:tcW w:w="1842" w:type="dxa"/>
            <w:tcBorders>
              <w:left w:val="single" w:sz="4" w:space="0" w:color="65C5B4" w:themeColor="accent1"/>
              <w:bottom w:val="nil"/>
              <w:right w:val="single" w:sz="4" w:space="0" w:color="65C5B4" w:themeColor="accent1"/>
            </w:tcBorders>
            <w:shd w:val="clear" w:color="auto" w:fill="F2F2F2" w:themeFill="background1" w:themeFillShade="F2"/>
            <w:noWrap/>
          </w:tcPr>
          <w:p w14:paraId="3B15DAA4" w14:textId="61ED1D6D" w:rsidR="0072779A" w:rsidRPr="00CA5021" w:rsidRDefault="00037B1F" w:rsidP="00BB6E3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5</w:t>
            </w:r>
          </w:p>
        </w:tc>
        <w:tc>
          <w:tcPr>
            <w:tcW w:w="993" w:type="dxa"/>
            <w:tcBorders>
              <w:left w:val="single" w:sz="4" w:space="0" w:color="65C5B4" w:themeColor="accent1"/>
              <w:bottom w:val="nil"/>
            </w:tcBorders>
            <w:shd w:val="clear" w:color="auto" w:fill="F2F2F2" w:themeFill="background1" w:themeFillShade="F2"/>
            <w:noWrap/>
          </w:tcPr>
          <w:p w14:paraId="507186D7" w14:textId="608EB7FC" w:rsidR="0072779A" w:rsidRPr="00CA5021" w:rsidRDefault="00037B1F" w:rsidP="00BB6E3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5</w:t>
            </w:r>
          </w:p>
        </w:tc>
      </w:tr>
      <w:tr w:rsidR="0010441E" w:rsidRPr="00AF18F4" w14:paraId="2FDEB768" w14:textId="77777777" w:rsidTr="0039639E">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098" w:type="dxa"/>
            <w:tcBorders>
              <w:top w:val="nil"/>
              <w:right w:val="single" w:sz="4" w:space="0" w:color="65C5B4" w:themeColor="accent1"/>
            </w:tcBorders>
            <w:shd w:val="clear" w:color="auto" w:fill="F2F2F2" w:themeFill="background1" w:themeFillShade="F2"/>
            <w:hideMark/>
          </w:tcPr>
          <w:p w14:paraId="1F5A0AC0" w14:textId="53DE5A3A" w:rsidR="0072779A" w:rsidRPr="00CA5021" w:rsidRDefault="0072779A" w:rsidP="00BB6E32">
            <w:pPr>
              <w:suppressAutoHyphens w:val="0"/>
              <w:spacing w:before="0" w:after="0" w:line="240" w:lineRule="auto"/>
              <w:ind w:firstLineChars="100" w:firstLine="200"/>
              <w:rPr>
                <w:rFonts w:asciiTheme="minorHAnsi" w:eastAsia="Times New Roman" w:hAnsiTheme="minorHAnsi" w:cstheme="minorHAnsi"/>
                <w:color w:val="404040"/>
                <w:sz w:val="20"/>
                <w:szCs w:val="20"/>
                <w:lang w:val="en-AU" w:eastAsia="en-AU"/>
              </w:rPr>
            </w:pPr>
            <w:r>
              <w:rPr>
                <w:rFonts w:asciiTheme="minorHAnsi" w:eastAsia="Times New Roman" w:hAnsiTheme="minorHAnsi" w:cstheme="minorHAnsi"/>
                <w:color w:val="404040"/>
                <w:sz w:val="20"/>
                <w:szCs w:val="20"/>
                <w:lang w:val="en-AU" w:eastAsia="en-AU"/>
              </w:rPr>
              <w:t>Investment d</w:t>
            </w:r>
            <w:r w:rsidRPr="00CA5021">
              <w:rPr>
                <w:rFonts w:asciiTheme="minorHAnsi" w:eastAsia="Times New Roman" w:hAnsiTheme="minorHAnsi" w:cstheme="minorHAnsi"/>
                <w:color w:val="404040"/>
                <w:sz w:val="20"/>
                <w:szCs w:val="20"/>
                <w:lang w:val="en-AU" w:eastAsia="en-AU"/>
              </w:rPr>
              <w:t>uration: 20</w:t>
            </w:r>
            <w:r>
              <w:rPr>
                <w:rFonts w:asciiTheme="minorHAnsi" w:eastAsia="Times New Roman" w:hAnsiTheme="minorHAnsi" w:cstheme="minorHAnsi"/>
                <w:color w:val="404040"/>
                <w:sz w:val="20"/>
                <w:szCs w:val="20"/>
                <w:lang w:val="en-AU" w:eastAsia="en-AU"/>
              </w:rPr>
              <w:t>20-23</w:t>
            </w:r>
            <w:r w:rsidRPr="00CA5021">
              <w:rPr>
                <w:rFonts w:asciiTheme="minorHAnsi" w:eastAsia="Times New Roman" w:hAnsiTheme="minorHAnsi" w:cstheme="minorHAnsi"/>
                <w:color w:val="404040"/>
                <w:sz w:val="20"/>
                <w:szCs w:val="20"/>
                <w:lang w:val="en-AU" w:eastAsia="en-AU"/>
              </w:rPr>
              <w:t>; Budget: $</w:t>
            </w:r>
            <w:r>
              <w:rPr>
                <w:rFonts w:asciiTheme="minorHAnsi" w:eastAsia="Times New Roman" w:hAnsiTheme="minorHAnsi" w:cstheme="minorHAnsi"/>
                <w:color w:val="404040"/>
                <w:sz w:val="20"/>
                <w:szCs w:val="20"/>
                <w:lang w:val="en-AU" w:eastAsia="en-AU"/>
              </w:rPr>
              <w:t>1</w:t>
            </w:r>
            <w:r w:rsidR="00037B1F">
              <w:rPr>
                <w:rFonts w:asciiTheme="minorHAnsi" w:eastAsia="Times New Roman" w:hAnsiTheme="minorHAnsi" w:cstheme="minorHAnsi"/>
                <w:color w:val="404040"/>
                <w:sz w:val="20"/>
                <w:szCs w:val="20"/>
                <w:lang w:val="en-AU" w:eastAsia="en-AU"/>
              </w:rPr>
              <w:t>8.0</w:t>
            </w:r>
            <w:r w:rsidRPr="00CA5021">
              <w:rPr>
                <w:rFonts w:asciiTheme="minorHAnsi" w:eastAsia="Times New Roman" w:hAnsiTheme="minorHAnsi" w:cstheme="minorHAnsi"/>
                <w:color w:val="404040"/>
                <w:sz w:val="20"/>
                <w:szCs w:val="20"/>
                <w:lang w:val="en-AU" w:eastAsia="en-AU"/>
              </w:rPr>
              <w:t xml:space="preserve">m </w:t>
            </w:r>
          </w:p>
        </w:tc>
        <w:tc>
          <w:tcPr>
            <w:tcW w:w="1276" w:type="dxa"/>
            <w:tcBorders>
              <w:top w:val="nil"/>
              <w:left w:val="single" w:sz="4" w:space="0" w:color="65C5B4" w:themeColor="accent1"/>
              <w:right w:val="single" w:sz="4" w:space="0" w:color="65C5B4" w:themeColor="accent1"/>
            </w:tcBorders>
            <w:shd w:val="clear" w:color="auto" w:fill="F2F2F2" w:themeFill="background1" w:themeFillShade="F2"/>
            <w:hideMark/>
          </w:tcPr>
          <w:p w14:paraId="5C5B2E2E" w14:textId="77777777" w:rsidR="0072779A" w:rsidRPr="00CA5021" w:rsidRDefault="0072779A" w:rsidP="00BB6E3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val="en-AU" w:eastAsia="en-AU"/>
              </w:rPr>
              <w:t>202</w:t>
            </w:r>
            <w:r>
              <w:rPr>
                <w:rFonts w:asciiTheme="minorHAnsi" w:eastAsia="Times New Roman" w:hAnsiTheme="minorHAnsi" w:cstheme="minorHAnsi"/>
                <w:color w:val="000000"/>
                <w:sz w:val="20"/>
                <w:szCs w:val="20"/>
                <w:lang w:val="en-AU" w:eastAsia="en-AU"/>
              </w:rPr>
              <w:t>1</w:t>
            </w:r>
          </w:p>
        </w:tc>
        <w:tc>
          <w:tcPr>
            <w:tcW w:w="1418" w:type="dxa"/>
            <w:tcBorders>
              <w:top w:val="nil"/>
              <w:left w:val="single" w:sz="4" w:space="0" w:color="65C5B4" w:themeColor="accent1"/>
              <w:right w:val="single" w:sz="4" w:space="0" w:color="65C5B4" w:themeColor="accent1"/>
            </w:tcBorders>
            <w:shd w:val="clear" w:color="auto" w:fill="F2F2F2" w:themeFill="background1" w:themeFillShade="F2"/>
            <w:noWrap/>
          </w:tcPr>
          <w:p w14:paraId="31079106" w14:textId="61CFD2D7" w:rsidR="0072779A" w:rsidRPr="00CA5021" w:rsidRDefault="0072779A" w:rsidP="00BB6E3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c>
          <w:tcPr>
            <w:tcW w:w="1842" w:type="dxa"/>
            <w:tcBorders>
              <w:top w:val="nil"/>
              <w:left w:val="single" w:sz="4" w:space="0" w:color="65C5B4" w:themeColor="accent1"/>
              <w:right w:val="single" w:sz="4" w:space="0" w:color="65C5B4" w:themeColor="accent1"/>
            </w:tcBorders>
            <w:shd w:val="clear" w:color="auto" w:fill="F2F2F2" w:themeFill="background1" w:themeFillShade="F2"/>
            <w:noWrap/>
          </w:tcPr>
          <w:p w14:paraId="0A5365C1" w14:textId="7CD86455" w:rsidR="0072779A" w:rsidRPr="00CA5021" w:rsidRDefault="0072779A" w:rsidP="00BB6E3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c>
          <w:tcPr>
            <w:tcW w:w="993" w:type="dxa"/>
            <w:tcBorders>
              <w:top w:val="nil"/>
              <w:left w:val="single" w:sz="4" w:space="0" w:color="65C5B4" w:themeColor="accent1"/>
            </w:tcBorders>
            <w:shd w:val="clear" w:color="auto" w:fill="F2F2F2" w:themeFill="background1" w:themeFillShade="F2"/>
            <w:noWrap/>
          </w:tcPr>
          <w:p w14:paraId="3C735709" w14:textId="148E161B" w:rsidR="0072779A" w:rsidRPr="00CA5021" w:rsidRDefault="0072779A" w:rsidP="00BB6E3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5</w:t>
            </w:r>
          </w:p>
        </w:tc>
      </w:tr>
      <w:tr w:rsidR="0010441E" w:rsidRPr="00CA5021" w14:paraId="1C78FC59" w14:textId="77777777" w:rsidTr="0039639E">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098" w:type="dxa"/>
            <w:tcBorders>
              <w:bottom w:val="nil"/>
              <w:right w:val="single" w:sz="4" w:space="0" w:color="65C5B4" w:themeColor="accent1"/>
            </w:tcBorders>
            <w:shd w:val="clear" w:color="auto" w:fill="E0F3EF" w:themeFill="accent1" w:themeFillTint="33"/>
            <w:noWrap/>
            <w:vAlign w:val="bottom"/>
            <w:hideMark/>
          </w:tcPr>
          <w:p w14:paraId="202F2224" w14:textId="50767AEC" w:rsidR="00342381" w:rsidRPr="00CA5021" w:rsidRDefault="00B714AB" w:rsidP="00BB6E32">
            <w:pPr>
              <w:suppressAutoHyphens w:val="0"/>
              <w:spacing w:before="0" w:after="0" w:line="240" w:lineRule="auto"/>
              <w:rPr>
                <w:rFonts w:asciiTheme="minorHAnsi" w:eastAsia="Times New Roman" w:hAnsiTheme="minorHAnsi" w:cstheme="minorHAnsi"/>
                <w:b/>
                <w:bCs/>
                <w:color w:val="404040"/>
                <w:sz w:val="20"/>
                <w:szCs w:val="20"/>
                <w:lang w:val="en-AU" w:eastAsia="en-AU"/>
              </w:rPr>
            </w:pPr>
            <w:r>
              <w:rPr>
                <w:rFonts w:asciiTheme="minorHAnsi" w:eastAsia="Times New Roman" w:hAnsiTheme="minorHAnsi" w:cstheme="minorHAnsi"/>
                <w:b/>
                <w:bCs/>
                <w:color w:val="404040"/>
                <w:sz w:val="20"/>
                <w:szCs w:val="20"/>
                <w:lang w:eastAsia="en-AU"/>
              </w:rPr>
              <w:t>Australia’s Solomon Islands Resource Fac</w:t>
            </w:r>
            <w:r w:rsidR="00FD7BF9">
              <w:rPr>
                <w:rFonts w:asciiTheme="minorHAnsi" w:eastAsia="Times New Roman" w:hAnsiTheme="minorHAnsi" w:cstheme="minorHAnsi"/>
                <w:b/>
                <w:bCs/>
                <w:color w:val="404040"/>
                <w:sz w:val="20"/>
                <w:szCs w:val="20"/>
                <w:lang w:eastAsia="en-AU"/>
              </w:rPr>
              <w:t>ility</w:t>
            </w:r>
          </w:p>
        </w:tc>
        <w:tc>
          <w:tcPr>
            <w:tcW w:w="1276" w:type="dxa"/>
            <w:tcBorders>
              <w:left w:val="single" w:sz="4" w:space="0" w:color="65C5B4" w:themeColor="accent1"/>
              <w:bottom w:val="nil"/>
              <w:right w:val="single" w:sz="4" w:space="0" w:color="65C5B4" w:themeColor="accent1"/>
            </w:tcBorders>
            <w:shd w:val="clear" w:color="auto" w:fill="E0F3EF" w:themeFill="accent1" w:themeFillTint="33"/>
            <w:hideMark/>
          </w:tcPr>
          <w:p w14:paraId="4B3D922C" w14:textId="77777777" w:rsidR="00342381" w:rsidRPr="00CA5021" w:rsidRDefault="00342381" w:rsidP="00BB6E3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val="en-AU" w:eastAsia="en-AU"/>
              </w:rPr>
              <w:t>202</w:t>
            </w:r>
            <w:r>
              <w:rPr>
                <w:rFonts w:asciiTheme="minorHAnsi" w:eastAsia="Times New Roman" w:hAnsiTheme="minorHAnsi" w:cstheme="minorHAnsi"/>
                <w:color w:val="000000"/>
                <w:sz w:val="20"/>
                <w:szCs w:val="20"/>
                <w:lang w:val="en-AU" w:eastAsia="en-AU"/>
              </w:rPr>
              <w:t>2</w:t>
            </w:r>
          </w:p>
        </w:tc>
        <w:tc>
          <w:tcPr>
            <w:tcW w:w="1418" w:type="dxa"/>
            <w:tcBorders>
              <w:left w:val="single" w:sz="4" w:space="0" w:color="65C5B4" w:themeColor="accent1"/>
              <w:bottom w:val="nil"/>
              <w:right w:val="single" w:sz="4" w:space="0" w:color="65C5B4" w:themeColor="accent1"/>
            </w:tcBorders>
            <w:shd w:val="clear" w:color="auto" w:fill="E0F3EF" w:themeFill="accent1" w:themeFillTint="33"/>
            <w:noWrap/>
          </w:tcPr>
          <w:p w14:paraId="141D8CAF" w14:textId="59F6BA6A" w:rsidR="00342381" w:rsidRPr="00CA5021" w:rsidRDefault="00961F7B" w:rsidP="00BB6E3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c>
          <w:tcPr>
            <w:tcW w:w="1842" w:type="dxa"/>
            <w:tcBorders>
              <w:left w:val="single" w:sz="4" w:space="0" w:color="65C5B4" w:themeColor="accent1"/>
              <w:bottom w:val="nil"/>
              <w:right w:val="single" w:sz="4" w:space="0" w:color="65C5B4" w:themeColor="accent1"/>
            </w:tcBorders>
            <w:shd w:val="clear" w:color="auto" w:fill="E0F3EF" w:themeFill="accent1" w:themeFillTint="33"/>
            <w:noWrap/>
          </w:tcPr>
          <w:p w14:paraId="4CAAE23A" w14:textId="695A62CD" w:rsidR="00342381" w:rsidRPr="00CA5021" w:rsidRDefault="00961F7B" w:rsidP="00BB6E3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c>
          <w:tcPr>
            <w:tcW w:w="993" w:type="dxa"/>
            <w:tcBorders>
              <w:left w:val="single" w:sz="4" w:space="0" w:color="65C5B4" w:themeColor="accent1"/>
              <w:bottom w:val="nil"/>
            </w:tcBorders>
            <w:shd w:val="clear" w:color="auto" w:fill="E0F3EF" w:themeFill="accent1" w:themeFillTint="33"/>
            <w:noWrap/>
          </w:tcPr>
          <w:p w14:paraId="52B59DF1" w14:textId="4B8D3AB3" w:rsidR="00342381" w:rsidRPr="00CA5021" w:rsidRDefault="00961F7B" w:rsidP="00BB6E3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r>
      <w:tr w:rsidR="0010441E" w:rsidRPr="00CA5021" w14:paraId="34FB41F8" w14:textId="77777777" w:rsidTr="0039639E">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098" w:type="dxa"/>
            <w:tcBorders>
              <w:top w:val="nil"/>
              <w:right w:val="single" w:sz="4" w:space="0" w:color="65C5B4" w:themeColor="accent1"/>
            </w:tcBorders>
            <w:shd w:val="clear" w:color="auto" w:fill="E0F3EF" w:themeFill="accent1" w:themeFillTint="33"/>
            <w:hideMark/>
          </w:tcPr>
          <w:p w14:paraId="687594FB" w14:textId="21E0C8B2" w:rsidR="00342381" w:rsidRPr="00CA5021" w:rsidRDefault="00342381" w:rsidP="00BB6E32">
            <w:pPr>
              <w:suppressAutoHyphens w:val="0"/>
              <w:spacing w:before="0" w:after="0" w:line="240" w:lineRule="auto"/>
              <w:ind w:firstLineChars="100" w:firstLine="200"/>
              <w:rPr>
                <w:rFonts w:asciiTheme="minorHAnsi" w:eastAsia="Times New Roman" w:hAnsiTheme="minorHAnsi" w:cstheme="minorHAnsi"/>
                <w:color w:val="404040"/>
                <w:sz w:val="20"/>
                <w:szCs w:val="20"/>
                <w:lang w:val="en-AU" w:eastAsia="en-AU"/>
              </w:rPr>
            </w:pPr>
            <w:r>
              <w:rPr>
                <w:rFonts w:asciiTheme="minorHAnsi" w:eastAsia="Times New Roman" w:hAnsiTheme="minorHAnsi" w:cstheme="minorHAnsi"/>
                <w:color w:val="404040"/>
                <w:sz w:val="20"/>
                <w:szCs w:val="20"/>
                <w:lang w:val="en-AU" w:eastAsia="en-AU"/>
              </w:rPr>
              <w:t>Investment d</w:t>
            </w:r>
            <w:r w:rsidRPr="00CA5021">
              <w:rPr>
                <w:rFonts w:asciiTheme="minorHAnsi" w:eastAsia="Times New Roman" w:hAnsiTheme="minorHAnsi" w:cstheme="minorHAnsi"/>
                <w:color w:val="404040"/>
                <w:sz w:val="20"/>
                <w:szCs w:val="20"/>
                <w:lang w:val="en-AU" w:eastAsia="en-AU"/>
              </w:rPr>
              <w:t>uration: 20</w:t>
            </w:r>
            <w:r w:rsidR="00B714AB">
              <w:rPr>
                <w:rFonts w:asciiTheme="minorHAnsi" w:eastAsia="Times New Roman" w:hAnsiTheme="minorHAnsi" w:cstheme="minorHAnsi"/>
                <w:color w:val="404040"/>
                <w:sz w:val="20"/>
                <w:szCs w:val="20"/>
                <w:lang w:val="en-AU" w:eastAsia="en-AU"/>
              </w:rPr>
              <w:t>20</w:t>
            </w:r>
            <w:r>
              <w:rPr>
                <w:rFonts w:asciiTheme="minorHAnsi" w:eastAsia="Times New Roman" w:hAnsiTheme="minorHAnsi" w:cstheme="minorHAnsi"/>
                <w:color w:val="404040"/>
                <w:sz w:val="20"/>
                <w:szCs w:val="20"/>
                <w:lang w:val="en-AU" w:eastAsia="en-AU"/>
              </w:rPr>
              <w:t>-</w:t>
            </w:r>
            <w:r w:rsidR="00D448A7">
              <w:rPr>
                <w:rFonts w:asciiTheme="minorHAnsi" w:eastAsia="Times New Roman" w:hAnsiTheme="minorHAnsi" w:cstheme="minorHAnsi"/>
                <w:color w:val="404040"/>
                <w:sz w:val="20"/>
                <w:szCs w:val="20"/>
                <w:lang w:val="en-AU" w:eastAsia="en-AU"/>
              </w:rPr>
              <w:t>25</w:t>
            </w:r>
            <w:r w:rsidR="00D448A7" w:rsidRPr="00CA5021">
              <w:rPr>
                <w:rFonts w:asciiTheme="minorHAnsi" w:eastAsia="Times New Roman" w:hAnsiTheme="minorHAnsi" w:cstheme="minorHAnsi"/>
                <w:color w:val="404040"/>
                <w:sz w:val="20"/>
                <w:szCs w:val="20"/>
                <w:lang w:val="en-AU" w:eastAsia="en-AU"/>
              </w:rPr>
              <w:t>; Budget</w:t>
            </w:r>
            <w:r w:rsidRPr="00CA5021">
              <w:rPr>
                <w:rFonts w:asciiTheme="minorHAnsi" w:eastAsia="Times New Roman" w:hAnsiTheme="minorHAnsi" w:cstheme="minorHAnsi"/>
                <w:color w:val="404040"/>
                <w:sz w:val="20"/>
                <w:szCs w:val="20"/>
                <w:lang w:val="en-AU" w:eastAsia="en-AU"/>
              </w:rPr>
              <w:t>: $</w:t>
            </w:r>
            <w:r w:rsidR="00961F7B">
              <w:rPr>
                <w:rFonts w:asciiTheme="minorHAnsi" w:eastAsia="Times New Roman" w:hAnsiTheme="minorHAnsi" w:cstheme="minorHAnsi"/>
                <w:color w:val="404040"/>
                <w:sz w:val="20"/>
                <w:szCs w:val="20"/>
                <w:lang w:val="en-AU" w:eastAsia="en-AU"/>
              </w:rPr>
              <w:t>14.0</w:t>
            </w:r>
            <w:r w:rsidRPr="00CA5021">
              <w:rPr>
                <w:rFonts w:asciiTheme="minorHAnsi" w:eastAsia="Times New Roman" w:hAnsiTheme="minorHAnsi" w:cstheme="minorHAnsi"/>
                <w:color w:val="404040"/>
                <w:sz w:val="20"/>
                <w:szCs w:val="20"/>
                <w:lang w:val="en-AU" w:eastAsia="en-AU"/>
              </w:rPr>
              <w:t xml:space="preserve">m </w:t>
            </w:r>
          </w:p>
        </w:tc>
        <w:tc>
          <w:tcPr>
            <w:tcW w:w="1276" w:type="dxa"/>
            <w:tcBorders>
              <w:top w:val="nil"/>
              <w:left w:val="single" w:sz="4" w:space="0" w:color="65C5B4" w:themeColor="accent1"/>
              <w:right w:val="single" w:sz="4" w:space="0" w:color="65C5B4" w:themeColor="accent1"/>
            </w:tcBorders>
            <w:shd w:val="clear" w:color="auto" w:fill="E0F3EF" w:themeFill="accent1" w:themeFillTint="33"/>
            <w:hideMark/>
          </w:tcPr>
          <w:p w14:paraId="01E1594C" w14:textId="77777777" w:rsidR="00342381" w:rsidRPr="00CA5021" w:rsidRDefault="00342381" w:rsidP="00BB6E3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val="en-AU" w:eastAsia="en-AU"/>
              </w:rPr>
              <w:t>202</w:t>
            </w:r>
            <w:r>
              <w:rPr>
                <w:rFonts w:asciiTheme="minorHAnsi" w:eastAsia="Times New Roman" w:hAnsiTheme="minorHAnsi" w:cstheme="minorHAnsi"/>
                <w:color w:val="000000"/>
                <w:sz w:val="20"/>
                <w:szCs w:val="20"/>
                <w:lang w:val="en-AU" w:eastAsia="en-AU"/>
              </w:rPr>
              <w:t>1</w:t>
            </w:r>
          </w:p>
        </w:tc>
        <w:tc>
          <w:tcPr>
            <w:tcW w:w="1418" w:type="dxa"/>
            <w:tcBorders>
              <w:top w:val="nil"/>
              <w:left w:val="single" w:sz="4" w:space="0" w:color="65C5B4" w:themeColor="accent1"/>
              <w:right w:val="single" w:sz="4" w:space="0" w:color="65C5B4" w:themeColor="accent1"/>
            </w:tcBorders>
            <w:shd w:val="clear" w:color="auto" w:fill="E0F3EF" w:themeFill="accent1" w:themeFillTint="33"/>
            <w:noWrap/>
          </w:tcPr>
          <w:p w14:paraId="3D2B729B" w14:textId="69631E9D" w:rsidR="00342381" w:rsidRPr="00CA5021" w:rsidRDefault="00D85563" w:rsidP="00BB6E3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n/a</w:t>
            </w:r>
          </w:p>
        </w:tc>
        <w:tc>
          <w:tcPr>
            <w:tcW w:w="1842" w:type="dxa"/>
            <w:tcBorders>
              <w:top w:val="nil"/>
              <w:left w:val="single" w:sz="4" w:space="0" w:color="65C5B4" w:themeColor="accent1"/>
              <w:right w:val="single" w:sz="4" w:space="0" w:color="65C5B4" w:themeColor="accent1"/>
            </w:tcBorders>
            <w:shd w:val="clear" w:color="auto" w:fill="E0F3EF" w:themeFill="accent1" w:themeFillTint="33"/>
            <w:noWrap/>
          </w:tcPr>
          <w:p w14:paraId="46D86E6A" w14:textId="34A027A2" w:rsidR="00342381" w:rsidRPr="00CA5021" w:rsidRDefault="00D85563" w:rsidP="00BB6E3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n/a</w:t>
            </w:r>
          </w:p>
        </w:tc>
        <w:tc>
          <w:tcPr>
            <w:tcW w:w="993" w:type="dxa"/>
            <w:tcBorders>
              <w:top w:val="nil"/>
              <w:left w:val="single" w:sz="4" w:space="0" w:color="65C5B4" w:themeColor="accent1"/>
            </w:tcBorders>
            <w:shd w:val="clear" w:color="auto" w:fill="E0F3EF" w:themeFill="accent1" w:themeFillTint="33"/>
            <w:noWrap/>
          </w:tcPr>
          <w:p w14:paraId="7810BBA3" w14:textId="798CE340" w:rsidR="00342381" w:rsidRPr="00CA5021" w:rsidRDefault="00D85563" w:rsidP="00BB6E3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n/a</w:t>
            </w:r>
          </w:p>
        </w:tc>
      </w:tr>
    </w:tbl>
    <w:p w14:paraId="7BBB7E78" w14:textId="1451A4CD" w:rsidR="00856EEF" w:rsidRPr="00856EEF" w:rsidRDefault="00936D1D" w:rsidP="009509E0">
      <w:pPr>
        <w:spacing w:before="240" w:after="0" w:line="240" w:lineRule="auto"/>
        <w:jc w:val="both"/>
        <w:rPr>
          <w:rFonts w:asciiTheme="majorHAnsi" w:eastAsiaTheme="majorEastAsia" w:hAnsiTheme="majorHAnsi" w:cstheme="majorBidi"/>
          <w:b/>
          <w:caps/>
          <w:szCs w:val="26"/>
        </w:rPr>
      </w:pPr>
      <w:r>
        <w:rPr>
          <w:rFonts w:asciiTheme="majorHAnsi" w:eastAsiaTheme="majorEastAsia" w:hAnsiTheme="majorHAnsi" w:cstheme="majorBidi"/>
          <w:b/>
          <w:caps/>
          <w:szCs w:val="26"/>
        </w:rPr>
        <w:t>FINAL I</w:t>
      </w:r>
      <w:r w:rsidR="00856EEF" w:rsidRPr="00856EEF">
        <w:rPr>
          <w:rFonts w:asciiTheme="majorHAnsi" w:eastAsiaTheme="majorEastAsia" w:hAnsiTheme="majorHAnsi" w:cstheme="majorBidi"/>
          <w:b/>
          <w:caps/>
          <w:szCs w:val="26"/>
        </w:rPr>
        <w:t>nvestment Performance ratings</w:t>
      </w:r>
    </w:p>
    <w:tbl>
      <w:tblPr>
        <w:tblStyle w:val="DFATTable1"/>
        <w:tblW w:w="10627"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ayout w:type="fixed"/>
        <w:tblLook w:val="04A0" w:firstRow="1" w:lastRow="0" w:firstColumn="1" w:lastColumn="0" w:noHBand="0" w:noVBand="1"/>
      </w:tblPr>
      <w:tblGrid>
        <w:gridCol w:w="5098"/>
        <w:gridCol w:w="1276"/>
        <w:gridCol w:w="1418"/>
        <w:gridCol w:w="1842"/>
        <w:gridCol w:w="993"/>
      </w:tblGrid>
      <w:tr w:rsidR="0010441E" w:rsidRPr="005736BB" w14:paraId="7BB9CD77" w14:textId="77777777" w:rsidTr="0039639E">
        <w:trPr>
          <w:cnfStyle w:val="100000000000" w:firstRow="1" w:lastRow="0" w:firstColumn="0" w:lastColumn="0" w:oddVBand="0" w:evenVBand="0" w:oddHBand="0" w:evenHBand="0" w:firstRowFirstColumn="0" w:firstRowLastColumn="0" w:lastRowFirstColumn="0" w:lastRowLastColumn="0"/>
          <w:trHeight w:hRule="exact" w:val="628"/>
          <w:tblHeader/>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tcBorders>
            <w:shd w:val="clear" w:color="auto" w:fill="A2DCD1" w:themeFill="accent1" w:themeFillTint="99"/>
            <w:noWrap/>
            <w:vAlign w:val="center"/>
            <w:hideMark/>
          </w:tcPr>
          <w:p w14:paraId="1FC677D2" w14:textId="77777777" w:rsidR="00856EEF" w:rsidRPr="005736BB" w:rsidRDefault="00856EEF" w:rsidP="00B77FA2">
            <w:pPr>
              <w:suppressAutoHyphens w:val="0"/>
              <w:spacing w:before="0" w:after="0" w:line="240" w:lineRule="auto"/>
              <w:jc w:val="center"/>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Investment Details</w:t>
            </w:r>
          </w:p>
        </w:tc>
        <w:tc>
          <w:tcPr>
            <w:tcW w:w="1276" w:type="dxa"/>
            <w:tcBorders>
              <w:top w:val="none" w:sz="0" w:space="0" w:color="auto"/>
            </w:tcBorders>
            <w:shd w:val="clear" w:color="auto" w:fill="A2DCD1" w:themeFill="accent1" w:themeFillTint="99"/>
            <w:noWrap/>
            <w:vAlign w:val="center"/>
            <w:hideMark/>
          </w:tcPr>
          <w:p w14:paraId="1BEF8869" w14:textId="77777777" w:rsidR="00856EEF" w:rsidRPr="005736BB" w:rsidRDefault="00856EEF" w:rsidP="00B77FA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Year</w:t>
            </w:r>
          </w:p>
        </w:tc>
        <w:tc>
          <w:tcPr>
            <w:tcW w:w="1418" w:type="dxa"/>
            <w:tcBorders>
              <w:top w:val="none" w:sz="0" w:space="0" w:color="auto"/>
            </w:tcBorders>
            <w:shd w:val="clear" w:color="auto" w:fill="A2DCD1" w:themeFill="accent1" w:themeFillTint="99"/>
            <w:noWrap/>
            <w:vAlign w:val="center"/>
            <w:hideMark/>
          </w:tcPr>
          <w:p w14:paraId="4F50E4CF" w14:textId="77777777" w:rsidR="00856EEF" w:rsidRPr="005736BB" w:rsidRDefault="00856EEF" w:rsidP="00B77FA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Effectiveness</w:t>
            </w:r>
          </w:p>
        </w:tc>
        <w:tc>
          <w:tcPr>
            <w:tcW w:w="1842" w:type="dxa"/>
            <w:tcBorders>
              <w:top w:val="none" w:sz="0" w:space="0" w:color="auto"/>
            </w:tcBorders>
            <w:shd w:val="clear" w:color="auto" w:fill="A2DCD1" w:themeFill="accent1" w:themeFillTint="99"/>
            <w:noWrap/>
            <w:vAlign w:val="center"/>
            <w:hideMark/>
          </w:tcPr>
          <w:p w14:paraId="6D66A9AB" w14:textId="77777777" w:rsidR="00856EEF" w:rsidRPr="005736BB" w:rsidRDefault="00856EEF" w:rsidP="00B77FA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Efficiency</w:t>
            </w:r>
          </w:p>
        </w:tc>
        <w:tc>
          <w:tcPr>
            <w:tcW w:w="993" w:type="dxa"/>
            <w:tcBorders>
              <w:top w:val="none" w:sz="0" w:space="0" w:color="auto"/>
            </w:tcBorders>
            <w:shd w:val="clear" w:color="auto" w:fill="A2DCD1" w:themeFill="accent1" w:themeFillTint="99"/>
            <w:noWrap/>
            <w:vAlign w:val="center"/>
            <w:hideMark/>
          </w:tcPr>
          <w:p w14:paraId="16880879" w14:textId="77777777" w:rsidR="00856EEF" w:rsidRPr="005736BB" w:rsidRDefault="00856EEF" w:rsidP="00B77FA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Gender Equality</w:t>
            </w:r>
          </w:p>
        </w:tc>
      </w:tr>
      <w:tr w:rsidR="0010441E" w:rsidRPr="00CA5021" w14:paraId="6CE73902" w14:textId="77777777" w:rsidTr="0039639E">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il"/>
            </w:tcBorders>
            <w:shd w:val="clear" w:color="auto" w:fill="F2F2F2" w:themeFill="background1" w:themeFillShade="F2"/>
            <w:vAlign w:val="bottom"/>
            <w:hideMark/>
          </w:tcPr>
          <w:p w14:paraId="220C4153" w14:textId="4B757DA2" w:rsidR="00856EEF" w:rsidRPr="00CA5021" w:rsidRDefault="005918CD" w:rsidP="00B77FA2">
            <w:pPr>
              <w:suppressAutoHyphens w:val="0"/>
              <w:spacing w:before="0" w:after="0" w:line="240" w:lineRule="auto"/>
              <w:rPr>
                <w:rFonts w:asciiTheme="minorHAnsi" w:eastAsia="Times New Roman" w:hAnsiTheme="minorHAnsi" w:cstheme="minorHAnsi"/>
                <w:b/>
                <w:bCs/>
                <w:color w:val="404040"/>
                <w:sz w:val="20"/>
                <w:szCs w:val="20"/>
                <w:lang w:val="en-AU" w:eastAsia="en-AU"/>
              </w:rPr>
            </w:pPr>
            <w:r>
              <w:rPr>
                <w:rFonts w:asciiTheme="minorHAnsi" w:eastAsia="Times New Roman" w:hAnsiTheme="minorHAnsi" w:cstheme="minorHAnsi"/>
                <w:b/>
                <w:bCs/>
                <w:color w:val="404040"/>
                <w:sz w:val="20"/>
                <w:szCs w:val="20"/>
                <w:lang w:eastAsia="en-AU"/>
              </w:rPr>
              <w:t xml:space="preserve">Solomon Islands </w:t>
            </w:r>
            <w:r w:rsidR="00C86AF0">
              <w:rPr>
                <w:rFonts w:asciiTheme="minorHAnsi" w:eastAsia="Times New Roman" w:hAnsiTheme="minorHAnsi" w:cstheme="minorHAnsi"/>
                <w:b/>
                <w:bCs/>
                <w:color w:val="404040"/>
                <w:sz w:val="20"/>
                <w:szCs w:val="20"/>
                <w:lang w:eastAsia="en-AU"/>
              </w:rPr>
              <w:t xml:space="preserve">Democratic Governance Phase </w:t>
            </w:r>
            <w:r w:rsidR="00FF6775">
              <w:rPr>
                <w:rFonts w:asciiTheme="minorHAnsi" w:eastAsia="Times New Roman" w:hAnsiTheme="minorHAnsi" w:cstheme="minorHAnsi"/>
                <w:b/>
                <w:bCs/>
                <w:color w:val="404040"/>
                <w:sz w:val="20"/>
                <w:szCs w:val="20"/>
                <w:lang w:eastAsia="en-AU"/>
              </w:rPr>
              <w:t>2</w:t>
            </w:r>
          </w:p>
        </w:tc>
        <w:tc>
          <w:tcPr>
            <w:tcW w:w="1276" w:type="dxa"/>
            <w:tcBorders>
              <w:top w:val="none" w:sz="0" w:space="0" w:color="auto"/>
              <w:bottom w:val="nil"/>
            </w:tcBorders>
            <w:shd w:val="clear" w:color="auto" w:fill="F2F2F2" w:themeFill="background1" w:themeFillShade="F2"/>
            <w:hideMark/>
          </w:tcPr>
          <w:p w14:paraId="4B32C0A1" w14:textId="275A7EA6" w:rsidR="00856EEF" w:rsidRPr="00CA5021" w:rsidRDefault="00856EEF" w:rsidP="00B77FA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eastAsia="en-AU"/>
              </w:rPr>
              <w:t>202</w:t>
            </w:r>
            <w:r>
              <w:rPr>
                <w:rFonts w:asciiTheme="minorHAnsi" w:eastAsia="Times New Roman" w:hAnsiTheme="minorHAnsi" w:cstheme="minorHAnsi"/>
                <w:color w:val="000000"/>
                <w:sz w:val="20"/>
                <w:szCs w:val="20"/>
                <w:lang w:eastAsia="en-AU"/>
              </w:rPr>
              <w:t>2</w:t>
            </w:r>
            <w:r w:rsidR="00E10061">
              <w:rPr>
                <w:rFonts w:asciiTheme="minorHAnsi" w:eastAsia="Times New Roman" w:hAnsiTheme="minorHAnsi" w:cstheme="minorHAnsi"/>
                <w:color w:val="000000"/>
                <w:sz w:val="20"/>
                <w:szCs w:val="20"/>
                <w:lang w:eastAsia="en-AU"/>
              </w:rPr>
              <w:t xml:space="preserve"> FIMR</w:t>
            </w:r>
          </w:p>
        </w:tc>
        <w:tc>
          <w:tcPr>
            <w:tcW w:w="1418" w:type="dxa"/>
            <w:tcBorders>
              <w:top w:val="none" w:sz="0" w:space="0" w:color="auto"/>
              <w:bottom w:val="nil"/>
            </w:tcBorders>
            <w:shd w:val="clear" w:color="auto" w:fill="F2F2F2" w:themeFill="background1" w:themeFillShade="F2"/>
            <w:noWrap/>
          </w:tcPr>
          <w:p w14:paraId="7514B228" w14:textId="2D509B10" w:rsidR="00856EEF" w:rsidRPr="00CA5021" w:rsidRDefault="00E10061" w:rsidP="00B77FA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c>
          <w:tcPr>
            <w:tcW w:w="1842" w:type="dxa"/>
            <w:tcBorders>
              <w:top w:val="none" w:sz="0" w:space="0" w:color="auto"/>
              <w:bottom w:val="nil"/>
            </w:tcBorders>
            <w:shd w:val="clear" w:color="auto" w:fill="F2F2F2" w:themeFill="background1" w:themeFillShade="F2"/>
            <w:noWrap/>
          </w:tcPr>
          <w:p w14:paraId="3603A849" w14:textId="5B7ACC11" w:rsidR="00856EEF" w:rsidRPr="00CA5021" w:rsidRDefault="0021661E" w:rsidP="00B77FA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3</w:t>
            </w:r>
          </w:p>
        </w:tc>
        <w:tc>
          <w:tcPr>
            <w:tcW w:w="993" w:type="dxa"/>
            <w:tcBorders>
              <w:top w:val="none" w:sz="0" w:space="0" w:color="auto"/>
              <w:bottom w:val="nil"/>
            </w:tcBorders>
            <w:shd w:val="clear" w:color="auto" w:fill="F2F2F2" w:themeFill="background1" w:themeFillShade="F2"/>
            <w:noWrap/>
          </w:tcPr>
          <w:p w14:paraId="455BC6D2" w14:textId="10F3A203" w:rsidR="00856EEF" w:rsidRPr="00CA5021" w:rsidRDefault="0021661E" w:rsidP="00B77FA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r>
      <w:tr w:rsidR="0010441E" w:rsidRPr="00CA5021" w14:paraId="2CE1F45E" w14:textId="77777777" w:rsidTr="0039639E">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098" w:type="dxa"/>
            <w:tcBorders>
              <w:top w:val="nil"/>
              <w:bottom w:val="none" w:sz="0" w:space="0" w:color="auto"/>
            </w:tcBorders>
            <w:shd w:val="clear" w:color="auto" w:fill="F2F2F2" w:themeFill="background1" w:themeFillShade="F2"/>
            <w:hideMark/>
          </w:tcPr>
          <w:p w14:paraId="7D82EFF1" w14:textId="6BD12BBD" w:rsidR="00856EEF" w:rsidRPr="00CA5021" w:rsidRDefault="00856EEF" w:rsidP="00B77FA2">
            <w:pPr>
              <w:suppressAutoHyphens w:val="0"/>
              <w:spacing w:before="0" w:after="0" w:line="240" w:lineRule="auto"/>
              <w:ind w:firstLineChars="100" w:firstLine="200"/>
              <w:rPr>
                <w:rFonts w:asciiTheme="minorHAnsi" w:eastAsia="Times New Roman" w:hAnsiTheme="minorHAnsi" w:cstheme="minorHAnsi"/>
                <w:color w:val="404040"/>
                <w:sz w:val="20"/>
                <w:szCs w:val="20"/>
                <w:lang w:val="en-AU" w:eastAsia="en-AU"/>
              </w:rPr>
            </w:pPr>
            <w:r>
              <w:rPr>
                <w:rFonts w:asciiTheme="minorHAnsi" w:eastAsia="Times New Roman" w:hAnsiTheme="minorHAnsi" w:cstheme="minorHAnsi"/>
                <w:color w:val="404040"/>
                <w:sz w:val="20"/>
                <w:szCs w:val="20"/>
                <w:lang w:val="en-AU" w:eastAsia="en-AU"/>
              </w:rPr>
              <w:t>Investment d</w:t>
            </w:r>
            <w:r w:rsidRPr="00CA5021">
              <w:rPr>
                <w:rFonts w:asciiTheme="minorHAnsi" w:eastAsia="Times New Roman" w:hAnsiTheme="minorHAnsi" w:cstheme="minorHAnsi"/>
                <w:color w:val="404040"/>
                <w:sz w:val="20"/>
                <w:szCs w:val="20"/>
                <w:lang w:val="en-AU" w:eastAsia="en-AU"/>
              </w:rPr>
              <w:t>uration:</w:t>
            </w:r>
            <w:r w:rsidR="00BF5267">
              <w:rPr>
                <w:rFonts w:asciiTheme="minorHAnsi" w:eastAsia="Times New Roman" w:hAnsiTheme="minorHAnsi" w:cstheme="minorHAnsi"/>
                <w:color w:val="404040"/>
                <w:sz w:val="20"/>
                <w:szCs w:val="20"/>
                <w:lang w:val="en-AU" w:eastAsia="en-AU"/>
              </w:rPr>
              <w:t xml:space="preserve"> 2</w:t>
            </w:r>
            <w:r w:rsidR="00743519">
              <w:rPr>
                <w:rFonts w:asciiTheme="minorHAnsi" w:eastAsia="Times New Roman" w:hAnsiTheme="minorHAnsi" w:cstheme="minorHAnsi"/>
                <w:color w:val="404040"/>
                <w:sz w:val="20"/>
                <w:szCs w:val="20"/>
                <w:lang w:val="en-AU" w:eastAsia="en-AU"/>
              </w:rPr>
              <w:t>0</w:t>
            </w:r>
            <w:r w:rsidR="00BF5267">
              <w:rPr>
                <w:rFonts w:asciiTheme="minorHAnsi" w:eastAsia="Times New Roman" w:hAnsiTheme="minorHAnsi" w:cstheme="minorHAnsi"/>
                <w:color w:val="404040"/>
                <w:sz w:val="20"/>
                <w:szCs w:val="20"/>
                <w:lang w:val="en-AU" w:eastAsia="en-AU"/>
              </w:rPr>
              <w:t>17-21</w:t>
            </w:r>
            <w:r w:rsidRPr="00163DB1">
              <w:rPr>
                <w:rFonts w:asciiTheme="minorHAnsi" w:eastAsia="Times New Roman" w:hAnsiTheme="minorHAnsi" w:cstheme="minorHAnsi"/>
                <w:color w:val="404040"/>
                <w:sz w:val="20"/>
                <w:szCs w:val="20"/>
                <w:lang w:val="en-AU" w:eastAsia="en-AU"/>
              </w:rPr>
              <w:t xml:space="preserve">; Budget: </w:t>
            </w:r>
            <w:r w:rsidR="00BF5267">
              <w:rPr>
                <w:rFonts w:asciiTheme="minorHAnsi" w:eastAsia="Times New Roman" w:hAnsiTheme="minorHAnsi" w:cstheme="minorHAnsi"/>
                <w:color w:val="404040"/>
                <w:sz w:val="20"/>
                <w:szCs w:val="20"/>
                <w:lang w:val="en-AU" w:eastAsia="en-AU"/>
              </w:rPr>
              <w:t>$14.6m</w:t>
            </w:r>
          </w:p>
        </w:tc>
        <w:tc>
          <w:tcPr>
            <w:tcW w:w="1276" w:type="dxa"/>
            <w:tcBorders>
              <w:top w:val="nil"/>
              <w:bottom w:val="none" w:sz="0" w:space="0" w:color="auto"/>
            </w:tcBorders>
            <w:shd w:val="clear" w:color="auto" w:fill="F2F2F2" w:themeFill="background1" w:themeFillShade="F2"/>
            <w:hideMark/>
          </w:tcPr>
          <w:p w14:paraId="233BF83F" w14:textId="38EB134F" w:rsidR="00856EEF" w:rsidRPr="00CA5021" w:rsidRDefault="00856EEF" w:rsidP="00B77FA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eastAsia="en-AU"/>
              </w:rPr>
              <w:t>202</w:t>
            </w:r>
            <w:r>
              <w:rPr>
                <w:rFonts w:asciiTheme="minorHAnsi" w:eastAsia="Times New Roman" w:hAnsiTheme="minorHAnsi" w:cstheme="minorHAnsi"/>
                <w:color w:val="000000"/>
                <w:sz w:val="20"/>
                <w:szCs w:val="20"/>
                <w:lang w:eastAsia="en-AU"/>
              </w:rPr>
              <w:t>1</w:t>
            </w:r>
            <w:r w:rsidR="00E10061">
              <w:rPr>
                <w:rFonts w:asciiTheme="minorHAnsi" w:eastAsia="Times New Roman" w:hAnsiTheme="minorHAnsi" w:cstheme="minorHAnsi"/>
                <w:color w:val="000000"/>
                <w:sz w:val="20"/>
                <w:szCs w:val="20"/>
                <w:lang w:eastAsia="en-AU"/>
              </w:rPr>
              <w:t xml:space="preserve"> IMR</w:t>
            </w:r>
          </w:p>
        </w:tc>
        <w:tc>
          <w:tcPr>
            <w:tcW w:w="1418" w:type="dxa"/>
            <w:tcBorders>
              <w:top w:val="nil"/>
              <w:bottom w:val="none" w:sz="0" w:space="0" w:color="auto"/>
            </w:tcBorders>
            <w:shd w:val="clear" w:color="auto" w:fill="F2F2F2" w:themeFill="background1" w:themeFillShade="F2"/>
            <w:noWrap/>
            <w:hideMark/>
          </w:tcPr>
          <w:p w14:paraId="4EAF60ED" w14:textId="255B4B29" w:rsidR="00856EEF" w:rsidRPr="00CA5021" w:rsidRDefault="008042CB" w:rsidP="00B77FA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5</w:t>
            </w:r>
          </w:p>
        </w:tc>
        <w:tc>
          <w:tcPr>
            <w:tcW w:w="1842" w:type="dxa"/>
            <w:tcBorders>
              <w:top w:val="nil"/>
              <w:bottom w:val="none" w:sz="0" w:space="0" w:color="auto"/>
            </w:tcBorders>
            <w:shd w:val="clear" w:color="auto" w:fill="F2F2F2" w:themeFill="background1" w:themeFillShade="F2"/>
            <w:noWrap/>
            <w:hideMark/>
          </w:tcPr>
          <w:p w14:paraId="39264E59" w14:textId="3A5F241C" w:rsidR="00856EEF" w:rsidRPr="00CA5021" w:rsidRDefault="008042CB" w:rsidP="00B77FA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5</w:t>
            </w:r>
          </w:p>
        </w:tc>
        <w:tc>
          <w:tcPr>
            <w:tcW w:w="993" w:type="dxa"/>
            <w:tcBorders>
              <w:top w:val="nil"/>
              <w:bottom w:val="none" w:sz="0" w:space="0" w:color="auto"/>
            </w:tcBorders>
            <w:shd w:val="clear" w:color="auto" w:fill="F2F2F2" w:themeFill="background1" w:themeFillShade="F2"/>
            <w:noWrap/>
            <w:hideMark/>
          </w:tcPr>
          <w:p w14:paraId="0D98758A" w14:textId="6EF91332" w:rsidR="00856EEF" w:rsidRPr="00CA5021" w:rsidRDefault="008042CB" w:rsidP="00B77FA2">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r>
    </w:tbl>
    <w:p w14:paraId="17600418" w14:textId="648EC6E8" w:rsidR="00681633" w:rsidRDefault="00681633" w:rsidP="009509E0">
      <w:pPr>
        <w:spacing w:before="240" w:after="0" w:line="240" w:lineRule="auto"/>
        <w:jc w:val="both"/>
        <w:rPr>
          <w:rFonts w:eastAsia="Times New Roman"/>
          <w:sz w:val="17"/>
          <w:szCs w:val="17"/>
        </w:rPr>
      </w:pPr>
      <w:r w:rsidRPr="00A05FF5">
        <w:rPr>
          <w:rFonts w:eastAsia="Times New Roman"/>
          <w:b/>
          <w:sz w:val="17"/>
          <w:szCs w:val="17"/>
        </w:rPr>
        <w:t>Definitions of rating scale</w:t>
      </w:r>
      <w:r w:rsidRPr="00A05FF5">
        <w:rPr>
          <w:rFonts w:eastAsia="Times New Roman"/>
          <w:sz w:val="17"/>
          <w:szCs w:val="17"/>
        </w:rPr>
        <w:t>:</w:t>
      </w:r>
      <w:r w:rsidRPr="00A05FF5">
        <w:rPr>
          <w:rFonts w:eastAsia="Times New Roman"/>
          <w:sz w:val="17"/>
          <w:szCs w:val="17"/>
        </w:rPr>
        <w:tab/>
      </w:r>
    </w:p>
    <w:p w14:paraId="5989C7B0" w14:textId="77777777" w:rsidR="00681633" w:rsidRPr="00787267" w:rsidRDefault="00681633" w:rsidP="009509E0">
      <w:pPr>
        <w:spacing w:before="20" w:after="20" w:line="180" w:lineRule="atLeast"/>
        <w:jc w:val="both"/>
        <w:rPr>
          <w:rFonts w:eastAsia="Times New Roman"/>
          <w:sz w:val="17"/>
          <w:szCs w:val="17"/>
        </w:rPr>
      </w:pPr>
      <w:r w:rsidRPr="00787267">
        <w:rPr>
          <w:rFonts w:eastAsia="Times New Roman"/>
          <w:sz w:val="17"/>
          <w:szCs w:val="17"/>
          <w:u w:val="single"/>
        </w:rPr>
        <w:t>Satisfactory (4, 5 and 6)</w:t>
      </w:r>
    </w:p>
    <w:p w14:paraId="15BE82E8" w14:textId="77777777" w:rsidR="00681633" w:rsidRPr="00787267" w:rsidRDefault="00681633" w:rsidP="00BB6E32">
      <w:pPr>
        <w:spacing w:line="240" w:lineRule="auto"/>
        <w:rPr>
          <w:sz w:val="16"/>
          <w:szCs w:val="16"/>
        </w:rPr>
      </w:pPr>
      <w:r w:rsidRPr="00787267">
        <w:rPr>
          <w:sz w:val="16"/>
          <w:szCs w:val="16"/>
        </w:rPr>
        <w:t xml:space="preserve">6 = Very good; satisfies criteria in all areas. </w:t>
      </w:r>
      <w:r>
        <w:rPr>
          <w:sz w:val="16"/>
          <w:szCs w:val="16"/>
        </w:rPr>
        <w:br/>
      </w:r>
      <w:r w:rsidRPr="00787267">
        <w:rPr>
          <w:sz w:val="16"/>
          <w:szCs w:val="16"/>
        </w:rPr>
        <w:t>5 = Good; satisfies criteria in almost all areas.</w:t>
      </w:r>
      <w:r>
        <w:rPr>
          <w:sz w:val="16"/>
          <w:szCs w:val="16"/>
        </w:rPr>
        <w:br/>
      </w:r>
      <w:r w:rsidRPr="00787267">
        <w:rPr>
          <w:sz w:val="16"/>
          <w:szCs w:val="16"/>
        </w:rPr>
        <w:t>4 = Adequate; on balance, satisfies criteria; does not fail in any major area.</w:t>
      </w:r>
    </w:p>
    <w:p w14:paraId="48B0BB33" w14:textId="77777777" w:rsidR="00681633" w:rsidRPr="00787267" w:rsidRDefault="00681633" w:rsidP="00BB6E32">
      <w:pPr>
        <w:spacing w:line="240" w:lineRule="auto"/>
        <w:rPr>
          <w:sz w:val="16"/>
          <w:szCs w:val="16"/>
          <w:u w:val="single"/>
        </w:rPr>
      </w:pPr>
      <w:r w:rsidRPr="00787267">
        <w:rPr>
          <w:sz w:val="16"/>
          <w:szCs w:val="16"/>
          <w:u w:val="single"/>
        </w:rPr>
        <w:t>Less than satisfactory (1, 2 and 3)</w:t>
      </w:r>
    </w:p>
    <w:p w14:paraId="4DC45723" w14:textId="62D36230" w:rsidR="00681633" w:rsidRDefault="00681633" w:rsidP="00BB6E32">
      <w:pPr>
        <w:spacing w:before="0" w:after="0" w:line="240" w:lineRule="auto"/>
      </w:pPr>
      <w:r w:rsidRPr="00787267">
        <w:rPr>
          <w:sz w:val="16"/>
          <w:szCs w:val="16"/>
        </w:rPr>
        <w:t>3 = Less than adequate; on balance does not satisfy criteria and/or fails in at least one major area.</w:t>
      </w:r>
      <w:r>
        <w:rPr>
          <w:sz w:val="16"/>
          <w:szCs w:val="16"/>
        </w:rPr>
        <w:br/>
      </w:r>
      <w:r w:rsidRPr="00787267">
        <w:rPr>
          <w:sz w:val="16"/>
          <w:szCs w:val="16"/>
        </w:rPr>
        <w:t>2 = Poor; does not sa</w:t>
      </w:r>
      <w:r>
        <w:rPr>
          <w:sz w:val="16"/>
          <w:szCs w:val="16"/>
        </w:rPr>
        <w:t>tisfy criteria in major areas.</w:t>
      </w:r>
      <w:r>
        <w:rPr>
          <w:sz w:val="16"/>
          <w:szCs w:val="16"/>
        </w:rPr>
        <w:br/>
      </w:r>
      <w:r w:rsidRPr="00787267">
        <w:rPr>
          <w:sz w:val="16"/>
          <w:szCs w:val="16"/>
        </w:rPr>
        <w:t xml:space="preserve">1 = Very poor; does not satisfy criteria in many major </w:t>
      </w:r>
      <w:proofErr w:type="gramStart"/>
      <w:r w:rsidRPr="00787267">
        <w:rPr>
          <w:sz w:val="16"/>
          <w:szCs w:val="16"/>
        </w:rPr>
        <w:t>area</w:t>
      </w:r>
      <w:proofErr w:type="gramEnd"/>
      <w:r w:rsidRPr="00A05FF5">
        <w:t>.</w:t>
      </w:r>
      <w:r>
        <w:br/>
      </w:r>
    </w:p>
    <w:sectPr w:rsidR="00681633" w:rsidSect="00363A9F">
      <w:pgSz w:w="11906" w:h="16838" w:code="9"/>
      <w:pgMar w:top="1559" w:right="680" w:bottom="1418" w:left="680" w:header="567" w:footer="56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93B423" w14:textId="77777777" w:rsidR="001D123B" w:rsidRDefault="001D123B" w:rsidP="00D37B04">
      <w:r>
        <w:separator/>
      </w:r>
    </w:p>
  </w:endnote>
  <w:endnote w:type="continuationSeparator" w:id="0">
    <w:p w14:paraId="2B548BE9" w14:textId="77777777" w:rsidR="001D123B" w:rsidRDefault="001D123B" w:rsidP="00D37B04">
      <w:r>
        <w:continuationSeparator/>
      </w:r>
    </w:p>
  </w:endnote>
  <w:endnote w:type="continuationNotice" w:id="1">
    <w:p w14:paraId="3730021E" w14:textId="77777777" w:rsidR="001D123B" w:rsidRDefault="001D123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auto"/>
      </w:rPr>
      <w:id w:val="161368827"/>
      <w:docPartObj>
        <w:docPartGallery w:val="Page Numbers (Bottom of Page)"/>
        <w:docPartUnique/>
      </w:docPartObj>
    </w:sdtPr>
    <w:sdtEndPr>
      <w:rPr>
        <w:noProof/>
      </w:rPr>
    </w:sdtEndPr>
    <w:sdtContent>
      <w:p w14:paraId="10BB5A1F" w14:textId="4F34B681" w:rsidR="0005564F" w:rsidRDefault="0005564F">
        <w:pPr>
          <w:pStyle w:val="Footer"/>
          <w:jc w:val="center"/>
          <w:rPr>
            <w:color w:val="auto"/>
          </w:rPr>
        </w:pPr>
        <w:r>
          <w:rPr>
            <w:noProof/>
            <w:color w:val="auto"/>
          </w:rPr>
          <w:drawing>
            <wp:anchor distT="0" distB="0" distL="114300" distR="114300" simplePos="0" relativeHeight="251658240" behindDoc="1" locked="0" layoutInCell="1" allowOverlap="1" wp14:anchorId="0A9940EE" wp14:editId="4060A275">
              <wp:simplePos x="0" y="0"/>
              <wp:positionH relativeFrom="margin">
                <wp:align>left</wp:align>
              </wp:positionH>
              <wp:positionV relativeFrom="paragraph">
                <wp:posOffset>5163</wp:posOffset>
              </wp:positionV>
              <wp:extent cx="6629948" cy="357173"/>
              <wp:effectExtent l="0" t="0" r="0" b="5080"/>
              <wp:wrapNone/>
              <wp:docPr id="310" name="Picture 3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Picture 28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29948" cy="357173"/>
                      </a:xfrm>
                      <a:prstGeom prst="rect">
                        <a:avLst/>
                      </a:prstGeom>
                    </pic:spPr>
                  </pic:pic>
                </a:graphicData>
              </a:graphic>
              <wp14:sizeRelH relativeFrom="margin">
                <wp14:pctWidth>0</wp14:pctWidth>
              </wp14:sizeRelH>
              <wp14:sizeRelV relativeFrom="margin">
                <wp14:pctHeight>0</wp14:pctHeight>
              </wp14:sizeRelV>
            </wp:anchor>
          </w:drawing>
        </w:r>
      </w:p>
      <w:p w14:paraId="3F66EFC2" w14:textId="15A3A4C4" w:rsidR="001D3DDD" w:rsidRPr="0042526D" w:rsidRDefault="001D3DDD">
        <w:pPr>
          <w:pStyle w:val="Footer"/>
          <w:jc w:val="center"/>
          <w:rPr>
            <w:noProof/>
            <w:color w:val="auto"/>
            <w:sz w:val="20"/>
            <w:szCs w:val="20"/>
          </w:rPr>
        </w:pPr>
        <w:r w:rsidRPr="0042526D">
          <w:rPr>
            <w:color w:val="auto"/>
            <w:sz w:val="20"/>
            <w:szCs w:val="20"/>
          </w:rPr>
          <w:fldChar w:fldCharType="begin"/>
        </w:r>
        <w:r w:rsidRPr="0042526D">
          <w:rPr>
            <w:color w:val="auto"/>
            <w:sz w:val="20"/>
            <w:szCs w:val="20"/>
          </w:rPr>
          <w:instrText xml:space="preserve"> PAGE   \* MERGEFORMAT </w:instrText>
        </w:r>
        <w:r w:rsidRPr="0042526D">
          <w:rPr>
            <w:color w:val="auto"/>
            <w:sz w:val="20"/>
            <w:szCs w:val="20"/>
          </w:rPr>
          <w:fldChar w:fldCharType="separate"/>
        </w:r>
        <w:r w:rsidRPr="0042526D">
          <w:rPr>
            <w:noProof/>
            <w:color w:val="auto"/>
            <w:sz w:val="20"/>
            <w:szCs w:val="20"/>
          </w:rPr>
          <w:t>2</w:t>
        </w:r>
        <w:r w:rsidRPr="0042526D">
          <w:rPr>
            <w:noProof/>
            <w:color w:val="auto"/>
            <w:sz w:val="20"/>
            <w:szCs w:val="20"/>
          </w:rPr>
          <w:fldChar w:fldCharType="end"/>
        </w:r>
      </w:p>
      <w:p w14:paraId="1E51B8D5" w14:textId="59F3CE97" w:rsidR="001D3DDD" w:rsidRPr="001D3DDD" w:rsidRDefault="001319D3" w:rsidP="0005564F">
        <w:pPr>
          <w:pStyle w:val="Footer"/>
          <w:spacing w:line="240" w:lineRule="auto"/>
          <w:jc w:val="center"/>
          <w:rPr>
            <w:color w:val="auto"/>
          </w:rPr>
        </w:pPr>
      </w:p>
    </w:sdtContent>
  </w:sdt>
  <w:p w14:paraId="3A729F02" w14:textId="519EAB54" w:rsidR="009131E9" w:rsidRDefault="009131E9" w:rsidP="009131E9">
    <w:pPr>
      <w:pStyle w:val="Footer"/>
      <w:spacing w:line="240" w:lineRule="auto"/>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EB269C" w14:textId="77777777" w:rsidR="001D123B" w:rsidRPr="008C5A0E" w:rsidRDefault="001D123B" w:rsidP="00D37B04">
      <w:pPr>
        <w:pStyle w:val="Footer"/>
      </w:pPr>
    </w:p>
  </w:footnote>
  <w:footnote w:type="continuationSeparator" w:id="0">
    <w:p w14:paraId="5BCBD25A" w14:textId="77777777" w:rsidR="001D123B" w:rsidRDefault="001D123B" w:rsidP="00D37B04">
      <w:r>
        <w:continuationSeparator/>
      </w:r>
    </w:p>
  </w:footnote>
  <w:footnote w:type="continuationNotice" w:id="1">
    <w:p w14:paraId="1BD847C8" w14:textId="77777777" w:rsidR="001D123B" w:rsidRDefault="001D123B">
      <w:pPr>
        <w:spacing w:before="0" w:after="0" w:line="240" w:lineRule="auto"/>
      </w:pPr>
    </w:p>
  </w:footnote>
  <w:footnote w:id="2">
    <w:p w14:paraId="6948E9D3" w14:textId="201F9FAD" w:rsidR="58C2A526" w:rsidRDefault="58C2A526" w:rsidP="00C652A0">
      <w:r w:rsidRPr="00882200">
        <w:rPr>
          <w:rStyle w:val="FootnoteReference"/>
          <w:rFonts w:cstheme="minorHAnsi"/>
          <w:sz w:val="12"/>
          <w:szCs w:val="12"/>
        </w:rPr>
        <w:footnoteRef/>
      </w:r>
      <w:r w:rsidR="25740BF9" w:rsidRPr="00882200">
        <w:rPr>
          <w:rFonts w:cstheme="minorHAnsi"/>
          <w:sz w:val="12"/>
          <w:szCs w:val="12"/>
        </w:rPr>
        <w:t xml:space="preserve"> </w:t>
      </w:r>
      <w:r w:rsidR="25740BF9" w:rsidRPr="00882200">
        <w:rPr>
          <w:rFonts w:eastAsia="Calibri" w:cstheme="minorHAnsi"/>
          <w:sz w:val="12"/>
          <w:szCs w:val="12"/>
        </w:rPr>
        <w:t>This indicator was added in 2020-21.</w:t>
      </w:r>
    </w:p>
  </w:footnote>
  <w:footnote w:id="3">
    <w:p w14:paraId="5D7F2C03" w14:textId="35BE10BE" w:rsidR="00E52221" w:rsidRPr="00B416A3" w:rsidRDefault="00E52221" w:rsidP="00C652A0">
      <w:pPr>
        <w:spacing w:before="60" w:line="240" w:lineRule="auto"/>
        <w:rPr>
          <w:color w:val="auto"/>
          <w:sz w:val="12"/>
          <w:szCs w:val="12"/>
          <w:lang w:val="en-AU"/>
        </w:rPr>
      </w:pPr>
      <w:r w:rsidRPr="00B416A3">
        <w:rPr>
          <w:rStyle w:val="FootnoteReference"/>
          <w:sz w:val="12"/>
          <w:szCs w:val="12"/>
        </w:rPr>
        <w:footnoteRef/>
      </w:r>
      <w:r w:rsidRPr="00B416A3">
        <w:rPr>
          <w:sz w:val="12"/>
          <w:szCs w:val="12"/>
        </w:rPr>
        <w:t xml:space="preserve"> </w:t>
      </w:r>
      <w:r w:rsidR="00F80C56" w:rsidRPr="00B416A3">
        <w:rPr>
          <w:rFonts w:eastAsiaTheme="minorEastAsia"/>
          <w:sz w:val="12"/>
          <w:szCs w:val="12"/>
        </w:rPr>
        <w:t>The</w:t>
      </w:r>
      <w:r w:rsidR="00731F4C" w:rsidRPr="00B416A3">
        <w:rPr>
          <w:rFonts w:eastAsiaTheme="minorEastAsia"/>
          <w:sz w:val="12"/>
          <w:szCs w:val="12"/>
        </w:rPr>
        <w:t xml:space="preserve"> 2020-21 Solomon Islands Development Program Progress Report</w:t>
      </w:r>
      <w:r w:rsidR="00F80C56" w:rsidRPr="00B416A3">
        <w:rPr>
          <w:rFonts w:eastAsiaTheme="minorEastAsia"/>
          <w:sz w:val="12"/>
          <w:szCs w:val="12"/>
        </w:rPr>
        <w:t xml:space="preserve"> contained an error, where the PNG Coral Sea Cable uptake indicator was used instead of the Solomon Islands one. </w:t>
      </w:r>
    </w:p>
  </w:footnote>
  <w:footnote w:id="4">
    <w:p w14:paraId="1AE2F907" w14:textId="745AE188" w:rsidR="002F690F" w:rsidRPr="0010441E" w:rsidRDefault="002F690F">
      <w:pPr>
        <w:pStyle w:val="FootnoteText"/>
        <w:rPr>
          <w:lang w:val="en-AU"/>
        </w:rPr>
      </w:pPr>
      <w:r>
        <w:rPr>
          <w:rStyle w:val="FootnoteReference"/>
        </w:rPr>
        <w:footnoteRef/>
      </w:r>
      <w:r>
        <w:t xml:space="preserve"> </w:t>
      </w:r>
      <w:r w:rsidRPr="00B416A3">
        <w:rPr>
          <w:rFonts w:eastAsiaTheme="minorEastAsia"/>
          <w:szCs w:val="12"/>
        </w:rPr>
        <w:t>This indicator was amended in 2020-21.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17E92" w14:textId="52CF8817" w:rsidR="009131E9" w:rsidRDefault="009131E9" w:rsidP="007A4493">
    <w:pPr>
      <w:pStyle w:val="Header"/>
      <w:ind w:left="0"/>
    </w:pPr>
    <w:r w:rsidRPr="00A12B40">
      <w:rPr>
        <w:i/>
        <w:noProof/>
        <w:lang w:val="en-AU" w:eastAsia="en-AU"/>
      </w:rPr>
      <w:drawing>
        <wp:inline distT="0" distB="0" distL="0" distR="0" wp14:anchorId="7248A92F" wp14:editId="7CBD7E78">
          <wp:extent cx="6718853" cy="707390"/>
          <wp:effectExtent l="0" t="0" r="6350" b="0"/>
          <wp:docPr id="309" name="Picture 3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803267" cy="71627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F2A5E" w14:textId="483FCFE4" w:rsidR="00920854" w:rsidRDefault="009131E9" w:rsidP="001F7F4D">
    <w:pPr>
      <w:pStyle w:val="Header"/>
      <w:spacing w:after="240"/>
      <w:ind w:left="0"/>
    </w:pPr>
    <w:r>
      <w:rPr>
        <w:noProof/>
      </w:rPr>
      <w:drawing>
        <wp:inline distT="0" distB="0" distL="0" distR="0" wp14:anchorId="53173A37" wp14:editId="3D212865">
          <wp:extent cx="6696075" cy="1247775"/>
          <wp:effectExtent l="0" t="0" r="9525" b="9525"/>
          <wp:docPr id="311" name="Picture 311" descr="Australian Government DFAT logo and Australian 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descr="Australian Government DFAT logo and Australian Ai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1247775"/>
                  </a:xfrm>
                  <a:prstGeom prst="rect">
                    <a:avLst/>
                  </a:prstGeom>
                  <a:noFill/>
                  <a:ln>
                    <a:noFill/>
                  </a:ln>
                </pic:spPr>
              </pic:pic>
            </a:graphicData>
          </a:graphic>
        </wp:inline>
      </w:drawing>
    </w:r>
  </w:p>
  <w:p w14:paraId="21592AB9" w14:textId="77777777" w:rsidR="00920854" w:rsidRPr="00943730" w:rsidRDefault="00920854" w:rsidP="008C6149">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2"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15:restartNumberingAfterBreak="0">
    <w:nsid w:val="2F687484"/>
    <w:multiLevelType w:val="hybridMultilevel"/>
    <w:tmpl w:val="627A3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F132CE"/>
    <w:multiLevelType w:val="multilevel"/>
    <w:tmpl w:val="3B7A10DE"/>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6"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7" w15:restartNumberingAfterBreak="0">
    <w:nsid w:val="73107305"/>
    <w:multiLevelType w:val="multilevel"/>
    <w:tmpl w:val="3B7A10DE"/>
    <w:styleLink w:val="Bullets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0"/>
  </w:num>
  <w:num w:numId="3">
    <w:abstractNumId w:val="2"/>
  </w:num>
  <w:num w:numId="4">
    <w:abstractNumId w:val="5"/>
  </w:num>
  <w:num w:numId="5">
    <w:abstractNumId w:val="6"/>
  </w:num>
  <w:num w:numId="6">
    <w:abstractNumId w:val="2"/>
  </w:num>
  <w:num w:numId="7">
    <w:abstractNumId w:val="0"/>
  </w:num>
  <w:num w:numId="8">
    <w:abstractNumId w:val="1"/>
  </w:num>
  <w:num w:numId="9">
    <w:abstractNumId w:val="8"/>
  </w:num>
  <w:num w:numId="10">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4"/>
  </w:num>
  <w:num w:numId="13">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58"/>
    <w:rsid w:val="000000FA"/>
    <w:rsid w:val="000005F0"/>
    <w:rsid w:val="0000074C"/>
    <w:rsid w:val="00001050"/>
    <w:rsid w:val="00001DA8"/>
    <w:rsid w:val="000020C1"/>
    <w:rsid w:val="00004744"/>
    <w:rsid w:val="00004798"/>
    <w:rsid w:val="00004A2D"/>
    <w:rsid w:val="00004C78"/>
    <w:rsid w:val="0000578A"/>
    <w:rsid w:val="000060E2"/>
    <w:rsid w:val="00007A24"/>
    <w:rsid w:val="00010006"/>
    <w:rsid w:val="00010B8B"/>
    <w:rsid w:val="00011235"/>
    <w:rsid w:val="000123AD"/>
    <w:rsid w:val="00015AB7"/>
    <w:rsid w:val="00015DC0"/>
    <w:rsid w:val="00016116"/>
    <w:rsid w:val="000168E6"/>
    <w:rsid w:val="000169A2"/>
    <w:rsid w:val="0001739A"/>
    <w:rsid w:val="0002080A"/>
    <w:rsid w:val="000225A4"/>
    <w:rsid w:val="00022DCB"/>
    <w:rsid w:val="000232FA"/>
    <w:rsid w:val="0002381B"/>
    <w:rsid w:val="0002509A"/>
    <w:rsid w:val="00026035"/>
    <w:rsid w:val="00026481"/>
    <w:rsid w:val="000267DC"/>
    <w:rsid w:val="00026F17"/>
    <w:rsid w:val="00026FA4"/>
    <w:rsid w:val="0002782F"/>
    <w:rsid w:val="00030206"/>
    <w:rsid w:val="00030916"/>
    <w:rsid w:val="00031486"/>
    <w:rsid w:val="000314BA"/>
    <w:rsid w:val="00032990"/>
    <w:rsid w:val="00034728"/>
    <w:rsid w:val="0003576C"/>
    <w:rsid w:val="00035BBF"/>
    <w:rsid w:val="00035CBC"/>
    <w:rsid w:val="000370AD"/>
    <w:rsid w:val="00037B1F"/>
    <w:rsid w:val="00040330"/>
    <w:rsid w:val="000417C3"/>
    <w:rsid w:val="00041CA8"/>
    <w:rsid w:val="00042E12"/>
    <w:rsid w:val="00043770"/>
    <w:rsid w:val="000444F3"/>
    <w:rsid w:val="00046DBB"/>
    <w:rsid w:val="00047435"/>
    <w:rsid w:val="000502FC"/>
    <w:rsid w:val="00050806"/>
    <w:rsid w:val="00051F3B"/>
    <w:rsid w:val="0005223D"/>
    <w:rsid w:val="00054156"/>
    <w:rsid w:val="0005417C"/>
    <w:rsid w:val="000546D9"/>
    <w:rsid w:val="000548E2"/>
    <w:rsid w:val="00054E4D"/>
    <w:rsid w:val="0005564F"/>
    <w:rsid w:val="00055880"/>
    <w:rsid w:val="00055CBD"/>
    <w:rsid w:val="00056F24"/>
    <w:rsid w:val="00057865"/>
    <w:rsid w:val="00060073"/>
    <w:rsid w:val="00060642"/>
    <w:rsid w:val="000616C6"/>
    <w:rsid w:val="000619BE"/>
    <w:rsid w:val="00063043"/>
    <w:rsid w:val="00064258"/>
    <w:rsid w:val="00065449"/>
    <w:rsid w:val="00065739"/>
    <w:rsid w:val="000657D4"/>
    <w:rsid w:val="00066CFE"/>
    <w:rsid w:val="000670F5"/>
    <w:rsid w:val="0007175F"/>
    <w:rsid w:val="0007360C"/>
    <w:rsid w:val="000774CE"/>
    <w:rsid w:val="0008171A"/>
    <w:rsid w:val="000822AD"/>
    <w:rsid w:val="00082E83"/>
    <w:rsid w:val="00084A2A"/>
    <w:rsid w:val="00084EC8"/>
    <w:rsid w:val="000854FD"/>
    <w:rsid w:val="00087169"/>
    <w:rsid w:val="000871B4"/>
    <w:rsid w:val="00090243"/>
    <w:rsid w:val="000907CE"/>
    <w:rsid w:val="0009112F"/>
    <w:rsid w:val="00091F62"/>
    <w:rsid w:val="0009483B"/>
    <w:rsid w:val="0009676B"/>
    <w:rsid w:val="00097D6C"/>
    <w:rsid w:val="000A008C"/>
    <w:rsid w:val="000A0302"/>
    <w:rsid w:val="000A082C"/>
    <w:rsid w:val="000A135E"/>
    <w:rsid w:val="000A2890"/>
    <w:rsid w:val="000A30FF"/>
    <w:rsid w:val="000A331A"/>
    <w:rsid w:val="000A39DD"/>
    <w:rsid w:val="000A407E"/>
    <w:rsid w:val="000A4717"/>
    <w:rsid w:val="000A63B7"/>
    <w:rsid w:val="000A7411"/>
    <w:rsid w:val="000A7D09"/>
    <w:rsid w:val="000B0158"/>
    <w:rsid w:val="000B04AC"/>
    <w:rsid w:val="000B37F5"/>
    <w:rsid w:val="000B3A78"/>
    <w:rsid w:val="000B40E9"/>
    <w:rsid w:val="000B41D5"/>
    <w:rsid w:val="000B469A"/>
    <w:rsid w:val="000B4E06"/>
    <w:rsid w:val="000B4FDE"/>
    <w:rsid w:val="000B5DA7"/>
    <w:rsid w:val="000B6E6F"/>
    <w:rsid w:val="000B78E6"/>
    <w:rsid w:val="000B7F57"/>
    <w:rsid w:val="000C0005"/>
    <w:rsid w:val="000C02FC"/>
    <w:rsid w:val="000C119B"/>
    <w:rsid w:val="000C1F1A"/>
    <w:rsid w:val="000C24CF"/>
    <w:rsid w:val="000C2F35"/>
    <w:rsid w:val="000C3A4C"/>
    <w:rsid w:val="000C41FB"/>
    <w:rsid w:val="000C4411"/>
    <w:rsid w:val="000C5D5B"/>
    <w:rsid w:val="000C6157"/>
    <w:rsid w:val="000C6F35"/>
    <w:rsid w:val="000C6F97"/>
    <w:rsid w:val="000D003A"/>
    <w:rsid w:val="000D1612"/>
    <w:rsid w:val="000D1B80"/>
    <w:rsid w:val="000D1BDA"/>
    <w:rsid w:val="000D2896"/>
    <w:rsid w:val="000D354A"/>
    <w:rsid w:val="000D5E38"/>
    <w:rsid w:val="000D66D6"/>
    <w:rsid w:val="000D6B7E"/>
    <w:rsid w:val="000E02B2"/>
    <w:rsid w:val="000E06F2"/>
    <w:rsid w:val="000E1045"/>
    <w:rsid w:val="000E13C0"/>
    <w:rsid w:val="000E33C9"/>
    <w:rsid w:val="000E4442"/>
    <w:rsid w:val="000E58BF"/>
    <w:rsid w:val="000E6C44"/>
    <w:rsid w:val="000E6FFE"/>
    <w:rsid w:val="000F01C2"/>
    <w:rsid w:val="000F0ED2"/>
    <w:rsid w:val="000F11A1"/>
    <w:rsid w:val="000F1286"/>
    <w:rsid w:val="000F13BE"/>
    <w:rsid w:val="000F1EF0"/>
    <w:rsid w:val="000F2402"/>
    <w:rsid w:val="000F2600"/>
    <w:rsid w:val="000F35C7"/>
    <w:rsid w:val="000F3A03"/>
    <w:rsid w:val="000F3B7B"/>
    <w:rsid w:val="000F46CF"/>
    <w:rsid w:val="000F48B2"/>
    <w:rsid w:val="000F6228"/>
    <w:rsid w:val="000F687D"/>
    <w:rsid w:val="000F7418"/>
    <w:rsid w:val="000F78C9"/>
    <w:rsid w:val="000F7A89"/>
    <w:rsid w:val="000F7C03"/>
    <w:rsid w:val="00100461"/>
    <w:rsid w:val="001016CB"/>
    <w:rsid w:val="00102039"/>
    <w:rsid w:val="0010441E"/>
    <w:rsid w:val="001047A9"/>
    <w:rsid w:val="00107170"/>
    <w:rsid w:val="00107BC1"/>
    <w:rsid w:val="00112838"/>
    <w:rsid w:val="00112883"/>
    <w:rsid w:val="00113288"/>
    <w:rsid w:val="001135CE"/>
    <w:rsid w:val="00113CC1"/>
    <w:rsid w:val="0011475A"/>
    <w:rsid w:val="001153E6"/>
    <w:rsid w:val="00115456"/>
    <w:rsid w:val="00115712"/>
    <w:rsid w:val="00116E9F"/>
    <w:rsid w:val="001203A0"/>
    <w:rsid w:val="00120411"/>
    <w:rsid w:val="001214BE"/>
    <w:rsid w:val="0012165D"/>
    <w:rsid w:val="00121DDD"/>
    <w:rsid w:val="00122217"/>
    <w:rsid w:val="00122784"/>
    <w:rsid w:val="001227F1"/>
    <w:rsid w:val="001230B0"/>
    <w:rsid w:val="00125ABB"/>
    <w:rsid w:val="0012696C"/>
    <w:rsid w:val="00127120"/>
    <w:rsid w:val="00127638"/>
    <w:rsid w:val="0013009C"/>
    <w:rsid w:val="00130559"/>
    <w:rsid w:val="0013101C"/>
    <w:rsid w:val="00131510"/>
    <w:rsid w:val="001319D3"/>
    <w:rsid w:val="00132303"/>
    <w:rsid w:val="00132AC7"/>
    <w:rsid w:val="00132BAE"/>
    <w:rsid w:val="00132F87"/>
    <w:rsid w:val="0013360A"/>
    <w:rsid w:val="0013385F"/>
    <w:rsid w:val="00134581"/>
    <w:rsid w:val="00134696"/>
    <w:rsid w:val="00134AEA"/>
    <w:rsid w:val="001368EA"/>
    <w:rsid w:val="00137451"/>
    <w:rsid w:val="00137F4E"/>
    <w:rsid w:val="00140C10"/>
    <w:rsid w:val="00145202"/>
    <w:rsid w:val="00145467"/>
    <w:rsid w:val="001459DE"/>
    <w:rsid w:val="001461D6"/>
    <w:rsid w:val="00146B4A"/>
    <w:rsid w:val="00146E07"/>
    <w:rsid w:val="0014769F"/>
    <w:rsid w:val="00150586"/>
    <w:rsid w:val="00152331"/>
    <w:rsid w:val="00152F74"/>
    <w:rsid w:val="001541EA"/>
    <w:rsid w:val="00155243"/>
    <w:rsid w:val="00155943"/>
    <w:rsid w:val="00160382"/>
    <w:rsid w:val="0016049D"/>
    <w:rsid w:val="00160C72"/>
    <w:rsid w:val="00160C83"/>
    <w:rsid w:val="00161BF6"/>
    <w:rsid w:val="0016223D"/>
    <w:rsid w:val="001623A3"/>
    <w:rsid w:val="00162DD4"/>
    <w:rsid w:val="00163DB1"/>
    <w:rsid w:val="00166032"/>
    <w:rsid w:val="001662F8"/>
    <w:rsid w:val="0016662A"/>
    <w:rsid w:val="0016676C"/>
    <w:rsid w:val="001707A9"/>
    <w:rsid w:val="001727D7"/>
    <w:rsid w:val="00172D2D"/>
    <w:rsid w:val="00173322"/>
    <w:rsid w:val="00174A19"/>
    <w:rsid w:val="001755B1"/>
    <w:rsid w:val="001759D4"/>
    <w:rsid w:val="001768AC"/>
    <w:rsid w:val="00176B77"/>
    <w:rsid w:val="001801D1"/>
    <w:rsid w:val="00180F23"/>
    <w:rsid w:val="001837FA"/>
    <w:rsid w:val="001841C8"/>
    <w:rsid w:val="0018446B"/>
    <w:rsid w:val="00184858"/>
    <w:rsid w:val="00184F54"/>
    <w:rsid w:val="001852F0"/>
    <w:rsid w:val="001858DA"/>
    <w:rsid w:val="00186B4B"/>
    <w:rsid w:val="0019182E"/>
    <w:rsid w:val="00191F33"/>
    <w:rsid w:val="00193C49"/>
    <w:rsid w:val="00195DA3"/>
    <w:rsid w:val="00197B60"/>
    <w:rsid w:val="001A01C6"/>
    <w:rsid w:val="001A0373"/>
    <w:rsid w:val="001A14A9"/>
    <w:rsid w:val="001A15ED"/>
    <w:rsid w:val="001A2C14"/>
    <w:rsid w:val="001A43AB"/>
    <w:rsid w:val="001A4F21"/>
    <w:rsid w:val="001A51EE"/>
    <w:rsid w:val="001A5CE9"/>
    <w:rsid w:val="001A6E8F"/>
    <w:rsid w:val="001A7672"/>
    <w:rsid w:val="001A7815"/>
    <w:rsid w:val="001B2513"/>
    <w:rsid w:val="001B5A7C"/>
    <w:rsid w:val="001B724A"/>
    <w:rsid w:val="001B761D"/>
    <w:rsid w:val="001B77E9"/>
    <w:rsid w:val="001B78DA"/>
    <w:rsid w:val="001C09C8"/>
    <w:rsid w:val="001C0BC5"/>
    <w:rsid w:val="001C0EF8"/>
    <w:rsid w:val="001C14F4"/>
    <w:rsid w:val="001C1C85"/>
    <w:rsid w:val="001C1F11"/>
    <w:rsid w:val="001C201B"/>
    <w:rsid w:val="001C22A7"/>
    <w:rsid w:val="001C32FD"/>
    <w:rsid w:val="001C3C32"/>
    <w:rsid w:val="001C480C"/>
    <w:rsid w:val="001C483F"/>
    <w:rsid w:val="001C61C4"/>
    <w:rsid w:val="001C6D49"/>
    <w:rsid w:val="001C72C5"/>
    <w:rsid w:val="001D00A5"/>
    <w:rsid w:val="001D123B"/>
    <w:rsid w:val="001D1511"/>
    <w:rsid w:val="001D1A8F"/>
    <w:rsid w:val="001D1E30"/>
    <w:rsid w:val="001D264D"/>
    <w:rsid w:val="001D34B3"/>
    <w:rsid w:val="001D3C98"/>
    <w:rsid w:val="001D3DDD"/>
    <w:rsid w:val="001D4091"/>
    <w:rsid w:val="001D40BD"/>
    <w:rsid w:val="001D5297"/>
    <w:rsid w:val="001D5CE5"/>
    <w:rsid w:val="001D5DDE"/>
    <w:rsid w:val="001D663E"/>
    <w:rsid w:val="001E03BE"/>
    <w:rsid w:val="001E0E20"/>
    <w:rsid w:val="001E1DC0"/>
    <w:rsid w:val="001E2264"/>
    <w:rsid w:val="001E22BB"/>
    <w:rsid w:val="001E3306"/>
    <w:rsid w:val="001E3E43"/>
    <w:rsid w:val="001E563B"/>
    <w:rsid w:val="001E67AB"/>
    <w:rsid w:val="001E6D20"/>
    <w:rsid w:val="001E7071"/>
    <w:rsid w:val="001E7304"/>
    <w:rsid w:val="001E77B3"/>
    <w:rsid w:val="001F0AFE"/>
    <w:rsid w:val="001F0FC5"/>
    <w:rsid w:val="001F1310"/>
    <w:rsid w:val="001F144F"/>
    <w:rsid w:val="001F16E7"/>
    <w:rsid w:val="001F41A2"/>
    <w:rsid w:val="001F5806"/>
    <w:rsid w:val="001F63EC"/>
    <w:rsid w:val="001F728D"/>
    <w:rsid w:val="001F7461"/>
    <w:rsid w:val="001F7A5E"/>
    <w:rsid w:val="001F7A8B"/>
    <w:rsid w:val="001F7F4D"/>
    <w:rsid w:val="0020033D"/>
    <w:rsid w:val="00200B4A"/>
    <w:rsid w:val="0020127A"/>
    <w:rsid w:val="002021D7"/>
    <w:rsid w:val="00203238"/>
    <w:rsid w:val="00203B83"/>
    <w:rsid w:val="00206C5C"/>
    <w:rsid w:val="0020751D"/>
    <w:rsid w:val="00207872"/>
    <w:rsid w:val="0021065D"/>
    <w:rsid w:val="00210BF5"/>
    <w:rsid w:val="00211F34"/>
    <w:rsid w:val="0021280F"/>
    <w:rsid w:val="002140F3"/>
    <w:rsid w:val="00215386"/>
    <w:rsid w:val="00216436"/>
    <w:rsid w:val="0021661E"/>
    <w:rsid w:val="00216C55"/>
    <w:rsid w:val="00216E61"/>
    <w:rsid w:val="00217382"/>
    <w:rsid w:val="00217CF3"/>
    <w:rsid w:val="002231BD"/>
    <w:rsid w:val="0022597E"/>
    <w:rsid w:val="002260E8"/>
    <w:rsid w:val="002270F7"/>
    <w:rsid w:val="0022790D"/>
    <w:rsid w:val="00230E40"/>
    <w:rsid w:val="00230FB6"/>
    <w:rsid w:val="002313B1"/>
    <w:rsid w:val="002332B9"/>
    <w:rsid w:val="0023338D"/>
    <w:rsid w:val="0023357F"/>
    <w:rsid w:val="00234D4B"/>
    <w:rsid w:val="00234EB6"/>
    <w:rsid w:val="00237218"/>
    <w:rsid w:val="00237D5B"/>
    <w:rsid w:val="002404E8"/>
    <w:rsid w:val="00240F0D"/>
    <w:rsid w:val="00244229"/>
    <w:rsid w:val="002443C7"/>
    <w:rsid w:val="00246CD5"/>
    <w:rsid w:val="00246D6A"/>
    <w:rsid w:val="00246DEA"/>
    <w:rsid w:val="00247365"/>
    <w:rsid w:val="00250188"/>
    <w:rsid w:val="00251FDB"/>
    <w:rsid w:val="0025201A"/>
    <w:rsid w:val="00252328"/>
    <w:rsid w:val="0025284C"/>
    <w:rsid w:val="00252850"/>
    <w:rsid w:val="002537E7"/>
    <w:rsid w:val="002555CE"/>
    <w:rsid w:val="0025571F"/>
    <w:rsid w:val="00255F45"/>
    <w:rsid w:val="002572AF"/>
    <w:rsid w:val="00257BB6"/>
    <w:rsid w:val="00261565"/>
    <w:rsid w:val="002617FF"/>
    <w:rsid w:val="00261897"/>
    <w:rsid w:val="00262A67"/>
    <w:rsid w:val="00263E34"/>
    <w:rsid w:val="002644F7"/>
    <w:rsid w:val="00266F20"/>
    <w:rsid w:val="00267DF3"/>
    <w:rsid w:val="00270C70"/>
    <w:rsid w:val="00271342"/>
    <w:rsid w:val="00271DD1"/>
    <w:rsid w:val="002721B5"/>
    <w:rsid w:val="00273044"/>
    <w:rsid w:val="002733C5"/>
    <w:rsid w:val="002739CD"/>
    <w:rsid w:val="00273B60"/>
    <w:rsid w:val="00273ECB"/>
    <w:rsid w:val="0027562C"/>
    <w:rsid w:val="00276CBE"/>
    <w:rsid w:val="002776CF"/>
    <w:rsid w:val="00277B15"/>
    <w:rsid w:val="00282B8E"/>
    <w:rsid w:val="00282FCE"/>
    <w:rsid w:val="00284DC6"/>
    <w:rsid w:val="0028602A"/>
    <w:rsid w:val="00286A08"/>
    <w:rsid w:val="00286ADC"/>
    <w:rsid w:val="00292C58"/>
    <w:rsid w:val="00293F73"/>
    <w:rsid w:val="002942A9"/>
    <w:rsid w:val="002945C4"/>
    <w:rsid w:val="00294EDD"/>
    <w:rsid w:val="0029663F"/>
    <w:rsid w:val="00296D71"/>
    <w:rsid w:val="00297258"/>
    <w:rsid w:val="00297FD1"/>
    <w:rsid w:val="002A010B"/>
    <w:rsid w:val="002A1B58"/>
    <w:rsid w:val="002A23BB"/>
    <w:rsid w:val="002A23D3"/>
    <w:rsid w:val="002A4445"/>
    <w:rsid w:val="002A4E3D"/>
    <w:rsid w:val="002A5380"/>
    <w:rsid w:val="002A5BBE"/>
    <w:rsid w:val="002A6A3E"/>
    <w:rsid w:val="002A7244"/>
    <w:rsid w:val="002B15F0"/>
    <w:rsid w:val="002B1A52"/>
    <w:rsid w:val="002B1A83"/>
    <w:rsid w:val="002B2E66"/>
    <w:rsid w:val="002B2FFF"/>
    <w:rsid w:val="002B3381"/>
    <w:rsid w:val="002B3F4D"/>
    <w:rsid w:val="002B55FC"/>
    <w:rsid w:val="002B5E10"/>
    <w:rsid w:val="002B73AD"/>
    <w:rsid w:val="002B7D3F"/>
    <w:rsid w:val="002C0322"/>
    <w:rsid w:val="002C1722"/>
    <w:rsid w:val="002C173E"/>
    <w:rsid w:val="002C1947"/>
    <w:rsid w:val="002C3135"/>
    <w:rsid w:val="002C3F2B"/>
    <w:rsid w:val="002C5092"/>
    <w:rsid w:val="002C6EEF"/>
    <w:rsid w:val="002C7085"/>
    <w:rsid w:val="002C7593"/>
    <w:rsid w:val="002C793D"/>
    <w:rsid w:val="002D0D16"/>
    <w:rsid w:val="002D194B"/>
    <w:rsid w:val="002D25D9"/>
    <w:rsid w:val="002D35C9"/>
    <w:rsid w:val="002D4108"/>
    <w:rsid w:val="002D430F"/>
    <w:rsid w:val="002D4FAC"/>
    <w:rsid w:val="002D5B25"/>
    <w:rsid w:val="002D626F"/>
    <w:rsid w:val="002D62B3"/>
    <w:rsid w:val="002E01BE"/>
    <w:rsid w:val="002E063A"/>
    <w:rsid w:val="002E2AF4"/>
    <w:rsid w:val="002E38B2"/>
    <w:rsid w:val="002E49C8"/>
    <w:rsid w:val="002E4F12"/>
    <w:rsid w:val="002E500A"/>
    <w:rsid w:val="002E5564"/>
    <w:rsid w:val="002E6642"/>
    <w:rsid w:val="002E6E25"/>
    <w:rsid w:val="002E6E27"/>
    <w:rsid w:val="002E76FD"/>
    <w:rsid w:val="002F03FB"/>
    <w:rsid w:val="002F04F7"/>
    <w:rsid w:val="002F0903"/>
    <w:rsid w:val="002F12A8"/>
    <w:rsid w:val="002F2817"/>
    <w:rsid w:val="002F2AF7"/>
    <w:rsid w:val="002F402A"/>
    <w:rsid w:val="002F4608"/>
    <w:rsid w:val="002F4F2B"/>
    <w:rsid w:val="002F51FE"/>
    <w:rsid w:val="002F56DF"/>
    <w:rsid w:val="002F57E7"/>
    <w:rsid w:val="002F6581"/>
    <w:rsid w:val="002F67AE"/>
    <w:rsid w:val="002F690F"/>
    <w:rsid w:val="003002C0"/>
    <w:rsid w:val="00300435"/>
    <w:rsid w:val="0030055D"/>
    <w:rsid w:val="00301144"/>
    <w:rsid w:val="0030178B"/>
    <w:rsid w:val="00302019"/>
    <w:rsid w:val="0030270D"/>
    <w:rsid w:val="003031C6"/>
    <w:rsid w:val="00304984"/>
    <w:rsid w:val="00307176"/>
    <w:rsid w:val="00307BF5"/>
    <w:rsid w:val="00310134"/>
    <w:rsid w:val="00310C01"/>
    <w:rsid w:val="003114B4"/>
    <w:rsid w:val="00311946"/>
    <w:rsid w:val="00312BF8"/>
    <w:rsid w:val="00312FE0"/>
    <w:rsid w:val="003130FC"/>
    <w:rsid w:val="0031418E"/>
    <w:rsid w:val="003148B7"/>
    <w:rsid w:val="00315160"/>
    <w:rsid w:val="003158C3"/>
    <w:rsid w:val="00315CF1"/>
    <w:rsid w:val="00316D26"/>
    <w:rsid w:val="00316E7D"/>
    <w:rsid w:val="00316EEB"/>
    <w:rsid w:val="00320DC8"/>
    <w:rsid w:val="00320E39"/>
    <w:rsid w:val="00321ACB"/>
    <w:rsid w:val="00321FD4"/>
    <w:rsid w:val="00322A2D"/>
    <w:rsid w:val="00323685"/>
    <w:rsid w:val="00325CA1"/>
    <w:rsid w:val="00325E87"/>
    <w:rsid w:val="003274CD"/>
    <w:rsid w:val="00330138"/>
    <w:rsid w:val="00331F71"/>
    <w:rsid w:val="00333501"/>
    <w:rsid w:val="00334C2B"/>
    <w:rsid w:val="0033603D"/>
    <w:rsid w:val="0033779E"/>
    <w:rsid w:val="0034018B"/>
    <w:rsid w:val="003406AF"/>
    <w:rsid w:val="0034223A"/>
    <w:rsid w:val="00342381"/>
    <w:rsid w:val="003436D6"/>
    <w:rsid w:val="003441E9"/>
    <w:rsid w:val="00344622"/>
    <w:rsid w:val="003457C4"/>
    <w:rsid w:val="00346359"/>
    <w:rsid w:val="00346E47"/>
    <w:rsid w:val="0035119D"/>
    <w:rsid w:val="00351668"/>
    <w:rsid w:val="003535F8"/>
    <w:rsid w:val="003537E2"/>
    <w:rsid w:val="00354376"/>
    <w:rsid w:val="00354641"/>
    <w:rsid w:val="00354B97"/>
    <w:rsid w:val="00354F40"/>
    <w:rsid w:val="0035532B"/>
    <w:rsid w:val="00356EFE"/>
    <w:rsid w:val="00357D08"/>
    <w:rsid w:val="00360018"/>
    <w:rsid w:val="003622C1"/>
    <w:rsid w:val="00362CC7"/>
    <w:rsid w:val="0036345A"/>
    <w:rsid w:val="00363A9F"/>
    <w:rsid w:val="003644B5"/>
    <w:rsid w:val="00364612"/>
    <w:rsid w:val="00365F2B"/>
    <w:rsid w:val="003664FE"/>
    <w:rsid w:val="00366BB2"/>
    <w:rsid w:val="00366F45"/>
    <w:rsid w:val="00366FE0"/>
    <w:rsid w:val="00367B89"/>
    <w:rsid w:val="00370682"/>
    <w:rsid w:val="00373BA0"/>
    <w:rsid w:val="003742A5"/>
    <w:rsid w:val="00374C6C"/>
    <w:rsid w:val="00374CC7"/>
    <w:rsid w:val="003751CD"/>
    <w:rsid w:val="0037536B"/>
    <w:rsid w:val="00375D23"/>
    <w:rsid w:val="00376FC3"/>
    <w:rsid w:val="0037778A"/>
    <w:rsid w:val="003806FE"/>
    <w:rsid w:val="00380E4A"/>
    <w:rsid w:val="00381025"/>
    <w:rsid w:val="00382A6E"/>
    <w:rsid w:val="00382CE7"/>
    <w:rsid w:val="00383BFF"/>
    <w:rsid w:val="00384180"/>
    <w:rsid w:val="00384261"/>
    <w:rsid w:val="00384D2A"/>
    <w:rsid w:val="003850A1"/>
    <w:rsid w:val="00385792"/>
    <w:rsid w:val="0038598D"/>
    <w:rsid w:val="003859ED"/>
    <w:rsid w:val="00385DFA"/>
    <w:rsid w:val="003879FC"/>
    <w:rsid w:val="00387EC8"/>
    <w:rsid w:val="00391208"/>
    <w:rsid w:val="0039215F"/>
    <w:rsid w:val="0039231D"/>
    <w:rsid w:val="003929D1"/>
    <w:rsid w:val="0039344A"/>
    <w:rsid w:val="00393991"/>
    <w:rsid w:val="003945D3"/>
    <w:rsid w:val="00395690"/>
    <w:rsid w:val="003961AE"/>
    <w:rsid w:val="0039639E"/>
    <w:rsid w:val="00396C07"/>
    <w:rsid w:val="003A0034"/>
    <w:rsid w:val="003A0420"/>
    <w:rsid w:val="003A1102"/>
    <w:rsid w:val="003A1653"/>
    <w:rsid w:val="003A2D01"/>
    <w:rsid w:val="003A3CFB"/>
    <w:rsid w:val="003A4C47"/>
    <w:rsid w:val="003A62B7"/>
    <w:rsid w:val="003B02DF"/>
    <w:rsid w:val="003B04A0"/>
    <w:rsid w:val="003B220C"/>
    <w:rsid w:val="003B2ACF"/>
    <w:rsid w:val="003B3091"/>
    <w:rsid w:val="003B3887"/>
    <w:rsid w:val="003B433D"/>
    <w:rsid w:val="003B4A3A"/>
    <w:rsid w:val="003B4F12"/>
    <w:rsid w:val="003B5132"/>
    <w:rsid w:val="003B7620"/>
    <w:rsid w:val="003B7F51"/>
    <w:rsid w:val="003C0709"/>
    <w:rsid w:val="003C076F"/>
    <w:rsid w:val="003C100C"/>
    <w:rsid w:val="003C2790"/>
    <w:rsid w:val="003C2947"/>
    <w:rsid w:val="003C376A"/>
    <w:rsid w:val="003C3933"/>
    <w:rsid w:val="003C4625"/>
    <w:rsid w:val="003C4CAC"/>
    <w:rsid w:val="003C5007"/>
    <w:rsid w:val="003C6B5F"/>
    <w:rsid w:val="003C6C4F"/>
    <w:rsid w:val="003C77CE"/>
    <w:rsid w:val="003C79D2"/>
    <w:rsid w:val="003C7D0E"/>
    <w:rsid w:val="003D00AF"/>
    <w:rsid w:val="003D0EA7"/>
    <w:rsid w:val="003D0FB4"/>
    <w:rsid w:val="003D1253"/>
    <w:rsid w:val="003D19CE"/>
    <w:rsid w:val="003D2380"/>
    <w:rsid w:val="003D23FA"/>
    <w:rsid w:val="003D316E"/>
    <w:rsid w:val="003D3D81"/>
    <w:rsid w:val="003D4781"/>
    <w:rsid w:val="003D4E1F"/>
    <w:rsid w:val="003E027C"/>
    <w:rsid w:val="003E03B8"/>
    <w:rsid w:val="003E0545"/>
    <w:rsid w:val="003E08F7"/>
    <w:rsid w:val="003E0C91"/>
    <w:rsid w:val="003E13A9"/>
    <w:rsid w:val="003E1810"/>
    <w:rsid w:val="003E24BA"/>
    <w:rsid w:val="003E3636"/>
    <w:rsid w:val="003E3E68"/>
    <w:rsid w:val="003E4B5F"/>
    <w:rsid w:val="003E4FC2"/>
    <w:rsid w:val="003E78AB"/>
    <w:rsid w:val="003E7F53"/>
    <w:rsid w:val="003F0C27"/>
    <w:rsid w:val="003F1302"/>
    <w:rsid w:val="003F1B8A"/>
    <w:rsid w:val="003F1FF0"/>
    <w:rsid w:val="003F2041"/>
    <w:rsid w:val="003F45FD"/>
    <w:rsid w:val="003F4679"/>
    <w:rsid w:val="003F549F"/>
    <w:rsid w:val="003F5C6E"/>
    <w:rsid w:val="003F7D26"/>
    <w:rsid w:val="003F7F4C"/>
    <w:rsid w:val="004007ED"/>
    <w:rsid w:val="00400D50"/>
    <w:rsid w:val="0040239C"/>
    <w:rsid w:val="004028D0"/>
    <w:rsid w:val="00402ACC"/>
    <w:rsid w:val="00403B40"/>
    <w:rsid w:val="00403BAE"/>
    <w:rsid w:val="00403FD8"/>
    <w:rsid w:val="00404443"/>
    <w:rsid w:val="00404602"/>
    <w:rsid w:val="00405429"/>
    <w:rsid w:val="00405FFF"/>
    <w:rsid w:val="00406FC7"/>
    <w:rsid w:val="00407137"/>
    <w:rsid w:val="0040720E"/>
    <w:rsid w:val="00407B20"/>
    <w:rsid w:val="004120EC"/>
    <w:rsid w:val="0041224D"/>
    <w:rsid w:val="004122A3"/>
    <w:rsid w:val="00412679"/>
    <w:rsid w:val="0041267F"/>
    <w:rsid w:val="00413042"/>
    <w:rsid w:val="00414AD9"/>
    <w:rsid w:val="00414E21"/>
    <w:rsid w:val="00414F96"/>
    <w:rsid w:val="0041670B"/>
    <w:rsid w:val="0042040F"/>
    <w:rsid w:val="004208E9"/>
    <w:rsid w:val="00420C05"/>
    <w:rsid w:val="00421A4A"/>
    <w:rsid w:val="004226DF"/>
    <w:rsid w:val="00422DEA"/>
    <w:rsid w:val="00423302"/>
    <w:rsid w:val="00423DB9"/>
    <w:rsid w:val="00423DE0"/>
    <w:rsid w:val="00423F31"/>
    <w:rsid w:val="0042526D"/>
    <w:rsid w:val="00426234"/>
    <w:rsid w:val="00426340"/>
    <w:rsid w:val="004264F4"/>
    <w:rsid w:val="004303AA"/>
    <w:rsid w:val="00431899"/>
    <w:rsid w:val="00431EBB"/>
    <w:rsid w:val="00432109"/>
    <w:rsid w:val="0043278B"/>
    <w:rsid w:val="00432FCE"/>
    <w:rsid w:val="0043357E"/>
    <w:rsid w:val="00433651"/>
    <w:rsid w:val="004337A0"/>
    <w:rsid w:val="00433BF0"/>
    <w:rsid w:val="00434312"/>
    <w:rsid w:val="00437303"/>
    <w:rsid w:val="0044076F"/>
    <w:rsid w:val="00440DFA"/>
    <w:rsid w:val="00442A71"/>
    <w:rsid w:val="00442C4A"/>
    <w:rsid w:val="004431C7"/>
    <w:rsid w:val="00446F46"/>
    <w:rsid w:val="00447722"/>
    <w:rsid w:val="00450381"/>
    <w:rsid w:val="00451A55"/>
    <w:rsid w:val="004529F1"/>
    <w:rsid w:val="00453B1A"/>
    <w:rsid w:val="00453B37"/>
    <w:rsid w:val="00454E54"/>
    <w:rsid w:val="00455404"/>
    <w:rsid w:val="0045681E"/>
    <w:rsid w:val="00456D3E"/>
    <w:rsid w:val="0046169D"/>
    <w:rsid w:val="00461EED"/>
    <w:rsid w:val="0046272D"/>
    <w:rsid w:val="00462A57"/>
    <w:rsid w:val="00462E94"/>
    <w:rsid w:val="00463ECB"/>
    <w:rsid w:val="00464271"/>
    <w:rsid w:val="00464753"/>
    <w:rsid w:val="00464D13"/>
    <w:rsid w:val="00465212"/>
    <w:rsid w:val="00465975"/>
    <w:rsid w:val="00465CDF"/>
    <w:rsid w:val="00467234"/>
    <w:rsid w:val="00467968"/>
    <w:rsid w:val="004708FA"/>
    <w:rsid w:val="00472219"/>
    <w:rsid w:val="004727F1"/>
    <w:rsid w:val="004728DD"/>
    <w:rsid w:val="00473F2D"/>
    <w:rsid w:val="00473F39"/>
    <w:rsid w:val="00474037"/>
    <w:rsid w:val="00474837"/>
    <w:rsid w:val="00474C3E"/>
    <w:rsid w:val="00475782"/>
    <w:rsid w:val="004761E7"/>
    <w:rsid w:val="00476E55"/>
    <w:rsid w:val="00476EAD"/>
    <w:rsid w:val="00477392"/>
    <w:rsid w:val="004802C6"/>
    <w:rsid w:val="0048083F"/>
    <w:rsid w:val="00482AE8"/>
    <w:rsid w:val="00482FF6"/>
    <w:rsid w:val="004835FA"/>
    <w:rsid w:val="0048366A"/>
    <w:rsid w:val="0048397C"/>
    <w:rsid w:val="00484354"/>
    <w:rsid w:val="00484AA8"/>
    <w:rsid w:val="0048601C"/>
    <w:rsid w:val="00486804"/>
    <w:rsid w:val="00486D17"/>
    <w:rsid w:val="00486FED"/>
    <w:rsid w:val="00487549"/>
    <w:rsid w:val="004878BC"/>
    <w:rsid w:val="00487C0A"/>
    <w:rsid w:val="00490B9E"/>
    <w:rsid w:val="004911F4"/>
    <w:rsid w:val="004915B6"/>
    <w:rsid w:val="00491AB0"/>
    <w:rsid w:val="00491D60"/>
    <w:rsid w:val="00493F17"/>
    <w:rsid w:val="00494242"/>
    <w:rsid w:val="00494961"/>
    <w:rsid w:val="00494E5F"/>
    <w:rsid w:val="00495786"/>
    <w:rsid w:val="00496766"/>
    <w:rsid w:val="00496AE6"/>
    <w:rsid w:val="00496E4C"/>
    <w:rsid w:val="00497D1C"/>
    <w:rsid w:val="004A270A"/>
    <w:rsid w:val="004A27A6"/>
    <w:rsid w:val="004A2A63"/>
    <w:rsid w:val="004A2B84"/>
    <w:rsid w:val="004A41B8"/>
    <w:rsid w:val="004A4987"/>
    <w:rsid w:val="004A66DD"/>
    <w:rsid w:val="004A6826"/>
    <w:rsid w:val="004A685E"/>
    <w:rsid w:val="004A6D0B"/>
    <w:rsid w:val="004A6F90"/>
    <w:rsid w:val="004A727E"/>
    <w:rsid w:val="004A72C6"/>
    <w:rsid w:val="004A779B"/>
    <w:rsid w:val="004B0E00"/>
    <w:rsid w:val="004B16CA"/>
    <w:rsid w:val="004B1CC5"/>
    <w:rsid w:val="004B26D2"/>
    <w:rsid w:val="004B3775"/>
    <w:rsid w:val="004B61DE"/>
    <w:rsid w:val="004C013D"/>
    <w:rsid w:val="004C128D"/>
    <w:rsid w:val="004C4498"/>
    <w:rsid w:val="004C4783"/>
    <w:rsid w:val="004C7024"/>
    <w:rsid w:val="004C73BD"/>
    <w:rsid w:val="004D0BA0"/>
    <w:rsid w:val="004D0E46"/>
    <w:rsid w:val="004D203F"/>
    <w:rsid w:val="004D2E1B"/>
    <w:rsid w:val="004D5185"/>
    <w:rsid w:val="004D52AA"/>
    <w:rsid w:val="004D53ED"/>
    <w:rsid w:val="004D57D9"/>
    <w:rsid w:val="004D6412"/>
    <w:rsid w:val="004D67D1"/>
    <w:rsid w:val="004D7F36"/>
    <w:rsid w:val="004E058F"/>
    <w:rsid w:val="004E2241"/>
    <w:rsid w:val="004E26C0"/>
    <w:rsid w:val="004E2A00"/>
    <w:rsid w:val="004E2C9D"/>
    <w:rsid w:val="004E3908"/>
    <w:rsid w:val="004E3B87"/>
    <w:rsid w:val="004E549D"/>
    <w:rsid w:val="004E5ED0"/>
    <w:rsid w:val="004E6D4A"/>
    <w:rsid w:val="004E7167"/>
    <w:rsid w:val="004E7E8E"/>
    <w:rsid w:val="004F0F10"/>
    <w:rsid w:val="004F291D"/>
    <w:rsid w:val="004F3693"/>
    <w:rsid w:val="004F3E2B"/>
    <w:rsid w:val="004F5615"/>
    <w:rsid w:val="004F5D7D"/>
    <w:rsid w:val="004F7C90"/>
    <w:rsid w:val="00501828"/>
    <w:rsid w:val="00502041"/>
    <w:rsid w:val="005024AA"/>
    <w:rsid w:val="00502593"/>
    <w:rsid w:val="0050337A"/>
    <w:rsid w:val="00503448"/>
    <w:rsid w:val="005035D3"/>
    <w:rsid w:val="00503EB4"/>
    <w:rsid w:val="00504604"/>
    <w:rsid w:val="0050538A"/>
    <w:rsid w:val="0050592F"/>
    <w:rsid w:val="0050671F"/>
    <w:rsid w:val="00507D32"/>
    <w:rsid w:val="005101B9"/>
    <w:rsid w:val="00510921"/>
    <w:rsid w:val="00510AD3"/>
    <w:rsid w:val="00511BEA"/>
    <w:rsid w:val="00511C10"/>
    <w:rsid w:val="00513348"/>
    <w:rsid w:val="005136D8"/>
    <w:rsid w:val="00513AD8"/>
    <w:rsid w:val="00517DD0"/>
    <w:rsid w:val="005204D2"/>
    <w:rsid w:val="005212AB"/>
    <w:rsid w:val="00522396"/>
    <w:rsid w:val="00522747"/>
    <w:rsid w:val="00522810"/>
    <w:rsid w:val="00523730"/>
    <w:rsid w:val="005268FE"/>
    <w:rsid w:val="00527AD8"/>
    <w:rsid w:val="005300CC"/>
    <w:rsid w:val="005303B9"/>
    <w:rsid w:val="0053159D"/>
    <w:rsid w:val="00531B69"/>
    <w:rsid w:val="00532483"/>
    <w:rsid w:val="005327CD"/>
    <w:rsid w:val="00533B5D"/>
    <w:rsid w:val="005345C5"/>
    <w:rsid w:val="00534D96"/>
    <w:rsid w:val="005361F2"/>
    <w:rsid w:val="00536343"/>
    <w:rsid w:val="00536BAB"/>
    <w:rsid w:val="00536CFA"/>
    <w:rsid w:val="005377E4"/>
    <w:rsid w:val="00540A22"/>
    <w:rsid w:val="00541056"/>
    <w:rsid w:val="00541E43"/>
    <w:rsid w:val="00542704"/>
    <w:rsid w:val="00542A05"/>
    <w:rsid w:val="00542B82"/>
    <w:rsid w:val="0054528D"/>
    <w:rsid w:val="00546877"/>
    <w:rsid w:val="00546F83"/>
    <w:rsid w:val="005474FC"/>
    <w:rsid w:val="00547EC1"/>
    <w:rsid w:val="005506C1"/>
    <w:rsid w:val="00550C0A"/>
    <w:rsid w:val="00552809"/>
    <w:rsid w:val="00553079"/>
    <w:rsid w:val="00553A45"/>
    <w:rsid w:val="00556F4C"/>
    <w:rsid w:val="005579C6"/>
    <w:rsid w:val="00560BD0"/>
    <w:rsid w:val="00560E83"/>
    <w:rsid w:val="0056112C"/>
    <w:rsid w:val="0056169F"/>
    <w:rsid w:val="00561745"/>
    <w:rsid w:val="00563246"/>
    <w:rsid w:val="00563540"/>
    <w:rsid w:val="00563822"/>
    <w:rsid w:val="00563963"/>
    <w:rsid w:val="00564807"/>
    <w:rsid w:val="0056506F"/>
    <w:rsid w:val="0056549B"/>
    <w:rsid w:val="00565BA2"/>
    <w:rsid w:val="005675E2"/>
    <w:rsid w:val="00567736"/>
    <w:rsid w:val="0057043E"/>
    <w:rsid w:val="00570442"/>
    <w:rsid w:val="00570617"/>
    <w:rsid w:val="005707A0"/>
    <w:rsid w:val="00570B1C"/>
    <w:rsid w:val="00570C96"/>
    <w:rsid w:val="0057176A"/>
    <w:rsid w:val="005736BB"/>
    <w:rsid w:val="00574060"/>
    <w:rsid w:val="0057416C"/>
    <w:rsid w:val="00574644"/>
    <w:rsid w:val="00574EBC"/>
    <w:rsid w:val="00575480"/>
    <w:rsid w:val="0057580B"/>
    <w:rsid w:val="005760D6"/>
    <w:rsid w:val="005761BE"/>
    <w:rsid w:val="00577815"/>
    <w:rsid w:val="00577FC5"/>
    <w:rsid w:val="005822D6"/>
    <w:rsid w:val="00582B82"/>
    <w:rsid w:val="00583183"/>
    <w:rsid w:val="005838FD"/>
    <w:rsid w:val="005839E5"/>
    <w:rsid w:val="00584792"/>
    <w:rsid w:val="0058483A"/>
    <w:rsid w:val="0058526A"/>
    <w:rsid w:val="00585959"/>
    <w:rsid w:val="00586005"/>
    <w:rsid w:val="005862E2"/>
    <w:rsid w:val="0058664A"/>
    <w:rsid w:val="005868C3"/>
    <w:rsid w:val="00590797"/>
    <w:rsid w:val="005918CD"/>
    <w:rsid w:val="0059318F"/>
    <w:rsid w:val="0059322B"/>
    <w:rsid w:val="00593340"/>
    <w:rsid w:val="0059683B"/>
    <w:rsid w:val="0059723E"/>
    <w:rsid w:val="005A0F8C"/>
    <w:rsid w:val="005A11F1"/>
    <w:rsid w:val="005A20F6"/>
    <w:rsid w:val="005A2394"/>
    <w:rsid w:val="005A257E"/>
    <w:rsid w:val="005A3BD9"/>
    <w:rsid w:val="005A531A"/>
    <w:rsid w:val="005A5FF7"/>
    <w:rsid w:val="005A7227"/>
    <w:rsid w:val="005A7241"/>
    <w:rsid w:val="005B044A"/>
    <w:rsid w:val="005B04CD"/>
    <w:rsid w:val="005B0D1F"/>
    <w:rsid w:val="005B1345"/>
    <w:rsid w:val="005B27A9"/>
    <w:rsid w:val="005B299F"/>
    <w:rsid w:val="005B2CE3"/>
    <w:rsid w:val="005B354C"/>
    <w:rsid w:val="005B4A3B"/>
    <w:rsid w:val="005B4DD0"/>
    <w:rsid w:val="005B69B6"/>
    <w:rsid w:val="005B6E6E"/>
    <w:rsid w:val="005B7577"/>
    <w:rsid w:val="005B77B9"/>
    <w:rsid w:val="005C15A9"/>
    <w:rsid w:val="005C2EC9"/>
    <w:rsid w:val="005C33BA"/>
    <w:rsid w:val="005C52E4"/>
    <w:rsid w:val="005C532B"/>
    <w:rsid w:val="005C55A6"/>
    <w:rsid w:val="005C668A"/>
    <w:rsid w:val="005D0485"/>
    <w:rsid w:val="005D06D8"/>
    <w:rsid w:val="005D2AC9"/>
    <w:rsid w:val="005D314A"/>
    <w:rsid w:val="005D3655"/>
    <w:rsid w:val="005D3A1D"/>
    <w:rsid w:val="005D3C6D"/>
    <w:rsid w:val="005D3DE9"/>
    <w:rsid w:val="005D51A7"/>
    <w:rsid w:val="005D5489"/>
    <w:rsid w:val="005D56E4"/>
    <w:rsid w:val="005D5C94"/>
    <w:rsid w:val="005D662F"/>
    <w:rsid w:val="005D6645"/>
    <w:rsid w:val="005D6832"/>
    <w:rsid w:val="005D69AA"/>
    <w:rsid w:val="005D719A"/>
    <w:rsid w:val="005D77D4"/>
    <w:rsid w:val="005D7A42"/>
    <w:rsid w:val="005D7F03"/>
    <w:rsid w:val="005E001F"/>
    <w:rsid w:val="005E0058"/>
    <w:rsid w:val="005E014B"/>
    <w:rsid w:val="005E2404"/>
    <w:rsid w:val="005E2854"/>
    <w:rsid w:val="005E452F"/>
    <w:rsid w:val="005E4830"/>
    <w:rsid w:val="005E5524"/>
    <w:rsid w:val="005E73CC"/>
    <w:rsid w:val="005F029B"/>
    <w:rsid w:val="005F0380"/>
    <w:rsid w:val="005F0ADB"/>
    <w:rsid w:val="005F13F8"/>
    <w:rsid w:val="005F235A"/>
    <w:rsid w:val="005F2F66"/>
    <w:rsid w:val="005F3281"/>
    <w:rsid w:val="005F39B2"/>
    <w:rsid w:val="005F411E"/>
    <w:rsid w:val="005F4216"/>
    <w:rsid w:val="005F49E6"/>
    <w:rsid w:val="005F4BF9"/>
    <w:rsid w:val="005F75FA"/>
    <w:rsid w:val="00600D23"/>
    <w:rsid w:val="006019CD"/>
    <w:rsid w:val="00602564"/>
    <w:rsid w:val="006031AC"/>
    <w:rsid w:val="00603321"/>
    <w:rsid w:val="00604495"/>
    <w:rsid w:val="00604F34"/>
    <w:rsid w:val="006059F0"/>
    <w:rsid w:val="00606B93"/>
    <w:rsid w:val="00606E66"/>
    <w:rsid w:val="00607059"/>
    <w:rsid w:val="0060726F"/>
    <w:rsid w:val="00610225"/>
    <w:rsid w:val="00611E7D"/>
    <w:rsid w:val="00612699"/>
    <w:rsid w:val="0061571D"/>
    <w:rsid w:val="006159F8"/>
    <w:rsid w:val="00615E45"/>
    <w:rsid w:val="006162F6"/>
    <w:rsid w:val="00616614"/>
    <w:rsid w:val="00616976"/>
    <w:rsid w:val="00616A58"/>
    <w:rsid w:val="00616B62"/>
    <w:rsid w:val="00616D5C"/>
    <w:rsid w:val="00617716"/>
    <w:rsid w:val="0061789B"/>
    <w:rsid w:val="006206F7"/>
    <w:rsid w:val="00620749"/>
    <w:rsid w:val="00620A3D"/>
    <w:rsid w:val="00620D7C"/>
    <w:rsid w:val="006220CA"/>
    <w:rsid w:val="00622B86"/>
    <w:rsid w:val="006235BF"/>
    <w:rsid w:val="00623BA1"/>
    <w:rsid w:val="00623CDB"/>
    <w:rsid w:val="006246AA"/>
    <w:rsid w:val="006247C0"/>
    <w:rsid w:val="00624C7B"/>
    <w:rsid w:val="00625BC1"/>
    <w:rsid w:val="00625D5A"/>
    <w:rsid w:val="00626246"/>
    <w:rsid w:val="00626CEC"/>
    <w:rsid w:val="00627B84"/>
    <w:rsid w:val="00630051"/>
    <w:rsid w:val="00630092"/>
    <w:rsid w:val="006317CE"/>
    <w:rsid w:val="00633610"/>
    <w:rsid w:val="00633BB3"/>
    <w:rsid w:val="00634466"/>
    <w:rsid w:val="006346BC"/>
    <w:rsid w:val="00634951"/>
    <w:rsid w:val="00634EEF"/>
    <w:rsid w:val="0063511D"/>
    <w:rsid w:val="006362FF"/>
    <w:rsid w:val="00636CB6"/>
    <w:rsid w:val="006378FE"/>
    <w:rsid w:val="006408FF"/>
    <w:rsid w:val="00640A9A"/>
    <w:rsid w:val="00641143"/>
    <w:rsid w:val="0064253D"/>
    <w:rsid w:val="00644437"/>
    <w:rsid w:val="00646630"/>
    <w:rsid w:val="006466CC"/>
    <w:rsid w:val="0064734C"/>
    <w:rsid w:val="00650010"/>
    <w:rsid w:val="006501DC"/>
    <w:rsid w:val="00650C79"/>
    <w:rsid w:val="006516E2"/>
    <w:rsid w:val="00652D15"/>
    <w:rsid w:val="0065319A"/>
    <w:rsid w:val="00654DC5"/>
    <w:rsid w:val="0065649B"/>
    <w:rsid w:val="00656E4A"/>
    <w:rsid w:val="00657296"/>
    <w:rsid w:val="006573F1"/>
    <w:rsid w:val="00657DEA"/>
    <w:rsid w:val="0066158D"/>
    <w:rsid w:val="0066203A"/>
    <w:rsid w:val="00662D6C"/>
    <w:rsid w:val="00663E2A"/>
    <w:rsid w:val="006650FD"/>
    <w:rsid w:val="006655DA"/>
    <w:rsid w:val="00666059"/>
    <w:rsid w:val="0066652A"/>
    <w:rsid w:val="00666678"/>
    <w:rsid w:val="00666B70"/>
    <w:rsid w:val="00667A9C"/>
    <w:rsid w:val="006705B4"/>
    <w:rsid w:val="006719C3"/>
    <w:rsid w:val="00673775"/>
    <w:rsid w:val="00673954"/>
    <w:rsid w:val="00673DFD"/>
    <w:rsid w:val="006745FC"/>
    <w:rsid w:val="00674F74"/>
    <w:rsid w:val="006750D9"/>
    <w:rsid w:val="00675D46"/>
    <w:rsid w:val="00676429"/>
    <w:rsid w:val="00677DD7"/>
    <w:rsid w:val="00680115"/>
    <w:rsid w:val="006802CB"/>
    <w:rsid w:val="00680522"/>
    <w:rsid w:val="00681633"/>
    <w:rsid w:val="00681E4C"/>
    <w:rsid w:val="00681E77"/>
    <w:rsid w:val="00682167"/>
    <w:rsid w:val="006826BA"/>
    <w:rsid w:val="0068287F"/>
    <w:rsid w:val="00683DBC"/>
    <w:rsid w:val="0068416C"/>
    <w:rsid w:val="006847DE"/>
    <w:rsid w:val="00686A79"/>
    <w:rsid w:val="00686E4F"/>
    <w:rsid w:val="006873DB"/>
    <w:rsid w:val="00690846"/>
    <w:rsid w:val="00690AE1"/>
    <w:rsid w:val="006921B8"/>
    <w:rsid w:val="00692C64"/>
    <w:rsid w:val="00693CCD"/>
    <w:rsid w:val="00694D8E"/>
    <w:rsid w:val="006951DE"/>
    <w:rsid w:val="006A0CE4"/>
    <w:rsid w:val="006A2194"/>
    <w:rsid w:val="006A33BD"/>
    <w:rsid w:val="006A563D"/>
    <w:rsid w:val="006A614D"/>
    <w:rsid w:val="006A68B9"/>
    <w:rsid w:val="006A6932"/>
    <w:rsid w:val="006A6F52"/>
    <w:rsid w:val="006A791A"/>
    <w:rsid w:val="006B0064"/>
    <w:rsid w:val="006B16B5"/>
    <w:rsid w:val="006B3E95"/>
    <w:rsid w:val="006B51B2"/>
    <w:rsid w:val="006B58F2"/>
    <w:rsid w:val="006B5CF9"/>
    <w:rsid w:val="006B67B8"/>
    <w:rsid w:val="006B6F6D"/>
    <w:rsid w:val="006C03DF"/>
    <w:rsid w:val="006C0B06"/>
    <w:rsid w:val="006C1FBA"/>
    <w:rsid w:val="006C3369"/>
    <w:rsid w:val="006C3BBD"/>
    <w:rsid w:val="006C42AF"/>
    <w:rsid w:val="006C565B"/>
    <w:rsid w:val="006C6498"/>
    <w:rsid w:val="006C64A2"/>
    <w:rsid w:val="006C6A93"/>
    <w:rsid w:val="006D0E20"/>
    <w:rsid w:val="006D15F1"/>
    <w:rsid w:val="006D19EA"/>
    <w:rsid w:val="006D24CD"/>
    <w:rsid w:val="006D2FE0"/>
    <w:rsid w:val="006D45FC"/>
    <w:rsid w:val="006D4D26"/>
    <w:rsid w:val="006D4F91"/>
    <w:rsid w:val="006D5A56"/>
    <w:rsid w:val="006D5B0E"/>
    <w:rsid w:val="006D6A94"/>
    <w:rsid w:val="006D6D20"/>
    <w:rsid w:val="006D6D23"/>
    <w:rsid w:val="006E0E29"/>
    <w:rsid w:val="006E0F12"/>
    <w:rsid w:val="006E2998"/>
    <w:rsid w:val="006E2AD7"/>
    <w:rsid w:val="006E33D9"/>
    <w:rsid w:val="006E4323"/>
    <w:rsid w:val="006E51A5"/>
    <w:rsid w:val="006E63F6"/>
    <w:rsid w:val="006E6B86"/>
    <w:rsid w:val="006E7502"/>
    <w:rsid w:val="006E7C0A"/>
    <w:rsid w:val="006F283E"/>
    <w:rsid w:val="006F3F8A"/>
    <w:rsid w:val="006F4FF7"/>
    <w:rsid w:val="006F59F1"/>
    <w:rsid w:val="006F5D97"/>
    <w:rsid w:val="006F64CF"/>
    <w:rsid w:val="006F6BA7"/>
    <w:rsid w:val="006F6D8E"/>
    <w:rsid w:val="00700620"/>
    <w:rsid w:val="00701E18"/>
    <w:rsid w:val="00702EDE"/>
    <w:rsid w:val="007030D7"/>
    <w:rsid w:val="00703404"/>
    <w:rsid w:val="007038E5"/>
    <w:rsid w:val="00704DBE"/>
    <w:rsid w:val="00705E6C"/>
    <w:rsid w:val="00706136"/>
    <w:rsid w:val="00706F8A"/>
    <w:rsid w:val="007075DF"/>
    <w:rsid w:val="00707B72"/>
    <w:rsid w:val="00710038"/>
    <w:rsid w:val="007113A8"/>
    <w:rsid w:val="0071144F"/>
    <w:rsid w:val="00711B1C"/>
    <w:rsid w:val="00711D8E"/>
    <w:rsid w:val="00712672"/>
    <w:rsid w:val="00712D9F"/>
    <w:rsid w:val="00713049"/>
    <w:rsid w:val="007144EF"/>
    <w:rsid w:val="007161AC"/>
    <w:rsid w:val="0071643B"/>
    <w:rsid w:val="0071643E"/>
    <w:rsid w:val="007168D1"/>
    <w:rsid w:val="00716AAB"/>
    <w:rsid w:val="007178C4"/>
    <w:rsid w:val="0072079C"/>
    <w:rsid w:val="007221AE"/>
    <w:rsid w:val="007240FB"/>
    <w:rsid w:val="00724514"/>
    <w:rsid w:val="00724CFD"/>
    <w:rsid w:val="0072779A"/>
    <w:rsid w:val="007279A3"/>
    <w:rsid w:val="00727E09"/>
    <w:rsid w:val="0073008E"/>
    <w:rsid w:val="00730AC0"/>
    <w:rsid w:val="00730E4B"/>
    <w:rsid w:val="00731807"/>
    <w:rsid w:val="00731F4C"/>
    <w:rsid w:val="0073424A"/>
    <w:rsid w:val="007344D2"/>
    <w:rsid w:val="007344F9"/>
    <w:rsid w:val="00734850"/>
    <w:rsid w:val="00734E3F"/>
    <w:rsid w:val="00735C8E"/>
    <w:rsid w:val="00735F27"/>
    <w:rsid w:val="0073657B"/>
    <w:rsid w:val="0073674E"/>
    <w:rsid w:val="00736985"/>
    <w:rsid w:val="00740083"/>
    <w:rsid w:val="0074180F"/>
    <w:rsid w:val="00741E6A"/>
    <w:rsid w:val="00742B6C"/>
    <w:rsid w:val="00742D9A"/>
    <w:rsid w:val="00743519"/>
    <w:rsid w:val="00745DF5"/>
    <w:rsid w:val="00746156"/>
    <w:rsid w:val="00746AC5"/>
    <w:rsid w:val="007479BE"/>
    <w:rsid w:val="00750321"/>
    <w:rsid w:val="00750460"/>
    <w:rsid w:val="0075149F"/>
    <w:rsid w:val="00751718"/>
    <w:rsid w:val="0075193F"/>
    <w:rsid w:val="007521B5"/>
    <w:rsid w:val="00752718"/>
    <w:rsid w:val="00753640"/>
    <w:rsid w:val="007537B8"/>
    <w:rsid w:val="00754E97"/>
    <w:rsid w:val="007553B1"/>
    <w:rsid w:val="00755E8F"/>
    <w:rsid w:val="00757ECA"/>
    <w:rsid w:val="0076250F"/>
    <w:rsid w:val="00762E30"/>
    <w:rsid w:val="00763B11"/>
    <w:rsid w:val="00765608"/>
    <w:rsid w:val="00765E0A"/>
    <w:rsid w:val="007666E7"/>
    <w:rsid w:val="00770662"/>
    <w:rsid w:val="00770795"/>
    <w:rsid w:val="007718DB"/>
    <w:rsid w:val="0077324F"/>
    <w:rsid w:val="007733DC"/>
    <w:rsid w:val="00773BBE"/>
    <w:rsid w:val="00773C5B"/>
    <w:rsid w:val="007740BE"/>
    <w:rsid w:val="00774397"/>
    <w:rsid w:val="00774906"/>
    <w:rsid w:val="007759F8"/>
    <w:rsid w:val="00780277"/>
    <w:rsid w:val="00780EC8"/>
    <w:rsid w:val="00780FA5"/>
    <w:rsid w:val="007811A8"/>
    <w:rsid w:val="007814D7"/>
    <w:rsid w:val="007816C2"/>
    <w:rsid w:val="0078251B"/>
    <w:rsid w:val="007827B0"/>
    <w:rsid w:val="00783077"/>
    <w:rsid w:val="00784FD9"/>
    <w:rsid w:val="007859BE"/>
    <w:rsid w:val="007864CF"/>
    <w:rsid w:val="00786CC9"/>
    <w:rsid w:val="00786EAE"/>
    <w:rsid w:val="007874BA"/>
    <w:rsid w:val="00791C4C"/>
    <w:rsid w:val="0079479D"/>
    <w:rsid w:val="00794D99"/>
    <w:rsid w:val="00794DC3"/>
    <w:rsid w:val="00795B4C"/>
    <w:rsid w:val="00796F1C"/>
    <w:rsid w:val="007A2559"/>
    <w:rsid w:val="007A3B89"/>
    <w:rsid w:val="007A4260"/>
    <w:rsid w:val="007A4493"/>
    <w:rsid w:val="007A46CB"/>
    <w:rsid w:val="007A4DF5"/>
    <w:rsid w:val="007A6471"/>
    <w:rsid w:val="007A6DC9"/>
    <w:rsid w:val="007A77E7"/>
    <w:rsid w:val="007A79A1"/>
    <w:rsid w:val="007A7D7E"/>
    <w:rsid w:val="007B0B16"/>
    <w:rsid w:val="007B0D01"/>
    <w:rsid w:val="007B137D"/>
    <w:rsid w:val="007B1C7C"/>
    <w:rsid w:val="007B1DAA"/>
    <w:rsid w:val="007B29A2"/>
    <w:rsid w:val="007B2A46"/>
    <w:rsid w:val="007B40DB"/>
    <w:rsid w:val="007B53DB"/>
    <w:rsid w:val="007B53F9"/>
    <w:rsid w:val="007B582B"/>
    <w:rsid w:val="007B6151"/>
    <w:rsid w:val="007B6200"/>
    <w:rsid w:val="007B630D"/>
    <w:rsid w:val="007B7359"/>
    <w:rsid w:val="007B7E62"/>
    <w:rsid w:val="007C054E"/>
    <w:rsid w:val="007C104D"/>
    <w:rsid w:val="007C19B3"/>
    <w:rsid w:val="007C2762"/>
    <w:rsid w:val="007C31B9"/>
    <w:rsid w:val="007C35DE"/>
    <w:rsid w:val="007C4D69"/>
    <w:rsid w:val="007C61CA"/>
    <w:rsid w:val="007C6CBB"/>
    <w:rsid w:val="007C735B"/>
    <w:rsid w:val="007C77E0"/>
    <w:rsid w:val="007C7B20"/>
    <w:rsid w:val="007D2C70"/>
    <w:rsid w:val="007D73F7"/>
    <w:rsid w:val="007D7CB1"/>
    <w:rsid w:val="007D7F43"/>
    <w:rsid w:val="007E00B9"/>
    <w:rsid w:val="007E2DB8"/>
    <w:rsid w:val="007E31AC"/>
    <w:rsid w:val="007E3700"/>
    <w:rsid w:val="007E3D11"/>
    <w:rsid w:val="007E4010"/>
    <w:rsid w:val="007E5361"/>
    <w:rsid w:val="007E556D"/>
    <w:rsid w:val="007E598C"/>
    <w:rsid w:val="007E5E46"/>
    <w:rsid w:val="007E705B"/>
    <w:rsid w:val="007E7BC7"/>
    <w:rsid w:val="007F0191"/>
    <w:rsid w:val="007F23EE"/>
    <w:rsid w:val="007F2A53"/>
    <w:rsid w:val="007F3395"/>
    <w:rsid w:val="007F3997"/>
    <w:rsid w:val="007F3B8A"/>
    <w:rsid w:val="007F5C0B"/>
    <w:rsid w:val="007F640F"/>
    <w:rsid w:val="007F646C"/>
    <w:rsid w:val="007F6C5E"/>
    <w:rsid w:val="007F756E"/>
    <w:rsid w:val="007F78AC"/>
    <w:rsid w:val="008002BA"/>
    <w:rsid w:val="00801B9F"/>
    <w:rsid w:val="0080204D"/>
    <w:rsid w:val="008028C4"/>
    <w:rsid w:val="00802B24"/>
    <w:rsid w:val="00803220"/>
    <w:rsid w:val="008042CB"/>
    <w:rsid w:val="00804A48"/>
    <w:rsid w:val="00805206"/>
    <w:rsid w:val="008052B6"/>
    <w:rsid w:val="00806690"/>
    <w:rsid w:val="00810599"/>
    <w:rsid w:val="00810F42"/>
    <w:rsid w:val="0081124C"/>
    <w:rsid w:val="008127BD"/>
    <w:rsid w:val="00812DBD"/>
    <w:rsid w:val="00813EA6"/>
    <w:rsid w:val="008153A1"/>
    <w:rsid w:val="00816514"/>
    <w:rsid w:val="0081675D"/>
    <w:rsid w:val="00817803"/>
    <w:rsid w:val="00817966"/>
    <w:rsid w:val="008179A3"/>
    <w:rsid w:val="00817E93"/>
    <w:rsid w:val="0082053C"/>
    <w:rsid w:val="00820C73"/>
    <w:rsid w:val="00821040"/>
    <w:rsid w:val="00822070"/>
    <w:rsid w:val="008222C5"/>
    <w:rsid w:val="00822CC5"/>
    <w:rsid w:val="00822F43"/>
    <w:rsid w:val="00823022"/>
    <w:rsid w:val="008243E7"/>
    <w:rsid w:val="00824C56"/>
    <w:rsid w:val="00824F25"/>
    <w:rsid w:val="00826678"/>
    <w:rsid w:val="0082722A"/>
    <w:rsid w:val="008304C9"/>
    <w:rsid w:val="00830866"/>
    <w:rsid w:val="00832481"/>
    <w:rsid w:val="00834056"/>
    <w:rsid w:val="008344C1"/>
    <w:rsid w:val="00835593"/>
    <w:rsid w:val="00835B90"/>
    <w:rsid w:val="00835DF5"/>
    <w:rsid w:val="00836B54"/>
    <w:rsid w:val="00840378"/>
    <w:rsid w:val="0084191E"/>
    <w:rsid w:val="00843B76"/>
    <w:rsid w:val="0084429E"/>
    <w:rsid w:val="00844737"/>
    <w:rsid w:val="008448C9"/>
    <w:rsid w:val="00844AF3"/>
    <w:rsid w:val="00844EC8"/>
    <w:rsid w:val="008451D5"/>
    <w:rsid w:val="00847490"/>
    <w:rsid w:val="008475F0"/>
    <w:rsid w:val="00850A49"/>
    <w:rsid w:val="008514AE"/>
    <w:rsid w:val="008515AF"/>
    <w:rsid w:val="00852C32"/>
    <w:rsid w:val="00854F69"/>
    <w:rsid w:val="008557A7"/>
    <w:rsid w:val="0085593B"/>
    <w:rsid w:val="00855D56"/>
    <w:rsid w:val="00856738"/>
    <w:rsid w:val="00856BFE"/>
    <w:rsid w:val="00856C61"/>
    <w:rsid w:val="00856EEF"/>
    <w:rsid w:val="00856FA8"/>
    <w:rsid w:val="00857312"/>
    <w:rsid w:val="0085743D"/>
    <w:rsid w:val="00860698"/>
    <w:rsid w:val="008606F1"/>
    <w:rsid w:val="00860FB0"/>
    <w:rsid w:val="00861171"/>
    <w:rsid w:val="00861B5F"/>
    <w:rsid w:val="00862BCF"/>
    <w:rsid w:val="00862CEC"/>
    <w:rsid w:val="00863833"/>
    <w:rsid w:val="00863850"/>
    <w:rsid w:val="0086450F"/>
    <w:rsid w:val="0086508C"/>
    <w:rsid w:val="0086559D"/>
    <w:rsid w:val="00865DE2"/>
    <w:rsid w:val="00866726"/>
    <w:rsid w:val="00867250"/>
    <w:rsid w:val="00867904"/>
    <w:rsid w:val="00870367"/>
    <w:rsid w:val="00870928"/>
    <w:rsid w:val="00870F7C"/>
    <w:rsid w:val="00871AB2"/>
    <w:rsid w:val="00871D2B"/>
    <w:rsid w:val="0087398D"/>
    <w:rsid w:val="008740B3"/>
    <w:rsid w:val="0087496E"/>
    <w:rsid w:val="00875756"/>
    <w:rsid w:val="00876641"/>
    <w:rsid w:val="00876B47"/>
    <w:rsid w:val="00877339"/>
    <w:rsid w:val="00877620"/>
    <w:rsid w:val="00880038"/>
    <w:rsid w:val="008809D7"/>
    <w:rsid w:val="00881605"/>
    <w:rsid w:val="00882200"/>
    <w:rsid w:val="008832E1"/>
    <w:rsid w:val="008838B5"/>
    <w:rsid w:val="00884CE5"/>
    <w:rsid w:val="00884D59"/>
    <w:rsid w:val="008868D8"/>
    <w:rsid w:val="00886A92"/>
    <w:rsid w:val="00887404"/>
    <w:rsid w:val="00887A69"/>
    <w:rsid w:val="00887CC7"/>
    <w:rsid w:val="00890221"/>
    <w:rsid w:val="0089047F"/>
    <w:rsid w:val="00891F69"/>
    <w:rsid w:val="00893443"/>
    <w:rsid w:val="0089405C"/>
    <w:rsid w:val="00894FEB"/>
    <w:rsid w:val="00895F31"/>
    <w:rsid w:val="00896D84"/>
    <w:rsid w:val="00897469"/>
    <w:rsid w:val="0089796A"/>
    <w:rsid w:val="00897FA2"/>
    <w:rsid w:val="008A1503"/>
    <w:rsid w:val="008A5091"/>
    <w:rsid w:val="008A5A0F"/>
    <w:rsid w:val="008A5AFE"/>
    <w:rsid w:val="008A6BB7"/>
    <w:rsid w:val="008A6DA1"/>
    <w:rsid w:val="008A73FB"/>
    <w:rsid w:val="008A745C"/>
    <w:rsid w:val="008A7B6F"/>
    <w:rsid w:val="008A7D60"/>
    <w:rsid w:val="008B0016"/>
    <w:rsid w:val="008B0B1E"/>
    <w:rsid w:val="008B1B03"/>
    <w:rsid w:val="008B1C7D"/>
    <w:rsid w:val="008B1D00"/>
    <w:rsid w:val="008B2159"/>
    <w:rsid w:val="008B4575"/>
    <w:rsid w:val="008B4798"/>
    <w:rsid w:val="008B497D"/>
    <w:rsid w:val="008B5A5B"/>
    <w:rsid w:val="008B695D"/>
    <w:rsid w:val="008C0215"/>
    <w:rsid w:val="008C0A4B"/>
    <w:rsid w:val="008C116B"/>
    <w:rsid w:val="008C1A18"/>
    <w:rsid w:val="008C1B8F"/>
    <w:rsid w:val="008C1F60"/>
    <w:rsid w:val="008C2508"/>
    <w:rsid w:val="008C28CA"/>
    <w:rsid w:val="008C2DDE"/>
    <w:rsid w:val="008C3690"/>
    <w:rsid w:val="008C458D"/>
    <w:rsid w:val="008C478C"/>
    <w:rsid w:val="008C5A0E"/>
    <w:rsid w:val="008C5BA3"/>
    <w:rsid w:val="008C6149"/>
    <w:rsid w:val="008C6BC8"/>
    <w:rsid w:val="008C6D0D"/>
    <w:rsid w:val="008C708C"/>
    <w:rsid w:val="008C7350"/>
    <w:rsid w:val="008C7671"/>
    <w:rsid w:val="008D005A"/>
    <w:rsid w:val="008D00FD"/>
    <w:rsid w:val="008D0A57"/>
    <w:rsid w:val="008D0A9B"/>
    <w:rsid w:val="008D0E29"/>
    <w:rsid w:val="008D118E"/>
    <w:rsid w:val="008D2B5F"/>
    <w:rsid w:val="008D3281"/>
    <w:rsid w:val="008D3335"/>
    <w:rsid w:val="008D4670"/>
    <w:rsid w:val="008D4907"/>
    <w:rsid w:val="008D4A54"/>
    <w:rsid w:val="008D4CAD"/>
    <w:rsid w:val="008D7613"/>
    <w:rsid w:val="008D771D"/>
    <w:rsid w:val="008E0A82"/>
    <w:rsid w:val="008E371A"/>
    <w:rsid w:val="008E4B49"/>
    <w:rsid w:val="008E4BCA"/>
    <w:rsid w:val="008E4C82"/>
    <w:rsid w:val="008E4D90"/>
    <w:rsid w:val="008E5FE1"/>
    <w:rsid w:val="008E695B"/>
    <w:rsid w:val="008E69E3"/>
    <w:rsid w:val="008E7A6E"/>
    <w:rsid w:val="008F00F6"/>
    <w:rsid w:val="008F0128"/>
    <w:rsid w:val="008F2087"/>
    <w:rsid w:val="008F38D3"/>
    <w:rsid w:val="008F4281"/>
    <w:rsid w:val="008F437A"/>
    <w:rsid w:val="008F45C9"/>
    <w:rsid w:val="008F515B"/>
    <w:rsid w:val="008F560D"/>
    <w:rsid w:val="008F5E72"/>
    <w:rsid w:val="008F6625"/>
    <w:rsid w:val="008F671B"/>
    <w:rsid w:val="008F6CB4"/>
    <w:rsid w:val="008F7220"/>
    <w:rsid w:val="008F7715"/>
    <w:rsid w:val="009003BE"/>
    <w:rsid w:val="00902522"/>
    <w:rsid w:val="009030A9"/>
    <w:rsid w:val="00903376"/>
    <w:rsid w:val="00903581"/>
    <w:rsid w:val="00903727"/>
    <w:rsid w:val="00903E4C"/>
    <w:rsid w:val="009064AF"/>
    <w:rsid w:val="009071D1"/>
    <w:rsid w:val="009079CC"/>
    <w:rsid w:val="0091053A"/>
    <w:rsid w:val="0091183B"/>
    <w:rsid w:val="00911CE1"/>
    <w:rsid w:val="009131E9"/>
    <w:rsid w:val="0091348A"/>
    <w:rsid w:val="00913875"/>
    <w:rsid w:val="00913C6A"/>
    <w:rsid w:val="0091546B"/>
    <w:rsid w:val="00916582"/>
    <w:rsid w:val="009174B6"/>
    <w:rsid w:val="00917A7A"/>
    <w:rsid w:val="00920743"/>
    <w:rsid w:val="00920854"/>
    <w:rsid w:val="009215C9"/>
    <w:rsid w:val="0092374E"/>
    <w:rsid w:val="0092506F"/>
    <w:rsid w:val="009255CA"/>
    <w:rsid w:val="00926A9D"/>
    <w:rsid w:val="00926E69"/>
    <w:rsid w:val="009274DA"/>
    <w:rsid w:val="0093173D"/>
    <w:rsid w:val="00931752"/>
    <w:rsid w:val="0093285D"/>
    <w:rsid w:val="009328B5"/>
    <w:rsid w:val="0093334A"/>
    <w:rsid w:val="009335C3"/>
    <w:rsid w:val="009341D1"/>
    <w:rsid w:val="0093564D"/>
    <w:rsid w:val="00935C36"/>
    <w:rsid w:val="00935C40"/>
    <w:rsid w:val="00936D1D"/>
    <w:rsid w:val="00937866"/>
    <w:rsid w:val="00937F63"/>
    <w:rsid w:val="00940916"/>
    <w:rsid w:val="00941DBF"/>
    <w:rsid w:val="00941F8B"/>
    <w:rsid w:val="0094296C"/>
    <w:rsid w:val="00943730"/>
    <w:rsid w:val="009441B7"/>
    <w:rsid w:val="009451FD"/>
    <w:rsid w:val="00945DA9"/>
    <w:rsid w:val="00946760"/>
    <w:rsid w:val="009467D6"/>
    <w:rsid w:val="00946922"/>
    <w:rsid w:val="00946B4A"/>
    <w:rsid w:val="00947031"/>
    <w:rsid w:val="00947060"/>
    <w:rsid w:val="009505AE"/>
    <w:rsid w:val="009509E0"/>
    <w:rsid w:val="00950AD8"/>
    <w:rsid w:val="00950D65"/>
    <w:rsid w:val="00952815"/>
    <w:rsid w:val="00953EEE"/>
    <w:rsid w:val="00953F4E"/>
    <w:rsid w:val="009543B9"/>
    <w:rsid w:val="0095471B"/>
    <w:rsid w:val="00955A37"/>
    <w:rsid w:val="00955AC5"/>
    <w:rsid w:val="0096034F"/>
    <w:rsid w:val="00961CDC"/>
    <w:rsid w:val="00961F7B"/>
    <w:rsid w:val="00963247"/>
    <w:rsid w:val="009653C8"/>
    <w:rsid w:val="00967615"/>
    <w:rsid w:val="00971A08"/>
    <w:rsid w:val="009737C7"/>
    <w:rsid w:val="00973E18"/>
    <w:rsid w:val="009749D6"/>
    <w:rsid w:val="00974B1C"/>
    <w:rsid w:val="009750CC"/>
    <w:rsid w:val="00975CA5"/>
    <w:rsid w:val="00975DD7"/>
    <w:rsid w:val="00976223"/>
    <w:rsid w:val="00976C04"/>
    <w:rsid w:val="009770F6"/>
    <w:rsid w:val="009774B4"/>
    <w:rsid w:val="00977852"/>
    <w:rsid w:val="009804B2"/>
    <w:rsid w:val="00981C3D"/>
    <w:rsid w:val="00981DE0"/>
    <w:rsid w:val="00982507"/>
    <w:rsid w:val="00982731"/>
    <w:rsid w:val="00982A00"/>
    <w:rsid w:val="00982CAE"/>
    <w:rsid w:val="009839F6"/>
    <w:rsid w:val="00986590"/>
    <w:rsid w:val="009872CB"/>
    <w:rsid w:val="0099146F"/>
    <w:rsid w:val="00991579"/>
    <w:rsid w:val="00991DE7"/>
    <w:rsid w:val="00992851"/>
    <w:rsid w:val="00992C76"/>
    <w:rsid w:val="009942D5"/>
    <w:rsid w:val="00994347"/>
    <w:rsid w:val="009943EB"/>
    <w:rsid w:val="00995306"/>
    <w:rsid w:val="00995428"/>
    <w:rsid w:val="009966CC"/>
    <w:rsid w:val="00996835"/>
    <w:rsid w:val="009969D6"/>
    <w:rsid w:val="00997E00"/>
    <w:rsid w:val="009A019B"/>
    <w:rsid w:val="009A0718"/>
    <w:rsid w:val="009A112B"/>
    <w:rsid w:val="009A1B15"/>
    <w:rsid w:val="009A2619"/>
    <w:rsid w:val="009A2B5A"/>
    <w:rsid w:val="009A2E65"/>
    <w:rsid w:val="009A318B"/>
    <w:rsid w:val="009A47AF"/>
    <w:rsid w:val="009A4E23"/>
    <w:rsid w:val="009A52FA"/>
    <w:rsid w:val="009A58FC"/>
    <w:rsid w:val="009A5B5C"/>
    <w:rsid w:val="009A744E"/>
    <w:rsid w:val="009A75F3"/>
    <w:rsid w:val="009B000C"/>
    <w:rsid w:val="009B294C"/>
    <w:rsid w:val="009B394F"/>
    <w:rsid w:val="009B44BD"/>
    <w:rsid w:val="009B4D3B"/>
    <w:rsid w:val="009B4D5D"/>
    <w:rsid w:val="009B543F"/>
    <w:rsid w:val="009B5FEC"/>
    <w:rsid w:val="009B711D"/>
    <w:rsid w:val="009C0161"/>
    <w:rsid w:val="009C16E5"/>
    <w:rsid w:val="009C18DB"/>
    <w:rsid w:val="009C2091"/>
    <w:rsid w:val="009C220F"/>
    <w:rsid w:val="009C30F6"/>
    <w:rsid w:val="009C3141"/>
    <w:rsid w:val="009C449B"/>
    <w:rsid w:val="009C5420"/>
    <w:rsid w:val="009C5A97"/>
    <w:rsid w:val="009C5D74"/>
    <w:rsid w:val="009C6C1A"/>
    <w:rsid w:val="009D035C"/>
    <w:rsid w:val="009D1752"/>
    <w:rsid w:val="009D1F71"/>
    <w:rsid w:val="009D2106"/>
    <w:rsid w:val="009D253C"/>
    <w:rsid w:val="009D2BB6"/>
    <w:rsid w:val="009D2D73"/>
    <w:rsid w:val="009D3438"/>
    <w:rsid w:val="009D3B22"/>
    <w:rsid w:val="009D419F"/>
    <w:rsid w:val="009D48E5"/>
    <w:rsid w:val="009D4F28"/>
    <w:rsid w:val="009D609B"/>
    <w:rsid w:val="009D637D"/>
    <w:rsid w:val="009D7407"/>
    <w:rsid w:val="009E0241"/>
    <w:rsid w:val="009E0866"/>
    <w:rsid w:val="009E136D"/>
    <w:rsid w:val="009E273C"/>
    <w:rsid w:val="009E3C23"/>
    <w:rsid w:val="009E417C"/>
    <w:rsid w:val="009E57B5"/>
    <w:rsid w:val="009E5A39"/>
    <w:rsid w:val="009E62F8"/>
    <w:rsid w:val="009E666D"/>
    <w:rsid w:val="009F0D62"/>
    <w:rsid w:val="009F1350"/>
    <w:rsid w:val="009F15B3"/>
    <w:rsid w:val="009F1BF4"/>
    <w:rsid w:val="009F302A"/>
    <w:rsid w:val="009F3486"/>
    <w:rsid w:val="009F35A4"/>
    <w:rsid w:val="009F40D1"/>
    <w:rsid w:val="009F443D"/>
    <w:rsid w:val="009F44BF"/>
    <w:rsid w:val="009F4C31"/>
    <w:rsid w:val="009F6423"/>
    <w:rsid w:val="009F7866"/>
    <w:rsid w:val="00A006C8"/>
    <w:rsid w:val="00A0153D"/>
    <w:rsid w:val="00A026B9"/>
    <w:rsid w:val="00A036F1"/>
    <w:rsid w:val="00A03D3E"/>
    <w:rsid w:val="00A048F4"/>
    <w:rsid w:val="00A0545E"/>
    <w:rsid w:val="00A06806"/>
    <w:rsid w:val="00A06AA6"/>
    <w:rsid w:val="00A07A86"/>
    <w:rsid w:val="00A100C1"/>
    <w:rsid w:val="00A107B9"/>
    <w:rsid w:val="00A12B40"/>
    <w:rsid w:val="00A131C3"/>
    <w:rsid w:val="00A13238"/>
    <w:rsid w:val="00A1369A"/>
    <w:rsid w:val="00A15FA3"/>
    <w:rsid w:val="00A173EA"/>
    <w:rsid w:val="00A17461"/>
    <w:rsid w:val="00A20F41"/>
    <w:rsid w:val="00A210B7"/>
    <w:rsid w:val="00A22CD1"/>
    <w:rsid w:val="00A22D2E"/>
    <w:rsid w:val="00A23392"/>
    <w:rsid w:val="00A237B8"/>
    <w:rsid w:val="00A23E46"/>
    <w:rsid w:val="00A240C3"/>
    <w:rsid w:val="00A24617"/>
    <w:rsid w:val="00A24A62"/>
    <w:rsid w:val="00A24F32"/>
    <w:rsid w:val="00A26499"/>
    <w:rsid w:val="00A30657"/>
    <w:rsid w:val="00A31C9F"/>
    <w:rsid w:val="00A3263E"/>
    <w:rsid w:val="00A33708"/>
    <w:rsid w:val="00A3385F"/>
    <w:rsid w:val="00A3680F"/>
    <w:rsid w:val="00A409E8"/>
    <w:rsid w:val="00A40E5B"/>
    <w:rsid w:val="00A4144F"/>
    <w:rsid w:val="00A44990"/>
    <w:rsid w:val="00A455B6"/>
    <w:rsid w:val="00A45983"/>
    <w:rsid w:val="00A46B28"/>
    <w:rsid w:val="00A47135"/>
    <w:rsid w:val="00A47361"/>
    <w:rsid w:val="00A4775F"/>
    <w:rsid w:val="00A5093B"/>
    <w:rsid w:val="00A516C9"/>
    <w:rsid w:val="00A51A8A"/>
    <w:rsid w:val="00A52F3E"/>
    <w:rsid w:val="00A53B43"/>
    <w:rsid w:val="00A5622E"/>
    <w:rsid w:val="00A56E35"/>
    <w:rsid w:val="00A57354"/>
    <w:rsid w:val="00A579F6"/>
    <w:rsid w:val="00A61B4D"/>
    <w:rsid w:val="00A62C97"/>
    <w:rsid w:val="00A63BA4"/>
    <w:rsid w:val="00A643C6"/>
    <w:rsid w:val="00A654F3"/>
    <w:rsid w:val="00A66C88"/>
    <w:rsid w:val="00A71167"/>
    <w:rsid w:val="00A72201"/>
    <w:rsid w:val="00A7352E"/>
    <w:rsid w:val="00A735A8"/>
    <w:rsid w:val="00A7377B"/>
    <w:rsid w:val="00A73942"/>
    <w:rsid w:val="00A74192"/>
    <w:rsid w:val="00A7561B"/>
    <w:rsid w:val="00A75B00"/>
    <w:rsid w:val="00A75B84"/>
    <w:rsid w:val="00A769A4"/>
    <w:rsid w:val="00A77A97"/>
    <w:rsid w:val="00A80123"/>
    <w:rsid w:val="00A80305"/>
    <w:rsid w:val="00A80E83"/>
    <w:rsid w:val="00A80F95"/>
    <w:rsid w:val="00A832B7"/>
    <w:rsid w:val="00A83622"/>
    <w:rsid w:val="00A84013"/>
    <w:rsid w:val="00A846D7"/>
    <w:rsid w:val="00A854AC"/>
    <w:rsid w:val="00A854F9"/>
    <w:rsid w:val="00A85616"/>
    <w:rsid w:val="00A85D73"/>
    <w:rsid w:val="00A86214"/>
    <w:rsid w:val="00A868CB"/>
    <w:rsid w:val="00A879C2"/>
    <w:rsid w:val="00A87E76"/>
    <w:rsid w:val="00A91B15"/>
    <w:rsid w:val="00A9358B"/>
    <w:rsid w:val="00A96364"/>
    <w:rsid w:val="00A97244"/>
    <w:rsid w:val="00A973E1"/>
    <w:rsid w:val="00A97BF1"/>
    <w:rsid w:val="00A97C80"/>
    <w:rsid w:val="00A97F2E"/>
    <w:rsid w:val="00AA1188"/>
    <w:rsid w:val="00AA120B"/>
    <w:rsid w:val="00AA17E6"/>
    <w:rsid w:val="00AA298A"/>
    <w:rsid w:val="00AA2AB5"/>
    <w:rsid w:val="00AA36EF"/>
    <w:rsid w:val="00AA3AA8"/>
    <w:rsid w:val="00AA4760"/>
    <w:rsid w:val="00AA490B"/>
    <w:rsid w:val="00AA4C9A"/>
    <w:rsid w:val="00AA5190"/>
    <w:rsid w:val="00AA5675"/>
    <w:rsid w:val="00AA56CA"/>
    <w:rsid w:val="00AA6287"/>
    <w:rsid w:val="00AA6A3B"/>
    <w:rsid w:val="00AA6D95"/>
    <w:rsid w:val="00AA6DCA"/>
    <w:rsid w:val="00AB05D8"/>
    <w:rsid w:val="00AB1FD4"/>
    <w:rsid w:val="00AB3C07"/>
    <w:rsid w:val="00AB3F9E"/>
    <w:rsid w:val="00AB4044"/>
    <w:rsid w:val="00AB4366"/>
    <w:rsid w:val="00AB4795"/>
    <w:rsid w:val="00AB4F6B"/>
    <w:rsid w:val="00AB5D49"/>
    <w:rsid w:val="00AB6748"/>
    <w:rsid w:val="00AB68E8"/>
    <w:rsid w:val="00AB6BD2"/>
    <w:rsid w:val="00AB7078"/>
    <w:rsid w:val="00AB75D9"/>
    <w:rsid w:val="00AC107C"/>
    <w:rsid w:val="00AC164A"/>
    <w:rsid w:val="00AC1BD7"/>
    <w:rsid w:val="00AC23D9"/>
    <w:rsid w:val="00AC24D1"/>
    <w:rsid w:val="00AC3944"/>
    <w:rsid w:val="00AC551D"/>
    <w:rsid w:val="00AC58DF"/>
    <w:rsid w:val="00AC5966"/>
    <w:rsid w:val="00AC68A6"/>
    <w:rsid w:val="00AD145A"/>
    <w:rsid w:val="00AD15EC"/>
    <w:rsid w:val="00AD1638"/>
    <w:rsid w:val="00AD16B3"/>
    <w:rsid w:val="00AD19E0"/>
    <w:rsid w:val="00AD19F7"/>
    <w:rsid w:val="00AD1E20"/>
    <w:rsid w:val="00AD217B"/>
    <w:rsid w:val="00AD2C2E"/>
    <w:rsid w:val="00AD3A65"/>
    <w:rsid w:val="00AD471C"/>
    <w:rsid w:val="00AD5768"/>
    <w:rsid w:val="00AD5BCE"/>
    <w:rsid w:val="00AD73B9"/>
    <w:rsid w:val="00AD7C00"/>
    <w:rsid w:val="00AE1542"/>
    <w:rsid w:val="00AE175A"/>
    <w:rsid w:val="00AE2B7B"/>
    <w:rsid w:val="00AE3006"/>
    <w:rsid w:val="00AE448A"/>
    <w:rsid w:val="00AE47E5"/>
    <w:rsid w:val="00AE4C75"/>
    <w:rsid w:val="00AE4E9A"/>
    <w:rsid w:val="00AE6F87"/>
    <w:rsid w:val="00AE74DA"/>
    <w:rsid w:val="00AE7A1D"/>
    <w:rsid w:val="00AE7AB3"/>
    <w:rsid w:val="00AF18F4"/>
    <w:rsid w:val="00AF1AC3"/>
    <w:rsid w:val="00AF1EA9"/>
    <w:rsid w:val="00AF2050"/>
    <w:rsid w:val="00AF3961"/>
    <w:rsid w:val="00AF3D06"/>
    <w:rsid w:val="00AF4A1C"/>
    <w:rsid w:val="00AF4AB3"/>
    <w:rsid w:val="00AF50DC"/>
    <w:rsid w:val="00AF62CB"/>
    <w:rsid w:val="00AF7ECC"/>
    <w:rsid w:val="00B00BF4"/>
    <w:rsid w:val="00B01156"/>
    <w:rsid w:val="00B011DE"/>
    <w:rsid w:val="00B02911"/>
    <w:rsid w:val="00B02B2A"/>
    <w:rsid w:val="00B03CA8"/>
    <w:rsid w:val="00B05AEF"/>
    <w:rsid w:val="00B05B87"/>
    <w:rsid w:val="00B0695C"/>
    <w:rsid w:val="00B06FD7"/>
    <w:rsid w:val="00B07236"/>
    <w:rsid w:val="00B07C65"/>
    <w:rsid w:val="00B117F6"/>
    <w:rsid w:val="00B12991"/>
    <w:rsid w:val="00B13077"/>
    <w:rsid w:val="00B13110"/>
    <w:rsid w:val="00B13307"/>
    <w:rsid w:val="00B136F3"/>
    <w:rsid w:val="00B14311"/>
    <w:rsid w:val="00B143B0"/>
    <w:rsid w:val="00B14A60"/>
    <w:rsid w:val="00B16EF6"/>
    <w:rsid w:val="00B177AD"/>
    <w:rsid w:val="00B201D6"/>
    <w:rsid w:val="00B20E9F"/>
    <w:rsid w:val="00B22AFE"/>
    <w:rsid w:val="00B22F0E"/>
    <w:rsid w:val="00B23254"/>
    <w:rsid w:val="00B2397D"/>
    <w:rsid w:val="00B249EC"/>
    <w:rsid w:val="00B26469"/>
    <w:rsid w:val="00B27783"/>
    <w:rsid w:val="00B30369"/>
    <w:rsid w:val="00B311CF"/>
    <w:rsid w:val="00B32160"/>
    <w:rsid w:val="00B33700"/>
    <w:rsid w:val="00B33BAA"/>
    <w:rsid w:val="00B33C0A"/>
    <w:rsid w:val="00B342F4"/>
    <w:rsid w:val="00B3461E"/>
    <w:rsid w:val="00B34763"/>
    <w:rsid w:val="00B36268"/>
    <w:rsid w:val="00B362A6"/>
    <w:rsid w:val="00B401AF"/>
    <w:rsid w:val="00B407F5"/>
    <w:rsid w:val="00B40D00"/>
    <w:rsid w:val="00B416A3"/>
    <w:rsid w:val="00B4178F"/>
    <w:rsid w:val="00B43C1F"/>
    <w:rsid w:val="00B4603E"/>
    <w:rsid w:val="00B50ED0"/>
    <w:rsid w:val="00B510EF"/>
    <w:rsid w:val="00B5152A"/>
    <w:rsid w:val="00B51610"/>
    <w:rsid w:val="00B51BF1"/>
    <w:rsid w:val="00B51C2F"/>
    <w:rsid w:val="00B52C02"/>
    <w:rsid w:val="00B548E9"/>
    <w:rsid w:val="00B55D76"/>
    <w:rsid w:val="00B55E19"/>
    <w:rsid w:val="00B56E71"/>
    <w:rsid w:val="00B579A6"/>
    <w:rsid w:val="00B61797"/>
    <w:rsid w:val="00B631DF"/>
    <w:rsid w:val="00B634F7"/>
    <w:rsid w:val="00B6478F"/>
    <w:rsid w:val="00B64B5C"/>
    <w:rsid w:val="00B65FA5"/>
    <w:rsid w:val="00B660F5"/>
    <w:rsid w:val="00B664A8"/>
    <w:rsid w:val="00B66D3E"/>
    <w:rsid w:val="00B673E2"/>
    <w:rsid w:val="00B714AB"/>
    <w:rsid w:val="00B71AD8"/>
    <w:rsid w:val="00B71F39"/>
    <w:rsid w:val="00B72D7F"/>
    <w:rsid w:val="00B73E43"/>
    <w:rsid w:val="00B7416D"/>
    <w:rsid w:val="00B74633"/>
    <w:rsid w:val="00B7587E"/>
    <w:rsid w:val="00B7649F"/>
    <w:rsid w:val="00B775E9"/>
    <w:rsid w:val="00B779B1"/>
    <w:rsid w:val="00B77C5A"/>
    <w:rsid w:val="00B77FA2"/>
    <w:rsid w:val="00B80180"/>
    <w:rsid w:val="00B82737"/>
    <w:rsid w:val="00B8425B"/>
    <w:rsid w:val="00B84759"/>
    <w:rsid w:val="00B84B3C"/>
    <w:rsid w:val="00B857E1"/>
    <w:rsid w:val="00B8599B"/>
    <w:rsid w:val="00B86990"/>
    <w:rsid w:val="00B9010B"/>
    <w:rsid w:val="00B91CD2"/>
    <w:rsid w:val="00B91FE7"/>
    <w:rsid w:val="00B9249E"/>
    <w:rsid w:val="00B929BE"/>
    <w:rsid w:val="00B94758"/>
    <w:rsid w:val="00B95A68"/>
    <w:rsid w:val="00B9632B"/>
    <w:rsid w:val="00B96F4B"/>
    <w:rsid w:val="00BA013C"/>
    <w:rsid w:val="00BA0364"/>
    <w:rsid w:val="00BA0FAB"/>
    <w:rsid w:val="00BA1B89"/>
    <w:rsid w:val="00BA2028"/>
    <w:rsid w:val="00BA229A"/>
    <w:rsid w:val="00BA22EA"/>
    <w:rsid w:val="00BA2322"/>
    <w:rsid w:val="00BA2792"/>
    <w:rsid w:val="00BA3553"/>
    <w:rsid w:val="00BA3C0D"/>
    <w:rsid w:val="00BA4B6D"/>
    <w:rsid w:val="00BA7ABA"/>
    <w:rsid w:val="00BB0765"/>
    <w:rsid w:val="00BB1A4F"/>
    <w:rsid w:val="00BB26C5"/>
    <w:rsid w:val="00BB29D5"/>
    <w:rsid w:val="00BB2F84"/>
    <w:rsid w:val="00BB3B1F"/>
    <w:rsid w:val="00BB3FD0"/>
    <w:rsid w:val="00BB4089"/>
    <w:rsid w:val="00BB63A7"/>
    <w:rsid w:val="00BB6E32"/>
    <w:rsid w:val="00BB732F"/>
    <w:rsid w:val="00BB75A2"/>
    <w:rsid w:val="00BB7FFB"/>
    <w:rsid w:val="00BC00AF"/>
    <w:rsid w:val="00BC0F65"/>
    <w:rsid w:val="00BC1FED"/>
    <w:rsid w:val="00BC213E"/>
    <w:rsid w:val="00BC2548"/>
    <w:rsid w:val="00BC2FEE"/>
    <w:rsid w:val="00BC33B7"/>
    <w:rsid w:val="00BC3FD6"/>
    <w:rsid w:val="00BC63A8"/>
    <w:rsid w:val="00BC69D9"/>
    <w:rsid w:val="00BC710A"/>
    <w:rsid w:val="00BD00E2"/>
    <w:rsid w:val="00BD0383"/>
    <w:rsid w:val="00BD0F5C"/>
    <w:rsid w:val="00BD1599"/>
    <w:rsid w:val="00BD2B10"/>
    <w:rsid w:val="00BD3636"/>
    <w:rsid w:val="00BD407F"/>
    <w:rsid w:val="00BD441A"/>
    <w:rsid w:val="00BD5581"/>
    <w:rsid w:val="00BD6304"/>
    <w:rsid w:val="00BD6EFA"/>
    <w:rsid w:val="00BD710C"/>
    <w:rsid w:val="00BE12B6"/>
    <w:rsid w:val="00BE1609"/>
    <w:rsid w:val="00BE1712"/>
    <w:rsid w:val="00BE4FFD"/>
    <w:rsid w:val="00BE513E"/>
    <w:rsid w:val="00BE52C1"/>
    <w:rsid w:val="00BE6B23"/>
    <w:rsid w:val="00BE6C60"/>
    <w:rsid w:val="00BE72F6"/>
    <w:rsid w:val="00BF1579"/>
    <w:rsid w:val="00BF18CE"/>
    <w:rsid w:val="00BF1D5C"/>
    <w:rsid w:val="00BF2917"/>
    <w:rsid w:val="00BF3F72"/>
    <w:rsid w:val="00BF409A"/>
    <w:rsid w:val="00BF4741"/>
    <w:rsid w:val="00BF4A1F"/>
    <w:rsid w:val="00BF4DE6"/>
    <w:rsid w:val="00BF5267"/>
    <w:rsid w:val="00BF6703"/>
    <w:rsid w:val="00BF6DCA"/>
    <w:rsid w:val="00C015E9"/>
    <w:rsid w:val="00C01FA4"/>
    <w:rsid w:val="00C02480"/>
    <w:rsid w:val="00C03B96"/>
    <w:rsid w:val="00C04046"/>
    <w:rsid w:val="00C0449B"/>
    <w:rsid w:val="00C04D72"/>
    <w:rsid w:val="00C06226"/>
    <w:rsid w:val="00C06B13"/>
    <w:rsid w:val="00C10412"/>
    <w:rsid w:val="00C11773"/>
    <w:rsid w:val="00C11814"/>
    <w:rsid w:val="00C12BB0"/>
    <w:rsid w:val="00C136BC"/>
    <w:rsid w:val="00C148B0"/>
    <w:rsid w:val="00C14BB6"/>
    <w:rsid w:val="00C160F9"/>
    <w:rsid w:val="00C16A47"/>
    <w:rsid w:val="00C17104"/>
    <w:rsid w:val="00C24284"/>
    <w:rsid w:val="00C24B91"/>
    <w:rsid w:val="00C250C7"/>
    <w:rsid w:val="00C26E76"/>
    <w:rsid w:val="00C2747E"/>
    <w:rsid w:val="00C27D25"/>
    <w:rsid w:val="00C321D5"/>
    <w:rsid w:val="00C34DC3"/>
    <w:rsid w:val="00C35791"/>
    <w:rsid w:val="00C363C1"/>
    <w:rsid w:val="00C36F98"/>
    <w:rsid w:val="00C37294"/>
    <w:rsid w:val="00C37665"/>
    <w:rsid w:val="00C37697"/>
    <w:rsid w:val="00C42541"/>
    <w:rsid w:val="00C42CDE"/>
    <w:rsid w:val="00C43C04"/>
    <w:rsid w:val="00C4429C"/>
    <w:rsid w:val="00C45941"/>
    <w:rsid w:val="00C50902"/>
    <w:rsid w:val="00C50B58"/>
    <w:rsid w:val="00C5178B"/>
    <w:rsid w:val="00C5182A"/>
    <w:rsid w:val="00C51C4A"/>
    <w:rsid w:val="00C52463"/>
    <w:rsid w:val="00C52B3D"/>
    <w:rsid w:val="00C55609"/>
    <w:rsid w:val="00C55983"/>
    <w:rsid w:val="00C57E54"/>
    <w:rsid w:val="00C57FA8"/>
    <w:rsid w:val="00C60772"/>
    <w:rsid w:val="00C60E43"/>
    <w:rsid w:val="00C6127F"/>
    <w:rsid w:val="00C61649"/>
    <w:rsid w:val="00C6185B"/>
    <w:rsid w:val="00C61935"/>
    <w:rsid w:val="00C61C89"/>
    <w:rsid w:val="00C63EE9"/>
    <w:rsid w:val="00C64255"/>
    <w:rsid w:val="00C643C5"/>
    <w:rsid w:val="00C65246"/>
    <w:rsid w:val="00C652A0"/>
    <w:rsid w:val="00C65BEA"/>
    <w:rsid w:val="00C66464"/>
    <w:rsid w:val="00C6672D"/>
    <w:rsid w:val="00C668D2"/>
    <w:rsid w:val="00C66FFA"/>
    <w:rsid w:val="00C7067C"/>
    <w:rsid w:val="00C710A1"/>
    <w:rsid w:val="00C71669"/>
    <w:rsid w:val="00C71925"/>
    <w:rsid w:val="00C71AD7"/>
    <w:rsid w:val="00C72739"/>
    <w:rsid w:val="00C7475E"/>
    <w:rsid w:val="00C74FFA"/>
    <w:rsid w:val="00C75BBD"/>
    <w:rsid w:val="00C77100"/>
    <w:rsid w:val="00C778CB"/>
    <w:rsid w:val="00C80096"/>
    <w:rsid w:val="00C80F99"/>
    <w:rsid w:val="00C83F4E"/>
    <w:rsid w:val="00C8459C"/>
    <w:rsid w:val="00C84C30"/>
    <w:rsid w:val="00C8523A"/>
    <w:rsid w:val="00C8547B"/>
    <w:rsid w:val="00C86AF0"/>
    <w:rsid w:val="00C8700B"/>
    <w:rsid w:val="00C87B9B"/>
    <w:rsid w:val="00C908C7"/>
    <w:rsid w:val="00C9123A"/>
    <w:rsid w:val="00C91479"/>
    <w:rsid w:val="00C915FC"/>
    <w:rsid w:val="00C9267F"/>
    <w:rsid w:val="00C92805"/>
    <w:rsid w:val="00C94567"/>
    <w:rsid w:val="00C963A5"/>
    <w:rsid w:val="00C97A89"/>
    <w:rsid w:val="00CA16F3"/>
    <w:rsid w:val="00CA1AF0"/>
    <w:rsid w:val="00CA3403"/>
    <w:rsid w:val="00CA37B1"/>
    <w:rsid w:val="00CA3FD8"/>
    <w:rsid w:val="00CA43E5"/>
    <w:rsid w:val="00CA49DA"/>
    <w:rsid w:val="00CA4D07"/>
    <w:rsid w:val="00CA4F75"/>
    <w:rsid w:val="00CA5021"/>
    <w:rsid w:val="00CA54C5"/>
    <w:rsid w:val="00CA575B"/>
    <w:rsid w:val="00CA5D14"/>
    <w:rsid w:val="00CA5EC9"/>
    <w:rsid w:val="00CA6900"/>
    <w:rsid w:val="00CA69AD"/>
    <w:rsid w:val="00CB1488"/>
    <w:rsid w:val="00CB1959"/>
    <w:rsid w:val="00CB2142"/>
    <w:rsid w:val="00CB2428"/>
    <w:rsid w:val="00CB2535"/>
    <w:rsid w:val="00CB40BD"/>
    <w:rsid w:val="00CB4F82"/>
    <w:rsid w:val="00CB5B74"/>
    <w:rsid w:val="00CB7A52"/>
    <w:rsid w:val="00CC0FD1"/>
    <w:rsid w:val="00CC1D45"/>
    <w:rsid w:val="00CC3697"/>
    <w:rsid w:val="00CC40A5"/>
    <w:rsid w:val="00CC67D7"/>
    <w:rsid w:val="00CC7234"/>
    <w:rsid w:val="00CC741B"/>
    <w:rsid w:val="00CC7899"/>
    <w:rsid w:val="00CC7AC1"/>
    <w:rsid w:val="00CD02BA"/>
    <w:rsid w:val="00CD0CB6"/>
    <w:rsid w:val="00CD0E4B"/>
    <w:rsid w:val="00CD1966"/>
    <w:rsid w:val="00CD2F90"/>
    <w:rsid w:val="00CD2FCF"/>
    <w:rsid w:val="00CD3F5D"/>
    <w:rsid w:val="00CD4AD4"/>
    <w:rsid w:val="00CD4C21"/>
    <w:rsid w:val="00CE0BFC"/>
    <w:rsid w:val="00CE14A6"/>
    <w:rsid w:val="00CE1FC1"/>
    <w:rsid w:val="00CE208C"/>
    <w:rsid w:val="00CE250F"/>
    <w:rsid w:val="00CE2CF5"/>
    <w:rsid w:val="00CE3945"/>
    <w:rsid w:val="00CE3BEA"/>
    <w:rsid w:val="00CE4C89"/>
    <w:rsid w:val="00CE6708"/>
    <w:rsid w:val="00CE6EDD"/>
    <w:rsid w:val="00CF07BA"/>
    <w:rsid w:val="00CF17D7"/>
    <w:rsid w:val="00CF1987"/>
    <w:rsid w:val="00CF1AE9"/>
    <w:rsid w:val="00CF21A3"/>
    <w:rsid w:val="00CF272C"/>
    <w:rsid w:val="00CF2E9F"/>
    <w:rsid w:val="00CF3B75"/>
    <w:rsid w:val="00CF5F4E"/>
    <w:rsid w:val="00CF5F93"/>
    <w:rsid w:val="00D000AD"/>
    <w:rsid w:val="00D01410"/>
    <w:rsid w:val="00D017CD"/>
    <w:rsid w:val="00D0296C"/>
    <w:rsid w:val="00D02A74"/>
    <w:rsid w:val="00D02D29"/>
    <w:rsid w:val="00D04F4F"/>
    <w:rsid w:val="00D05938"/>
    <w:rsid w:val="00D05E55"/>
    <w:rsid w:val="00D05FC9"/>
    <w:rsid w:val="00D06A19"/>
    <w:rsid w:val="00D1231A"/>
    <w:rsid w:val="00D1370A"/>
    <w:rsid w:val="00D16A00"/>
    <w:rsid w:val="00D16F37"/>
    <w:rsid w:val="00D17988"/>
    <w:rsid w:val="00D20695"/>
    <w:rsid w:val="00D20A30"/>
    <w:rsid w:val="00D20BC7"/>
    <w:rsid w:val="00D21230"/>
    <w:rsid w:val="00D215AD"/>
    <w:rsid w:val="00D22072"/>
    <w:rsid w:val="00D24084"/>
    <w:rsid w:val="00D255E7"/>
    <w:rsid w:val="00D2641E"/>
    <w:rsid w:val="00D268F7"/>
    <w:rsid w:val="00D26CA9"/>
    <w:rsid w:val="00D3032E"/>
    <w:rsid w:val="00D3068D"/>
    <w:rsid w:val="00D3170B"/>
    <w:rsid w:val="00D3197C"/>
    <w:rsid w:val="00D32D6F"/>
    <w:rsid w:val="00D33EEC"/>
    <w:rsid w:val="00D34D5D"/>
    <w:rsid w:val="00D35E44"/>
    <w:rsid w:val="00D36139"/>
    <w:rsid w:val="00D37B04"/>
    <w:rsid w:val="00D4033E"/>
    <w:rsid w:val="00D407F7"/>
    <w:rsid w:val="00D42A2B"/>
    <w:rsid w:val="00D448A7"/>
    <w:rsid w:val="00D45555"/>
    <w:rsid w:val="00D45A5F"/>
    <w:rsid w:val="00D4628C"/>
    <w:rsid w:val="00D479B5"/>
    <w:rsid w:val="00D51A40"/>
    <w:rsid w:val="00D53B32"/>
    <w:rsid w:val="00D540C6"/>
    <w:rsid w:val="00D540FB"/>
    <w:rsid w:val="00D54570"/>
    <w:rsid w:val="00D560C9"/>
    <w:rsid w:val="00D56FBD"/>
    <w:rsid w:val="00D57839"/>
    <w:rsid w:val="00D57EDC"/>
    <w:rsid w:val="00D6051C"/>
    <w:rsid w:val="00D60676"/>
    <w:rsid w:val="00D60886"/>
    <w:rsid w:val="00D61972"/>
    <w:rsid w:val="00D62487"/>
    <w:rsid w:val="00D6283D"/>
    <w:rsid w:val="00D62843"/>
    <w:rsid w:val="00D6356B"/>
    <w:rsid w:val="00D635FF"/>
    <w:rsid w:val="00D63C39"/>
    <w:rsid w:val="00D645F7"/>
    <w:rsid w:val="00D64BD1"/>
    <w:rsid w:val="00D65AFA"/>
    <w:rsid w:val="00D66865"/>
    <w:rsid w:val="00D670A9"/>
    <w:rsid w:val="00D67DA1"/>
    <w:rsid w:val="00D71F34"/>
    <w:rsid w:val="00D72622"/>
    <w:rsid w:val="00D7310B"/>
    <w:rsid w:val="00D738BF"/>
    <w:rsid w:val="00D74B6F"/>
    <w:rsid w:val="00D75A7C"/>
    <w:rsid w:val="00D75E5E"/>
    <w:rsid w:val="00D7718E"/>
    <w:rsid w:val="00D775EE"/>
    <w:rsid w:val="00D776EB"/>
    <w:rsid w:val="00D77A0C"/>
    <w:rsid w:val="00D80F34"/>
    <w:rsid w:val="00D85563"/>
    <w:rsid w:val="00D856EE"/>
    <w:rsid w:val="00D85F0B"/>
    <w:rsid w:val="00D8603A"/>
    <w:rsid w:val="00D8625E"/>
    <w:rsid w:val="00D86E1C"/>
    <w:rsid w:val="00D879AA"/>
    <w:rsid w:val="00D90B37"/>
    <w:rsid w:val="00D915BB"/>
    <w:rsid w:val="00D92254"/>
    <w:rsid w:val="00D924D3"/>
    <w:rsid w:val="00D932B2"/>
    <w:rsid w:val="00D9349E"/>
    <w:rsid w:val="00D945FA"/>
    <w:rsid w:val="00D94A44"/>
    <w:rsid w:val="00D95EC3"/>
    <w:rsid w:val="00D97C90"/>
    <w:rsid w:val="00DA0EC0"/>
    <w:rsid w:val="00DA1B52"/>
    <w:rsid w:val="00DA3138"/>
    <w:rsid w:val="00DA3A38"/>
    <w:rsid w:val="00DA4B3C"/>
    <w:rsid w:val="00DA5267"/>
    <w:rsid w:val="00DA5934"/>
    <w:rsid w:val="00DA61B5"/>
    <w:rsid w:val="00DA68EA"/>
    <w:rsid w:val="00DA7CBE"/>
    <w:rsid w:val="00DA7CDD"/>
    <w:rsid w:val="00DA7D8E"/>
    <w:rsid w:val="00DB0416"/>
    <w:rsid w:val="00DB150C"/>
    <w:rsid w:val="00DB17D6"/>
    <w:rsid w:val="00DB34FF"/>
    <w:rsid w:val="00DB40DA"/>
    <w:rsid w:val="00DB7892"/>
    <w:rsid w:val="00DC0996"/>
    <w:rsid w:val="00DC1921"/>
    <w:rsid w:val="00DC196C"/>
    <w:rsid w:val="00DC238C"/>
    <w:rsid w:val="00DC2A7B"/>
    <w:rsid w:val="00DC40B1"/>
    <w:rsid w:val="00DC4B8D"/>
    <w:rsid w:val="00DC5A4E"/>
    <w:rsid w:val="00DC5AA1"/>
    <w:rsid w:val="00DC67F9"/>
    <w:rsid w:val="00DC6D78"/>
    <w:rsid w:val="00DC741D"/>
    <w:rsid w:val="00DC759D"/>
    <w:rsid w:val="00DD18E0"/>
    <w:rsid w:val="00DD1B2C"/>
    <w:rsid w:val="00DD2131"/>
    <w:rsid w:val="00DD2677"/>
    <w:rsid w:val="00DD3452"/>
    <w:rsid w:val="00DD3E88"/>
    <w:rsid w:val="00DD4269"/>
    <w:rsid w:val="00DD652F"/>
    <w:rsid w:val="00DD702C"/>
    <w:rsid w:val="00DD78FC"/>
    <w:rsid w:val="00DD7E22"/>
    <w:rsid w:val="00DD7EAD"/>
    <w:rsid w:val="00DE084C"/>
    <w:rsid w:val="00DE1CDE"/>
    <w:rsid w:val="00DE1CEA"/>
    <w:rsid w:val="00DE23DB"/>
    <w:rsid w:val="00DE24AE"/>
    <w:rsid w:val="00DE2780"/>
    <w:rsid w:val="00DE4872"/>
    <w:rsid w:val="00DE49A5"/>
    <w:rsid w:val="00DE4DF6"/>
    <w:rsid w:val="00DE5853"/>
    <w:rsid w:val="00DE5ACE"/>
    <w:rsid w:val="00DE69C7"/>
    <w:rsid w:val="00DE723D"/>
    <w:rsid w:val="00DE7524"/>
    <w:rsid w:val="00DE76D1"/>
    <w:rsid w:val="00DF0058"/>
    <w:rsid w:val="00DF01DF"/>
    <w:rsid w:val="00DF0282"/>
    <w:rsid w:val="00DF2254"/>
    <w:rsid w:val="00DF2311"/>
    <w:rsid w:val="00DF2F64"/>
    <w:rsid w:val="00DF354E"/>
    <w:rsid w:val="00DF4984"/>
    <w:rsid w:val="00DF5E57"/>
    <w:rsid w:val="00DF67AA"/>
    <w:rsid w:val="00DF68CF"/>
    <w:rsid w:val="00E0138E"/>
    <w:rsid w:val="00E0159F"/>
    <w:rsid w:val="00E0277C"/>
    <w:rsid w:val="00E02D33"/>
    <w:rsid w:val="00E0497E"/>
    <w:rsid w:val="00E04B4F"/>
    <w:rsid w:val="00E054A9"/>
    <w:rsid w:val="00E055AB"/>
    <w:rsid w:val="00E06376"/>
    <w:rsid w:val="00E06A44"/>
    <w:rsid w:val="00E10061"/>
    <w:rsid w:val="00E10779"/>
    <w:rsid w:val="00E12864"/>
    <w:rsid w:val="00E14E3E"/>
    <w:rsid w:val="00E14E55"/>
    <w:rsid w:val="00E14F51"/>
    <w:rsid w:val="00E14F5F"/>
    <w:rsid w:val="00E15421"/>
    <w:rsid w:val="00E158B2"/>
    <w:rsid w:val="00E15A6C"/>
    <w:rsid w:val="00E164F8"/>
    <w:rsid w:val="00E1666D"/>
    <w:rsid w:val="00E16B72"/>
    <w:rsid w:val="00E16D5F"/>
    <w:rsid w:val="00E20945"/>
    <w:rsid w:val="00E21397"/>
    <w:rsid w:val="00E21C06"/>
    <w:rsid w:val="00E221FA"/>
    <w:rsid w:val="00E22592"/>
    <w:rsid w:val="00E233B7"/>
    <w:rsid w:val="00E23C35"/>
    <w:rsid w:val="00E24D62"/>
    <w:rsid w:val="00E256AA"/>
    <w:rsid w:val="00E25B73"/>
    <w:rsid w:val="00E30740"/>
    <w:rsid w:val="00E3076E"/>
    <w:rsid w:val="00E30A17"/>
    <w:rsid w:val="00E31930"/>
    <w:rsid w:val="00E31C70"/>
    <w:rsid w:val="00E32094"/>
    <w:rsid w:val="00E347B5"/>
    <w:rsid w:val="00E35781"/>
    <w:rsid w:val="00E357B7"/>
    <w:rsid w:val="00E36184"/>
    <w:rsid w:val="00E4024A"/>
    <w:rsid w:val="00E40E8B"/>
    <w:rsid w:val="00E410F8"/>
    <w:rsid w:val="00E42473"/>
    <w:rsid w:val="00E42990"/>
    <w:rsid w:val="00E42E50"/>
    <w:rsid w:val="00E4437D"/>
    <w:rsid w:val="00E4584F"/>
    <w:rsid w:val="00E46BCC"/>
    <w:rsid w:val="00E46C61"/>
    <w:rsid w:val="00E46EFE"/>
    <w:rsid w:val="00E473E1"/>
    <w:rsid w:val="00E47AF0"/>
    <w:rsid w:val="00E505C5"/>
    <w:rsid w:val="00E50DDA"/>
    <w:rsid w:val="00E516FD"/>
    <w:rsid w:val="00E517A2"/>
    <w:rsid w:val="00E52221"/>
    <w:rsid w:val="00E532A8"/>
    <w:rsid w:val="00E53800"/>
    <w:rsid w:val="00E54775"/>
    <w:rsid w:val="00E548D8"/>
    <w:rsid w:val="00E555FE"/>
    <w:rsid w:val="00E5575B"/>
    <w:rsid w:val="00E55D9B"/>
    <w:rsid w:val="00E565FC"/>
    <w:rsid w:val="00E569BB"/>
    <w:rsid w:val="00E6007B"/>
    <w:rsid w:val="00E6081F"/>
    <w:rsid w:val="00E61333"/>
    <w:rsid w:val="00E614AA"/>
    <w:rsid w:val="00E624EC"/>
    <w:rsid w:val="00E62975"/>
    <w:rsid w:val="00E62989"/>
    <w:rsid w:val="00E6551A"/>
    <w:rsid w:val="00E66633"/>
    <w:rsid w:val="00E669F0"/>
    <w:rsid w:val="00E66AFC"/>
    <w:rsid w:val="00E6757C"/>
    <w:rsid w:val="00E67C0F"/>
    <w:rsid w:val="00E70C37"/>
    <w:rsid w:val="00E7248F"/>
    <w:rsid w:val="00E72CF2"/>
    <w:rsid w:val="00E741F6"/>
    <w:rsid w:val="00E75118"/>
    <w:rsid w:val="00E7567C"/>
    <w:rsid w:val="00E76534"/>
    <w:rsid w:val="00E77F11"/>
    <w:rsid w:val="00E80622"/>
    <w:rsid w:val="00E8070F"/>
    <w:rsid w:val="00E817DB"/>
    <w:rsid w:val="00E8271F"/>
    <w:rsid w:val="00E8296D"/>
    <w:rsid w:val="00E82DF0"/>
    <w:rsid w:val="00E834AE"/>
    <w:rsid w:val="00E83AD6"/>
    <w:rsid w:val="00E8457B"/>
    <w:rsid w:val="00E86361"/>
    <w:rsid w:val="00E86735"/>
    <w:rsid w:val="00E871FA"/>
    <w:rsid w:val="00E8720F"/>
    <w:rsid w:val="00E87785"/>
    <w:rsid w:val="00E907E4"/>
    <w:rsid w:val="00E91DF2"/>
    <w:rsid w:val="00E92B44"/>
    <w:rsid w:val="00E92C5D"/>
    <w:rsid w:val="00E92D6A"/>
    <w:rsid w:val="00E93608"/>
    <w:rsid w:val="00E93F7C"/>
    <w:rsid w:val="00E94048"/>
    <w:rsid w:val="00E944AA"/>
    <w:rsid w:val="00E9455C"/>
    <w:rsid w:val="00E94923"/>
    <w:rsid w:val="00E9594A"/>
    <w:rsid w:val="00E96E3C"/>
    <w:rsid w:val="00EA04B2"/>
    <w:rsid w:val="00EA0DB2"/>
    <w:rsid w:val="00EA0FA9"/>
    <w:rsid w:val="00EA14DF"/>
    <w:rsid w:val="00EA1C19"/>
    <w:rsid w:val="00EA1CA6"/>
    <w:rsid w:val="00EA1E25"/>
    <w:rsid w:val="00EA20F3"/>
    <w:rsid w:val="00EA25B9"/>
    <w:rsid w:val="00EA25DE"/>
    <w:rsid w:val="00EA36D9"/>
    <w:rsid w:val="00EA3C71"/>
    <w:rsid w:val="00EA46E1"/>
    <w:rsid w:val="00EA5117"/>
    <w:rsid w:val="00EA7BF2"/>
    <w:rsid w:val="00EB0D20"/>
    <w:rsid w:val="00EB1C68"/>
    <w:rsid w:val="00EB3B01"/>
    <w:rsid w:val="00EB5BC3"/>
    <w:rsid w:val="00EB6431"/>
    <w:rsid w:val="00EB64D0"/>
    <w:rsid w:val="00EB6556"/>
    <w:rsid w:val="00EB6934"/>
    <w:rsid w:val="00EB7E5B"/>
    <w:rsid w:val="00EC03EA"/>
    <w:rsid w:val="00EC0B52"/>
    <w:rsid w:val="00EC1A7F"/>
    <w:rsid w:val="00EC25BD"/>
    <w:rsid w:val="00EC2883"/>
    <w:rsid w:val="00EC2B54"/>
    <w:rsid w:val="00EC5B6D"/>
    <w:rsid w:val="00EC5E3A"/>
    <w:rsid w:val="00EC608A"/>
    <w:rsid w:val="00EC6D38"/>
    <w:rsid w:val="00EC6EA4"/>
    <w:rsid w:val="00ED03F5"/>
    <w:rsid w:val="00ED0EBB"/>
    <w:rsid w:val="00ED12A9"/>
    <w:rsid w:val="00ED1565"/>
    <w:rsid w:val="00ED179A"/>
    <w:rsid w:val="00ED18EE"/>
    <w:rsid w:val="00ED2020"/>
    <w:rsid w:val="00ED2081"/>
    <w:rsid w:val="00ED2831"/>
    <w:rsid w:val="00ED3749"/>
    <w:rsid w:val="00ED3B2D"/>
    <w:rsid w:val="00ED43D1"/>
    <w:rsid w:val="00ED56EF"/>
    <w:rsid w:val="00ED59F6"/>
    <w:rsid w:val="00ED66E2"/>
    <w:rsid w:val="00ED69DD"/>
    <w:rsid w:val="00ED6E38"/>
    <w:rsid w:val="00ED7992"/>
    <w:rsid w:val="00EE0466"/>
    <w:rsid w:val="00EE1CFF"/>
    <w:rsid w:val="00EE2A90"/>
    <w:rsid w:val="00EE33D9"/>
    <w:rsid w:val="00EE36BC"/>
    <w:rsid w:val="00EE3C83"/>
    <w:rsid w:val="00EE3F30"/>
    <w:rsid w:val="00EE3F7A"/>
    <w:rsid w:val="00EE4EE1"/>
    <w:rsid w:val="00EE6972"/>
    <w:rsid w:val="00EE6C92"/>
    <w:rsid w:val="00EF05C9"/>
    <w:rsid w:val="00EF1390"/>
    <w:rsid w:val="00EF1D5E"/>
    <w:rsid w:val="00EF22BD"/>
    <w:rsid w:val="00EF2444"/>
    <w:rsid w:val="00EF2A36"/>
    <w:rsid w:val="00EF2F79"/>
    <w:rsid w:val="00EF35DA"/>
    <w:rsid w:val="00EF3810"/>
    <w:rsid w:val="00EF3821"/>
    <w:rsid w:val="00EF3EF6"/>
    <w:rsid w:val="00EF4574"/>
    <w:rsid w:val="00EF4BDE"/>
    <w:rsid w:val="00F00222"/>
    <w:rsid w:val="00F003E0"/>
    <w:rsid w:val="00F00D3E"/>
    <w:rsid w:val="00F012DF"/>
    <w:rsid w:val="00F01921"/>
    <w:rsid w:val="00F02CB4"/>
    <w:rsid w:val="00F0477A"/>
    <w:rsid w:val="00F05CCD"/>
    <w:rsid w:val="00F060C5"/>
    <w:rsid w:val="00F0658B"/>
    <w:rsid w:val="00F06982"/>
    <w:rsid w:val="00F06CB9"/>
    <w:rsid w:val="00F103D4"/>
    <w:rsid w:val="00F11B9E"/>
    <w:rsid w:val="00F1243B"/>
    <w:rsid w:val="00F12FC5"/>
    <w:rsid w:val="00F13373"/>
    <w:rsid w:val="00F143DC"/>
    <w:rsid w:val="00F160AF"/>
    <w:rsid w:val="00F16A47"/>
    <w:rsid w:val="00F17318"/>
    <w:rsid w:val="00F17CC8"/>
    <w:rsid w:val="00F17DB4"/>
    <w:rsid w:val="00F17DF9"/>
    <w:rsid w:val="00F204ED"/>
    <w:rsid w:val="00F20721"/>
    <w:rsid w:val="00F20898"/>
    <w:rsid w:val="00F21C81"/>
    <w:rsid w:val="00F2266B"/>
    <w:rsid w:val="00F22A46"/>
    <w:rsid w:val="00F23F5F"/>
    <w:rsid w:val="00F258BF"/>
    <w:rsid w:val="00F25A20"/>
    <w:rsid w:val="00F25A93"/>
    <w:rsid w:val="00F25B28"/>
    <w:rsid w:val="00F25B92"/>
    <w:rsid w:val="00F2684E"/>
    <w:rsid w:val="00F27235"/>
    <w:rsid w:val="00F27883"/>
    <w:rsid w:val="00F27E3A"/>
    <w:rsid w:val="00F30909"/>
    <w:rsid w:val="00F31F8B"/>
    <w:rsid w:val="00F323C8"/>
    <w:rsid w:val="00F32F70"/>
    <w:rsid w:val="00F33CDE"/>
    <w:rsid w:val="00F33F36"/>
    <w:rsid w:val="00F35209"/>
    <w:rsid w:val="00F36E6F"/>
    <w:rsid w:val="00F37E36"/>
    <w:rsid w:val="00F40D5E"/>
    <w:rsid w:val="00F41024"/>
    <w:rsid w:val="00F41436"/>
    <w:rsid w:val="00F42C3F"/>
    <w:rsid w:val="00F44415"/>
    <w:rsid w:val="00F45486"/>
    <w:rsid w:val="00F4639E"/>
    <w:rsid w:val="00F467C1"/>
    <w:rsid w:val="00F47942"/>
    <w:rsid w:val="00F47B7C"/>
    <w:rsid w:val="00F50916"/>
    <w:rsid w:val="00F5094B"/>
    <w:rsid w:val="00F51875"/>
    <w:rsid w:val="00F51B26"/>
    <w:rsid w:val="00F527A5"/>
    <w:rsid w:val="00F52856"/>
    <w:rsid w:val="00F53309"/>
    <w:rsid w:val="00F53912"/>
    <w:rsid w:val="00F53E91"/>
    <w:rsid w:val="00F5404C"/>
    <w:rsid w:val="00F55791"/>
    <w:rsid w:val="00F5610D"/>
    <w:rsid w:val="00F5654E"/>
    <w:rsid w:val="00F56C76"/>
    <w:rsid w:val="00F570CE"/>
    <w:rsid w:val="00F60D1D"/>
    <w:rsid w:val="00F6345E"/>
    <w:rsid w:val="00F6347C"/>
    <w:rsid w:val="00F64397"/>
    <w:rsid w:val="00F64442"/>
    <w:rsid w:val="00F650C7"/>
    <w:rsid w:val="00F65600"/>
    <w:rsid w:val="00F65AD2"/>
    <w:rsid w:val="00F6708E"/>
    <w:rsid w:val="00F6785E"/>
    <w:rsid w:val="00F67C6A"/>
    <w:rsid w:val="00F70504"/>
    <w:rsid w:val="00F707E0"/>
    <w:rsid w:val="00F70D72"/>
    <w:rsid w:val="00F714EB"/>
    <w:rsid w:val="00F71CB4"/>
    <w:rsid w:val="00F71F6C"/>
    <w:rsid w:val="00F724F5"/>
    <w:rsid w:val="00F727D4"/>
    <w:rsid w:val="00F729EF"/>
    <w:rsid w:val="00F744D9"/>
    <w:rsid w:val="00F746B7"/>
    <w:rsid w:val="00F74AD5"/>
    <w:rsid w:val="00F755FE"/>
    <w:rsid w:val="00F75A1F"/>
    <w:rsid w:val="00F75CEE"/>
    <w:rsid w:val="00F760AE"/>
    <w:rsid w:val="00F76C02"/>
    <w:rsid w:val="00F77CAE"/>
    <w:rsid w:val="00F803F9"/>
    <w:rsid w:val="00F80C56"/>
    <w:rsid w:val="00F82271"/>
    <w:rsid w:val="00F82918"/>
    <w:rsid w:val="00F82AA1"/>
    <w:rsid w:val="00F82BD5"/>
    <w:rsid w:val="00F82DB5"/>
    <w:rsid w:val="00F83200"/>
    <w:rsid w:val="00F83428"/>
    <w:rsid w:val="00F83FD3"/>
    <w:rsid w:val="00F8492C"/>
    <w:rsid w:val="00F84B5B"/>
    <w:rsid w:val="00F84B9E"/>
    <w:rsid w:val="00F86167"/>
    <w:rsid w:val="00F86438"/>
    <w:rsid w:val="00F8657A"/>
    <w:rsid w:val="00F87246"/>
    <w:rsid w:val="00F875A8"/>
    <w:rsid w:val="00F9021F"/>
    <w:rsid w:val="00F908D5"/>
    <w:rsid w:val="00F90B17"/>
    <w:rsid w:val="00F90CC0"/>
    <w:rsid w:val="00F911C4"/>
    <w:rsid w:val="00F9252D"/>
    <w:rsid w:val="00F9253A"/>
    <w:rsid w:val="00F92AEF"/>
    <w:rsid w:val="00F932DA"/>
    <w:rsid w:val="00F95E9E"/>
    <w:rsid w:val="00F9668F"/>
    <w:rsid w:val="00F96BB9"/>
    <w:rsid w:val="00F96E8F"/>
    <w:rsid w:val="00F96ED6"/>
    <w:rsid w:val="00F973DC"/>
    <w:rsid w:val="00F975C0"/>
    <w:rsid w:val="00F9763C"/>
    <w:rsid w:val="00FA03AA"/>
    <w:rsid w:val="00FA1418"/>
    <w:rsid w:val="00FA472F"/>
    <w:rsid w:val="00FA4D1A"/>
    <w:rsid w:val="00FA5059"/>
    <w:rsid w:val="00FA53AD"/>
    <w:rsid w:val="00FA551C"/>
    <w:rsid w:val="00FA554E"/>
    <w:rsid w:val="00FA59F4"/>
    <w:rsid w:val="00FA5EFD"/>
    <w:rsid w:val="00FA6174"/>
    <w:rsid w:val="00FA64D3"/>
    <w:rsid w:val="00FB1561"/>
    <w:rsid w:val="00FB3180"/>
    <w:rsid w:val="00FB34B6"/>
    <w:rsid w:val="00FB491C"/>
    <w:rsid w:val="00FB550A"/>
    <w:rsid w:val="00FC039E"/>
    <w:rsid w:val="00FC0F04"/>
    <w:rsid w:val="00FC1216"/>
    <w:rsid w:val="00FC1305"/>
    <w:rsid w:val="00FC24A9"/>
    <w:rsid w:val="00FC2688"/>
    <w:rsid w:val="00FC3ED8"/>
    <w:rsid w:val="00FC43D4"/>
    <w:rsid w:val="00FC49B3"/>
    <w:rsid w:val="00FC5343"/>
    <w:rsid w:val="00FC5365"/>
    <w:rsid w:val="00FC55F7"/>
    <w:rsid w:val="00FC5717"/>
    <w:rsid w:val="00FC5B0F"/>
    <w:rsid w:val="00FC66D9"/>
    <w:rsid w:val="00FC70DC"/>
    <w:rsid w:val="00FC7B69"/>
    <w:rsid w:val="00FD044F"/>
    <w:rsid w:val="00FD06A7"/>
    <w:rsid w:val="00FD0D5D"/>
    <w:rsid w:val="00FD1850"/>
    <w:rsid w:val="00FD1C87"/>
    <w:rsid w:val="00FD29F5"/>
    <w:rsid w:val="00FD2A37"/>
    <w:rsid w:val="00FD56B1"/>
    <w:rsid w:val="00FD6061"/>
    <w:rsid w:val="00FD6503"/>
    <w:rsid w:val="00FD65F3"/>
    <w:rsid w:val="00FD710F"/>
    <w:rsid w:val="00FD7228"/>
    <w:rsid w:val="00FD7765"/>
    <w:rsid w:val="00FD7BF9"/>
    <w:rsid w:val="00FE26F0"/>
    <w:rsid w:val="00FE3E82"/>
    <w:rsid w:val="00FE4675"/>
    <w:rsid w:val="00FE50EE"/>
    <w:rsid w:val="00FE632C"/>
    <w:rsid w:val="00FE6BBD"/>
    <w:rsid w:val="00FE6D51"/>
    <w:rsid w:val="00FE6F2A"/>
    <w:rsid w:val="00FF0590"/>
    <w:rsid w:val="00FF0DF3"/>
    <w:rsid w:val="00FF3E56"/>
    <w:rsid w:val="00FF3E5F"/>
    <w:rsid w:val="00FF3EE5"/>
    <w:rsid w:val="00FF4734"/>
    <w:rsid w:val="00FF4739"/>
    <w:rsid w:val="00FF551B"/>
    <w:rsid w:val="00FF6775"/>
    <w:rsid w:val="00FF7649"/>
    <w:rsid w:val="0514277E"/>
    <w:rsid w:val="06C60BB3"/>
    <w:rsid w:val="0A53C7BC"/>
    <w:rsid w:val="1634220F"/>
    <w:rsid w:val="21ACCAD5"/>
    <w:rsid w:val="25740BF9"/>
    <w:rsid w:val="25CFEC96"/>
    <w:rsid w:val="2D6A5436"/>
    <w:rsid w:val="2E387754"/>
    <w:rsid w:val="31F83E4E"/>
    <w:rsid w:val="443F7192"/>
    <w:rsid w:val="4B981E6F"/>
    <w:rsid w:val="58B29DCE"/>
    <w:rsid w:val="58C2A526"/>
    <w:rsid w:val="5C0E0A20"/>
    <w:rsid w:val="5C487C82"/>
    <w:rsid w:val="621769B5"/>
    <w:rsid w:val="70ADC8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29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856EEF"/>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B71AD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autoRedefine/>
    <w:uiPriority w:val="9"/>
    <w:unhideWhenUsed/>
    <w:qFormat/>
    <w:rsid w:val="001D34B3"/>
    <w:pPr>
      <w:spacing w:before="240" w:after="120" w:line="240" w:lineRule="auto"/>
      <w:jc w:val="both"/>
      <w:outlineLvl w:val="1"/>
    </w:pPr>
    <w:rPr>
      <w:bCs w:val="0"/>
      <w:sz w:val="22"/>
      <w:szCs w:val="26"/>
    </w:rPr>
  </w:style>
  <w:style w:type="paragraph" w:styleId="Heading3">
    <w:name w:val="heading 3"/>
    <w:basedOn w:val="Heading2"/>
    <w:next w:val="Normal"/>
    <w:link w:val="Heading3Char"/>
    <w:autoRedefine/>
    <w:uiPriority w:val="9"/>
    <w:unhideWhenUsed/>
    <w:qFormat/>
    <w:rsid w:val="00D7718E"/>
    <w:pPr>
      <w:contextualSpacing w:val="0"/>
      <w:outlineLvl w:val="2"/>
    </w:pPr>
    <w:rPr>
      <w:rFonts w:asciiTheme="minorHAnsi" w:hAnsiTheme="minorHAnsi" w:cstheme="minorHAnsi"/>
      <w:bCs/>
      <w:iCs/>
      <w:caps w:val="0"/>
      <w:szCs w:val="22"/>
    </w:rPr>
  </w:style>
  <w:style w:type="paragraph" w:styleId="Heading4">
    <w:name w:val="heading 4"/>
    <w:basedOn w:val="Heading3"/>
    <w:next w:val="Normal"/>
    <w:link w:val="Heading4Char"/>
    <w:uiPriority w:val="9"/>
    <w:unhideWhenUsed/>
    <w:qFormat/>
    <w:rsid w:val="00A4144F"/>
    <w:pPr>
      <w:spacing w:line="280" w:lineRule="atLeast"/>
      <w:outlineLvl w:val="3"/>
    </w:pPr>
    <w:rPr>
      <w:iCs w:val="0"/>
    </w:rPr>
  </w:style>
  <w:style w:type="paragraph" w:styleId="Heading5">
    <w:name w:val="heading 5"/>
    <w:basedOn w:val="Heading4"/>
    <w:next w:val="Normal"/>
    <w:link w:val="Heading5Char"/>
    <w:uiPriority w:val="9"/>
    <w:unhideWhenUsed/>
    <w:qFormat/>
    <w:rsid w:val="00B71AD8"/>
    <w:pPr>
      <w:spacing w:line="200" w:lineRule="atLeast"/>
      <w:outlineLvl w:val="4"/>
    </w:pPr>
    <w:rPr>
      <w:b w:val="0"/>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AD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1D34B3"/>
    <w:rPr>
      <w:rFonts w:asciiTheme="majorHAnsi" w:eastAsiaTheme="majorEastAsia" w:hAnsiTheme="majorHAnsi" w:cstheme="majorBidi"/>
      <w:b/>
      <w:caps/>
      <w:color w:val="495965" w:themeColor="text2"/>
      <w:szCs w:val="26"/>
      <w:lang w:val="en-GB"/>
    </w:rPr>
  </w:style>
  <w:style w:type="character" w:customStyle="1" w:styleId="Heading3Char">
    <w:name w:val="Heading 3 Char"/>
    <w:basedOn w:val="DefaultParagraphFont"/>
    <w:link w:val="Heading3"/>
    <w:uiPriority w:val="9"/>
    <w:rsid w:val="00D7718E"/>
    <w:rPr>
      <w:rFonts w:eastAsiaTheme="majorEastAsia" w:cstheme="minorHAnsi"/>
      <w:b/>
      <w:bCs/>
      <w:iCs/>
      <w:color w:val="495965" w:themeColor="text2"/>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B71AD8"/>
    <w:p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rPr>
  </w:style>
  <w:style w:type="paragraph" w:customStyle="1" w:styleId="Heading3Numbered">
    <w:name w:val="Heading 3 Numbered"/>
    <w:basedOn w:val="Heading3"/>
    <w:next w:val="Normal"/>
    <w:qFormat/>
    <w:rsid w:val="00ED2831"/>
    <w:pPr>
      <w:numPr>
        <w:ilvl w:val="2"/>
        <w:numId w:val="6"/>
      </w:numPr>
      <w:spacing w:before="300"/>
    </w:pPr>
  </w:style>
  <w:style w:type="numbering" w:customStyle="1" w:styleId="BulletsList">
    <w:name w:val="Bullets List"/>
    <w:uiPriority w:val="99"/>
    <w:rsid w:val="00B71AD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B71AD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B71AD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A97244"/>
    <w:pPr>
      <w:ind w:left="720"/>
      <w:contextualSpacing/>
    </w:p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A97244"/>
    <w:rPr>
      <w:color w:val="495965" w:themeColor="text2"/>
      <w:lang w:val="en-GB"/>
    </w:rPr>
  </w:style>
  <w:style w:type="table" w:customStyle="1" w:styleId="DFATTable11">
    <w:name w:val="DFAT Table 11"/>
    <w:basedOn w:val="TableNormal"/>
    <w:uiPriority w:val="99"/>
    <w:rsid w:val="00E4584F"/>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table" w:styleId="GridTable4-Accent1">
    <w:name w:val="Grid Table 4 Accent 1"/>
    <w:basedOn w:val="TableNormal"/>
    <w:uiPriority w:val="49"/>
    <w:locked/>
    <w:rsid w:val="00DC238C"/>
    <w:pPr>
      <w:spacing w:after="0" w:line="240" w:lineRule="auto"/>
    </w:pPr>
    <w:tblPr>
      <w:tblStyleRowBandSize w:val="1"/>
      <w:tblStyleColBandSize w:val="1"/>
      <w:tblBorders>
        <w:top w:val="single" w:sz="4" w:space="0" w:color="A2DCD1" w:themeColor="accent1" w:themeTint="99"/>
        <w:left w:val="single" w:sz="4" w:space="0" w:color="A2DCD1" w:themeColor="accent1" w:themeTint="99"/>
        <w:bottom w:val="single" w:sz="4" w:space="0" w:color="A2DCD1" w:themeColor="accent1" w:themeTint="99"/>
        <w:right w:val="single" w:sz="4" w:space="0" w:color="A2DCD1" w:themeColor="accent1" w:themeTint="99"/>
        <w:insideH w:val="single" w:sz="4" w:space="0" w:color="A2DCD1" w:themeColor="accent1" w:themeTint="99"/>
        <w:insideV w:val="single" w:sz="4" w:space="0" w:color="A2DCD1" w:themeColor="accent1" w:themeTint="99"/>
      </w:tblBorders>
    </w:tblPr>
    <w:tblStylePr w:type="firstRow">
      <w:rPr>
        <w:b/>
        <w:bCs/>
        <w:color w:val="FFFFFF" w:themeColor="background1"/>
      </w:rPr>
      <w:tblPr/>
      <w:tcPr>
        <w:tcBorders>
          <w:top w:val="single" w:sz="4" w:space="0" w:color="65C5B4" w:themeColor="accent1"/>
          <w:left w:val="single" w:sz="4" w:space="0" w:color="65C5B4" w:themeColor="accent1"/>
          <w:bottom w:val="single" w:sz="4" w:space="0" w:color="65C5B4" w:themeColor="accent1"/>
          <w:right w:val="single" w:sz="4" w:space="0" w:color="65C5B4" w:themeColor="accent1"/>
          <w:insideH w:val="nil"/>
          <w:insideV w:val="nil"/>
        </w:tcBorders>
        <w:shd w:val="clear" w:color="auto" w:fill="65C5B4" w:themeFill="accent1"/>
      </w:tcPr>
    </w:tblStylePr>
    <w:tblStylePr w:type="lastRow">
      <w:rPr>
        <w:b/>
        <w:bCs/>
      </w:rPr>
      <w:tblPr/>
      <w:tcPr>
        <w:tcBorders>
          <w:top w:val="double" w:sz="4" w:space="0" w:color="65C5B4" w:themeColor="accent1"/>
        </w:tcBorders>
      </w:tcPr>
    </w:tblStylePr>
    <w:tblStylePr w:type="firstCol">
      <w:rPr>
        <w:b/>
        <w:bCs/>
      </w:rPr>
    </w:tblStylePr>
    <w:tblStylePr w:type="lastCol">
      <w:rPr>
        <w:b/>
        <w:bCs/>
      </w:rPr>
    </w:tblStylePr>
    <w:tblStylePr w:type="band1Vert">
      <w:tblPr/>
      <w:tcPr>
        <w:shd w:val="clear" w:color="auto" w:fill="E0F3EF" w:themeFill="accent1" w:themeFillTint="33"/>
      </w:tcPr>
    </w:tblStylePr>
    <w:tblStylePr w:type="band1Horz">
      <w:tblPr/>
      <w:tcPr>
        <w:shd w:val="clear" w:color="auto" w:fill="E0F3EF" w:themeFill="accent1" w:themeFillTint="33"/>
      </w:tcPr>
    </w:tblStylePr>
  </w:style>
  <w:style w:type="table" w:customStyle="1" w:styleId="APPR">
    <w:name w:val="APPR"/>
    <w:basedOn w:val="TableNormal"/>
    <w:uiPriority w:val="99"/>
    <w:rsid w:val="00681633"/>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HTMLPreformatted">
    <w:name w:val="HTML Preformatted"/>
    <w:basedOn w:val="Normal"/>
    <w:link w:val="HTMLPreformattedChar"/>
    <w:uiPriority w:val="99"/>
    <w:semiHidden/>
    <w:unhideWhenUsed/>
    <w:locked/>
    <w:rsid w:val="008C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40" w:lineRule="auto"/>
    </w:pPr>
    <w:rPr>
      <w:rFonts w:ascii="Courier New" w:eastAsia="Times New Roman" w:hAnsi="Courier New" w:cs="Courier New"/>
      <w:color w:val="auto"/>
      <w:sz w:val="20"/>
      <w:szCs w:val="20"/>
      <w:lang w:val="en-AU" w:eastAsia="en-AU"/>
    </w:rPr>
  </w:style>
  <w:style w:type="character" w:customStyle="1" w:styleId="HTMLPreformattedChar">
    <w:name w:val="HTML Preformatted Char"/>
    <w:basedOn w:val="DefaultParagraphFont"/>
    <w:link w:val="HTMLPreformatted"/>
    <w:uiPriority w:val="99"/>
    <w:semiHidden/>
    <w:rsid w:val="008C1F60"/>
    <w:rPr>
      <w:rFonts w:ascii="Courier New" w:eastAsia="Times New Roman" w:hAnsi="Courier New" w:cs="Courier New"/>
      <w:sz w:val="20"/>
      <w:szCs w:val="20"/>
      <w:lang w:eastAsia="en-AU"/>
    </w:rPr>
  </w:style>
  <w:style w:type="character" w:customStyle="1" w:styleId="y2iqfc">
    <w:name w:val="y2iqfc"/>
    <w:basedOn w:val="DefaultParagraphFont"/>
    <w:rsid w:val="008C1F60"/>
  </w:style>
  <w:style w:type="character" w:styleId="UnresolvedMention">
    <w:name w:val="Unresolved Mention"/>
    <w:basedOn w:val="DefaultParagraphFont"/>
    <w:uiPriority w:val="99"/>
    <w:unhideWhenUsed/>
    <w:rsid w:val="00844737"/>
    <w:rPr>
      <w:color w:val="605E5C"/>
      <w:shd w:val="clear" w:color="auto" w:fill="E1DFDD"/>
    </w:rPr>
  </w:style>
  <w:style w:type="character" w:styleId="FollowedHyperlink">
    <w:name w:val="FollowedHyperlink"/>
    <w:basedOn w:val="DefaultParagraphFont"/>
    <w:uiPriority w:val="99"/>
    <w:semiHidden/>
    <w:unhideWhenUsed/>
    <w:rsid w:val="00FD710F"/>
    <w:rPr>
      <w:color w:val="800080" w:themeColor="followedHyperlink"/>
      <w:u w:val="single"/>
    </w:rPr>
  </w:style>
  <w:style w:type="paragraph" w:styleId="NormalWeb">
    <w:name w:val="Normal (Web)"/>
    <w:basedOn w:val="Normal"/>
    <w:uiPriority w:val="99"/>
    <w:semiHidden/>
    <w:unhideWhenUsed/>
    <w:rsid w:val="000F7A89"/>
    <w:pPr>
      <w:suppressAutoHyphens w:val="0"/>
      <w:spacing w:before="100" w:beforeAutospacing="1" w:after="100" w:afterAutospacing="1" w:line="240" w:lineRule="auto"/>
    </w:pPr>
    <w:rPr>
      <w:rFonts w:ascii="Calibri" w:hAnsi="Calibri" w:cs="Calibri"/>
      <w:color w:val="auto"/>
      <w:lang w:val="en-AU" w:eastAsia="en-AU"/>
    </w:rPr>
  </w:style>
  <w:style w:type="paragraph" w:styleId="Revision">
    <w:name w:val="Revision"/>
    <w:hidden/>
    <w:uiPriority w:val="99"/>
    <w:semiHidden/>
    <w:rsid w:val="007F0191"/>
    <w:pPr>
      <w:spacing w:after="0" w:line="240" w:lineRule="auto"/>
    </w:pPr>
    <w:rPr>
      <w:color w:val="495965" w:themeColor="text2"/>
      <w:lang w:val="en-GB"/>
    </w:rPr>
  </w:style>
  <w:style w:type="paragraph" w:customStyle="1" w:styleId="default">
    <w:name w:val="default"/>
    <w:basedOn w:val="Normal"/>
    <w:rsid w:val="00754E97"/>
    <w:pPr>
      <w:suppressAutoHyphens w:val="0"/>
      <w:autoSpaceDE w:val="0"/>
      <w:autoSpaceDN w:val="0"/>
      <w:spacing w:before="0" w:after="0" w:line="240" w:lineRule="auto"/>
    </w:pPr>
    <w:rPr>
      <w:rFonts w:ascii="Calibri Light" w:hAnsi="Calibri Light" w:cs="Calibri Light"/>
      <w:color w:val="000000"/>
      <w:sz w:val="24"/>
      <w:szCs w:val="24"/>
      <w:lang w:val="en-AU" w:eastAsia="en-AU"/>
    </w:rPr>
  </w:style>
  <w:style w:type="character" w:styleId="Mention">
    <w:name w:val="Mention"/>
    <w:basedOn w:val="DefaultParagraphFont"/>
    <w:uiPriority w:val="99"/>
    <w:unhideWhenUsed/>
    <w:rsid w:val="00AA490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5653">
      <w:bodyDiv w:val="1"/>
      <w:marLeft w:val="0"/>
      <w:marRight w:val="0"/>
      <w:marTop w:val="0"/>
      <w:marBottom w:val="0"/>
      <w:divBdr>
        <w:top w:val="none" w:sz="0" w:space="0" w:color="auto"/>
        <w:left w:val="none" w:sz="0" w:space="0" w:color="auto"/>
        <w:bottom w:val="none" w:sz="0" w:space="0" w:color="auto"/>
        <w:right w:val="none" w:sz="0" w:space="0" w:color="auto"/>
      </w:divBdr>
    </w:div>
    <w:div w:id="26416561">
      <w:bodyDiv w:val="1"/>
      <w:marLeft w:val="0"/>
      <w:marRight w:val="0"/>
      <w:marTop w:val="0"/>
      <w:marBottom w:val="0"/>
      <w:divBdr>
        <w:top w:val="none" w:sz="0" w:space="0" w:color="auto"/>
        <w:left w:val="none" w:sz="0" w:space="0" w:color="auto"/>
        <w:bottom w:val="none" w:sz="0" w:space="0" w:color="auto"/>
        <w:right w:val="none" w:sz="0" w:space="0" w:color="auto"/>
      </w:divBdr>
    </w:div>
    <w:div w:id="86273484">
      <w:bodyDiv w:val="1"/>
      <w:marLeft w:val="0"/>
      <w:marRight w:val="0"/>
      <w:marTop w:val="0"/>
      <w:marBottom w:val="0"/>
      <w:divBdr>
        <w:top w:val="none" w:sz="0" w:space="0" w:color="auto"/>
        <w:left w:val="none" w:sz="0" w:space="0" w:color="auto"/>
        <w:bottom w:val="none" w:sz="0" w:space="0" w:color="auto"/>
        <w:right w:val="none" w:sz="0" w:space="0" w:color="auto"/>
      </w:divBdr>
    </w:div>
    <w:div w:id="94249465">
      <w:bodyDiv w:val="1"/>
      <w:marLeft w:val="0"/>
      <w:marRight w:val="0"/>
      <w:marTop w:val="0"/>
      <w:marBottom w:val="0"/>
      <w:divBdr>
        <w:top w:val="none" w:sz="0" w:space="0" w:color="auto"/>
        <w:left w:val="none" w:sz="0" w:space="0" w:color="auto"/>
        <w:bottom w:val="none" w:sz="0" w:space="0" w:color="auto"/>
        <w:right w:val="none" w:sz="0" w:space="0" w:color="auto"/>
      </w:divBdr>
    </w:div>
    <w:div w:id="284115518">
      <w:bodyDiv w:val="1"/>
      <w:marLeft w:val="0"/>
      <w:marRight w:val="0"/>
      <w:marTop w:val="0"/>
      <w:marBottom w:val="0"/>
      <w:divBdr>
        <w:top w:val="none" w:sz="0" w:space="0" w:color="auto"/>
        <w:left w:val="none" w:sz="0" w:space="0" w:color="auto"/>
        <w:bottom w:val="none" w:sz="0" w:space="0" w:color="auto"/>
        <w:right w:val="none" w:sz="0" w:space="0" w:color="auto"/>
      </w:divBdr>
    </w:div>
    <w:div w:id="298343208">
      <w:bodyDiv w:val="1"/>
      <w:marLeft w:val="0"/>
      <w:marRight w:val="0"/>
      <w:marTop w:val="0"/>
      <w:marBottom w:val="0"/>
      <w:divBdr>
        <w:top w:val="none" w:sz="0" w:space="0" w:color="auto"/>
        <w:left w:val="none" w:sz="0" w:space="0" w:color="auto"/>
        <w:bottom w:val="none" w:sz="0" w:space="0" w:color="auto"/>
        <w:right w:val="none" w:sz="0" w:space="0" w:color="auto"/>
      </w:divBdr>
    </w:div>
    <w:div w:id="338509488">
      <w:bodyDiv w:val="1"/>
      <w:marLeft w:val="0"/>
      <w:marRight w:val="0"/>
      <w:marTop w:val="0"/>
      <w:marBottom w:val="0"/>
      <w:divBdr>
        <w:top w:val="none" w:sz="0" w:space="0" w:color="auto"/>
        <w:left w:val="none" w:sz="0" w:space="0" w:color="auto"/>
        <w:bottom w:val="none" w:sz="0" w:space="0" w:color="auto"/>
        <w:right w:val="none" w:sz="0" w:space="0" w:color="auto"/>
      </w:divBdr>
    </w:div>
    <w:div w:id="375935751">
      <w:bodyDiv w:val="1"/>
      <w:marLeft w:val="0"/>
      <w:marRight w:val="0"/>
      <w:marTop w:val="0"/>
      <w:marBottom w:val="0"/>
      <w:divBdr>
        <w:top w:val="none" w:sz="0" w:space="0" w:color="auto"/>
        <w:left w:val="none" w:sz="0" w:space="0" w:color="auto"/>
        <w:bottom w:val="none" w:sz="0" w:space="0" w:color="auto"/>
        <w:right w:val="none" w:sz="0" w:space="0" w:color="auto"/>
      </w:divBdr>
    </w:div>
    <w:div w:id="402262924">
      <w:bodyDiv w:val="1"/>
      <w:marLeft w:val="0"/>
      <w:marRight w:val="0"/>
      <w:marTop w:val="0"/>
      <w:marBottom w:val="0"/>
      <w:divBdr>
        <w:top w:val="none" w:sz="0" w:space="0" w:color="auto"/>
        <w:left w:val="none" w:sz="0" w:space="0" w:color="auto"/>
        <w:bottom w:val="none" w:sz="0" w:space="0" w:color="auto"/>
        <w:right w:val="none" w:sz="0" w:space="0" w:color="auto"/>
      </w:divBdr>
    </w:div>
    <w:div w:id="480194140">
      <w:bodyDiv w:val="1"/>
      <w:marLeft w:val="0"/>
      <w:marRight w:val="0"/>
      <w:marTop w:val="0"/>
      <w:marBottom w:val="0"/>
      <w:divBdr>
        <w:top w:val="none" w:sz="0" w:space="0" w:color="auto"/>
        <w:left w:val="none" w:sz="0" w:space="0" w:color="auto"/>
        <w:bottom w:val="none" w:sz="0" w:space="0" w:color="auto"/>
        <w:right w:val="none" w:sz="0" w:space="0" w:color="auto"/>
      </w:divBdr>
    </w:div>
    <w:div w:id="482308905">
      <w:bodyDiv w:val="1"/>
      <w:marLeft w:val="0"/>
      <w:marRight w:val="0"/>
      <w:marTop w:val="0"/>
      <w:marBottom w:val="0"/>
      <w:divBdr>
        <w:top w:val="none" w:sz="0" w:space="0" w:color="auto"/>
        <w:left w:val="none" w:sz="0" w:space="0" w:color="auto"/>
        <w:bottom w:val="none" w:sz="0" w:space="0" w:color="auto"/>
        <w:right w:val="none" w:sz="0" w:space="0" w:color="auto"/>
      </w:divBdr>
    </w:div>
    <w:div w:id="562057806">
      <w:bodyDiv w:val="1"/>
      <w:marLeft w:val="0"/>
      <w:marRight w:val="0"/>
      <w:marTop w:val="0"/>
      <w:marBottom w:val="0"/>
      <w:divBdr>
        <w:top w:val="none" w:sz="0" w:space="0" w:color="auto"/>
        <w:left w:val="none" w:sz="0" w:space="0" w:color="auto"/>
        <w:bottom w:val="none" w:sz="0" w:space="0" w:color="auto"/>
        <w:right w:val="none" w:sz="0" w:space="0" w:color="auto"/>
      </w:divBdr>
    </w:div>
    <w:div w:id="653066459">
      <w:bodyDiv w:val="1"/>
      <w:marLeft w:val="0"/>
      <w:marRight w:val="0"/>
      <w:marTop w:val="0"/>
      <w:marBottom w:val="0"/>
      <w:divBdr>
        <w:top w:val="none" w:sz="0" w:space="0" w:color="auto"/>
        <w:left w:val="none" w:sz="0" w:space="0" w:color="auto"/>
        <w:bottom w:val="none" w:sz="0" w:space="0" w:color="auto"/>
        <w:right w:val="none" w:sz="0" w:space="0" w:color="auto"/>
      </w:divBdr>
    </w:div>
    <w:div w:id="685790370">
      <w:bodyDiv w:val="1"/>
      <w:marLeft w:val="0"/>
      <w:marRight w:val="0"/>
      <w:marTop w:val="0"/>
      <w:marBottom w:val="0"/>
      <w:divBdr>
        <w:top w:val="none" w:sz="0" w:space="0" w:color="auto"/>
        <w:left w:val="none" w:sz="0" w:space="0" w:color="auto"/>
        <w:bottom w:val="none" w:sz="0" w:space="0" w:color="auto"/>
        <w:right w:val="none" w:sz="0" w:space="0" w:color="auto"/>
      </w:divBdr>
    </w:div>
    <w:div w:id="841966028">
      <w:bodyDiv w:val="1"/>
      <w:marLeft w:val="0"/>
      <w:marRight w:val="0"/>
      <w:marTop w:val="0"/>
      <w:marBottom w:val="0"/>
      <w:divBdr>
        <w:top w:val="none" w:sz="0" w:space="0" w:color="auto"/>
        <w:left w:val="none" w:sz="0" w:space="0" w:color="auto"/>
        <w:bottom w:val="none" w:sz="0" w:space="0" w:color="auto"/>
        <w:right w:val="none" w:sz="0" w:space="0" w:color="auto"/>
      </w:divBdr>
    </w:div>
    <w:div w:id="883953726">
      <w:bodyDiv w:val="1"/>
      <w:marLeft w:val="0"/>
      <w:marRight w:val="0"/>
      <w:marTop w:val="0"/>
      <w:marBottom w:val="0"/>
      <w:divBdr>
        <w:top w:val="none" w:sz="0" w:space="0" w:color="auto"/>
        <w:left w:val="none" w:sz="0" w:space="0" w:color="auto"/>
        <w:bottom w:val="none" w:sz="0" w:space="0" w:color="auto"/>
        <w:right w:val="none" w:sz="0" w:space="0" w:color="auto"/>
      </w:divBdr>
    </w:div>
    <w:div w:id="916012396">
      <w:bodyDiv w:val="1"/>
      <w:marLeft w:val="0"/>
      <w:marRight w:val="0"/>
      <w:marTop w:val="0"/>
      <w:marBottom w:val="0"/>
      <w:divBdr>
        <w:top w:val="none" w:sz="0" w:space="0" w:color="auto"/>
        <w:left w:val="none" w:sz="0" w:space="0" w:color="auto"/>
        <w:bottom w:val="none" w:sz="0" w:space="0" w:color="auto"/>
        <w:right w:val="none" w:sz="0" w:space="0" w:color="auto"/>
      </w:divBdr>
    </w:div>
    <w:div w:id="944507889">
      <w:bodyDiv w:val="1"/>
      <w:marLeft w:val="0"/>
      <w:marRight w:val="0"/>
      <w:marTop w:val="0"/>
      <w:marBottom w:val="0"/>
      <w:divBdr>
        <w:top w:val="none" w:sz="0" w:space="0" w:color="auto"/>
        <w:left w:val="none" w:sz="0" w:space="0" w:color="auto"/>
        <w:bottom w:val="none" w:sz="0" w:space="0" w:color="auto"/>
        <w:right w:val="none" w:sz="0" w:space="0" w:color="auto"/>
      </w:divBdr>
    </w:div>
    <w:div w:id="984818620">
      <w:bodyDiv w:val="1"/>
      <w:marLeft w:val="0"/>
      <w:marRight w:val="0"/>
      <w:marTop w:val="0"/>
      <w:marBottom w:val="0"/>
      <w:divBdr>
        <w:top w:val="none" w:sz="0" w:space="0" w:color="auto"/>
        <w:left w:val="none" w:sz="0" w:space="0" w:color="auto"/>
        <w:bottom w:val="none" w:sz="0" w:space="0" w:color="auto"/>
        <w:right w:val="none" w:sz="0" w:space="0" w:color="auto"/>
      </w:divBdr>
    </w:div>
    <w:div w:id="1107384155">
      <w:bodyDiv w:val="1"/>
      <w:marLeft w:val="0"/>
      <w:marRight w:val="0"/>
      <w:marTop w:val="0"/>
      <w:marBottom w:val="0"/>
      <w:divBdr>
        <w:top w:val="none" w:sz="0" w:space="0" w:color="auto"/>
        <w:left w:val="none" w:sz="0" w:space="0" w:color="auto"/>
        <w:bottom w:val="none" w:sz="0" w:space="0" w:color="auto"/>
        <w:right w:val="none" w:sz="0" w:space="0" w:color="auto"/>
      </w:divBdr>
    </w:div>
    <w:div w:id="1219628494">
      <w:bodyDiv w:val="1"/>
      <w:marLeft w:val="0"/>
      <w:marRight w:val="0"/>
      <w:marTop w:val="0"/>
      <w:marBottom w:val="0"/>
      <w:divBdr>
        <w:top w:val="none" w:sz="0" w:space="0" w:color="auto"/>
        <w:left w:val="none" w:sz="0" w:space="0" w:color="auto"/>
        <w:bottom w:val="none" w:sz="0" w:space="0" w:color="auto"/>
        <w:right w:val="none" w:sz="0" w:space="0" w:color="auto"/>
      </w:divBdr>
    </w:div>
    <w:div w:id="1248270295">
      <w:bodyDiv w:val="1"/>
      <w:marLeft w:val="0"/>
      <w:marRight w:val="0"/>
      <w:marTop w:val="0"/>
      <w:marBottom w:val="0"/>
      <w:divBdr>
        <w:top w:val="none" w:sz="0" w:space="0" w:color="auto"/>
        <w:left w:val="none" w:sz="0" w:space="0" w:color="auto"/>
        <w:bottom w:val="none" w:sz="0" w:space="0" w:color="auto"/>
        <w:right w:val="none" w:sz="0" w:space="0" w:color="auto"/>
      </w:divBdr>
    </w:div>
    <w:div w:id="1361785385">
      <w:bodyDiv w:val="1"/>
      <w:marLeft w:val="0"/>
      <w:marRight w:val="0"/>
      <w:marTop w:val="0"/>
      <w:marBottom w:val="0"/>
      <w:divBdr>
        <w:top w:val="none" w:sz="0" w:space="0" w:color="auto"/>
        <w:left w:val="none" w:sz="0" w:space="0" w:color="auto"/>
        <w:bottom w:val="none" w:sz="0" w:space="0" w:color="auto"/>
        <w:right w:val="none" w:sz="0" w:space="0" w:color="auto"/>
      </w:divBdr>
    </w:div>
    <w:div w:id="1362166573">
      <w:bodyDiv w:val="1"/>
      <w:marLeft w:val="0"/>
      <w:marRight w:val="0"/>
      <w:marTop w:val="0"/>
      <w:marBottom w:val="0"/>
      <w:divBdr>
        <w:top w:val="none" w:sz="0" w:space="0" w:color="auto"/>
        <w:left w:val="none" w:sz="0" w:space="0" w:color="auto"/>
        <w:bottom w:val="none" w:sz="0" w:space="0" w:color="auto"/>
        <w:right w:val="none" w:sz="0" w:space="0" w:color="auto"/>
      </w:divBdr>
    </w:div>
    <w:div w:id="1394888277">
      <w:bodyDiv w:val="1"/>
      <w:marLeft w:val="0"/>
      <w:marRight w:val="0"/>
      <w:marTop w:val="0"/>
      <w:marBottom w:val="0"/>
      <w:divBdr>
        <w:top w:val="none" w:sz="0" w:space="0" w:color="auto"/>
        <w:left w:val="none" w:sz="0" w:space="0" w:color="auto"/>
        <w:bottom w:val="none" w:sz="0" w:space="0" w:color="auto"/>
        <w:right w:val="none" w:sz="0" w:space="0" w:color="auto"/>
      </w:divBdr>
    </w:div>
    <w:div w:id="1406344680">
      <w:bodyDiv w:val="1"/>
      <w:marLeft w:val="0"/>
      <w:marRight w:val="0"/>
      <w:marTop w:val="0"/>
      <w:marBottom w:val="0"/>
      <w:divBdr>
        <w:top w:val="none" w:sz="0" w:space="0" w:color="auto"/>
        <w:left w:val="none" w:sz="0" w:space="0" w:color="auto"/>
        <w:bottom w:val="none" w:sz="0" w:space="0" w:color="auto"/>
        <w:right w:val="none" w:sz="0" w:space="0" w:color="auto"/>
      </w:divBdr>
    </w:div>
    <w:div w:id="1506630257">
      <w:bodyDiv w:val="1"/>
      <w:marLeft w:val="0"/>
      <w:marRight w:val="0"/>
      <w:marTop w:val="0"/>
      <w:marBottom w:val="0"/>
      <w:divBdr>
        <w:top w:val="none" w:sz="0" w:space="0" w:color="auto"/>
        <w:left w:val="none" w:sz="0" w:space="0" w:color="auto"/>
        <w:bottom w:val="none" w:sz="0" w:space="0" w:color="auto"/>
        <w:right w:val="none" w:sz="0" w:space="0" w:color="auto"/>
      </w:divBdr>
    </w:div>
    <w:div w:id="1696807653">
      <w:bodyDiv w:val="1"/>
      <w:marLeft w:val="0"/>
      <w:marRight w:val="0"/>
      <w:marTop w:val="0"/>
      <w:marBottom w:val="0"/>
      <w:divBdr>
        <w:top w:val="none" w:sz="0" w:space="0" w:color="auto"/>
        <w:left w:val="none" w:sz="0" w:space="0" w:color="auto"/>
        <w:bottom w:val="none" w:sz="0" w:space="0" w:color="auto"/>
        <w:right w:val="none" w:sz="0" w:space="0" w:color="auto"/>
      </w:divBdr>
    </w:div>
    <w:div w:id="1729306243">
      <w:bodyDiv w:val="1"/>
      <w:marLeft w:val="0"/>
      <w:marRight w:val="0"/>
      <w:marTop w:val="0"/>
      <w:marBottom w:val="0"/>
      <w:divBdr>
        <w:top w:val="none" w:sz="0" w:space="0" w:color="auto"/>
        <w:left w:val="none" w:sz="0" w:space="0" w:color="auto"/>
        <w:bottom w:val="none" w:sz="0" w:space="0" w:color="auto"/>
        <w:right w:val="none" w:sz="0" w:space="0" w:color="auto"/>
      </w:divBdr>
    </w:div>
    <w:div w:id="1861309087">
      <w:bodyDiv w:val="1"/>
      <w:marLeft w:val="0"/>
      <w:marRight w:val="0"/>
      <w:marTop w:val="0"/>
      <w:marBottom w:val="0"/>
      <w:divBdr>
        <w:top w:val="none" w:sz="0" w:space="0" w:color="auto"/>
        <w:left w:val="none" w:sz="0" w:space="0" w:color="auto"/>
        <w:bottom w:val="none" w:sz="0" w:space="0" w:color="auto"/>
        <w:right w:val="none" w:sz="0" w:space="0" w:color="auto"/>
      </w:divBdr>
    </w:div>
    <w:div w:id="1863282799">
      <w:bodyDiv w:val="1"/>
      <w:marLeft w:val="0"/>
      <w:marRight w:val="0"/>
      <w:marTop w:val="0"/>
      <w:marBottom w:val="0"/>
      <w:divBdr>
        <w:top w:val="none" w:sz="0" w:space="0" w:color="auto"/>
        <w:left w:val="none" w:sz="0" w:space="0" w:color="auto"/>
        <w:bottom w:val="none" w:sz="0" w:space="0" w:color="auto"/>
        <w:right w:val="none" w:sz="0" w:space="0" w:color="auto"/>
      </w:divBdr>
    </w:div>
    <w:div w:id="1864854890">
      <w:bodyDiv w:val="1"/>
      <w:marLeft w:val="0"/>
      <w:marRight w:val="0"/>
      <w:marTop w:val="0"/>
      <w:marBottom w:val="0"/>
      <w:divBdr>
        <w:top w:val="none" w:sz="0" w:space="0" w:color="auto"/>
        <w:left w:val="none" w:sz="0" w:space="0" w:color="auto"/>
        <w:bottom w:val="none" w:sz="0" w:space="0" w:color="auto"/>
        <w:right w:val="none" w:sz="0" w:space="0" w:color="auto"/>
      </w:divBdr>
    </w:div>
    <w:div w:id="1926183962">
      <w:bodyDiv w:val="1"/>
      <w:marLeft w:val="0"/>
      <w:marRight w:val="0"/>
      <w:marTop w:val="0"/>
      <w:marBottom w:val="0"/>
      <w:divBdr>
        <w:top w:val="none" w:sz="0" w:space="0" w:color="auto"/>
        <w:left w:val="none" w:sz="0" w:space="0" w:color="auto"/>
        <w:bottom w:val="none" w:sz="0" w:space="0" w:color="auto"/>
        <w:right w:val="none" w:sz="0" w:space="0" w:color="auto"/>
      </w:divBdr>
    </w:div>
    <w:div w:id="197139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9D400-8AF7-4434-87B4-1127DA622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3212</Words>
  <Characters>19183</Characters>
  <Application>Microsoft Office Word</Application>
  <DocSecurity>0</DocSecurity>
  <Lines>410</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2022-12-20T07:49:00Z</dcterms:created>
  <dcterms:modified xsi:type="dcterms:W3CDTF">2022-12-20T07:49:00Z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MinimumSecurityClassification">
    <vt:lpwstr>OFFICIAL</vt:lpwstr>
  </property>
  <property fmtid="{D5CDD505-2E9C-101B-9397-08002B2CF9AE}" pid="3" name="PM_Caveats_Count">
    <vt:lpwstr>0</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899E4EA469A04FB023F4432B63374BB33589BF8A</vt:lpwstr>
  </property>
  <property fmtid="{D5CDD505-2E9C-101B-9397-08002B2CF9AE}" pid="9" name="PM_Originating_FileId">
    <vt:lpwstr>63FA5E0138FE4A06847B5F31F02136CD</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2022-12-20T07:49:20Z</vt:lpwstr>
  </property>
  <property fmtid="{D5CDD505-2E9C-101B-9397-08002B2CF9AE}" pid="13" name="PM_ProtectiveMarkingImage_Header">
    <vt:lpwstr>C:\Program Files (x86)\Common Files\janusNET Shared\janusSEAL\Images\DocumentSlashBlue.png</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Hash_Version">
    <vt:lpwstr>2018.0</vt:lpwstr>
  </property>
  <property fmtid="{D5CDD505-2E9C-101B-9397-08002B2CF9AE}" pid="20" name="PM_Hash_Salt_Prev">
    <vt:lpwstr>827DAD3A38FA08B842A83E6E2E459A8F</vt:lpwstr>
  </property>
  <property fmtid="{D5CDD505-2E9C-101B-9397-08002B2CF9AE}" pid="21" name="PM_Hash_Salt">
    <vt:lpwstr>F46069BBBEC6C3DCFEB6874C89E7F9D8</vt:lpwstr>
  </property>
  <property fmtid="{D5CDD505-2E9C-101B-9397-08002B2CF9AE}" pid="22" name="PM_Hash_SHA1">
    <vt:lpwstr>AD725BCF96F4248E651905E3BF54D9528E3D00E1</vt:lpwstr>
  </property>
  <property fmtid="{D5CDD505-2E9C-101B-9397-08002B2CF9AE}" pid="23" name="PM_SecurityClassification_Prev">
    <vt:lpwstr>OFFICIAL</vt:lpwstr>
  </property>
  <property fmtid="{D5CDD505-2E9C-101B-9397-08002B2CF9AE}" pid="24" name="PM_Qualifier_Prev">
    <vt:lpwstr/>
  </property>
  <property fmtid="{D5CDD505-2E9C-101B-9397-08002B2CF9AE}" pid="25" name="PM_Display">
    <vt:lpwstr>OFFICIAL</vt:lpwstr>
  </property>
  <property fmtid="{D5CDD505-2E9C-101B-9397-08002B2CF9AE}" pid="26" name="PM_OriginatorUserAccountName_SHA256">
    <vt:lpwstr>290C9CFCFE70E139C4500567FB5830ACF9049F26A1998DDACA65669D45D5D2AD</vt:lpwstr>
  </property>
  <property fmtid="{D5CDD505-2E9C-101B-9397-08002B2CF9AE}" pid="27" name="PM_OriginatorDomainName_SHA256">
    <vt:lpwstr>6F3591835F3B2A8A025B00B5BA6418010DA3A17C9C26EA9C049FFD28039489A2</vt:lpwstr>
  </property>
  <property fmtid="{D5CDD505-2E9C-101B-9397-08002B2CF9AE}" pid="28" name="PMUuid">
    <vt:lpwstr>ABBFF5E2-9674-55C9-B08D-C9980002FD58</vt:lpwstr>
  </property>
  <property fmtid="{D5CDD505-2E9C-101B-9397-08002B2CF9AE}" pid="29" name="PMUuidVer">
    <vt:lpwstr>2022.1</vt:lpwstr>
  </property>
</Properties>
</file>