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0DDB3" w14:textId="018B2292" w:rsidR="00FA5EFD" w:rsidRDefault="0012027C" w:rsidP="00FB32C9">
      <w:pPr>
        <w:pStyle w:val="Heading1"/>
        <w:keepNext w:val="0"/>
        <w:keepLines w:val="0"/>
      </w:pPr>
      <w:r w:rsidRPr="0012027C">
        <w:t>2020-21 PACIFIC REGIONAL DEVELOPMENT PROGRAM PROGRESS REPORT</w:t>
      </w:r>
    </w:p>
    <w:p w14:paraId="6620F23B" w14:textId="4BC3593C" w:rsidR="00426DA9" w:rsidRDefault="008C0ED5" w:rsidP="000A126E">
      <w:pPr>
        <w:rPr>
          <w:noProof/>
        </w:rPr>
      </w:pPr>
      <w:r w:rsidRPr="008C0ED5">
        <w:rPr>
          <w:noProof/>
        </w:rPr>
        <w:drawing>
          <wp:inline distT="0" distB="0" distL="0" distR="0" wp14:anchorId="2C2502C6" wp14:editId="3C8F5C4A">
            <wp:extent cx="6696710" cy="3022600"/>
            <wp:effectExtent l="0" t="0" r="0" b="6350"/>
            <wp:docPr id="1" name="Picture 1" descr="2020-21 Budget estimate. Total ODA $390.5 million. Bilateral program budget $0. Regional program budget $210.2million. Global program budget $80.7 million. Other government departments budget $93.5 million. Temporary, targeted and supplementary measures $6 million.&#10;Our development program to Pacific Regional contributes towards achieving the following Sustainable Development Goals: 1,2,5,6,7,8,9,13 and 17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0-21 Budget estimate. Total ODA $390.5 million. Bilateral program budget $0. Regional program budget $210.2million. Global program budget $80.7 million. Other government departments budget $93.5 million. Temporary, targeted and supplementary measures $6 million.&#10;Our development program to Pacific Regional contributes towards achieving the following Sustainable Development Goals: 1,2,5,6,7,8,9,13 and 17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92"/>
                    <a:stretch/>
                  </pic:blipFill>
                  <pic:spPr bwMode="auto">
                    <a:xfrm>
                      <a:off x="0" y="0"/>
                      <a:ext cx="669671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182A4" w14:textId="0642BD06" w:rsidR="00C84C30" w:rsidRDefault="00C84C30" w:rsidP="00CD53B6">
      <w:pPr>
        <w:pStyle w:val="Heading2"/>
      </w:pPr>
      <w:r w:rsidRPr="00297FD1">
        <w:t xml:space="preserve">CONTEXT </w:t>
      </w:r>
    </w:p>
    <w:p w14:paraId="45F7AEAF" w14:textId="6AA8EFE3" w:rsidR="00A25A56" w:rsidRDefault="000A126E" w:rsidP="005238AA">
      <w:pPr>
        <w:pStyle w:val="Bullet1"/>
      </w:pPr>
      <w:r w:rsidRPr="00634326">
        <w:rPr>
          <w:color w:val="495965"/>
        </w:rPr>
        <w:t>Australia’s COVID-19 response build</w:t>
      </w:r>
      <w:r w:rsidR="00004496">
        <w:rPr>
          <w:color w:val="495965"/>
        </w:rPr>
        <w:t>s</w:t>
      </w:r>
      <w:r w:rsidRPr="00634326">
        <w:rPr>
          <w:color w:val="495965"/>
        </w:rPr>
        <w:t xml:space="preserve"> on Pacific Step-up</w:t>
      </w:r>
      <w:r w:rsidR="008B56C3">
        <w:rPr>
          <w:color w:val="495965"/>
        </w:rPr>
        <w:t xml:space="preserve"> - </w:t>
      </w:r>
      <w:r>
        <w:rPr>
          <w:color w:val="495965"/>
        </w:rPr>
        <w:t xml:space="preserve">helping </w:t>
      </w:r>
      <w:r w:rsidRPr="00634326">
        <w:rPr>
          <w:color w:val="495965"/>
        </w:rPr>
        <w:t xml:space="preserve">grow economies, build </w:t>
      </w:r>
      <w:proofErr w:type="gramStart"/>
      <w:r w:rsidRPr="00634326">
        <w:rPr>
          <w:color w:val="495965"/>
        </w:rPr>
        <w:t>resilience</w:t>
      </w:r>
      <w:proofErr w:type="gramEnd"/>
      <w:r w:rsidRPr="00634326">
        <w:rPr>
          <w:color w:val="495965"/>
        </w:rPr>
        <w:t xml:space="preserve"> and enhance reg</w:t>
      </w:r>
      <w:r>
        <w:rPr>
          <w:color w:val="495965"/>
        </w:rPr>
        <w:t>ional stability.</w:t>
      </w:r>
      <w:r w:rsidR="00701E83">
        <w:rPr>
          <w:color w:val="495965"/>
        </w:rPr>
        <w:t xml:space="preserve"> </w:t>
      </w:r>
      <w:r w:rsidR="000F4257">
        <w:rPr>
          <w:color w:val="495965"/>
        </w:rPr>
        <w:t xml:space="preserve">COVID-19 is profoundly affecting </w:t>
      </w:r>
      <w:r w:rsidR="00A25A56" w:rsidRPr="00962EA2">
        <w:t xml:space="preserve">Pacific </w:t>
      </w:r>
      <w:r w:rsidR="00A25A56">
        <w:t>societies and economies</w:t>
      </w:r>
      <w:r w:rsidR="00414E23">
        <w:t xml:space="preserve">. </w:t>
      </w:r>
      <w:r w:rsidR="008D75B3">
        <w:t xml:space="preserve">The </w:t>
      </w:r>
      <w:r w:rsidR="00A25A56">
        <w:t xml:space="preserve">Papua New Guinea and Fiji Governments are working to contain the spread and impact of </w:t>
      </w:r>
      <w:r w:rsidR="00D73F40">
        <w:t xml:space="preserve">their </w:t>
      </w:r>
      <w:r w:rsidR="00A25A56">
        <w:t>outbreaks</w:t>
      </w:r>
      <w:r w:rsidR="00414E23">
        <w:t xml:space="preserve">. </w:t>
      </w:r>
      <w:r w:rsidR="00A25A56">
        <w:t>Strict border measures and collapse</w:t>
      </w:r>
      <w:r w:rsidR="008B56C3">
        <w:t>d</w:t>
      </w:r>
      <w:r w:rsidR="00A25A56">
        <w:t xml:space="preserve"> international tourism </w:t>
      </w:r>
      <w:r w:rsidR="007A4423">
        <w:t xml:space="preserve">continue to </w:t>
      </w:r>
      <w:r w:rsidR="00A25A56">
        <w:t xml:space="preserve">reverberate as </w:t>
      </w:r>
      <w:r w:rsidR="008D75B3" w:rsidRPr="000A126E">
        <w:rPr>
          <w:b/>
          <w:bCs/>
        </w:rPr>
        <w:t xml:space="preserve">many countries find </w:t>
      </w:r>
      <w:r w:rsidR="00A25A56" w:rsidRPr="000A126E">
        <w:rPr>
          <w:b/>
          <w:bCs/>
        </w:rPr>
        <w:t>the economic situation worse than</w:t>
      </w:r>
      <w:r w:rsidR="005475D7">
        <w:rPr>
          <w:b/>
          <w:bCs/>
        </w:rPr>
        <w:t xml:space="preserve"> </w:t>
      </w:r>
      <w:r w:rsidR="002257B0" w:rsidRPr="000A126E">
        <w:rPr>
          <w:b/>
          <w:bCs/>
        </w:rPr>
        <w:t>forecast</w:t>
      </w:r>
      <w:r w:rsidR="008D75B3">
        <w:t>.</w:t>
      </w:r>
    </w:p>
    <w:p w14:paraId="779287E8" w14:textId="2E8A1215" w:rsidR="0012027C" w:rsidRPr="00820B73" w:rsidRDefault="002545B5" w:rsidP="005238AA">
      <w:pPr>
        <w:pStyle w:val="Bullet1"/>
      </w:pPr>
      <w:r>
        <w:t>E</w:t>
      </w:r>
      <w:r w:rsidR="0012027C" w:rsidRPr="00820B73">
        <w:t xml:space="preserve">arlier </w:t>
      </w:r>
      <w:r w:rsidR="00EA58ED">
        <w:t xml:space="preserve">Asian Development Bank </w:t>
      </w:r>
      <w:r w:rsidR="00184CDA" w:rsidRPr="000A126E">
        <w:t xml:space="preserve">(ADB) </w:t>
      </w:r>
      <w:r w:rsidR="0012027C" w:rsidRPr="000A126E">
        <w:t>estimates of Pacific</w:t>
      </w:r>
      <w:r w:rsidR="00EA58ED" w:rsidRPr="000A126E">
        <w:t xml:space="preserve"> </w:t>
      </w:r>
      <w:r w:rsidR="0012027C" w:rsidRPr="000A126E">
        <w:t xml:space="preserve">regional growth have been iteratively downgraded </w:t>
      </w:r>
      <w:r w:rsidR="00184CDA" w:rsidRPr="000A126E">
        <w:t xml:space="preserve">in 2021 </w:t>
      </w:r>
      <w:r w:rsidR="0012027C" w:rsidRPr="000A126E">
        <w:t>(from 2.7 per cent to 1.4 per cent to 0.</w:t>
      </w:r>
      <w:r w:rsidR="00092ACB">
        <w:t>6</w:t>
      </w:r>
      <w:r w:rsidR="0012027C" w:rsidRPr="000A126E">
        <w:t xml:space="preserve"> per cent)</w:t>
      </w:r>
      <w:r w:rsidR="00414E23">
        <w:t xml:space="preserve">. </w:t>
      </w:r>
      <w:r w:rsidR="0012027C" w:rsidRPr="00820B73">
        <w:t>Nine Pacific island economies are expected to contract for a second year in 2021</w:t>
      </w:r>
      <w:r w:rsidR="00414E23">
        <w:t xml:space="preserve">. </w:t>
      </w:r>
      <w:r w:rsidR="00104B4E" w:rsidRPr="000A126E">
        <w:t>F</w:t>
      </w:r>
      <w:r w:rsidR="0012027C" w:rsidRPr="000A126E">
        <w:t>iscal pressures have worsened further</w:t>
      </w:r>
      <w:r w:rsidR="008D75B3" w:rsidRPr="000A126E">
        <w:t>,</w:t>
      </w:r>
      <w:r w:rsidR="0012027C" w:rsidRPr="00820B73">
        <w:t xml:space="preserve"> with eight </w:t>
      </w:r>
      <w:r w:rsidR="00D50336">
        <w:t xml:space="preserve">Pacific island countries </w:t>
      </w:r>
      <w:r w:rsidR="0012027C" w:rsidRPr="00820B73">
        <w:t xml:space="preserve">expected to carry large deficits, </w:t>
      </w:r>
      <w:r w:rsidR="003E45A9">
        <w:t xml:space="preserve">increasing </w:t>
      </w:r>
      <w:r w:rsidR="0012027C" w:rsidRPr="00820B73">
        <w:t>demand for new debt or grant budget support</w:t>
      </w:r>
      <w:r w:rsidR="00414E23">
        <w:t xml:space="preserve">. </w:t>
      </w:r>
      <w:r w:rsidR="0012027C" w:rsidRPr="000A126E">
        <w:t>Regional public debt increased from USD12.6 billion (2018) to USD16.5 billion (April 2021)</w:t>
      </w:r>
      <w:r w:rsidR="0012027C" w:rsidRPr="000A126E">
        <w:rPr>
          <w:b/>
          <w:bCs/>
        </w:rPr>
        <w:t xml:space="preserve"> </w:t>
      </w:r>
      <w:r w:rsidR="0012027C" w:rsidRPr="00820B73">
        <w:t>and is expected to continue to rise in the medium-term as fiscal deficits persist</w:t>
      </w:r>
      <w:r w:rsidR="00414E23">
        <w:t xml:space="preserve">. </w:t>
      </w:r>
    </w:p>
    <w:p w14:paraId="07C36875" w14:textId="4E828A43" w:rsidR="00DA71D3" w:rsidRPr="00617DD5" w:rsidRDefault="006C3554" w:rsidP="005238AA">
      <w:pPr>
        <w:pStyle w:val="Bullet1"/>
      </w:pPr>
      <w:r w:rsidRPr="000A126E">
        <w:rPr>
          <w:b/>
          <w:bCs/>
        </w:rPr>
        <w:t>R</w:t>
      </w:r>
      <w:r w:rsidR="001D0548" w:rsidRPr="000A126E">
        <w:rPr>
          <w:b/>
          <w:bCs/>
        </w:rPr>
        <w:t xml:space="preserve">emittances </w:t>
      </w:r>
      <w:r w:rsidR="00FE00C1" w:rsidRPr="000A126E">
        <w:rPr>
          <w:b/>
          <w:bCs/>
        </w:rPr>
        <w:t xml:space="preserve">have </w:t>
      </w:r>
      <w:r w:rsidR="0034414D" w:rsidRPr="000A126E">
        <w:rPr>
          <w:b/>
          <w:bCs/>
        </w:rPr>
        <w:t xml:space="preserve">unexpectedly </w:t>
      </w:r>
      <w:r w:rsidR="002930DA" w:rsidRPr="000A126E">
        <w:rPr>
          <w:b/>
          <w:bCs/>
        </w:rPr>
        <w:t xml:space="preserve">grown </w:t>
      </w:r>
      <w:r w:rsidR="008D75B3" w:rsidRPr="000A126E">
        <w:rPr>
          <w:b/>
          <w:bCs/>
        </w:rPr>
        <w:t xml:space="preserve">from </w:t>
      </w:r>
      <w:r w:rsidR="002930DA" w:rsidRPr="000A126E">
        <w:rPr>
          <w:b/>
          <w:bCs/>
        </w:rPr>
        <w:t>pre-pandemic levels</w:t>
      </w:r>
      <w:r w:rsidR="002C37BE">
        <w:t xml:space="preserve">, </w:t>
      </w:r>
      <w:r w:rsidR="008D75B3">
        <w:t xml:space="preserve">which </w:t>
      </w:r>
      <w:r>
        <w:t xml:space="preserve">is </w:t>
      </w:r>
      <w:r w:rsidR="001D0548">
        <w:t xml:space="preserve">notable given their sizeable contribution to </w:t>
      </w:r>
      <w:r w:rsidR="001910DA">
        <w:t xml:space="preserve">some </w:t>
      </w:r>
      <w:r w:rsidR="001D0548">
        <w:t>Pacific economies and household incomes</w:t>
      </w:r>
      <w:r w:rsidR="00414E23">
        <w:t xml:space="preserve">. </w:t>
      </w:r>
      <w:r w:rsidR="00C05562">
        <w:t>However,</w:t>
      </w:r>
      <w:r w:rsidR="008D75B3">
        <w:t xml:space="preserve"> in </w:t>
      </w:r>
      <w:r w:rsidR="00561274">
        <w:t xml:space="preserve">Pacific </w:t>
      </w:r>
      <w:r w:rsidR="003E0EFB" w:rsidRPr="003A49DA">
        <w:t>fisher</w:t>
      </w:r>
      <w:r w:rsidR="00C45193">
        <w:t>y</w:t>
      </w:r>
      <w:r w:rsidR="003E0EFB" w:rsidRPr="003A49DA">
        <w:t>-based econom</w:t>
      </w:r>
      <w:r w:rsidR="003E0EFB">
        <w:t>ies,</w:t>
      </w:r>
      <w:r w:rsidR="003E0EFB" w:rsidRPr="003A49DA">
        <w:t xml:space="preserve"> </w:t>
      </w:r>
      <w:r w:rsidR="00DA71D3" w:rsidRPr="003A49DA">
        <w:t xml:space="preserve">restrictions </w:t>
      </w:r>
      <w:r w:rsidR="00A6632F">
        <w:t xml:space="preserve">have </w:t>
      </w:r>
      <w:r w:rsidR="00B47FA6">
        <w:t xml:space="preserve">resulted in reduced </w:t>
      </w:r>
      <w:r w:rsidR="00197455">
        <w:t xml:space="preserve">household and business incomes </w:t>
      </w:r>
      <w:r w:rsidR="00B47FA6">
        <w:t xml:space="preserve">due to </w:t>
      </w:r>
      <w:r w:rsidR="00DA71D3" w:rsidRPr="003A49DA">
        <w:t xml:space="preserve">reduced local </w:t>
      </w:r>
      <w:r w:rsidR="00B47FA6">
        <w:t xml:space="preserve">and export </w:t>
      </w:r>
      <w:r w:rsidR="00DA71D3" w:rsidRPr="003A49DA">
        <w:t>demand for products</w:t>
      </w:r>
      <w:r w:rsidR="00B47FA6">
        <w:t>,</w:t>
      </w:r>
      <w:r w:rsidR="00DA71D3" w:rsidRPr="003A49DA">
        <w:t xml:space="preserve"> and increased </w:t>
      </w:r>
      <w:r w:rsidR="00806F38" w:rsidRPr="000A2DB2">
        <w:t>risk of</w:t>
      </w:r>
      <w:r w:rsidR="00806F38">
        <w:t xml:space="preserve"> </w:t>
      </w:r>
      <w:r w:rsidR="00DA71D3" w:rsidRPr="003A49DA">
        <w:t xml:space="preserve">illegal, </w:t>
      </w:r>
      <w:proofErr w:type="gramStart"/>
      <w:r w:rsidR="00DA71D3" w:rsidRPr="003A49DA">
        <w:t>unreported</w:t>
      </w:r>
      <w:proofErr w:type="gramEnd"/>
      <w:r w:rsidR="00DA71D3" w:rsidRPr="003A49DA">
        <w:t xml:space="preserve"> and unregulated fishing</w:t>
      </w:r>
      <w:r w:rsidR="00DA71D3" w:rsidRPr="00617DD5">
        <w:t xml:space="preserve"> </w:t>
      </w:r>
      <w:r w:rsidR="00430734">
        <w:t>due to suspended</w:t>
      </w:r>
      <w:r w:rsidR="00072FCA" w:rsidRPr="00617DD5">
        <w:t xml:space="preserve"> </w:t>
      </w:r>
      <w:r w:rsidR="00DA71D3" w:rsidRPr="00617DD5">
        <w:t>observer activities</w:t>
      </w:r>
      <w:r w:rsidR="00414E23">
        <w:t xml:space="preserve">. </w:t>
      </w:r>
    </w:p>
    <w:p w14:paraId="790C3352" w14:textId="7A594132" w:rsidR="00DA71D3" w:rsidRPr="005238AA" w:rsidRDefault="00A457F8" w:rsidP="005238AA">
      <w:pPr>
        <w:suppressAutoHyphens w:val="0"/>
        <w:spacing w:before="0" w:after="0" w:line="240" w:lineRule="auto"/>
      </w:pPr>
      <w:bookmarkStart w:id="0" w:name="_Hlk83101601"/>
      <w:r>
        <w:rPr>
          <w:b/>
          <w:bCs/>
        </w:rPr>
        <w:t>COVID-19 has disproportionately affected w</w:t>
      </w:r>
      <w:r w:rsidR="00AD13B1" w:rsidRPr="000A126E">
        <w:rPr>
          <w:b/>
          <w:bCs/>
        </w:rPr>
        <w:t xml:space="preserve">omen’s health, </w:t>
      </w:r>
      <w:proofErr w:type="gramStart"/>
      <w:r w:rsidR="00AD13B1" w:rsidRPr="000A126E">
        <w:rPr>
          <w:b/>
          <w:bCs/>
        </w:rPr>
        <w:t>safety</w:t>
      </w:r>
      <w:proofErr w:type="gramEnd"/>
      <w:r w:rsidR="00AD13B1" w:rsidRPr="000A126E">
        <w:rPr>
          <w:b/>
          <w:bCs/>
        </w:rPr>
        <w:t xml:space="preserve"> and economic security</w:t>
      </w:r>
      <w:r w:rsidR="00414E23">
        <w:rPr>
          <w:b/>
          <w:bCs/>
        </w:rPr>
        <w:t xml:space="preserve">. </w:t>
      </w:r>
      <w:r w:rsidR="004466CD">
        <w:t>R</w:t>
      </w:r>
      <w:r w:rsidR="004466CD" w:rsidRPr="00EF3769">
        <w:t xml:space="preserve">estricted access to health services has led to </w:t>
      </w:r>
      <w:r w:rsidR="00AD13B1" w:rsidRPr="00954D94">
        <w:t xml:space="preserve">reduced </w:t>
      </w:r>
      <w:r w:rsidR="004466CD" w:rsidRPr="006E6886">
        <w:t>contraceptives</w:t>
      </w:r>
      <w:r w:rsidR="004466CD" w:rsidRPr="00EF3769">
        <w:t xml:space="preserve"> </w:t>
      </w:r>
      <w:r>
        <w:t xml:space="preserve">use </w:t>
      </w:r>
      <w:r w:rsidR="004466CD" w:rsidRPr="00EF3769">
        <w:t>and</w:t>
      </w:r>
      <w:r w:rsidR="004466CD">
        <w:t>,</w:t>
      </w:r>
      <w:r w:rsidR="004466CD" w:rsidRPr="00EF3769">
        <w:t xml:space="preserve"> in some cases, an increase in maternal deaths</w:t>
      </w:r>
      <w:r w:rsidR="00414E23">
        <w:t xml:space="preserve">. </w:t>
      </w:r>
      <w:r w:rsidR="00104808" w:rsidRPr="005238AA">
        <w:t>The U</w:t>
      </w:r>
      <w:r w:rsidR="0041412F">
        <w:t xml:space="preserve">nited </w:t>
      </w:r>
      <w:r w:rsidR="00104808" w:rsidRPr="005238AA">
        <w:t>N</w:t>
      </w:r>
      <w:r w:rsidR="0041412F">
        <w:t>ations</w:t>
      </w:r>
      <w:r w:rsidR="00104808" w:rsidRPr="005238AA">
        <w:t xml:space="preserve"> </w:t>
      </w:r>
      <w:r w:rsidR="002C37BE" w:rsidRPr="005238AA">
        <w:t>estimate</w:t>
      </w:r>
      <w:r w:rsidR="00E87A23" w:rsidRPr="005238AA">
        <w:t>s</w:t>
      </w:r>
      <w:r w:rsidR="002C37BE" w:rsidRPr="005238AA">
        <w:t xml:space="preserve"> two in every three Pacific women </w:t>
      </w:r>
      <w:r w:rsidR="00E87A23" w:rsidRPr="005238AA">
        <w:t xml:space="preserve">are </w:t>
      </w:r>
      <w:r w:rsidR="002C37BE" w:rsidRPr="005238AA">
        <w:t>impacted by gender-based violence</w:t>
      </w:r>
      <w:r w:rsidR="003E45A9" w:rsidRPr="005238AA">
        <w:t xml:space="preserve"> (</w:t>
      </w:r>
      <w:r w:rsidR="00FB4D9E" w:rsidRPr="005238AA">
        <w:t>twice the global average</w:t>
      </w:r>
      <w:r w:rsidR="003E45A9" w:rsidRPr="005238AA">
        <w:t>)</w:t>
      </w:r>
      <w:r w:rsidR="00414E23">
        <w:t xml:space="preserve">. </w:t>
      </w:r>
      <w:r w:rsidR="004466CD" w:rsidRPr="005238AA">
        <w:t>More women-led and women-owned business have reported a significant decline in revenue</w:t>
      </w:r>
      <w:r w:rsidR="00414E23">
        <w:t xml:space="preserve">. </w:t>
      </w:r>
      <w:r w:rsidR="00AD13B1">
        <w:t>P</w:t>
      </w:r>
      <w:r w:rsidR="00AD13B1" w:rsidRPr="00EF3769">
        <w:t xml:space="preserve">rolonged school closures and reduced household incomes </w:t>
      </w:r>
      <w:r w:rsidR="00AD13B1">
        <w:t xml:space="preserve">in some countries </w:t>
      </w:r>
      <w:r w:rsidR="00AD13B1" w:rsidRPr="00EF3769">
        <w:t>have impacted</w:t>
      </w:r>
      <w:r w:rsidR="00AD13B1">
        <w:t xml:space="preserve"> g</w:t>
      </w:r>
      <w:r w:rsidR="00AD13B1" w:rsidRPr="00EF3769">
        <w:t>irls’ capacity to pursue education opportunities</w:t>
      </w:r>
      <w:r w:rsidR="00AD13B1">
        <w:t>.</w:t>
      </w:r>
    </w:p>
    <w:bookmarkEnd w:id="0"/>
    <w:p w14:paraId="218A8682" w14:textId="06768754" w:rsidR="00FB4D9E" w:rsidRDefault="00FB4D9E" w:rsidP="00CD53B6">
      <w:pPr>
        <w:pStyle w:val="Heading2"/>
      </w:pPr>
      <w:r w:rsidRPr="00FC1216">
        <w:t>AUSTRALIA’S RESPONS</w:t>
      </w:r>
      <w:r>
        <w:t>E and PROGRAM HIGHLIGHTS</w:t>
      </w:r>
    </w:p>
    <w:p w14:paraId="60698A68" w14:textId="6BA29FC3" w:rsidR="00545EA0" w:rsidRDefault="000A3406" w:rsidP="005238AA">
      <w:pPr>
        <w:pStyle w:val="Bullet1"/>
      </w:pPr>
      <w:bookmarkStart w:id="1" w:name="_Hlk80105776"/>
      <w:r>
        <w:t>Australia</w:t>
      </w:r>
      <w:r w:rsidR="004A1BEB">
        <w:t>’s</w:t>
      </w:r>
      <w:r>
        <w:t xml:space="preserve"> </w:t>
      </w:r>
      <w:r w:rsidR="00A9072D">
        <w:t>s</w:t>
      </w:r>
      <w:r w:rsidR="00FB4D9E" w:rsidRPr="00617DD5">
        <w:t xml:space="preserve">upport </w:t>
      </w:r>
      <w:r w:rsidR="007B2649">
        <w:t>for</w:t>
      </w:r>
      <w:r w:rsidR="007B2649" w:rsidRPr="00617DD5">
        <w:t xml:space="preserve"> </w:t>
      </w:r>
      <w:r w:rsidR="00FB4D9E" w:rsidRPr="00617DD5">
        <w:t xml:space="preserve">regional organisations and initiatives has </w:t>
      </w:r>
      <w:r w:rsidR="00006CFF">
        <w:t xml:space="preserve">aided </w:t>
      </w:r>
      <w:r w:rsidR="00FB4D9E" w:rsidRPr="00617DD5">
        <w:t xml:space="preserve">Pacific ownership of the region’s pandemic response – a low-cost, high-value investment in </w:t>
      </w:r>
      <w:r w:rsidR="00BA0B23">
        <w:t xml:space="preserve">our </w:t>
      </w:r>
      <w:r w:rsidR="00E75307">
        <w:t xml:space="preserve">critical </w:t>
      </w:r>
      <w:r w:rsidR="00FB4D9E" w:rsidRPr="00617DD5">
        <w:t>Pacific partnerships</w:t>
      </w:r>
      <w:r w:rsidR="00D95B7B">
        <w:t xml:space="preserve"> that </w:t>
      </w:r>
      <w:r w:rsidR="00D95B7B" w:rsidRPr="00617DD5">
        <w:t>complement</w:t>
      </w:r>
      <w:r w:rsidR="00865B19">
        <w:t>s</w:t>
      </w:r>
      <w:r w:rsidR="00D95B7B">
        <w:t xml:space="preserve"> Australia’s </w:t>
      </w:r>
      <w:r w:rsidR="00D95B7B" w:rsidRPr="00617DD5">
        <w:t xml:space="preserve">bilateral </w:t>
      </w:r>
      <w:r w:rsidR="00D95B7B">
        <w:lastRenderedPageBreak/>
        <w:t xml:space="preserve">and global </w:t>
      </w:r>
      <w:r w:rsidR="00D95B7B" w:rsidRPr="00617DD5">
        <w:t>programs</w:t>
      </w:r>
      <w:r w:rsidR="00414E23">
        <w:t xml:space="preserve">. </w:t>
      </w:r>
      <w:r w:rsidR="002257B0">
        <w:t>The Pacific Islands Forum (the Forum) and the Pacific Community (SPC)</w:t>
      </w:r>
      <w:r w:rsidR="002257B0" w:rsidRPr="00617DD5">
        <w:t xml:space="preserve"> </w:t>
      </w:r>
      <w:r w:rsidR="002257B0">
        <w:t xml:space="preserve">continue to </w:t>
      </w:r>
      <w:r w:rsidR="002257B0" w:rsidRPr="00617DD5">
        <w:t>coordinate COVID-19</w:t>
      </w:r>
      <w:r w:rsidR="002257B0">
        <w:t xml:space="preserve"> </w:t>
      </w:r>
      <w:r w:rsidR="002257B0" w:rsidRPr="00617DD5">
        <w:t>responses</w:t>
      </w:r>
      <w:r w:rsidR="00414E23">
        <w:t xml:space="preserve">. </w:t>
      </w:r>
      <w:r w:rsidR="00A9072D">
        <w:t xml:space="preserve">Australia, a </w:t>
      </w:r>
      <w:r w:rsidR="008B39A1">
        <w:t xml:space="preserve">Forum </w:t>
      </w:r>
      <w:r w:rsidR="00673334" w:rsidRPr="00C408D2">
        <w:t>member</w:t>
      </w:r>
      <w:r w:rsidR="00A9072D">
        <w:t xml:space="preserve">, </w:t>
      </w:r>
      <w:r w:rsidR="00673334" w:rsidRPr="00C408D2">
        <w:t>support</w:t>
      </w:r>
      <w:r w:rsidR="00A9072D">
        <w:t>s</w:t>
      </w:r>
      <w:r w:rsidR="00673334" w:rsidRPr="00C408D2">
        <w:t xml:space="preserve"> </w:t>
      </w:r>
      <w:r w:rsidR="00673334" w:rsidRPr="000A126E">
        <w:rPr>
          <w:b/>
          <w:bCs/>
        </w:rPr>
        <w:t xml:space="preserve">the </w:t>
      </w:r>
      <w:r w:rsidR="00673334" w:rsidRPr="000D76E9">
        <w:rPr>
          <w:b/>
          <w:bCs/>
        </w:rPr>
        <w:t>Pacific Humanitarian Pathway</w:t>
      </w:r>
      <w:r w:rsidR="008B39A1" w:rsidRPr="000A126E">
        <w:rPr>
          <w:b/>
          <w:bCs/>
          <w:i/>
          <w:iCs/>
        </w:rPr>
        <w:t xml:space="preserve"> </w:t>
      </w:r>
      <w:r w:rsidR="008B39A1" w:rsidRPr="000A126E">
        <w:rPr>
          <w:b/>
          <w:bCs/>
        </w:rPr>
        <w:t>(PH</w:t>
      </w:r>
      <w:r w:rsidR="00F3502B" w:rsidRPr="000A126E">
        <w:rPr>
          <w:b/>
          <w:bCs/>
        </w:rPr>
        <w:t>P</w:t>
      </w:r>
      <w:r w:rsidR="008B39A1" w:rsidRPr="000A126E">
        <w:rPr>
          <w:b/>
          <w:bCs/>
        </w:rPr>
        <w:t>-C)</w:t>
      </w:r>
      <w:r w:rsidR="008B39A1" w:rsidRPr="000A126E">
        <w:rPr>
          <w:b/>
          <w:bCs/>
          <w:i/>
          <w:iCs/>
        </w:rPr>
        <w:t xml:space="preserve"> </w:t>
      </w:r>
      <w:r w:rsidR="008B39A1" w:rsidRPr="000A126E">
        <w:rPr>
          <w:b/>
          <w:bCs/>
        </w:rPr>
        <w:t>as</w:t>
      </w:r>
      <w:r w:rsidR="008B39A1" w:rsidRPr="000A126E">
        <w:rPr>
          <w:b/>
          <w:bCs/>
          <w:i/>
          <w:iCs/>
        </w:rPr>
        <w:t xml:space="preserve"> </w:t>
      </w:r>
      <w:r w:rsidR="0034414D" w:rsidRPr="000A126E">
        <w:rPr>
          <w:b/>
          <w:bCs/>
        </w:rPr>
        <w:t xml:space="preserve">a vital regional </w:t>
      </w:r>
      <w:r w:rsidR="008B39A1" w:rsidRPr="000A126E">
        <w:rPr>
          <w:b/>
          <w:bCs/>
        </w:rPr>
        <w:t>mechanism</w:t>
      </w:r>
      <w:r w:rsidR="0034414D" w:rsidRPr="000A126E">
        <w:rPr>
          <w:b/>
          <w:bCs/>
        </w:rPr>
        <w:t xml:space="preserve"> </w:t>
      </w:r>
      <w:r w:rsidR="000465F7" w:rsidRPr="000A126E">
        <w:rPr>
          <w:b/>
          <w:bCs/>
        </w:rPr>
        <w:t xml:space="preserve">to </w:t>
      </w:r>
      <w:r w:rsidR="0034414D" w:rsidRPr="000A126E">
        <w:rPr>
          <w:b/>
          <w:bCs/>
        </w:rPr>
        <w:t xml:space="preserve">enable the movement of essential </w:t>
      </w:r>
      <w:r w:rsidR="008B39A1" w:rsidRPr="000A126E">
        <w:rPr>
          <w:b/>
          <w:bCs/>
        </w:rPr>
        <w:t xml:space="preserve">supplies </w:t>
      </w:r>
      <w:r w:rsidR="000465F7" w:rsidRPr="000A126E">
        <w:rPr>
          <w:b/>
          <w:bCs/>
        </w:rPr>
        <w:t xml:space="preserve">and </w:t>
      </w:r>
      <w:r w:rsidR="0034414D" w:rsidRPr="000A126E">
        <w:rPr>
          <w:b/>
          <w:bCs/>
        </w:rPr>
        <w:t>personnel</w:t>
      </w:r>
      <w:r w:rsidR="0034414D" w:rsidRPr="00FB4EC9">
        <w:t>,</w:t>
      </w:r>
      <w:r w:rsidR="0034414D" w:rsidRPr="000A126E">
        <w:rPr>
          <w:b/>
          <w:bCs/>
        </w:rPr>
        <w:t xml:space="preserve"> </w:t>
      </w:r>
      <w:r w:rsidR="0034414D" w:rsidRPr="000A126E">
        <w:t>and develop collaborative approaches</w:t>
      </w:r>
      <w:r w:rsidR="0034414D">
        <w:t xml:space="preserve"> to reopening borders safely</w:t>
      </w:r>
      <w:r w:rsidR="00414E23">
        <w:t xml:space="preserve">. </w:t>
      </w:r>
      <w:r w:rsidR="008B39A1" w:rsidRPr="000A126E">
        <w:t>In 2020</w:t>
      </w:r>
      <w:r w:rsidR="00104808" w:rsidRPr="000A126E">
        <w:t>-</w:t>
      </w:r>
      <w:r w:rsidR="008B39A1" w:rsidRPr="000A126E">
        <w:t>21</w:t>
      </w:r>
      <w:r w:rsidR="00673334" w:rsidRPr="000A126E">
        <w:t xml:space="preserve">, </w:t>
      </w:r>
      <w:r w:rsidR="0034414D" w:rsidRPr="000A126E">
        <w:t xml:space="preserve">the </w:t>
      </w:r>
      <w:r w:rsidR="008B39A1" w:rsidRPr="000A126E">
        <w:t>PH</w:t>
      </w:r>
      <w:r w:rsidR="00F3502B" w:rsidRPr="000A126E">
        <w:t>P</w:t>
      </w:r>
      <w:r w:rsidR="008B39A1" w:rsidRPr="000A126E">
        <w:t xml:space="preserve">-C </w:t>
      </w:r>
      <w:r w:rsidR="00673334" w:rsidRPr="000A126E">
        <w:t>facilitated flights to 11 countries</w:t>
      </w:r>
      <w:r w:rsidR="00673334" w:rsidRPr="00C408D2">
        <w:t xml:space="preserve"> and transported more than </w:t>
      </w:r>
      <w:r w:rsidR="00673334" w:rsidRPr="000A2DB2">
        <w:t xml:space="preserve">237 </w:t>
      </w:r>
      <w:r w:rsidR="00673334" w:rsidRPr="00C408D2">
        <w:t>ton</w:t>
      </w:r>
      <w:r w:rsidR="00042C2A">
        <w:t>ne</w:t>
      </w:r>
      <w:r w:rsidR="00673334" w:rsidRPr="00C408D2">
        <w:t>s of health and humanitarian supplies and over 100 technical experts.</w:t>
      </w:r>
    </w:p>
    <w:p w14:paraId="24ADE567" w14:textId="2B1929A7" w:rsidR="00CC6B1E" w:rsidRDefault="00561274" w:rsidP="005238AA">
      <w:pPr>
        <w:pStyle w:val="Bullet1"/>
      </w:pPr>
      <w:bookmarkStart w:id="2" w:name="_Hlk83298121"/>
      <w:r w:rsidRPr="008B39A1">
        <w:t xml:space="preserve">Complementing the PHP-C work, </w:t>
      </w:r>
      <w:r w:rsidRPr="000A126E">
        <w:rPr>
          <w:b/>
          <w:bCs/>
        </w:rPr>
        <w:t xml:space="preserve">Australia delivered more than 229,540 GeneXpert COVID-19 testing cartridges to support </w:t>
      </w:r>
      <w:r w:rsidR="007B2649" w:rsidRPr="000A126E">
        <w:rPr>
          <w:b/>
          <w:bCs/>
        </w:rPr>
        <w:t xml:space="preserve">COVID-19 </w:t>
      </w:r>
      <w:r w:rsidRPr="000A126E">
        <w:rPr>
          <w:b/>
          <w:bCs/>
        </w:rPr>
        <w:t xml:space="preserve">detection and </w:t>
      </w:r>
      <w:r w:rsidR="007B2649" w:rsidRPr="000A126E">
        <w:rPr>
          <w:b/>
          <w:bCs/>
        </w:rPr>
        <w:t xml:space="preserve">transported </w:t>
      </w:r>
      <w:r w:rsidRPr="000A126E">
        <w:rPr>
          <w:b/>
          <w:bCs/>
        </w:rPr>
        <w:t>almost 60 ton</w:t>
      </w:r>
      <w:r w:rsidR="00042C2A">
        <w:rPr>
          <w:b/>
          <w:bCs/>
        </w:rPr>
        <w:t>ne</w:t>
      </w:r>
      <w:r w:rsidRPr="000A126E">
        <w:rPr>
          <w:b/>
          <w:bCs/>
        </w:rPr>
        <w:t>s of humanitarian supplies to 13 Pacific island countries and Timor-Leste</w:t>
      </w:r>
      <w:r w:rsidRPr="00853D82">
        <w:t xml:space="preserve"> </w:t>
      </w:r>
      <w:r w:rsidR="007B2649" w:rsidRPr="00EA2F82">
        <w:t xml:space="preserve">on </w:t>
      </w:r>
      <w:r w:rsidRPr="00EA2F82">
        <w:t>over 360 flights</w:t>
      </w:r>
      <w:r w:rsidR="00414E23">
        <w:t xml:space="preserve">. </w:t>
      </w:r>
      <w:r w:rsidR="00545EA0" w:rsidRPr="00EA2F82">
        <w:t xml:space="preserve">We </w:t>
      </w:r>
      <w:r w:rsidR="00545EA0" w:rsidRPr="00146F4D">
        <w:t xml:space="preserve">maintained critical connectivity by supporting </w:t>
      </w:r>
      <w:r w:rsidR="009C4BCC">
        <w:t>commercial</w:t>
      </w:r>
      <w:r w:rsidR="009C4BCC" w:rsidRPr="00146F4D">
        <w:t xml:space="preserve"> </w:t>
      </w:r>
      <w:r w:rsidR="00545EA0" w:rsidRPr="00146F4D">
        <w:t xml:space="preserve">airlines under the </w:t>
      </w:r>
      <w:r w:rsidR="00545EA0" w:rsidRPr="009130C5">
        <w:t xml:space="preserve">Pacific Flights Program, </w:t>
      </w:r>
      <w:r w:rsidR="00545EA0" w:rsidRPr="00146F4D">
        <w:t>with regular services to Vanuatu, Solomon Islands, Papua New Guinea</w:t>
      </w:r>
      <w:r w:rsidR="00F3502B" w:rsidRPr="00146F4D">
        <w:t xml:space="preserve">, </w:t>
      </w:r>
      <w:proofErr w:type="gramStart"/>
      <w:r w:rsidR="00545EA0" w:rsidRPr="00146F4D">
        <w:t>Tonga</w:t>
      </w:r>
      <w:proofErr w:type="gramEnd"/>
      <w:r w:rsidR="00F3502B" w:rsidRPr="00146F4D">
        <w:t xml:space="preserve"> and Timor-Leste.</w:t>
      </w:r>
    </w:p>
    <w:p w14:paraId="59DF39F9" w14:textId="4E86557F" w:rsidR="008E36A8" w:rsidRPr="00617DD5" w:rsidRDefault="007B2649" w:rsidP="005238AA">
      <w:pPr>
        <w:pStyle w:val="Bullet1"/>
      </w:pPr>
      <w:bookmarkStart w:id="3" w:name="_Hlk83312531"/>
      <w:bookmarkEnd w:id="2"/>
      <w:r w:rsidRPr="000A126E">
        <w:rPr>
          <w:b/>
          <w:bCs/>
        </w:rPr>
        <w:t>COVID</w:t>
      </w:r>
      <w:r w:rsidR="00A9072D" w:rsidRPr="000A126E">
        <w:rPr>
          <w:b/>
          <w:bCs/>
        </w:rPr>
        <w:t>-</w:t>
      </w:r>
      <w:r w:rsidRPr="000A126E">
        <w:rPr>
          <w:b/>
          <w:bCs/>
        </w:rPr>
        <w:t xml:space="preserve">19 has </w:t>
      </w:r>
      <w:r w:rsidR="00A36E00" w:rsidRPr="000A126E">
        <w:rPr>
          <w:b/>
          <w:bCs/>
        </w:rPr>
        <w:t xml:space="preserve">presented </w:t>
      </w:r>
      <w:r w:rsidRPr="000A126E">
        <w:rPr>
          <w:b/>
          <w:bCs/>
        </w:rPr>
        <w:t xml:space="preserve">unprecedented </w:t>
      </w:r>
      <w:r w:rsidR="00906C94" w:rsidRPr="000A126E">
        <w:rPr>
          <w:b/>
          <w:bCs/>
        </w:rPr>
        <w:t>i</w:t>
      </w:r>
      <w:r w:rsidR="00104808" w:rsidRPr="000A126E">
        <w:rPr>
          <w:b/>
          <w:bCs/>
        </w:rPr>
        <w:t>mplementation challenges</w:t>
      </w:r>
      <w:r w:rsidR="009835B9" w:rsidRPr="006F1408">
        <w:t xml:space="preserve"> in the Pacific</w:t>
      </w:r>
      <w:r w:rsidR="00B67B8B" w:rsidRPr="006F1408">
        <w:t>, restricting the movement of resources and expertise</w:t>
      </w:r>
      <w:r w:rsidR="00414E23">
        <w:t xml:space="preserve">. </w:t>
      </w:r>
      <w:r w:rsidR="00865B19">
        <w:t>Some</w:t>
      </w:r>
      <w:r w:rsidR="00487F6C" w:rsidRPr="000A126E">
        <w:t xml:space="preserve"> </w:t>
      </w:r>
      <w:r w:rsidR="004D4EC7" w:rsidRPr="000A126E">
        <w:t>programs</w:t>
      </w:r>
      <w:r w:rsidR="00262D2C" w:rsidRPr="000A126E">
        <w:t>, like</w:t>
      </w:r>
      <w:r w:rsidR="00EA5CA0" w:rsidRPr="000A126E">
        <w:t xml:space="preserve"> the</w:t>
      </w:r>
      <w:r w:rsidR="00EA5CA0" w:rsidRPr="000A126E">
        <w:rPr>
          <w:b/>
          <w:bCs/>
        </w:rPr>
        <w:t xml:space="preserve"> </w:t>
      </w:r>
      <w:r w:rsidR="00EA5CA0" w:rsidRPr="009130C5">
        <w:t>Pacific Secondary School Scholarship Program</w:t>
      </w:r>
      <w:r w:rsidR="00262D2C" w:rsidRPr="009130C5">
        <w:t>,</w:t>
      </w:r>
      <w:r w:rsidR="00262D2C">
        <w:t xml:space="preserve"> </w:t>
      </w:r>
      <w:r w:rsidR="00865B19">
        <w:t xml:space="preserve">have </w:t>
      </w:r>
      <w:r w:rsidR="00262D2C" w:rsidRPr="000A126E">
        <w:t>paused</w:t>
      </w:r>
      <w:r w:rsidR="00414E23">
        <w:t xml:space="preserve">. </w:t>
      </w:r>
      <w:r w:rsidR="00865B19">
        <w:t>Others have been</w:t>
      </w:r>
      <w:r w:rsidR="00487F6C">
        <w:t xml:space="preserve"> adapt</w:t>
      </w:r>
      <w:r w:rsidR="00865B19">
        <w:t>ed</w:t>
      </w:r>
      <w:r w:rsidR="00906C94" w:rsidRPr="006F1408">
        <w:t xml:space="preserve"> </w:t>
      </w:r>
      <w:r w:rsidR="00487F6C">
        <w:t xml:space="preserve">to </w:t>
      </w:r>
      <w:r w:rsidR="00906C94" w:rsidRPr="006F1408">
        <w:t>deliver results</w:t>
      </w:r>
      <w:r w:rsidR="00487F6C">
        <w:t xml:space="preserve">, while also </w:t>
      </w:r>
      <w:r w:rsidR="006B6FA9">
        <w:t xml:space="preserve">meeting </w:t>
      </w:r>
      <w:r w:rsidR="00487F6C">
        <w:t>new priorities</w:t>
      </w:r>
      <w:r w:rsidR="00487F6C" w:rsidRPr="006F1408">
        <w:t>, such as budget support, aviation</w:t>
      </w:r>
      <w:r w:rsidR="009130C5">
        <w:t xml:space="preserve"> sector support</w:t>
      </w:r>
      <w:r w:rsidR="00487F6C" w:rsidRPr="006F1408">
        <w:t>, and vaccine</w:t>
      </w:r>
      <w:r w:rsidR="00EA5CA0">
        <w:t>s</w:t>
      </w:r>
      <w:r w:rsidR="006B6FA9">
        <w:t xml:space="preserve"> delivery</w:t>
      </w:r>
      <w:r w:rsidR="00414E23">
        <w:t xml:space="preserve">. </w:t>
      </w:r>
      <w:r w:rsidR="00820FCD" w:rsidRPr="00564226">
        <w:t>Several investments reported lower effectiveness ratings for the reporting period</w:t>
      </w:r>
      <w:r w:rsidR="00564226">
        <w:t xml:space="preserve"> and Australia has put in place management plan</w:t>
      </w:r>
      <w:r w:rsidR="00A1391E">
        <w:t>s</w:t>
      </w:r>
      <w:r w:rsidR="00564226">
        <w:t xml:space="preserve"> to improve performance. </w:t>
      </w:r>
    </w:p>
    <w:bookmarkEnd w:id="3"/>
    <w:p w14:paraId="70C6AE9E" w14:textId="77777777" w:rsidR="006A04EA" w:rsidRDefault="00912420" w:rsidP="006A04EA">
      <w:pPr>
        <w:pStyle w:val="Heading3"/>
      </w:pPr>
      <w:r w:rsidRPr="000A2DB2">
        <w:t>Health Security</w:t>
      </w:r>
      <w:bookmarkStart w:id="4" w:name="_Hlk84412418"/>
      <w:bookmarkStart w:id="5" w:name="_Hlk84254775"/>
      <w:bookmarkStart w:id="6" w:name="_Hlk83297758"/>
    </w:p>
    <w:p w14:paraId="68DE409D" w14:textId="3608202A" w:rsidR="00585E67" w:rsidRPr="006A04EA" w:rsidRDefault="00285591" w:rsidP="006A04EA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</w:rPr>
      </w:pP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Supporting Pacific island countries to expand COVID-19 vaccine coverage in a safe and timely manner has been one of Australia’s top priorities. </w:t>
      </w:r>
      <w:r w:rsidR="00A458D7" w:rsidRPr="006A04EA">
        <w:rPr>
          <w:rFonts w:asciiTheme="minorHAnsi" w:eastAsiaTheme="minorHAnsi" w:hAnsiTheme="minorHAnsi" w:cstheme="minorBidi"/>
          <w:b w:val="0"/>
          <w:bCs w:val="0"/>
          <w:i w:val="0"/>
        </w:rPr>
        <w:t>A</w:t>
      </w:r>
      <w:r w:rsidR="00F61BAB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t the Forum’s Leaders’ Retreat </w:t>
      </w:r>
      <w:r w:rsidR="00933F08" w:rsidRPr="006A04EA">
        <w:rPr>
          <w:rFonts w:asciiTheme="minorHAnsi" w:eastAsiaTheme="minorHAnsi" w:hAnsiTheme="minorHAnsi" w:cstheme="minorBidi"/>
          <w:b w:val="0"/>
          <w:bCs w:val="0"/>
          <w:i w:val="0"/>
        </w:rPr>
        <w:t>in February 2021</w:t>
      </w:r>
      <w:r w:rsidR="00A458D7" w:rsidRPr="006A04EA">
        <w:rPr>
          <w:rFonts w:asciiTheme="minorHAnsi" w:eastAsiaTheme="minorHAnsi" w:hAnsiTheme="minorHAnsi" w:cstheme="minorBidi"/>
          <w:b w:val="0"/>
          <w:bCs w:val="0"/>
          <w:i w:val="0"/>
        </w:rPr>
        <w:t>,</w:t>
      </w:r>
      <w:r w:rsidR="00933F08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A458D7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Prime Minister Morrison </w:t>
      </w:r>
      <w:r w:rsidR="0021105F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committed to </w:t>
      </w:r>
      <w:r w:rsidR="0060425A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support </w:t>
      </w:r>
      <w:r w:rsidR="00585E67" w:rsidRPr="006A04EA">
        <w:rPr>
          <w:rFonts w:asciiTheme="minorHAnsi" w:eastAsiaTheme="minorHAnsi" w:hAnsiTheme="minorHAnsi" w:cstheme="minorBidi"/>
          <w:b w:val="0"/>
          <w:bCs w:val="0"/>
          <w:i w:val="0"/>
        </w:rPr>
        <w:t>Pacific island countries to achieve comprehensive COVID</w:t>
      </w:r>
      <w:r w:rsidR="00585E67" w:rsidRPr="006A04EA">
        <w:rPr>
          <w:rFonts w:asciiTheme="minorHAnsi" w:eastAsiaTheme="minorHAnsi" w:hAnsiTheme="minorHAnsi" w:cstheme="minorBidi"/>
          <w:b w:val="0"/>
          <w:bCs w:val="0"/>
          <w:i w:val="0"/>
        </w:rPr>
        <w:noBreakHyphen/>
        <w:t>19 vaccine coverage.</w:t>
      </w:r>
      <w:r w:rsidR="00B60792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2C6FEB" w:rsidRPr="006A04EA">
        <w:rPr>
          <w:rFonts w:asciiTheme="minorHAnsi" w:eastAsiaTheme="minorHAnsi" w:hAnsiTheme="minorHAnsi" w:cstheme="minorBidi"/>
          <w:b w:val="0"/>
          <w:bCs w:val="0"/>
          <w:i w:val="0"/>
        </w:rPr>
        <w:t>We</w:t>
      </w:r>
      <w:r w:rsidR="004572ED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585E67" w:rsidRPr="006A04EA">
        <w:rPr>
          <w:rFonts w:asciiTheme="minorHAnsi" w:eastAsiaTheme="minorHAnsi" w:hAnsiTheme="minorHAnsi" w:cstheme="minorBidi"/>
          <w:b w:val="0"/>
          <w:bCs w:val="0"/>
          <w:i w:val="0"/>
        </w:rPr>
        <w:t>committed $</w:t>
      </w:r>
      <w:r w:rsidR="00C61E08" w:rsidRPr="006A04EA">
        <w:rPr>
          <w:rFonts w:asciiTheme="minorHAnsi" w:eastAsiaTheme="minorHAnsi" w:hAnsiTheme="minorHAnsi" w:cstheme="minorBidi"/>
          <w:b w:val="0"/>
          <w:bCs w:val="0"/>
          <w:i w:val="0"/>
        </w:rPr>
        <w:t>200</w:t>
      </w:r>
      <w:r w:rsidR="002C6FEB" w:rsidRPr="006A04EA">
        <w:rPr>
          <w:rFonts w:asciiTheme="minorHAnsi" w:eastAsiaTheme="minorHAnsi" w:hAnsiTheme="minorHAnsi" w:cstheme="minorBidi"/>
          <w:b w:val="0"/>
          <w:bCs w:val="0"/>
          <w:i w:val="0"/>
        </w:rPr>
        <w:t> </w:t>
      </w:r>
      <w:r w:rsidR="00585E67" w:rsidRPr="006A04EA">
        <w:rPr>
          <w:rFonts w:asciiTheme="minorHAnsi" w:eastAsiaTheme="minorHAnsi" w:hAnsiTheme="minorHAnsi" w:cstheme="minorBidi"/>
          <w:b w:val="0"/>
          <w:bCs w:val="0"/>
          <w:i w:val="0"/>
        </w:rPr>
        <w:t>million over three years (2020-23) for COVID-19 vaccine access in Pacific countries, including vaccine procurement</w:t>
      </w:r>
      <w:r w:rsidR="002C6FEB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and delivery support</w:t>
      </w:r>
      <w:r w:rsidR="00585E67" w:rsidRPr="006A04EA">
        <w:rPr>
          <w:rFonts w:asciiTheme="minorHAnsi" w:eastAsiaTheme="minorHAnsi" w:hAnsiTheme="minorHAnsi" w:cstheme="minorBidi"/>
          <w:b w:val="0"/>
          <w:bCs w:val="0"/>
          <w:i w:val="0"/>
        </w:rPr>
        <w:t>, drawing on Australia’s Regional COVID-19 Vaccine Access and Health Security Initiative</w:t>
      </w:r>
      <w:r w:rsidR="00042C2A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(VAHSI)</w:t>
      </w:r>
      <w:r w:rsidR="00585E67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. </w:t>
      </w:r>
    </w:p>
    <w:bookmarkEnd w:id="4"/>
    <w:bookmarkEnd w:id="5"/>
    <w:bookmarkEnd w:id="6"/>
    <w:p w14:paraId="451BD113" w14:textId="0171C1E8" w:rsidR="0021105F" w:rsidRPr="003A7085" w:rsidRDefault="004A1771" w:rsidP="005238AA">
      <w:pPr>
        <w:pStyle w:val="Bullet1"/>
      </w:pPr>
      <w:r w:rsidRPr="00BD3170">
        <w:t xml:space="preserve">Australia </w:t>
      </w:r>
      <w:r w:rsidRPr="009F44BC">
        <w:rPr>
          <w:b/>
          <w:bCs/>
        </w:rPr>
        <w:t>support</w:t>
      </w:r>
      <w:r w:rsidR="00AD3A56" w:rsidRPr="009F44BC">
        <w:rPr>
          <w:b/>
          <w:bCs/>
        </w:rPr>
        <w:t>s</w:t>
      </w:r>
      <w:r w:rsidRPr="009F44BC">
        <w:rPr>
          <w:b/>
          <w:bCs/>
        </w:rPr>
        <w:t xml:space="preserve"> </w:t>
      </w:r>
      <w:r w:rsidR="0021105F" w:rsidRPr="009F44BC">
        <w:rPr>
          <w:b/>
          <w:bCs/>
        </w:rPr>
        <w:t>SPC</w:t>
      </w:r>
      <w:r w:rsidR="0021105F" w:rsidRPr="00424C1C">
        <w:rPr>
          <w:b/>
          <w:bCs/>
        </w:rPr>
        <w:t xml:space="preserve"> </w:t>
      </w:r>
      <w:r w:rsidRPr="009F44BC">
        <w:rPr>
          <w:b/>
          <w:bCs/>
        </w:rPr>
        <w:t xml:space="preserve">as </w:t>
      </w:r>
      <w:r w:rsidR="0021105F" w:rsidRPr="009F44BC">
        <w:rPr>
          <w:b/>
          <w:bCs/>
        </w:rPr>
        <w:t xml:space="preserve">a critical </w:t>
      </w:r>
      <w:r w:rsidRPr="009F44BC">
        <w:rPr>
          <w:b/>
          <w:bCs/>
        </w:rPr>
        <w:t xml:space="preserve">regional </w:t>
      </w:r>
      <w:r w:rsidR="0021105F" w:rsidRPr="009F44BC">
        <w:rPr>
          <w:b/>
          <w:bCs/>
        </w:rPr>
        <w:t xml:space="preserve">partner </w:t>
      </w:r>
      <w:r w:rsidR="00774DBE" w:rsidRPr="009F44BC">
        <w:rPr>
          <w:b/>
          <w:bCs/>
        </w:rPr>
        <w:t xml:space="preserve">in </w:t>
      </w:r>
      <w:r w:rsidRPr="009F44BC">
        <w:rPr>
          <w:b/>
          <w:bCs/>
        </w:rPr>
        <w:t xml:space="preserve">our </w:t>
      </w:r>
      <w:r w:rsidR="0021105F" w:rsidRPr="009F44BC">
        <w:rPr>
          <w:b/>
          <w:bCs/>
        </w:rPr>
        <w:t xml:space="preserve">COVID-19 </w:t>
      </w:r>
      <w:r w:rsidR="00F61BAB" w:rsidRPr="009F44BC">
        <w:rPr>
          <w:b/>
          <w:bCs/>
        </w:rPr>
        <w:t xml:space="preserve">health </w:t>
      </w:r>
      <w:r w:rsidR="0021105F" w:rsidRPr="009F44BC">
        <w:rPr>
          <w:b/>
          <w:bCs/>
        </w:rPr>
        <w:t>response</w:t>
      </w:r>
      <w:r w:rsidR="00414E23">
        <w:t xml:space="preserve">. </w:t>
      </w:r>
      <w:r w:rsidR="003A7085">
        <w:t xml:space="preserve">SPC </w:t>
      </w:r>
      <w:r w:rsidR="00216407">
        <w:t xml:space="preserve">has </w:t>
      </w:r>
      <w:r w:rsidR="00AC7B3B">
        <w:t xml:space="preserve">led </w:t>
      </w:r>
      <w:r w:rsidR="0021105F" w:rsidRPr="00F61BAB">
        <w:t>ventilator</w:t>
      </w:r>
      <w:r w:rsidR="00B76D7C">
        <w:t xml:space="preserve"> </w:t>
      </w:r>
      <w:r w:rsidR="00B76D7C" w:rsidRPr="00F61BAB">
        <w:t>procurement</w:t>
      </w:r>
      <w:r w:rsidR="0021105F" w:rsidRPr="00F61BAB">
        <w:t xml:space="preserve">, strengthening COVID-19 </w:t>
      </w:r>
      <w:r w:rsidR="00062CCB" w:rsidRPr="00F61BAB">
        <w:t xml:space="preserve">laboratory </w:t>
      </w:r>
      <w:r w:rsidR="00F6373C" w:rsidRPr="00F61BAB">
        <w:t>capability</w:t>
      </w:r>
      <w:r w:rsidR="000465F7">
        <w:t xml:space="preserve">, </w:t>
      </w:r>
      <w:r w:rsidR="000465F7" w:rsidRPr="00F61BAB">
        <w:t>hospitals assessments</w:t>
      </w:r>
      <w:r w:rsidR="000465F7">
        <w:t xml:space="preserve"> and </w:t>
      </w:r>
      <w:r w:rsidR="000465F7" w:rsidRPr="00F61BAB">
        <w:t xml:space="preserve">training </w:t>
      </w:r>
      <w:r w:rsidR="000465F7">
        <w:t xml:space="preserve">for </w:t>
      </w:r>
      <w:r w:rsidR="000465F7" w:rsidRPr="00F61BAB">
        <w:t>health care workers</w:t>
      </w:r>
      <w:r w:rsidR="00414E23">
        <w:t xml:space="preserve">. </w:t>
      </w:r>
      <w:r w:rsidR="001D7C96">
        <w:t xml:space="preserve">SPC </w:t>
      </w:r>
      <w:r w:rsidR="00AD3A56">
        <w:t>is working</w:t>
      </w:r>
      <w:r w:rsidR="0021105F" w:rsidRPr="00F61BAB">
        <w:t xml:space="preserve"> closely with </w:t>
      </w:r>
      <w:r w:rsidR="000465F7">
        <w:t xml:space="preserve">the </w:t>
      </w:r>
      <w:r w:rsidR="000465F7" w:rsidRPr="0034414D">
        <w:t>World Health Organisation</w:t>
      </w:r>
      <w:r w:rsidR="000465F7" w:rsidRPr="005104A1">
        <w:t xml:space="preserve"> </w:t>
      </w:r>
      <w:r w:rsidR="000465F7">
        <w:t>(</w:t>
      </w:r>
      <w:r w:rsidR="0021105F" w:rsidRPr="00F61BAB">
        <w:t>WHO</w:t>
      </w:r>
      <w:r w:rsidR="000465F7">
        <w:t>)</w:t>
      </w:r>
      <w:r w:rsidR="0021105F" w:rsidRPr="00F61BAB">
        <w:t xml:space="preserve"> and </w:t>
      </w:r>
      <w:r w:rsidR="0041412F" w:rsidRPr="0041412F">
        <w:t xml:space="preserve">United Nations Children's Fund </w:t>
      </w:r>
      <w:r w:rsidR="0021105F" w:rsidRPr="00F61BAB">
        <w:t xml:space="preserve">in the </w:t>
      </w:r>
      <w:r w:rsidR="0021105F" w:rsidRPr="009130C5">
        <w:t>COVID</w:t>
      </w:r>
      <w:r w:rsidR="00532085" w:rsidRPr="009130C5">
        <w:noBreakHyphen/>
      </w:r>
      <w:r w:rsidR="0021105F" w:rsidRPr="009130C5">
        <w:t>19 Joint Incident Management team</w:t>
      </w:r>
      <w:r w:rsidR="0021105F" w:rsidRPr="00F61BAB">
        <w:t xml:space="preserve"> (JIMT), coordinating technical support to Pacific health ministries</w:t>
      </w:r>
      <w:r w:rsidR="00414E23">
        <w:t xml:space="preserve">. </w:t>
      </w:r>
      <w:r w:rsidR="00774DBE" w:rsidRPr="000A126E">
        <w:t>Australia provided $5.5</w:t>
      </w:r>
      <w:r w:rsidR="00AD3A56">
        <w:t> </w:t>
      </w:r>
      <w:r w:rsidR="00774DBE" w:rsidRPr="000A126E">
        <w:t xml:space="preserve">million to </w:t>
      </w:r>
      <w:r w:rsidR="00216407" w:rsidRPr="000A126E">
        <w:t xml:space="preserve">the </w:t>
      </w:r>
      <w:r w:rsidR="00774DBE" w:rsidRPr="000A126E">
        <w:t xml:space="preserve">WHO </w:t>
      </w:r>
      <w:r w:rsidR="00B47FA6" w:rsidRPr="000A126E">
        <w:t xml:space="preserve">for </w:t>
      </w:r>
      <w:r w:rsidR="00774DBE" w:rsidRPr="000A126E">
        <w:t>JIMT</w:t>
      </w:r>
      <w:r w:rsidR="003A7085" w:rsidRPr="000A126E">
        <w:t xml:space="preserve"> activities</w:t>
      </w:r>
      <w:r w:rsidR="00414E23">
        <w:t xml:space="preserve">. </w:t>
      </w:r>
      <w:r w:rsidR="00DB5C84" w:rsidRPr="000A2DB2">
        <w:t xml:space="preserve">SPC also maintained </w:t>
      </w:r>
      <w:r w:rsidR="00A457F8">
        <w:t>i</w:t>
      </w:r>
      <w:r w:rsidR="00DB5C84" w:rsidRPr="000A2DB2">
        <w:t>t</w:t>
      </w:r>
      <w:r w:rsidR="00A457F8">
        <w:t>s</w:t>
      </w:r>
      <w:r w:rsidR="00DB5C84" w:rsidRPr="000A2DB2">
        <w:t xml:space="preserve"> broader health work, including supporting </w:t>
      </w:r>
      <w:r w:rsidR="000A2DB2">
        <w:t xml:space="preserve">Pacific island countries </w:t>
      </w:r>
      <w:r w:rsidR="00DB5C84" w:rsidRPr="000A2DB2">
        <w:t xml:space="preserve">to develop multi-sectoral responses to non-communicable diseases, food </w:t>
      </w:r>
      <w:r w:rsidR="00DB5C84" w:rsidRPr="005238AA">
        <w:rPr>
          <w:vanish/>
        </w:rPr>
        <w:t xml:space="preserve">security </w:t>
      </w:r>
      <w:r w:rsidR="00DB5C84" w:rsidRPr="000A2DB2">
        <w:t>and nutrition</w:t>
      </w:r>
      <w:r w:rsidR="00414E23">
        <w:t xml:space="preserve">. </w:t>
      </w:r>
    </w:p>
    <w:p w14:paraId="778BA85B" w14:textId="239AAB41" w:rsidR="0021105F" w:rsidRPr="005104A1" w:rsidRDefault="00574DB8" w:rsidP="005238AA">
      <w:pPr>
        <w:pStyle w:val="Bullet1"/>
      </w:pPr>
      <w:r w:rsidRPr="009F44BC">
        <w:t xml:space="preserve">The Australian </w:t>
      </w:r>
      <w:r w:rsidR="0021105F" w:rsidRPr="009F44BC">
        <w:t>Therapeutic Good</w:t>
      </w:r>
      <w:r w:rsidR="004C2DBD">
        <w:t>s</w:t>
      </w:r>
      <w:r w:rsidR="0021105F" w:rsidRPr="009F44BC">
        <w:t xml:space="preserve"> Administration</w:t>
      </w:r>
      <w:r w:rsidR="0021105F" w:rsidRPr="000A126E">
        <w:rPr>
          <w:b/>
          <w:bCs/>
        </w:rPr>
        <w:t xml:space="preserve"> </w:t>
      </w:r>
      <w:r w:rsidRPr="009F44BC">
        <w:t xml:space="preserve">through the </w:t>
      </w:r>
      <w:r w:rsidRPr="009130C5">
        <w:t>Pacific Medicines Testing Program</w:t>
      </w:r>
      <w:r w:rsidRPr="000A126E">
        <w:rPr>
          <w:b/>
          <w:bCs/>
        </w:rPr>
        <w:t xml:space="preserve"> </w:t>
      </w:r>
      <w:r w:rsidR="00875066" w:rsidRPr="00424C1C">
        <w:rPr>
          <w:b/>
          <w:bCs/>
        </w:rPr>
        <w:t xml:space="preserve">quality assured </w:t>
      </w:r>
      <w:r w:rsidR="0021105F" w:rsidRPr="000527A6">
        <w:rPr>
          <w:b/>
          <w:bCs/>
        </w:rPr>
        <w:t xml:space="preserve">samples of therapeutic goods from </w:t>
      </w:r>
      <w:r w:rsidR="00D50336" w:rsidRPr="000527A6">
        <w:rPr>
          <w:b/>
          <w:bCs/>
        </w:rPr>
        <w:t>Pacific island countries</w:t>
      </w:r>
      <w:r w:rsidR="00414E23" w:rsidRPr="00424C1C">
        <w:t>.</w:t>
      </w:r>
      <w:r w:rsidR="00414E23">
        <w:t xml:space="preserve"> </w:t>
      </w:r>
      <w:r w:rsidR="0021105F" w:rsidRPr="005104A1">
        <w:t xml:space="preserve">Pacific governments </w:t>
      </w:r>
      <w:r w:rsidR="00B47FA6">
        <w:t xml:space="preserve">used test results </w:t>
      </w:r>
      <w:r w:rsidR="0021105F" w:rsidRPr="005104A1">
        <w:t>to make informed decisions and provid</w:t>
      </w:r>
      <w:r w:rsidR="003A7085">
        <w:t xml:space="preserve">e </w:t>
      </w:r>
      <w:r w:rsidR="0021105F" w:rsidRPr="005104A1">
        <w:t>advice to their pharmacies and hospitals</w:t>
      </w:r>
      <w:r w:rsidR="00414E23">
        <w:t xml:space="preserve">. </w:t>
      </w:r>
      <w:r w:rsidR="00532085" w:rsidRPr="000A126E">
        <w:t xml:space="preserve">The Royal Australian College of Surgeons provided </w:t>
      </w:r>
      <w:r w:rsidR="00532085" w:rsidRPr="009F44BC">
        <w:rPr>
          <w:b/>
          <w:bCs/>
        </w:rPr>
        <w:t>remote technical support to Pacific clinicians</w:t>
      </w:r>
      <w:r w:rsidR="00532085" w:rsidRPr="00F61BAB">
        <w:t xml:space="preserve"> and </w:t>
      </w:r>
      <w:r w:rsidR="00875066">
        <w:t xml:space="preserve">helped </w:t>
      </w:r>
      <w:r w:rsidR="00532085" w:rsidRPr="00F61BAB">
        <w:t>Nauru with critical cases via remote tele-health support.</w:t>
      </w:r>
    </w:p>
    <w:p w14:paraId="7B990E63" w14:textId="05A73CAB" w:rsidR="00DB5C84" w:rsidRDefault="00DB5C84">
      <w:pPr>
        <w:pStyle w:val="Bullet1"/>
      </w:pPr>
      <w:r w:rsidRPr="000A126E">
        <w:t xml:space="preserve">The </w:t>
      </w:r>
      <w:r w:rsidRPr="009130C5">
        <w:t>Water for Women Fund</w:t>
      </w:r>
      <w:r w:rsidRPr="000A126E">
        <w:t xml:space="preserve"> reached 50,430 Pacific islanders in four countries with handwashing devices, hygiene promotion and COVID-19 messaging</w:t>
      </w:r>
      <w:r w:rsidR="00414E23">
        <w:t xml:space="preserve">. </w:t>
      </w:r>
      <w:r>
        <w:t>Thirty-one Pacific water utilities have been supported with technical assistance.</w:t>
      </w:r>
    </w:p>
    <w:p w14:paraId="02C46C41" w14:textId="77777777" w:rsidR="006A04EA" w:rsidRDefault="002123D7" w:rsidP="006A04EA">
      <w:pPr>
        <w:pStyle w:val="Heading3"/>
      </w:pPr>
      <w:r w:rsidRPr="000A2DB2">
        <w:t>Stability</w:t>
      </w:r>
    </w:p>
    <w:p w14:paraId="16722436" w14:textId="43E9FE0F" w:rsidR="00774DBE" w:rsidRPr="006A04EA" w:rsidRDefault="00561274" w:rsidP="006A04EA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</w:rPr>
      </w:pP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Australia </w:t>
      </w:r>
      <w:r w:rsidR="00A703BA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works with regional and bilateral partners </w:t>
      </w:r>
      <w:r w:rsidR="00532085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to </w:t>
      </w:r>
      <w:r w:rsidR="00574DB8" w:rsidRPr="006A04EA">
        <w:rPr>
          <w:rFonts w:asciiTheme="minorHAnsi" w:eastAsiaTheme="minorHAnsi" w:hAnsiTheme="minorHAnsi" w:cstheme="minorBidi"/>
          <w:b w:val="0"/>
          <w:bCs w:val="0"/>
          <w:i w:val="0"/>
        </w:rPr>
        <w:t>advanc</w:t>
      </w:r>
      <w:r w:rsidR="00A703BA" w:rsidRPr="006A04EA">
        <w:rPr>
          <w:rFonts w:asciiTheme="minorHAnsi" w:eastAsiaTheme="minorHAnsi" w:hAnsiTheme="minorHAnsi" w:cstheme="minorBidi"/>
          <w:b w:val="0"/>
          <w:bCs w:val="0"/>
          <w:i w:val="0"/>
        </w:rPr>
        <w:t>e</w:t>
      </w:r>
      <w:r w:rsidR="00574DB8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BC792D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the </w:t>
      </w:r>
      <w:r w:rsidR="00574DB8" w:rsidRPr="006A04EA">
        <w:rPr>
          <w:rFonts w:asciiTheme="minorHAnsi" w:eastAsiaTheme="minorHAnsi" w:hAnsiTheme="minorHAnsi" w:cstheme="minorBidi"/>
          <w:b w:val="0"/>
          <w:bCs w:val="0"/>
          <w:i w:val="0"/>
        </w:rPr>
        <w:t>security priorities outlined in the</w:t>
      </w:r>
      <w:r w:rsidR="002D3492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574DB8" w:rsidRPr="006A04EA">
        <w:rPr>
          <w:rFonts w:asciiTheme="minorHAnsi" w:eastAsiaTheme="minorHAnsi" w:hAnsiTheme="minorHAnsi" w:cstheme="minorBidi"/>
          <w:b w:val="0"/>
          <w:bCs w:val="0"/>
          <w:i w:val="0"/>
        </w:rPr>
        <w:t>Boe Declaration on Regional Security</w:t>
      </w:r>
      <w:r w:rsidR="00BD6BDD" w:rsidRPr="006A04EA">
        <w:rPr>
          <w:rFonts w:asciiTheme="minorHAnsi" w:eastAsiaTheme="minorHAnsi" w:hAnsiTheme="minorHAnsi" w:cstheme="minorBidi"/>
          <w:b w:val="0"/>
          <w:bCs w:val="0"/>
          <w:i w:val="0"/>
        </w:rPr>
        <w:t>, 2018</w:t>
      </w:r>
      <w:r w:rsidR="00414E23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. </w:t>
      </w:r>
      <w:r w:rsidR="00F6373C" w:rsidRPr="006A04EA">
        <w:rPr>
          <w:rFonts w:asciiTheme="minorHAnsi" w:eastAsiaTheme="minorHAnsi" w:hAnsiTheme="minorHAnsi" w:cstheme="minorBidi"/>
          <w:b w:val="0"/>
          <w:bCs w:val="0"/>
          <w:i w:val="0"/>
        </w:rPr>
        <w:t>T</w:t>
      </w:r>
      <w:r w:rsidR="004D26CF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he </w:t>
      </w:r>
      <w:r w:rsidR="00774DBE" w:rsidRPr="006A04EA">
        <w:rPr>
          <w:rFonts w:asciiTheme="minorHAnsi" w:eastAsiaTheme="minorHAnsi" w:hAnsiTheme="minorHAnsi" w:cstheme="minorBidi"/>
          <w:i w:val="0"/>
        </w:rPr>
        <w:t>Australia Pacific Security College</w:t>
      </w:r>
      <w:r w:rsidR="00774DBE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3F1B77" w:rsidRPr="006A04EA">
        <w:rPr>
          <w:rFonts w:asciiTheme="minorHAnsi" w:eastAsiaTheme="minorHAnsi" w:hAnsiTheme="minorHAnsi" w:cstheme="minorBidi"/>
          <w:b w:val="0"/>
          <w:bCs w:val="0"/>
          <w:i w:val="0"/>
        </w:rPr>
        <w:t>establish</w:t>
      </w:r>
      <w:r w:rsidR="0078254F" w:rsidRPr="006A04EA">
        <w:rPr>
          <w:rFonts w:asciiTheme="minorHAnsi" w:eastAsiaTheme="minorHAnsi" w:hAnsiTheme="minorHAnsi" w:cstheme="minorBidi"/>
          <w:b w:val="0"/>
          <w:bCs w:val="0"/>
          <w:i w:val="0"/>
        </w:rPr>
        <w:t>ed</w:t>
      </w:r>
      <w:r w:rsidR="003F1B77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strong digital communications and</w:t>
      </w:r>
      <w:r w:rsidR="00A703BA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online </w:t>
      </w:r>
      <w:r w:rsidR="00774DBE" w:rsidRPr="006A04EA">
        <w:rPr>
          <w:rFonts w:asciiTheme="minorHAnsi" w:eastAsiaTheme="minorHAnsi" w:hAnsiTheme="minorHAnsi" w:cstheme="minorBidi"/>
          <w:b w:val="0"/>
          <w:bCs w:val="0"/>
          <w:i w:val="0"/>
        </w:rPr>
        <w:t>delivery</w:t>
      </w:r>
      <w:r w:rsidR="003F1B77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of strategic courses on Pacific security</w:t>
      </w:r>
      <w:r w:rsidR="00414E23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. </w:t>
      </w:r>
      <w:r w:rsidR="00A87ABA" w:rsidRPr="006A04EA">
        <w:rPr>
          <w:rFonts w:asciiTheme="minorHAnsi" w:eastAsiaTheme="minorHAnsi" w:hAnsiTheme="minorHAnsi" w:cstheme="minorBidi"/>
          <w:b w:val="0"/>
          <w:bCs w:val="0"/>
          <w:i w:val="0"/>
        </w:rPr>
        <w:t>T</w:t>
      </w:r>
      <w:r w:rsidR="00774DBE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he </w:t>
      </w:r>
      <w:r w:rsidR="00774DBE" w:rsidRPr="006A04EA">
        <w:rPr>
          <w:rFonts w:asciiTheme="minorHAnsi" w:eastAsiaTheme="minorHAnsi" w:hAnsiTheme="minorHAnsi" w:cstheme="minorBidi"/>
          <w:i w:val="0"/>
        </w:rPr>
        <w:t>Pacific Fusion Centre</w:t>
      </w:r>
      <w:r w:rsidR="00774DBE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A87ABA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adapted to deliver </w:t>
      </w:r>
      <w:r w:rsidR="009F07AD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a </w:t>
      </w:r>
      <w:r w:rsidR="00774DBE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secondment program with </w:t>
      </w:r>
      <w:r w:rsidR="002F0E0B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Australian-based </w:t>
      </w:r>
      <w:r w:rsidR="00774DBE" w:rsidRPr="006A04EA">
        <w:rPr>
          <w:rFonts w:asciiTheme="minorHAnsi" w:eastAsiaTheme="minorHAnsi" w:hAnsiTheme="minorHAnsi" w:cstheme="minorBidi"/>
          <w:b w:val="0"/>
          <w:bCs w:val="0"/>
          <w:i w:val="0"/>
        </w:rPr>
        <w:t>Pacific participants</w:t>
      </w:r>
      <w:r w:rsidR="00BC792D" w:rsidRPr="006A04EA">
        <w:rPr>
          <w:rFonts w:asciiTheme="minorHAnsi" w:eastAsiaTheme="minorHAnsi" w:hAnsiTheme="minorHAnsi" w:cstheme="minorBidi"/>
          <w:b w:val="0"/>
          <w:bCs w:val="0"/>
          <w:i w:val="0"/>
        </w:rPr>
        <w:t>,</w:t>
      </w:r>
      <w:r w:rsidR="004D26CF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and v</w:t>
      </w:r>
      <w:r w:rsidR="00774DBE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irtual secondments </w:t>
      </w:r>
      <w:r w:rsidR="00F3502B" w:rsidRPr="006A04EA">
        <w:rPr>
          <w:rFonts w:asciiTheme="minorHAnsi" w:eastAsiaTheme="minorHAnsi" w:hAnsiTheme="minorHAnsi" w:cstheme="minorBidi"/>
          <w:b w:val="0"/>
          <w:bCs w:val="0"/>
          <w:i w:val="0"/>
        </w:rPr>
        <w:t>with</w:t>
      </w:r>
      <w:r w:rsidR="00A703BA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774DBE" w:rsidRPr="006A04EA">
        <w:rPr>
          <w:rFonts w:asciiTheme="minorHAnsi" w:eastAsiaTheme="minorHAnsi" w:hAnsiTheme="minorHAnsi" w:cstheme="minorBidi"/>
          <w:b w:val="0"/>
          <w:bCs w:val="0"/>
          <w:i w:val="0"/>
        </w:rPr>
        <w:t>alumni</w:t>
      </w:r>
      <w:bookmarkStart w:id="7" w:name="_Hlk83371873"/>
      <w:r w:rsidR="00414E23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. </w:t>
      </w:r>
      <w:r w:rsidR="009C4BCC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Recruitment is ongoing for the </w:t>
      </w:r>
      <w:r w:rsidR="00E84825" w:rsidRPr="006A04EA">
        <w:rPr>
          <w:rFonts w:asciiTheme="minorHAnsi" w:eastAsiaTheme="minorHAnsi" w:hAnsiTheme="minorHAnsi" w:cstheme="minorBidi"/>
          <w:b w:val="0"/>
          <w:bCs w:val="0"/>
          <w:i w:val="0"/>
        </w:rPr>
        <w:t>Centre</w:t>
      </w:r>
      <w:r w:rsidR="00042C2A" w:rsidRPr="006A04EA">
        <w:rPr>
          <w:rFonts w:asciiTheme="minorHAnsi" w:eastAsiaTheme="minorHAnsi" w:hAnsiTheme="minorHAnsi" w:cstheme="minorBidi"/>
          <w:b w:val="0"/>
          <w:bCs w:val="0"/>
          <w:i w:val="0"/>
        </w:rPr>
        <w:t>’s</w:t>
      </w:r>
      <w:r w:rsidR="009C4BCC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Director and analysts based in Vanuatu</w:t>
      </w:r>
      <w:bookmarkEnd w:id="7"/>
      <w:r w:rsidR="009C4BCC" w:rsidRPr="006A04EA">
        <w:rPr>
          <w:rFonts w:asciiTheme="minorHAnsi" w:eastAsiaTheme="minorHAnsi" w:hAnsiTheme="minorHAnsi" w:cstheme="minorBidi"/>
          <w:b w:val="0"/>
          <w:bCs w:val="0"/>
          <w:i w:val="0"/>
        </w:rPr>
        <w:t>. </w:t>
      </w:r>
    </w:p>
    <w:p w14:paraId="3A7C612A" w14:textId="55D36D0B" w:rsidR="00415A09" w:rsidRPr="009130C5" w:rsidRDefault="00415A09" w:rsidP="00853D82">
      <w:pPr>
        <w:pStyle w:val="Bullet1"/>
      </w:pPr>
      <w:bookmarkStart w:id="8" w:name="_Hlk82790332"/>
      <w:r w:rsidRPr="006962C8">
        <w:t xml:space="preserve">In response to COVID-19, the </w:t>
      </w:r>
      <w:r w:rsidRPr="006962C8">
        <w:rPr>
          <w:b/>
          <w:bCs/>
        </w:rPr>
        <w:t>Australian</w:t>
      </w:r>
      <w:r w:rsidRPr="006962C8">
        <w:t xml:space="preserve"> </w:t>
      </w:r>
      <w:r w:rsidRPr="006962C8">
        <w:rPr>
          <w:b/>
          <w:bCs/>
        </w:rPr>
        <w:t>Border Force</w:t>
      </w:r>
      <w:r w:rsidRPr="006962C8">
        <w:t xml:space="preserve"> provided an </w:t>
      </w:r>
      <w:r w:rsidRPr="009130C5">
        <w:rPr>
          <w:b/>
          <w:bCs/>
        </w:rPr>
        <w:t>Aviation COVID-19 Safe Guide to Pacific</w:t>
      </w:r>
      <w:r w:rsidRPr="009130C5">
        <w:t xml:space="preserve"> border agencies</w:t>
      </w:r>
      <w:r w:rsidRPr="006962C8">
        <w:rPr>
          <w:b/>
          <w:bCs/>
        </w:rPr>
        <w:t xml:space="preserve"> </w:t>
      </w:r>
      <w:r w:rsidRPr="006962C8">
        <w:t>through the Oceania Customs Organisation and Pacific Immigration Development Community</w:t>
      </w:r>
      <w:r w:rsidR="00414E23" w:rsidRPr="006962C8">
        <w:t xml:space="preserve">. </w:t>
      </w:r>
      <w:r w:rsidRPr="006962C8">
        <w:t>The guide promotes COVID-19 safe practices in an aviation environment</w:t>
      </w:r>
      <w:r w:rsidR="00414E23" w:rsidRPr="006962C8">
        <w:t xml:space="preserve">. </w:t>
      </w:r>
      <w:r w:rsidRPr="006962C8">
        <w:t xml:space="preserve">The </w:t>
      </w:r>
      <w:r w:rsidRPr="009130C5">
        <w:t>Border Fundamental Aviation training course was adapted to run virtually and is being piloted in Tonga</w:t>
      </w:r>
      <w:r w:rsidR="00414E23" w:rsidRPr="009130C5">
        <w:t xml:space="preserve">. </w:t>
      </w:r>
      <w:r w:rsidRPr="009130C5">
        <w:t xml:space="preserve">The </w:t>
      </w:r>
      <w:r w:rsidRPr="009130C5">
        <w:rPr>
          <w:b/>
          <w:bCs/>
        </w:rPr>
        <w:t>Australian Federal Police</w:t>
      </w:r>
      <w:r w:rsidRPr="009130C5">
        <w:t xml:space="preserve"> continue to build regional law enforcement capability and disrupt serious organised transnational </w:t>
      </w:r>
      <w:r w:rsidR="00DC0B14" w:rsidRPr="009130C5">
        <w:t>crime via</w:t>
      </w:r>
      <w:r w:rsidRPr="009130C5">
        <w:t xml:space="preserve"> the Pacific Transnational Crime Network</w:t>
      </w:r>
      <w:r w:rsidR="00414E23" w:rsidRPr="009130C5">
        <w:t xml:space="preserve">. </w:t>
      </w:r>
    </w:p>
    <w:p w14:paraId="29120393" w14:textId="02CA94BD" w:rsidR="005475D7" w:rsidRDefault="00415A09">
      <w:pPr>
        <w:pStyle w:val="Bullet1"/>
      </w:pPr>
      <w:r w:rsidRPr="000A126E">
        <w:rPr>
          <w:b/>
          <w:bCs/>
        </w:rPr>
        <w:t>Australia continues to work with Pacific island countries to secure maritime resources</w:t>
      </w:r>
      <w:r w:rsidR="00414E23">
        <w:t xml:space="preserve">. </w:t>
      </w:r>
      <w:r w:rsidRPr="000A2DB2">
        <w:t xml:space="preserve">We have refreshed our assistance </w:t>
      </w:r>
      <w:r w:rsidR="0034414D">
        <w:t xml:space="preserve">to </w:t>
      </w:r>
      <w:r w:rsidRPr="000A2DB2">
        <w:t xml:space="preserve">establish </w:t>
      </w:r>
      <w:r w:rsidR="00803C8A">
        <w:t xml:space="preserve">their </w:t>
      </w:r>
      <w:r w:rsidRPr="000A2DB2">
        <w:t xml:space="preserve">maritime zones and are supporting </w:t>
      </w:r>
      <w:r w:rsidR="00803C8A">
        <w:t>efforts</w:t>
      </w:r>
      <w:r w:rsidRPr="000A2DB2">
        <w:t xml:space="preserve"> to maintain maritime entitlements in the face of </w:t>
      </w:r>
      <w:r w:rsidRPr="000A2DB2">
        <w:lastRenderedPageBreak/>
        <w:t xml:space="preserve">sea </w:t>
      </w:r>
      <w:r w:rsidRPr="006F1408">
        <w:t>level rise</w:t>
      </w:r>
      <w:r w:rsidR="00414E23">
        <w:t xml:space="preserve">. </w:t>
      </w:r>
      <w:r w:rsidR="00512CD8" w:rsidRPr="006F1408">
        <w:t>O</w:t>
      </w:r>
      <w:r w:rsidRPr="006F1408">
        <w:t>ur long-standing partnerships with the Secretariat of the Pacific Regional Environment Programme and the Pacific Islands Forum Fisheries Agency ensure environment and fisheries management support respectively</w:t>
      </w:r>
      <w:r w:rsidR="00414E23">
        <w:t xml:space="preserve">. </w:t>
      </w:r>
      <w:bookmarkEnd w:id="8"/>
    </w:p>
    <w:p w14:paraId="50A93759" w14:textId="201BA57D" w:rsidR="00283C7E" w:rsidRPr="00146F4D" w:rsidRDefault="00283C7E" w:rsidP="006B00FE">
      <w:pPr>
        <w:pStyle w:val="Bullet1"/>
      </w:pPr>
      <w:r w:rsidRPr="009F44BC">
        <w:t xml:space="preserve">Australia </w:t>
      </w:r>
      <w:r w:rsidR="00E74C2E" w:rsidRPr="009F44BC">
        <w:t xml:space="preserve">has </w:t>
      </w:r>
      <w:r w:rsidR="00FA4A95" w:rsidRPr="009F44BC">
        <w:t xml:space="preserve">also </w:t>
      </w:r>
      <w:r w:rsidR="00F537CC" w:rsidRPr="009F44BC">
        <w:t xml:space="preserve">supported </w:t>
      </w:r>
      <w:r w:rsidRPr="009F44BC">
        <w:t>regional efforts to</w:t>
      </w:r>
      <w:r w:rsidRPr="000A126E">
        <w:rPr>
          <w:b/>
          <w:bCs/>
        </w:rPr>
        <w:t xml:space="preserve"> scale up community-based fisheries management </w:t>
      </w:r>
      <w:r w:rsidRPr="009F44BC">
        <w:t xml:space="preserve">in Kiribati, </w:t>
      </w:r>
      <w:proofErr w:type="gramStart"/>
      <w:r w:rsidR="00E74C2E" w:rsidRPr="009F44BC">
        <w:t>Vanuatu</w:t>
      </w:r>
      <w:proofErr w:type="gramEnd"/>
      <w:r w:rsidR="00E74C2E" w:rsidRPr="009F44BC">
        <w:t xml:space="preserve"> and </w:t>
      </w:r>
      <w:r w:rsidRPr="009F44BC">
        <w:t>Solomon Islands</w:t>
      </w:r>
      <w:r w:rsidRPr="00F537CC">
        <w:t xml:space="preserve"> to </w:t>
      </w:r>
      <w:r w:rsidR="00E74C2E">
        <w:t xml:space="preserve">reduce </w:t>
      </w:r>
      <w:r w:rsidR="00D4225B" w:rsidRPr="00F537CC">
        <w:t xml:space="preserve">pressure on local food stocks, including coastal fisheries, that </w:t>
      </w:r>
      <w:r w:rsidR="00E74C2E">
        <w:t xml:space="preserve">is </w:t>
      </w:r>
      <w:r w:rsidR="00D4225B" w:rsidRPr="00F537CC">
        <w:t>exacerbat</w:t>
      </w:r>
      <w:r w:rsidR="00E74C2E">
        <w:t>ing</w:t>
      </w:r>
      <w:r w:rsidR="00D4225B" w:rsidRPr="00F537CC">
        <w:t xml:space="preserve"> food security issues in the Pacific</w:t>
      </w:r>
      <w:r w:rsidR="00414E23">
        <w:t xml:space="preserve">. </w:t>
      </w:r>
      <w:r w:rsidRPr="00F537CC">
        <w:t>Over 100 communities were supported to secure fish-based food and livelihoods</w:t>
      </w:r>
      <w:r w:rsidR="00414E23">
        <w:t xml:space="preserve">. </w:t>
      </w:r>
      <w:bookmarkStart w:id="9" w:name="_Hlk83312740"/>
      <w:r w:rsidR="006B00FE" w:rsidRPr="00802942">
        <w:t xml:space="preserve">Consistent with the </w:t>
      </w:r>
      <w:r w:rsidR="006B00FE" w:rsidRPr="009130C5">
        <w:t>Kainaki II Declaration</w:t>
      </w:r>
      <w:r w:rsidR="006B00FE" w:rsidRPr="00802942">
        <w:rPr>
          <w:i/>
          <w:iCs/>
        </w:rPr>
        <w:t xml:space="preserve">, </w:t>
      </w:r>
      <w:r w:rsidR="006B00FE" w:rsidRPr="00802942">
        <w:t>we integrate</w:t>
      </w:r>
      <w:r w:rsidR="00BC2B93" w:rsidRPr="00802942">
        <w:t>d</w:t>
      </w:r>
      <w:r w:rsidR="006D710E" w:rsidRPr="00802942">
        <w:t xml:space="preserve"> </w:t>
      </w:r>
      <w:r w:rsidR="006B00FE" w:rsidRPr="00802942">
        <w:t>climate</w:t>
      </w:r>
      <w:r w:rsidR="006B00FE" w:rsidRPr="00802942">
        <w:rPr>
          <w:color w:val="495965"/>
        </w:rPr>
        <w:t xml:space="preserve"> change and disaster resilience </w:t>
      </w:r>
      <w:r w:rsidR="00BC2B93" w:rsidRPr="00802942">
        <w:rPr>
          <w:color w:val="495965"/>
        </w:rPr>
        <w:t>across our development program, including our COVID</w:t>
      </w:r>
      <w:r w:rsidR="0041412F">
        <w:rPr>
          <w:color w:val="495965"/>
        </w:rPr>
        <w:t>-19</w:t>
      </w:r>
      <w:r w:rsidR="00BC2B93" w:rsidRPr="00802942">
        <w:rPr>
          <w:color w:val="495965"/>
        </w:rPr>
        <w:t xml:space="preserve"> response.</w:t>
      </w:r>
      <w:r w:rsidR="00B6040F">
        <w:rPr>
          <w:color w:val="495965"/>
        </w:rPr>
        <w:t xml:space="preserve"> </w:t>
      </w:r>
    </w:p>
    <w:bookmarkEnd w:id="9"/>
    <w:p w14:paraId="57F1FFE8" w14:textId="61054928" w:rsidR="00EE5CFC" w:rsidRDefault="00BA6E6D">
      <w:pPr>
        <w:pStyle w:val="Bullet1"/>
      </w:pPr>
      <w:r>
        <w:t xml:space="preserve">Australia </w:t>
      </w:r>
      <w:r w:rsidRPr="00532085">
        <w:t>reached an estimated 244,</w:t>
      </w:r>
      <w:r w:rsidR="00832812">
        <w:t>600</w:t>
      </w:r>
      <w:r w:rsidR="00832812" w:rsidRPr="00532085">
        <w:t xml:space="preserve"> </w:t>
      </w:r>
      <w:r w:rsidRPr="00532085">
        <w:t>women and children</w:t>
      </w:r>
      <w:r w:rsidR="000A3406" w:rsidRPr="000A3406">
        <w:t xml:space="preserve"> </w:t>
      </w:r>
      <w:r w:rsidR="000A3406">
        <w:t xml:space="preserve">through the </w:t>
      </w:r>
      <w:r w:rsidR="000A3406" w:rsidRPr="00FB4EC9">
        <w:rPr>
          <w:iCs/>
        </w:rPr>
        <w:t>Pacific Women</w:t>
      </w:r>
      <w:r w:rsidR="000A3406" w:rsidRPr="00FB4EC9">
        <w:t xml:space="preserve"> </w:t>
      </w:r>
      <w:r w:rsidR="000A3406" w:rsidRPr="000A126E">
        <w:t>investment</w:t>
      </w:r>
      <w:r w:rsidRPr="000A126E">
        <w:t>, providing crisis services to 29,402 women and children</w:t>
      </w:r>
      <w:r w:rsidR="00414E23">
        <w:t xml:space="preserve">. </w:t>
      </w:r>
      <w:r>
        <w:t xml:space="preserve">In </w:t>
      </w:r>
      <w:r w:rsidR="00532085" w:rsidRPr="00532085">
        <w:t xml:space="preserve">April 2021, the Foreign Minister and Minister for Women announced </w:t>
      </w:r>
      <w:r w:rsidR="005475D7" w:rsidRPr="009130C5">
        <w:rPr>
          <w:b/>
          <w:bCs/>
        </w:rPr>
        <w:t>Pacific Women Lead</w:t>
      </w:r>
      <w:r w:rsidR="005475D7">
        <w:rPr>
          <w:b/>
          <w:bCs/>
          <w:i/>
          <w:iCs/>
        </w:rPr>
        <w:t>,</w:t>
      </w:r>
      <w:r w:rsidR="005475D7" w:rsidRPr="000A126E">
        <w:t xml:space="preserve"> </w:t>
      </w:r>
      <w:r w:rsidR="00532085" w:rsidRPr="00FB4EC9">
        <w:rPr>
          <w:b/>
          <w:bCs/>
        </w:rPr>
        <w:t xml:space="preserve">Australia’s new regional </w:t>
      </w:r>
      <w:r w:rsidR="000A3406" w:rsidRPr="00FB4EC9">
        <w:rPr>
          <w:b/>
          <w:bCs/>
        </w:rPr>
        <w:t xml:space="preserve">five-year $170 million commitment </w:t>
      </w:r>
      <w:r w:rsidR="00532085" w:rsidRPr="00FB4EC9">
        <w:rPr>
          <w:b/>
          <w:bCs/>
        </w:rPr>
        <w:t>to advance gender equality</w:t>
      </w:r>
      <w:r w:rsidR="00414E23">
        <w:t xml:space="preserve">. </w:t>
      </w:r>
      <w:r w:rsidR="000A3406">
        <w:t xml:space="preserve">It </w:t>
      </w:r>
      <w:r w:rsidR="00532085" w:rsidRPr="00532085">
        <w:t>build</w:t>
      </w:r>
      <w:r w:rsidR="00B47FA6">
        <w:t>s</w:t>
      </w:r>
      <w:r w:rsidR="00532085" w:rsidRPr="00532085">
        <w:t xml:space="preserve"> on </w:t>
      </w:r>
      <w:r w:rsidR="00F84F67">
        <w:t xml:space="preserve">our </w:t>
      </w:r>
      <w:r w:rsidR="00532085" w:rsidRPr="00532085">
        <w:t>long-standing gender investments</w:t>
      </w:r>
      <w:r w:rsidR="0040092E">
        <w:t xml:space="preserve"> and </w:t>
      </w:r>
      <w:r w:rsidR="00F84F67">
        <w:t>i</w:t>
      </w:r>
      <w:r>
        <w:t>nclud</w:t>
      </w:r>
      <w:r w:rsidR="00F84F67">
        <w:t>es</w:t>
      </w:r>
      <w:r>
        <w:t xml:space="preserve"> </w:t>
      </w:r>
      <w:r w:rsidR="00532085" w:rsidRPr="00532085">
        <w:t>strategic partnerships with SPC</w:t>
      </w:r>
      <w:r w:rsidR="00EC75E4">
        <w:t xml:space="preserve"> </w:t>
      </w:r>
      <w:r w:rsidR="00532085" w:rsidRPr="00532085">
        <w:t>and women’s organisations</w:t>
      </w:r>
      <w:r w:rsidR="00414E23">
        <w:t xml:space="preserve">. </w:t>
      </w:r>
    </w:p>
    <w:p w14:paraId="551FE575" w14:textId="46A211D1" w:rsidR="00D87710" w:rsidRPr="00754A10" w:rsidRDefault="00146F4D" w:rsidP="00D468B5">
      <w:pPr>
        <w:pStyle w:val="Bullet1"/>
      </w:pPr>
      <w:bookmarkStart w:id="10" w:name="_Hlk83312310"/>
      <w:r w:rsidRPr="000A126E">
        <w:rPr>
          <w:b/>
          <w:bCs/>
        </w:rPr>
        <w:t>Australia’s partnership with the University of the South Pacific (USP) supported the continuation of tertiary education in the region</w:t>
      </w:r>
      <w:r w:rsidRPr="003F2A19">
        <w:t xml:space="preserve">. </w:t>
      </w:r>
      <w:r>
        <w:t xml:space="preserve">USP, as part of their </w:t>
      </w:r>
      <w:r w:rsidRPr="003F2A19">
        <w:t>globally</w:t>
      </w:r>
      <w:r>
        <w:t xml:space="preserve"> </w:t>
      </w:r>
      <w:r w:rsidRPr="003F2A19">
        <w:t>recognised COVID-19 response</w:t>
      </w:r>
      <w:r>
        <w:t>,</w:t>
      </w:r>
      <w:r w:rsidRPr="003F2A19">
        <w:t xml:space="preserve"> </w:t>
      </w:r>
      <w:r>
        <w:t>provided</w:t>
      </w:r>
      <w:r w:rsidRPr="003F2A19">
        <w:t xml:space="preserve"> laptops, internet access and support for students to transition to remote learning</w:t>
      </w:r>
      <w:bookmarkStart w:id="11" w:name="_Hlk83361878"/>
      <w:r w:rsidR="00414E23">
        <w:t xml:space="preserve">. </w:t>
      </w:r>
      <w:r w:rsidR="00C670BF">
        <w:t>We are a</w:t>
      </w:r>
      <w:r w:rsidR="00EE5CFC" w:rsidRPr="00EE5CFC">
        <w:t xml:space="preserve">lso partnering with the World Bank to implement the </w:t>
      </w:r>
      <w:r w:rsidR="00EE5CFC" w:rsidRPr="009130C5">
        <w:t>Pacific Secondary School Project</w:t>
      </w:r>
      <w:r w:rsidR="00EE5CFC" w:rsidRPr="00EE5CFC">
        <w:t xml:space="preserve"> </w:t>
      </w:r>
      <w:r w:rsidR="00EE5CFC">
        <w:t>for</w:t>
      </w:r>
      <w:r w:rsidR="00EE5CFC" w:rsidRPr="00EE5CFC">
        <w:t xml:space="preserve"> </w:t>
      </w:r>
      <w:r w:rsidR="009130C5" w:rsidRPr="00EE5CFC">
        <w:t>14</w:t>
      </w:r>
      <w:r w:rsidR="009130C5">
        <w:t xml:space="preserve"> to </w:t>
      </w:r>
      <w:r w:rsidR="009130C5" w:rsidRPr="00EE5CFC">
        <w:t>18-year-old</w:t>
      </w:r>
      <w:r w:rsidR="00D468B5">
        <w:t xml:space="preserve"> </w:t>
      </w:r>
      <w:r w:rsidR="00D468B5" w:rsidRPr="00EE5CFC">
        <w:t xml:space="preserve">youth </w:t>
      </w:r>
      <w:r w:rsidR="00302762" w:rsidRPr="00EE5CFC">
        <w:t xml:space="preserve">to </w:t>
      </w:r>
      <w:r w:rsidR="00302762">
        <w:t xml:space="preserve">support </w:t>
      </w:r>
      <w:r w:rsidR="00302762" w:rsidRPr="00EE5CFC">
        <w:t>skills</w:t>
      </w:r>
      <w:r w:rsidR="00302762">
        <w:t xml:space="preserve">, </w:t>
      </w:r>
      <w:proofErr w:type="gramStart"/>
      <w:r w:rsidR="00302762" w:rsidRPr="00EE5CFC">
        <w:t>education</w:t>
      </w:r>
      <w:proofErr w:type="gramEnd"/>
      <w:r w:rsidR="00302762" w:rsidRPr="00EE5CFC">
        <w:t xml:space="preserve"> and training opportunities</w:t>
      </w:r>
      <w:r w:rsidR="00414E23">
        <w:t xml:space="preserve">. </w:t>
      </w:r>
    </w:p>
    <w:bookmarkEnd w:id="10"/>
    <w:bookmarkEnd w:id="11"/>
    <w:p w14:paraId="04C17F03" w14:textId="0E35423E" w:rsidR="0095100A" w:rsidRDefault="00A36E00">
      <w:pPr>
        <w:pStyle w:val="Bullet1"/>
      </w:pPr>
      <w:r w:rsidRPr="007C3D0F">
        <w:t xml:space="preserve">Australia supported </w:t>
      </w:r>
      <w:r w:rsidRPr="009F44BC">
        <w:rPr>
          <w:b/>
          <w:bCs/>
        </w:rPr>
        <w:t xml:space="preserve">partnerships with </w:t>
      </w:r>
      <w:r w:rsidR="0022500E" w:rsidRPr="009F44BC">
        <w:rPr>
          <w:b/>
          <w:bCs/>
        </w:rPr>
        <w:t>the Pacific Disability Forum</w:t>
      </w:r>
      <w:r w:rsidR="0022500E" w:rsidRPr="007C3D0F">
        <w:t xml:space="preserve"> and </w:t>
      </w:r>
      <w:r w:rsidR="0014343F" w:rsidRPr="007C3D0F">
        <w:t xml:space="preserve">seven </w:t>
      </w:r>
      <w:r w:rsidR="0022500E" w:rsidRPr="007C3D0F">
        <w:t>national disabled people's organisations</w:t>
      </w:r>
      <w:r w:rsidR="00414E23">
        <w:t xml:space="preserve">. </w:t>
      </w:r>
      <w:r w:rsidR="00931D96" w:rsidRPr="007C3D0F">
        <w:t>T</w:t>
      </w:r>
      <w:r w:rsidR="0022500E" w:rsidRPr="007C3D0F">
        <w:t xml:space="preserve">he Forum </w:t>
      </w:r>
      <w:r w:rsidR="007C3D0F" w:rsidRPr="000A126E">
        <w:t xml:space="preserve">and the </w:t>
      </w:r>
      <w:r w:rsidR="006E2598" w:rsidRPr="000A126E">
        <w:t xml:space="preserve">Pacific Disability Forum </w:t>
      </w:r>
      <w:r w:rsidR="00C256CC" w:rsidRPr="000A126E">
        <w:t>co-</w:t>
      </w:r>
      <w:r w:rsidR="0022500E" w:rsidRPr="000A126E">
        <w:t>develop</w:t>
      </w:r>
      <w:r w:rsidR="007D024C" w:rsidRPr="000A126E">
        <w:t>ed</w:t>
      </w:r>
      <w:r w:rsidR="0022500E" w:rsidRPr="000A126E">
        <w:t xml:space="preserve"> </w:t>
      </w:r>
      <w:r w:rsidRPr="000A126E">
        <w:t xml:space="preserve">the </w:t>
      </w:r>
      <w:r w:rsidR="0022500E" w:rsidRPr="009130C5">
        <w:t>Pacific Regional Disability Accessibility Standards</w:t>
      </w:r>
      <w:r w:rsidR="0022500E" w:rsidRPr="000A126E">
        <w:t xml:space="preserve"> </w:t>
      </w:r>
      <w:r w:rsidR="00931D96" w:rsidRPr="000A126E">
        <w:t xml:space="preserve">for </w:t>
      </w:r>
      <w:r w:rsidR="0022500E" w:rsidRPr="000A126E">
        <w:t>infrastructure</w:t>
      </w:r>
      <w:r w:rsidR="00414E23">
        <w:t xml:space="preserve">. </w:t>
      </w:r>
      <w:r w:rsidR="0095100A" w:rsidRPr="007C3D0F">
        <w:t xml:space="preserve">The </w:t>
      </w:r>
      <w:r w:rsidR="0095100A" w:rsidRPr="009130C5">
        <w:t>Shifting the Power Coalition</w:t>
      </w:r>
      <w:r w:rsidR="0095100A" w:rsidRPr="007C3D0F">
        <w:t xml:space="preserve"> supported the Fiji Disabled People’s Federation to establish the first </w:t>
      </w:r>
      <w:r w:rsidR="0095100A" w:rsidRPr="007C3D0F">
        <w:rPr>
          <w:spacing w:val="-1"/>
        </w:rPr>
        <w:t>disability-led emergency operations</w:t>
      </w:r>
      <w:r w:rsidR="00C560F2" w:rsidRPr="007C3D0F">
        <w:rPr>
          <w:spacing w:val="-1"/>
        </w:rPr>
        <w:t xml:space="preserve"> </w:t>
      </w:r>
      <w:r w:rsidR="0095100A" w:rsidRPr="007C3D0F">
        <w:rPr>
          <w:spacing w:val="-1"/>
        </w:rPr>
        <w:t xml:space="preserve">centre and coordinate </w:t>
      </w:r>
      <w:r w:rsidR="006E2598" w:rsidRPr="007C3D0F">
        <w:rPr>
          <w:spacing w:val="-1"/>
        </w:rPr>
        <w:t xml:space="preserve">disaster </w:t>
      </w:r>
      <w:r w:rsidR="0095100A" w:rsidRPr="007C3D0F">
        <w:rPr>
          <w:spacing w:val="-1"/>
        </w:rPr>
        <w:t>assessment</w:t>
      </w:r>
      <w:r w:rsidR="007C3D0F" w:rsidRPr="007C3D0F">
        <w:rPr>
          <w:spacing w:val="-1"/>
        </w:rPr>
        <w:t>s</w:t>
      </w:r>
      <w:r w:rsidR="0095100A" w:rsidRPr="007C3D0F">
        <w:rPr>
          <w:spacing w:val="-1"/>
        </w:rPr>
        <w:t xml:space="preserve"> </w:t>
      </w:r>
      <w:r w:rsidR="00B47FA6" w:rsidRPr="007C3D0F">
        <w:rPr>
          <w:spacing w:val="-1"/>
        </w:rPr>
        <w:t xml:space="preserve">for </w:t>
      </w:r>
      <w:r w:rsidR="0095100A" w:rsidRPr="007C3D0F">
        <w:rPr>
          <w:spacing w:val="-1"/>
        </w:rPr>
        <w:t xml:space="preserve">women </w:t>
      </w:r>
      <w:r w:rsidR="007C3D0F" w:rsidRPr="007C3D0F">
        <w:rPr>
          <w:spacing w:val="-1"/>
        </w:rPr>
        <w:t xml:space="preserve">and </w:t>
      </w:r>
      <w:r w:rsidR="0095100A" w:rsidRPr="007C3D0F">
        <w:rPr>
          <w:spacing w:val="-1"/>
        </w:rPr>
        <w:t>people with disabilities</w:t>
      </w:r>
      <w:r w:rsidR="0095100A" w:rsidRPr="00931D96">
        <w:t>.</w:t>
      </w:r>
    </w:p>
    <w:p w14:paraId="53834626" w14:textId="4B44F232" w:rsidR="004D4EC7" w:rsidRPr="006C7B79" w:rsidRDefault="00C87DDC" w:rsidP="00487F6C">
      <w:pPr>
        <w:pStyle w:val="Bullet1"/>
      </w:pPr>
      <w:bookmarkStart w:id="12" w:name="_Hlk82416755"/>
      <w:bookmarkStart w:id="13" w:name="_Hlk83283755"/>
      <w:r w:rsidRPr="00C87DDC">
        <w:t xml:space="preserve">Despite the pandemic, our development program </w:t>
      </w:r>
      <w:r w:rsidR="00B47FA6">
        <w:t>adapt</w:t>
      </w:r>
      <w:r w:rsidR="00487F6C">
        <w:t>ed</w:t>
      </w:r>
      <w:r w:rsidR="00B47FA6">
        <w:t xml:space="preserve"> to </w:t>
      </w:r>
      <w:r w:rsidR="00487F6C">
        <w:t xml:space="preserve">support </w:t>
      </w:r>
      <w:r w:rsidRPr="00C87DDC">
        <w:t xml:space="preserve">people-to-people </w:t>
      </w:r>
      <w:r w:rsidR="005553E4">
        <w:t>connections</w:t>
      </w:r>
      <w:r w:rsidR="00414E23">
        <w:t xml:space="preserve">. </w:t>
      </w:r>
      <w:r w:rsidRPr="000A126E">
        <w:rPr>
          <w:b/>
          <w:bCs/>
        </w:rPr>
        <w:t>The</w:t>
      </w:r>
      <w:r w:rsidR="00A9072D" w:rsidRPr="000A126E">
        <w:rPr>
          <w:b/>
          <w:bCs/>
        </w:rPr>
        <w:t> </w:t>
      </w:r>
      <w:r w:rsidRPr="009130C5">
        <w:rPr>
          <w:b/>
          <w:bCs/>
        </w:rPr>
        <w:t>Pacific Church Partnership Program</w:t>
      </w:r>
      <w:r w:rsidRPr="000A126E">
        <w:rPr>
          <w:b/>
          <w:bCs/>
        </w:rPr>
        <w:t xml:space="preserve"> worked with the Pacific Conference of Churches </w:t>
      </w:r>
      <w:r w:rsidR="00CA4015" w:rsidRPr="000A126E">
        <w:rPr>
          <w:b/>
          <w:bCs/>
        </w:rPr>
        <w:t>(PCC)</w:t>
      </w:r>
      <w:r w:rsidR="00CA4015">
        <w:t xml:space="preserve"> </w:t>
      </w:r>
      <w:r w:rsidRPr="00C87DDC">
        <w:t>to establish an advisory network promot</w:t>
      </w:r>
      <w:r w:rsidR="00487F6C">
        <w:t>ing</w:t>
      </w:r>
      <w:r w:rsidRPr="00C87DDC">
        <w:t xml:space="preserve"> stronger Australia-Pacific church links</w:t>
      </w:r>
      <w:r w:rsidR="00414E23">
        <w:t xml:space="preserve">. </w:t>
      </w:r>
      <w:r w:rsidR="00FB735A">
        <w:t xml:space="preserve">The PCC </w:t>
      </w:r>
      <w:r w:rsidR="00250C2E">
        <w:t xml:space="preserve">also </w:t>
      </w:r>
      <w:r w:rsidR="00250C2E" w:rsidRPr="00532085">
        <w:t>establish</w:t>
      </w:r>
      <w:r w:rsidR="00250C2E">
        <w:t>ed</w:t>
      </w:r>
      <w:r w:rsidR="00250C2E" w:rsidRPr="00532085">
        <w:t xml:space="preserve"> </w:t>
      </w:r>
      <w:r w:rsidR="002C01DB">
        <w:t xml:space="preserve">a </w:t>
      </w:r>
      <w:r w:rsidR="00250C2E" w:rsidRPr="00532085">
        <w:t xml:space="preserve">Disaster Chaplaincy Network </w:t>
      </w:r>
      <w:r w:rsidR="00250C2E">
        <w:t xml:space="preserve">to </w:t>
      </w:r>
      <w:r w:rsidR="00FB735A">
        <w:t>increase</w:t>
      </w:r>
      <w:r w:rsidR="00DB2776">
        <w:t xml:space="preserve"> </w:t>
      </w:r>
      <w:r w:rsidR="00FB735A">
        <w:t xml:space="preserve">regional disaster preparedness </w:t>
      </w:r>
      <w:r w:rsidR="001769BB">
        <w:t xml:space="preserve">to </w:t>
      </w:r>
      <w:r w:rsidR="005553E4" w:rsidRPr="00532085">
        <w:t>support</w:t>
      </w:r>
      <w:r w:rsidR="0023631B">
        <w:t xml:space="preserve"> </w:t>
      </w:r>
      <w:r w:rsidR="00C256CC">
        <w:t>vulnerable peoples’</w:t>
      </w:r>
      <w:r w:rsidR="00C256CC" w:rsidDel="00DB2776">
        <w:t xml:space="preserve"> </w:t>
      </w:r>
      <w:r w:rsidR="005553E4" w:rsidRPr="00532085">
        <w:t>mental health</w:t>
      </w:r>
      <w:r w:rsidR="00C256CC">
        <w:t xml:space="preserve"> needs</w:t>
      </w:r>
      <w:bookmarkEnd w:id="12"/>
      <w:r w:rsidR="00414E23">
        <w:t xml:space="preserve">. </w:t>
      </w:r>
      <w:r w:rsidR="002C01DB" w:rsidRPr="000A126E">
        <w:t>O</w:t>
      </w:r>
      <w:r w:rsidR="00DB2776" w:rsidRPr="00701E83">
        <w:t xml:space="preserve">ur </w:t>
      </w:r>
      <w:r w:rsidR="00487F6C" w:rsidRPr="009F44BC">
        <w:rPr>
          <w:b/>
          <w:bCs/>
        </w:rPr>
        <w:t>sports program</w:t>
      </w:r>
      <w:r w:rsidR="002C01DB" w:rsidRPr="00701E83">
        <w:t xml:space="preserve"> </w:t>
      </w:r>
      <w:r w:rsidR="00ED7530">
        <w:t>began</w:t>
      </w:r>
      <w:r w:rsidR="00C256CC" w:rsidRPr="00701E83">
        <w:t xml:space="preserve"> </w:t>
      </w:r>
      <w:r w:rsidR="002C01DB" w:rsidRPr="00701E83">
        <w:t>a new netball immersion program</w:t>
      </w:r>
      <w:r w:rsidR="00414E23">
        <w:t xml:space="preserve">. </w:t>
      </w:r>
      <w:r w:rsidR="002C01DB">
        <w:t xml:space="preserve">This support was complemented by non-development assistance </w:t>
      </w:r>
      <w:r w:rsidR="00ED7530">
        <w:t>for</w:t>
      </w:r>
      <w:r w:rsidR="002C01DB">
        <w:t xml:space="preserve"> over </w:t>
      </w:r>
      <w:r w:rsidR="00487F6C">
        <w:t>170</w:t>
      </w:r>
      <w:r w:rsidR="00424C1C">
        <w:t> </w:t>
      </w:r>
      <w:r w:rsidR="00487F6C">
        <w:t xml:space="preserve">Olympic and Paralympic athletes from eleven Pacific nations </w:t>
      </w:r>
      <w:r w:rsidR="002C01DB">
        <w:t xml:space="preserve">to </w:t>
      </w:r>
      <w:r w:rsidR="00487F6C">
        <w:t xml:space="preserve">prepare for their respective sports </w:t>
      </w:r>
      <w:r w:rsidR="00DB2776">
        <w:t xml:space="preserve">at the </w:t>
      </w:r>
      <w:r w:rsidR="00487F6C">
        <w:t>Tokyo</w:t>
      </w:r>
      <w:r w:rsidR="00DB2776">
        <w:t xml:space="preserve"> Games</w:t>
      </w:r>
      <w:r w:rsidR="00487F6C">
        <w:t>.</w:t>
      </w:r>
      <w:bookmarkEnd w:id="13"/>
    </w:p>
    <w:p w14:paraId="17664091" w14:textId="77777777" w:rsidR="006A04EA" w:rsidRDefault="0012027C" w:rsidP="006A04EA">
      <w:pPr>
        <w:pStyle w:val="Heading3"/>
      </w:pPr>
      <w:r w:rsidRPr="00530BC7">
        <w:t>Economic recovery</w:t>
      </w:r>
      <w:r w:rsidR="000C6F4C">
        <w:t xml:space="preserve"> </w:t>
      </w:r>
      <w:bookmarkStart w:id="14" w:name="_Hlk84327410"/>
      <w:bookmarkEnd w:id="1"/>
    </w:p>
    <w:p w14:paraId="7308B16E" w14:textId="4191F4B9" w:rsidR="00FB32C9" w:rsidRPr="006A04EA" w:rsidRDefault="00FB32C9" w:rsidP="006A04EA">
      <w:pPr>
        <w:pStyle w:val="Heading3"/>
        <w:rPr>
          <w:rFonts w:asciiTheme="minorHAnsi" w:eastAsiaTheme="minorHAnsi" w:hAnsiTheme="minorHAnsi" w:cstheme="minorBidi"/>
          <w:b w:val="0"/>
          <w:bCs w:val="0"/>
          <w:i w:val="0"/>
        </w:rPr>
      </w:pPr>
      <w:r w:rsidRPr="006A04EA">
        <w:rPr>
          <w:rFonts w:asciiTheme="minorHAnsi" w:eastAsiaTheme="minorHAnsi" w:hAnsiTheme="minorHAnsi" w:cstheme="minorBidi"/>
          <w:i w:val="0"/>
        </w:rPr>
        <w:t xml:space="preserve">The </w:t>
      </w:r>
      <w:r w:rsidR="000C6F4C" w:rsidRPr="006A04EA">
        <w:rPr>
          <w:rFonts w:asciiTheme="minorHAnsi" w:eastAsiaTheme="minorHAnsi" w:hAnsiTheme="minorHAnsi" w:cstheme="minorBidi"/>
          <w:i w:val="0"/>
        </w:rPr>
        <w:t>COVID-19 Response Package for the Pacific and Timor-Leste</w:t>
      </w:r>
      <w:r w:rsidR="000C6F4C" w:rsidRPr="006A04EA" w:rsidDel="000C6F4C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is supporting </w:t>
      </w:r>
      <w:r w:rsidR="00A457F8" w:rsidRPr="006A04EA">
        <w:rPr>
          <w:rFonts w:asciiTheme="minorHAnsi" w:eastAsiaTheme="minorHAnsi" w:hAnsiTheme="minorHAnsi" w:cstheme="minorBidi"/>
          <w:b w:val="0"/>
          <w:bCs w:val="0"/>
          <w:i w:val="0"/>
        </w:rPr>
        <w:t>maintenance of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essential services and protect</w:t>
      </w:r>
      <w:r w:rsidR="00A457F8" w:rsidRPr="006A04EA">
        <w:rPr>
          <w:rFonts w:asciiTheme="minorHAnsi" w:eastAsiaTheme="minorHAnsi" w:hAnsiTheme="minorHAnsi" w:cstheme="minorBidi"/>
          <w:b w:val="0"/>
          <w:bCs w:val="0"/>
          <w:i w:val="0"/>
        </w:rPr>
        <w:t>ing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the most vulnerable people</w:t>
      </w:r>
      <w:r w:rsidR="00414E23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. </w:t>
      </w:r>
      <w:r w:rsidR="00701E83" w:rsidRPr="006A04EA">
        <w:rPr>
          <w:rFonts w:asciiTheme="minorHAnsi" w:eastAsiaTheme="minorHAnsi" w:hAnsiTheme="minorHAnsi" w:cstheme="minorBidi"/>
          <w:b w:val="0"/>
          <w:bCs w:val="0"/>
          <w:i w:val="0"/>
        </w:rPr>
        <w:t>A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pproximately </w:t>
      </w:r>
      <w:r w:rsidR="00AA1EBE" w:rsidRPr="006A04EA">
        <w:rPr>
          <w:rFonts w:asciiTheme="minorHAnsi" w:eastAsiaTheme="minorHAnsi" w:hAnsiTheme="minorHAnsi" w:cstheme="minorBidi"/>
          <w:b w:val="0"/>
          <w:bCs w:val="0"/>
          <w:i w:val="0"/>
        </w:rPr>
        <w:t>$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>175</w:t>
      </w:r>
      <w:r w:rsidR="00AA1EBE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million was provided through partner government systems (general and sector budget support) incentivising sustainable and inclusive </w:t>
      </w:r>
      <w:r w:rsidR="00CB6737" w:rsidRPr="006A04EA">
        <w:rPr>
          <w:rFonts w:asciiTheme="minorHAnsi" w:eastAsiaTheme="minorHAnsi" w:hAnsiTheme="minorHAnsi" w:cstheme="minorBidi"/>
          <w:b w:val="0"/>
          <w:bCs w:val="0"/>
          <w:i w:val="0"/>
        </w:rPr>
        <w:t>policy</w:t>
      </w:r>
      <w:r w:rsidR="007C3D0F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</w:t>
      </w:r>
      <w:r w:rsidR="00CB6737" w:rsidRPr="006A04EA">
        <w:rPr>
          <w:rFonts w:asciiTheme="minorHAnsi" w:eastAsiaTheme="minorHAnsi" w:hAnsiTheme="minorHAnsi" w:cstheme="minorBidi"/>
          <w:b w:val="0"/>
          <w:bCs w:val="0"/>
          <w:i w:val="0"/>
        </w:rPr>
        <w:t>reforms</w:t>
      </w:r>
      <w:r w:rsidR="00414E23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. </w:t>
      </w:r>
      <w:r w:rsidR="007C3D0F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Almost </w:t>
      </w:r>
      <w:r w:rsidR="00AA1EBE" w:rsidRPr="006A04EA">
        <w:rPr>
          <w:rFonts w:asciiTheme="minorHAnsi" w:eastAsiaTheme="minorHAnsi" w:hAnsiTheme="minorHAnsi" w:cstheme="minorBidi"/>
          <w:b w:val="0"/>
          <w:bCs w:val="0"/>
          <w:i w:val="0"/>
        </w:rPr>
        <w:t>$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>19</w:t>
      </w:r>
      <w:r w:rsidR="00AA1EBE" w:rsidRPr="006A04EA">
        <w:rPr>
          <w:rFonts w:asciiTheme="minorHAnsi" w:eastAsiaTheme="minorHAnsi" w:hAnsiTheme="minorHAnsi" w:cstheme="minorBidi"/>
          <w:b w:val="0"/>
          <w:bCs w:val="0"/>
          <w:i w:val="0"/>
        </w:rPr>
        <w:t> 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>million was channelled through trusted partners</w:t>
      </w:r>
      <w:r w:rsidR="00B67B8B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(such as </w:t>
      </w:r>
      <w:r w:rsidR="0041412F" w:rsidRPr="006A04EA">
        <w:rPr>
          <w:rFonts w:asciiTheme="minorHAnsi" w:eastAsiaTheme="minorHAnsi" w:hAnsiTheme="minorHAnsi" w:cstheme="minorBidi"/>
          <w:b w:val="0"/>
          <w:bCs w:val="0"/>
          <w:i w:val="0"/>
        </w:rPr>
        <w:t>International Committee of the Red Cross</w:t>
      </w:r>
      <w:r w:rsidRPr="006A04EA">
        <w:rPr>
          <w:rFonts w:asciiTheme="minorHAnsi" w:eastAsiaTheme="minorHAnsi" w:hAnsiTheme="minorHAnsi" w:cstheme="minorBidi"/>
          <w:b w:val="0"/>
          <w:bCs w:val="0"/>
          <w:i w:val="0"/>
        </w:rPr>
        <w:t>, UN Women, World Bank and Oxfam</w:t>
      </w:r>
      <w:r w:rsidR="00B67B8B" w:rsidRPr="006A04EA">
        <w:rPr>
          <w:rFonts w:asciiTheme="minorHAnsi" w:eastAsiaTheme="minorHAnsi" w:hAnsiTheme="minorHAnsi" w:cstheme="minorBidi"/>
          <w:b w:val="0"/>
          <w:bCs w:val="0"/>
          <w:i w:val="0"/>
        </w:rPr>
        <w:t>)</w:t>
      </w:r>
      <w:r w:rsidR="00414E23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. </w:t>
      </w:r>
      <w:r w:rsidR="00FB735A" w:rsidRPr="006A04EA">
        <w:rPr>
          <w:rFonts w:asciiTheme="minorHAnsi" w:eastAsiaTheme="minorHAnsi" w:hAnsiTheme="minorHAnsi" w:cstheme="minorBidi"/>
          <w:b w:val="0"/>
          <w:bCs w:val="0"/>
          <w:i w:val="0"/>
        </w:rPr>
        <w:t>The package provid</w:t>
      </w:r>
      <w:r w:rsidR="00A457F8" w:rsidRPr="006A04EA">
        <w:rPr>
          <w:rFonts w:asciiTheme="minorHAnsi" w:eastAsiaTheme="minorHAnsi" w:hAnsiTheme="minorHAnsi" w:cstheme="minorBidi"/>
          <w:b w:val="0"/>
          <w:bCs w:val="0"/>
          <w:i w:val="0"/>
        </w:rPr>
        <w:t>ed</w:t>
      </w:r>
      <w:r w:rsidR="00FB735A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 $21 million to bolster healthcare workers’ salaries in </w:t>
      </w:r>
      <w:r w:rsidR="0041412F" w:rsidRPr="006A04EA">
        <w:rPr>
          <w:rFonts w:asciiTheme="minorHAnsi" w:eastAsiaTheme="minorHAnsi" w:hAnsiTheme="minorHAnsi" w:cstheme="minorBidi"/>
          <w:b w:val="0"/>
          <w:bCs w:val="0"/>
          <w:i w:val="0"/>
        </w:rPr>
        <w:t>Papua New Guinea (</w:t>
      </w:r>
      <w:r w:rsidR="00FB735A" w:rsidRPr="006A04EA">
        <w:rPr>
          <w:rFonts w:asciiTheme="minorHAnsi" w:eastAsiaTheme="minorHAnsi" w:hAnsiTheme="minorHAnsi" w:cstheme="minorBidi"/>
          <w:b w:val="0"/>
          <w:bCs w:val="0"/>
          <w:i w:val="0"/>
        </w:rPr>
        <w:t>PNG</w:t>
      </w:r>
      <w:r w:rsidR="0041412F" w:rsidRPr="006A04EA">
        <w:rPr>
          <w:rFonts w:asciiTheme="minorHAnsi" w:eastAsiaTheme="minorHAnsi" w:hAnsiTheme="minorHAnsi" w:cstheme="minorBidi"/>
          <w:b w:val="0"/>
          <w:bCs w:val="0"/>
          <w:i w:val="0"/>
        </w:rPr>
        <w:t>)</w:t>
      </w:r>
      <w:r w:rsidR="00414E23" w:rsidRPr="006A04EA">
        <w:rPr>
          <w:rFonts w:asciiTheme="minorHAnsi" w:eastAsiaTheme="minorHAnsi" w:hAnsiTheme="minorHAnsi" w:cstheme="minorBidi"/>
          <w:b w:val="0"/>
          <w:bCs w:val="0"/>
          <w:i w:val="0"/>
        </w:rPr>
        <w:t xml:space="preserve">. </w:t>
      </w:r>
    </w:p>
    <w:bookmarkEnd w:id="14"/>
    <w:p w14:paraId="7A3C9257" w14:textId="0D02AEFE" w:rsidR="00A47792" w:rsidRPr="00532085" w:rsidRDefault="00FB32C9" w:rsidP="00853D82">
      <w:pPr>
        <w:pStyle w:val="Bullet1"/>
      </w:pPr>
      <w:r w:rsidRPr="00532085">
        <w:t xml:space="preserve">The economic impact of COVID-19 is reshaping the </w:t>
      </w:r>
      <w:r w:rsidR="007D60A8">
        <w:t>regional</w:t>
      </w:r>
      <w:r w:rsidRPr="00532085">
        <w:t xml:space="preserve"> context in which the </w:t>
      </w:r>
      <w:r w:rsidRPr="009130C5">
        <w:t>Australian Infrastructure Financing Facility for the Pacific</w:t>
      </w:r>
      <w:r w:rsidRPr="00532085">
        <w:t xml:space="preserve"> (AIFFP) operates</w:t>
      </w:r>
      <w:r w:rsidR="00414E23">
        <w:t xml:space="preserve">. </w:t>
      </w:r>
      <w:r w:rsidRPr="00532085">
        <w:t xml:space="preserve">There has been </w:t>
      </w:r>
      <w:r w:rsidR="0040092E">
        <w:t xml:space="preserve">an </w:t>
      </w:r>
      <w:r w:rsidRPr="00532085">
        <w:t>increased demand by Pacific island countries for budget support</w:t>
      </w:r>
      <w:r w:rsidR="0040092E">
        <w:t xml:space="preserve"> as well as </w:t>
      </w:r>
      <w:r w:rsidRPr="00532085">
        <w:t xml:space="preserve">competitively </w:t>
      </w:r>
      <w:r w:rsidRPr="00025A2C">
        <w:t>priced and flexible financing</w:t>
      </w:r>
      <w:bookmarkStart w:id="15" w:name="_Hlk81823964"/>
      <w:r w:rsidR="00414E23">
        <w:t xml:space="preserve">. </w:t>
      </w:r>
      <w:r w:rsidR="00AB50BE" w:rsidRPr="00701E83">
        <w:rPr>
          <w:b/>
          <w:bCs/>
        </w:rPr>
        <w:t>T</w:t>
      </w:r>
      <w:r w:rsidR="007D60A8" w:rsidRPr="00701E83">
        <w:rPr>
          <w:b/>
          <w:bCs/>
        </w:rPr>
        <w:t xml:space="preserve">hree </w:t>
      </w:r>
      <w:r w:rsidR="00A47792" w:rsidRPr="00701E83">
        <w:rPr>
          <w:b/>
          <w:bCs/>
        </w:rPr>
        <w:t xml:space="preserve">major </w:t>
      </w:r>
      <w:r w:rsidR="006258D7" w:rsidRPr="00DB6938">
        <w:rPr>
          <w:b/>
          <w:bCs/>
        </w:rPr>
        <w:t>AIFFP</w:t>
      </w:r>
      <w:r w:rsidR="006258D7" w:rsidRPr="00FB4EC9">
        <w:t xml:space="preserve"> </w:t>
      </w:r>
      <w:r w:rsidR="00817E94" w:rsidRPr="00701E83">
        <w:rPr>
          <w:b/>
          <w:bCs/>
        </w:rPr>
        <w:t xml:space="preserve">financing </w:t>
      </w:r>
      <w:r w:rsidR="00A47792" w:rsidRPr="00701E83">
        <w:rPr>
          <w:b/>
          <w:bCs/>
        </w:rPr>
        <w:t xml:space="preserve">agreements </w:t>
      </w:r>
      <w:r w:rsidR="007D60A8" w:rsidRPr="00701E83">
        <w:rPr>
          <w:b/>
          <w:bCs/>
        </w:rPr>
        <w:t xml:space="preserve">were </w:t>
      </w:r>
      <w:r w:rsidR="00A47792" w:rsidRPr="00701E83">
        <w:rPr>
          <w:b/>
          <w:bCs/>
        </w:rPr>
        <w:t>signed</w:t>
      </w:r>
      <w:r w:rsidR="007D60A8" w:rsidRPr="00701E83">
        <w:rPr>
          <w:b/>
          <w:bCs/>
        </w:rPr>
        <w:t xml:space="preserve"> in 2020-21 </w:t>
      </w:r>
      <w:r w:rsidR="007D60A8" w:rsidRPr="00025A2C">
        <w:t xml:space="preserve">covering the renewable energy, </w:t>
      </w:r>
      <w:proofErr w:type="gramStart"/>
      <w:r w:rsidR="007D60A8" w:rsidRPr="00025A2C">
        <w:t>aviation</w:t>
      </w:r>
      <w:proofErr w:type="gramEnd"/>
      <w:r w:rsidR="007D60A8" w:rsidRPr="00025A2C">
        <w:t xml:space="preserve"> and telecommunications sectors</w:t>
      </w:r>
      <w:bookmarkEnd w:id="15"/>
      <w:r w:rsidR="00414E23">
        <w:t xml:space="preserve">. </w:t>
      </w:r>
    </w:p>
    <w:p w14:paraId="09A05A4D" w14:textId="7F5F3CD7" w:rsidR="00A96706" w:rsidRDefault="00CB6737">
      <w:pPr>
        <w:pStyle w:val="Bullet1"/>
      </w:pPr>
      <w:r w:rsidRPr="00701E83">
        <w:rPr>
          <w:b/>
          <w:bCs/>
        </w:rPr>
        <w:t xml:space="preserve">More than </w:t>
      </w:r>
      <w:r w:rsidR="00A96706" w:rsidRPr="00701E83">
        <w:rPr>
          <w:b/>
          <w:bCs/>
        </w:rPr>
        <w:t>3,3</w:t>
      </w:r>
      <w:r w:rsidR="002A03A7" w:rsidRPr="00701E83">
        <w:rPr>
          <w:b/>
          <w:bCs/>
        </w:rPr>
        <w:t>00</w:t>
      </w:r>
      <w:r w:rsidR="00A96706" w:rsidRPr="00701E83">
        <w:rPr>
          <w:b/>
          <w:bCs/>
        </w:rPr>
        <w:t xml:space="preserve"> Pacific </w:t>
      </w:r>
      <w:r w:rsidR="00F3382A" w:rsidRPr="00701E83">
        <w:rPr>
          <w:b/>
          <w:bCs/>
        </w:rPr>
        <w:t>i</w:t>
      </w:r>
      <w:r w:rsidR="00A96706" w:rsidRPr="00701E83">
        <w:rPr>
          <w:b/>
          <w:bCs/>
        </w:rPr>
        <w:t xml:space="preserve">slanders completed studies with </w:t>
      </w:r>
      <w:r w:rsidR="002A03A7" w:rsidRPr="00701E83">
        <w:rPr>
          <w:b/>
          <w:bCs/>
        </w:rPr>
        <w:t xml:space="preserve">the </w:t>
      </w:r>
      <w:r w:rsidR="002A03A7" w:rsidRPr="009130C5">
        <w:rPr>
          <w:b/>
          <w:bCs/>
        </w:rPr>
        <w:t>Australia Pacific Training Coalition</w:t>
      </w:r>
      <w:r w:rsidR="00414E23">
        <w:t xml:space="preserve">. </w:t>
      </w:r>
      <w:r w:rsidR="00A96706" w:rsidRPr="00532085">
        <w:t>Of these,</w:t>
      </w:r>
      <w:r w:rsidR="006F1408">
        <w:t xml:space="preserve"> </w:t>
      </w:r>
      <w:r w:rsidR="00A96706" w:rsidRPr="00532085">
        <w:t>1,507</w:t>
      </w:r>
      <w:r w:rsidR="00802942">
        <w:t> </w:t>
      </w:r>
      <w:r w:rsidR="00A96706" w:rsidRPr="00532085">
        <w:t xml:space="preserve">Pacific </w:t>
      </w:r>
      <w:r w:rsidR="00F3382A">
        <w:t>i</w:t>
      </w:r>
      <w:r w:rsidR="00A96706" w:rsidRPr="00532085">
        <w:t xml:space="preserve">slanders gained Australian-accredited qualifications, including 1,241 students </w:t>
      </w:r>
      <w:r>
        <w:t>who</w:t>
      </w:r>
      <w:r w:rsidRPr="00532085">
        <w:t xml:space="preserve"> </w:t>
      </w:r>
      <w:r w:rsidR="00A96706" w:rsidRPr="00532085">
        <w:t>gained full qualifications</w:t>
      </w:r>
      <w:r w:rsidR="00414E23">
        <w:t xml:space="preserve">. </w:t>
      </w:r>
      <w:r w:rsidR="00A96706" w:rsidRPr="00532085">
        <w:t>An</w:t>
      </w:r>
      <w:r w:rsidR="00424C1C">
        <w:t> </w:t>
      </w:r>
      <w:r w:rsidR="00A96706" w:rsidRPr="00532085">
        <w:t xml:space="preserve">additional 1,625 </w:t>
      </w:r>
      <w:r w:rsidR="00392062">
        <w:t xml:space="preserve">people </w:t>
      </w:r>
      <w:r w:rsidR="00A96706" w:rsidRPr="00532085">
        <w:t>completed non-accredited training courses, including short courses and micro-credentials</w:t>
      </w:r>
      <w:r w:rsidR="00414E23">
        <w:t xml:space="preserve">. </w:t>
      </w:r>
    </w:p>
    <w:p w14:paraId="03B577A1" w14:textId="4575219E" w:rsidR="00FB32C9" w:rsidRPr="00532085" w:rsidRDefault="006C7B79">
      <w:pPr>
        <w:pStyle w:val="Bullet1"/>
      </w:pPr>
      <w:r>
        <w:t xml:space="preserve">Notwithstanding border closures, the government restarted recruitment </w:t>
      </w:r>
      <w:r w:rsidRPr="00701E83">
        <w:rPr>
          <w:b/>
          <w:bCs/>
        </w:rPr>
        <w:t xml:space="preserve">under </w:t>
      </w:r>
      <w:r w:rsidR="00FB32C9" w:rsidRPr="009130C5">
        <w:rPr>
          <w:b/>
          <w:bCs/>
        </w:rPr>
        <w:t xml:space="preserve">Pacific Labour </w:t>
      </w:r>
      <w:r w:rsidR="00FB32C9" w:rsidRPr="0041412F">
        <w:rPr>
          <w:b/>
          <w:bCs/>
        </w:rPr>
        <w:t>Mobili</w:t>
      </w:r>
      <w:r w:rsidR="00FB32C9" w:rsidRPr="000D76E9">
        <w:rPr>
          <w:b/>
          <w:bCs/>
        </w:rPr>
        <w:t>ty</w:t>
      </w:r>
      <w:r w:rsidR="00FB32C9" w:rsidRPr="0041412F">
        <w:rPr>
          <w:b/>
          <w:bCs/>
        </w:rPr>
        <w:t xml:space="preserve"> </w:t>
      </w:r>
      <w:r w:rsidR="000355E3" w:rsidRPr="0041412F">
        <w:rPr>
          <w:b/>
          <w:bCs/>
        </w:rPr>
        <w:t>program</w:t>
      </w:r>
      <w:r w:rsidRPr="0041412F">
        <w:rPr>
          <w:b/>
          <w:bCs/>
        </w:rPr>
        <w:t>s</w:t>
      </w:r>
      <w:r w:rsidR="000355E3">
        <w:t xml:space="preserve"> </w:t>
      </w:r>
      <w:r w:rsidR="00FB32C9" w:rsidRPr="00532085">
        <w:t>in September 2020, th</w:t>
      </w:r>
      <w:r>
        <w:t>rough</w:t>
      </w:r>
      <w:r w:rsidRPr="00532085">
        <w:t xml:space="preserve"> </w:t>
      </w:r>
      <w:r w:rsidR="00FB32C9" w:rsidRPr="00532085">
        <w:t>a coordinated effort across state, territory and commonwealth government</w:t>
      </w:r>
      <w:r w:rsidR="005B1417">
        <w:t>s</w:t>
      </w:r>
      <w:r w:rsidR="00FB32C9" w:rsidRPr="00532085">
        <w:t>, industry, and labour sending countries</w:t>
      </w:r>
      <w:r w:rsidR="00414E23">
        <w:t xml:space="preserve">. </w:t>
      </w:r>
      <w:r w:rsidR="002A03A7" w:rsidRPr="00701E83">
        <w:rPr>
          <w:b/>
          <w:bCs/>
        </w:rPr>
        <w:t>M</w:t>
      </w:r>
      <w:r w:rsidR="00FB32C9" w:rsidRPr="00701E83">
        <w:rPr>
          <w:b/>
          <w:bCs/>
        </w:rPr>
        <w:t xml:space="preserve">ore than </w:t>
      </w:r>
      <w:r w:rsidR="004A0995" w:rsidRPr="00701E83">
        <w:rPr>
          <w:b/>
          <w:bCs/>
        </w:rPr>
        <w:t xml:space="preserve">8,300 </w:t>
      </w:r>
      <w:r w:rsidRPr="00701E83">
        <w:rPr>
          <w:b/>
          <w:bCs/>
        </w:rPr>
        <w:t xml:space="preserve">additional </w:t>
      </w:r>
      <w:r w:rsidR="004A0995" w:rsidRPr="00701E83">
        <w:rPr>
          <w:b/>
          <w:bCs/>
        </w:rPr>
        <w:t xml:space="preserve">workers </w:t>
      </w:r>
      <w:r w:rsidR="00FB32C9" w:rsidRPr="00701E83">
        <w:rPr>
          <w:b/>
          <w:bCs/>
        </w:rPr>
        <w:t xml:space="preserve">arrived in Australia </w:t>
      </w:r>
      <w:r w:rsidR="007B2C61" w:rsidRPr="00701E83">
        <w:rPr>
          <w:b/>
          <w:bCs/>
        </w:rPr>
        <w:t>to</w:t>
      </w:r>
      <w:r w:rsidR="00FB32C9" w:rsidRPr="00701E83">
        <w:rPr>
          <w:b/>
          <w:bCs/>
        </w:rPr>
        <w:t xml:space="preserve"> </w:t>
      </w:r>
      <w:r w:rsidR="002A03A7" w:rsidRPr="00701E83">
        <w:rPr>
          <w:b/>
          <w:bCs/>
        </w:rPr>
        <w:t>30 June 2021</w:t>
      </w:r>
      <w:r w:rsidR="00A418FD">
        <w:t>,</w:t>
      </w:r>
      <w:r w:rsidR="00FB32C9" w:rsidRPr="00532085">
        <w:t xml:space="preserve"> </w:t>
      </w:r>
      <w:r>
        <w:t>under these arrangements</w:t>
      </w:r>
      <w:r w:rsidR="00414E23">
        <w:t xml:space="preserve">. </w:t>
      </w:r>
      <w:r w:rsidR="006B157F" w:rsidRPr="009130C5">
        <w:t>Seasonal Workers Program</w:t>
      </w:r>
      <w:r w:rsidRPr="009130C5">
        <w:t>me</w:t>
      </w:r>
      <w:r w:rsidR="006B157F" w:rsidRPr="009130C5">
        <w:t xml:space="preserve"> and Pacific Labour Scheme</w:t>
      </w:r>
      <w:r w:rsidR="006B157F">
        <w:t xml:space="preserve"> w</w:t>
      </w:r>
      <w:r w:rsidR="00FB32C9" w:rsidRPr="00532085">
        <w:t xml:space="preserve">orkers remit </w:t>
      </w:r>
      <w:r w:rsidR="006B157F">
        <w:t xml:space="preserve">respectively </w:t>
      </w:r>
      <w:r w:rsidR="00FB32C9" w:rsidRPr="00532085">
        <w:t>on average $1,061</w:t>
      </w:r>
      <w:r w:rsidR="00802942">
        <w:t> </w:t>
      </w:r>
      <w:r w:rsidR="00FB32C9" w:rsidRPr="00532085">
        <w:t>and $1,244 per month back to their families,</w:t>
      </w:r>
      <w:r w:rsidR="006B157F">
        <w:t xml:space="preserve"> </w:t>
      </w:r>
      <w:r w:rsidR="004A7C91">
        <w:t>which</w:t>
      </w:r>
      <w:r w:rsidR="006B157F">
        <w:t xml:space="preserve"> </w:t>
      </w:r>
      <w:r>
        <w:t xml:space="preserve">is </w:t>
      </w:r>
      <w:r w:rsidR="00FB32C9" w:rsidRPr="00532085">
        <w:t xml:space="preserve">of critical importance to </w:t>
      </w:r>
      <w:r w:rsidR="005B1417">
        <w:t xml:space="preserve">Pacific </w:t>
      </w:r>
      <w:r w:rsidR="006B157F">
        <w:t>household incomes</w:t>
      </w:r>
      <w:r w:rsidR="005B1417">
        <w:t>.</w:t>
      </w:r>
    </w:p>
    <w:p w14:paraId="4B72C4DC" w14:textId="7F731A8A" w:rsidR="00FB32C9" w:rsidRPr="00532085" w:rsidRDefault="00FB32C9">
      <w:pPr>
        <w:pStyle w:val="Bullet1"/>
      </w:pPr>
      <w:r w:rsidRPr="00532085">
        <w:t>Australia has encouraged donor partners to respond rapidly</w:t>
      </w:r>
      <w:r w:rsidR="00414E23">
        <w:t xml:space="preserve">. </w:t>
      </w:r>
      <w:r w:rsidR="00392062" w:rsidRPr="00701E83">
        <w:rPr>
          <w:b/>
          <w:bCs/>
        </w:rPr>
        <w:t>T</w:t>
      </w:r>
      <w:r w:rsidRPr="00701E83">
        <w:rPr>
          <w:b/>
          <w:bCs/>
        </w:rPr>
        <w:t xml:space="preserve">he ADB and World Bank approved USD558 million and USD605 million respectively in financial support </w:t>
      </w:r>
      <w:r w:rsidR="005B1417">
        <w:t>for</w:t>
      </w:r>
      <w:r w:rsidR="005B1417" w:rsidRPr="00532085">
        <w:t xml:space="preserve"> </w:t>
      </w:r>
      <w:r w:rsidRPr="00532085">
        <w:t>COVID-19 related measures</w:t>
      </w:r>
      <w:r w:rsidR="00414E23">
        <w:t xml:space="preserve">. </w:t>
      </w:r>
      <w:r w:rsidRPr="00E15CEF">
        <w:t xml:space="preserve">The </w:t>
      </w:r>
      <w:r w:rsidR="0041412F">
        <w:t xml:space="preserve">International Monetary Fund </w:t>
      </w:r>
      <w:r w:rsidR="005B1417" w:rsidRPr="001B184E">
        <w:t xml:space="preserve">has </w:t>
      </w:r>
      <w:r w:rsidR="00392062" w:rsidRPr="00E15CEF">
        <w:t xml:space="preserve">addressed </w:t>
      </w:r>
      <w:r w:rsidRPr="00E15CEF">
        <w:t>critical fiscal deficits</w:t>
      </w:r>
      <w:r w:rsidR="005B1417" w:rsidRPr="00E15CEF">
        <w:t>,</w:t>
      </w:r>
      <w:r w:rsidRPr="00E15CEF">
        <w:t xml:space="preserve"> predominantly through the </w:t>
      </w:r>
      <w:r w:rsidRPr="009130C5">
        <w:t>Rapid Credit Facility</w:t>
      </w:r>
      <w:r w:rsidRPr="00E15CEF">
        <w:t xml:space="preserve"> (USD424 million)</w:t>
      </w:r>
      <w:r w:rsidR="00414E23">
        <w:t xml:space="preserve">. </w:t>
      </w:r>
      <w:r w:rsidRPr="00532085">
        <w:t>Australia</w:t>
      </w:r>
      <w:r w:rsidR="00BE1627">
        <w:t xml:space="preserve"> </w:t>
      </w:r>
      <w:r w:rsidRPr="00532085">
        <w:t xml:space="preserve">worked closely with </w:t>
      </w:r>
      <w:r w:rsidR="001E0190">
        <w:t xml:space="preserve">multilateral </w:t>
      </w:r>
      <w:r w:rsidRPr="00532085">
        <w:t xml:space="preserve">banks and other partners to ensure </w:t>
      </w:r>
      <w:r w:rsidR="00414E23" w:rsidRPr="00532085">
        <w:t>well-coordinated</w:t>
      </w:r>
      <w:r w:rsidR="001E0190" w:rsidRPr="00532085">
        <w:t xml:space="preserve"> and appropriately targeted</w:t>
      </w:r>
      <w:r w:rsidR="001E0190">
        <w:t xml:space="preserve"> </w:t>
      </w:r>
      <w:r w:rsidRPr="00532085">
        <w:t>assistance</w:t>
      </w:r>
      <w:r w:rsidR="002A03A7">
        <w:t>.</w:t>
      </w:r>
    </w:p>
    <w:p w14:paraId="67575F11" w14:textId="33B6B373" w:rsidR="00A47792" w:rsidRPr="00A47792" w:rsidRDefault="00A47792" w:rsidP="00FB32C9">
      <w:pPr>
        <w:sectPr w:rsidR="00A47792" w:rsidRPr="00A47792" w:rsidSect="007A122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559" w:right="680" w:bottom="1418" w:left="680" w:header="567" w:footer="340" w:gutter="0"/>
          <w:cols w:space="397"/>
          <w:titlePg/>
          <w:docGrid w:linePitch="360"/>
        </w:sectPr>
      </w:pPr>
    </w:p>
    <w:p w14:paraId="12E24BAE" w14:textId="09C861AA" w:rsidR="00BC1FED" w:rsidRDefault="00121DDD" w:rsidP="00CD53B6">
      <w:pPr>
        <w:pStyle w:val="Heading2"/>
      </w:pPr>
      <w:bookmarkStart w:id="16" w:name="_Hlk84327605"/>
      <w:r>
        <w:lastRenderedPageBreak/>
        <w:t>Annex 1</w:t>
      </w:r>
      <w:r w:rsidR="001F7F4D" w:rsidRPr="002945C4">
        <w:t xml:space="preserve">: </w:t>
      </w:r>
      <w:r w:rsidR="00540A22">
        <w:t xml:space="preserve">Progress against </w:t>
      </w:r>
      <w:r w:rsidR="008A1503">
        <w:t xml:space="preserve">COVID-19 Response plan </w:t>
      </w:r>
      <w:r w:rsidR="00E1666D">
        <w:t>results indicators</w:t>
      </w:r>
    </w:p>
    <w:bookmarkEnd w:id="16"/>
    <w:p w14:paraId="162B8A92" w14:textId="546397D1" w:rsidR="007D60A8" w:rsidRPr="007D60A8" w:rsidRDefault="00AE2B7B" w:rsidP="00353628">
      <w:pPr>
        <w:pStyle w:val="Heading3"/>
      </w:pPr>
      <w:r w:rsidRPr="00AE2B7B">
        <w:t>Health Security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4390"/>
        <w:gridCol w:w="6146"/>
      </w:tblGrid>
      <w:tr w:rsidR="004F5615" w14:paraId="228F7F02" w14:textId="77777777" w:rsidTr="00D50336">
        <w:trPr>
          <w:tblHeader/>
        </w:trPr>
        <w:tc>
          <w:tcPr>
            <w:tcW w:w="4390" w:type="dxa"/>
            <w:shd w:val="clear" w:color="auto" w:fill="A2DCD1" w:themeFill="accent1" w:themeFillTint="99"/>
          </w:tcPr>
          <w:p w14:paraId="7116F4F5" w14:textId="2A2D4E50" w:rsidR="004F5615" w:rsidRPr="005736BB" w:rsidRDefault="00A96364" w:rsidP="008C5B3A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 xml:space="preserve">Key Results </w:t>
            </w:r>
            <w:r w:rsidR="00E1666D" w:rsidRPr="005736BB">
              <w:rPr>
                <w:b/>
                <w:sz w:val="20"/>
                <w:szCs w:val="20"/>
              </w:rPr>
              <w:t>Indicators</w:t>
            </w:r>
          </w:p>
        </w:tc>
        <w:tc>
          <w:tcPr>
            <w:tcW w:w="6146" w:type="dxa"/>
            <w:shd w:val="clear" w:color="auto" w:fill="A2DCD1" w:themeFill="accent1" w:themeFillTint="99"/>
          </w:tcPr>
          <w:p w14:paraId="18C04122" w14:textId="30B10914" w:rsidR="004F5615" w:rsidRPr="000A2DB2" w:rsidRDefault="00AD19F7" w:rsidP="00AE5BAE">
            <w:pPr>
              <w:spacing w:before="0" w:after="0"/>
              <w:ind w:left="100"/>
              <w:jc w:val="center"/>
              <w:rPr>
                <w:sz w:val="20"/>
                <w:szCs w:val="20"/>
              </w:rPr>
            </w:pPr>
            <w:r w:rsidRPr="000A2DB2">
              <w:rPr>
                <w:b/>
                <w:sz w:val="20"/>
                <w:szCs w:val="20"/>
              </w:rPr>
              <w:t>Progress/Result</w:t>
            </w:r>
          </w:p>
        </w:tc>
      </w:tr>
      <w:tr w:rsidR="0012027C" w14:paraId="5D4066B5" w14:textId="77777777" w:rsidTr="00D50336">
        <w:tc>
          <w:tcPr>
            <w:tcW w:w="4390" w:type="dxa"/>
          </w:tcPr>
          <w:p w14:paraId="354112BD" w14:textId="15F7CA7F" w:rsidR="0012027C" w:rsidRPr="001D765D" w:rsidRDefault="0012027C" w:rsidP="008C5B3A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Number of partner countries where Australia has contributed to strengthened health systems including preparedness for health emergencies (with examples) [target: fourteen]</w:t>
            </w:r>
          </w:p>
        </w:tc>
        <w:tc>
          <w:tcPr>
            <w:tcW w:w="6146" w:type="dxa"/>
          </w:tcPr>
          <w:p w14:paraId="5596DEF5" w14:textId="2188D2D4" w:rsidR="00285591" w:rsidRPr="001D765D" w:rsidRDefault="003549B5" w:rsidP="009F44BC">
            <w:pPr>
              <w:pStyle w:val="BodyText"/>
              <w:spacing w:before="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Supported</w:t>
            </w:r>
            <w:r w:rsidR="0034414D" w:rsidRPr="001D765D">
              <w:rPr>
                <w:sz w:val="20"/>
                <w:szCs w:val="20"/>
              </w:rPr>
              <w:t xml:space="preserve"> regional partners on the COVID-19 health response, complementing </w:t>
            </w:r>
            <w:r w:rsidRPr="001D765D">
              <w:rPr>
                <w:sz w:val="20"/>
                <w:szCs w:val="20"/>
              </w:rPr>
              <w:t xml:space="preserve">Australia’s </w:t>
            </w:r>
            <w:r w:rsidR="0034414D" w:rsidRPr="001D765D">
              <w:rPr>
                <w:sz w:val="20"/>
                <w:szCs w:val="20"/>
              </w:rPr>
              <w:t xml:space="preserve">bilateral </w:t>
            </w:r>
            <w:r w:rsidRPr="001D765D">
              <w:rPr>
                <w:sz w:val="20"/>
                <w:szCs w:val="20"/>
              </w:rPr>
              <w:t xml:space="preserve">assistance </w:t>
            </w:r>
            <w:r w:rsidR="0034414D" w:rsidRPr="001D765D">
              <w:rPr>
                <w:sz w:val="20"/>
                <w:szCs w:val="20"/>
              </w:rPr>
              <w:t>in national health systems</w:t>
            </w:r>
            <w:r w:rsidR="0061541B" w:rsidRPr="001D765D">
              <w:rPr>
                <w:sz w:val="20"/>
                <w:szCs w:val="20"/>
              </w:rPr>
              <w:t xml:space="preserve">. </w:t>
            </w:r>
          </w:p>
          <w:p w14:paraId="3A3FB2B0" w14:textId="60B1DFAA" w:rsidR="000465F7" w:rsidRPr="001D765D" w:rsidRDefault="003549B5" w:rsidP="00143EE3">
            <w:pPr>
              <w:widowControl w:val="0"/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Supported </w:t>
            </w:r>
            <w:r w:rsidR="0034414D" w:rsidRPr="001D765D">
              <w:rPr>
                <w:sz w:val="20"/>
                <w:szCs w:val="20"/>
              </w:rPr>
              <w:t xml:space="preserve">the </w:t>
            </w:r>
            <w:r w:rsidRPr="001D765D">
              <w:rPr>
                <w:sz w:val="20"/>
                <w:szCs w:val="20"/>
              </w:rPr>
              <w:t xml:space="preserve">WHO-led </w:t>
            </w:r>
            <w:r w:rsidR="0034414D" w:rsidRPr="001D765D">
              <w:rPr>
                <w:sz w:val="20"/>
                <w:szCs w:val="20"/>
              </w:rPr>
              <w:t>Joint Incident Management Team, a regional effort to respond to COVID-19</w:t>
            </w:r>
            <w:r w:rsidRPr="001D765D">
              <w:rPr>
                <w:sz w:val="20"/>
                <w:szCs w:val="20"/>
              </w:rPr>
              <w:t>.</w:t>
            </w:r>
            <w:r w:rsidR="00B60792" w:rsidRPr="001D765D">
              <w:rPr>
                <w:sz w:val="20"/>
                <w:szCs w:val="20"/>
              </w:rPr>
              <w:t xml:space="preserve"> </w:t>
            </w:r>
            <w:r w:rsidR="005475D7" w:rsidRPr="001D765D">
              <w:rPr>
                <w:sz w:val="20"/>
                <w:szCs w:val="20"/>
              </w:rPr>
              <w:t xml:space="preserve">Also supported SPC’s </w:t>
            </w:r>
            <w:r w:rsidR="0034414D" w:rsidRPr="001D765D">
              <w:rPr>
                <w:sz w:val="20"/>
                <w:szCs w:val="20"/>
              </w:rPr>
              <w:t xml:space="preserve">Public Health Division </w:t>
            </w:r>
            <w:r w:rsidR="00EF4612" w:rsidRPr="001D765D">
              <w:rPr>
                <w:sz w:val="20"/>
                <w:szCs w:val="20"/>
              </w:rPr>
              <w:t xml:space="preserve">COVID-19 response including </w:t>
            </w:r>
            <w:r w:rsidR="0034414D" w:rsidRPr="001D765D">
              <w:rPr>
                <w:sz w:val="20"/>
                <w:szCs w:val="20"/>
              </w:rPr>
              <w:t xml:space="preserve">infection prevention and control; laboratory support; surveillance, </w:t>
            </w:r>
            <w:proofErr w:type="gramStart"/>
            <w:r w:rsidR="0034414D" w:rsidRPr="001D765D">
              <w:rPr>
                <w:sz w:val="20"/>
                <w:szCs w:val="20"/>
              </w:rPr>
              <w:t>epidemiology</w:t>
            </w:r>
            <w:proofErr w:type="gramEnd"/>
            <w:r w:rsidR="0034414D" w:rsidRPr="001D765D">
              <w:rPr>
                <w:sz w:val="20"/>
                <w:szCs w:val="20"/>
              </w:rPr>
              <w:t xml:space="preserve"> and training; clinical services; risk </w:t>
            </w:r>
            <w:r w:rsidR="00706594" w:rsidRPr="001D765D">
              <w:rPr>
                <w:sz w:val="20"/>
                <w:szCs w:val="20"/>
              </w:rPr>
              <w:t xml:space="preserve">and </w:t>
            </w:r>
            <w:r w:rsidR="0034414D" w:rsidRPr="001D765D">
              <w:rPr>
                <w:sz w:val="20"/>
                <w:szCs w:val="20"/>
              </w:rPr>
              <w:t>communication</w:t>
            </w:r>
            <w:r w:rsidR="00706594" w:rsidRPr="001D765D">
              <w:rPr>
                <w:sz w:val="20"/>
                <w:szCs w:val="20"/>
              </w:rPr>
              <w:t>s</w:t>
            </w:r>
            <w:r w:rsidR="006F301F" w:rsidRPr="001D765D">
              <w:rPr>
                <w:sz w:val="20"/>
                <w:szCs w:val="20"/>
              </w:rPr>
              <w:t xml:space="preserve"> in 14 countries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  <w:p w14:paraId="1C78B18E" w14:textId="1CFC3506" w:rsidR="0012027C" w:rsidRPr="001D765D" w:rsidRDefault="00EF4612" w:rsidP="000C1A7A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</w:t>
            </w:r>
            <w:r w:rsidR="003549B5" w:rsidRPr="001D765D">
              <w:rPr>
                <w:sz w:val="20"/>
                <w:szCs w:val="20"/>
              </w:rPr>
              <w:t>upported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="006F23D3" w:rsidRPr="001D765D">
              <w:rPr>
                <w:sz w:val="20"/>
                <w:szCs w:val="20"/>
              </w:rPr>
              <w:t xml:space="preserve">analysis and technical assistance to improve health services in six </w:t>
            </w:r>
            <w:r w:rsidR="00DB7C67" w:rsidRPr="001D765D">
              <w:rPr>
                <w:sz w:val="20"/>
                <w:szCs w:val="20"/>
              </w:rPr>
              <w:t xml:space="preserve">Pacific island countries </w:t>
            </w:r>
            <w:r w:rsidR="006F23D3" w:rsidRPr="001D765D">
              <w:rPr>
                <w:sz w:val="20"/>
                <w:szCs w:val="20"/>
              </w:rPr>
              <w:t>through more efficient and equitable expenditure</w:t>
            </w:r>
            <w:r w:rsidR="00706594" w:rsidRPr="001D765D">
              <w:rPr>
                <w:sz w:val="20"/>
                <w:szCs w:val="20"/>
              </w:rPr>
              <w:t>,</w:t>
            </w:r>
            <w:r w:rsidRPr="001D765D">
              <w:rPr>
                <w:sz w:val="20"/>
                <w:szCs w:val="20"/>
              </w:rPr>
              <w:t xml:space="preserve"> in partnership with the World Bank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706594" w:rsidRPr="001D765D">
              <w:rPr>
                <w:sz w:val="20"/>
                <w:szCs w:val="20"/>
              </w:rPr>
              <w:t>A</w:t>
            </w:r>
            <w:r w:rsidR="006F23D3" w:rsidRPr="001D765D">
              <w:rPr>
                <w:sz w:val="20"/>
                <w:szCs w:val="20"/>
              </w:rPr>
              <w:t>ssist</w:t>
            </w:r>
            <w:r w:rsidR="00706594" w:rsidRPr="001D765D">
              <w:rPr>
                <w:sz w:val="20"/>
                <w:szCs w:val="20"/>
              </w:rPr>
              <w:t>ing</w:t>
            </w:r>
            <w:r w:rsidR="006F23D3" w:rsidRPr="001D765D">
              <w:rPr>
                <w:sz w:val="20"/>
                <w:szCs w:val="20"/>
              </w:rPr>
              <w:t xml:space="preserve"> </w:t>
            </w:r>
            <w:r w:rsidR="00706594" w:rsidRPr="001D765D">
              <w:rPr>
                <w:sz w:val="20"/>
                <w:szCs w:val="20"/>
              </w:rPr>
              <w:t xml:space="preserve">the </w:t>
            </w:r>
            <w:r w:rsidR="006F23D3" w:rsidRPr="001D765D">
              <w:rPr>
                <w:sz w:val="20"/>
                <w:szCs w:val="20"/>
              </w:rPr>
              <w:t>Solomon Islands health ministry to submit its 2021 budget on-time despite shortened timeframes</w:t>
            </w:r>
            <w:r w:rsidR="00706594" w:rsidRPr="001D765D">
              <w:rPr>
                <w:sz w:val="20"/>
                <w:szCs w:val="20"/>
              </w:rPr>
              <w:t>,</w:t>
            </w:r>
            <w:r w:rsidRPr="001D765D">
              <w:rPr>
                <w:sz w:val="20"/>
                <w:szCs w:val="20"/>
              </w:rPr>
              <w:t xml:space="preserve"> and</w:t>
            </w:r>
            <w:bookmarkStart w:id="17" w:name="_Hlk82786812"/>
            <w:r w:rsidR="00706594" w:rsidRPr="001D765D">
              <w:rPr>
                <w:sz w:val="20"/>
                <w:szCs w:val="20"/>
              </w:rPr>
              <w:t xml:space="preserve"> </w:t>
            </w:r>
            <w:r w:rsidR="006F23D3" w:rsidRPr="001D765D">
              <w:rPr>
                <w:sz w:val="20"/>
                <w:szCs w:val="20"/>
              </w:rPr>
              <w:t xml:space="preserve">Tonga and Samoa to address non-communicable diseases through </w:t>
            </w:r>
            <w:r w:rsidR="004A0995" w:rsidRPr="001D765D">
              <w:rPr>
                <w:sz w:val="20"/>
                <w:szCs w:val="20"/>
              </w:rPr>
              <w:t xml:space="preserve">targeted </w:t>
            </w:r>
            <w:r w:rsidR="006F23D3" w:rsidRPr="001D765D">
              <w:rPr>
                <w:sz w:val="20"/>
                <w:szCs w:val="20"/>
              </w:rPr>
              <w:t>taxe</w:t>
            </w:r>
            <w:r w:rsidR="004A0995" w:rsidRPr="001D765D">
              <w:rPr>
                <w:sz w:val="20"/>
                <w:szCs w:val="20"/>
              </w:rPr>
              <w:t>s</w:t>
            </w:r>
            <w:bookmarkEnd w:id="17"/>
            <w:r w:rsidR="00414E23" w:rsidRPr="001D765D">
              <w:rPr>
                <w:sz w:val="20"/>
                <w:szCs w:val="20"/>
              </w:rPr>
              <w:t xml:space="preserve">. </w:t>
            </w:r>
          </w:p>
        </w:tc>
      </w:tr>
      <w:tr w:rsidR="0012027C" w14:paraId="4AD746D8" w14:textId="77777777" w:rsidTr="00D50336">
        <w:tc>
          <w:tcPr>
            <w:tcW w:w="4390" w:type="dxa"/>
          </w:tcPr>
          <w:p w14:paraId="0AB10A98" w14:textId="750295B1" w:rsidR="0012027C" w:rsidRPr="001D765D" w:rsidRDefault="0012027C" w:rsidP="008C5B3A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Evidence that partner countries have improved responses to health security threats</w:t>
            </w:r>
          </w:p>
        </w:tc>
        <w:tc>
          <w:tcPr>
            <w:tcW w:w="6146" w:type="dxa"/>
          </w:tcPr>
          <w:p w14:paraId="6032D642" w14:textId="190CD8E6" w:rsidR="00BF6833" w:rsidRPr="001D765D" w:rsidRDefault="003549B5" w:rsidP="00AE5BAE">
            <w:pPr>
              <w:widowControl w:val="0"/>
              <w:spacing w:before="0" w:after="0"/>
              <w:rPr>
                <w:sz w:val="20"/>
                <w:szCs w:val="20"/>
              </w:rPr>
            </w:pPr>
            <w:bookmarkStart w:id="18" w:name="_Hlk81391010"/>
            <w:r w:rsidRPr="001D765D">
              <w:rPr>
                <w:sz w:val="20"/>
                <w:szCs w:val="20"/>
              </w:rPr>
              <w:t xml:space="preserve">Supported </w:t>
            </w:r>
            <w:r w:rsidR="00AB33AE" w:rsidRPr="001D765D">
              <w:rPr>
                <w:sz w:val="20"/>
                <w:szCs w:val="20"/>
              </w:rPr>
              <w:t xml:space="preserve">SPC </w:t>
            </w:r>
            <w:r w:rsidRPr="001D765D">
              <w:rPr>
                <w:sz w:val="20"/>
                <w:szCs w:val="20"/>
              </w:rPr>
              <w:t xml:space="preserve">to </w:t>
            </w:r>
            <w:r w:rsidR="00AB33AE" w:rsidRPr="001D765D">
              <w:rPr>
                <w:sz w:val="20"/>
                <w:szCs w:val="20"/>
              </w:rPr>
              <w:t>provide guidance</w:t>
            </w:r>
            <w:r w:rsidR="007370BB" w:rsidRPr="001D765D">
              <w:rPr>
                <w:sz w:val="20"/>
                <w:szCs w:val="20"/>
              </w:rPr>
              <w:t xml:space="preserve"> </w:t>
            </w:r>
            <w:r w:rsidR="00BF6833" w:rsidRPr="001D765D">
              <w:rPr>
                <w:sz w:val="20"/>
                <w:szCs w:val="20"/>
              </w:rPr>
              <w:t xml:space="preserve">and training </w:t>
            </w:r>
            <w:r w:rsidR="007370BB" w:rsidRPr="001D765D">
              <w:rPr>
                <w:sz w:val="20"/>
                <w:szCs w:val="20"/>
              </w:rPr>
              <w:t>within</w:t>
            </w:r>
            <w:r w:rsidR="00BF6833" w:rsidRPr="001D765D">
              <w:rPr>
                <w:sz w:val="20"/>
                <w:szCs w:val="20"/>
              </w:rPr>
              <w:t xml:space="preserve"> the</w:t>
            </w:r>
            <w:r w:rsidR="00E12E34" w:rsidRPr="001D765D">
              <w:rPr>
                <w:sz w:val="20"/>
                <w:szCs w:val="20"/>
              </w:rPr>
              <w:t>ir</w:t>
            </w:r>
            <w:r w:rsidR="00BF6833" w:rsidRPr="001D765D">
              <w:rPr>
                <w:sz w:val="20"/>
                <w:szCs w:val="20"/>
              </w:rPr>
              <w:t xml:space="preserve"> COVID</w:t>
            </w:r>
            <w:r w:rsidR="00424C1C" w:rsidRPr="001D765D">
              <w:rPr>
                <w:sz w:val="20"/>
                <w:szCs w:val="20"/>
              </w:rPr>
              <w:noBreakHyphen/>
            </w:r>
            <w:r w:rsidR="00BF6833" w:rsidRPr="001D765D">
              <w:rPr>
                <w:sz w:val="20"/>
                <w:szCs w:val="20"/>
              </w:rPr>
              <w:t>19 response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BF6833" w:rsidRPr="001D765D">
              <w:rPr>
                <w:sz w:val="20"/>
                <w:szCs w:val="20"/>
              </w:rPr>
              <w:t xml:space="preserve">Over 400 health-care workers, including clinicians, </w:t>
            </w:r>
            <w:proofErr w:type="gramStart"/>
            <w:r w:rsidR="00BF6833" w:rsidRPr="001D765D">
              <w:rPr>
                <w:sz w:val="20"/>
                <w:szCs w:val="20"/>
              </w:rPr>
              <w:t>nurses</w:t>
            </w:r>
            <w:proofErr w:type="gramEnd"/>
            <w:r w:rsidR="00BF6833" w:rsidRPr="001D765D">
              <w:rPr>
                <w:sz w:val="20"/>
                <w:szCs w:val="20"/>
              </w:rPr>
              <w:t xml:space="preserve"> and technical staff, improved their </w:t>
            </w:r>
            <w:r w:rsidR="00AB33AE" w:rsidRPr="001D765D">
              <w:rPr>
                <w:sz w:val="20"/>
                <w:szCs w:val="20"/>
              </w:rPr>
              <w:t xml:space="preserve">COVID-19 </w:t>
            </w:r>
            <w:r w:rsidR="00BF6833" w:rsidRPr="001D765D">
              <w:rPr>
                <w:sz w:val="20"/>
                <w:szCs w:val="20"/>
              </w:rPr>
              <w:t>understanding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AB33AE" w:rsidRPr="001D765D">
              <w:rPr>
                <w:sz w:val="20"/>
                <w:szCs w:val="20"/>
              </w:rPr>
              <w:t xml:space="preserve">An additional </w:t>
            </w:r>
            <w:r w:rsidR="00BF6833" w:rsidRPr="001D765D">
              <w:rPr>
                <w:sz w:val="20"/>
                <w:szCs w:val="20"/>
              </w:rPr>
              <w:t xml:space="preserve">114 Pacific nurses </w:t>
            </w:r>
            <w:r w:rsidR="00AB33AE" w:rsidRPr="001D765D">
              <w:rPr>
                <w:sz w:val="20"/>
                <w:szCs w:val="20"/>
              </w:rPr>
              <w:t xml:space="preserve">were trained </w:t>
            </w:r>
            <w:r w:rsidR="00BF6833" w:rsidRPr="001D765D">
              <w:rPr>
                <w:sz w:val="20"/>
                <w:szCs w:val="20"/>
              </w:rPr>
              <w:t>in surge critical care</w:t>
            </w:r>
            <w:r w:rsidR="007370BB" w:rsidRPr="001D765D">
              <w:rPr>
                <w:sz w:val="20"/>
                <w:szCs w:val="20"/>
              </w:rPr>
              <w:t>,</w:t>
            </w:r>
            <w:r w:rsidR="00BF6833" w:rsidRPr="001D765D">
              <w:rPr>
                <w:sz w:val="20"/>
                <w:szCs w:val="20"/>
              </w:rPr>
              <w:t xml:space="preserve"> </w:t>
            </w:r>
            <w:r w:rsidR="00AB33AE" w:rsidRPr="001D765D">
              <w:rPr>
                <w:sz w:val="20"/>
                <w:szCs w:val="20"/>
              </w:rPr>
              <w:t xml:space="preserve">mentored by </w:t>
            </w:r>
            <w:r w:rsidR="00BF6833" w:rsidRPr="001D765D">
              <w:rPr>
                <w:sz w:val="20"/>
                <w:szCs w:val="20"/>
              </w:rPr>
              <w:t>Pacific Heads of Nursing, midwifery officers and clinical supervisors.</w:t>
            </w:r>
          </w:p>
          <w:p w14:paraId="44F01EB8" w14:textId="0F4678F2" w:rsidR="002123D7" w:rsidRPr="001D765D" w:rsidRDefault="003549B5" w:rsidP="000C1A7A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Supported the </w:t>
            </w:r>
            <w:r w:rsidR="00DB5C84" w:rsidRPr="001D765D">
              <w:rPr>
                <w:sz w:val="20"/>
                <w:szCs w:val="20"/>
              </w:rPr>
              <w:t>strengthen</w:t>
            </w:r>
            <w:r w:rsidRPr="001D765D">
              <w:rPr>
                <w:sz w:val="20"/>
                <w:szCs w:val="20"/>
              </w:rPr>
              <w:t>ing</w:t>
            </w:r>
            <w:r w:rsidR="00DB5C84" w:rsidRPr="001D765D">
              <w:rPr>
                <w:sz w:val="20"/>
                <w:szCs w:val="20"/>
              </w:rPr>
              <w:t xml:space="preserve"> </w:t>
            </w:r>
            <w:r w:rsidRPr="001D765D">
              <w:rPr>
                <w:sz w:val="20"/>
                <w:szCs w:val="20"/>
              </w:rPr>
              <w:t xml:space="preserve">of </w:t>
            </w:r>
            <w:r w:rsidR="00DB5C84" w:rsidRPr="001D765D">
              <w:rPr>
                <w:sz w:val="20"/>
                <w:szCs w:val="20"/>
              </w:rPr>
              <w:t>health policy engagement in seven Pacific island countries (Tonga, Kiribati, Solomon Islands, Vanuatu, Samoa, PNG, Fiji)</w:t>
            </w:r>
            <w:r w:rsidR="00706594" w:rsidRPr="001D765D">
              <w:rPr>
                <w:sz w:val="20"/>
                <w:szCs w:val="20"/>
              </w:rPr>
              <w:t xml:space="preserve">, </w:t>
            </w:r>
            <w:r w:rsidR="003C50CB" w:rsidRPr="001D765D">
              <w:rPr>
                <w:sz w:val="20"/>
                <w:szCs w:val="20"/>
              </w:rPr>
              <w:t>in partnership with the World Bank</w:t>
            </w:r>
            <w:r w:rsidRPr="001D765D">
              <w:rPr>
                <w:sz w:val="20"/>
                <w:szCs w:val="20"/>
              </w:rPr>
              <w:t>. B</w:t>
            </w:r>
            <w:r w:rsidR="00DB5C84" w:rsidRPr="001D765D">
              <w:rPr>
                <w:sz w:val="20"/>
                <w:szCs w:val="20"/>
              </w:rPr>
              <w:t>order closures and staffing redeployments brought on by the pandemic slowed progress</w:t>
            </w:r>
            <w:bookmarkEnd w:id="18"/>
            <w:r w:rsidR="00414E23" w:rsidRPr="001D765D">
              <w:rPr>
                <w:sz w:val="20"/>
                <w:szCs w:val="20"/>
              </w:rPr>
              <w:t xml:space="preserve">. </w:t>
            </w:r>
          </w:p>
        </w:tc>
      </w:tr>
      <w:tr w:rsidR="0012027C" w14:paraId="561E10FB" w14:textId="77777777" w:rsidTr="00D50336">
        <w:tc>
          <w:tcPr>
            <w:tcW w:w="4390" w:type="dxa"/>
          </w:tcPr>
          <w:p w14:paraId="3FC5A9AE" w14:textId="0658CE32" w:rsidR="0012027C" w:rsidRPr="001D765D" w:rsidRDefault="0012027C" w:rsidP="008C5B3A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Number of new or improved therapeutics, diagnostics, </w:t>
            </w:r>
            <w:proofErr w:type="gramStart"/>
            <w:r w:rsidRPr="001D765D">
              <w:rPr>
                <w:sz w:val="20"/>
                <w:szCs w:val="20"/>
              </w:rPr>
              <w:t>vaccines</w:t>
            </w:r>
            <w:proofErr w:type="gramEnd"/>
            <w:r w:rsidRPr="001D765D">
              <w:rPr>
                <w:sz w:val="20"/>
                <w:szCs w:val="20"/>
              </w:rPr>
              <w:t xml:space="preserve"> and additional equipment to which Australia has contributed that are accessible in partner countries </w:t>
            </w:r>
          </w:p>
        </w:tc>
        <w:tc>
          <w:tcPr>
            <w:tcW w:w="6146" w:type="dxa"/>
          </w:tcPr>
          <w:p w14:paraId="5B3039ED" w14:textId="470FE386" w:rsidR="00D27DF0" w:rsidRPr="001D765D" w:rsidRDefault="00092455" w:rsidP="00AE5BA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D</w:t>
            </w:r>
            <w:r w:rsidR="00D27DF0" w:rsidRPr="001D765D">
              <w:rPr>
                <w:sz w:val="20"/>
                <w:szCs w:val="20"/>
              </w:rPr>
              <w:t>elivered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="00D27DF0" w:rsidRPr="001D765D">
              <w:rPr>
                <w:sz w:val="20"/>
                <w:szCs w:val="20"/>
              </w:rPr>
              <w:t xml:space="preserve">more than 229,540 GeneXpert COVID-19 testing cartridges to support </w:t>
            </w:r>
            <w:r w:rsidR="007370BB" w:rsidRPr="001D765D">
              <w:rPr>
                <w:sz w:val="20"/>
                <w:szCs w:val="20"/>
              </w:rPr>
              <w:t xml:space="preserve">COVID-19 </w:t>
            </w:r>
            <w:r w:rsidR="00D27DF0" w:rsidRPr="001D765D">
              <w:rPr>
                <w:sz w:val="20"/>
                <w:szCs w:val="20"/>
              </w:rPr>
              <w:t>detection</w:t>
            </w:r>
            <w:r w:rsidR="007370BB" w:rsidRPr="001D765D">
              <w:rPr>
                <w:sz w:val="20"/>
                <w:szCs w:val="20"/>
              </w:rPr>
              <w:t xml:space="preserve"> in</w:t>
            </w:r>
            <w:r w:rsidR="00D27DF0" w:rsidRPr="001D765D">
              <w:rPr>
                <w:sz w:val="20"/>
                <w:szCs w:val="20"/>
              </w:rPr>
              <w:t xml:space="preserve"> Pacific nations, as well as over 4.8 tonnes of masks, 6.1 tonnes of gowns and 6.6 tonnes of gloves to support Fiji’s response to the COVID-19 outbreak</w:t>
            </w:r>
            <w:r w:rsidRPr="001D765D">
              <w:rPr>
                <w:sz w:val="20"/>
                <w:szCs w:val="20"/>
              </w:rPr>
              <w:t>.</w:t>
            </w:r>
          </w:p>
          <w:p w14:paraId="1D0B508E" w14:textId="720192D0" w:rsidR="0012027C" w:rsidRPr="001D765D" w:rsidRDefault="00092455" w:rsidP="000C1A7A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Supplied </w:t>
            </w:r>
            <w:r w:rsidR="00D27DF0" w:rsidRPr="001D765D">
              <w:rPr>
                <w:sz w:val="20"/>
                <w:szCs w:val="20"/>
              </w:rPr>
              <w:t>36</w:t>
            </w:r>
            <w:r w:rsidR="004D423B" w:rsidRPr="001D765D">
              <w:rPr>
                <w:sz w:val="20"/>
                <w:szCs w:val="20"/>
              </w:rPr>
              <w:t>0</w:t>
            </w:r>
            <w:r w:rsidR="00D27DF0" w:rsidRPr="001D765D">
              <w:rPr>
                <w:sz w:val="20"/>
                <w:szCs w:val="20"/>
              </w:rPr>
              <w:t>,480 doses of AstraZeneca COVID-19 vaccine with Fiji, PNG, Solomon Islands and Tuvalu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Pr="001D765D">
              <w:rPr>
                <w:sz w:val="20"/>
                <w:szCs w:val="20"/>
              </w:rPr>
              <w:t>In addition,</w:t>
            </w:r>
            <w:r w:rsidR="00070316" w:rsidRPr="001D765D">
              <w:rPr>
                <w:sz w:val="20"/>
                <w:szCs w:val="20"/>
              </w:rPr>
              <w:t xml:space="preserve"> the</w:t>
            </w:r>
            <w:r w:rsidRPr="001D765D">
              <w:rPr>
                <w:sz w:val="20"/>
                <w:szCs w:val="20"/>
              </w:rPr>
              <w:t xml:space="preserve"> </w:t>
            </w:r>
            <w:r w:rsidR="00070316" w:rsidRPr="001D765D">
              <w:rPr>
                <w:sz w:val="20"/>
                <w:szCs w:val="20"/>
              </w:rPr>
              <w:t>COVID-19 Vaccines Global Access (CAVAX),</w:t>
            </w:r>
            <w:r w:rsidR="00070316" w:rsidRPr="001D765D" w:rsidDel="00070316">
              <w:rPr>
                <w:sz w:val="20"/>
                <w:szCs w:val="20"/>
              </w:rPr>
              <w:t xml:space="preserve"> </w:t>
            </w:r>
            <w:r w:rsidR="00A601BA" w:rsidRPr="001D765D">
              <w:rPr>
                <w:sz w:val="20"/>
                <w:szCs w:val="20"/>
              </w:rPr>
              <w:t>Advance Market Commitment</w:t>
            </w:r>
            <w:r w:rsidR="00A601BA" w:rsidRPr="001D765D" w:rsidDel="00A601BA">
              <w:rPr>
                <w:sz w:val="20"/>
                <w:szCs w:val="20"/>
              </w:rPr>
              <w:t xml:space="preserve"> </w:t>
            </w:r>
            <w:r w:rsidR="00A601BA" w:rsidRPr="001D765D">
              <w:rPr>
                <w:sz w:val="20"/>
                <w:szCs w:val="20"/>
              </w:rPr>
              <w:t>(</w:t>
            </w:r>
            <w:r w:rsidR="00C23D6F" w:rsidRPr="001D765D">
              <w:rPr>
                <w:sz w:val="20"/>
                <w:szCs w:val="20"/>
              </w:rPr>
              <w:t>COVAX AMC</w:t>
            </w:r>
            <w:r w:rsidR="00A601BA" w:rsidRPr="001D765D">
              <w:rPr>
                <w:sz w:val="20"/>
                <w:szCs w:val="20"/>
              </w:rPr>
              <w:t>)</w:t>
            </w:r>
            <w:r w:rsidR="00C23D6F" w:rsidRPr="001D765D">
              <w:rPr>
                <w:sz w:val="20"/>
                <w:szCs w:val="20"/>
              </w:rPr>
              <w:t xml:space="preserve"> </w:t>
            </w:r>
            <w:r w:rsidR="00D27DF0" w:rsidRPr="001D765D">
              <w:rPr>
                <w:sz w:val="20"/>
                <w:szCs w:val="20"/>
              </w:rPr>
              <w:t xml:space="preserve">delivered </w:t>
            </w:r>
            <w:r w:rsidR="003E134D" w:rsidRPr="001D765D">
              <w:rPr>
                <w:sz w:val="20"/>
                <w:szCs w:val="20"/>
              </w:rPr>
              <w:t>556,400</w:t>
            </w:r>
            <w:r w:rsidR="00424C1C" w:rsidRPr="001D765D">
              <w:rPr>
                <w:sz w:val="20"/>
                <w:szCs w:val="20"/>
              </w:rPr>
              <w:t> </w:t>
            </w:r>
            <w:r w:rsidR="00D27DF0" w:rsidRPr="001D765D">
              <w:rPr>
                <w:sz w:val="20"/>
                <w:szCs w:val="20"/>
              </w:rPr>
              <w:t xml:space="preserve">COVID-19 vaccine doses to </w:t>
            </w:r>
            <w:r w:rsidR="003E134D" w:rsidRPr="001D765D">
              <w:rPr>
                <w:sz w:val="20"/>
                <w:szCs w:val="20"/>
              </w:rPr>
              <w:t xml:space="preserve">nine </w:t>
            </w:r>
            <w:r w:rsidR="00BC7BC1" w:rsidRPr="001D765D">
              <w:rPr>
                <w:sz w:val="20"/>
                <w:szCs w:val="20"/>
              </w:rPr>
              <w:t xml:space="preserve">Pacific </w:t>
            </w:r>
            <w:r w:rsidR="00D50336" w:rsidRPr="001D765D">
              <w:rPr>
                <w:sz w:val="20"/>
                <w:szCs w:val="20"/>
              </w:rPr>
              <w:t>countries</w:t>
            </w:r>
            <w:r w:rsidR="00D27DF0" w:rsidRPr="001D765D">
              <w:rPr>
                <w:sz w:val="20"/>
                <w:szCs w:val="20"/>
              </w:rPr>
              <w:t>.</w:t>
            </w:r>
          </w:p>
        </w:tc>
      </w:tr>
      <w:tr w:rsidR="0012027C" w14:paraId="6024B2EE" w14:textId="77777777" w:rsidTr="00D50336">
        <w:tc>
          <w:tcPr>
            <w:tcW w:w="4390" w:type="dxa"/>
          </w:tcPr>
          <w:p w14:paraId="5A7E4C44" w14:textId="5AAC177B" w:rsidR="0012027C" w:rsidRPr="001D765D" w:rsidRDefault="0012027C" w:rsidP="008C5B3A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Contraceptive protection from unplanned pregnancies made available through Australian support</w:t>
            </w:r>
          </w:p>
        </w:tc>
        <w:tc>
          <w:tcPr>
            <w:tcW w:w="6146" w:type="dxa"/>
          </w:tcPr>
          <w:p w14:paraId="3A40B9CD" w14:textId="74824675" w:rsidR="0012027C" w:rsidRPr="001D765D" w:rsidRDefault="00C61E08" w:rsidP="00AE5BA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Supplied</w:t>
            </w:r>
            <w:r w:rsidR="00D27DF0" w:rsidRPr="001D765D">
              <w:rPr>
                <w:sz w:val="20"/>
                <w:szCs w:val="20"/>
              </w:rPr>
              <w:t xml:space="preserve"> 350,609 contraceptives</w:t>
            </w:r>
            <w:r w:rsidR="00092455" w:rsidRPr="001D765D">
              <w:rPr>
                <w:sz w:val="20"/>
                <w:szCs w:val="20"/>
              </w:rPr>
              <w:t xml:space="preserve"> to </w:t>
            </w:r>
            <w:r w:rsidRPr="001D765D">
              <w:rPr>
                <w:sz w:val="20"/>
                <w:szCs w:val="20"/>
              </w:rPr>
              <w:t xml:space="preserve">users across </w:t>
            </w:r>
            <w:r w:rsidR="00092455" w:rsidRPr="001D765D">
              <w:rPr>
                <w:sz w:val="20"/>
                <w:szCs w:val="20"/>
              </w:rPr>
              <w:t>eight Pacific nations</w:t>
            </w:r>
            <w:r w:rsidR="00C83415" w:rsidRPr="001D765D">
              <w:rPr>
                <w:sz w:val="20"/>
                <w:szCs w:val="20"/>
              </w:rPr>
              <w:t xml:space="preserve"> as part of support for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="00D27DF0" w:rsidRPr="001D765D">
              <w:rPr>
                <w:sz w:val="20"/>
                <w:szCs w:val="20"/>
              </w:rPr>
              <w:t>integrated sexual and reproductive rights services</w:t>
            </w:r>
            <w:r w:rsidR="00706594" w:rsidRPr="001D765D">
              <w:rPr>
                <w:sz w:val="20"/>
                <w:szCs w:val="20"/>
              </w:rPr>
              <w:t>,</w:t>
            </w:r>
            <w:r w:rsidR="00C83415" w:rsidRPr="001D765D">
              <w:rPr>
                <w:sz w:val="20"/>
                <w:szCs w:val="20"/>
              </w:rPr>
              <w:t xml:space="preserve"> in partnership with the International Planned Parenthood Federation. </w:t>
            </w:r>
            <w:r w:rsidR="00092455" w:rsidRPr="001D765D">
              <w:rPr>
                <w:sz w:val="20"/>
                <w:szCs w:val="20"/>
              </w:rPr>
              <w:t xml:space="preserve">This is </w:t>
            </w:r>
            <w:r w:rsidR="00D27DF0" w:rsidRPr="001D765D">
              <w:rPr>
                <w:sz w:val="20"/>
                <w:szCs w:val="20"/>
              </w:rPr>
              <w:t xml:space="preserve">a </w:t>
            </w:r>
            <w:r w:rsidR="0092370F" w:rsidRPr="001D765D">
              <w:rPr>
                <w:sz w:val="20"/>
                <w:szCs w:val="20"/>
              </w:rPr>
              <w:t xml:space="preserve">slight </w:t>
            </w:r>
            <w:r w:rsidR="00D27DF0" w:rsidRPr="001D765D">
              <w:rPr>
                <w:sz w:val="20"/>
                <w:szCs w:val="20"/>
              </w:rPr>
              <w:t xml:space="preserve">drop from 2019 but </w:t>
            </w:r>
            <w:r w:rsidR="007370BB" w:rsidRPr="001D765D">
              <w:rPr>
                <w:sz w:val="20"/>
                <w:szCs w:val="20"/>
              </w:rPr>
              <w:t xml:space="preserve">included </w:t>
            </w:r>
            <w:r w:rsidR="00D27DF0" w:rsidRPr="001D765D">
              <w:rPr>
                <w:sz w:val="20"/>
                <w:szCs w:val="20"/>
              </w:rPr>
              <w:t>more first-time users</w:t>
            </w:r>
            <w:r w:rsidR="007370BB" w:rsidRPr="001D765D">
              <w:rPr>
                <w:sz w:val="20"/>
                <w:szCs w:val="20"/>
              </w:rPr>
              <w:t>,</w:t>
            </w:r>
            <w:r w:rsidR="00D27DF0" w:rsidRPr="001D765D">
              <w:rPr>
                <w:sz w:val="20"/>
                <w:szCs w:val="20"/>
              </w:rPr>
              <w:t xml:space="preserve"> </w:t>
            </w:r>
            <w:r w:rsidR="007370BB" w:rsidRPr="001D765D">
              <w:rPr>
                <w:sz w:val="20"/>
                <w:szCs w:val="20"/>
              </w:rPr>
              <w:t xml:space="preserve">with </w:t>
            </w:r>
            <w:r w:rsidR="00D27DF0" w:rsidRPr="001D765D">
              <w:rPr>
                <w:sz w:val="20"/>
                <w:szCs w:val="20"/>
              </w:rPr>
              <w:t xml:space="preserve">services delivered </w:t>
            </w:r>
            <w:r w:rsidR="007370BB" w:rsidRPr="001D765D">
              <w:rPr>
                <w:sz w:val="20"/>
                <w:szCs w:val="20"/>
              </w:rPr>
              <w:t xml:space="preserve">to </w:t>
            </w:r>
            <w:r w:rsidR="00D27DF0" w:rsidRPr="001D765D">
              <w:rPr>
                <w:sz w:val="20"/>
                <w:szCs w:val="20"/>
              </w:rPr>
              <w:t>remote or hard-to-reach communities.</w:t>
            </w:r>
          </w:p>
        </w:tc>
      </w:tr>
    </w:tbl>
    <w:p w14:paraId="08BBE344" w14:textId="6BCC6A36" w:rsidR="00AE2B7B" w:rsidRPr="00AE2B7B" w:rsidRDefault="00AE2B7B" w:rsidP="00353628">
      <w:pPr>
        <w:pStyle w:val="Heading3"/>
      </w:pPr>
      <w:r w:rsidRPr="00AE2B7B">
        <w:lastRenderedPageBreak/>
        <w:t>Stability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Stability "/>
      </w:tblPr>
      <w:tblGrid>
        <w:gridCol w:w="4390"/>
        <w:gridCol w:w="6146"/>
      </w:tblGrid>
      <w:tr w:rsidR="00CA5021" w14:paraId="14EF210E" w14:textId="77777777" w:rsidTr="00D50336">
        <w:trPr>
          <w:tblHeader/>
        </w:trPr>
        <w:tc>
          <w:tcPr>
            <w:tcW w:w="4390" w:type="dxa"/>
            <w:shd w:val="clear" w:color="auto" w:fill="A2DCD1" w:themeFill="accent1" w:themeFillTint="99"/>
            <w:vAlign w:val="center"/>
          </w:tcPr>
          <w:p w14:paraId="47014330" w14:textId="7A7E2C4C" w:rsidR="00CA5021" w:rsidRPr="005736BB" w:rsidRDefault="00A96364" w:rsidP="00D50336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Key Results</w:t>
            </w:r>
            <w:r w:rsidR="00CA5021" w:rsidRPr="005736BB">
              <w:rPr>
                <w:b/>
                <w:sz w:val="20"/>
                <w:szCs w:val="20"/>
              </w:rPr>
              <w:t xml:space="preserve"> Indicator</w:t>
            </w:r>
            <w:r w:rsidRPr="005736B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146" w:type="dxa"/>
            <w:shd w:val="clear" w:color="auto" w:fill="A2DCD1" w:themeFill="accent1" w:themeFillTint="99"/>
            <w:vAlign w:val="center"/>
          </w:tcPr>
          <w:p w14:paraId="167B5817" w14:textId="6DB7E03D" w:rsidR="00CA5021" w:rsidRPr="005736BB" w:rsidRDefault="00AD19F7" w:rsidP="00AE5BA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12027C" w14:paraId="593A8551" w14:textId="77777777" w:rsidTr="00D50336">
        <w:tc>
          <w:tcPr>
            <w:tcW w:w="4390" w:type="dxa"/>
          </w:tcPr>
          <w:p w14:paraId="2AA59D1C" w14:textId="6CDAECBD" w:rsidR="00292B63" w:rsidRPr="001D765D" w:rsidRDefault="0012027C" w:rsidP="00292B63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Examples of partnering with regional organisations to support regional COVID-19 measures</w:t>
            </w:r>
          </w:p>
        </w:tc>
        <w:tc>
          <w:tcPr>
            <w:tcW w:w="6146" w:type="dxa"/>
          </w:tcPr>
          <w:p w14:paraId="0C355B39" w14:textId="34CB06A5" w:rsidR="00284B35" w:rsidRPr="001D765D" w:rsidRDefault="00092455" w:rsidP="00AE5BA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Australia closely with Pacific nations on the health and economic responses to COVID-19. This included dialogue with </w:t>
            </w:r>
            <w:r w:rsidR="002123D7" w:rsidRPr="001D765D">
              <w:rPr>
                <w:sz w:val="20"/>
                <w:szCs w:val="20"/>
              </w:rPr>
              <w:t xml:space="preserve">Pacific Islands Forum Leaders and Ministers </w:t>
            </w:r>
            <w:r w:rsidR="00C83415" w:rsidRPr="001D765D">
              <w:rPr>
                <w:sz w:val="20"/>
                <w:szCs w:val="20"/>
              </w:rPr>
              <w:t>agreeing to</w:t>
            </w:r>
            <w:r w:rsidR="002123D7" w:rsidRPr="001D765D">
              <w:rPr>
                <w:sz w:val="20"/>
                <w:szCs w:val="20"/>
              </w:rPr>
              <w:t xml:space="preserve"> critical COVID</w:t>
            </w:r>
            <w:r w:rsidRPr="001D765D">
              <w:rPr>
                <w:sz w:val="20"/>
                <w:szCs w:val="20"/>
              </w:rPr>
              <w:t>-19</w:t>
            </w:r>
            <w:r w:rsidR="002123D7" w:rsidRPr="001D765D">
              <w:rPr>
                <w:sz w:val="20"/>
                <w:szCs w:val="20"/>
              </w:rPr>
              <w:t xml:space="preserve"> response priorities for the region, including vaccine availability, </w:t>
            </w:r>
            <w:r w:rsidR="00284B35" w:rsidRPr="001D765D">
              <w:rPr>
                <w:sz w:val="20"/>
                <w:szCs w:val="20"/>
              </w:rPr>
              <w:t xml:space="preserve">travel, </w:t>
            </w:r>
            <w:r w:rsidR="002123D7" w:rsidRPr="001D765D">
              <w:rPr>
                <w:sz w:val="20"/>
                <w:szCs w:val="20"/>
              </w:rPr>
              <w:t>essential humanitarian assistance and economic recovery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  <w:p w14:paraId="090E0F31" w14:textId="2D8945AA" w:rsidR="00AB50BE" w:rsidRPr="001D765D" w:rsidRDefault="00F20D09" w:rsidP="000C1A7A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Australia’s Foreign Minister and Minister for Women </w:t>
            </w:r>
            <w:r w:rsidR="00AB50BE" w:rsidRPr="001D765D">
              <w:rPr>
                <w:sz w:val="20"/>
                <w:szCs w:val="20"/>
              </w:rPr>
              <w:t xml:space="preserve">co-hosted </w:t>
            </w:r>
            <w:r w:rsidR="00790303" w:rsidRPr="001D765D">
              <w:rPr>
                <w:sz w:val="20"/>
                <w:szCs w:val="20"/>
              </w:rPr>
              <w:t xml:space="preserve">two </w:t>
            </w:r>
            <w:r w:rsidR="00AB50BE" w:rsidRPr="001D765D">
              <w:rPr>
                <w:sz w:val="20"/>
                <w:szCs w:val="20"/>
              </w:rPr>
              <w:t xml:space="preserve">Pacific Women Leader’s meetings </w:t>
            </w:r>
            <w:r w:rsidR="00790303" w:rsidRPr="001D765D">
              <w:rPr>
                <w:sz w:val="20"/>
                <w:szCs w:val="20"/>
              </w:rPr>
              <w:t xml:space="preserve">in 2020-21 </w:t>
            </w:r>
            <w:r w:rsidR="00AB50BE" w:rsidRPr="001D765D">
              <w:rPr>
                <w:sz w:val="20"/>
                <w:szCs w:val="20"/>
              </w:rPr>
              <w:t>focused on the COVID-19 impacts on women and girls in our region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6556B2" w:rsidRPr="001D765D">
              <w:rPr>
                <w:sz w:val="20"/>
                <w:szCs w:val="20"/>
              </w:rPr>
              <w:t>D</w:t>
            </w:r>
            <w:r w:rsidRPr="001D765D">
              <w:rPr>
                <w:sz w:val="20"/>
                <w:szCs w:val="20"/>
              </w:rPr>
              <w:t xml:space="preserve">iscussions </w:t>
            </w:r>
            <w:r w:rsidR="006556B2" w:rsidRPr="001D765D">
              <w:rPr>
                <w:sz w:val="20"/>
                <w:szCs w:val="20"/>
              </w:rPr>
              <w:t xml:space="preserve">included </w:t>
            </w:r>
            <w:r w:rsidRPr="001D765D">
              <w:rPr>
                <w:sz w:val="20"/>
                <w:szCs w:val="20"/>
              </w:rPr>
              <w:t>how Pacific women leaders can work together to advance their commitment to gender equality by prioritising health, safety and economic outcomes for women and girls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  <w:p w14:paraId="2E8902BB" w14:textId="38CD73C7" w:rsidR="00AB50BE" w:rsidRPr="001D765D" w:rsidRDefault="00092455" w:rsidP="000C1A7A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Supported</w:t>
            </w:r>
            <w:r w:rsidR="0010280F" w:rsidRPr="001D765D">
              <w:rPr>
                <w:sz w:val="20"/>
                <w:szCs w:val="20"/>
              </w:rPr>
              <w:t xml:space="preserve"> the </w:t>
            </w:r>
            <w:r w:rsidR="00A11635" w:rsidRPr="001D765D">
              <w:rPr>
                <w:sz w:val="20"/>
                <w:szCs w:val="20"/>
              </w:rPr>
              <w:t xml:space="preserve">Pacific Islands Forum Fisheries Agency </w:t>
            </w:r>
            <w:r w:rsidR="0010280F" w:rsidRPr="001D765D">
              <w:rPr>
                <w:sz w:val="20"/>
                <w:szCs w:val="20"/>
              </w:rPr>
              <w:t xml:space="preserve">and the Office of the Parties to the Nauru Agreement, </w:t>
            </w:r>
            <w:r w:rsidRPr="001D765D">
              <w:rPr>
                <w:sz w:val="20"/>
                <w:szCs w:val="20"/>
              </w:rPr>
              <w:t>to</w:t>
            </w:r>
            <w:r w:rsidR="0010280F" w:rsidRPr="001D765D">
              <w:rPr>
                <w:sz w:val="20"/>
                <w:szCs w:val="20"/>
              </w:rPr>
              <w:t xml:space="preserve"> develop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Pr="001D765D">
              <w:rPr>
                <w:sz w:val="20"/>
                <w:szCs w:val="20"/>
              </w:rPr>
              <w:t xml:space="preserve">the </w:t>
            </w:r>
            <w:r w:rsidR="0010280F" w:rsidRPr="001D765D">
              <w:rPr>
                <w:sz w:val="20"/>
                <w:szCs w:val="20"/>
              </w:rPr>
              <w:t>COVID</w:t>
            </w:r>
            <w:r w:rsidR="00A11635" w:rsidRPr="001D765D">
              <w:rPr>
                <w:sz w:val="20"/>
                <w:szCs w:val="20"/>
              </w:rPr>
              <w:noBreakHyphen/>
            </w:r>
            <w:r w:rsidR="0010280F" w:rsidRPr="001D765D">
              <w:rPr>
                <w:sz w:val="20"/>
                <w:szCs w:val="20"/>
              </w:rPr>
              <w:t>19 Operating Protocols for the Fisheries Sector in the Pacific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10280F" w:rsidRPr="001D765D">
              <w:rPr>
                <w:sz w:val="20"/>
                <w:szCs w:val="20"/>
              </w:rPr>
              <w:t xml:space="preserve">The protocols </w:t>
            </w:r>
            <w:r w:rsidR="001F549E" w:rsidRPr="001D765D">
              <w:rPr>
                <w:sz w:val="20"/>
                <w:szCs w:val="20"/>
              </w:rPr>
              <w:t xml:space="preserve">work </w:t>
            </w:r>
            <w:r w:rsidR="005220CC" w:rsidRPr="001D765D">
              <w:rPr>
                <w:sz w:val="20"/>
                <w:szCs w:val="20"/>
              </w:rPr>
              <w:t xml:space="preserve">to </w:t>
            </w:r>
            <w:r w:rsidR="0010280F" w:rsidRPr="001D765D">
              <w:rPr>
                <w:sz w:val="20"/>
                <w:szCs w:val="20"/>
              </w:rPr>
              <w:t>protect seafarers and prevent transmission into Pacific communities</w:t>
            </w:r>
            <w:r w:rsidR="0079188B" w:rsidRPr="001D765D">
              <w:rPr>
                <w:sz w:val="20"/>
                <w:szCs w:val="20"/>
              </w:rPr>
              <w:t xml:space="preserve"> by mitigating the spread of COVID-19</w:t>
            </w:r>
            <w:r w:rsidR="0010280F" w:rsidRPr="001D765D">
              <w:rPr>
                <w:sz w:val="20"/>
                <w:szCs w:val="20"/>
              </w:rPr>
              <w:t>.</w:t>
            </w:r>
          </w:p>
        </w:tc>
      </w:tr>
      <w:tr w:rsidR="005D5194" w14:paraId="0556A95D" w14:textId="77777777" w:rsidTr="00D50336">
        <w:tc>
          <w:tcPr>
            <w:tcW w:w="4390" w:type="dxa"/>
          </w:tcPr>
          <w:p w14:paraId="62F5276A" w14:textId="03DD0B05" w:rsidR="005D5194" w:rsidRPr="001D765D" w:rsidRDefault="005D5194" w:rsidP="005D5194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Number of people reached with new or improved social protection programs [target: 150,000]</w:t>
            </w:r>
          </w:p>
        </w:tc>
        <w:tc>
          <w:tcPr>
            <w:tcW w:w="6146" w:type="dxa"/>
          </w:tcPr>
          <w:p w14:paraId="23D604FC" w14:textId="4D8C3D14" w:rsidR="00092455" w:rsidRPr="001D765D" w:rsidRDefault="00092455" w:rsidP="00AE5BA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Supported almost </w:t>
            </w:r>
            <w:r w:rsidR="005D5194" w:rsidRPr="001D765D">
              <w:rPr>
                <w:sz w:val="20"/>
                <w:szCs w:val="20"/>
              </w:rPr>
              <w:t xml:space="preserve">185,000 Pacific islanders </w:t>
            </w:r>
            <w:r w:rsidRPr="001D765D">
              <w:rPr>
                <w:sz w:val="20"/>
                <w:szCs w:val="20"/>
              </w:rPr>
              <w:t>to access new</w:t>
            </w:r>
            <w:r w:rsidR="005D5194" w:rsidRPr="001D765D">
              <w:rPr>
                <w:sz w:val="20"/>
                <w:szCs w:val="20"/>
              </w:rPr>
              <w:t xml:space="preserve"> or improved social protection programs</w:t>
            </w:r>
            <w:r w:rsidR="00C91702" w:rsidRPr="001D765D">
              <w:rPr>
                <w:sz w:val="20"/>
                <w:szCs w:val="20"/>
              </w:rPr>
              <w:t>, mostly</w:t>
            </w:r>
            <w:r w:rsidR="00A01739" w:rsidRPr="001D765D">
              <w:rPr>
                <w:sz w:val="20"/>
                <w:szCs w:val="20"/>
              </w:rPr>
              <w:t xml:space="preserve"> through the </w:t>
            </w:r>
            <w:r w:rsidR="00BD6524" w:rsidRPr="001D765D">
              <w:rPr>
                <w:sz w:val="20"/>
                <w:szCs w:val="20"/>
              </w:rPr>
              <w:t>COVID-19 Response Package for the Pacific and Timor-Leste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  <w:p w14:paraId="0E1C723A" w14:textId="1B1F88F6" w:rsidR="00092455" w:rsidRPr="001D765D" w:rsidRDefault="00092455" w:rsidP="00FB4EC9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Supported improvements to national social protection policies and longer-term programs in Fiji and Kiribati.</w:t>
            </w:r>
          </w:p>
          <w:p w14:paraId="3E4223FC" w14:textId="7DDB0E34" w:rsidR="00092455" w:rsidRPr="001D765D" w:rsidRDefault="005D5194" w:rsidP="00FB4EC9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In Fiji and Tonga, </w:t>
            </w:r>
            <w:r w:rsidR="00C9565F" w:rsidRPr="001D765D">
              <w:rPr>
                <w:sz w:val="20"/>
                <w:szCs w:val="20"/>
              </w:rPr>
              <w:t>directly supported</w:t>
            </w:r>
            <w:r w:rsidRPr="001D765D">
              <w:rPr>
                <w:sz w:val="20"/>
                <w:szCs w:val="20"/>
              </w:rPr>
              <w:t xml:space="preserve"> welfare payments to vulnerable households to meet basic needs and stimulate local economies</w:t>
            </w:r>
            <w:r w:rsidR="00414E23" w:rsidRPr="001D765D">
              <w:rPr>
                <w:sz w:val="20"/>
                <w:szCs w:val="20"/>
              </w:rPr>
              <w:t>.</w:t>
            </w:r>
          </w:p>
          <w:p w14:paraId="683A7EC1" w14:textId="66980BD7" w:rsidR="00770929" w:rsidRPr="001D765D" w:rsidRDefault="005D5194" w:rsidP="00FB4EC9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In Vanuatu, supported more than 20,000 people through Oxfam’s Unblocked Cash pilot, assist</w:t>
            </w:r>
            <w:r w:rsidR="00092455" w:rsidRPr="001D765D">
              <w:rPr>
                <w:sz w:val="20"/>
                <w:szCs w:val="20"/>
              </w:rPr>
              <w:t>ing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Pr="001D765D">
              <w:rPr>
                <w:sz w:val="20"/>
                <w:szCs w:val="20"/>
              </w:rPr>
              <w:t xml:space="preserve">families </w:t>
            </w:r>
            <w:r w:rsidR="00092455" w:rsidRPr="001D765D">
              <w:rPr>
                <w:sz w:val="20"/>
                <w:szCs w:val="20"/>
              </w:rPr>
              <w:t xml:space="preserve">by </w:t>
            </w:r>
            <w:r w:rsidRPr="001D765D">
              <w:rPr>
                <w:sz w:val="20"/>
                <w:szCs w:val="20"/>
              </w:rPr>
              <w:t>trialling new mobile-based technology solutions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  <w:p w14:paraId="71F5FF79" w14:textId="4777072E" w:rsidR="005D5194" w:rsidRPr="001D765D" w:rsidRDefault="00BB32C1" w:rsidP="00770929">
            <w:pPr>
              <w:widowControl w:val="0"/>
              <w:spacing w:before="0" w:after="0"/>
              <w:rPr>
                <w:i/>
                <w:iCs/>
                <w:color w:val="auto"/>
                <w:sz w:val="20"/>
                <w:szCs w:val="20"/>
                <w:lang w:val="en-AU"/>
              </w:rPr>
            </w:pPr>
            <w:bookmarkStart w:id="19" w:name="_Hlk82794648"/>
            <w:r w:rsidRPr="001D765D">
              <w:rPr>
                <w:sz w:val="20"/>
                <w:szCs w:val="20"/>
              </w:rPr>
              <w:t>In PNG</w:t>
            </w:r>
            <w:r w:rsidR="00C414A1" w:rsidRPr="001D765D">
              <w:rPr>
                <w:sz w:val="20"/>
                <w:szCs w:val="20"/>
              </w:rPr>
              <w:t>,</w:t>
            </w:r>
            <w:r w:rsidR="00672D52" w:rsidRPr="001D765D">
              <w:rPr>
                <w:sz w:val="20"/>
                <w:szCs w:val="20"/>
              </w:rPr>
              <w:t xml:space="preserve"> </w:t>
            </w:r>
            <w:r w:rsidRPr="001D765D">
              <w:rPr>
                <w:sz w:val="20"/>
                <w:szCs w:val="20"/>
              </w:rPr>
              <w:t xml:space="preserve">work </w:t>
            </w:r>
            <w:r w:rsidR="00C414A1" w:rsidRPr="001D765D">
              <w:rPr>
                <w:sz w:val="20"/>
                <w:szCs w:val="20"/>
              </w:rPr>
              <w:t xml:space="preserve">commenced </w:t>
            </w:r>
            <w:r w:rsidRPr="001D765D">
              <w:rPr>
                <w:sz w:val="20"/>
                <w:szCs w:val="20"/>
              </w:rPr>
              <w:t>on the first national social protection program</w:t>
            </w:r>
            <w:r w:rsidR="00770929" w:rsidRPr="001D765D">
              <w:rPr>
                <w:sz w:val="20"/>
                <w:szCs w:val="20"/>
              </w:rPr>
              <w:t>, in partnership with the World Bank.</w:t>
            </w:r>
            <w:bookmarkEnd w:id="19"/>
          </w:p>
        </w:tc>
      </w:tr>
      <w:tr w:rsidR="0012027C" w14:paraId="5DF0BAD4" w14:textId="77777777" w:rsidTr="00D50336">
        <w:tc>
          <w:tcPr>
            <w:tcW w:w="4390" w:type="dxa"/>
          </w:tcPr>
          <w:p w14:paraId="476782F7" w14:textId="43DDD4E4" w:rsidR="0012027C" w:rsidRPr="001D765D" w:rsidRDefault="0012027C" w:rsidP="00D50336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Number of women and girl survivors of violence receiving services such as counselling [target: 40,000]</w:t>
            </w:r>
          </w:p>
        </w:tc>
        <w:tc>
          <w:tcPr>
            <w:tcW w:w="6146" w:type="dxa"/>
          </w:tcPr>
          <w:p w14:paraId="69182282" w14:textId="011C0950" w:rsidR="0012027C" w:rsidRPr="001D765D" w:rsidRDefault="00706594" w:rsidP="00AE5BA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</w:t>
            </w:r>
            <w:r w:rsidR="00483FE2" w:rsidRPr="001D765D">
              <w:rPr>
                <w:sz w:val="20"/>
                <w:szCs w:val="20"/>
              </w:rPr>
              <w:t xml:space="preserve">upported </w:t>
            </w:r>
            <w:r w:rsidR="00B07EA2" w:rsidRPr="001D765D">
              <w:rPr>
                <w:sz w:val="20"/>
                <w:szCs w:val="20"/>
              </w:rPr>
              <w:t>an estimated 244,600 women and children</w:t>
            </w:r>
            <w:r w:rsidR="002D67F7" w:rsidRPr="001D765D">
              <w:rPr>
                <w:sz w:val="20"/>
                <w:szCs w:val="20"/>
              </w:rPr>
              <w:t xml:space="preserve"> through 78 projects</w:t>
            </w:r>
            <w:r w:rsidRPr="001D765D">
              <w:rPr>
                <w:sz w:val="20"/>
                <w:szCs w:val="20"/>
              </w:rPr>
              <w:t xml:space="preserve"> </w:t>
            </w:r>
            <w:r w:rsidR="002D67F7" w:rsidRPr="001D765D">
              <w:rPr>
                <w:sz w:val="20"/>
                <w:szCs w:val="20"/>
              </w:rPr>
              <w:t>with a primary focus on Ending Violence Against Women and Girls</w:t>
            </w:r>
            <w:r w:rsidRPr="001D765D">
              <w:rPr>
                <w:sz w:val="20"/>
                <w:szCs w:val="20"/>
              </w:rPr>
              <w:t>, under the Pacific Women program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Pr="001D765D">
              <w:rPr>
                <w:sz w:val="20"/>
                <w:szCs w:val="20"/>
              </w:rPr>
              <w:t xml:space="preserve">This included </w:t>
            </w:r>
            <w:r w:rsidR="0079188B" w:rsidRPr="001D765D">
              <w:rPr>
                <w:sz w:val="20"/>
                <w:szCs w:val="20"/>
              </w:rPr>
              <w:t xml:space="preserve">crisis </w:t>
            </w:r>
            <w:r w:rsidR="002D67F7" w:rsidRPr="001D765D">
              <w:rPr>
                <w:sz w:val="20"/>
                <w:szCs w:val="20"/>
              </w:rPr>
              <w:t xml:space="preserve">support </w:t>
            </w:r>
            <w:r w:rsidR="00B07EA2" w:rsidRPr="001D765D">
              <w:rPr>
                <w:sz w:val="20"/>
                <w:szCs w:val="20"/>
              </w:rPr>
              <w:t xml:space="preserve">services </w:t>
            </w:r>
            <w:r w:rsidR="002D67F7" w:rsidRPr="001D765D">
              <w:rPr>
                <w:sz w:val="20"/>
                <w:szCs w:val="20"/>
              </w:rPr>
              <w:t xml:space="preserve">for </w:t>
            </w:r>
            <w:r w:rsidR="00B07EA2" w:rsidRPr="001D765D">
              <w:rPr>
                <w:sz w:val="20"/>
                <w:szCs w:val="20"/>
              </w:rPr>
              <w:t>29,402 women and children</w:t>
            </w:r>
            <w:r w:rsidR="002D67F7" w:rsidRPr="001D765D">
              <w:rPr>
                <w:sz w:val="20"/>
                <w:szCs w:val="20"/>
              </w:rPr>
              <w:t xml:space="preserve"> through centres in Fiji, Federated States of Micronesia, Kiribati, PNG, Tonga, </w:t>
            </w:r>
            <w:r w:rsidR="0079188B" w:rsidRPr="001D765D">
              <w:rPr>
                <w:sz w:val="20"/>
                <w:szCs w:val="20"/>
              </w:rPr>
              <w:t xml:space="preserve">Republic of </w:t>
            </w:r>
            <w:r w:rsidR="002D67F7" w:rsidRPr="001D765D">
              <w:rPr>
                <w:sz w:val="20"/>
                <w:szCs w:val="20"/>
              </w:rPr>
              <w:t>Marshall Islands and Vanuatu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</w:tc>
      </w:tr>
      <w:tr w:rsidR="0012027C" w14:paraId="7E704FEB" w14:textId="77777777" w:rsidTr="00D50336">
        <w:tc>
          <w:tcPr>
            <w:tcW w:w="4390" w:type="dxa"/>
          </w:tcPr>
          <w:p w14:paraId="1CC2F0CD" w14:textId="1C051124" w:rsidR="0012027C" w:rsidRPr="001D765D" w:rsidRDefault="0012027C" w:rsidP="00D50336">
            <w:pPr>
              <w:spacing w:before="0" w:after="0"/>
              <w:rPr>
                <w:sz w:val="20"/>
                <w:szCs w:val="20"/>
              </w:rPr>
            </w:pPr>
            <w:bookmarkStart w:id="20" w:name="_Hlk82453970"/>
            <w:r w:rsidRPr="001D765D">
              <w:rPr>
                <w:sz w:val="20"/>
                <w:szCs w:val="20"/>
              </w:rPr>
              <w:t>Climate change and disaster resilience is integrated into all relevant regional investments</w:t>
            </w:r>
          </w:p>
        </w:tc>
        <w:tc>
          <w:tcPr>
            <w:tcW w:w="6146" w:type="dxa"/>
          </w:tcPr>
          <w:p w14:paraId="2E6E28D3" w14:textId="007895AA" w:rsidR="00483FE2" w:rsidRPr="001D765D" w:rsidRDefault="00483FE2" w:rsidP="00FB4EC9">
            <w:pPr>
              <w:widowControl w:val="0"/>
              <w:spacing w:before="0" w:after="0"/>
              <w:rPr>
                <w:color w:val="495965"/>
                <w:sz w:val="20"/>
                <w:szCs w:val="20"/>
              </w:rPr>
            </w:pPr>
            <w:r w:rsidRPr="001D765D">
              <w:rPr>
                <w:color w:val="495965"/>
                <w:sz w:val="20"/>
                <w:szCs w:val="20"/>
              </w:rPr>
              <w:t>Integrated</w:t>
            </w:r>
            <w:r w:rsidRPr="001D765D">
              <w:rPr>
                <w:sz w:val="20"/>
                <w:szCs w:val="20"/>
              </w:rPr>
              <w:t xml:space="preserve"> c</w:t>
            </w:r>
            <w:r w:rsidR="007159BA" w:rsidRPr="001D765D">
              <w:rPr>
                <w:sz w:val="20"/>
                <w:szCs w:val="20"/>
              </w:rPr>
              <w:t>limate</w:t>
            </w:r>
            <w:r w:rsidR="007159BA" w:rsidRPr="001D765D">
              <w:rPr>
                <w:color w:val="495965"/>
                <w:sz w:val="20"/>
                <w:szCs w:val="20"/>
              </w:rPr>
              <w:t xml:space="preserve"> change and disaster resilience considerations into bilateral and </w:t>
            </w:r>
            <w:r w:rsidR="007159BA" w:rsidRPr="001D765D">
              <w:rPr>
                <w:sz w:val="20"/>
                <w:szCs w:val="20"/>
              </w:rPr>
              <w:t>regional</w:t>
            </w:r>
            <w:r w:rsidR="007159BA" w:rsidRPr="001D765D">
              <w:rPr>
                <w:color w:val="495965"/>
                <w:sz w:val="20"/>
                <w:szCs w:val="20"/>
              </w:rPr>
              <w:t xml:space="preserve"> aid investment</w:t>
            </w:r>
            <w:r w:rsidR="0034414D" w:rsidRPr="001D765D">
              <w:rPr>
                <w:color w:val="495965"/>
                <w:sz w:val="20"/>
                <w:szCs w:val="20"/>
              </w:rPr>
              <w:t>s</w:t>
            </w:r>
            <w:r w:rsidRPr="001D765D">
              <w:rPr>
                <w:color w:val="495965"/>
                <w:sz w:val="20"/>
                <w:szCs w:val="20"/>
              </w:rPr>
              <w:t xml:space="preserve"> across </w:t>
            </w:r>
            <w:r w:rsidR="007159BA" w:rsidRPr="001D765D">
              <w:rPr>
                <w:color w:val="495965"/>
                <w:sz w:val="20"/>
                <w:szCs w:val="20"/>
              </w:rPr>
              <w:t>14</w:t>
            </w:r>
            <w:r w:rsidR="00BC7BC1" w:rsidRPr="001D765D">
              <w:rPr>
                <w:color w:val="495965"/>
                <w:sz w:val="20"/>
                <w:szCs w:val="20"/>
              </w:rPr>
              <w:t> </w:t>
            </w:r>
            <w:r w:rsidR="003C50CB" w:rsidRPr="001D765D">
              <w:rPr>
                <w:color w:val="495965"/>
                <w:sz w:val="20"/>
                <w:szCs w:val="20"/>
              </w:rPr>
              <w:t xml:space="preserve">Pacific </w:t>
            </w:r>
            <w:r w:rsidRPr="001D765D">
              <w:rPr>
                <w:sz w:val="20"/>
                <w:szCs w:val="20"/>
              </w:rPr>
              <w:t>nations</w:t>
            </w:r>
            <w:r w:rsidR="00414E23" w:rsidRPr="001D765D">
              <w:rPr>
                <w:color w:val="495965"/>
                <w:sz w:val="20"/>
                <w:szCs w:val="20"/>
              </w:rPr>
              <w:t xml:space="preserve">. </w:t>
            </w:r>
            <w:r w:rsidRPr="001D765D">
              <w:rPr>
                <w:color w:val="495965"/>
                <w:sz w:val="20"/>
                <w:szCs w:val="20"/>
              </w:rPr>
              <w:t xml:space="preserve">This included: </w:t>
            </w:r>
            <w:r w:rsidR="00AA7246" w:rsidRPr="001D765D">
              <w:rPr>
                <w:sz w:val="20"/>
                <w:szCs w:val="20"/>
              </w:rPr>
              <w:t xml:space="preserve">in </w:t>
            </w:r>
            <w:r w:rsidR="0005134E" w:rsidRPr="001D765D">
              <w:rPr>
                <w:sz w:val="20"/>
                <w:szCs w:val="20"/>
              </w:rPr>
              <w:t>Fiji</w:t>
            </w:r>
            <w:r w:rsidRPr="001D765D">
              <w:rPr>
                <w:sz w:val="20"/>
                <w:szCs w:val="20"/>
              </w:rPr>
              <w:t xml:space="preserve">, farmers in the root crop sector </w:t>
            </w:r>
            <w:r w:rsidR="00706594" w:rsidRPr="001D765D">
              <w:rPr>
                <w:sz w:val="20"/>
                <w:szCs w:val="20"/>
              </w:rPr>
              <w:t xml:space="preserve">provided </w:t>
            </w:r>
            <w:r w:rsidR="00AA7246" w:rsidRPr="001D765D">
              <w:rPr>
                <w:sz w:val="20"/>
                <w:szCs w:val="20"/>
              </w:rPr>
              <w:t>information on climate change and appropriate farming practices</w:t>
            </w:r>
            <w:r w:rsidRPr="001D765D">
              <w:rPr>
                <w:sz w:val="20"/>
                <w:szCs w:val="20"/>
              </w:rPr>
              <w:t xml:space="preserve">; in Tonga, </w:t>
            </w:r>
            <w:r w:rsidR="00AA7246" w:rsidRPr="001D765D">
              <w:rPr>
                <w:sz w:val="20"/>
                <w:szCs w:val="20"/>
              </w:rPr>
              <w:t xml:space="preserve">technical expertise </w:t>
            </w:r>
            <w:r w:rsidR="00913871" w:rsidRPr="001D765D">
              <w:rPr>
                <w:sz w:val="20"/>
                <w:szCs w:val="20"/>
              </w:rPr>
              <w:t xml:space="preserve">was provided to </w:t>
            </w:r>
            <w:r w:rsidR="00AA7246" w:rsidRPr="001D765D">
              <w:rPr>
                <w:color w:val="495965"/>
                <w:sz w:val="20"/>
                <w:szCs w:val="20"/>
              </w:rPr>
              <w:t xml:space="preserve">ensure </w:t>
            </w:r>
            <w:r w:rsidR="00913871" w:rsidRPr="001D765D">
              <w:rPr>
                <w:color w:val="495965"/>
                <w:sz w:val="20"/>
                <w:szCs w:val="20"/>
              </w:rPr>
              <w:t xml:space="preserve">the </w:t>
            </w:r>
            <w:r w:rsidR="00AA7246" w:rsidRPr="001D765D">
              <w:rPr>
                <w:color w:val="495965"/>
                <w:sz w:val="20"/>
                <w:szCs w:val="20"/>
              </w:rPr>
              <w:t>Tonga</w:t>
            </w:r>
            <w:r w:rsidR="00913871" w:rsidRPr="001D765D">
              <w:rPr>
                <w:color w:val="495965"/>
                <w:sz w:val="20"/>
                <w:szCs w:val="20"/>
              </w:rPr>
              <w:t>n</w:t>
            </w:r>
            <w:r w:rsidR="00AA7246" w:rsidRPr="001D765D">
              <w:rPr>
                <w:color w:val="495965"/>
                <w:sz w:val="20"/>
                <w:szCs w:val="20"/>
              </w:rPr>
              <w:t xml:space="preserve"> Parliament Buildings are climate resilient</w:t>
            </w:r>
            <w:r w:rsidRPr="001D765D">
              <w:rPr>
                <w:color w:val="495965"/>
                <w:sz w:val="20"/>
                <w:szCs w:val="20"/>
              </w:rPr>
              <w:t xml:space="preserve">; </w:t>
            </w:r>
            <w:r w:rsidR="00AA7246" w:rsidRPr="001D765D">
              <w:rPr>
                <w:color w:val="495965"/>
                <w:sz w:val="20"/>
                <w:szCs w:val="20"/>
              </w:rPr>
              <w:t xml:space="preserve">and </w:t>
            </w:r>
            <w:r w:rsidRPr="001D765D">
              <w:rPr>
                <w:color w:val="495965"/>
                <w:sz w:val="20"/>
                <w:szCs w:val="20"/>
              </w:rPr>
              <w:t>in Vanuatu, the</w:t>
            </w:r>
            <w:r w:rsidR="00913871" w:rsidRPr="001D765D">
              <w:rPr>
                <w:color w:val="495965"/>
                <w:sz w:val="20"/>
                <w:szCs w:val="20"/>
              </w:rPr>
              <w:t xml:space="preserve"> Wan Smolbag Theatre produced two documentaries on the impact of climate change</w:t>
            </w:r>
            <w:r w:rsidR="00414E23" w:rsidRPr="001D765D">
              <w:rPr>
                <w:color w:val="495965"/>
                <w:sz w:val="20"/>
                <w:szCs w:val="20"/>
              </w:rPr>
              <w:t xml:space="preserve">. </w:t>
            </w:r>
          </w:p>
          <w:p w14:paraId="7D9CAB9B" w14:textId="077E4785" w:rsidR="007838FE" w:rsidRPr="001D765D" w:rsidRDefault="00C83415" w:rsidP="00706594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</w:t>
            </w:r>
            <w:r w:rsidR="007D60A8" w:rsidRPr="001D765D">
              <w:rPr>
                <w:sz w:val="20"/>
                <w:szCs w:val="20"/>
              </w:rPr>
              <w:t>igned</w:t>
            </w:r>
            <w:r w:rsidRPr="001D765D">
              <w:rPr>
                <w:sz w:val="20"/>
                <w:szCs w:val="20"/>
              </w:rPr>
              <w:t xml:space="preserve"> an AIFFP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="007D60A8" w:rsidRPr="001D765D">
              <w:rPr>
                <w:sz w:val="20"/>
                <w:szCs w:val="20"/>
              </w:rPr>
              <w:t>financing agreement for the Tina River Hydropower Transmission System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="00D66D36" w:rsidRPr="001D765D">
              <w:rPr>
                <w:sz w:val="20"/>
                <w:szCs w:val="20"/>
              </w:rPr>
              <w:t>to d</w:t>
            </w:r>
            <w:r w:rsidR="007D60A8" w:rsidRPr="001D765D">
              <w:rPr>
                <w:sz w:val="20"/>
                <w:szCs w:val="20"/>
              </w:rPr>
              <w:t>eliver renewable energy generated to Honiara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D66D36" w:rsidRPr="001D765D">
              <w:rPr>
                <w:sz w:val="20"/>
                <w:szCs w:val="20"/>
              </w:rPr>
              <w:lastRenderedPageBreak/>
              <w:t>This</w:t>
            </w:r>
            <w:r w:rsidR="007D60A8" w:rsidRPr="001D765D">
              <w:rPr>
                <w:sz w:val="20"/>
                <w:szCs w:val="20"/>
              </w:rPr>
              <w:t xml:space="preserve"> will displace as much as 18 million litres of imported diesel and 49,500 tonnes of CO</w:t>
            </w:r>
            <w:r w:rsidR="00D66D36" w:rsidRPr="001D765D">
              <w:rPr>
                <w:sz w:val="20"/>
                <w:szCs w:val="20"/>
                <w:vertAlign w:val="subscript"/>
              </w:rPr>
              <w:t>2</w:t>
            </w:r>
            <w:r w:rsidR="007D60A8" w:rsidRPr="001D765D">
              <w:rPr>
                <w:sz w:val="20"/>
                <w:szCs w:val="20"/>
              </w:rPr>
              <w:t xml:space="preserve"> emissions per year</w:t>
            </w:r>
            <w:r w:rsidR="00D66D36" w:rsidRPr="001D765D">
              <w:rPr>
                <w:sz w:val="20"/>
                <w:szCs w:val="20"/>
              </w:rPr>
              <w:t xml:space="preserve">, enabling </w:t>
            </w:r>
            <w:r w:rsidR="007D60A8" w:rsidRPr="001D765D">
              <w:rPr>
                <w:sz w:val="20"/>
                <w:szCs w:val="20"/>
              </w:rPr>
              <w:t xml:space="preserve">the Solomon Islands to meet 100 per cent of </w:t>
            </w:r>
            <w:r w:rsidR="0034414D" w:rsidRPr="001D765D">
              <w:rPr>
                <w:sz w:val="20"/>
                <w:szCs w:val="20"/>
              </w:rPr>
              <w:t xml:space="preserve">its </w:t>
            </w:r>
            <w:r w:rsidR="007D60A8" w:rsidRPr="001D765D">
              <w:rPr>
                <w:sz w:val="20"/>
                <w:szCs w:val="20"/>
              </w:rPr>
              <w:t>emissions reduction commitments under the Paris Agreement.</w:t>
            </w:r>
          </w:p>
        </w:tc>
      </w:tr>
      <w:bookmarkEnd w:id="20"/>
      <w:tr w:rsidR="0012027C" w14:paraId="7500B410" w14:textId="77777777" w:rsidTr="00D50336">
        <w:tc>
          <w:tcPr>
            <w:tcW w:w="4390" w:type="dxa"/>
          </w:tcPr>
          <w:p w14:paraId="716F18BF" w14:textId="506C72BA" w:rsidR="0012027C" w:rsidRPr="001D765D" w:rsidRDefault="0012027C" w:rsidP="0092370F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lastRenderedPageBreak/>
              <w:t xml:space="preserve">Countries Australia has supported in the </w:t>
            </w:r>
            <w:r w:rsidR="00755EAB" w:rsidRPr="001D765D">
              <w:rPr>
                <w:sz w:val="20"/>
                <w:szCs w:val="20"/>
              </w:rPr>
              <w:t xml:space="preserve">past </w:t>
            </w:r>
            <w:r w:rsidRPr="001D765D">
              <w:rPr>
                <w:sz w:val="20"/>
                <w:szCs w:val="20"/>
              </w:rPr>
              <w:t>12 months with policy and technical advice on building capacity for: security</w:t>
            </w:r>
            <w:r w:rsidR="0092370F" w:rsidRPr="001D765D">
              <w:rPr>
                <w:sz w:val="20"/>
                <w:szCs w:val="20"/>
              </w:rPr>
              <w:t xml:space="preserve">, </w:t>
            </w:r>
            <w:r w:rsidRPr="001D765D">
              <w:rPr>
                <w:sz w:val="20"/>
                <w:szCs w:val="20"/>
              </w:rPr>
              <w:t>climate change and disaster resilience</w:t>
            </w:r>
            <w:r w:rsidR="0092370F" w:rsidRPr="001D765D">
              <w:rPr>
                <w:sz w:val="20"/>
                <w:szCs w:val="20"/>
              </w:rPr>
              <w:t xml:space="preserve">, </w:t>
            </w:r>
            <w:r w:rsidRPr="001D765D">
              <w:rPr>
                <w:sz w:val="20"/>
                <w:szCs w:val="20"/>
              </w:rPr>
              <w:t xml:space="preserve">maritime boundaries, </w:t>
            </w:r>
          </w:p>
          <w:p w14:paraId="07FA2E12" w14:textId="0BF0C7D8" w:rsidR="008C5B3A" w:rsidRPr="001D765D" w:rsidRDefault="0005134E" w:rsidP="008C5B3A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fisheries</w:t>
            </w:r>
            <w:r w:rsidR="008C5B3A" w:rsidRPr="001D765D">
              <w:rPr>
                <w:sz w:val="20"/>
                <w:szCs w:val="20"/>
              </w:rPr>
              <w:t xml:space="preserve">, </w:t>
            </w:r>
            <w:r w:rsidR="0012027C" w:rsidRPr="001D765D">
              <w:rPr>
                <w:sz w:val="20"/>
                <w:szCs w:val="20"/>
              </w:rPr>
              <w:t>food security</w:t>
            </w:r>
            <w:r w:rsidR="008C5B3A" w:rsidRPr="001D765D">
              <w:rPr>
                <w:sz w:val="20"/>
                <w:szCs w:val="20"/>
              </w:rPr>
              <w:t xml:space="preserve">, </w:t>
            </w:r>
            <w:r w:rsidR="0012027C" w:rsidRPr="001D765D">
              <w:rPr>
                <w:sz w:val="20"/>
                <w:szCs w:val="20"/>
              </w:rPr>
              <w:t>gender equity,</w:t>
            </w:r>
            <w:r w:rsidR="008C5B3A" w:rsidRPr="001D765D">
              <w:rPr>
                <w:sz w:val="20"/>
                <w:szCs w:val="20"/>
              </w:rPr>
              <w:t xml:space="preserve"> </w:t>
            </w:r>
          </w:p>
          <w:p w14:paraId="4B245A8B" w14:textId="2F2F675C" w:rsidR="0012027C" w:rsidRPr="001D765D" w:rsidRDefault="0012027C" w:rsidP="00D50336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education, </w:t>
            </w:r>
            <w:r w:rsidR="0005134E" w:rsidRPr="001D765D">
              <w:rPr>
                <w:sz w:val="20"/>
                <w:szCs w:val="20"/>
              </w:rPr>
              <w:t xml:space="preserve">and </w:t>
            </w:r>
            <w:r w:rsidRPr="001D765D">
              <w:rPr>
                <w:sz w:val="20"/>
                <w:szCs w:val="20"/>
              </w:rPr>
              <w:t>media (including examples of assistance provided and results achieved) [target: fourteen]</w:t>
            </w:r>
          </w:p>
        </w:tc>
        <w:tc>
          <w:tcPr>
            <w:tcW w:w="6146" w:type="dxa"/>
          </w:tcPr>
          <w:p w14:paraId="0FC0F32B" w14:textId="73B5113B" w:rsidR="00124B09" w:rsidRPr="001D765D" w:rsidRDefault="00124B09" w:rsidP="009F44BC">
            <w:pPr>
              <w:pStyle w:val="BodyText"/>
              <w:spacing w:before="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Progress has been made against this target </w:t>
            </w:r>
            <w:r w:rsidR="00E87B75" w:rsidRPr="001D765D">
              <w:rPr>
                <w:sz w:val="20"/>
                <w:szCs w:val="20"/>
              </w:rPr>
              <w:t xml:space="preserve">through climate change support for all 14 countries and </w:t>
            </w:r>
            <w:r w:rsidRPr="001D765D">
              <w:rPr>
                <w:sz w:val="20"/>
                <w:szCs w:val="20"/>
              </w:rPr>
              <w:t xml:space="preserve">as shown by the select examples below. Further data will be collected during the next year to inform future reporting. </w:t>
            </w:r>
          </w:p>
          <w:p w14:paraId="339B7619" w14:textId="0FECF007" w:rsidR="00415C74" w:rsidRPr="001D765D" w:rsidRDefault="003F01F0" w:rsidP="009F44BC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P</w:t>
            </w:r>
            <w:r w:rsidR="00415C74" w:rsidRPr="001D765D">
              <w:rPr>
                <w:sz w:val="20"/>
                <w:szCs w:val="20"/>
              </w:rPr>
              <w:t xml:space="preserve">ivoted to support </w:t>
            </w:r>
            <w:r w:rsidRPr="001D765D">
              <w:rPr>
                <w:sz w:val="20"/>
                <w:szCs w:val="20"/>
              </w:rPr>
              <w:t xml:space="preserve">under the Pacific Fusion Centre to </w:t>
            </w:r>
            <w:r w:rsidR="00415C74" w:rsidRPr="001D765D">
              <w:rPr>
                <w:sz w:val="20"/>
                <w:szCs w:val="20"/>
              </w:rPr>
              <w:t>provid</w:t>
            </w:r>
            <w:r w:rsidRPr="001D765D">
              <w:rPr>
                <w:sz w:val="20"/>
                <w:szCs w:val="20"/>
              </w:rPr>
              <w:t>e</w:t>
            </w:r>
            <w:r w:rsidR="00415C74" w:rsidRPr="001D765D">
              <w:rPr>
                <w:sz w:val="20"/>
                <w:szCs w:val="20"/>
              </w:rPr>
              <w:t xml:space="preserve"> credible up-to-date information and analysis on border management, food security, </w:t>
            </w:r>
            <w:proofErr w:type="gramStart"/>
            <w:r w:rsidR="00415C74" w:rsidRPr="001D765D">
              <w:rPr>
                <w:sz w:val="20"/>
                <w:szCs w:val="20"/>
              </w:rPr>
              <w:t>misinformation</w:t>
            </w:r>
            <w:proofErr w:type="gramEnd"/>
            <w:r w:rsidR="00415C74" w:rsidRPr="001D765D">
              <w:rPr>
                <w:sz w:val="20"/>
                <w:szCs w:val="20"/>
              </w:rPr>
              <w:t xml:space="preserve"> and disinformation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  <w:p w14:paraId="468AEBCA" w14:textId="169E4173" w:rsidR="00751DF3" w:rsidRPr="001D765D" w:rsidRDefault="00751DF3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Supported </w:t>
            </w:r>
            <w:r w:rsidR="008C2C3F" w:rsidRPr="001D765D">
              <w:rPr>
                <w:sz w:val="20"/>
                <w:szCs w:val="20"/>
              </w:rPr>
              <w:t>Pacific Women</w:t>
            </w:r>
            <w:r w:rsidR="008C2C3F" w:rsidRPr="001D765D" w:rsidDel="00751DF3">
              <w:rPr>
                <w:sz w:val="20"/>
                <w:szCs w:val="20"/>
              </w:rPr>
              <w:t xml:space="preserve"> </w:t>
            </w:r>
            <w:r w:rsidR="00E0175D" w:rsidRPr="001D765D">
              <w:rPr>
                <w:sz w:val="20"/>
                <w:szCs w:val="20"/>
              </w:rPr>
              <w:t>to assess COVID-19 impacts on women and girls</w:t>
            </w:r>
            <w:r w:rsidR="008C2C3F" w:rsidRPr="001D765D">
              <w:rPr>
                <w:sz w:val="20"/>
                <w:szCs w:val="20"/>
              </w:rPr>
              <w:t>. S</w:t>
            </w:r>
            <w:r w:rsidRPr="001D765D">
              <w:rPr>
                <w:sz w:val="20"/>
                <w:szCs w:val="20"/>
              </w:rPr>
              <w:t xml:space="preserve">urvey </w:t>
            </w:r>
            <w:r w:rsidR="00E0175D" w:rsidRPr="001D765D">
              <w:rPr>
                <w:sz w:val="20"/>
                <w:szCs w:val="20"/>
              </w:rPr>
              <w:t>data influenc</w:t>
            </w:r>
            <w:r w:rsidR="008C2C3F" w:rsidRPr="001D765D">
              <w:rPr>
                <w:sz w:val="20"/>
                <w:szCs w:val="20"/>
              </w:rPr>
              <w:t>ed</w:t>
            </w:r>
            <w:r w:rsidR="00E0175D" w:rsidRPr="001D765D">
              <w:rPr>
                <w:sz w:val="20"/>
                <w:szCs w:val="20"/>
              </w:rPr>
              <w:t xml:space="preserve"> government responses in</w:t>
            </w:r>
            <w:r w:rsidR="008C2C3F" w:rsidRPr="001D765D">
              <w:rPr>
                <w:sz w:val="20"/>
                <w:szCs w:val="20"/>
              </w:rPr>
              <w:t xml:space="preserve"> Samoa,</w:t>
            </w:r>
            <w:r w:rsidR="00E0175D" w:rsidRPr="001D765D">
              <w:rPr>
                <w:sz w:val="20"/>
                <w:szCs w:val="20"/>
              </w:rPr>
              <w:t xml:space="preserve"> </w:t>
            </w:r>
            <w:r w:rsidR="00706594" w:rsidRPr="001D765D">
              <w:rPr>
                <w:sz w:val="20"/>
                <w:szCs w:val="20"/>
              </w:rPr>
              <w:t xml:space="preserve">Federated States of </w:t>
            </w:r>
            <w:proofErr w:type="gramStart"/>
            <w:r w:rsidR="00706594" w:rsidRPr="001D765D">
              <w:rPr>
                <w:sz w:val="20"/>
                <w:szCs w:val="20"/>
              </w:rPr>
              <w:t>Micronesia</w:t>
            </w:r>
            <w:proofErr w:type="gramEnd"/>
            <w:r w:rsidR="00E0175D" w:rsidRPr="001D765D">
              <w:rPr>
                <w:sz w:val="20"/>
                <w:szCs w:val="20"/>
              </w:rPr>
              <w:t xml:space="preserve"> and Tuvalu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8C2C3F" w:rsidRPr="001D765D">
              <w:rPr>
                <w:sz w:val="20"/>
                <w:szCs w:val="20"/>
              </w:rPr>
              <w:t xml:space="preserve">In Tuvalu, advisory support for the Tuvalu Government’s rapid gender equity and social inclusion assessment resulted in </w:t>
            </w:r>
            <w:r w:rsidR="00E0175D" w:rsidRPr="001D765D">
              <w:rPr>
                <w:sz w:val="20"/>
                <w:szCs w:val="20"/>
              </w:rPr>
              <w:t>focused financial support for the most vulnerable families who had lost income</w:t>
            </w:r>
            <w:r w:rsidR="00706594" w:rsidRPr="001D765D">
              <w:rPr>
                <w:sz w:val="20"/>
                <w:szCs w:val="20"/>
              </w:rPr>
              <w:t>.</w:t>
            </w:r>
          </w:p>
          <w:p w14:paraId="4CB2735E" w14:textId="64567EC2" w:rsidR="006F4C60" w:rsidRPr="001D765D" w:rsidRDefault="00751DF3" w:rsidP="00E87B75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Supported four countries to improve nutrition and health </w:t>
            </w:r>
            <w:r w:rsidR="00770929" w:rsidRPr="001D765D">
              <w:rPr>
                <w:sz w:val="20"/>
                <w:szCs w:val="20"/>
              </w:rPr>
              <w:t xml:space="preserve">through </w:t>
            </w:r>
            <w:r w:rsidRPr="001D765D">
              <w:rPr>
                <w:sz w:val="20"/>
                <w:szCs w:val="20"/>
              </w:rPr>
              <w:t xml:space="preserve">improving crop diversity </w:t>
            </w:r>
            <w:r w:rsidR="00770929" w:rsidRPr="001D765D">
              <w:rPr>
                <w:sz w:val="20"/>
                <w:szCs w:val="20"/>
              </w:rPr>
              <w:t xml:space="preserve">by </w:t>
            </w:r>
            <w:r w:rsidRPr="001D765D">
              <w:rPr>
                <w:sz w:val="20"/>
                <w:szCs w:val="20"/>
              </w:rPr>
              <w:t xml:space="preserve">suppling over more than </w:t>
            </w:r>
            <w:r w:rsidR="00E0175D" w:rsidRPr="001D765D">
              <w:rPr>
                <w:sz w:val="20"/>
                <w:szCs w:val="20"/>
              </w:rPr>
              <w:t xml:space="preserve">2,300 plant samples (including banana, cassava, </w:t>
            </w:r>
            <w:proofErr w:type="gramStart"/>
            <w:r w:rsidR="00E0175D" w:rsidRPr="001D765D">
              <w:rPr>
                <w:sz w:val="20"/>
                <w:szCs w:val="20"/>
              </w:rPr>
              <w:t>taro</w:t>
            </w:r>
            <w:proofErr w:type="gramEnd"/>
            <w:r w:rsidR="00E0175D" w:rsidRPr="001D765D">
              <w:rPr>
                <w:sz w:val="20"/>
                <w:szCs w:val="20"/>
              </w:rPr>
              <w:t xml:space="preserve"> and sweet potato)</w:t>
            </w:r>
            <w:r w:rsidRPr="001D765D">
              <w:rPr>
                <w:sz w:val="20"/>
                <w:szCs w:val="20"/>
              </w:rPr>
              <w:t>, in partnership with SPC’s Centre for Pacific Crops and Trees</w:t>
            </w:r>
            <w:r w:rsidR="00B60792" w:rsidRPr="001D765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2027C" w14:paraId="7E5A978C" w14:textId="77777777" w:rsidTr="00D50336">
        <w:tc>
          <w:tcPr>
            <w:tcW w:w="4390" w:type="dxa"/>
          </w:tcPr>
          <w:p w14:paraId="4460B5E0" w14:textId="7474D11D" w:rsidR="0012027C" w:rsidRPr="001D765D" w:rsidRDefault="0012027C" w:rsidP="006C1CA9">
            <w:pPr>
              <w:widowControl w:val="0"/>
              <w:spacing w:before="0" w:after="0" w:line="240" w:lineRule="auto"/>
              <w:rPr>
                <w:sz w:val="20"/>
                <w:szCs w:val="20"/>
                <w:highlight w:val="lightGray"/>
              </w:rPr>
            </w:pPr>
            <w:r w:rsidRPr="001D765D">
              <w:rPr>
                <w:sz w:val="20"/>
                <w:szCs w:val="20"/>
              </w:rPr>
              <w:t xml:space="preserve">Increased capacity and influence of women and girls to contribute to local, </w:t>
            </w:r>
            <w:proofErr w:type="gramStart"/>
            <w:r w:rsidRPr="001D765D">
              <w:rPr>
                <w:sz w:val="20"/>
                <w:szCs w:val="20"/>
              </w:rPr>
              <w:t>national</w:t>
            </w:r>
            <w:proofErr w:type="gramEnd"/>
            <w:r w:rsidRPr="001D765D">
              <w:rPr>
                <w:sz w:val="20"/>
                <w:szCs w:val="20"/>
              </w:rPr>
              <w:t xml:space="preserve"> and regional economic growth, stability and security</w:t>
            </w:r>
          </w:p>
        </w:tc>
        <w:tc>
          <w:tcPr>
            <w:tcW w:w="6146" w:type="dxa"/>
          </w:tcPr>
          <w:p w14:paraId="177B5D65" w14:textId="21724155" w:rsidR="00383E04" w:rsidRPr="001D765D" w:rsidRDefault="00C9565F" w:rsidP="009F44BC">
            <w:pPr>
              <w:pStyle w:val="BodyText"/>
              <w:spacing w:before="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Supported about </w:t>
            </w:r>
            <w:r w:rsidR="00AB6157" w:rsidRPr="001D765D">
              <w:rPr>
                <w:sz w:val="20"/>
                <w:szCs w:val="20"/>
              </w:rPr>
              <w:t>9,</w:t>
            </w:r>
            <w:r w:rsidR="00EF0B25" w:rsidRPr="001D765D">
              <w:rPr>
                <w:sz w:val="20"/>
                <w:szCs w:val="20"/>
              </w:rPr>
              <w:t xml:space="preserve">200 </w:t>
            </w:r>
            <w:r w:rsidR="00AB6157" w:rsidRPr="001D765D">
              <w:rPr>
                <w:sz w:val="20"/>
                <w:szCs w:val="20"/>
              </w:rPr>
              <w:t>women to take on leadership roles</w:t>
            </w:r>
            <w:r w:rsidR="00EF0B25" w:rsidRPr="001D765D">
              <w:rPr>
                <w:sz w:val="20"/>
                <w:szCs w:val="20"/>
              </w:rPr>
              <w:t xml:space="preserve"> </w:t>
            </w:r>
            <w:r w:rsidR="00832812" w:rsidRPr="001D765D">
              <w:rPr>
                <w:sz w:val="20"/>
                <w:szCs w:val="20"/>
              </w:rPr>
              <w:t>and almost 2,200 women and girls accessed financial literacy services and information</w:t>
            </w:r>
            <w:r w:rsidRPr="001D765D">
              <w:rPr>
                <w:sz w:val="20"/>
                <w:szCs w:val="20"/>
              </w:rPr>
              <w:t>.</w:t>
            </w:r>
            <w:r w:rsidR="009469EF" w:rsidRPr="001D765D">
              <w:rPr>
                <w:sz w:val="20"/>
                <w:szCs w:val="20"/>
              </w:rPr>
              <w:t xml:space="preserve"> This included </w:t>
            </w:r>
            <w:r w:rsidRPr="001D765D">
              <w:rPr>
                <w:sz w:val="20"/>
                <w:szCs w:val="20"/>
              </w:rPr>
              <w:t>support</w:t>
            </w:r>
            <w:r w:rsidR="009469EF" w:rsidRPr="001D765D">
              <w:rPr>
                <w:sz w:val="20"/>
                <w:szCs w:val="20"/>
              </w:rPr>
              <w:t>ing</w:t>
            </w:r>
            <w:r w:rsidRPr="001D765D">
              <w:rPr>
                <w:sz w:val="20"/>
                <w:szCs w:val="20"/>
              </w:rPr>
              <w:t xml:space="preserve"> </w:t>
            </w:r>
            <w:r w:rsidR="00AB6157" w:rsidRPr="001D765D">
              <w:rPr>
                <w:sz w:val="20"/>
                <w:szCs w:val="20"/>
              </w:rPr>
              <w:t>351 girls on participation and voice, with 128 girls to tak</w:t>
            </w:r>
            <w:r w:rsidRPr="001D765D">
              <w:rPr>
                <w:sz w:val="20"/>
                <w:szCs w:val="20"/>
              </w:rPr>
              <w:t>ing</w:t>
            </w:r>
            <w:r w:rsidR="00AB6157" w:rsidRPr="001D765D">
              <w:rPr>
                <w:sz w:val="20"/>
                <w:szCs w:val="20"/>
              </w:rPr>
              <w:t xml:space="preserve"> on leadership roles at community, provincial and national levels</w:t>
            </w:r>
            <w:r w:rsidR="00414E23" w:rsidRPr="001D765D">
              <w:rPr>
                <w:rFonts w:eastAsia="Times New Roman"/>
                <w:sz w:val="20"/>
                <w:szCs w:val="20"/>
              </w:rPr>
              <w:t xml:space="preserve">. </w:t>
            </w:r>
          </w:p>
          <w:p w14:paraId="4D2E2552" w14:textId="7E2AA892" w:rsidR="00383E04" w:rsidRPr="001D765D" w:rsidRDefault="00383E04" w:rsidP="000C1A7A">
            <w:pPr>
              <w:spacing w:before="80" w:after="40"/>
              <w:rPr>
                <w:rFonts w:eastAsia="Times New Roman"/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Support</w:t>
            </w:r>
            <w:r w:rsidR="00C9565F" w:rsidRPr="001D765D">
              <w:rPr>
                <w:sz w:val="20"/>
                <w:szCs w:val="20"/>
              </w:rPr>
              <w:t>ed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Pr="001D765D">
              <w:rPr>
                <w:sz w:val="20"/>
                <w:szCs w:val="20"/>
              </w:rPr>
              <w:t>increased women</w:t>
            </w:r>
            <w:r w:rsidR="007C1360" w:rsidRPr="001D765D">
              <w:rPr>
                <w:sz w:val="20"/>
                <w:szCs w:val="20"/>
              </w:rPr>
              <w:t xml:space="preserve">’s </w:t>
            </w:r>
            <w:r w:rsidRPr="001D765D">
              <w:rPr>
                <w:sz w:val="20"/>
                <w:szCs w:val="20"/>
              </w:rPr>
              <w:t>leadership in the governance of market vendor associations in Fiji, Solomon Islands and Vanuatu</w:t>
            </w:r>
            <w:r w:rsidR="00706594" w:rsidRPr="001D765D">
              <w:rPr>
                <w:sz w:val="20"/>
                <w:szCs w:val="20"/>
              </w:rPr>
              <w:t>,</w:t>
            </w:r>
            <w:r w:rsidR="000954FC" w:rsidRPr="001D765D">
              <w:rPr>
                <w:sz w:val="20"/>
                <w:szCs w:val="20"/>
              </w:rPr>
              <w:t xml:space="preserve"> in partnership with UN Women</w:t>
            </w:r>
            <w:r w:rsidR="00C9565F" w:rsidRPr="001D765D">
              <w:rPr>
                <w:sz w:val="20"/>
                <w:szCs w:val="20"/>
              </w:rPr>
              <w:t>. W</w:t>
            </w:r>
            <w:r w:rsidR="007C1360" w:rsidRPr="001D765D">
              <w:rPr>
                <w:sz w:val="20"/>
                <w:szCs w:val="20"/>
              </w:rPr>
              <w:t>omen</w:t>
            </w:r>
            <w:r w:rsidR="00C9565F" w:rsidRPr="001D765D">
              <w:rPr>
                <w:sz w:val="20"/>
                <w:szCs w:val="20"/>
              </w:rPr>
              <w:t xml:space="preserve"> now</w:t>
            </w:r>
            <w:r w:rsidR="007C1360" w:rsidRPr="001D765D">
              <w:rPr>
                <w:sz w:val="20"/>
                <w:szCs w:val="20"/>
              </w:rPr>
              <w:t xml:space="preserve"> hold </w:t>
            </w:r>
            <w:r w:rsidRPr="001D765D">
              <w:rPr>
                <w:sz w:val="20"/>
                <w:szCs w:val="20"/>
              </w:rPr>
              <w:t>70</w:t>
            </w:r>
            <w:r w:rsidR="00BC7BC1" w:rsidRPr="001D765D">
              <w:rPr>
                <w:sz w:val="20"/>
                <w:szCs w:val="20"/>
              </w:rPr>
              <w:t> </w:t>
            </w:r>
            <w:r w:rsidRPr="001D765D">
              <w:rPr>
                <w:sz w:val="20"/>
                <w:szCs w:val="20"/>
              </w:rPr>
              <w:t>per cent of leadership positions in Vanuatu and Solomon Islands</w:t>
            </w:r>
            <w:r w:rsidR="00706594" w:rsidRPr="001D765D">
              <w:rPr>
                <w:sz w:val="20"/>
                <w:szCs w:val="20"/>
              </w:rPr>
              <w:t xml:space="preserve"> markets</w:t>
            </w:r>
            <w:r w:rsidR="00B47467" w:rsidRPr="001D765D">
              <w:rPr>
                <w:sz w:val="20"/>
                <w:szCs w:val="20"/>
              </w:rPr>
              <w:t>.</w:t>
            </w:r>
            <w:r w:rsidRPr="001D765D">
              <w:rPr>
                <w:sz w:val="20"/>
                <w:szCs w:val="20"/>
              </w:rPr>
              <w:t xml:space="preserve"> 13 of the 17 markets </w:t>
            </w:r>
            <w:r w:rsidR="00B47467" w:rsidRPr="001D765D">
              <w:rPr>
                <w:sz w:val="20"/>
                <w:szCs w:val="20"/>
              </w:rPr>
              <w:t>in</w:t>
            </w:r>
            <w:r w:rsidR="007C1360" w:rsidRPr="001D765D">
              <w:rPr>
                <w:sz w:val="20"/>
                <w:szCs w:val="20"/>
              </w:rPr>
              <w:t xml:space="preserve"> the three countries </w:t>
            </w:r>
            <w:r w:rsidR="00B47467" w:rsidRPr="001D765D">
              <w:rPr>
                <w:sz w:val="20"/>
                <w:szCs w:val="20"/>
              </w:rPr>
              <w:t>have</w:t>
            </w:r>
            <w:r w:rsidRPr="001D765D">
              <w:rPr>
                <w:sz w:val="20"/>
                <w:szCs w:val="20"/>
              </w:rPr>
              <w:t xml:space="preserve"> women presidents</w:t>
            </w:r>
            <w:r w:rsidR="00C9565F" w:rsidRPr="001D765D">
              <w:rPr>
                <w:sz w:val="20"/>
                <w:szCs w:val="20"/>
              </w:rPr>
              <w:t xml:space="preserve">. </w:t>
            </w:r>
          </w:p>
        </w:tc>
      </w:tr>
    </w:tbl>
    <w:p w14:paraId="3F2619AB" w14:textId="64D997BA" w:rsidR="00AE2B7B" w:rsidRPr="00AE2B7B" w:rsidRDefault="00AE2B7B" w:rsidP="00353628">
      <w:pPr>
        <w:pStyle w:val="Heading3"/>
      </w:pPr>
      <w:bookmarkStart w:id="21" w:name="_Hlk86928829"/>
      <w:r w:rsidRPr="00AE2B7B">
        <w:t>Economic Recovery</w:t>
      </w:r>
    </w:p>
    <w:tbl>
      <w:tblPr>
        <w:tblStyle w:val="TableGrid"/>
        <w:tblW w:w="0" w:type="auto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economic recovery"/>
      </w:tblPr>
      <w:tblGrid>
        <w:gridCol w:w="4390"/>
        <w:gridCol w:w="6146"/>
      </w:tblGrid>
      <w:tr w:rsidR="00CA5021" w14:paraId="6541DEB5" w14:textId="77777777" w:rsidTr="00D50336">
        <w:trPr>
          <w:tblHeader/>
        </w:trPr>
        <w:tc>
          <w:tcPr>
            <w:tcW w:w="4390" w:type="dxa"/>
            <w:shd w:val="clear" w:color="auto" w:fill="A2DCD1" w:themeFill="accent1" w:themeFillTint="99"/>
            <w:vAlign w:val="center"/>
          </w:tcPr>
          <w:p w14:paraId="7B68B645" w14:textId="39A83BEA" w:rsidR="00CA5021" w:rsidRPr="005736BB" w:rsidRDefault="00A96364" w:rsidP="00D50336">
            <w:pPr>
              <w:widowControl w:val="0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 xml:space="preserve">Key Results </w:t>
            </w:r>
            <w:r w:rsidR="00CA5021" w:rsidRPr="005736BB">
              <w:rPr>
                <w:b/>
                <w:sz w:val="20"/>
                <w:szCs w:val="20"/>
              </w:rPr>
              <w:t>Indicator</w:t>
            </w:r>
            <w:r w:rsidRPr="005736B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6146" w:type="dxa"/>
            <w:shd w:val="clear" w:color="auto" w:fill="A2DCD1" w:themeFill="accent1" w:themeFillTint="99"/>
            <w:vAlign w:val="center"/>
          </w:tcPr>
          <w:p w14:paraId="7B256934" w14:textId="69DE6F90" w:rsidR="00CA5021" w:rsidRPr="005736BB" w:rsidRDefault="00AD19F7" w:rsidP="00AE5BA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5736BB">
              <w:rPr>
                <w:b/>
                <w:sz w:val="20"/>
                <w:szCs w:val="20"/>
              </w:rPr>
              <w:t>Progress/Result</w:t>
            </w:r>
          </w:p>
        </w:tc>
      </w:tr>
      <w:tr w:rsidR="0012027C" w14:paraId="564E6F58" w14:textId="77777777" w:rsidTr="00D50336">
        <w:tc>
          <w:tcPr>
            <w:tcW w:w="4390" w:type="dxa"/>
          </w:tcPr>
          <w:p w14:paraId="234C1CE4" w14:textId="56E82982" w:rsidR="0012027C" w:rsidRPr="001D765D" w:rsidRDefault="0012027C" w:rsidP="00D50336">
            <w:pPr>
              <w:spacing w:before="0" w:after="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Countries receiving AIFFP financing </w:t>
            </w:r>
            <w:r w:rsidR="000355E3" w:rsidRPr="001D765D">
              <w:rPr>
                <w:sz w:val="20"/>
                <w:szCs w:val="20"/>
              </w:rPr>
              <w:t xml:space="preserve">including </w:t>
            </w:r>
            <w:r w:rsidRPr="001D765D">
              <w:rPr>
                <w:sz w:val="20"/>
                <w:szCs w:val="20"/>
              </w:rPr>
              <w:t>inclusive local jobs creation [target: six]</w:t>
            </w:r>
          </w:p>
        </w:tc>
        <w:tc>
          <w:tcPr>
            <w:tcW w:w="6146" w:type="dxa"/>
          </w:tcPr>
          <w:p w14:paraId="68ECA91C" w14:textId="1186F169" w:rsidR="00704D55" w:rsidRPr="001D765D" w:rsidRDefault="006962C8" w:rsidP="006A571E">
            <w:pPr>
              <w:pStyle w:val="BodyText"/>
              <w:spacing w:before="4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AIFFP </w:t>
            </w:r>
            <w:r w:rsidR="007D7C27" w:rsidRPr="001D765D">
              <w:rPr>
                <w:sz w:val="20"/>
                <w:szCs w:val="20"/>
              </w:rPr>
              <w:t>finalised financing for three critical investments (</w:t>
            </w:r>
            <w:r w:rsidR="00B56BF1" w:rsidRPr="001D765D">
              <w:rPr>
                <w:sz w:val="20"/>
                <w:szCs w:val="20"/>
              </w:rPr>
              <w:t xml:space="preserve">the </w:t>
            </w:r>
            <w:r w:rsidR="007D7C27" w:rsidRPr="001D765D">
              <w:rPr>
                <w:sz w:val="20"/>
                <w:szCs w:val="20"/>
              </w:rPr>
              <w:t>Tina River hydropower transmission system in Solomon Islands</w:t>
            </w:r>
            <w:r w:rsidR="009469EF" w:rsidRPr="001D765D">
              <w:rPr>
                <w:sz w:val="20"/>
                <w:szCs w:val="20"/>
              </w:rPr>
              <w:t>;</w:t>
            </w:r>
            <w:r w:rsidR="007D7C27" w:rsidRPr="001D765D">
              <w:rPr>
                <w:sz w:val="20"/>
                <w:szCs w:val="20"/>
              </w:rPr>
              <w:t xml:space="preserve"> an undersea cable into Palau</w:t>
            </w:r>
            <w:r w:rsidR="009469EF" w:rsidRPr="001D765D">
              <w:rPr>
                <w:sz w:val="20"/>
                <w:szCs w:val="20"/>
              </w:rPr>
              <w:t xml:space="preserve">; </w:t>
            </w:r>
            <w:r w:rsidR="007D7C27" w:rsidRPr="001D765D">
              <w:rPr>
                <w:sz w:val="20"/>
                <w:szCs w:val="20"/>
              </w:rPr>
              <w:t>and assistance for Fiji Airports upgrades and maintenance). All three projects have targets for local job</w:t>
            </w:r>
            <w:r w:rsidR="009469EF" w:rsidRPr="001D765D">
              <w:rPr>
                <w:sz w:val="20"/>
                <w:szCs w:val="20"/>
              </w:rPr>
              <w:t>s</w:t>
            </w:r>
            <w:r w:rsidR="007D7C27" w:rsidRPr="001D765D">
              <w:rPr>
                <w:sz w:val="20"/>
                <w:szCs w:val="20"/>
              </w:rPr>
              <w:t>.</w:t>
            </w:r>
          </w:p>
          <w:p w14:paraId="5A50515E" w14:textId="374114B3" w:rsidR="007C1360" w:rsidRPr="001D765D" w:rsidRDefault="007C1360" w:rsidP="000C1A7A">
            <w:pPr>
              <w:spacing w:before="80" w:after="40"/>
              <w:rPr>
                <w:color w:val="C00000"/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As part of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Pr="001D765D">
              <w:rPr>
                <w:sz w:val="20"/>
                <w:szCs w:val="20"/>
              </w:rPr>
              <w:t xml:space="preserve">Palau undersea cable investment, a rapid assessment </w:t>
            </w:r>
            <w:r w:rsidR="007E5458" w:rsidRPr="001D765D">
              <w:rPr>
                <w:sz w:val="20"/>
                <w:szCs w:val="20"/>
              </w:rPr>
              <w:t xml:space="preserve">was commissioned </w:t>
            </w:r>
            <w:r w:rsidRPr="001D765D">
              <w:rPr>
                <w:sz w:val="20"/>
                <w:szCs w:val="20"/>
              </w:rPr>
              <w:t xml:space="preserve">to </w:t>
            </w:r>
            <w:r w:rsidR="007E5458" w:rsidRPr="001D765D">
              <w:rPr>
                <w:sz w:val="20"/>
                <w:szCs w:val="20"/>
              </w:rPr>
              <w:t xml:space="preserve">identify </w:t>
            </w:r>
            <w:r w:rsidR="00A94806" w:rsidRPr="001D765D">
              <w:rPr>
                <w:sz w:val="20"/>
                <w:szCs w:val="20"/>
              </w:rPr>
              <w:t xml:space="preserve">barriers </w:t>
            </w:r>
            <w:r w:rsidR="007E5458" w:rsidRPr="001D765D">
              <w:rPr>
                <w:sz w:val="20"/>
                <w:szCs w:val="20"/>
              </w:rPr>
              <w:t xml:space="preserve">stopping </w:t>
            </w:r>
            <w:r w:rsidRPr="001D765D">
              <w:rPr>
                <w:sz w:val="20"/>
                <w:szCs w:val="20"/>
              </w:rPr>
              <w:t>women and men participating on equal terms in the information society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7E5458" w:rsidRPr="001D765D">
              <w:rPr>
                <w:sz w:val="20"/>
                <w:szCs w:val="20"/>
              </w:rPr>
              <w:t>The study</w:t>
            </w:r>
            <w:r w:rsidR="00706594" w:rsidRPr="001D765D">
              <w:rPr>
                <w:sz w:val="20"/>
                <w:szCs w:val="20"/>
              </w:rPr>
              <w:t xml:space="preserve"> </w:t>
            </w:r>
            <w:r w:rsidR="00A94806" w:rsidRPr="001D765D">
              <w:rPr>
                <w:sz w:val="20"/>
                <w:szCs w:val="20"/>
              </w:rPr>
              <w:t xml:space="preserve">focused on </w:t>
            </w:r>
            <w:r w:rsidRPr="001D765D">
              <w:rPr>
                <w:sz w:val="20"/>
                <w:szCs w:val="20"/>
              </w:rPr>
              <w:t xml:space="preserve">women’s online safety, digital </w:t>
            </w:r>
            <w:proofErr w:type="gramStart"/>
            <w:r w:rsidRPr="001D765D">
              <w:rPr>
                <w:sz w:val="20"/>
                <w:szCs w:val="20"/>
              </w:rPr>
              <w:t>governance</w:t>
            </w:r>
            <w:proofErr w:type="gramEnd"/>
            <w:r w:rsidRPr="001D765D">
              <w:rPr>
                <w:sz w:val="20"/>
                <w:szCs w:val="20"/>
              </w:rPr>
              <w:t xml:space="preserve"> and economic entrepreneurship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Pr="001D765D">
              <w:rPr>
                <w:sz w:val="20"/>
                <w:szCs w:val="20"/>
              </w:rPr>
              <w:t xml:space="preserve">Palau has requested further </w:t>
            </w:r>
            <w:r w:rsidR="009469EF" w:rsidRPr="001D765D">
              <w:rPr>
                <w:sz w:val="20"/>
                <w:szCs w:val="20"/>
              </w:rPr>
              <w:t>assistance for safety measures to support women,</w:t>
            </w:r>
            <w:r w:rsidRPr="001D765D">
              <w:rPr>
                <w:sz w:val="20"/>
                <w:szCs w:val="20"/>
              </w:rPr>
              <w:t xml:space="preserve"> </w:t>
            </w:r>
            <w:proofErr w:type="gramStart"/>
            <w:r w:rsidRPr="001D765D">
              <w:rPr>
                <w:sz w:val="20"/>
                <w:szCs w:val="20"/>
              </w:rPr>
              <w:t>girls</w:t>
            </w:r>
            <w:proofErr w:type="gramEnd"/>
            <w:r w:rsidRPr="001D765D">
              <w:rPr>
                <w:sz w:val="20"/>
                <w:szCs w:val="20"/>
              </w:rPr>
              <w:t xml:space="preserve"> and vulnerable communities</w:t>
            </w:r>
            <w:r w:rsidR="009469EF" w:rsidRPr="001D765D">
              <w:rPr>
                <w:sz w:val="20"/>
                <w:szCs w:val="20"/>
              </w:rPr>
              <w:t>.</w:t>
            </w:r>
          </w:p>
        </w:tc>
      </w:tr>
      <w:bookmarkEnd w:id="21"/>
      <w:tr w:rsidR="0012027C" w14:paraId="1EAE2D66" w14:textId="77777777" w:rsidTr="00D50336">
        <w:tc>
          <w:tcPr>
            <w:tcW w:w="4390" w:type="dxa"/>
          </w:tcPr>
          <w:p w14:paraId="65838CB2" w14:textId="5661E8B2" w:rsidR="0012027C" w:rsidRPr="001D765D" w:rsidRDefault="0012027C" w:rsidP="006C1CA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lastRenderedPageBreak/>
              <w:t xml:space="preserve">Examples of support for changing labour market needs, Pacific workers in Australia and skill development activities </w:t>
            </w:r>
          </w:p>
        </w:tc>
        <w:tc>
          <w:tcPr>
            <w:tcW w:w="6146" w:type="dxa"/>
          </w:tcPr>
          <w:p w14:paraId="11A778FF" w14:textId="5A175D43" w:rsidR="001E7310" w:rsidRPr="001D765D" w:rsidRDefault="009469EF" w:rsidP="00AE5BAE">
            <w:pPr>
              <w:pStyle w:val="Bullet1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Supported </w:t>
            </w:r>
            <w:r w:rsidR="001E7310" w:rsidRPr="001D765D">
              <w:rPr>
                <w:sz w:val="20"/>
                <w:szCs w:val="20"/>
              </w:rPr>
              <w:t xml:space="preserve">3,300 Pacific </w:t>
            </w:r>
            <w:r w:rsidR="00F3382A" w:rsidRPr="001D765D">
              <w:rPr>
                <w:sz w:val="20"/>
                <w:szCs w:val="20"/>
              </w:rPr>
              <w:t>i</w:t>
            </w:r>
            <w:r w:rsidR="001E7310" w:rsidRPr="001D765D">
              <w:rPr>
                <w:sz w:val="20"/>
                <w:szCs w:val="20"/>
              </w:rPr>
              <w:t xml:space="preserve">slanders </w:t>
            </w:r>
            <w:r w:rsidRPr="001D765D">
              <w:rPr>
                <w:sz w:val="20"/>
                <w:szCs w:val="20"/>
              </w:rPr>
              <w:t xml:space="preserve">to </w:t>
            </w:r>
            <w:r w:rsidR="001E7310" w:rsidRPr="001D765D">
              <w:rPr>
                <w:sz w:val="20"/>
                <w:szCs w:val="20"/>
              </w:rPr>
              <w:t xml:space="preserve">completed studies with </w:t>
            </w:r>
            <w:r w:rsidR="00BD5916" w:rsidRPr="001D765D">
              <w:rPr>
                <w:sz w:val="20"/>
                <w:szCs w:val="20"/>
              </w:rPr>
              <w:t xml:space="preserve">the </w:t>
            </w:r>
            <w:r w:rsidR="001E7310" w:rsidRPr="001D765D">
              <w:rPr>
                <w:sz w:val="20"/>
                <w:szCs w:val="20"/>
              </w:rPr>
              <w:t>A</w:t>
            </w:r>
            <w:r w:rsidR="00BD5916" w:rsidRPr="001D765D">
              <w:rPr>
                <w:sz w:val="20"/>
                <w:szCs w:val="20"/>
              </w:rPr>
              <w:t>ustralia Pacific Training Coalition</w:t>
            </w:r>
            <w:r w:rsidR="00BD5916" w:rsidRPr="001D765D">
              <w:rPr>
                <w:i/>
                <w:iCs/>
                <w:sz w:val="20"/>
                <w:szCs w:val="20"/>
              </w:rPr>
              <w:t xml:space="preserve"> </w:t>
            </w:r>
            <w:r w:rsidR="00BD5916" w:rsidRPr="001D765D">
              <w:rPr>
                <w:sz w:val="20"/>
                <w:szCs w:val="20"/>
              </w:rPr>
              <w:t>(APTC)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1E7310" w:rsidRPr="001D765D">
              <w:rPr>
                <w:sz w:val="20"/>
                <w:szCs w:val="20"/>
              </w:rPr>
              <w:t xml:space="preserve">Of these, 1,507 Pacific </w:t>
            </w:r>
            <w:r w:rsidR="00F3382A" w:rsidRPr="001D765D">
              <w:rPr>
                <w:sz w:val="20"/>
                <w:szCs w:val="20"/>
              </w:rPr>
              <w:t>i</w:t>
            </w:r>
            <w:r w:rsidR="001E7310" w:rsidRPr="001D765D">
              <w:rPr>
                <w:sz w:val="20"/>
                <w:szCs w:val="20"/>
              </w:rPr>
              <w:t>slanders gained Australian-accredited qualifications</w:t>
            </w:r>
            <w:r w:rsidR="00BD5916" w:rsidRPr="001D765D">
              <w:rPr>
                <w:sz w:val="20"/>
                <w:szCs w:val="20"/>
              </w:rPr>
              <w:t xml:space="preserve"> (including 205 students </w:t>
            </w:r>
            <w:r w:rsidR="000355E3" w:rsidRPr="001D765D">
              <w:rPr>
                <w:sz w:val="20"/>
                <w:szCs w:val="20"/>
              </w:rPr>
              <w:t xml:space="preserve">completing </w:t>
            </w:r>
            <w:r w:rsidR="00BD5916" w:rsidRPr="001D765D">
              <w:rPr>
                <w:sz w:val="20"/>
                <w:szCs w:val="20"/>
              </w:rPr>
              <w:t xml:space="preserve">qualifications to work in the Australian meat processing industry), and 952 students completed APTC </w:t>
            </w:r>
            <w:r w:rsidR="00070316" w:rsidRPr="001D765D">
              <w:rPr>
                <w:sz w:val="20"/>
                <w:szCs w:val="20"/>
              </w:rPr>
              <w:br/>
            </w:r>
            <w:r w:rsidR="00BD5916" w:rsidRPr="001D765D">
              <w:rPr>
                <w:sz w:val="20"/>
                <w:szCs w:val="20"/>
              </w:rPr>
              <w:t>micro-credential courses targeting tourism and hospitality workers facing unemployment due to COVID-19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  <w:p w14:paraId="02B96D99" w14:textId="0BD7EFE1" w:rsidR="001E7310" w:rsidRPr="001D765D" w:rsidRDefault="009469EF" w:rsidP="00AE5BAE">
            <w:pPr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Supported</w:t>
            </w:r>
            <w:r w:rsidR="00BD5916" w:rsidRPr="001D765D">
              <w:rPr>
                <w:sz w:val="20"/>
                <w:szCs w:val="20"/>
              </w:rPr>
              <w:t xml:space="preserve"> </w:t>
            </w:r>
            <w:r w:rsidR="001E7310" w:rsidRPr="001D765D">
              <w:rPr>
                <w:sz w:val="20"/>
                <w:szCs w:val="20"/>
              </w:rPr>
              <w:t xml:space="preserve">more than </w:t>
            </w:r>
            <w:r w:rsidR="00EA58ED" w:rsidRPr="001D765D">
              <w:rPr>
                <w:sz w:val="20"/>
                <w:szCs w:val="20"/>
              </w:rPr>
              <w:t xml:space="preserve">8,300 workers </w:t>
            </w:r>
            <w:r w:rsidRPr="001D765D">
              <w:rPr>
                <w:sz w:val="20"/>
                <w:szCs w:val="20"/>
              </w:rPr>
              <w:t>to travel to</w:t>
            </w:r>
            <w:r w:rsidR="001E7310" w:rsidRPr="001D765D">
              <w:rPr>
                <w:sz w:val="20"/>
                <w:szCs w:val="20"/>
              </w:rPr>
              <w:t xml:space="preserve"> Australia from all </w:t>
            </w:r>
            <w:r w:rsidR="00070316" w:rsidRPr="001D765D">
              <w:rPr>
                <w:sz w:val="20"/>
                <w:szCs w:val="20"/>
              </w:rPr>
              <w:t xml:space="preserve">10 </w:t>
            </w:r>
            <w:r w:rsidR="001E7310" w:rsidRPr="001D765D">
              <w:rPr>
                <w:sz w:val="20"/>
                <w:szCs w:val="20"/>
              </w:rPr>
              <w:t xml:space="preserve">participating countries </w:t>
            </w:r>
            <w:r w:rsidRPr="001D765D">
              <w:rPr>
                <w:sz w:val="20"/>
                <w:szCs w:val="20"/>
              </w:rPr>
              <w:t>(</w:t>
            </w:r>
            <w:r w:rsidR="001E7310" w:rsidRPr="001D765D">
              <w:rPr>
                <w:sz w:val="20"/>
                <w:szCs w:val="20"/>
              </w:rPr>
              <w:t>except Nauru and Tuvalu</w:t>
            </w:r>
            <w:r w:rsidRPr="001D765D">
              <w:rPr>
                <w:sz w:val="20"/>
                <w:szCs w:val="20"/>
              </w:rPr>
              <w:t>) under the Pacific Labour Mobility</w:t>
            </w:r>
            <w:r w:rsidRPr="001D765D">
              <w:rPr>
                <w:i/>
                <w:iCs/>
                <w:sz w:val="20"/>
                <w:szCs w:val="20"/>
              </w:rPr>
              <w:t xml:space="preserve"> </w:t>
            </w:r>
            <w:r w:rsidRPr="001D765D">
              <w:rPr>
                <w:sz w:val="20"/>
                <w:szCs w:val="20"/>
              </w:rPr>
              <w:t>program</w:t>
            </w:r>
            <w:r w:rsidRPr="001D765D">
              <w:rPr>
                <w:i/>
                <w:iCs/>
                <w:sz w:val="20"/>
                <w:szCs w:val="20"/>
              </w:rPr>
              <w:t xml:space="preserve">. </w:t>
            </w:r>
            <w:r w:rsidRPr="001D765D">
              <w:rPr>
                <w:sz w:val="20"/>
                <w:szCs w:val="20"/>
              </w:rPr>
              <w:t xml:space="preserve">Completed </w:t>
            </w:r>
            <w:r w:rsidR="0010276E" w:rsidRPr="001D765D">
              <w:rPr>
                <w:sz w:val="20"/>
                <w:szCs w:val="20"/>
              </w:rPr>
              <w:t>research on the training and visa settings for aged care workers to complete their practical training in Australia</w:t>
            </w:r>
            <w:r w:rsidRPr="001D765D">
              <w:rPr>
                <w:sz w:val="20"/>
                <w:szCs w:val="20"/>
              </w:rPr>
              <w:t xml:space="preserve"> to boost Pacific workers for this sector. </w:t>
            </w:r>
          </w:p>
        </w:tc>
      </w:tr>
      <w:tr w:rsidR="0012027C" w14:paraId="4DF45926" w14:textId="77777777" w:rsidTr="00D50336">
        <w:tc>
          <w:tcPr>
            <w:tcW w:w="4390" w:type="dxa"/>
          </w:tcPr>
          <w:p w14:paraId="0B1E2DC4" w14:textId="0528DBFE" w:rsidR="0012027C" w:rsidRPr="001D765D" w:rsidRDefault="0012027C" w:rsidP="006C1CA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Examples of partnering with the private sector and other regional partners to ensure supply lines are open </w:t>
            </w:r>
          </w:p>
        </w:tc>
        <w:tc>
          <w:tcPr>
            <w:tcW w:w="6146" w:type="dxa"/>
          </w:tcPr>
          <w:p w14:paraId="4C109645" w14:textId="7FF360D1" w:rsidR="00A47792" w:rsidRPr="001D765D" w:rsidRDefault="009469EF" w:rsidP="00AE5BAE">
            <w:pPr>
              <w:pStyle w:val="Bullet1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D</w:t>
            </w:r>
            <w:r w:rsidR="00A47792" w:rsidRPr="001D765D">
              <w:rPr>
                <w:sz w:val="20"/>
                <w:szCs w:val="20"/>
              </w:rPr>
              <w:t xml:space="preserve">elivered over 60 tonnes of COVID-19 tests, </w:t>
            </w:r>
            <w:proofErr w:type="gramStart"/>
            <w:r w:rsidR="00A47792" w:rsidRPr="001D765D">
              <w:rPr>
                <w:sz w:val="20"/>
                <w:szCs w:val="20"/>
              </w:rPr>
              <w:t>vaccines</w:t>
            </w:r>
            <w:proofErr w:type="gramEnd"/>
            <w:r w:rsidR="00A47792" w:rsidRPr="001D765D">
              <w:rPr>
                <w:sz w:val="20"/>
                <w:szCs w:val="20"/>
              </w:rPr>
              <w:t xml:space="preserve"> and medical supplies to 13 Pacific island countries and Timor-Leste</w:t>
            </w:r>
            <w:r w:rsidR="00BC7113" w:rsidRPr="001D765D">
              <w:rPr>
                <w:sz w:val="20"/>
                <w:szCs w:val="20"/>
              </w:rPr>
              <w:t>.</w:t>
            </w:r>
            <w:r w:rsidR="00414E23" w:rsidRPr="001D765D">
              <w:rPr>
                <w:sz w:val="20"/>
                <w:szCs w:val="20"/>
              </w:rPr>
              <w:t xml:space="preserve"> </w:t>
            </w:r>
          </w:p>
          <w:p w14:paraId="1FCE71E6" w14:textId="339DC19C" w:rsidR="00A47792" w:rsidRPr="001D765D" w:rsidRDefault="009469EF" w:rsidP="00DB64A3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P</w:t>
            </w:r>
            <w:r w:rsidR="00B842A5" w:rsidRPr="001D765D">
              <w:rPr>
                <w:sz w:val="20"/>
                <w:szCs w:val="20"/>
              </w:rPr>
              <w:t xml:space="preserve">artnered with </w:t>
            </w:r>
            <w:r w:rsidR="009C4BCC" w:rsidRPr="001D765D">
              <w:rPr>
                <w:sz w:val="20"/>
                <w:szCs w:val="20"/>
              </w:rPr>
              <w:t xml:space="preserve">five </w:t>
            </w:r>
            <w:r w:rsidR="00B842A5" w:rsidRPr="001D765D">
              <w:rPr>
                <w:sz w:val="20"/>
                <w:szCs w:val="20"/>
              </w:rPr>
              <w:t>commercial airlines</w:t>
            </w:r>
            <w:r w:rsidRPr="001D765D">
              <w:rPr>
                <w:sz w:val="20"/>
                <w:szCs w:val="20"/>
              </w:rPr>
              <w:t>, through the Pacific Flights Program</w:t>
            </w:r>
            <w:r w:rsidR="00ED3353" w:rsidRPr="001D765D">
              <w:rPr>
                <w:sz w:val="20"/>
                <w:szCs w:val="20"/>
              </w:rPr>
              <w:t xml:space="preserve"> under COVID-19 Response Package for the Pacific and Timor-Leste</w:t>
            </w:r>
            <w:r w:rsidRPr="001D765D">
              <w:rPr>
                <w:sz w:val="20"/>
                <w:szCs w:val="20"/>
              </w:rPr>
              <w:t xml:space="preserve">, </w:t>
            </w:r>
            <w:r w:rsidR="00B842A5" w:rsidRPr="001D765D">
              <w:rPr>
                <w:sz w:val="20"/>
                <w:szCs w:val="20"/>
              </w:rPr>
              <w:t xml:space="preserve">to facilitate </w:t>
            </w:r>
            <w:r w:rsidR="00A47792" w:rsidRPr="001D765D">
              <w:rPr>
                <w:sz w:val="20"/>
                <w:szCs w:val="20"/>
              </w:rPr>
              <w:t xml:space="preserve">the delivery of essential personnel and freight </w:t>
            </w:r>
            <w:r w:rsidR="00BC7113" w:rsidRPr="001D765D">
              <w:rPr>
                <w:sz w:val="20"/>
                <w:szCs w:val="20"/>
              </w:rPr>
              <w:t>–</w:t>
            </w:r>
            <w:r w:rsidR="00A47792" w:rsidRPr="001D765D">
              <w:rPr>
                <w:sz w:val="20"/>
                <w:szCs w:val="20"/>
              </w:rPr>
              <w:t xml:space="preserve"> including</w:t>
            </w:r>
            <w:r w:rsidR="00BC7113" w:rsidRPr="001D765D">
              <w:rPr>
                <w:sz w:val="20"/>
                <w:szCs w:val="20"/>
              </w:rPr>
              <w:t xml:space="preserve"> COVID-19 </w:t>
            </w:r>
            <w:r w:rsidR="00A47792" w:rsidRPr="001D765D">
              <w:rPr>
                <w:sz w:val="20"/>
                <w:szCs w:val="20"/>
              </w:rPr>
              <w:t>vaccines</w:t>
            </w:r>
            <w:r w:rsidR="00BC7113" w:rsidRPr="001D765D">
              <w:rPr>
                <w:sz w:val="20"/>
                <w:szCs w:val="20"/>
              </w:rPr>
              <w:t xml:space="preserve">, </w:t>
            </w:r>
            <w:r w:rsidR="00A47792" w:rsidRPr="001D765D">
              <w:rPr>
                <w:sz w:val="20"/>
                <w:szCs w:val="20"/>
              </w:rPr>
              <w:t>medical and humanitarian supplies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Pr="001D765D">
              <w:rPr>
                <w:sz w:val="20"/>
                <w:szCs w:val="20"/>
              </w:rPr>
              <w:t>This</w:t>
            </w:r>
            <w:r w:rsidR="00A47792" w:rsidRPr="001D765D">
              <w:rPr>
                <w:sz w:val="20"/>
                <w:szCs w:val="20"/>
              </w:rPr>
              <w:t xml:space="preserve"> enabled critical regular and scheduled air connectivity between Australia, Pacific island countries and Timor-Leste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862C24" w:rsidRPr="001D765D">
              <w:rPr>
                <w:sz w:val="20"/>
                <w:szCs w:val="20"/>
              </w:rPr>
              <w:t xml:space="preserve">It </w:t>
            </w:r>
            <w:r w:rsidR="00A47792" w:rsidRPr="001D765D">
              <w:rPr>
                <w:sz w:val="20"/>
                <w:szCs w:val="20"/>
              </w:rPr>
              <w:t xml:space="preserve">supported vital supply lines for people, goods and services into Vanuatu, Solomon Islands, </w:t>
            </w:r>
            <w:r w:rsidR="006D247B" w:rsidRPr="001D765D">
              <w:rPr>
                <w:sz w:val="20"/>
                <w:szCs w:val="20"/>
              </w:rPr>
              <w:t>PNG</w:t>
            </w:r>
            <w:r w:rsidR="00A47792" w:rsidRPr="001D765D">
              <w:rPr>
                <w:sz w:val="20"/>
                <w:szCs w:val="20"/>
              </w:rPr>
              <w:t xml:space="preserve">, </w:t>
            </w:r>
            <w:proofErr w:type="gramStart"/>
            <w:r w:rsidR="00A47792" w:rsidRPr="001D765D">
              <w:rPr>
                <w:sz w:val="20"/>
                <w:szCs w:val="20"/>
              </w:rPr>
              <w:t>Tonga</w:t>
            </w:r>
            <w:proofErr w:type="gramEnd"/>
            <w:r w:rsidR="00A47792" w:rsidRPr="001D765D">
              <w:rPr>
                <w:sz w:val="20"/>
                <w:szCs w:val="20"/>
              </w:rPr>
              <w:t xml:space="preserve"> and Timor-Leste.</w:t>
            </w:r>
          </w:p>
        </w:tc>
      </w:tr>
      <w:tr w:rsidR="0012027C" w14:paraId="51A15CF9" w14:textId="77777777" w:rsidTr="00D50336">
        <w:tc>
          <w:tcPr>
            <w:tcW w:w="4390" w:type="dxa"/>
          </w:tcPr>
          <w:p w14:paraId="3C75C9F9" w14:textId="0BF2B493" w:rsidR="0012027C" w:rsidRPr="001D765D" w:rsidRDefault="0012027C" w:rsidP="006C1CA9">
            <w:pPr>
              <w:widowControl w:val="0"/>
              <w:spacing w:before="0" w:after="0" w:line="240" w:lineRule="auto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Countries Australia has supported in the </w:t>
            </w:r>
            <w:r w:rsidR="00755EAB" w:rsidRPr="001D765D">
              <w:rPr>
                <w:sz w:val="20"/>
                <w:szCs w:val="20"/>
              </w:rPr>
              <w:t xml:space="preserve">past </w:t>
            </w:r>
            <w:r w:rsidRPr="001D765D">
              <w:rPr>
                <w:sz w:val="20"/>
                <w:szCs w:val="20"/>
              </w:rPr>
              <w:t>12 months with policy and technical advice on stimulus measures and longer-term fiscal and economic recovery initiatives (including examples of assistance provided and results achieved) [target: fourteen]</w:t>
            </w:r>
          </w:p>
        </w:tc>
        <w:tc>
          <w:tcPr>
            <w:tcW w:w="6146" w:type="dxa"/>
          </w:tcPr>
          <w:p w14:paraId="1AF4342F" w14:textId="11F94A76" w:rsidR="005629AF" w:rsidRPr="001D765D" w:rsidRDefault="009469EF" w:rsidP="00AE5BAE">
            <w:pPr>
              <w:pStyle w:val="Bullet1"/>
              <w:rPr>
                <w:i/>
                <w:iCs/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</w:t>
            </w:r>
            <w:r w:rsidR="005629AF" w:rsidRPr="001D765D">
              <w:rPr>
                <w:sz w:val="20"/>
                <w:szCs w:val="20"/>
              </w:rPr>
              <w:t xml:space="preserve">upported </w:t>
            </w:r>
            <w:r w:rsidR="0069041C" w:rsidRPr="001D765D">
              <w:rPr>
                <w:sz w:val="20"/>
                <w:szCs w:val="20"/>
              </w:rPr>
              <w:t>14</w:t>
            </w:r>
            <w:r w:rsidR="005629AF" w:rsidRPr="001D765D">
              <w:rPr>
                <w:sz w:val="20"/>
                <w:szCs w:val="20"/>
              </w:rPr>
              <w:t xml:space="preserve"> countries on fiscal and economic policy and technical advice through the </w:t>
            </w:r>
            <w:r w:rsidR="00ED3353" w:rsidRPr="001D765D">
              <w:rPr>
                <w:sz w:val="20"/>
                <w:szCs w:val="20"/>
              </w:rPr>
              <w:t>COVID-19 Response Package for the Pacific and Timor-Leste</w:t>
            </w:r>
            <w:r w:rsidR="0041412F" w:rsidRPr="001D765D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2848407C" w14:textId="3A68453C" w:rsidR="00392062" w:rsidRPr="001D765D" w:rsidRDefault="009469EF" w:rsidP="000C1A7A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>S</w:t>
            </w:r>
            <w:r w:rsidR="00392062" w:rsidRPr="001D765D">
              <w:rPr>
                <w:sz w:val="20"/>
                <w:szCs w:val="20"/>
              </w:rPr>
              <w:t xml:space="preserve">upported </w:t>
            </w:r>
            <w:r w:rsidR="00070316" w:rsidRPr="001D765D">
              <w:rPr>
                <w:sz w:val="20"/>
                <w:szCs w:val="20"/>
              </w:rPr>
              <w:t>Pacific Agreement on Closer Economic Relations Plus (</w:t>
            </w:r>
            <w:r w:rsidR="00392062" w:rsidRPr="001D765D">
              <w:rPr>
                <w:sz w:val="20"/>
                <w:szCs w:val="20"/>
              </w:rPr>
              <w:t>PACER Plus</w:t>
            </w:r>
            <w:r w:rsidR="00070316" w:rsidRPr="001D765D">
              <w:rPr>
                <w:sz w:val="20"/>
                <w:szCs w:val="20"/>
              </w:rPr>
              <w:t>)</w:t>
            </w:r>
            <w:r w:rsidR="00392062" w:rsidRPr="001D765D">
              <w:rPr>
                <w:sz w:val="20"/>
                <w:szCs w:val="20"/>
              </w:rPr>
              <w:t xml:space="preserve"> signatory countries with the PACER Plus Readiness Package focused on legislative drafting, customs modernisation, training on notification requirements, public outreach, and revenue planning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392062" w:rsidRPr="001D765D">
              <w:rPr>
                <w:sz w:val="20"/>
                <w:szCs w:val="20"/>
              </w:rPr>
              <w:t xml:space="preserve">The PACER Plus trade agreement entered into force in December 2020 </w:t>
            </w:r>
            <w:r w:rsidR="006F4C60" w:rsidRPr="001D765D">
              <w:rPr>
                <w:sz w:val="20"/>
                <w:szCs w:val="20"/>
              </w:rPr>
              <w:t>on ratification by</w:t>
            </w:r>
            <w:r w:rsidR="00392062" w:rsidRPr="001D765D">
              <w:rPr>
                <w:sz w:val="20"/>
                <w:szCs w:val="20"/>
              </w:rPr>
              <w:t xml:space="preserve"> the required eighth signatory.</w:t>
            </w:r>
          </w:p>
          <w:p w14:paraId="0DD22350" w14:textId="3B77952D" w:rsidR="0012027C" w:rsidRPr="001D765D" w:rsidRDefault="009469EF" w:rsidP="000C1A7A">
            <w:pPr>
              <w:spacing w:before="80" w:after="40"/>
              <w:rPr>
                <w:sz w:val="20"/>
                <w:szCs w:val="20"/>
              </w:rPr>
            </w:pPr>
            <w:r w:rsidRPr="001D765D">
              <w:rPr>
                <w:sz w:val="20"/>
                <w:szCs w:val="20"/>
              </w:rPr>
              <w:t xml:space="preserve">Supported </w:t>
            </w:r>
            <w:r w:rsidR="00CE099B" w:rsidRPr="001D765D">
              <w:rPr>
                <w:sz w:val="20"/>
                <w:szCs w:val="20"/>
              </w:rPr>
              <w:t xml:space="preserve">improvements to </w:t>
            </w:r>
            <w:r w:rsidR="0099297F" w:rsidRPr="001D765D">
              <w:rPr>
                <w:sz w:val="20"/>
                <w:szCs w:val="20"/>
              </w:rPr>
              <w:t xml:space="preserve">domestic financial systems and </w:t>
            </w:r>
            <w:r w:rsidR="00CE099B" w:rsidRPr="001D765D">
              <w:rPr>
                <w:sz w:val="20"/>
                <w:szCs w:val="20"/>
              </w:rPr>
              <w:t xml:space="preserve">the </w:t>
            </w:r>
            <w:r w:rsidR="0099297F" w:rsidRPr="001D765D">
              <w:rPr>
                <w:sz w:val="20"/>
                <w:szCs w:val="20"/>
              </w:rPr>
              <w:t>management of public finances</w:t>
            </w:r>
            <w:r w:rsidR="00414E23" w:rsidRPr="001D765D">
              <w:rPr>
                <w:sz w:val="20"/>
                <w:szCs w:val="20"/>
              </w:rPr>
              <w:t xml:space="preserve">. </w:t>
            </w:r>
            <w:r w:rsidR="00CE099B" w:rsidRPr="001D765D">
              <w:rPr>
                <w:sz w:val="20"/>
                <w:szCs w:val="20"/>
              </w:rPr>
              <w:t>This included through</w:t>
            </w:r>
            <w:r w:rsidR="0099297F" w:rsidRPr="001D765D">
              <w:rPr>
                <w:sz w:val="20"/>
                <w:szCs w:val="20"/>
              </w:rPr>
              <w:t xml:space="preserve"> the Pacific Financial Technical Assistance Centre </w:t>
            </w:r>
            <w:r w:rsidR="00CE099B" w:rsidRPr="001D765D">
              <w:rPr>
                <w:sz w:val="20"/>
                <w:szCs w:val="20"/>
              </w:rPr>
              <w:t>to support nine</w:t>
            </w:r>
            <w:r w:rsidR="0099297F" w:rsidRPr="001D765D">
              <w:rPr>
                <w:sz w:val="20"/>
                <w:szCs w:val="20"/>
              </w:rPr>
              <w:t xml:space="preserve"> countries </w:t>
            </w:r>
            <w:r w:rsidR="00CE099B" w:rsidRPr="001D765D">
              <w:rPr>
                <w:sz w:val="20"/>
                <w:szCs w:val="20"/>
              </w:rPr>
              <w:t>with</w:t>
            </w:r>
            <w:r w:rsidR="005629AF" w:rsidRPr="001D765D">
              <w:rPr>
                <w:sz w:val="20"/>
                <w:szCs w:val="20"/>
              </w:rPr>
              <w:t xml:space="preserve">: public finance management roadmaps (PNG, Tonga), drafting of new legislation (Niue, Tonga), tax policy and revenue reforms (Nauru, Fiji, </w:t>
            </w:r>
            <w:r w:rsidR="0099297F" w:rsidRPr="001D765D">
              <w:rPr>
                <w:sz w:val="20"/>
                <w:szCs w:val="20"/>
              </w:rPr>
              <w:t xml:space="preserve">Vanuatu, </w:t>
            </w:r>
            <w:r w:rsidR="005629AF" w:rsidRPr="001D765D">
              <w:rPr>
                <w:sz w:val="20"/>
                <w:szCs w:val="20"/>
              </w:rPr>
              <w:t>Cook Islands, Kiribati, Samoa, Tonga) and develop</w:t>
            </w:r>
            <w:r w:rsidR="0099297F" w:rsidRPr="001D765D">
              <w:rPr>
                <w:sz w:val="20"/>
                <w:szCs w:val="20"/>
              </w:rPr>
              <w:t>ing</w:t>
            </w:r>
            <w:r w:rsidR="005629AF" w:rsidRPr="001D765D">
              <w:rPr>
                <w:sz w:val="20"/>
                <w:szCs w:val="20"/>
              </w:rPr>
              <w:t xml:space="preserve"> medium term revenue recovery options (Fiji)</w:t>
            </w:r>
            <w:r w:rsidR="00414E23" w:rsidRPr="001D765D">
              <w:rPr>
                <w:sz w:val="20"/>
                <w:szCs w:val="20"/>
              </w:rPr>
              <w:t xml:space="preserve">. </w:t>
            </w:r>
          </w:p>
        </w:tc>
      </w:tr>
    </w:tbl>
    <w:p w14:paraId="13FF90B6" w14:textId="77777777" w:rsidR="001D765D" w:rsidRDefault="001D765D" w:rsidP="00CD53B6">
      <w:pPr>
        <w:pStyle w:val="Heading2"/>
      </w:pPr>
    </w:p>
    <w:p w14:paraId="3B37BFA1" w14:textId="77777777" w:rsidR="001D765D" w:rsidRDefault="001D765D">
      <w:pPr>
        <w:suppressAutoHyphens w:val="0"/>
        <w:spacing w:before="0" w:after="120" w:line="440" w:lineRule="atLeast"/>
        <w:rPr>
          <w:rFonts w:asciiTheme="majorHAnsi" w:eastAsiaTheme="majorEastAsia" w:hAnsiTheme="majorHAnsi" w:cstheme="majorBidi"/>
          <w:b/>
          <w:caps/>
          <w:szCs w:val="26"/>
        </w:rPr>
      </w:pPr>
      <w:r>
        <w:br w:type="page"/>
      </w:r>
    </w:p>
    <w:p w14:paraId="06ABEE3D" w14:textId="4E5F5B20" w:rsidR="00D1231A" w:rsidRDefault="00121DDD" w:rsidP="00CD53B6">
      <w:pPr>
        <w:pStyle w:val="Heading2"/>
      </w:pPr>
      <w:r>
        <w:lastRenderedPageBreak/>
        <w:t>Annex 2</w:t>
      </w:r>
      <w:r w:rsidR="00D1231A" w:rsidRPr="00D1231A">
        <w:t xml:space="preserve">: </w:t>
      </w:r>
      <w:r w:rsidR="00D1231A">
        <w:t>I</w:t>
      </w:r>
      <w:r w:rsidR="00D1231A" w:rsidRPr="00D1231A">
        <w:t>nvestment Performance</w:t>
      </w:r>
      <w:r w:rsidR="000F78C9"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CD53B6" w:rsidRPr="00AF18F4" w14:paraId="67982C3A" w14:textId="77777777" w:rsidTr="00D13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2DCD1" w:themeFill="accent1" w:themeFillTint="99"/>
            <w:noWrap/>
            <w:vAlign w:val="center"/>
            <w:hideMark/>
          </w:tcPr>
          <w:p w14:paraId="0C907A72" w14:textId="77777777" w:rsidR="00CD53B6" w:rsidRPr="00CE6C4A" w:rsidRDefault="00CD53B6" w:rsidP="0034414D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b/>
                <w:color w:val="404040"/>
                <w:sz w:val="20"/>
              </w:rPr>
              <w:t>Investment Details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vAlign w:val="center"/>
            <w:hideMark/>
          </w:tcPr>
          <w:p w14:paraId="1DB620E3" w14:textId="58AB1A98" w:rsidR="00CD53B6" w:rsidRPr="00CE6C4A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b/>
                <w:color w:val="404040"/>
                <w:sz w:val="20"/>
              </w:rPr>
              <w:t>Year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vAlign w:val="center"/>
            <w:hideMark/>
          </w:tcPr>
          <w:p w14:paraId="6F186427" w14:textId="77777777" w:rsidR="00CD53B6" w:rsidRPr="00CE6C4A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b/>
                <w:color w:val="404040"/>
                <w:sz w:val="20"/>
              </w:rPr>
              <w:t>Effectiveness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vAlign w:val="center"/>
            <w:hideMark/>
          </w:tcPr>
          <w:p w14:paraId="15C71525" w14:textId="77777777" w:rsidR="00CD53B6" w:rsidRPr="00CE6C4A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b/>
                <w:color w:val="404040"/>
                <w:sz w:val="20"/>
              </w:rPr>
              <w:t>Efficiency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1182F25A" w14:textId="77777777" w:rsidR="00CD53B6" w:rsidRPr="00CE6C4A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b/>
                <w:color w:val="404040"/>
                <w:sz w:val="20"/>
              </w:rPr>
              <w:t>Gender Equality</w:t>
            </w:r>
          </w:p>
        </w:tc>
      </w:tr>
      <w:tr w:rsidR="00CD53B6" w:rsidRPr="00AF18F4" w14:paraId="66563BC4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53E59C7D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University of the South Pacific Partnership</w:t>
            </w:r>
          </w:p>
        </w:tc>
        <w:tc>
          <w:tcPr>
            <w:tcW w:w="1134" w:type="dxa"/>
          </w:tcPr>
          <w:p w14:paraId="2AB1451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6DB39F5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noWrap/>
          </w:tcPr>
          <w:p w14:paraId="1EF4208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noWrap/>
          </w:tcPr>
          <w:p w14:paraId="16917C3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AF18F4" w14:paraId="6D818966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153FB17C" w14:textId="788D8793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2010-25; Budget: $186.</w:t>
            </w:r>
            <w:r w:rsidRPr="00FB532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1m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4788AF5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61BCBAB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2054955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67F2ED2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22876F12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1D80F4C9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Australia Pacific Training Coalition (Stage 3)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3B77B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F6BB5B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2227F7F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261871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D53B6" w:rsidRPr="00AF18F4" w14:paraId="463F1087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40BCBB90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2017-24; Budget: $158.7m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745BB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1EFD54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28D69F9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CB4918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29C049DD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7C69DEE2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Women Shaping Pacific Development</w:t>
            </w:r>
          </w:p>
        </w:tc>
        <w:tc>
          <w:tcPr>
            <w:tcW w:w="1134" w:type="dxa"/>
          </w:tcPr>
          <w:p w14:paraId="04988E2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6B91053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noWrap/>
          </w:tcPr>
          <w:p w14:paraId="3581F38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noWrap/>
          </w:tcPr>
          <w:p w14:paraId="55689F9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AF18F4" w14:paraId="45A78FBA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50DE787A" w14:textId="05642510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2012-22; Budget: $</w:t>
            </w:r>
            <w:r w:rsidRPr="00FB532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149.8m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01C0CE5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5CB7C5C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112B40A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35C43F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11805692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4841B33A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Fisheries Development Assistance in the Pacific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859E0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00D145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40D3241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F1CDE1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AF18F4" w14:paraId="4B9ED422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0385E699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2010-26; Budget: $135.3m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EC40F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C85253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AF16E8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B29BF5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4305ED75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273D0088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Australia Pacific Climate Partnership</w:t>
            </w:r>
          </w:p>
        </w:tc>
        <w:tc>
          <w:tcPr>
            <w:tcW w:w="1134" w:type="dxa"/>
          </w:tcPr>
          <w:p w14:paraId="6A4A35A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3BF81B4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noWrap/>
          </w:tcPr>
          <w:p w14:paraId="383A8E8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noWrap/>
          </w:tcPr>
          <w:p w14:paraId="397B1CA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AF18F4" w14:paraId="25AF514B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55737858" w14:textId="711CC2FF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2018-25; Budget: $</w:t>
            </w:r>
            <w:r w:rsidRPr="00FB532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114.3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49DCB5D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337D15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7F66DC3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281AC2C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7F43BA88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51CE6D88" w14:textId="77777777" w:rsidR="00CD53B6" w:rsidRPr="00FB5326" w:rsidRDefault="00CD53B6" w:rsidP="005D3CB6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Community (SPC) and Government of Australia Partnership for Pacific Regionalism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74CD89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A1DFF0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4BCEB2F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3B5C49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28A85009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6457DFE7" w14:textId="41814435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 xml:space="preserve">Investment duration: </w:t>
            </w:r>
            <w:r w:rsidRPr="00FB532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2014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-</w:t>
            </w:r>
            <w:r w:rsidRPr="00FB532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20</w:t>
            </w:r>
            <w:r w:rsidRPr="00CE6C4A">
              <w:rPr>
                <w:rFonts w:asciiTheme="minorHAnsi" w:hAnsiTheme="minorHAnsi"/>
                <w:color w:val="404040"/>
                <w:sz w:val="20"/>
              </w:rPr>
              <w:t>; Budget: $109.0m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357B5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0CA351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3864785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168B30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65FADDB2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5C1329DC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7A3863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G</w:t>
            </w: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overnment of Australia – Pacific Island Forum Secretariat (</w:t>
            </w: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PIFS</w:t>
            </w: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)</w:t>
            </w: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 Partnership 2014</w:t>
            </w: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-</w:t>
            </w: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134" w:type="dxa"/>
          </w:tcPr>
          <w:p w14:paraId="6639B1E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4E6BC0E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noWrap/>
          </w:tcPr>
          <w:p w14:paraId="16D3C4F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noWrap/>
          </w:tcPr>
          <w:p w14:paraId="5538254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6D105328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6417EBC0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2014-23; Budget: $89.6m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04BC08C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CA9A6F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53762D9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77BEC81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7D5E6EE1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26531626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Labour Mobility and Remittances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8589F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A09D01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358117F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48214A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68177146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2AD09A63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2017-23; Budget: $82.0m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BF8A2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222D66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D86F82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DEB548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39C15463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66617247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Regional Health Strategy</w:t>
            </w:r>
          </w:p>
        </w:tc>
        <w:tc>
          <w:tcPr>
            <w:tcW w:w="1134" w:type="dxa"/>
          </w:tcPr>
          <w:p w14:paraId="436A048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553D919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noWrap/>
          </w:tcPr>
          <w:p w14:paraId="3607AED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noWrap/>
          </w:tcPr>
          <w:p w14:paraId="5FCC400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7B8E5227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48CF3FDE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2013-25; Budget: $70.7m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51D202B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00BDE80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107A9F4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B3CEE4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4E8FF9E3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1DF28C6B" w14:textId="77777777" w:rsidR="00CD53B6" w:rsidRPr="00FB5326" w:rsidRDefault="00CD53B6" w:rsidP="005D3CB6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World Bank Pacific Facility 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D01AE3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485BA3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946A7F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6A6F84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D53B6" w:rsidRPr="00FB5326" w14:paraId="210A93BB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04724C7D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2013-22; Budget: $64.0m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ED14C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542E71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62A749A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6C224C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7876FF9F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2DD23CCF" w14:textId="23AA4CF6" w:rsidR="00CD53B6" w:rsidRPr="00CE6C4A" w:rsidRDefault="0007031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United Nations Development Program</w:t>
            </w: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 </w:t>
            </w:r>
            <w:r w:rsidR="00CD53B6"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Sub Regional Centre</w:t>
            </w:r>
          </w:p>
        </w:tc>
        <w:tc>
          <w:tcPr>
            <w:tcW w:w="1134" w:type="dxa"/>
          </w:tcPr>
          <w:p w14:paraId="75739CC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6F5348E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noWrap/>
          </w:tcPr>
          <w:p w14:paraId="691FA27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noWrap/>
          </w:tcPr>
          <w:p w14:paraId="7DA9DC5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52C2CABF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08396715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2006-23; Budget: $38.9m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1D344EE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7AC37ED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38E6855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7E95C56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08B2A71C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15E8E26C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PACER Plus Support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243055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03034E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46AE73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2434627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D53B6" w:rsidRPr="00FB5326" w14:paraId="11AECCDA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48C186E8" w14:textId="17228829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2007-24; Budget: $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25</w:t>
            </w:r>
            <w:r w:rsidRPr="005C5A16">
              <w:rPr>
                <w:rFonts w:asciiTheme="minorHAnsi" w:hAnsiTheme="minorHAnsi"/>
                <w:color w:val="404040"/>
                <w:sz w:val="20"/>
              </w:rPr>
              <w:t>.6m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36152C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7B1E76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4F08047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1A0D24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12262D58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79F57460" w14:textId="77777777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Research Program</w:t>
            </w:r>
          </w:p>
        </w:tc>
        <w:tc>
          <w:tcPr>
            <w:tcW w:w="1134" w:type="dxa"/>
          </w:tcPr>
          <w:p w14:paraId="587E808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0815574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noWrap/>
          </w:tcPr>
          <w:p w14:paraId="35C29E1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noWrap/>
          </w:tcPr>
          <w:p w14:paraId="06374A3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2E81A83E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5DA63FE4" w14:textId="77777777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2017-22; Budget: $25.3m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4DEDED2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BAF335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4B51E32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1F8438B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1E4B026D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3F20167C" w14:textId="575746C4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COVID-19 Pacific</w:t>
            </w:r>
            <w:r w:rsidR="0041412F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 and </w:t>
            </w: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Timor-Leste Preparedness and Recovery NGO Partnership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0B633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8EA42D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E12463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E1C49E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78A982DA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3EA8C060" w14:textId="22CE5DBF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 xml:space="preserve">Investment duration: 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2020</w:t>
            </w:r>
            <w:r w:rsidRPr="005C5A16">
              <w:rPr>
                <w:rFonts w:asciiTheme="minorHAnsi" w:hAnsiTheme="minorHAnsi"/>
                <w:color w:val="404040"/>
                <w:sz w:val="20"/>
              </w:rPr>
              <w:t>-22; Budget: $25.0m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E9063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8A0D9B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DCD9BC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3DCCCC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</w:tr>
      <w:tr w:rsidR="00CD53B6" w:rsidRPr="00FB5326" w14:paraId="1599CEC0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1A0DCFD2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Public Administration Governance Initiative</w:t>
            </w:r>
          </w:p>
        </w:tc>
        <w:tc>
          <w:tcPr>
            <w:tcW w:w="1134" w:type="dxa"/>
          </w:tcPr>
          <w:p w14:paraId="1EEA710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22FFB75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noWrap/>
          </w:tcPr>
          <w:p w14:paraId="4728961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noWrap/>
          </w:tcPr>
          <w:p w14:paraId="7B12A6E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D53B6" w:rsidRPr="00FB5326" w14:paraId="086F4DA3" w14:textId="77777777" w:rsidTr="00D1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489D65B4" w14:textId="2CFE5F9B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2014-24; Budget: $24.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9m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59538EF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759FAA9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0961149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6C5EB5B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D53B6" w:rsidRPr="00FB5326" w14:paraId="6CEBC5B9" w14:textId="77777777" w:rsidTr="00D13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31021366" w14:textId="4A42BF65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Regional Market Access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7AEF7D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E66A70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322B30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53AD43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1CE14B77" w14:textId="77777777" w:rsidTr="00D13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65C5B4" w:themeColor="accent1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2C0D4DB5" w14:textId="5046DDE7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lastRenderedPageBreak/>
              <w:t>Investment duration: 2018-22; Budget: $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22.8m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6AEA3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1A7916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480EA7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70AFA1D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AF18F4" w14:paraId="6C3CCF4A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0A18E648" w14:textId="77777777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Ocean Assistance in the Pacific</w:t>
            </w:r>
          </w:p>
        </w:tc>
        <w:tc>
          <w:tcPr>
            <w:tcW w:w="1134" w:type="dxa"/>
          </w:tcPr>
          <w:p w14:paraId="784707A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57FDBE6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noWrap/>
          </w:tcPr>
          <w:p w14:paraId="3C7D5CF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noWrap/>
          </w:tcPr>
          <w:p w14:paraId="30634AE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634B4DC5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73E92824" w14:textId="77777777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2018-26; Budget: $19.2m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52B5DA6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2588557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7A44A5D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69A94C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5CA1E473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5AF35B7A" w14:textId="7DB558A2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DFAT- Education Quality Assessment Program Partnership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093A2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E08B40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7EF00DF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A53D1B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467C1864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49C5F0BC" w14:textId="77777777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2017-23; Budget: $18.1m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B137C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2EB5EB8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419FEF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45686B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AF18F4" w14:paraId="31743242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21C0875A" w14:textId="77777777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Partnership II with IFC</w:t>
            </w:r>
          </w:p>
        </w:tc>
        <w:tc>
          <w:tcPr>
            <w:tcW w:w="1134" w:type="dxa"/>
          </w:tcPr>
          <w:p w14:paraId="7215450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3507479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134" w:type="dxa"/>
            <w:noWrap/>
          </w:tcPr>
          <w:p w14:paraId="7352182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276" w:type="dxa"/>
            <w:noWrap/>
          </w:tcPr>
          <w:p w14:paraId="2F74DDF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D53B6" w:rsidRPr="00FB5326" w14:paraId="42008499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51B8EC89" w14:textId="77777777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2017-22; Budget: $17.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7m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3E57267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06AEC1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10EFC77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59C3A79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26515E54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28EBC563" w14:textId="77777777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Support to Ten Year Pacific Statistics Strategy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003EB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C72742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0DDDEFD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64669B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791F9509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1A9C8ABE" w14:textId="4365BE12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2014-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22</w:t>
            </w:r>
            <w:r w:rsidRPr="005C5A16">
              <w:rPr>
                <w:rFonts w:asciiTheme="minorHAnsi" w:hAnsiTheme="minorHAnsi"/>
                <w:color w:val="404040"/>
                <w:sz w:val="20"/>
              </w:rPr>
              <w:t>; Budget: $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17</w:t>
            </w:r>
            <w:r w:rsidRPr="005C5A16">
              <w:rPr>
                <w:rFonts w:asciiTheme="minorHAnsi" w:hAnsiTheme="minorHAnsi"/>
                <w:color w:val="404040"/>
                <w:sz w:val="20"/>
              </w:rPr>
              <w:t>.2m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28366C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060AAC4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627FB3F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8275CC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D53B6" w:rsidRPr="00AF18F4" w14:paraId="63E4FC49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4BA56A70" w14:textId="77777777" w:rsidR="00CD53B6" w:rsidRPr="005C5A16" w:rsidRDefault="00CD53B6" w:rsidP="005D3CB6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Australia Pacific Security College Establishment</w:t>
            </w:r>
          </w:p>
        </w:tc>
        <w:tc>
          <w:tcPr>
            <w:tcW w:w="1134" w:type="dxa"/>
          </w:tcPr>
          <w:p w14:paraId="23F1216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749A662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noWrap/>
          </w:tcPr>
          <w:p w14:paraId="624D867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1276" w:type="dxa"/>
            <w:noWrap/>
          </w:tcPr>
          <w:p w14:paraId="532C41C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CD53B6" w:rsidRPr="00FB5326" w14:paraId="7C48E7C3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62AF59CE" w14:textId="085848EC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 xml:space="preserve">Investment duration: 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2019</w:t>
            </w:r>
            <w:r w:rsidRPr="005C5A16">
              <w:rPr>
                <w:rFonts w:asciiTheme="minorHAnsi" w:hAnsiTheme="minorHAnsi"/>
                <w:color w:val="404040"/>
                <w:sz w:val="20"/>
              </w:rPr>
              <w:t>-22; Budget: $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16.0m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7C15132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F8C4E1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549C34C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07A266A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</w:tr>
      <w:tr w:rsidR="00CD53B6" w:rsidRPr="00AF18F4" w14:paraId="298738D3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13F00E8A" w14:textId="77777777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Partnership Facility - Asian Development Bank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6A90C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24141E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C899DC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2676758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37960B7B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439BB165" w14:textId="77777777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2017-22; Budget: $15.0m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F1591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3F49D2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4A3EB9E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636F156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</w:tr>
      <w:tr w:rsidR="00CD53B6" w:rsidRPr="00AF18F4" w14:paraId="38DEDD0C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12434474" w14:textId="62BE3753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Media Assistance Scheme Phase 3</w:t>
            </w:r>
          </w:p>
        </w:tc>
        <w:tc>
          <w:tcPr>
            <w:tcW w:w="1134" w:type="dxa"/>
          </w:tcPr>
          <w:p w14:paraId="39A5D6A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2A28AD9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noWrap/>
          </w:tcPr>
          <w:p w14:paraId="759778E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noWrap/>
          </w:tcPr>
          <w:p w14:paraId="4F061EF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FB5326" w14:paraId="22E3F605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58D2DDBD" w14:textId="77777777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2017-22; Budget: $11.4m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2C91875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6601A26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67BFC05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243175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AF18F4" w14:paraId="6C949BAB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1E61F03D" w14:textId="77777777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Innovations in Financing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4A268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6DB4149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30874DC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51C0CD6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145BE884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1C24D241" w14:textId="3DF2456D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>Investment duration: 2015-21; Budget: $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10.6m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A2C714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EBC1E5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51E49B70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A2BFB7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</w:tr>
      <w:tr w:rsidR="00CD53B6" w:rsidRPr="00AF18F4" w14:paraId="60B87D40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24F3DE55" w14:textId="3FBBF1EF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Private Sector Development Initiative Phase IV</w:t>
            </w:r>
          </w:p>
        </w:tc>
        <w:tc>
          <w:tcPr>
            <w:tcW w:w="1134" w:type="dxa"/>
          </w:tcPr>
          <w:p w14:paraId="3AA51635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6A51B2F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noWrap/>
          </w:tcPr>
          <w:p w14:paraId="5B4C758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noWrap/>
          </w:tcPr>
          <w:p w14:paraId="1F4622F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FB5326" w14:paraId="23332527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E0F3EF" w:themeFill="accent1" w:themeFillTint="33"/>
          </w:tcPr>
          <w:p w14:paraId="20A9F571" w14:textId="415FC273" w:rsidR="00CD53B6" w:rsidRPr="005C5A16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5C5A16">
              <w:rPr>
                <w:rFonts w:asciiTheme="minorHAnsi" w:hAnsiTheme="minorHAnsi"/>
                <w:color w:val="404040"/>
                <w:sz w:val="20"/>
              </w:rPr>
              <w:t xml:space="preserve">Investment duration: 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2019</w:t>
            </w:r>
            <w:r w:rsidRPr="005C5A16">
              <w:rPr>
                <w:rFonts w:asciiTheme="minorHAnsi" w:hAnsiTheme="minorHAnsi"/>
                <w:color w:val="404040"/>
                <w:sz w:val="20"/>
              </w:rPr>
              <w:t>-24; Budget: $</w:t>
            </w:r>
            <w:r w:rsidRPr="005C5A1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10.2m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3339A6D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5C1BE06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34A3D00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0B71AE2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</w:tr>
      <w:tr w:rsidR="00CD53B6" w:rsidRPr="00AF18F4" w14:paraId="6EC81EAE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F2F2F2" w:themeFill="background1" w:themeFillShade="F2"/>
          </w:tcPr>
          <w:p w14:paraId="7C24FCDD" w14:textId="77777777" w:rsidR="00CD53B6" w:rsidRPr="005C5A16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5C5A1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Reducing the cost of remittances to the Pacific 2020 to 2025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05B73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2052F92C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2A2DE34E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D75E46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</w:tr>
      <w:tr w:rsidR="00CD53B6" w:rsidRPr="00FB5326" w14:paraId="09989E26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single" w:sz="4" w:space="0" w:color="65C5B4" w:themeColor="accent1"/>
            </w:tcBorders>
            <w:shd w:val="clear" w:color="auto" w:fill="F2F2F2" w:themeFill="background1" w:themeFillShade="F2"/>
          </w:tcPr>
          <w:p w14:paraId="0E4DDC32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2020-25; Budget: $5.2m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051BB1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4B04319D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7AF0257B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69DACA8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A50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n/a</w:t>
            </w:r>
          </w:p>
        </w:tc>
      </w:tr>
      <w:tr w:rsidR="00CD53B6" w:rsidRPr="00AF18F4" w14:paraId="4634751F" w14:textId="77777777" w:rsidTr="005D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bottom w:val="nil"/>
            </w:tcBorders>
            <w:shd w:val="clear" w:color="auto" w:fill="E0F3EF" w:themeFill="accent1" w:themeFillTint="33"/>
          </w:tcPr>
          <w:p w14:paraId="3EF7CA02" w14:textId="77777777" w:rsidR="00CD53B6" w:rsidRPr="00CE6C4A" w:rsidRDefault="00CD53B6" w:rsidP="005D3CB6">
            <w:pPr>
              <w:spacing w:before="0" w:after="0" w:line="240" w:lineRule="auto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Pacific Connect</w:t>
            </w:r>
          </w:p>
        </w:tc>
        <w:tc>
          <w:tcPr>
            <w:tcW w:w="1134" w:type="dxa"/>
          </w:tcPr>
          <w:p w14:paraId="430D7D07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2021</w:t>
            </w:r>
          </w:p>
        </w:tc>
        <w:tc>
          <w:tcPr>
            <w:tcW w:w="1276" w:type="dxa"/>
            <w:noWrap/>
          </w:tcPr>
          <w:p w14:paraId="7782484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noWrap/>
          </w:tcPr>
          <w:p w14:paraId="5C1B208F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noWrap/>
          </w:tcPr>
          <w:p w14:paraId="17BCEF49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  <w:tr w:rsidR="00CD53B6" w:rsidRPr="00AF18F4" w14:paraId="2916134A" w14:textId="77777777" w:rsidTr="005D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</w:tcBorders>
            <w:shd w:val="clear" w:color="auto" w:fill="E0F3EF" w:themeFill="accent1" w:themeFillTint="33"/>
          </w:tcPr>
          <w:p w14:paraId="657E098A" w14:textId="77777777" w:rsidR="00CD53B6" w:rsidRPr="00CE6C4A" w:rsidRDefault="00CD53B6" w:rsidP="005D3CB6">
            <w:pPr>
              <w:spacing w:before="0" w:after="0" w:line="240" w:lineRule="auto"/>
              <w:ind w:firstLineChars="100" w:firstLine="200"/>
              <w:rPr>
                <w:rFonts w:asciiTheme="minorHAnsi" w:hAnsiTheme="minorHAnsi"/>
                <w:b/>
                <w:color w:val="404040"/>
                <w:sz w:val="20"/>
              </w:rPr>
            </w:pPr>
            <w:r w:rsidRPr="00CE6C4A">
              <w:rPr>
                <w:rFonts w:asciiTheme="minorHAnsi" w:hAnsiTheme="minorHAnsi"/>
                <w:color w:val="404040"/>
                <w:sz w:val="20"/>
              </w:rPr>
              <w:t>Investment duration: 2019-23; Budget: $4.4m</w:t>
            </w:r>
          </w:p>
        </w:tc>
        <w:tc>
          <w:tcPr>
            <w:tcW w:w="1134" w:type="dxa"/>
            <w:shd w:val="clear" w:color="auto" w:fill="E0F3EF" w:themeFill="accent1" w:themeFillTint="33"/>
          </w:tcPr>
          <w:p w14:paraId="2F40E6D3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CE6C4A">
              <w:rPr>
                <w:rFonts w:asciiTheme="minorHAnsi" w:hAnsiTheme="minorHAnsi"/>
                <w:color w:val="000000"/>
                <w:sz w:val="20"/>
              </w:rPr>
              <w:t>2020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67E3F182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2EB505A8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71A6DA6A" w14:textId="77777777" w:rsidR="00CD53B6" w:rsidRPr="00CE6C4A" w:rsidRDefault="00CD53B6" w:rsidP="005D3CB6">
            <w:pPr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</w:rPr>
            </w:pPr>
            <w:r w:rsidRPr="00FB53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</w:tbl>
    <w:p w14:paraId="4EEEBE3F" w14:textId="77777777" w:rsidR="00CD53B6" w:rsidRDefault="00CD53B6" w:rsidP="00CD53B6">
      <w:pPr>
        <w:pStyle w:val="Heading2"/>
      </w:pPr>
      <w:r>
        <w:t>Final I</w:t>
      </w:r>
      <w:r w:rsidRPr="00D1231A">
        <w:t>nvestment Performance</w:t>
      </w:r>
      <w:r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134"/>
        <w:gridCol w:w="1276"/>
        <w:gridCol w:w="1134"/>
        <w:gridCol w:w="1276"/>
      </w:tblGrid>
      <w:tr w:rsidR="00CD53B6" w:rsidRPr="00AF18F4" w14:paraId="77FA34CB" w14:textId="77777777" w:rsidTr="005D3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380551DA" w14:textId="77777777" w:rsidR="00CD53B6" w:rsidRPr="005736BB" w:rsidRDefault="00CD53B6" w:rsidP="0034414D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Investment Details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3F21DF4D" w14:textId="724192D6" w:rsidR="00CD53B6" w:rsidRPr="005736BB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Year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11807547" w14:textId="77777777" w:rsidR="00CD53B6" w:rsidRPr="005736BB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Effectiveness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081FD247" w14:textId="77777777" w:rsidR="00CD53B6" w:rsidRPr="005736BB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Efficiency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A2DCD1" w:themeFill="accent1" w:themeFillTint="99"/>
            <w:noWrap/>
            <w:hideMark/>
          </w:tcPr>
          <w:p w14:paraId="47D2AB16" w14:textId="77777777" w:rsidR="00CD53B6" w:rsidRPr="005736BB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5736BB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Gender Equality</w:t>
            </w:r>
          </w:p>
        </w:tc>
      </w:tr>
      <w:tr w:rsidR="00CD53B6" w:rsidRPr="00AF18F4" w14:paraId="351B0056" w14:textId="77777777" w:rsidTr="005D3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il"/>
            </w:tcBorders>
            <w:shd w:val="clear" w:color="auto" w:fill="F2F2F2" w:themeFill="background1" w:themeFillShade="F2"/>
            <w:vAlign w:val="bottom"/>
            <w:hideMark/>
          </w:tcPr>
          <w:p w14:paraId="54C84CBA" w14:textId="14E4CBFF" w:rsidR="00CD53B6" w:rsidRPr="00EA38CE" w:rsidRDefault="00CD53B6" w:rsidP="0034414D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>Regional Rights Resource Team</w:t>
            </w:r>
            <w: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  <w:t xml:space="preserve"> </w:t>
            </w:r>
          </w:p>
          <w:p w14:paraId="23345483" w14:textId="77777777" w:rsidR="00CD53B6" w:rsidRPr="00CA5021" w:rsidRDefault="00CD53B6" w:rsidP="0034414D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99AF05F" w14:textId="77777777" w:rsidR="00CD53B6" w:rsidRPr="00CA5021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2021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042AA1" w14:textId="77777777" w:rsidR="00CD53B6" w:rsidRPr="00CA5021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E42C39" w14:textId="77777777" w:rsidR="00CD53B6" w:rsidRPr="00CA5021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812FFE" w14:textId="77777777" w:rsidR="00CD53B6" w:rsidRPr="00CA5021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4</w:t>
            </w:r>
          </w:p>
        </w:tc>
      </w:tr>
      <w:tr w:rsidR="00CD53B6" w:rsidRPr="00AF18F4" w14:paraId="11B05677" w14:textId="77777777" w:rsidTr="005D3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il"/>
              <w:bottom w:val="none" w:sz="0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7E8ADA5" w14:textId="77777777" w:rsidR="00CD53B6" w:rsidRPr="00CA5021" w:rsidRDefault="00CD53B6" w:rsidP="0034414D">
            <w:pPr>
              <w:spacing w:before="0" w:after="0" w:line="240" w:lineRule="auto"/>
              <w:ind w:firstLineChars="100" w:firstLine="200"/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</w:pPr>
            <w:r w:rsidRPr="00FB532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Investment duration: 2006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-</w:t>
            </w:r>
            <w:r w:rsidRPr="00FB5326"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21; Budget: $16.0</w:t>
            </w:r>
            <w:r>
              <w:rPr>
                <w:rFonts w:asciiTheme="minorHAnsi" w:eastAsia="Times New Roman" w:hAnsiTheme="minorHAnsi" w:cstheme="minorHAnsi"/>
                <w:color w:val="404040"/>
                <w:sz w:val="20"/>
                <w:szCs w:val="20"/>
                <w:lang w:eastAsia="en-AU"/>
              </w:rPr>
              <w:t>m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45A7AF1" w14:textId="77777777" w:rsidR="00CD53B6" w:rsidRPr="00CA5021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2020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2B4DE2" w14:textId="77777777" w:rsidR="00CD53B6" w:rsidRPr="00CA5021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57CB3D" w14:textId="77777777" w:rsidR="00CD53B6" w:rsidRPr="00CA5021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1CD1FA" w14:textId="77777777" w:rsidR="00CD53B6" w:rsidRPr="00CA5021" w:rsidRDefault="00CD53B6" w:rsidP="0034414D">
            <w:p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A38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</w:tr>
    </w:tbl>
    <w:p w14:paraId="48D5F9D8" w14:textId="34C4B89A" w:rsidR="008913D8" w:rsidRPr="00787267" w:rsidRDefault="00681633" w:rsidP="001D765D">
      <w:pPr>
        <w:spacing w:before="240" w:after="0" w:line="240" w:lineRule="auto"/>
        <w:rPr>
          <w:sz w:val="16"/>
          <w:szCs w:val="16"/>
          <w:u w:val="single"/>
        </w:rPr>
      </w:pPr>
      <w:r w:rsidRPr="00A05FF5">
        <w:rPr>
          <w:rFonts w:eastAsia="Times New Roman"/>
          <w:b/>
          <w:sz w:val="17"/>
          <w:szCs w:val="17"/>
        </w:rPr>
        <w:t>Definitions of rating scale</w:t>
      </w:r>
      <w:r w:rsidRPr="00A05FF5">
        <w:rPr>
          <w:rFonts w:eastAsia="Times New Roman"/>
          <w:sz w:val="17"/>
          <w:szCs w:val="17"/>
        </w:rPr>
        <w:t>:</w:t>
      </w:r>
      <w:r w:rsidR="001D765D">
        <w:rPr>
          <w:rFonts w:eastAsia="Times New Roman"/>
          <w:sz w:val="17"/>
          <w:szCs w:val="17"/>
        </w:rPr>
        <w:br/>
      </w:r>
      <w:r w:rsidRPr="00787267">
        <w:rPr>
          <w:rFonts w:eastAsia="Times New Roman"/>
          <w:sz w:val="17"/>
          <w:szCs w:val="17"/>
          <w:u w:val="single"/>
        </w:rPr>
        <w:t>Satisfactory (4, 5 and 6)</w:t>
      </w:r>
      <w:r w:rsidR="008913D8" w:rsidRPr="008913D8">
        <w:rPr>
          <w:rFonts w:eastAsia="Times New Roman"/>
          <w:sz w:val="17"/>
          <w:szCs w:val="17"/>
        </w:rPr>
        <w:tab/>
      </w:r>
      <w:r w:rsidR="008913D8" w:rsidRPr="008913D8">
        <w:rPr>
          <w:rFonts w:eastAsia="Times New Roman"/>
          <w:sz w:val="17"/>
          <w:szCs w:val="17"/>
        </w:rPr>
        <w:tab/>
      </w:r>
      <w:r w:rsidR="008913D8" w:rsidRPr="008913D8">
        <w:rPr>
          <w:rFonts w:eastAsia="Times New Roman"/>
          <w:sz w:val="17"/>
          <w:szCs w:val="17"/>
        </w:rPr>
        <w:tab/>
      </w:r>
      <w:r w:rsidR="008913D8" w:rsidRPr="008913D8">
        <w:rPr>
          <w:rFonts w:eastAsia="Times New Roman"/>
          <w:sz w:val="17"/>
          <w:szCs w:val="17"/>
        </w:rPr>
        <w:tab/>
      </w:r>
      <w:r w:rsidR="008913D8" w:rsidRPr="008913D8">
        <w:rPr>
          <w:rFonts w:eastAsia="Times New Roman"/>
          <w:sz w:val="17"/>
          <w:szCs w:val="17"/>
        </w:rPr>
        <w:tab/>
      </w:r>
    </w:p>
    <w:p w14:paraId="218D546D" w14:textId="7C2634F2" w:rsidR="008913D8" w:rsidRDefault="00681633" w:rsidP="007F664A">
      <w:pPr>
        <w:spacing w:before="60" w:line="240" w:lineRule="auto"/>
        <w:ind w:left="284" w:hanging="284"/>
        <w:rPr>
          <w:sz w:val="16"/>
          <w:szCs w:val="16"/>
        </w:rPr>
      </w:pPr>
      <w:r w:rsidRPr="00787267">
        <w:rPr>
          <w:sz w:val="16"/>
          <w:szCs w:val="16"/>
        </w:rPr>
        <w:t>6 = Very good; satisfies criteria in all areas</w:t>
      </w:r>
      <w:r w:rsidR="00414E23">
        <w:rPr>
          <w:sz w:val="16"/>
          <w:szCs w:val="16"/>
        </w:rPr>
        <w:t xml:space="preserve">. </w:t>
      </w:r>
      <w:r w:rsidR="008913D8">
        <w:rPr>
          <w:sz w:val="16"/>
          <w:szCs w:val="16"/>
        </w:rPr>
        <w:tab/>
      </w:r>
    </w:p>
    <w:p w14:paraId="150FFC25" w14:textId="60CA2604" w:rsidR="008913D8" w:rsidRDefault="00681633" w:rsidP="007F664A">
      <w:pPr>
        <w:spacing w:before="60" w:line="240" w:lineRule="auto"/>
        <w:ind w:left="284" w:hanging="284"/>
        <w:rPr>
          <w:sz w:val="16"/>
          <w:szCs w:val="16"/>
        </w:rPr>
      </w:pPr>
      <w:r w:rsidRPr="00787267">
        <w:rPr>
          <w:sz w:val="16"/>
          <w:szCs w:val="16"/>
        </w:rPr>
        <w:t>5 = Good; satisfies criteria in almost all areas</w:t>
      </w:r>
      <w:r w:rsidR="00414E23">
        <w:rPr>
          <w:sz w:val="16"/>
          <w:szCs w:val="16"/>
        </w:rPr>
        <w:t xml:space="preserve">. </w:t>
      </w:r>
    </w:p>
    <w:p w14:paraId="43EDEFB8" w14:textId="2F12A8D9" w:rsidR="00D377C8" w:rsidRPr="00787267" w:rsidRDefault="00681633" w:rsidP="001D765D">
      <w:pPr>
        <w:spacing w:before="60" w:line="240" w:lineRule="auto"/>
        <w:rPr>
          <w:sz w:val="16"/>
          <w:szCs w:val="16"/>
          <w:u w:val="single"/>
        </w:rPr>
      </w:pPr>
      <w:r w:rsidRPr="00787267">
        <w:rPr>
          <w:sz w:val="16"/>
          <w:szCs w:val="16"/>
        </w:rPr>
        <w:t>4 = Adequate; on balance, satisfies criteria; does not fail in any major area</w:t>
      </w:r>
      <w:r w:rsidR="00414E23">
        <w:rPr>
          <w:sz w:val="16"/>
          <w:szCs w:val="16"/>
        </w:rPr>
        <w:t xml:space="preserve">. </w:t>
      </w:r>
      <w:r w:rsidR="001D765D">
        <w:rPr>
          <w:sz w:val="16"/>
          <w:szCs w:val="16"/>
        </w:rPr>
        <w:br/>
      </w:r>
      <w:r w:rsidR="00D377C8" w:rsidRPr="008913D8">
        <w:rPr>
          <w:rFonts w:eastAsia="Times New Roman"/>
          <w:sz w:val="17"/>
          <w:szCs w:val="17"/>
          <w:u w:val="single"/>
        </w:rPr>
        <w:t>Less than satisfactory (1, 2 and 3)</w:t>
      </w:r>
    </w:p>
    <w:p w14:paraId="3D0B9709" w14:textId="77777777" w:rsidR="001D765D" w:rsidRDefault="00D377C8" w:rsidP="001D765D">
      <w:pPr>
        <w:spacing w:before="60" w:line="240" w:lineRule="auto"/>
        <w:rPr>
          <w:sz w:val="16"/>
          <w:szCs w:val="16"/>
        </w:rPr>
      </w:pPr>
      <w:r w:rsidRPr="00787267">
        <w:rPr>
          <w:sz w:val="16"/>
          <w:szCs w:val="16"/>
        </w:rPr>
        <w:t>3 = Less than adequate; on balance does not satisfy criteria and/or fails in at least one major area.</w:t>
      </w:r>
    </w:p>
    <w:p w14:paraId="223F3BFC" w14:textId="7AEBA450" w:rsidR="00D377C8" w:rsidRDefault="00D377C8" w:rsidP="001D765D">
      <w:pPr>
        <w:spacing w:before="60" w:line="240" w:lineRule="auto"/>
        <w:rPr>
          <w:sz w:val="16"/>
          <w:szCs w:val="16"/>
        </w:rPr>
      </w:pPr>
      <w:r w:rsidRPr="00787267">
        <w:rPr>
          <w:sz w:val="16"/>
          <w:szCs w:val="16"/>
        </w:rPr>
        <w:t>2 = Poor; does not sa</w:t>
      </w:r>
      <w:r>
        <w:rPr>
          <w:sz w:val="16"/>
          <w:szCs w:val="16"/>
        </w:rPr>
        <w:t>tisfy criteria in major areas.</w:t>
      </w:r>
    </w:p>
    <w:p w14:paraId="692B79D6" w14:textId="275976D4" w:rsidR="00D377C8" w:rsidRPr="00DA71D3" w:rsidRDefault="00D377C8" w:rsidP="00DB64A3">
      <w:pPr>
        <w:spacing w:before="60" w:line="240" w:lineRule="auto"/>
        <w:ind w:left="284" w:hanging="284"/>
        <w:rPr>
          <w:b/>
          <w:bCs/>
        </w:rPr>
      </w:pPr>
      <w:r w:rsidRPr="00787267">
        <w:rPr>
          <w:sz w:val="16"/>
          <w:szCs w:val="16"/>
        </w:rPr>
        <w:t>1 = Very poor; does not satisfy criteria in many major area</w:t>
      </w:r>
      <w:r>
        <w:rPr>
          <w:sz w:val="16"/>
          <w:szCs w:val="16"/>
        </w:rPr>
        <w:t>s</w:t>
      </w:r>
    </w:p>
    <w:sectPr w:rsidR="00D377C8" w:rsidRPr="00DA71D3" w:rsidSect="005D3CB6">
      <w:type w:val="continuous"/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2377D" w14:textId="77777777" w:rsidR="003F1B77" w:rsidRDefault="003F1B77" w:rsidP="00D37B04">
      <w:r>
        <w:separator/>
      </w:r>
    </w:p>
  </w:endnote>
  <w:endnote w:type="continuationSeparator" w:id="0">
    <w:p w14:paraId="73598B65" w14:textId="77777777" w:rsidR="003F1B77" w:rsidRDefault="003F1B77" w:rsidP="00D37B04">
      <w:r>
        <w:continuationSeparator/>
      </w:r>
    </w:p>
  </w:endnote>
  <w:endnote w:type="continuationNotice" w:id="1">
    <w:p w14:paraId="0469140B" w14:textId="77777777" w:rsidR="003F1B77" w:rsidRDefault="003F1B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36999" w14:textId="143F548B" w:rsidR="003F1B77" w:rsidRDefault="003F1B77">
        <w:pPr>
          <w:pStyle w:val="Footer"/>
          <w:jc w:val="center"/>
          <w:rPr>
            <w:color w:val="auto"/>
          </w:rPr>
        </w:pPr>
        <w:r w:rsidRPr="00C92805">
          <w:rPr>
            <w:b/>
            <w:noProof/>
            <w:color w:val="495965" w:themeColor="text2"/>
            <w:lang w:val="en-AU" w:eastAsia="en-AU"/>
          </w:rPr>
          <w:drawing>
            <wp:anchor distT="0" distB="0" distL="114300" distR="114300" simplePos="0" relativeHeight="251659264" behindDoc="1" locked="0" layoutInCell="1" allowOverlap="1" wp14:anchorId="15B07C98" wp14:editId="1B7508B0">
              <wp:simplePos x="0" y="0"/>
              <wp:positionH relativeFrom="margin">
                <wp:posOffset>-120650</wp:posOffset>
              </wp:positionH>
              <wp:positionV relativeFrom="page">
                <wp:posOffset>9772650</wp:posOffset>
              </wp:positionV>
              <wp:extent cx="6931025" cy="584200"/>
              <wp:effectExtent l="0" t="0" r="3175" b="6350"/>
              <wp:wrapNone/>
              <wp:docPr id="3" name="Pictur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FS-Aqua-Footer-P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1504" cy="5842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D64F8FB" w14:textId="5EF5E9F9" w:rsidR="003F1B77" w:rsidRPr="00854F69" w:rsidRDefault="003F1B77" w:rsidP="000D3B99">
        <w:pPr>
          <w:pStyle w:val="Footer"/>
          <w:ind w:right="198"/>
          <w:rPr>
            <w:b/>
            <w:noProof/>
            <w:color w:val="495965" w:themeColor="text2"/>
            <w:lang w:val="en-AU" w:eastAsia="en-AU"/>
          </w:rPr>
        </w:pPr>
        <w:r>
          <w:rPr>
            <w:b/>
            <w:noProof/>
            <w:color w:val="495965" w:themeColor="text2"/>
            <w:lang w:val="en-AU" w:eastAsia="en-AU"/>
          </w:rPr>
          <w:tab/>
        </w:r>
        <w:r w:rsidRPr="007002E3">
          <w:rPr>
            <w:bCs/>
            <w:noProof/>
            <w:color w:val="auto"/>
            <w:lang w:val="en-AU" w:eastAsia="en-AU"/>
          </w:rPr>
          <w:fldChar w:fldCharType="begin"/>
        </w:r>
        <w:r w:rsidRPr="007002E3">
          <w:rPr>
            <w:bCs/>
            <w:noProof/>
            <w:color w:val="auto"/>
            <w:lang w:val="en-AU" w:eastAsia="en-AU"/>
          </w:rPr>
          <w:instrText xml:space="preserve"> PAGE   \* MERGEFORMAT </w:instrText>
        </w:r>
        <w:r w:rsidRPr="007002E3">
          <w:rPr>
            <w:bCs/>
            <w:noProof/>
            <w:color w:val="auto"/>
            <w:lang w:val="en-AU" w:eastAsia="en-AU"/>
          </w:rPr>
          <w:fldChar w:fldCharType="separate"/>
        </w:r>
        <w:r>
          <w:rPr>
            <w:bCs/>
            <w:noProof/>
            <w:color w:val="auto"/>
            <w:lang w:val="en-AU" w:eastAsia="en-AU"/>
          </w:rPr>
          <w:t>1</w:t>
        </w:r>
        <w:r w:rsidRPr="007002E3">
          <w:rPr>
            <w:bCs/>
            <w:noProof/>
            <w:color w:val="auto"/>
            <w:lang w:val="en-AU" w:eastAsia="en-AU"/>
          </w:rPr>
          <w:fldChar w:fldCharType="end"/>
        </w:r>
      </w:p>
      <w:p w14:paraId="1E51B8D5" w14:textId="59F3CE97" w:rsidR="003F1B77" w:rsidRPr="001D3DDD" w:rsidRDefault="00315E84" w:rsidP="0005564F">
        <w:pPr>
          <w:pStyle w:val="Footer"/>
          <w:spacing w:line="240" w:lineRule="auto"/>
          <w:jc w:val="center"/>
          <w:rPr>
            <w:color w:val="auto"/>
          </w:rPr>
        </w:pPr>
      </w:p>
    </w:sdtContent>
  </w:sdt>
  <w:p w14:paraId="3A729F02" w14:textId="519EAB54" w:rsidR="003F1B77" w:rsidRDefault="003F1B77" w:rsidP="009131E9">
    <w:pPr>
      <w:pStyle w:val="Footer"/>
      <w:spacing w:line="240" w:lineRule="auto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EFBD" w14:textId="77777777" w:rsidR="003F1B77" w:rsidRPr="00854F69" w:rsidRDefault="003F1B77" w:rsidP="00126165">
    <w:pPr>
      <w:pStyle w:val="Footer"/>
      <w:ind w:right="198"/>
      <w:rPr>
        <w:b/>
        <w:noProof/>
        <w:color w:val="495965" w:themeColor="text2"/>
        <w:lang w:val="en-AU" w:eastAsia="en-AU"/>
      </w:rPr>
    </w:pPr>
    <w:r>
      <w:rPr>
        <w:b/>
        <w:noProof/>
        <w:color w:val="495965" w:themeColor="text2"/>
        <w:lang w:val="en-AU" w:eastAsia="en-AU"/>
      </w:rPr>
      <w:t>October</w:t>
    </w:r>
    <w:r w:rsidRPr="00C92805">
      <w:rPr>
        <w:b/>
        <w:noProof/>
        <w:color w:val="495965" w:themeColor="text2"/>
        <w:lang w:val="en-AU" w:eastAsia="en-AU"/>
      </w:rPr>
      <w:t xml:space="preserve"> </w:t>
    </w:r>
    <w:r>
      <w:rPr>
        <w:b/>
        <w:noProof/>
        <w:color w:val="495965" w:themeColor="text2"/>
        <w:lang w:val="en-AU" w:eastAsia="en-AU"/>
      </w:rPr>
      <w:t>20</w:t>
    </w:r>
    <w:r w:rsidRPr="00C92805">
      <w:rPr>
        <w:b/>
        <w:noProof/>
        <w:color w:val="495965" w:themeColor="text2"/>
        <w:lang w:val="en-AU" w:eastAsia="en-AU"/>
      </w:rPr>
      <w:t>2</w:t>
    </w:r>
    <w:r>
      <w:rPr>
        <w:b/>
        <w:noProof/>
        <w:color w:val="495965" w:themeColor="text2"/>
        <w:lang w:val="en-AU" w:eastAsia="en-AU"/>
      </w:rPr>
      <w:t>1</w:t>
    </w:r>
    <w:r>
      <w:rPr>
        <w:b/>
        <w:noProof/>
        <w:color w:val="495965" w:themeColor="text2"/>
        <w:lang w:val="en-AU" w:eastAsia="en-AU"/>
      </w:rPr>
      <w:tab/>
    </w:r>
    <w:r w:rsidRPr="007002E3">
      <w:rPr>
        <w:bCs/>
        <w:noProof/>
        <w:color w:val="auto"/>
        <w:lang w:val="en-AU" w:eastAsia="en-AU"/>
      </w:rPr>
      <w:fldChar w:fldCharType="begin"/>
    </w:r>
    <w:r w:rsidRPr="007002E3">
      <w:rPr>
        <w:bCs/>
        <w:noProof/>
        <w:color w:val="auto"/>
        <w:lang w:val="en-AU" w:eastAsia="en-AU"/>
      </w:rPr>
      <w:instrText xml:space="preserve"> PAGE   \* MERGEFORMAT </w:instrText>
    </w:r>
    <w:r w:rsidRPr="007002E3">
      <w:rPr>
        <w:bCs/>
        <w:noProof/>
        <w:color w:val="auto"/>
        <w:lang w:val="en-AU" w:eastAsia="en-AU"/>
      </w:rPr>
      <w:fldChar w:fldCharType="separate"/>
    </w:r>
    <w:r>
      <w:rPr>
        <w:bCs/>
        <w:noProof/>
        <w:color w:val="auto"/>
        <w:lang w:val="en-AU" w:eastAsia="en-AU"/>
      </w:rPr>
      <w:t>2</w:t>
    </w:r>
    <w:r w:rsidRPr="007002E3">
      <w:rPr>
        <w:bCs/>
        <w:noProof/>
        <w:color w:val="auto"/>
        <w:lang w:val="en-AU" w:eastAsia="en-AU"/>
      </w:rPr>
      <w:fldChar w:fldCharType="end"/>
    </w:r>
  </w:p>
  <w:p w14:paraId="34CDF82B" w14:textId="5CB66BDA" w:rsidR="003F1B77" w:rsidRDefault="003F1B77">
    <w:pPr>
      <w:pStyle w:val="Footer"/>
    </w:pPr>
    <w:r w:rsidRPr="00C92805">
      <w:rPr>
        <w:b/>
        <w:noProof/>
        <w:color w:val="495965" w:themeColor="text2"/>
        <w:lang w:val="en-AU" w:eastAsia="en-AU"/>
      </w:rPr>
      <w:drawing>
        <wp:anchor distT="0" distB="0" distL="114300" distR="114300" simplePos="0" relativeHeight="251661312" behindDoc="1" locked="0" layoutInCell="1" allowOverlap="1" wp14:anchorId="5D54690E" wp14:editId="222E7486">
          <wp:simplePos x="0" y="0"/>
          <wp:positionH relativeFrom="margin">
            <wp:posOffset>-50800</wp:posOffset>
          </wp:positionH>
          <wp:positionV relativeFrom="page">
            <wp:posOffset>9967595</wp:posOffset>
          </wp:positionV>
          <wp:extent cx="6931025" cy="584200"/>
          <wp:effectExtent l="0" t="0" r="3175" b="635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-Aqua-Foot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02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CDC26" w14:textId="77777777" w:rsidR="003F1B77" w:rsidRPr="008C5A0E" w:rsidRDefault="003F1B77" w:rsidP="00D37B04">
      <w:pPr>
        <w:pStyle w:val="Footer"/>
      </w:pPr>
    </w:p>
  </w:footnote>
  <w:footnote w:type="continuationSeparator" w:id="0">
    <w:p w14:paraId="709500B9" w14:textId="77777777" w:rsidR="003F1B77" w:rsidRDefault="003F1B77" w:rsidP="00D37B04">
      <w:r>
        <w:continuationSeparator/>
      </w:r>
    </w:p>
  </w:footnote>
  <w:footnote w:type="continuationNotice" w:id="1">
    <w:p w14:paraId="6AF5FBE8" w14:textId="77777777" w:rsidR="003F1B77" w:rsidRDefault="003F1B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17E92" w14:textId="09B7FBEF" w:rsidR="003F1B77" w:rsidRDefault="003F1B77" w:rsidP="007A4493">
    <w:pPr>
      <w:pStyle w:val="Header"/>
      <w:ind w:left="0"/>
    </w:pPr>
    <w:r w:rsidRPr="00A12B40">
      <w:rPr>
        <w:i/>
        <w:caps w:val="0"/>
      </w:rPr>
      <w:t>Partnerships for Recovery</w:t>
    </w:r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81798" w14:textId="438C6CD3" w:rsidR="003F1B77" w:rsidRDefault="003F1B77"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4" name="Picture 4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170E1DED"/>
    <w:multiLevelType w:val="hybridMultilevel"/>
    <w:tmpl w:val="DEA4D2A4"/>
    <w:lvl w:ilvl="0" w:tplc="0C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195B7E02"/>
    <w:multiLevelType w:val="hybridMultilevel"/>
    <w:tmpl w:val="CD921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38F132CE"/>
    <w:multiLevelType w:val="multilevel"/>
    <w:tmpl w:val="3B7A10DE"/>
    <w:numStyleLink w:val="BulletsList"/>
  </w:abstractNum>
  <w:abstractNum w:abstractNumId="9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357C1"/>
    <w:multiLevelType w:val="hybridMultilevel"/>
    <w:tmpl w:val="14E6FF18"/>
    <w:lvl w:ilvl="0" w:tplc="F89299DC">
      <w:start w:val="2"/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4" w15:restartNumberingAfterBreak="0">
    <w:nsid w:val="48C85450"/>
    <w:multiLevelType w:val="multilevel"/>
    <w:tmpl w:val="8EE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C91A8D"/>
    <w:multiLevelType w:val="hybridMultilevel"/>
    <w:tmpl w:val="45E49C80"/>
    <w:lvl w:ilvl="0" w:tplc="3EF6B67C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19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2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C798C"/>
    <w:multiLevelType w:val="hybridMultilevel"/>
    <w:tmpl w:val="733667C2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D7629"/>
    <w:multiLevelType w:val="multilevel"/>
    <w:tmpl w:val="8432F2EA"/>
    <w:lvl w:ilvl="0">
      <w:start w:val="1"/>
      <w:numFmt w:val="bullet"/>
      <w:lvlText w:val="-"/>
      <w:lvlJc w:val="left"/>
      <w:pPr>
        <w:ind w:left="284" w:hanging="284"/>
      </w:pPr>
      <w:rPr>
        <w:rFonts w:ascii="Courier New" w:hAnsi="Courier New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07305"/>
    <w:multiLevelType w:val="multilevel"/>
    <w:tmpl w:val="3B7A10DE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8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7"/>
  </w:num>
  <w:num w:numId="4">
    <w:abstractNumId w:val="18"/>
  </w:num>
  <w:num w:numId="5">
    <w:abstractNumId w:val="21"/>
  </w:num>
  <w:num w:numId="6">
    <w:abstractNumId w:val="7"/>
  </w:num>
  <w:num w:numId="7">
    <w:abstractNumId w:val="1"/>
  </w:num>
  <w:num w:numId="8">
    <w:abstractNumId w:val="3"/>
  </w:num>
  <w:num w:numId="9">
    <w:abstractNumId w:val="30"/>
  </w:num>
  <w:num w:numId="10">
    <w:abstractNumId w:val="8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9"/>
  </w:num>
  <w:num w:numId="16">
    <w:abstractNumId w:val="24"/>
  </w:num>
  <w:num w:numId="17">
    <w:abstractNumId w:val="6"/>
  </w:num>
  <w:num w:numId="18">
    <w:abstractNumId w:val="20"/>
  </w:num>
  <w:num w:numId="19">
    <w:abstractNumId w:val="29"/>
  </w:num>
  <w:num w:numId="20">
    <w:abstractNumId w:val="11"/>
  </w:num>
  <w:num w:numId="21">
    <w:abstractNumId w:val="28"/>
  </w:num>
  <w:num w:numId="22">
    <w:abstractNumId w:val="9"/>
  </w:num>
  <w:num w:numId="23">
    <w:abstractNumId w:val="2"/>
  </w:num>
  <w:num w:numId="24">
    <w:abstractNumId w:val="26"/>
  </w:num>
  <w:num w:numId="25">
    <w:abstractNumId w:val="31"/>
  </w:num>
  <w:num w:numId="26">
    <w:abstractNumId w:val="12"/>
  </w:num>
  <w:num w:numId="27">
    <w:abstractNumId w:val="22"/>
  </w:num>
  <w:num w:numId="28">
    <w:abstractNumId w:val="25"/>
  </w:num>
  <w:num w:numId="29">
    <w:abstractNumId w:val="8"/>
  </w:num>
  <w:num w:numId="30">
    <w:abstractNumId w:val="8"/>
  </w:num>
  <w:num w:numId="31">
    <w:abstractNumId w:val="8"/>
  </w:num>
  <w:num w:numId="32">
    <w:abstractNumId w:val="5"/>
  </w:num>
  <w:num w:numId="33">
    <w:abstractNumId w:val="4"/>
  </w:num>
  <w:num w:numId="34">
    <w:abstractNumId w:val="23"/>
  </w:num>
  <w:num w:numId="35">
    <w:abstractNumId w:val="17"/>
  </w:num>
  <w:num w:numId="36">
    <w:abstractNumId w:val="10"/>
  </w:num>
  <w:num w:numId="3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788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0DF"/>
    <w:rsid w:val="000005F0"/>
    <w:rsid w:val="00001DA8"/>
    <w:rsid w:val="000020C1"/>
    <w:rsid w:val="00004496"/>
    <w:rsid w:val="00006CFF"/>
    <w:rsid w:val="0000731D"/>
    <w:rsid w:val="00007A40"/>
    <w:rsid w:val="00010006"/>
    <w:rsid w:val="00011235"/>
    <w:rsid w:val="00014FA6"/>
    <w:rsid w:val="00015AB7"/>
    <w:rsid w:val="00015E46"/>
    <w:rsid w:val="0002080A"/>
    <w:rsid w:val="0002133C"/>
    <w:rsid w:val="00025A2C"/>
    <w:rsid w:val="0002782F"/>
    <w:rsid w:val="00031486"/>
    <w:rsid w:val="000314BA"/>
    <w:rsid w:val="000355E3"/>
    <w:rsid w:val="00035BBF"/>
    <w:rsid w:val="00035CBC"/>
    <w:rsid w:val="000417C3"/>
    <w:rsid w:val="00042C2A"/>
    <w:rsid w:val="00043E79"/>
    <w:rsid w:val="000444F3"/>
    <w:rsid w:val="000465F7"/>
    <w:rsid w:val="00050806"/>
    <w:rsid w:val="0005134E"/>
    <w:rsid w:val="000527A6"/>
    <w:rsid w:val="000546D9"/>
    <w:rsid w:val="00054E4D"/>
    <w:rsid w:val="0005564F"/>
    <w:rsid w:val="00055880"/>
    <w:rsid w:val="00056DA0"/>
    <w:rsid w:val="00056F24"/>
    <w:rsid w:val="00060073"/>
    <w:rsid w:val="000616C6"/>
    <w:rsid w:val="00062CCB"/>
    <w:rsid w:val="000679CF"/>
    <w:rsid w:val="00070316"/>
    <w:rsid w:val="00072FCA"/>
    <w:rsid w:val="000822AD"/>
    <w:rsid w:val="000854FD"/>
    <w:rsid w:val="00092455"/>
    <w:rsid w:val="00092ACB"/>
    <w:rsid w:val="000954FC"/>
    <w:rsid w:val="0009667F"/>
    <w:rsid w:val="000A126E"/>
    <w:rsid w:val="000A2DB2"/>
    <w:rsid w:val="000A3406"/>
    <w:rsid w:val="000A407E"/>
    <w:rsid w:val="000A55C2"/>
    <w:rsid w:val="000B3060"/>
    <w:rsid w:val="000B37F5"/>
    <w:rsid w:val="000B5C8E"/>
    <w:rsid w:val="000B5DA7"/>
    <w:rsid w:val="000B78E6"/>
    <w:rsid w:val="000B7AB0"/>
    <w:rsid w:val="000B7EDA"/>
    <w:rsid w:val="000C1A7A"/>
    <w:rsid w:val="000C3A4C"/>
    <w:rsid w:val="000C3DB8"/>
    <w:rsid w:val="000C4411"/>
    <w:rsid w:val="000C6F4C"/>
    <w:rsid w:val="000D2896"/>
    <w:rsid w:val="000D3B99"/>
    <w:rsid w:val="000D66D6"/>
    <w:rsid w:val="000D76E9"/>
    <w:rsid w:val="000E0134"/>
    <w:rsid w:val="000E0743"/>
    <w:rsid w:val="000E1914"/>
    <w:rsid w:val="000E4407"/>
    <w:rsid w:val="000E58BF"/>
    <w:rsid w:val="000E6C44"/>
    <w:rsid w:val="000F0FD4"/>
    <w:rsid w:val="000F2600"/>
    <w:rsid w:val="000F4257"/>
    <w:rsid w:val="000F5DA7"/>
    <w:rsid w:val="000F78C9"/>
    <w:rsid w:val="000F7D21"/>
    <w:rsid w:val="0010276E"/>
    <w:rsid w:val="0010280F"/>
    <w:rsid w:val="00104808"/>
    <w:rsid w:val="00104B4E"/>
    <w:rsid w:val="00113288"/>
    <w:rsid w:val="00117EBA"/>
    <w:rsid w:val="0012027C"/>
    <w:rsid w:val="00120C9F"/>
    <w:rsid w:val="001214BE"/>
    <w:rsid w:val="0012165D"/>
    <w:rsid w:val="00121DDD"/>
    <w:rsid w:val="001227F1"/>
    <w:rsid w:val="00124B09"/>
    <w:rsid w:val="00126165"/>
    <w:rsid w:val="00130CD8"/>
    <w:rsid w:val="0013101C"/>
    <w:rsid w:val="0013385F"/>
    <w:rsid w:val="00135E8D"/>
    <w:rsid w:val="00137F4E"/>
    <w:rsid w:val="0014343F"/>
    <w:rsid w:val="00143EE3"/>
    <w:rsid w:val="001449CE"/>
    <w:rsid w:val="001461D6"/>
    <w:rsid w:val="00146E07"/>
    <w:rsid w:val="00146F4D"/>
    <w:rsid w:val="001541EA"/>
    <w:rsid w:val="00156038"/>
    <w:rsid w:val="00160F2B"/>
    <w:rsid w:val="0016223D"/>
    <w:rsid w:val="001639CD"/>
    <w:rsid w:val="0016522B"/>
    <w:rsid w:val="00166032"/>
    <w:rsid w:val="001662F8"/>
    <w:rsid w:val="00175C3D"/>
    <w:rsid w:val="001769BB"/>
    <w:rsid w:val="00180ECE"/>
    <w:rsid w:val="00182E95"/>
    <w:rsid w:val="001841C8"/>
    <w:rsid w:val="00184CDA"/>
    <w:rsid w:val="0018695C"/>
    <w:rsid w:val="00186B4B"/>
    <w:rsid w:val="001910DA"/>
    <w:rsid w:val="00193C49"/>
    <w:rsid w:val="00195FD2"/>
    <w:rsid w:val="00197455"/>
    <w:rsid w:val="001A3A99"/>
    <w:rsid w:val="001A479E"/>
    <w:rsid w:val="001A51EE"/>
    <w:rsid w:val="001A62C9"/>
    <w:rsid w:val="001A7815"/>
    <w:rsid w:val="001B184E"/>
    <w:rsid w:val="001B7373"/>
    <w:rsid w:val="001B78DA"/>
    <w:rsid w:val="001C14F4"/>
    <w:rsid w:val="001C1F11"/>
    <w:rsid w:val="001C3A05"/>
    <w:rsid w:val="001C483F"/>
    <w:rsid w:val="001D0548"/>
    <w:rsid w:val="001D0F0F"/>
    <w:rsid w:val="001D12CF"/>
    <w:rsid w:val="001D1A8F"/>
    <w:rsid w:val="001D3C98"/>
    <w:rsid w:val="001D3DDD"/>
    <w:rsid w:val="001D4091"/>
    <w:rsid w:val="001D663E"/>
    <w:rsid w:val="001D765D"/>
    <w:rsid w:val="001D7C96"/>
    <w:rsid w:val="001E0190"/>
    <w:rsid w:val="001E03BE"/>
    <w:rsid w:val="001E1DC0"/>
    <w:rsid w:val="001E563B"/>
    <w:rsid w:val="001E5E2A"/>
    <w:rsid w:val="001E68FD"/>
    <w:rsid w:val="001E6D20"/>
    <w:rsid w:val="001E7310"/>
    <w:rsid w:val="001F16E7"/>
    <w:rsid w:val="001F549E"/>
    <w:rsid w:val="001F7A8B"/>
    <w:rsid w:val="001F7F4D"/>
    <w:rsid w:val="0021023B"/>
    <w:rsid w:val="0021105F"/>
    <w:rsid w:val="002123D7"/>
    <w:rsid w:val="00216407"/>
    <w:rsid w:val="00216C55"/>
    <w:rsid w:val="00221D8A"/>
    <w:rsid w:val="002231BD"/>
    <w:rsid w:val="002235D3"/>
    <w:rsid w:val="0022500E"/>
    <w:rsid w:val="002257B0"/>
    <w:rsid w:val="002270F7"/>
    <w:rsid w:val="002362BB"/>
    <w:rsid w:val="0023631B"/>
    <w:rsid w:val="002404E8"/>
    <w:rsid w:val="002416FF"/>
    <w:rsid w:val="00244229"/>
    <w:rsid w:val="00247365"/>
    <w:rsid w:val="00247E27"/>
    <w:rsid w:val="00250C2E"/>
    <w:rsid w:val="00251182"/>
    <w:rsid w:val="002545B5"/>
    <w:rsid w:val="00255F45"/>
    <w:rsid w:val="00261565"/>
    <w:rsid w:val="00262D2C"/>
    <w:rsid w:val="002651F3"/>
    <w:rsid w:val="00265B4C"/>
    <w:rsid w:val="00270C70"/>
    <w:rsid w:val="002721B5"/>
    <w:rsid w:val="00275810"/>
    <w:rsid w:val="00283C7E"/>
    <w:rsid w:val="00284B35"/>
    <w:rsid w:val="00285591"/>
    <w:rsid w:val="0028602A"/>
    <w:rsid w:val="0029204E"/>
    <w:rsid w:val="00292B63"/>
    <w:rsid w:val="002930DA"/>
    <w:rsid w:val="002945C4"/>
    <w:rsid w:val="00294B14"/>
    <w:rsid w:val="0029663F"/>
    <w:rsid w:val="002966C0"/>
    <w:rsid w:val="00297258"/>
    <w:rsid w:val="00297FD1"/>
    <w:rsid w:val="002A03A7"/>
    <w:rsid w:val="002A30D1"/>
    <w:rsid w:val="002B3381"/>
    <w:rsid w:val="002B5E10"/>
    <w:rsid w:val="002C01DB"/>
    <w:rsid w:val="002C37BE"/>
    <w:rsid w:val="002C6FEB"/>
    <w:rsid w:val="002C793D"/>
    <w:rsid w:val="002D1B83"/>
    <w:rsid w:val="002D25D9"/>
    <w:rsid w:val="002D3492"/>
    <w:rsid w:val="002D35C9"/>
    <w:rsid w:val="002D4108"/>
    <w:rsid w:val="002D430F"/>
    <w:rsid w:val="002D5B25"/>
    <w:rsid w:val="002D60BB"/>
    <w:rsid w:val="002D67F7"/>
    <w:rsid w:val="002E2AF4"/>
    <w:rsid w:val="002E38B2"/>
    <w:rsid w:val="002E500A"/>
    <w:rsid w:val="002E7F3A"/>
    <w:rsid w:val="002F03FB"/>
    <w:rsid w:val="002F0E0B"/>
    <w:rsid w:val="002F4F2B"/>
    <w:rsid w:val="003002C0"/>
    <w:rsid w:val="00301144"/>
    <w:rsid w:val="00302762"/>
    <w:rsid w:val="003031C6"/>
    <w:rsid w:val="00304984"/>
    <w:rsid w:val="003051F5"/>
    <w:rsid w:val="003110CB"/>
    <w:rsid w:val="00311946"/>
    <w:rsid w:val="00312BF8"/>
    <w:rsid w:val="003148B7"/>
    <w:rsid w:val="003158C3"/>
    <w:rsid w:val="00315E84"/>
    <w:rsid w:val="003274CD"/>
    <w:rsid w:val="00330585"/>
    <w:rsid w:val="00333501"/>
    <w:rsid w:val="00334E14"/>
    <w:rsid w:val="003401A4"/>
    <w:rsid w:val="003406AF"/>
    <w:rsid w:val="0034414D"/>
    <w:rsid w:val="0034491C"/>
    <w:rsid w:val="00344ADB"/>
    <w:rsid w:val="003457C4"/>
    <w:rsid w:val="00350275"/>
    <w:rsid w:val="0035119D"/>
    <w:rsid w:val="003530C7"/>
    <w:rsid w:val="003535F8"/>
    <w:rsid w:val="00353628"/>
    <w:rsid w:val="00354641"/>
    <w:rsid w:val="003549B5"/>
    <w:rsid w:val="003622C1"/>
    <w:rsid w:val="00363A9F"/>
    <w:rsid w:val="003664FE"/>
    <w:rsid w:val="003749D7"/>
    <w:rsid w:val="00375D23"/>
    <w:rsid w:val="00380400"/>
    <w:rsid w:val="003806FE"/>
    <w:rsid w:val="00382CE7"/>
    <w:rsid w:val="00383E04"/>
    <w:rsid w:val="00384D2A"/>
    <w:rsid w:val="00386AA0"/>
    <w:rsid w:val="00387EC8"/>
    <w:rsid w:val="00390E07"/>
    <w:rsid w:val="00392062"/>
    <w:rsid w:val="0039215F"/>
    <w:rsid w:val="0039344A"/>
    <w:rsid w:val="003A30DC"/>
    <w:rsid w:val="003A428B"/>
    <w:rsid w:val="003A49DA"/>
    <w:rsid w:val="003A7085"/>
    <w:rsid w:val="003B3091"/>
    <w:rsid w:val="003B4F12"/>
    <w:rsid w:val="003B7F4A"/>
    <w:rsid w:val="003C0E4E"/>
    <w:rsid w:val="003C3B93"/>
    <w:rsid w:val="003C446B"/>
    <w:rsid w:val="003C50CB"/>
    <w:rsid w:val="003C6C4F"/>
    <w:rsid w:val="003C7D0E"/>
    <w:rsid w:val="003D0C6E"/>
    <w:rsid w:val="003D1253"/>
    <w:rsid w:val="003D3141"/>
    <w:rsid w:val="003E0EFB"/>
    <w:rsid w:val="003E134D"/>
    <w:rsid w:val="003E2190"/>
    <w:rsid w:val="003E24BA"/>
    <w:rsid w:val="003E45A9"/>
    <w:rsid w:val="003F01F0"/>
    <w:rsid w:val="003F1B77"/>
    <w:rsid w:val="003F2041"/>
    <w:rsid w:val="003F41E4"/>
    <w:rsid w:val="003F60A5"/>
    <w:rsid w:val="003F7D26"/>
    <w:rsid w:val="003F7E10"/>
    <w:rsid w:val="004007ED"/>
    <w:rsid w:val="0040092E"/>
    <w:rsid w:val="00400D50"/>
    <w:rsid w:val="00402ACC"/>
    <w:rsid w:val="00403FD8"/>
    <w:rsid w:val="00404443"/>
    <w:rsid w:val="00404602"/>
    <w:rsid w:val="00404D6E"/>
    <w:rsid w:val="00406454"/>
    <w:rsid w:val="00407F1E"/>
    <w:rsid w:val="0041165A"/>
    <w:rsid w:val="004120EC"/>
    <w:rsid w:val="0041267F"/>
    <w:rsid w:val="0041412F"/>
    <w:rsid w:val="00414E23"/>
    <w:rsid w:val="00415A09"/>
    <w:rsid w:val="00415C74"/>
    <w:rsid w:val="00423DE0"/>
    <w:rsid w:val="00423F31"/>
    <w:rsid w:val="00424C1C"/>
    <w:rsid w:val="0042526D"/>
    <w:rsid w:val="00426340"/>
    <w:rsid w:val="00426DA9"/>
    <w:rsid w:val="00427007"/>
    <w:rsid w:val="004303AA"/>
    <w:rsid w:val="00430734"/>
    <w:rsid w:val="00431899"/>
    <w:rsid w:val="004365BE"/>
    <w:rsid w:val="004466CD"/>
    <w:rsid w:val="00450381"/>
    <w:rsid w:val="00451F72"/>
    <w:rsid w:val="004529F1"/>
    <w:rsid w:val="00453B1A"/>
    <w:rsid w:val="00454875"/>
    <w:rsid w:val="004572ED"/>
    <w:rsid w:val="00462A57"/>
    <w:rsid w:val="00462E71"/>
    <w:rsid w:val="004728DD"/>
    <w:rsid w:val="00473F2D"/>
    <w:rsid w:val="00473F39"/>
    <w:rsid w:val="00474037"/>
    <w:rsid w:val="00474414"/>
    <w:rsid w:val="00475782"/>
    <w:rsid w:val="00482AE8"/>
    <w:rsid w:val="00483FE2"/>
    <w:rsid w:val="00486804"/>
    <w:rsid w:val="00487549"/>
    <w:rsid w:val="00487F6C"/>
    <w:rsid w:val="004912B6"/>
    <w:rsid w:val="00494242"/>
    <w:rsid w:val="004A0995"/>
    <w:rsid w:val="004A1771"/>
    <w:rsid w:val="004A1BEB"/>
    <w:rsid w:val="004A41B8"/>
    <w:rsid w:val="004A4870"/>
    <w:rsid w:val="004A66E1"/>
    <w:rsid w:val="004A7C91"/>
    <w:rsid w:val="004B3775"/>
    <w:rsid w:val="004B6A71"/>
    <w:rsid w:val="004C2DBD"/>
    <w:rsid w:val="004D0BA0"/>
    <w:rsid w:val="004D26CF"/>
    <w:rsid w:val="004D423B"/>
    <w:rsid w:val="004D4EC7"/>
    <w:rsid w:val="004D7F36"/>
    <w:rsid w:val="004E058F"/>
    <w:rsid w:val="004E3B87"/>
    <w:rsid w:val="004E542C"/>
    <w:rsid w:val="004E549D"/>
    <w:rsid w:val="004F347B"/>
    <w:rsid w:val="004F5615"/>
    <w:rsid w:val="004F7CBE"/>
    <w:rsid w:val="00502041"/>
    <w:rsid w:val="00503EB4"/>
    <w:rsid w:val="0050474E"/>
    <w:rsid w:val="0050592F"/>
    <w:rsid w:val="00507E6C"/>
    <w:rsid w:val="005104A1"/>
    <w:rsid w:val="00510921"/>
    <w:rsid w:val="00510AD3"/>
    <w:rsid w:val="00512CD8"/>
    <w:rsid w:val="00513348"/>
    <w:rsid w:val="00513A88"/>
    <w:rsid w:val="00513AD8"/>
    <w:rsid w:val="00517DD0"/>
    <w:rsid w:val="005204D2"/>
    <w:rsid w:val="005220CC"/>
    <w:rsid w:val="00522396"/>
    <w:rsid w:val="005238AA"/>
    <w:rsid w:val="00527AD8"/>
    <w:rsid w:val="00527DB5"/>
    <w:rsid w:val="0053159D"/>
    <w:rsid w:val="00531B69"/>
    <w:rsid w:val="00532085"/>
    <w:rsid w:val="00533B5D"/>
    <w:rsid w:val="00534D96"/>
    <w:rsid w:val="00536343"/>
    <w:rsid w:val="00536BAB"/>
    <w:rsid w:val="00540A22"/>
    <w:rsid w:val="00545EA0"/>
    <w:rsid w:val="005474FC"/>
    <w:rsid w:val="005475D7"/>
    <w:rsid w:val="00553079"/>
    <w:rsid w:val="00553CF6"/>
    <w:rsid w:val="005553E4"/>
    <w:rsid w:val="00560E83"/>
    <w:rsid w:val="00561274"/>
    <w:rsid w:val="005629AF"/>
    <w:rsid w:val="00564226"/>
    <w:rsid w:val="005649EF"/>
    <w:rsid w:val="0056528E"/>
    <w:rsid w:val="00566E09"/>
    <w:rsid w:val="00566E11"/>
    <w:rsid w:val="005707C8"/>
    <w:rsid w:val="005736BB"/>
    <w:rsid w:val="005741DB"/>
    <w:rsid w:val="00574DB8"/>
    <w:rsid w:val="00577815"/>
    <w:rsid w:val="005822D6"/>
    <w:rsid w:val="00583F6A"/>
    <w:rsid w:val="005842A3"/>
    <w:rsid w:val="00585E67"/>
    <w:rsid w:val="00586D42"/>
    <w:rsid w:val="0059379E"/>
    <w:rsid w:val="005A20F6"/>
    <w:rsid w:val="005B1417"/>
    <w:rsid w:val="005B2B58"/>
    <w:rsid w:val="005B5962"/>
    <w:rsid w:val="005C2EC9"/>
    <w:rsid w:val="005C532B"/>
    <w:rsid w:val="005D10D4"/>
    <w:rsid w:val="005D3655"/>
    <w:rsid w:val="005D3CB6"/>
    <w:rsid w:val="005D5194"/>
    <w:rsid w:val="005D5489"/>
    <w:rsid w:val="005E0058"/>
    <w:rsid w:val="005E3D87"/>
    <w:rsid w:val="005E4830"/>
    <w:rsid w:val="005E5524"/>
    <w:rsid w:val="005E73CC"/>
    <w:rsid w:val="005F2F66"/>
    <w:rsid w:val="005F69C2"/>
    <w:rsid w:val="005F6BF5"/>
    <w:rsid w:val="005F7D5F"/>
    <w:rsid w:val="006031AC"/>
    <w:rsid w:val="00603321"/>
    <w:rsid w:val="0060425A"/>
    <w:rsid w:val="00614971"/>
    <w:rsid w:val="0061541B"/>
    <w:rsid w:val="00616A58"/>
    <w:rsid w:val="00617DD5"/>
    <w:rsid w:val="00620A3D"/>
    <w:rsid w:val="00622B86"/>
    <w:rsid w:val="00623BA1"/>
    <w:rsid w:val="0062434C"/>
    <w:rsid w:val="006258D7"/>
    <w:rsid w:val="00630092"/>
    <w:rsid w:val="006304DD"/>
    <w:rsid w:val="006346BC"/>
    <w:rsid w:val="006362FF"/>
    <w:rsid w:val="006378FE"/>
    <w:rsid w:val="006408FF"/>
    <w:rsid w:val="006520BE"/>
    <w:rsid w:val="006556B2"/>
    <w:rsid w:val="0065649B"/>
    <w:rsid w:val="0065657B"/>
    <w:rsid w:val="00656ED4"/>
    <w:rsid w:val="00661B9B"/>
    <w:rsid w:val="0066203A"/>
    <w:rsid w:val="006637E0"/>
    <w:rsid w:val="0066652A"/>
    <w:rsid w:val="006719C3"/>
    <w:rsid w:val="00672D52"/>
    <w:rsid w:val="00673334"/>
    <w:rsid w:val="006745FC"/>
    <w:rsid w:val="006750D9"/>
    <w:rsid w:val="00680115"/>
    <w:rsid w:val="00680522"/>
    <w:rsid w:val="00681633"/>
    <w:rsid w:val="00682167"/>
    <w:rsid w:val="00690356"/>
    <w:rsid w:val="0069041C"/>
    <w:rsid w:val="00690AE1"/>
    <w:rsid w:val="00691054"/>
    <w:rsid w:val="006962C8"/>
    <w:rsid w:val="006A001C"/>
    <w:rsid w:val="006A04EA"/>
    <w:rsid w:val="006A571E"/>
    <w:rsid w:val="006A6F52"/>
    <w:rsid w:val="006A791A"/>
    <w:rsid w:val="006B0064"/>
    <w:rsid w:val="006B00FE"/>
    <w:rsid w:val="006B04FD"/>
    <w:rsid w:val="006B157F"/>
    <w:rsid w:val="006B3E95"/>
    <w:rsid w:val="006B51B2"/>
    <w:rsid w:val="006B6F6D"/>
    <w:rsid w:val="006B6FA9"/>
    <w:rsid w:val="006C0B06"/>
    <w:rsid w:val="006C1CA9"/>
    <w:rsid w:val="006C3554"/>
    <w:rsid w:val="006C3BBD"/>
    <w:rsid w:val="006C42AF"/>
    <w:rsid w:val="006C43A9"/>
    <w:rsid w:val="006C565B"/>
    <w:rsid w:val="006C6498"/>
    <w:rsid w:val="006C6D3E"/>
    <w:rsid w:val="006C7B79"/>
    <w:rsid w:val="006D15F1"/>
    <w:rsid w:val="006D247B"/>
    <w:rsid w:val="006D5A56"/>
    <w:rsid w:val="006D710E"/>
    <w:rsid w:val="006E0F09"/>
    <w:rsid w:val="006E2598"/>
    <w:rsid w:val="006E31A6"/>
    <w:rsid w:val="006E4323"/>
    <w:rsid w:val="006E6886"/>
    <w:rsid w:val="006F1408"/>
    <w:rsid w:val="006F23D3"/>
    <w:rsid w:val="006F301F"/>
    <w:rsid w:val="006F4C60"/>
    <w:rsid w:val="006F6BA7"/>
    <w:rsid w:val="00701E83"/>
    <w:rsid w:val="00704D55"/>
    <w:rsid w:val="00706594"/>
    <w:rsid w:val="007075DF"/>
    <w:rsid w:val="00711D8E"/>
    <w:rsid w:val="00712672"/>
    <w:rsid w:val="00714C97"/>
    <w:rsid w:val="007159BA"/>
    <w:rsid w:val="007178C4"/>
    <w:rsid w:val="0073279F"/>
    <w:rsid w:val="00734E3F"/>
    <w:rsid w:val="00736985"/>
    <w:rsid w:val="007370BB"/>
    <w:rsid w:val="00737B3A"/>
    <w:rsid w:val="00745DF5"/>
    <w:rsid w:val="007479B0"/>
    <w:rsid w:val="00751718"/>
    <w:rsid w:val="00751DF3"/>
    <w:rsid w:val="00754477"/>
    <w:rsid w:val="00754A10"/>
    <w:rsid w:val="00755EAB"/>
    <w:rsid w:val="007603FC"/>
    <w:rsid w:val="0076250F"/>
    <w:rsid w:val="007647E4"/>
    <w:rsid w:val="0076609B"/>
    <w:rsid w:val="00770929"/>
    <w:rsid w:val="0077324F"/>
    <w:rsid w:val="007733DC"/>
    <w:rsid w:val="00774DBE"/>
    <w:rsid w:val="00775900"/>
    <w:rsid w:val="00780FA5"/>
    <w:rsid w:val="0078254F"/>
    <w:rsid w:val="007838FE"/>
    <w:rsid w:val="00784478"/>
    <w:rsid w:val="00787CCE"/>
    <w:rsid w:val="00790303"/>
    <w:rsid w:val="007905E0"/>
    <w:rsid w:val="0079081F"/>
    <w:rsid w:val="0079188B"/>
    <w:rsid w:val="00791BC0"/>
    <w:rsid w:val="00794D56"/>
    <w:rsid w:val="00794D99"/>
    <w:rsid w:val="00796C45"/>
    <w:rsid w:val="00796F1C"/>
    <w:rsid w:val="00797D01"/>
    <w:rsid w:val="007A122A"/>
    <w:rsid w:val="007A1B07"/>
    <w:rsid w:val="007A4423"/>
    <w:rsid w:val="007A4493"/>
    <w:rsid w:val="007A5B30"/>
    <w:rsid w:val="007B2649"/>
    <w:rsid w:val="007B2C61"/>
    <w:rsid w:val="007B3498"/>
    <w:rsid w:val="007B53F9"/>
    <w:rsid w:val="007B6200"/>
    <w:rsid w:val="007B78CF"/>
    <w:rsid w:val="007C1360"/>
    <w:rsid w:val="007C19B3"/>
    <w:rsid w:val="007C3D0F"/>
    <w:rsid w:val="007C3DA3"/>
    <w:rsid w:val="007C735B"/>
    <w:rsid w:val="007D024C"/>
    <w:rsid w:val="007D60A8"/>
    <w:rsid w:val="007D7C27"/>
    <w:rsid w:val="007E535C"/>
    <w:rsid w:val="007E5361"/>
    <w:rsid w:val="007E5458"/>
    <w:rsid w:val="007E556D"/>
    <w:rsid w:val="007E6F32"/>
    <w:rsid w:val="007E7BC7"/>
    <w:rsid w:val="007F08EB"/>
    <w:rsid w:val="007F3395"/>
    <w:rsid w:val="007F5C0B"/>
    <w:rsid w:val="007F646C"/>
    <w:rsid w:val="007F664A"/>
    <w:rsid w:val="007F7537"/>
    <w:rsid w:val="00801B04"/>
    <w:rsid w:val="00801B9F"/>
    <w:rsid w:val="0080204D"/>
    <w:rsid w:val="00802942"/>
    <w:rsid w:val="00803896"/>
    <w:rsid w:val="00803C8A"/>
    <w:rsid w:val="00806F38"/>
    <w:rsid w:val="00817E94"/>
    <w:rsid w:val="0082053C"/>
    <w:rsid w:val="00820B73"/>
    <w:rsid w:val="00820FCD"/>
    <w:rsid w:val="00822F43"/>
    <w:rsid w:val="00823F86"/>
    <w:rsid w:val="00826D1E"/>
    <w:rsid w:val="00827ECD"/>
    <w:rsid w:val="00830B40"/>
    <w:rsid w:val="00832812"/>
    <w:rsid w:val="0084191E"/>
    <w:rsid w:val="00843B76"/>
    <w:rsid w:val="00844737"/>
    <w:rsid w:val="008475F0"/>
    <w:rsid w:val="008508B9"/>
    <w:rsid w:val="00850C64"/>
    <w:rsid w:val="008515AF"/>
    <w:rsid w:val="00852C32"/>
    <w:rsid w:val="00853D82"/>
    <w:rsid w:val="008540E2"/>
    <w:rsid w:val="00854F69"/>
    <w:rsid w:val="008553A8"/>
    <w:rsid w:val="008557A7"/>
    <w:rsid w:val="00856BFE"/>
    <w:rsid w:val="00857312"/>
    <w:rsid w:val="00862C24"/>
    <w:rsid w:val="008646EC"/>
    <w:rsid w:val="00865B19"/>
    <w:rsid w:val="0086645E"/>
    <w:rsid w:val="00870928"/>
    <w:rsid w:val="00875066"/>
    <w:rsid w:val="00877620"/>
    <w:rsid w:val="00881605"/>
    <w:rsid w:val="00882AF1"/>
    <w:rsid w:val="00887404"/>
    <w:rsid w:val="008913D8"/>
    <w:rsid w:val="0089405C"/>
    <w:rsid w:val="00897FA2"/>
    <w:rsid w:val="008A0E89"/>
    <w:rsid w:val="008A1503"/>
    <w:rsid w:val="008A5AFE"/>
    <w:rsid w:val="008A6BB7"/>
    <w:rsid w:val="008A7B6F"/>
    <w:rsid w:val="008B11C3"/>
    <w:rsid w:val="008B39A1"/>
    <w:rsid w:val="008B56C3"/>
    <w:rsid w:val="008C0168"/>
    <w:rsid w:val="008C0ED5"/>
    <w:rsid w:val="008C1F60"/>
    <w:rsid w:val="008C2C3F"/>
    <w:rsid w:val="008C478C"/>
    <w:rsid w:val="008C5A0E"/>
    <w:rsid w:val="008C5B3A"/>
    <w:rsid w:val="008C6149"/>
    <w:rsid w:val="008C708C"/>
    <w:rsid w:val="008D4EB3"/>
    <w:rsid w:val="008D75B3"/>
    <w:rsid w:val="008E0E62"/>
    <w:rsid w:val="008E1478"/>
    <w:rsid w:val="008E3263"/>
    <w:rsid w:val="008E36A8"/>
    <w:rsid w:val="008E4B49"/>
    <w:rsid w:val="008F6625"/>
    <w:rsid w:val="00904313"/>
    <w:rsid w:val="00906111"/>
    <w:rsid w:val="00906C94"/>
    <w:rsid w:val="00907B57"/>
    <w:rsid w:val="00912420"/>
    <w:rsid w:val="009130C5"/>
    <w:rsid w:val="009131E9"/>
    <w:rsid w:val="00913871"/>
    <w:rsid w:val="00916582"/>
    <w:rsid w:val="00916A94"/>
    <w:rsid w:val="00917A7A"/>
    <w:rsid w:val="009201CE"/>
    <w:rsid w:val="00920854"/>
    <w:rsid w:val="0092370F"/>
    <w:rsid w:val="00925326"/>
    <w:rsid w:val="0093173D"/>
    <w:rsid w:val="00931D96"/>
    <w:rsid w:val="00933F08"/>
    <w:rsid w:val="00937866"/>
    <w:rsid w:val="00940293"/>
    <w:rsid w:val="00943730"/>
    <w:rsid w:val="0094577D"/>
    <w:rsid w:val="009469EF"/>
    <w:rsid w:val="00950D65"/>
    <w:rsid w:val="0095100A"/>
    <w:rsid w:val="00952815"/>
    <w:rsid w:val="00954D94"/>
    <w:rsid w:val="009612B4"/>
    <w:rsid w:val="00962EA2"/>
    <w:rsid w:val="0097539A"/>
    <w:rsid w:val="00975CA5"/>
    <w:rsid w:val="009774B4"/>
    <w:rsid w:val="00982634"/>
    <w:rsid w:val="009835B9"/>
    <w:rsid w:val="00986590"/>
    <w:rsid w:val="009874A0"/>
    <w:rsid w:val="00991579"/>
    <w:rsid w:val="0099297F"/>
    <w:rsid w:val="00992C76"/>
    <w:rsid w:val="009969D6"/>
    <w:rsid w:val="00996F0B"/>
    <w:rsid w:val="009A112B"/>
    <w:rsid w:val="009A11BA"/>
    <w:rsid w:val="009A2619"/>
    <w:rsid w:val="009A5265"/>
    <w:rsid w:val="009A58FC"/>
    <w:rsid w:val="009A6CFE"/>
    <w:rsid w:val="009B2957"/>
    <w:rsid w:val="009B394F"/>
    <w:rsid w:val="009B4D3B"/>
    <w:rsid w:val="009C18DB"/>
    <w:rsid w:val="009C4BCC"/>
    <w:rsid w:val="009C5BBF"/>
    <w:rsid w:val="009C643D"/>
    <w:rsid w:val="009C6474"/>
    <w:rsid w:val="009C7855"/>
    <w:rsid w:val="009D1191"/>
    <w:rsid w:val="009D3438"/>
    <w:rsid w:val="009D56EC"/>
    <w:rsid w:val="009D7407"/>
    <w:rsid w:val="009E0866"/>
    <w:rsid w:val="009E273C"/>
    <w:rsid w:val="009E5D47"/>
    <w:rsid w:val="009E6AB2"/>
    <w:rsid w:val="009F07AD"/>
    <w:rsid w:val="009F1350"/>
    <w:rsid w:val="009F23DA"/>
    <w:rsid w:val="009F44BC"/>
    <w:rsid w:val="009F6423"/>
    <w:rsid w:val="00A00323"/>
    <w:rsid w:val="00A01739"/>
    <w:rsid w:val="00A07A86"/>
    <w:rsid w:val="00A1034D"/>
    <w:rsid w:val="00A107B9"/>
    <w:rsid w:val="00A11635"/>
    <w:rsid w:val="00A12B40"/>
    <w:rsid w:val="00A1391E"/>
    <w:rsid w:val="00A15AA6"/>
    <w:rsid w:val="00A210B5"/>
    <w:rsid w:val="00A23D7E"/>
    <w:rsid w:val="00A24A62"/>
    <w:rsid w:val="00A25A56"/>
    <w:rsid w:val="00A31C9F"/>
    <w:rsid w:val="00A36E00"/>
    <w:rsid w:val="00A4144F"/>
    <w:rsid w:val="00A418FD"/>
    <w:rsid w:val="00A451A5"/>
    <w:rsid w:val="00A457F8"/>
    <w:rsid w:val="00A458D7"/>
    <w:rsid w:val="00A46B28"/>
    <w:rsid w:val="00A47135"/>
    <w:rsid w:val="00A47792"/>
    <w:rsid w:val="00A54124"/>
    <w:rsid w:val="00A601BA"/>
    <w:rsid w:val="00A61B4D"/>
    <w:rsid w:val="00A6632F"/>
    <w:rsid w:val="00A67EC3"/>
    <w:rsid w:val="00A703BA"/>
    <w:rsid w:val="00A70B7B"/>
    <w:rsid w:val="00A71167"/>
    <w:rsid w:val="00A71415"/>
    <w:rsid w:val="00A72201"/>
    <w:rsid w:val="00A72A05"/>
    <w:rsid w:val="00A74192"/>
    <w:rsid w:val="00A75B84"/>
    <w:rsid w:val="00A80123"/>
    <w:rsid w:val="00A80305"/>
    <w:rsid w:val="00A80F95"/>
    <w:rsid w:val="00A868CB"/>
    <w:rsid w:val="00A87ABA"/>
    <w:rsid w:val="00A87B37"/>
    <w:rsid w:val="00A9072D"/>
    <w:rsid w:val="00A94806"/>
    <w:rsid w:val="00A95173"/>
    <w:rsid w:val="00A96364"/>
    <w:rsid w:val="00A96706"/>
    <w:rsid w:val="00A97244"/>
    <w:rsid w:val="00A97BF1"/>
    <w:rsid w:val="00A97DDA"/>
    <w:rsid w:val="00AA1EBE"/>
    <w:rsid w:val="00AA298A"/>
    <w:rsid w:val="00AA3AA8"/>
    <w:rsid w:val="00AA4EEA"/>
    <w:rsid w:val="00AA7246"/>
    <w:rsid w:val="00AB1B16"/>
    <w:rsid w:val="00AB33AE"/>
    <w:rsid w:val="00AB4795"/>
    <w:rsid w:val="00AB50BE"/>
    <w:rsid w:val="00AB6157"/>
    <w:rsid w:val="00AB6748"/>
    <w:rsid w:val="00AB6BD2"/>
    <w:rsid w:val="00AC107C"/>
    <w:rsid w:val="00AC164A"/>
    <w:rsid w:val="00AC3944"/>
    <w:rsid w:val="00AC551D"/>
    <w:rsid w:val="00AC7B3B"/>
    <w:rsid w:val="00AD13B1"/>
    <w:rsid w:val="00AD19F7"/>
    <w:rsid w:val="00AD2C2E"/>
    <w:rsid w:val="00AD3A56"/>
    <w:rsid w:val="00AE0A5E"/>
    <w:rsid w:val="00AE2B7B"/>
    <w:rsid w:val="00AE448A"/>
    <w:rsid w:val="00AE5BAE"/>
    <w:rsid w:val="00AE74DA"/>
    <w:rsid w:val="00AF18F4"/>
    <w:rsid w:val="00AF2050"/>
    <w:rsid w:val="00AF5C6E"/>
    <w:rsid w:val="00AF7ECC"/>
    <w:rsid w:val="00AF7F6C"/>
    <w:rsid w:val="00B00BF4"/>
    <w:rsid w:val="00B02B2A"/>
    <w:rsid w:val="00B03CA8"/>
    <w:rsid w:val="00B05B87"/>
    <w:rsid w:val="00B07EA2"/>
    <w:rsid w:val="00B13B3D"/>
    <w:rsid w:val="00B16EF6"/>
    <w:rsid w:val="00B22F0E"/>
    <w:rsid w:val="00B241B9"/>
    <w:rsid w:val="00B24938"/>
    <w:rsid w:val="00B249EC"/>
    <w:rsid w:val="00B33C0A"/>
    <w:rsid w:val="00B34763"/>
    <w:rsid w:val="00B37583"/>
    <w:rsid w:val="00B401AF"/>
    <w:rsid w:val="00B42518"/>
    <w:rsid w:val="00B46448"/>
    <w:rsid w:val="00B47467"/>
    <w:rsid w:val="00B47FA6"/>
    <w:rsid w:val="00B50ED0"/>
    <w:rsid w:val="00B51C2F"/>
    <w:rsid w:val="00B55E19"/>
    <w:rsid w:val="00B56BF1"/>
    <w:rsid w:val="00B56E71"/>
    <w:rsid w:val="00B579A6"/>
    <w:rsid w:val="00B6040F"/>
    <w:rsid w:val="00B60792"/>
    <w:rsid w:val="00B6407C"/>
    <w:rsid w:val="00B67B8B"/>
    <w:rsid w:val="00B71AD8"/>
    <w:rsid w:val="00B76D7C"/>
    <w:rsid w:val="00B842A5"/>
    <w:rsid w:val="00B84B3C"/>
    <w:rsid w:val="00B857E1"/>
    <w:rsid w:val="00B8599B"/>
    <w:rsid w:val="00B86990"/>
    <w:rsid w:val="00B91FE7"/>
    <w:rsid w:val="00B929BE"/>
    <w:rsid w:val="00B9429D"/>
    <w:rsid w:val="00B9436A"/>
    <w:rsid w:val="00B94758"/>
    <w:rsid w:val="00BA0B23"/>
    <w:rsid w:val="00BA1B89"/>
    <w:rsid w:val="00BA4B6D"/>
    <w:rsid w:val="00BA6E6D"/>
    <w:rsid w:val="00BB26C5"/>
    <w:rsid w:val="00BB2BC6"/>
    <w:rsid w:val="00BB2F84"/>
    <w:rsid w:val="00BB32C1"/>
    <w:rsid w:val="00BB3FD0"/>
    <w:rsid w:val="00BB7CB1"/>
    <w:rsid w:val="00BC1FED"/>
    <w:rsid w:val="00BC2B93"/>
    <w:rsid w:val="00BC7113"/>
    <w:rsid w:val="00BC792D"/>
    <w:rsid w:val="00BC7BC1"/>
    <w:rsid w:val="00BD1CFF"/>
    <w:rsid w:val="00BD3170"/>
    <w:rsid w:val="00BD34FA"/>
    <w:rsid w:val="00BD5916"/>
    <w:rsid w:val="00BD6304"/>
    <w:rsid w:val="00BD6524"/>
    <w:rsid w:val="00BD6BDD"/>
    <w:rsid w:val="00BD710C"/>
    <w:rsid w:val="00BE12B6"/>
    <w:rsid w:val="00BE1627"/>
    <w:rsid w:val="00BF1579"/>
    <w:rsid w:val="00BF48B8"/>
    <w:rsid w:val="00BF4DE6"/>
    <w:rsid w:val="00BF6703"/>
    <w:rsid w:val="00BF6833"/>
    <w:rsid w:val="00C0540A"/>
    <w:rsid w:val="00C05562"/>
    <w:rsid w:val="00C06B13"/>
    <w:rsid w:val="00C10983"/>
    <w:rsid w:val="00C10C39"/>
    <w:rsid w:val="00C132EF"/>
    <w:rsid w:val="00C14F51"/>
    <w:rsid w:val="00C16A47"/>
    <w:rsid w:val="00C21397"/>
    <w:rsid w:val="00C23086"/>
    <w:rsid w:val="00C23D6F"/>
    <w:rsid w:val="00C256CC"/>
    <w:rsid w:val="00C27D25"/>
    <w:rsid w:val="00C332B5"/>
    <w:rsid w:val="00C33A18"/>
    <w:rsid w:val="00C35791"/>
    <w:rsid w:val="00C37697"/>
    <w:rsid w:val="00C414A1"/>
    <w:rsid w:val="00C42541"/>
    <w:rsid w:val="00C42CDE"/>
    <w:rsid w:val="00C45193"/>
    <w:rsid w:val="00C45941"/>
    <w:rsid w:val="00C50241"/>
    <w:rsid w:val="00C5079C"/>
    <w:rsid w:val="00C50B58"/>
    <w:rsid w:val="00C512EF"/>
    <w:rsid w:val="00C5182A"/>
    <w:rsid w:val="00C52463"/>
    <w:rsid w:val="00C52B3D"/>
    <w:rsid w:val="00C55983"/>
    <w:rsid w:val="00C560F2"/>
    <w:rsid w:val="00C61274"/>
    <w:rsid w:val="00C61649"/>
    <w:rsid w:val="00C61E08"/>
    <w:rsid w:val="00C63EE9"/>
    <w:rsid w:val="00C66DA0"/>
    <w:rsid w:val="00C670BF"/>
    <w:rsid w:val="00C70DBE"/>
    <w:rsid w:val="00C74226"/>
    <w:rsid w:val="00C76328"/>
    <w:rsid w:val="00C76B2D"/>
    <w:rsid w:val="00C80F99"/>
    <w:rsid w:val="00C83415"/>
    <w:rsid w:val="00C83F4E"/>
    <w:rsid w:val="00C84105"/>
    <w:rsid w:val="00C84C30"/>
    <w:rsid w:val="00C86F1D"/>
    <w:rsid w:val="00C87B9B"/>
    <w:rsid w:val="00C87DDC"/>
    <w:rsid w:val="00C908C7"/>
    <w:rsid w:val="00C91702"/>
    <w:rsid w:val="00C92805"/>
    <w:rsid w:val="00C9565F"/>
    <w:rsid w:val="00C96397"/>
    <w:rsid w:val="00CA0A07"/>
    <w:rsid w:val="00CA15E9"/>
    <w:rsid w:val="00CA16F3"/>
    <w:rsid w:val="00CA1710"/>
    <w:rsid w:val="00CA3403"/>
    <w:rsid w:val="00CA37B1"/>
    <w:rsid w:val="00CA3FD8"/>
    <w:rsid w:val="00CA4015"/>
    <w:rsid w:val="00CA45E6"/>
    <w:rsid w:val="00CA5021"/>
    <w:rsid w:val="00CB1488"/>
    <w:rsid w:val="00CB1959"/>
    <w:rsid w:val="00CB40BD"/>
    <w:rsid w:val="00CB6737"/>
    <w:rsid w:val="00CB7123"/>
    <w:rsid w:val="00CC1D45"/>
    <w:rsid w:val="00CC5A51"/>
    <w:rsid w:val="00CC6B1E"/>
    <w:rsid w:val="00CC741B"/>
    <w:rsid w:val="00CD0E4B"/>
    <w:rsid w:val="00CD3F5D"/>
    <w:rsid w:val="00CD4AD4"/>
    <w:rsid w:val="00CD53B6"/>
    <w:rsid w:val="00CD5F53"/>
    <w:rsid w:val="00CE099B"/>
    <w:rsid w:val="00CE2425"/>
    <w:rsid w:val="00CE4C89"/>
    <w:rsid w:val="00CE7538"/>
    <w:rsid w:val="00CF07BA"/>
    <w:rsid w:val="00CF21A3"/>
    <w:rsid w:val="00D01E7F"/>
    <w:rsid w:val="00D0296C"/>
    <w:rsid w:val="00D02FBF"/>
    <w:rsid w:val="00D05A44"/>
    <w:rsid w:val="00D05E55"/>
    <w:rsid w:val="00D0747E"/>
    <w:rsid w:val="00D1231A"/>
    <w:rsid w:val="00D13CF3"/>
    <w:rsid w:val="00D20A30"/>
    <w:rsid w:val="00D20BC7"/>
    <w:rsid w:val="00D2641E"/>
    <w:rsid w:val="00D27DF0"/>
    <w:rsid w:val="00D30E1E"/>
    <w:rsid w:val="00D3170B"/>
    <w:rsid w:val="00D32D6F"/>
    <w:rsid w:val="00D34D5D"/>
    <w:rsid w:val="00D377C8"/>
    <w:rsid w:val="00D37B04"/>
    <w:rsid w:val="00D4225B"/>
    <w:rsid w:val="00D45555"/>
    <w:rsid w:val="00D4628C"/>
    <w:rsid w:val="00D468B3"/>
    <w:rsid w:val="00D468B5"/>
    <w:rsid w:val="00D479B5"/>
    <w:rsid w:val="00D47B14"/>
    <w:rsid w:val="00D50336"/>
    <w:rsid w:val="00D540C6"/>
    <w:rsid w:val="00D55557"/>
    <w:rsid w:val="00D57F64"/>
    <w:rsid w:val="00D64BD1"/>
    <w:rsid w:val="00D66D36"/>
    <w:rsid w:val="00D71F34"/>
    <w:rsid w:val="00D7310B"/>
    <w:rsid w:val="00D739F2"/>
    <w:rsid w:val="00D73F40"/>
    <w:rsid w:val="00D85AE1"/>
    <w:rsid w:val="00D85F0B"/>
    <w:rsid w:val="00D87710"/>
    <w:rsid w:val="00D90B37"/>
    <w:rsid w:val="00D9170C"/>
    <w:rsid w:val="00D92254"/>
    <w:rsid w:val="00D924D3"/>
    <w:rsid w:val="00D95B7B"/>
    <w:rsid w:val="00D96A39"/>
    <w:rsid w:val="00DA0701"/>
    <w:rsid w:val="00DA083F"/>
    <w:rsid w:val="00DA15DF"/>
    <w:rsid w:val="00DA1B52"/>
    <w:rsid w:val="00DA5624"/>
    <w:rsid w:val="00DA71D3"/>
    <w:rsid w:val="00DB2776"/>
    <w:rsid w:val="00DB5C84"/>
    <w:rsid w:val="00DB64A3"/>
    <w:rsid w:val="00DB6938"/>
    <w:rsid w:val="00DB7819"/>
    <w:rsid w:val="00DB7C67"/>
    <w:rsid w:val="00DC0996"/>
    <w:rsid w:val="00DC0B14"/>
    <w:rsid w:val="00DC1276"/>
    <w:rsid w:val="00DC238C"/>
    <w:rsid w:val="00DC6D78"/>
    <w:rsid w:val="00DD3E88"/>
    <w:rsid w:val="00DD4419"/>
    <w:rsid w:val="00DD7107"/>
    <w:rsid w:val="00DE084C"/>
    <w:rsid w:val="00DE7EA3"/>
    <w:rsid w:val="00DF00A4"/>
    <w:rsid w:val="00DF2254"/>
    <w:rsid w:val="00DF4AF7"/>
    <w:rsid w:val="00DF68CF"/>
    <w:rsid w:val="00DF7801"/>
    <w:rsid w:val="00E0175D"/>
    <w:rsid w:val="00E0497E"/>
    <w:rsid w:val="00E055AB"/>
    <w:rsid w:val="00E11A31"/>
    <w:rsid w:val="00E11EFE"/>
    <w:rsid w:val="00E12E34"/>
    <w:rsid w:val="00E14F51"/>
    <w:rsid w:val="00E157DE"/>
    <w:rsid w:val="00E15A6C"/>
    <w:rsid w:val="00E15CEF"/>
    <w:rsid w:val="00E1666D"/>
    <w:rsid w:val="00E16B6F"/>
    <w:rsid w:val="00E221FA"/>
    <w:rsid w:val="00E23C4E"/>
    <w:rsid w:val="00E3076E"/>
    <w:rsid w:val="00E357B7"/>
    <w:rsid w:val="00E35939"/>
    <w:rsid w:val="00E410F8"/>
    <w:rsid w:val="00E41C23"/>
    <w:rsid w:val="00E42990"/>
    <w:rsid w:val="00E42E50"/>
    <w:rsid w:val="00E4584F"/>
    <w:rsid w:val="00E500FF"/>
    <w:rsid w:val="00E519DD"/>
    <w:rsid w:val="00E532A8"/>
    <w:rsid w:val="00E537C7"/>
    <w:rsid w:val="00E53800"/>
    <w:rsid w:val="00E6081F"/>
    <w:rsid w:val="00E614AA"/>
    <w:rsid w:val="00E624EC"/>
    <w:rsid w:val="00E64B7B"/>
    <w:rsid w:val="00E70C37"/>
    <w:rsid w:val="00E74C2E"/>
    <w:rsid w:val="00E75307"/>
    <w:rsid w:val="00E802A6"/>
    <w:rsid w:val="00E8296D"/>
    <w:rsid w:val="00E8457B"/>
    <w:rsid w:val="00E84588"/>
    <w:rsid w:val="00E84825"/>
    <w:rsid w:val="00E87A23"/>
    <w:rsid w:val="00E87A70"/>
    <w:rsid w:val="00E87B75"/>
    <w:rsid w:val="00E93E79"/>
    <w:rsid w:val="00E944AA"/>
    <w:rsid w:val="00E95A97"/>
    <w:rsid w:val="00EA04B2"/>
    <w:rsid w:val="00EA20F3"/>
    <w:rsid w:val="00EA2F82"/>
    <w:rsid w:val="00EA36D9"/>
    <w:rsid w:val="00EA4D55"/>
    <w:rsid w:val="00EA58ED"/>
    <w:rsid w:val="00EA5CA0"/>
    <w:rsid w:val="00EA6F40"/>
    <w:rsid w:val="00EC608A"/>
    <w:rsid w:val="00EC6D38"/>
    <w:rsid w:val="00EC75E4"/>
    <w:rsid w:val="00ED05BE"/>
    <w:rsid w:val="00ED2831"/>
    <w:rsid w:val="00ED2B16"/>
    <w:rsid w:val="00ED3353"/>
    <w:rsid w:val="00ED3B2D"/>
    <w:rsid w:val="00ED43D1"/>
    <w:rsid w:val="00ED7530"/>
    <w:rsid w:val="00EE0466"/>
    <w:rsid w:val="00EE1CFF"/>
    <w:rsid w:val="00EE4EE1"/>
    <w:rsid w:val="00EE5CFC"/>
    <w:rsid w:val="00EF0B25"/>
    <w:rsid w:val="00EF4574"/>
    <w:rsid w:val="00EF4612"/>
    <w:rsid w:val="00F01921"/>
    <w:rsid w:val="00F035A7"/>
    <w:rsid w:val="00F051E0"/>
    <w:rsid w:val="00F051F7"/>
    <w:rsid w:val="00F13373"/>
    <w:rsid w:val="00F20D09"/>
    <w:rsid w:val="00F21C85"/>
    <w:rsid w:val="00F258BF"/>
    <w:rsid w:val="00F25A93"/>
    <w:rsid w:val="00F2684E"/>
    <w:rsid w:val="00F27235"/>
    <w:rsid w:val="00F2757B"/>
    <w:rsid w:val="00F32F70"/>
    <w:rsid w:val="00F33070"/>
    <w:rsid w:val="00F331E3"/>
    <w:rsid w:val="00F337F6"/>
    <w:rsid w:val="00F3382A"/>
    <w:rsid w:val="00F3502B"/>
    <w:rsid w:val="00F35BE6"/>
    <w:rsid w:val="00F37F4E"/>
    <w:rsid w:val="00F45486"/>
    <w:rsid w:val="00F47942"/>
    <w:rsid w:val="00F5005F"/>
    <w:rsid w:val="00F53309"/>
    <w:rsid w:val="00F537CC"/>
    <w:rsid w:val="00F53E91"/>
    <w:rsid w:val="00F5404C"/>
    <w:rsid w:val="00F55791"/>
    <w:rsid w:val="00F613CA"/>
    <w:rsid w:val="00F61BAB"/>
    <w:rsid w:val="00F6373C"/>
    <w:rsid w:val="00F650C7"/>
    <w:rsid w:val="00F67C6A"/>
    <w:rsid w:val="00F70504"/>
    <w:rsid w:val="00F707E0"/>
    <w:rsid w:val="00F71306"/>
    <w:rsid w:val="00F729EF"/>
    <w:rsid w:val="00F746B7"/>
    <w:rsid w:val="00F760AE"/>
    <w:rsid w:val="00F77CAE"/>
    <w:rsid w:val="00F82271"/>
    <w:rsid w:val="00F83428"/>
    <w:rsid w:val="00F84F67"/>
    <w:rsid w:val="00F86241"/>
    <w:rsid w:val="00F875A8"/>
    <w:rsid w:val="00F90B17"/>
    <w:rsid w:val="00F96BB9"/>
    <w:rsid w:val="00FA1169"/>
    <w:rsid w:val="00FA4A95"/>
    <w:rsid w:val="00FA4D1A"/>
    <w:rsid w:val="00FA5EFD"/>
    <w:rsid w:val="00FB32C9"/>
    <w:rsid w:val="00FB42CD"/>
    <w:rsid w:val="00FB4D9E"/>
    <w:rsid w:val="00FB4EC9"/>
    <w:rsid w:val="00FB52BC"/>
    <w:rsid w:val="00FB5B7E"/>
    <w:rsid w:val="00FB735A"/>
    <w:rsid w:val="00FC1216"/>
    <w:rsid w:val="00FC2AFC"/>
    <w:rsid w:val="00FC326D"/>
    <w:rsid w:val="00FC4433"/>
    <w:rsid w:val="00FC5365"/>
    <w:rsid w:val="00FD1850"/>
    <w:rsid w:val="00FD710F"/>
    <w:rsid w:val="00FE00C1"/>
    <w:rsid w:val="00FE1794"/>
    <w:rsid w:val="00FE17B4"/>
    <w:rsid w:val="00FE648E"/>
    <w:rsid w:val="00FE6D51"/>
    <w:rsid w:val="00FE6F2A"/>
    <w:rsid w:val="00FF1C2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D8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D53B6"/>
    <w:pPr>
      <w:keepNext w:val="0"/>
      <w:keepLines w:val="0"/>
      <w:spacing w:before="240" w:after="120" w:line="240" w:lineRule="auto"/>
      <w:outlineLvl w:val="1"/>
    </w:pPr>
    <w:rPr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C23D6F"/>
    <w:pPr>
      <w:keepNext/>
      <w:outlineLvl w:val="2"/>
    </w:pPr>
    <w:rPr>
      <w:bCs/>
      <w:i/>
      <w:caps w:val="0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 w:val="0"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D8"/>
    <w:rPr>
      <w:rFonts w:asciiTheme="majorHAnsi" w:eastAsiaTheme="majorEastAsia" w:hAnsiTheme="majorHAnsi" w:cstheme="majorBidi"/>
      <w:b/>
      <w:bCs/>
      <w:caps/>
      <w:color w:val="495965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D53B6"/>
    <w:rPr>
      <w:rFonts w:asciiTheme="majorHAnsi" w:eastAsiaTheme="majorEastAsia" w:hAnsiTheme="majorHAnsi" w:cstheme="majorBidi"/>
      <w:b/>
      <w:caps/>
      <w:color w:val="495965" w:themeColor="text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23D6F"/>
    <w:rPr>
      <w:rFonts w:asciiTheme="majorHAnsi" w:eastAsiaTheme="majorEastAsia" w:hAnsiTheme="majorHAnsi" w:cstheme="majorBidi"/>
      <w:b/>
      <w:bCs/>
      <w:i/>
      <w:color w:val="495965" w:themeColor="text2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uiPriority w:val="34"/>
    <w:qFormat/>
    <w:rsid w:val="00B71AD8"/>
    <w:pPr>
      <w:spacing w:before="0"/>
    </w:pPr>
  </w:style>
  <w:style w:type="paragraph" w:customStyle="1" w:styleId="Bullet2">
    <w:name w:val="Bullet 2"/>
    <w:basedOn w:val="Bullet1"/>
    <w:link w:val="Bullet2Char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Franklin Gothic Medium" w:hAnsi="Franklin Gothic Medium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semiHidden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customStyle="1" w:styleId="Default">
    <w:name w:val="Default"/>
    <w:basedOn w:val="Normal"/>
    <w:rsid w:val="00A96706"/>
    <w:pPr>
      <w:suppressAutoHyphens w:val="0"/>
      <w:autoSpaceDE w:val="0"/>
      <w:autoSpaceDN w:val="0"/>
      <w:spacing w:before="0" w:after="0" w:line="240" w:lineRule="auto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4EB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4EB3"/>
    <w:rPr>
      <w:color w:val="495965" w:themeColor="text2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D4EB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02F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ydp1f29c664msonormal">
    <w:name w:val="ydp1f29c664msonormal"/>
    <w:basedOn w:val="Normal"/>
    <w:rsid w:val="000A2DB2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color w:val="auto"/>
      <w:lang w:val="en-AU" w:eastAsia="en-AU"/>
    </w:rPr>
  </w:style>
  <w:style w:type="character" w:customStyle="1" w:styleId="Bullet2Char">
    <w:name w:val="Bullet 2 Char"/>
    <w:basedOn w:val="DefaultParagraphFont"/>
    <w:link w:val="Bullet2"/>
    <w:locked/>
    <w:rsid w:val="00691054"/>
    <w:rPr>
      <w:color w:val="495965" w:themeColor="text2"/>
      <w:lang w:val="en-GB"/>
    </w:rPr>
  </w:style>
  <w:style w:type="paragraph" w:styleId="Revision">
    <w:name w:val="Revision"/>
    <w:hidden/>
    <w:uiPriority w:val="99"/>
    <w:semiHidden/>
    <w:rsid w:val="005D10D4"/>
    <w:pPr>
      <w:spacing w:after="0" w:line="240" w:lineRule="auto"/>
    </w:pPr>
    <w:rPr>
      <w:color w:val="495965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3989</Words>
  <Characters>24204</Characters>
  <Application>Microsoft Office Word</Application>
  <DocSecurity>0</DocSecurity>
  <Lines>638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Pacific Regional Development Program Progress Report</dc:title>
  <dc:subject/>
  <dc:creator/>
  <cp:keywords/>
  <dc:description/>
  <cp:lastModifiedBy/>
  <cp:revision>1</cp:revision>
  <dcterms:created xsi:type="dcterms:W3CDTF">2021-11-24T05:15:00Z</dcterms:created>
  <dcterms:modified xsi:type="dcterms:W3CDTF">2021-11-24T05:15:00Z</dcterms:modified>
  <cp:category/>
</cp:coreProperties>
</file>