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80E67" w14:textId="69511D71" w:rsidR="008C3509" w:rsidRPr="00875E68" w:rsidRDefault="00D16EB8" w:rsidP="00A87B37">
      <w:pPr>
        <w:pStyle w:val="Heading1"/>
      </w:pPr>
      <w:bookmarkStart w:id="0" w:name="_Hlk79506143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2E2FC98" wp14:editId="6744240C">
                <wp:simplePos x="0" y="0"/>
                <wp:positionH relativeFrom="margin">
                  <wp:align>left</wp:align>
                </wp:positionH>
                <wp:positionV relativeFrom="paragraph">
                  <wp:posOffset>-739140</wp:posOffset>
                </wp:positionV>
                <wp:extent cx="1609725" cy="419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32C26" w14:textId="6C139DAC" w:rsidR="00D16EB8" w:rsidRPr="000B4203" w:rsidRDefault="00D16EB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B420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Partnerships for Recovery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2FC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8.2pt;width:126.75pt;height:33pt;z-index:2516628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" filled="f" stroked="f">
                <v:textbox>
                  <w:txbxContent>
                    <w:p w14:paraId="57F32C26" w14:textId="6C139DAC" w:rsidR="00D16EB8" w:rsidRPr="000B4203" w:rsidRDefault="00D16EB8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0B420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Partnerships for Recovery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7EC4" w:rsidRPr="00536C39">
        <w:rPr>
          <w:caps w:val="0"/>
        </w:rPr>
        <w:t>DFAT MULTILATERAL PERFORMANCE R</w:t>
      </w:r>
      <w:r w:rsidR="00197EC4" w:rsidRPr="00875E68">
        <w:rPr>
          <w:caps w:val="0"/>
        </w:rPr>
        <w:t>EPORT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374"/>
      </w:tblGrid>
      <w:tr w:rsidR="004812D9" w:rsidRPr="00B76251" w14:paraId="357DF733" w14:textId="77777777" w:rsidTr="000141AD">
        <w:trPr>
          <w:trHeight w:val="4377"/>
        </w:trPr>
        <w:tc>
          <w:tcPr>
            <w:tcW w:w="4558" w:type="dxa"/>
          </w:tcPr>
          <w:p w14:paraId="55393079" w14:textId="1611EF9B" w:rsidR="00B76251" w:rsidRPr="00B76251" w:rsidRDefault="00347FA8" w:rsidP="006C63F5">
            <w:pPr>
              <w:keepNext/>
              <w:keepLines/>
              <w:spacing w:before="240" w:after="120" w:line="240" w:lineRule="auto"/>
              <w:contextualSpacing/>
              <w:outlineLvl w:val="1"/>
            </w:pPr>
            <w:r>
              <w:rPr>
                <w:noProof/>
              </w:rPr>
              <w:drawing>
                <wp:inline distT="0" distB="0" distL="0" distR="0" wp14:anchorId="4921C1C2" wp14:editId="17F4A329">
                  <wp:extent cx="2981741" cy="2943636"/>
                  <wp:effectExtent l="0" t="0" r="9525" b="9525"/>
                  <wp:docPr id="3" name="Picture 3" descr="Table of 2020-21 Core funding estimate to multilateral organisations (AUD m*)&#10;- International Financial Institutions - $388.3&#10;- UN Development Agencies - $65.8&#10;- Global Health Programs - $136.6&#10;- International Humanitarian Agencies - $106&#10;- TOTAL ODA - $696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able of 2020-21 Core funding estimate to multilateral organisations (AUD m*)&#10;- International Financial Institutions - $388.3&#10;- UN Development Agencies - $65.8&#10;- Global Health Programs - $136.6&#10;- International Humanitarian Agencies - $106&#10;- TOTAL ODA - $696.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1" cy="2943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4" w:type="dxa"/>
          </w:tcPr>
          <w:tbl>
            <w:tblPr>
              <w:tblStyle w:val="TableGrid1"/>
              <w:tblpPr w:leftFromText="180" w:rightFromText="180" w:vertAnchor="text" w:horzAnchor="margin" w:tblpY="66"/>
              <w:tblW w:w="51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Program budget allocation by sector "/>
            </w:tblPr>
            <w:tblGrid>
              <w:gridCol w:w="5158"/>
            </w:tblGrid>
            <w:tr w:rsidR="00B76251" w:rsidRPr="00B76251" w14:paraId="0265C607" w14:textId="77777777" w:rsidTr="00B91220">
              <w:trPr>
                <w:trHeight w:val="3551"/>
              </w:trPr>
              <w:tc>
                <w:tcPr>
                  <w:tcW w:w="5158" w:type="dxa"/>
                </w:tcPr>
                <w:p w14:paraId="0149AC5B" w14:textId="1CAB76AC" w:rsidR="008D6E36" w:rsidRPr="00B76251" w:rsidRDefault="003723D5" w:rsidP="00A72DA6">
                  <w:pPr>
                    <w:widowControl w:val="0"/>
                    <w:suppressAutoHyphens w:val="0"/>
                    <w:spacing w:before="0" w:after="0" w:line="240" w:lineRule="auto"/>
                    <w:ind w:left="316"/>
                    <w:contextualSpacing/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800" behindDoc="0" locked="0" layoutInCell="1" allowOverlap="0" wp14:anchorId="6AA7D38E" wp14:editId="51088F90">
                        <wp:simplePos x="0" y="0"/>
                        <wp:positionH relativeFrom="column">
                          <wp:posOffset>227330</wp:posOffset>
                        </wp:positionH>
                        <wp:positionV relativeFrom="paragraph">
                          <wp:posOffset>0</wp:posOffset>
                        </wp:positionV>
                        <wp:extent cx="2872740" cy="2757170"/>
                        <wp:effectExtent l="0" t="0" r="3810" b="5080"/>
                        <wp:wrapSquare wrapText="bothSides"/>
                        <wp:docPr id="5" name="Picture 5" descr="A circular pictorial representation of all 17 Sustainable Development Goals including the following:&#10;1 - no poverty&#10;2 - zero hunger&#10;3 - good health &amp; wellbeing&#10;4 - quality education&#10;5 - gender equality&#10;6 - clean water and sanitation&#10;7 - affordable and clean energy&#10;8 - decent work and economic growth&#10;9 - industry innovation &amp; infrastructure&#10;10 - reduced inequalities&#10;11 - sustainable city &amp; communities&#10;12 - sustainable consumption and production&#10;13 - climate action&#10;14 - life below water&#10;15 - life on land&#10;16 - peace &amp; justice&#10;17 - partnership for the goal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 descr="A circular pictorial representation of all 17 Sustainable Development Goals including the following:&#10;1 - no poverty&#10;2 - zero hunger&#10;3 - good health &amp; wellbeing&#10;4 - quality education&#10;5 - gender equality&#10;6 - clean water and sanitation&#10;7 - affordable and clean energy&#10;8 - decent work and economic growth&#10;9 - industry innovation &amp; infrastructure&#10;10 - reduced inequalities&#10;11 - sustainable city &amp; communities&#10;12 - sustainable consumption and production&#10;13 - climate action&#10;14 - life below water&#10;15 - life on land&#10;16 - peace &amp; justice&#10;17 - partnership for the goal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2740" cy="27571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156A990B" w14:textId="1789CDDE" w:rsidR="00B76251" w:rsidRPr="00B76251" w:rsidRDefault="00B76251" w:rsidP="00674F7A"/>
        </w:tc>
      </w:tr>
    </w:tbl>
    <w:p w14:paraId="43A3D6CE" w14:textId="4BAFD079" w:rsidR="00B76251" w:rsidRPr="00B76251" w:rsidRDefault="00B76251" w:rsidP="00A87B37">
      <w:pPr>
        <w:pStyle w:val="Heading2"/>
      </w:pPr>
      <w:bookmarkStart w:id="1" w:name="_Hlk85589266"/>
      <w:r w:rsidRPr="00B76251">
        <w:t>CONTEXT</w:t>
      </w:r>
    </w:p>
    <w:p w14:paraId="63B0C30F" w14:textId="6F0F2F17" w:rsidR="00E53A75" w:rsidRDefault="00E53A75" w:rsidP="00ED110F">
      <w:pPr>
        <w:shd w:val="clear" w:color="auto" w:fill="FFFFFF" w:themeFill="background1"/>
        <w:spacing w:before="0" w:after="0" w:line="240" w:lineRule="auto"/>
        <w:ind w:right="198"/>
        <w:jc w:val="both"/>
        <w:rPr>
          <w:noProof/>
        </w:rPr>
      </w:pPr>
      <w:proofErr w:type="gramStart"/>
      <w:r w:rsidRPr="00B76251">
        <w:rPr>
          <w:noProof/>
        </w:rPr>
        <w:t>A safe, healthy and prosperous Indo-Pacific region</w:t>
      </w:r>
      <w:r w:rsidR="000141AD">
        <w:rPr>
          <w:i/>
          <w:iCs/>
          <w:color w:val="000000"/>
        </w:rPr>
        <w:t>,</w:t>
      </w:r>
      <w:proofErr w:type="gramEnd"/>
      <w:r w:rsidRPr="00B76251">
        <w:rPr>
          <w:noProof/>
        </w:rPr>
        <w:t xml:space="preserve"> is firmly in </w:t>
      </w:r>
      <w:r>
        <w:rPr>
          <w:noProof/>
        </w:rPr>
        <w:t xml:space="preserve">Australia’s </w:t>
      </w:r>
      <w:r w:rsidRPr="00B76251">
        <w:rPr>
          <w:noProof/>
        </w:rPr>
        <w:t xml:space="preserve">national interest. Australia’s </w:t>
      </w:r>
      <w:r w:rsidRPr="007A591E">
        <w:rPr>
          <w:i/>
          <w:iCs/>
          <w:noProof/>
        </w:rPr>
        <w:t>Partnerships for Recovery</w:t>
      </w:r>
      <w:r w:rsidRPr="00036A6A">
        <w:rPr>
          <w:noProof/>
        </w:rPr>
        <w:t xml:space="preserve"> sets out development priorities in response to the COVID−19 pandemic.</w:t>
      </w:r>
      <w:r>
        <w:rPr>
          <w:noProof/>
        </w:rPr>
        <w:t xml:space="preserve"> Australian funded multilateral organisatons play an important role supporting </w:t>
      </w:r>
      <w:r w:rsidRPr="00C332F6">
        <w:rPr>
          <w:i/>
          <w:iCs/>
          <w:noProof/>
        </w:rPr>
        <w:t>Partnerships for Recovery</w:t>
      </w:r>
      <w:r>
        <w:rPr>
          <w:noProof/>
        </w:rPr>
        <w:t xml:space="preserve"> alongside Australia’s country and regional programs</w:t>
      </w:r>
      <w:r w:rsidR="00ED110F">
        <w:rPr>
          <w:noProof/>
        </w:rPr>
        <w:t xml:space="preserve">. They are also </w:t>
      </w:r>
      <w:r w:rsidR="000141AD" w:rsidRPr="000141AD">
        <w:rPr>
          <w:noProof/>
        </w:rPr>
        <w:t>helping cou</w:t>
      </w:r>
      <w:r w:rsidR="000141AD">
        <w:rPr>
          <w:noProof/>
        </w:rPr>
        <w:t>n</w:t>
      </w:r>
      <w:r w:rsidR="000141AD" w:rsidRPr="000141AD">
        <w:rPr>
          <w:noProof/>
        </w:rPr>
        <w:t>tr</w:t>
      </w:r>
      <w:r w:rsidR="000141AD">
        <w:rPr>
          <w:noProof/>
        </w:rPr>
        <w:t>i</w:t>
      </w:r>
      <w:r w:rsidR="000141AD" w:rsidRPr="000141AD">
        <w:rPr>
          <w:noProof/>
        </w:rPr>
        <w:t xml:space="preserve">es in our region </w:t>
      </w:r>
      <w:r w:rsidR="00ED110F">
        <w:rPr>
          <w:noProof/>
        </w:rPr>
        <w:t xml:space="preserve">to </w:t>
      </w:r>
      <w:r w:rsidR="000141AD" w:rsidRPr="000141AD">
        <w:rPr>
          <w:noProof/>
        </w:rPr>
        <w:t>meet the Sustainable Development Goals of the 2030 Agenda</w:t>
      </w:r>
      <w:r w:rsidRPr="000141AD">
        <w:rPr>
          <w:noProof/>
        </w:rPr>
        <w:t>.</w:t>
      </w:r>
      <w:r>
        <w:rPr>
          <w:noProof/>
        </w:rPr>
        <w:t xml:space="preserve"> </w:t>
      </w:r>
      <w:r>
        <w:rPr>
          <w:rFonts w:cs="Calibri"/>
        </w:rPr>
        <w:t>This report provides a snapshot of the performance of key Australian</w:t>
      </w:r>
      <w:r w:rsidR="00B25180">
        <w:rPr>
          <w:rFonts w:cs="Calibri"/>
        </w:rPr>
        <w:t>-</w:t>
      </w:r>
      <w:r>
        <w:rPr>
          <w:rFonts w:cs="Calibri"/>
        </w:rPr>
        <w:t xml:space="preserve">funded multilateral organisations during 2020-21 in support of </w:t>
      </w:r>
      <w:r w:rsidRPr="00760A89">
        <w:rPr>
          <w:noProof/>
        </w:rPr>
        <w:t>P</w:t>
      </w:r>
      <w:r w:rsidRPr="00B7263B">
        <w:rPr>
          <w:i/>
          <w:iCs/>
          <w:noProof/>
        </w:rPr>
        <w:t>art</w:t>
      </w:r>
      <w:r w:rsidR="00D656E0">
        <w:rPr>
          <w:i/>
          <w:iCs/>
          <w:noProof/>
        </w:rPr>
        <w:t>n</w:t>
      </w:r>
      <w:r w:rsidRPr="00B7263B">
        <w:rPr>
          <w:i/>
          <w:iCs/>
          <w:noProof/>
        </w:rPr>
        <w:t>ership</w:t>
      </w:r>
      <w:r>
        <w:rPr>
          <w:i/>
          <w:iCs/>
          <w:noProof/>
        </w:rPr>
        <w:t>s</w:t>
      </w:r>
      <w:r w:rsidRPr="00B7263B">
        <w:rPr>
          <w:i/>
          <w:iCs/>
          <w:noProof/>
        </w:rPr>
        <w:t xml:space="preserve"> for Recovery</w:t>
      </w:r>
      <w:r>
        <w:rPr>
          <w:noProof/>
        </w:rPr>
        <w:t>. Ag</w:t>
      </w:r>
      <w:r w:rsidR="00B25180">
        <w:rPr>
          <w:noProof/>
        </w:rPr>
        <w:t>g</w:t>
      </w:r>
      <w:r>
        <w:rPr>
          <w:noProof/>
        </w:rPr>
        <w:t>regated ratings and key</w:t>
      </w:r>
      <w:r w:rsidR="00B25180">
        <w:rPr>
          <w:noProof/>
        </w:rPr>
        <w:t xml:space="preserve">, </w:t>
      </w:r>
      <w:r w:rsidR="00B25180" w:rsidRPr="00F82376">
        <w:rPr>
          <w:noProof/>
        </w:rPr>
        <w:t>overall</w:t>
      </w:r>
      <w:r w:rsidR="00F82376" w:rsidRPr="00F82376">
        <w:rPr>
          <w:noProof/>
        </w:rPr>
        <w:t xml:space="preserve"> </w:t>
      </w:r>
      <w:r w:rsidRPr="00F82376">
        <w:rPr>
          <w:noProof/>
        </w:rPr>
        <w:t>findings</w:t>
      </w:r>
      <w:r w:rsidR="00235BC0">
        <w:rPr>
          <w:noProof/>
        </w:rPr>
        <w:t xml:space="preserve"> </w:t>
      </w:r>
      <w:r>
        <w:rPr>
          <w:noProof/>
        </w:rPr>
        <w:t>have been comp</w:t>
      </w:r>
      <w:r w:rsidR="006E1988">
        <w:rPr>
          <w:noProof/>
        </w:rPr>
        <w:t>i</w:t>
      </w:r>
      <w:r>
        <w:rPr>
          <w:noProof/>
        </w:rPr>
        <w:t>led from DFAT’s internal performance reporting for the largest core</w:t>
      </w:r>
      <w:r w:rsidR="00B25180">
        <w:rPr>
          <w:noProof/>
        </w:rPr>
        <w:t>-</w:t>
      </w:r>
      <w:r>
        <w:rPr>
          <w:noProof/>
        </w:rPr>
        <w:t>funded multilateral org</w:t>
      </w:r>
      <w:r w:rsidR="006E1988">
        <w:rPr>
          <w:noProof/>
        </w:rPr>
        <w:t>anisations</w:t>
      </w:r>
      <w:r>
        <w:rPr>
          <w:noProof/>
        </w:rPr>
        <w:t xml:space="preserve">. The report complements DFAT </w:t>
      </w:r>
      <w:r w:rsidR="00A55036">
        <w:rPr>
          <w:noProof/>
        </w:rPr>
        <w:t>c</w:t>
      </w:r>
      <w:r>
        <w:rPr>
          <w:noProof/>
        </w:rPr>
        <w:t xml:space="preserve">ountry and </w:t>
      </w:r>
      <w:r w:rsidR="00A55036">
        <w:rPr>
          <w:noProof/>
        </w:rPr>
        <w:t>r</w:t>
      </w:r>
      <w:r>
        <w:rPr>
          <w:noProof/>
        </w:rPr>
        <w:t xml:space="preserve">egional Progress </w:t>
      </w:r>
      <w:r w:rsidR="00B25180">
        <w:rPr>
          <w:noProof/>
        </w:rPr>
        <w:t>R</w:t>
      </w:r>
      <w:r>
        <w:rPr>
          <w:noProof/>
        </w:rPr>
        <w:t>eports.</w:t>
      </w:r>
    </w:p>
    <w:p w14:paraId="34BD6C18" w14:textId="0B89DE2A" w:rsidR="00B76251" w:rsidRPr="00B76251" w:rsidRDefault="00E53A75" w:rsidP="00A87B37">
      <w:pPr>
        <w:pStyle w:val="Heading2"/>
      </w:pPr>
      <w:r>
        <w:t>Overall Assessment</w:t>
      </w:r>
    </w:p>
    <w:p w14:paraId="470D1340" w14:textId="65D858E0" w:rsidR="005B0A02" w:rsidRDefault="00E35181" w:rsidP="00584B70">
      <w:pPr>
        <w:widowControl w:val="0"/>
        <w:spacing w:before="0" w:after="0" w:line="240" w:lineRule="auto"/>
        <w:ind w:right="198"/>
        <w:contextualSpacing/>
        <w:jc w:val="both"/>
      </w:pPr>
      <w:r>
        <w:rPr>
          <w:noProof/>
        </w:rPr>
        <w:t>Overall</w:t>
      </w:r>
      <w:r w:rsidR="000B786A">
        <w:rPr>
          <w:noProof/>
        </w:rPr>
        <w:t>,</w:t>
      </w:r>
      <w:r>
        <w:rPr>
          <w:noProof/>
        </w:rPr>
        <w:t xml:space="preserve"> Austr</w:t>
      </w:r>
      <w:r w:rsidR="00235BC0">
        <w:rPr>
          <w:noProof/>
        </w:rPr>
        <w:t>a</w:t>
      </w:r>
      <w:r>
        <w:rPr>
          <w:noProof/>
        </w:rPr>
        <w:t>lian funded multilateral organisat</w:t>
      </w:r>
      <w:r w:rsidR="00D656E0">
        <w:rPr>
          <w:noProof/>
        </w:rPr>
        <w:t>i</w:t>
      </w:r>
      <w:r>
        <w:rPr>
          <w:noProof/>
        </w:rPr>
        <w:t xml:space="preserve">ons demonstrated good performance in the delivery of  </w:t>
      </w:r>
      <w:r w:rsidRPr="00D56014">
        <w:rPr>
          <w:i/>
          <w:iCs/>
          <w:noProof/>
        </w:rPr>
        <w:t>Partnerships for Recovery</w:t>
      </w:r>
      <w:r>
        <w:rPr>
          <w:noProof/>
        </w:rPr>
        <w:t xml:space="preserve">. They remain trusted partners and </w:t>
      </w:r>
      <w:r w:rsidR="00D656E0">
        <w:rPr>
          <w:noProof/>
        </w:rPr>
        <w:t>re</w:t>
      </w:r>
      <w:r>
        <w:rPr>
          <w:noProof/>
        </w:rPr>
        <w:t xml:space="preserve">present value for money </w:t>
      </w:r>
      <w:r w:rsidR="00A8157A">
        <w:rPr>
          <w:noProof/>
        </w:rPr>
        <w:t>for our core funding investment</w:t>
      </w:r>
      <w:r w:rsidR="00235BC0">
        <w:rPr>
          <w:noProof/>
        </w:rPr>
        <w:t>s</w:t>
      </w:r>
      <w:r w:rsidR="00A8157A">
        <w:rPr>
          <w:noProof/>
        </w:rPr>
        <w:t xml:space="preserve"> </w:t>
      </w:r>
      <w:r>
        <w:rPr>
          <w:noProof/>
        </w:rPr>
        <w:t xml:space="preserve">despite </w:t>
      </w:r>
      <w:r w:rsidR="00A8157A">
        <w:rPr>
          <w:noProof/>
        </w:rPr>
        <w:t xml:space="preserve">challenging </w:t>
      </w:r>
      <w:r>
        <w:rPr>
          <w:noProof/>
        </w:rPr>
        <w:t xml:space="preserve">operating environments </w:t>
      </w:r>
      <w:r w:rsidR="00A8157A">
        <w:rPr>
          <w:noProof/>
        </w:rPr>
        <w:t xml:space="preserve">and the </w:t>
      </w:r>
      <w:r>
        <w:rPr>
          <w:noProof/>
        </w:rPr>
        <w:t xml:space="preserve">COVID-19 pandemic. They </w:t>
      </w:r>
      <w:r w:rsidR="00235BC0">
        <w:rPr>
          <w:noProof/>
        </w:rPr>
        <w:t xml:space="preserve">have </w:t>
      </w:r>
      <w:r>
        <w:rPr>
          <w:noProof/>
        </w:rPr>
        <w:t>mobilise</w:t>
      </w:r>
      <w:r w:rsidR="00A8157A">
        <w:rPr>
          <w:noProof/>
        </w:rPr>
        <w:t>d</w:t>
      </w:r>
      <w:r>
        <w:rPr>
          <w:noProof/>
        </w:rPr>
        <w:t xml:space="preserve"> significant resources </w:t>
      </w:r>
      <w:r w:rsidR="00A8157A">
        <w:rPr>
          <w:noProof/>
        </w:rPr>
        <w:t xml:space="preserve">swiftly </w:t>
      </w:r>
      <w:r>
        <w:rPr>
          <w:noProof/>
        </w:rPr>
        <w:t xml:space="preserve">to </w:t>
      </w:r>
      <w:r w:rsidR="00B03D63">
        <w:rPr>
          <w:noProof/>
        </w:rPr>
        <w:t>help countries in the Indo-</w:t>
      </w:r>
      <w:r w:rsidR="00235BC0">
        <w:rPr>
          <w:noProof/>
        </w:rPr>
        <w:t>P</w:t>
      </w:r>
      <w:r w:rsidR="00B03D63">
        <w:rPr>
          <w:noProof/>
        </w:rPr>
        <w:t xml:space="preserve">acific region </w:t>
      </w:r>
      <w:r>
        <w:rPr>
          <w:noProof/>
        </w:rPr>
        <w:t>respond to the pandemic and its impacts by providing life</w:t>
      </w:r>
      <w:r w:rsidR="00B25180">
        <w:rPr>
          <w:noProof/>
        </w:rPr>
        <w:t>-</w:t>
      </w:r>
      <w:r>
        <w:rPr>
          <w:noProof/>
        </w:rPr>
        <w:t xml:space="preserve">saving assistance while </w:t>
      </w:r>
      <w:r w:rsidR="006E1988">
        <w:rPr>
          <w:noProof/>
        </w:rPr>
        <w:t>ad</w:t>
      </w:r>
      <w:r w:rsidR="00B25180">
        <w:rPr>
          <w:noProof/>
        </w:rPr>
        <w:t>d</w:t>
      </w:r>
      <w:r w:rsidR="006E1988">
        <w:rPr>
          <w:noProof/>
        </w:rPr>
        <w:t xml:space="preserve">ressing </w:t>
      </w:r>
      <w:r w:rsidR="00235BC0">
        <w:rPr>
          <w:noProof/>
        </w:rPr>
        <w:t>long-term</w:t>
      </w:r>
      <w:r>
        <w:rPr>
          <w:noProof/>
        </w:rPr>
        <w:t xml:space="preserve"> develop</w:t>
      </w:r>
      <w:r w:rsidR="00235BC0">
        <w:rPr>
          <w:noProof/>
        </w:rPr>
        <w:t>ment</w:t>
      </w:r>
      <w:r>
        <w:rPr>
          <w:noProof/>
        </w:rPr>
        <w:t xml:space="preserve"> needs. Australia’s sustained advocacy led to a stronger focus on the Pacific, gender equality, disablity inclusiveness and U</w:t>
      </w:r>
      <w:r w:rsidR="00B25180">
        <w:rPr>
          <w:noProof/>
        </w:rPr>
        <w:t xml:space="preserve">nited </w:t>
      </w:r>
      <w:r>
        <w:rPr>
          <w:noProof/>
        </w:rPr>
        <w:t>N</w:t>
      </w:r>
      <w:r w:rsidR="00B25180">
        <w:rPr>
          <w:noProof/>
        </w:rPr>
        <w:t>ations</w:t>
      </w:r>
      <w:r>
        <w:rPr>
          <w:noProof/>
        </w:rPr>
        <w:t xml:space="preserve"> </w:t>
      </w:r>
      <w:r w:rsidR="009113F0">
        <w:rPr>
          <w:noProof/>
        </w:rPr>
        <w:t xml:space="preserve">(UN) </w:t>
      </w:r>
      <w:r>
        <w:rPr>
          <w:noProof/>
        </w:rPr>
        <w:t xml:space="preserve">reform. </w:t>
      </w:r>
      <w:bookmarkStart w:id="2" w:name="_Hlk85624035"/>
      <w:bookmarkStart w:id="3" w:name="_Hlk85624612"/>
      <w:r w:rsidR="00BD55FD">
        <w:rPr>
          <w:noProof/>
        </w:rPr>
        <w:t>Some g</w:t>
      </w:r>
      <w:r>
        <w:rPr>
          <w:noProof/>
        </w:rPr>
        <w:t>aps in organisational capacity, governance and evidence</w:t>
      </w:r>
      <w:r w:rsidR="00B25180">
        <w:rPr>
          <w:noProof/>
        </w:rPr>
        <w:t>-</w:t>
      </w:r>
      <w:r>
        <w:rPr>
          <w:noProof/>
        </w:rPr>
        <w:t xml:space="preserve">based reporting </w:t>
      </w:r>
      <w:r w:rsidR="004C2085">
        <w:rPr>
          <w:noProof/>
        </w:rPr>
        <w:t xml:space="preserve">point to </w:t>
      </w:r>
      <w:r>
        <w:rPr>
          <w:noProof/>
        </w:rPr>
        <w:t>areas for improvement</w:t>
      </w:r>
      <w:r w:rsidR="00B25180">
        <w:rPr>
          <w:noProof/>
        </w:rPr>
        <w:t>,</w:t>
      </w:r>
      <w:r>
        <w:rPr>
          <w:noProof/>
        </w:rPr>
        <w:t xml:space="preserve"> </w:t>
      </w:r>
      <w:bookmarkEnd w:id="2"/>
      <w:r>
        <w:rPr>
          <w:noProof/>
        </w:rPr>
        <w:t>including</w:t>
      </w:r>
      <w:r>
        <w:t xml:space="preserve"> </w:t>
      </w:r>
      <w:r w:rsidR="004C2085">
        <w:t xml:space="preserve">in </w:t>
      </w:r>
      <w:r>
        <w:t>results reporting, communication, staffing in the Pacific and p</w:t>
      </w:r>
      <w:r w:rsidRPr="00B7263B">
        <w:t xml:space="preserve">reventing </w:t>
      </w:r>
      <w:r w:rsidR="00BD55FD">
        <w:t>s</w:t>
      </w:r>
      <w:r w:rsidRPr="00B7263B">
        <w:t xml:space="preserve">exual </w:t>
      </w:r>
      <w:r w:rsidR="00BD55FD">
        <w:t>e</w:t>
      </w:r>
      <w:r w:rsidRPr="00B7263B">
        <w:t xml:space="preserve">xploitation, </w:t>
      </w:r>
      <w:proofErr w:type="gramStart"/>
      <w:r w:rsidR="00BD55FD">
        <w:t>a</w:t>
      </w:r>
      <w:r w:rsidRPr="00B7263B">
        <w:t>buse</w:t>
      </w:r>
      <w:proofErr w:type="gramEnd"/>
      <w:r w:rsidRPr="00B7263B">
        <w:t xml:space="preserve"> and </w:t>
      </w:r>
      <w:r w:rsidR="00BD55FD">
        <w:t>h</w:t>
      </w:r>
      <w:r w:rsidRPr="00B7263B">
        <w:t>arassment</w:t>
      </w:r>
      <w:r>
        <w:t>.</w:t>
      </w:r>
      <w:bookmarkEnd w:id="3"/>
      <w:r w:rsidR="00FE7E3A">
        <w:t xml:space="preserve"> </w:t>
      </w:r>
      <w:r w:rsidR="00AB1E8E">
        <w:t>Australia</w:t>
      </w:r>
      <w:r w:rsidR="00FE7E3A">
        <w:t xml:space="preserve"> </w:t>
      </w:r>
      <w:r w:rsidR="00AB1E8E">
        <w:t>is</w:t>
      </w:r>
      <w:r w:rsidR="00760A89">
        <w:t xml:space="preserve"> </w:t>
      </w:r>
      <w:r w:rsidR="00FE7E3A">
        <w:t>support</w:t>
      </w:r>
      <w:r w:rsidR="00AB1E8E">
        <w:t>ing</w:t>
      </w:r>
      <w:r w:rsidR="00FE7E3A">
        <w:t xml:space="preserve"> actions to improve performance in these areas through </w:t>
      </w:r>
      <w:r w:rsidR="00760A89">
        <w:t xml:space="preserve">the governing boards </w:t>
      </w:r>
      <w:r w:rsidR="00B02E2C">
        <w:t xml:space="preserve">of these organisations </w:t>
      </w:r>
      <w:r w:rsidR="00760A89">
        <w:t xml:space="preserve">and </w:t>
      </w:r>
      <w:r w:rsidR="00B02E2C">
        <w:t xml:space="preserve">ongoing </w:t>
      </w:r>
      <w:r w:rsidR="00760A89">
        <w:t>operational engagement</w:t>
      </w:r>
      <w:r w:rsidR="00B02E2C">
        <w:t>.</w:t>
      </w:r>
    </w:p>
    <w:p w14:paraId="6FC633B0" w14:textId="79BC88D8" w:rsidR="00EA5AAA" w:rsidRDefault="003C7CD0" w:rsidP="00584B70">
      <w:pPr>
        <w:widowControl w:val="0"/>
        <w:spacing w:before="0" w:after="0" w:line="240" w:lineRule="auto"/>
        <w:ind w:right="198"/>
        <w:contextualSpacing/>
        <w:jc w:val="both"/>
        <w:rPr>
          <w:noProof/>
        </w:rPr>
      </w:pPr>
      <w:r>
        <w:rPr>
          <w:noProof/>
        </w:rPr>
        <w:drawing>
          <wp:inline distT="0" distB="0" distL="0" distR="0" wp14:anchorId="50DAB630" wp14:editId="5DDFA123">
            <wp:extent cx="6562725" cy="1590675"/>
            <wp:effectExtent l="0" t="0" r="9525" b="9525"/>
            <wp:docPr id="1" name="Picture 1" descr="Table which provides a score (good, adequate and less than adequate) against different criteria for the 'overall performance' of 19 multilateral organisation as follows:&#10;- overall assessment - adequate - 1; good - 18.&#10;- results and quality on the mandate - adequate - 2; good - 17&#10;- performance against Australia's strategic objectives - adequate - 1; good - 18&#10;- value for money - adequate - 5; good - 14&#10;- partnership behaviour and responsiveness - adequate - 7; good - 12&#10;- organisational capacity and good governance - less than adequate - 1; adequate - 5; good - 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 which provides a score (good, adequate and less than adequate) against different criteria for the 'overall performance' of 19 multilateral organisation as follows:&#10;- overall assessment - adequate - 1; good - 18.&#10;- results and quality on the mandate - adequate - 2; good - 17&#10;- performance against Australia's strategic objectives - adequate - 1; good - 18&#10;- value for money - adequate - 5; good - 14&#10;- partnership behaviour and responsiveness - adequate - 7; good - 12&#10;- organisational capacity and good governance - less than adequate - 1; adequate - 5; good - 13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73271" w14:textId="01B12DC9" w:rsidR="00EA5AAA" w:rsidRDefault="00D16EB8" w:rsidP="00584B70">
      <w:pPr>
        <w:widowControl w:val="0"/>
        <w:spacing w:before="0" w:after="0" w:line="240" w:lineRule="auto"/>
        <w:ind w:right="198"/>
        <w:contextualSpacing/>
        <w:jc w:val="both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53619D1" wp14:editId="128322FD">
                <wp:simplePos x="0" y="0"/>
                <wp:positionH relativeFrom="margin">
                  <wp:posOffset>9525</wp:posOffset>
                </wp:positionH>
                <wp:positionV relativeFrom="paragraph">
                  <wp:posOffset>-726440</wp:posOffset>
                </wp:positionV>
                <wp:extent cx="1609725" cy="4191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3EB27" w14:textId="77777777" w:rsidR="00D16EB8" w:rsidRPr="000B4203" w:rsidRDefault="00D16EB8" w:rsidP="00D16EB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B420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Partnerships for Recovery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619D1" id="_x0000_s1027" type="#_x0000_t202" style="position:absolute;left:0;text-align:left;margin-left:.75pt;margin-top:-57.2pt;width:126.75pt;height:33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" filled="f" stroked="f">
                <v:textbox>
                  <w:txbxContent>
                    <w:p w14:paraId="6C93EB27" w14:textId="77777777" w:rsidR="00D16EB8" w:rsidRPr="000B4203" w:rsidRDefault="00D16EB8" w:rsidP="00D16EB8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0B420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Partnerships for Recovery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CB05A5" w14:textId="3CCEED45" w:rsidR="00AC6FF2" w:rsidRDefault="00B76251" w:rsidP="00A87B37">
      <w:pPr>
        <w:pStyle w:val="Heading2"/>
      </w:pPr>
      <w:bookmarkStart w:id="4" w:name="_Hlk78381463"/>
      <w:bookmarkEnd w:id="1"/>
      <w:r w:rsidRPr="00B76251">
        <w:t xml:space="preserve">Overall assessment: </w:t>
      </w:r>
      <w:bookmarkEnd w:id="4"/>
      <w:r w:rsidRPr="00B76251">
        <w:t>International Financial Institutions</w:t>
      </w:r>
    </w:p>
    <w:p w14:paraId="21A60DB6" w14:textId="05CDD4CE" w:rsidR="0018346A" w:rsidRDefault="00AC6FF2" w:rsidP="00584B70">
      <w:pPr>
        <w:keepNext/>
        <w:keepLines/>
        <w:spacing w:before="0" w:after="0" w:line="240" w:lineRule="auto"/>
        <w:ind w:right="198"/>
        <w:contextualSpacing/>
        <w:jc w:val="both"/>
        <w:outlineLvl w:val="1"/>
        <w:rPr>
          <w:rFonts w:cstheme="minorHAnsi"/>
        </w:rPr>
      </w:pPr>
      <w:r w:rsidRPr="00B76251">
        <w:t xml:space="preserve">The International Financial Institutions (IFIs) are strong and trusted partners for Australia. They have been major actors in the global COVID-19 response providing rapid deployment of financial resources to the health emergency and longer-term socio-economic consequences. </w:t>
      </w:r>
      <w:r w:rsidRPr="00B76251">
        <w:rPr>
          <w:rFonts w:cstheme="minorHAnsi"/>
        </w:rPr>
        <w:t xml:space="preserve">Despite the challenges of the pandemic, </w:t>
      </w:r>
      <w:r w:rsidRPr="00B76251">
        <w:rPr>
          <w:lang w:val="en-US"/>
        </w:rPr>
        <w:t>the IFIs have</w:t>
      </w:r>
      <w:r w:rsidRPr="00B76251">
        <w:rPr>
          <w:rFonts w:cstheme="minorHAnsi"/>
        </w:rPr>
        <w:t xml:space="preserve"> demonstrated their capacity to adapt and have continued to achieve results over 2020-21, including in our region. Australia’s sustained advocacy on key policy priorities (strong allocations to the Pacific; greater leveraging of M</w:t>
      </w:r>
      <w:r w:rsidR="00B25180">
        <w:rPr>
          <w:rFonts w:cstheme="minorHAnsi"/>
        </w:rPr>
        <w:t xml:space="preserve">ultilateral </w:t>
      </w:r>
      <w:r w:rsidRPr="00B76251">
        <w:rPr>
          <w:rFonts w:cstheme="minorHAnsi"/>
        </w:rPr>
        <w:t>D</w:t>
      </w:r>
      <w:r w:rsidR="00B25180">
        <w:rPr>
          <w:rFonts w:cstheme="minorHAnsi"/>
        </w:rPr>
        <w:t xml:space="preserve">evelopment </w:t>
      </w:r>
      <w:r w:rsidRPr="00B76251">
        <w:rPr>
          <w:rFonts w:cstheme="minorHAnsi"/>
        </w:rPr>
        <w:t>B</w:t>
      </w:r>
      <w:r w:rsidR="00B25180">
        <w:rPr>
          <w:rFonts w:cstheme="minorHAnsi"/>
        </w:rPr>
        <w:t>anks’</w:t>
      </w:r>
      <w:r w:rsidRPr="00B76251">
        <w:rPr>
          <w:rFonts w:cstheme="minorHAnsi"/>
        </w:rPr>
        <w:t xml:space="preserve"> balance sheets; measures to strengthen debt sustainability, gender equality, </w:t>
      </w:r>
      <w:r w:rsidR="00D656E0">
        <w:rPr>
          <w:rFonts w:cstheme="minorHAnsi"/>
        </w:rPr>
        <w:t xml:space="preserve">climate change </w:t>
      </w:r>
      <w:r w:rsidRPr="00B76251">
        <w:rPr>
          <w:rFonts w:cstheme="minorHAnsi"/>
        </w:rPr>
        <w:t>and disability inclusion) has resulted in several positive outcomes and reforms. While performance is good overall, there are areas for improvement, including better communication and/or delivery of certain strategic priorities (</w:t>
      </w:r>
      <w:proofErr w:type="gramStart"/>
      <w:r w:rsidRPr="00B76251">
        <w:rPr>
          <w:rFonts w:cstheme="minorHAnsi"/>
        </w:rPr>
        <w:t>e.g.</w:t>
      </w:r>
      <w:proofErr w:type="gramEnd"/>
      <w:r w:rsidRPr="00B76251">
        <w:rPr>
          <w:rFonts w:cstheme="minorHAnsi"/>
        </w:rPr>
        <w:t xml:space="preserve"> gender equality</w:t>
      </w:r>
      <w:r w:rsidR="00DB7EA7">
        <w:rPr>
          <w:rFonts w:cstheme="minorHAnsi"/>
        </w:rPr>
        <w:t xml:space="preserve"> mainstreaming and results reporting</w:t>
      </w:r>
      <w:r w:rsidRPr="00B76251">
        <w:rPr>
          <w:rFonts w:cstheme="minorHAnsi"/>
        </w:rPr>
        <w:t>); improved methods for managing projects in the current COVID-19 environment, particularly in the Pacific; and enhanced outcomes reporting.</w:t>
      </w:r>
      <w:r w:rsidR="00AB1E8E">
        <w:rPr>
          <w:rFonts w:cstheme="minorHAnsi"/>
        </w:rPr>
        <w:t xml:space="preserve"> Australia will actively engage with the IFIs to address these issues.</w:t>
      </w:r>
    </w:p>
    <w:p w14:paraId="18A3DD47" w14:textId="662444A4" w:rsidR="0018346A" w:rsidRDefault="003C7CD0" w:rsidP="00584B70">
      <w:pPr>
        <w:keepNext/>
        <w:keepLines/>
        <w:spacing w:before="0" w:after="0" w:line="240" w:lineRule="auto"/>
        <w:ind w:right="198"/>
        <w:contextualSpacing/>
        <w:jc w:val="both"/>
        <w:outlineLvl w:val="1"/>
        <w:rPr>
          <w:rFonts w:asciiTheme="majorHAnsi" w:eastAsiaTheme="majorEastAsia" w:hAnsiTheme="majorHAnsi" w:cstheme="majorBidi"/>
          <w:b/>
          <w:caps/>
          <w:szCs w:val="26"/>
        </w:rPr>
      </w:pPr>
      <w:r>
        <w:rPr>
          <w:noProof/>
        </w:rPr>
        <w:drawing>
          <wp:inline distT="0" distB="0" distL="0" distR="0" wp14:anchorId="186A3ECB" wp14:editId="101E5E96">
            <wp:extent cx="6553200" cy="1457325"/>
            <wp:effectExtent l="0" t="0" r="0" b="9525"/>
            <wp:docPr id="4" name="Picture 4" descr="Table which provides a score (good, adequate and less than adequate) against different criteria for the 'overall assessment of International Financial Institutions' of 5 multilateral organisation as follows:&#10;- overall assessment - good - 5&#10;- results and quality on the mandate - 5&#10;- performance against Australia's strategic objectives - good - 5&#10;- value for money - adequate - 1; good -4&#10;- partnership behaviour and responsiveness - adequate - 1; good - 4&#10;- organisational capacity and good governance - good -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 which provides a score (good, adequate and less than adequate) against different criteria for the 'overall assessment of International Financial Institutions' of 5 multilateral organisation as follows:&#10;- overall assessment - good - 5&#10;- results and quality on the mandate - 5&#10;- performance against Australia's strategic objectives - good - 5&#10;- value for money - adequate - 1; good -4&#10;- partnership behaviour and responsiveness - adequate - 1; good - 4&#10;- organisational capacity and good governance - good - 5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08C81" w14:textId="77777777" w:rsidR="008B7FF6" w:rsidRDefault="008B7FF6" w:rsidP="00A87B37">
      <w:pPr>
        <w:pStyle w:val="Heading2"/>
      </w:pPr>
      <w:bookmarkStart w:id="5" w:name="_Hlk85624467"/>
    </w:p>
    <w:p w14:paraId="486A6245" w14:textId="0EF0BEB3" w:rsidR="003D314A" w:rsidRDefault="00B76251" w:rsidP="00A87B37">
      <w:pPr>
        <w:pStyle w:val="Heading2"/>
      </w:pPr>
      <w:r w:rsidRPr="00B76251">
        <w:t xml:space="preserve">Overall assessment: un DevElopment Agencies </w:t>
      </w:r>
    </w:p>
    <w:p w14:paraId="5452E7E2" w14:textId="5834467F" w:rsidR="00145623" w:rsidRDefault="005E2407" w:rsidP="00145623">
      <w:pPr>
        <w:rPr>
          <w:rFonts w:cs="Calibri"/>
        </w:rPr>
      </w:pPr>
      <w:r>
        <w:rPr>
          <w:rFonts w:cstheme="minorHAnsi"/>
          <w:bCs/>
          <w:iCs/>
          <w:lang w:eastAsia="en-AU"/>
        </w:rPr>
        <w:t xml:space="preserve">UN development agencies performed effectively despite challenging </w:t>
      </w:r>
      <w:r w:rsidR="00C87082">
        <w:rPr>
          <w:rFonts w:cstheme="minorHAnsi"/>
          <w:bCs/>
          <w:iCs/>
          <w:lang w:eastAsia="en-AU"/>
        </w:rPr>
        <w:t xml:space="preserve">operating </w:t>
      </w:r>
      <w:r>
        <w:rPr>
          <w:rFonts w:cstheme="minorHAnsi"/>
          <w:bCs/>
          <w:iCs/>
          <w:lang w:eastAsia="en-AU"/>
        </w:rPr>
        <w:t xml:space="preserve">environments exacerbated by COVID-19. </w:t>
      </w:r>
      <w:r w:rsidR="00C87082">
        <w:rPr>
          <w:rFonts w:cstheme="minorHAnsi"/>
          <w:bCs/>
          <w:iCs/>
          <w:lang w:eastAsia="en-AU"/>
        </w:rPr>
        <w:t xml:space="preserve">A </w:t>
      </w:r>
      <w:r>
        <w:rPr>
          <w:rFonts w:cstheme="minorHAnsi"/>
          <w:bCs/>
          <w:iCs/>
          <w:lang w:eastAsia="en-AU"/>
        </w:rPr>
        <w:t>strong in</w:t>
      </w:r>
      <w:r w:rsidR="00C87082">
        <w:rPr>
          <w:rFonts w:cstheme="minorHAnsi"/>
          <w:bCs/>
          <w:iCs/>
          <w:lang w:eastAsia="en-AU"/>
        </w:rPr>
        <w:t>-</w:t>
      </w:r>
      <w:r>
        <w:rPr>
          <w:rFonts w:cstheme="minorHAnsi"/>
          <w:bCs/>
          <w:iCs/>
          <w:lang w:eastAsia="en-AU"/>
        </w:rPr>
        <w:t xml:space="preserve">country presence enabled </w:t>
      </w:r>
      <w:r w:rsidR="00C87082">
        <w:rPr>
          <w:rFonts w:cstheme="minorHAnsi"/>
          <w:bCs/>
          <w:iCs/>
          <w:lang w:eastAsia="en-AU"/>
        </w:rPr>
        <w:t xml:space="preserve">their </w:t>
      </w:r>
      <w:r>
        <w:rPr>
          <w:rFonts w:cstheme="minorHAnsi"/>
          <w:bCs/>
          <w:iCs/>
          <w:lang w:eastAsia="en-AU"/>
        </w:rPr>
        <w:t>swift</w:t>
      </w:r>
      <w:r w:rsidR="00C87082">
        <w:rPr>
          <w:rFonts w:cstheme="minorHAnsi"/>
          <w:bCs/>
          <w:iCs/>
          <w:lang w:eastAsia="en-AU"/>
        </w:rPr>
        <w:t xml:space="preserve"> response </w:t>
      </w:r>
      <w:r>
        <w:rPr>
          <w:rFonts w:cstheme="minorHAnsi"/>
          <w:bCs/>
          <w:iCs/>
          <w:lang w:eastAsia="en-AU"/>
        </w:rPr>
        <w:t>to the pandemic</w:t>
      </w:r>
      <w:r w:rsidR="00724E91">
        <w:rPr>
          <w:rFonts w:cstheme="minorHAnsi"/>
          <w:bCs/>
          <w:iCs/>
          <w:lang w:eastAsia="en-AU"/>
        </w:rPr>
        <w:t>,</w:t>
      </w:r>
      <w:r>
        <w:rPr>
          <w:rFonts w:cstheme="minorHAnsi"/>
          <w:bCs/>
          <w:iCs/>
          <w:lang w:eastAsia="en-AU"/>
        </w:rPr>
        <w:t xml:space="preserve"> leading the UN’s social and economic response while </w:t>
      </w:r>
      <w:r w:rsidR="00C87082">
        <w:rPr>
          <w:rFonts w:cstheme="minorHAnsi"/>
          <w:bCs/>
          <w:iCs/>
          <w:lang w:eastAsia="en-AU"/>
        </w:rPr>
        <w:t>collaborating with others</w:t>
      </w:r>
      <w:r>
        <w:rPr>
          <w:rFonts w:cstheme="minorHAnsi"/>
          <w:bCs/>
          <w:iCs/>
          <w:lang w:eastAsia="en-AU"/>
        </w:rPr>
        <w:t xml:space="preserve">. </w:t>
      </w:r>
      <w:r w:rsidR="00163D47">
        <w:rPr>
          <w:rFonts w:cstheme="minorHAnsi"/>
          <w:bCs/>
          <w:iCs/>
          <w:lang w:eastAsia="en-AU"/>
        </w:rPr>
        <w:t>T</w:t>
      </w:r>
      <w:r w:rsidR="00C87082">
        <w:rPr>
          <w:rFonts w:cstheme="minorHAnsi"/>
          <w:bCs/>
          <w:iCs/>
          <w:lang w:eastAsia="en-AU"/>
        </w:rPr>
        <w:t>hey continue</w:t>
      </w:r>
      <w:r w:rsidR="00724E91">
        <w:rPr>
          <w:rFonts w:cstheme="minorHAnsi"/>
          <w:bCs/>
          <w:iCs/>
          <w:lang w:eastAsia="en-AU"/>
        </w:rPr>
        <w:t>d</w:t>
      </w:r>
      <w:r>
        <w:rPr>
          <w:rFonts w:cstheme="minorHAnsi"/>
          <w:bCs/>
          <w:iCs/>
          <w:lang w:eastAsia="en-AU"/>
        </w:rPr>
        <w:t xml:space="preserve"> to meet </w:t>
      </w:r>
      <w:r w:rsidR="004C2085">
        <w:rPr>
          <w:rFonts w:cstheme="minorHAnsi"/>
          <w:bCs/>
          <w:iCs/>
          <w:lang w:eastAsia="en-AU"/>
        </w:rPr>
        <w:t>ongoing</w:t>
      </w:r>
      <w:r w:rsidR="006C63F5">
        <w:rPr>
          <w:rFonts w:cstheme="minorHAnsi"/>
          <w:bCs/>
          <w:iCs/>
          <w:lang w:eastAsia="en-AU"/>
        </w:rPr>
        <w:t xml:space="preserve"> </w:t>
      </w:r>
      <w:r>
        <w:rPr>
          <w:rFonts w:cstheme="minorHAnsi"/>
          <w:bCs/>
          <w:iCs/>
          <w:lang w:eastAsia="en-AU"/>
        </w:rPr>
        <w:t xml:space="preserve">development </w:t>
      </w:r>
      <w:r w:rsidR="00C87082">
        <w:rPr>
          <w:rFonts w:cstheme="minorHAnsi"/>
          <w:bCs/>
          <w:iCs/>
          <w:lang w:eastAsia="en-AU"/>
        </w:rPr>
        <w:t xml:space="preserve">needs </w:t>
      </w:r>
      <w:r w:rsidR="00EB1CCA">
        <w:rPr>
          <w:rFonts w:cstheme="minorHAnsi"/>
          <w:bCs/>
          <w:iCs/>
          <w:lang w:eastAsia="en-AU"/>
        </w:rPr>
        <w:t>and uphold norms and value</w:t>
      </w:r>
      <w:r w:rsidR="00C87082">
        <w:rPr>
          <w:rFonts w:cstheme="minorHAnsi"/>
          <w:bCs/>
          <w:iCs/>
          <w:lang w:eastAsia="en-AU"/>
        </w:rPr>
        <w:t>s</w:t>
      </w:r>
      <w:r w:rsidR="00EB1CCA">
        <w:rPr>
          <w:rFonts w:cstheme="minorHAnsi"/>
          <w:bCs/>
          <w:iCs/>
          <w:lang w:eastAsia="en-AU"/>
        </w:rPr>
        <w:t xml:space="preserve"> important to Australia</w:t>
      </w:r>
      <w:r>
        <w:rPr>
          <w:rFonts w:cstheme="minorHAnsi"/>
          <w:bCs/>
          <w:iCs/>
          <w:lang w:eastAsia="en-AU"/>
        </w:rPr>
        <w:t xml:space="preserve">. </w:t>
      </w:r>
      <w:r w:rsidR="00C87082">
        <w:rPr>
          <w:rFonts w:cstheme="minorHAnsi"/>
          <w:bCs/>
          <w:iCs/>
          <w:lang w:eastAsia="en-AU"/>
        </w:rPr>
        <w:t>Our</w:t>
      </w:r>
      <w:r>
        <w:rPr>
          <w:rFonts w:cstheme="minorHAnsi"/>
          <w:bCs/>
          <w:iCs/>
          <w:lang w:eastAsia="en-AU"/>
        </w:rPr>
        <w:t xml:space="preserve"> advocacy helped UN development agencies maintain a strong focus on </w:t>
      </w:r>
      <w:r w:rsidR="00DB7EA7">
        <w:rPr>
          <w:rFonts w:cstheme="minorHAnsi"/>
          <w:bCs/>
          <w:iCs/>
          <w:lang w:eastAsia="en-AU"/>
        </w:rPr>
        <w:t xml:space="preserve">delivering results for </w:t>
      </w:r>
      <w:r>
        <w:rPr>
          <w:rFonts w:cstheme="minorHAnsi"/>
          <w:bCs/>
          <w:iCs/>
          <w:lang w:eastAsia="en-AU"/>
        </w:rPr>
        <w:t>gender equality, disability</w:t>
      </w:r>
      <w:r w:rsidR="00DB7EA7">
        <w:rPr>
          <w:rFonts w:cstheme="minorHAnsi"/>
          <w:bCs/>
          <w:iCs/>
          <w:lang w:eastAsia="en-AU"/>
        </w:rPr>
        <w:t xml:space="preserve"> inclusion</w:t>
      </w:r>
      <w:r>
        <w:rPr>
          <w:rFonts w:cstheme="minorHAnsi"/>
          <w:bCs/>
          <w:iCs/>
          <w:lang w:eastAsia="en-AU"/>
        </w:rPr>
        <w:t>,</w:t>
      </w:r>
      <w:r w:rsidR="00724E91">
        <w:rPr>
          <w:rFonts w:cstheme="minorHAnsi"/>
          <w:bCs/>
          <w:iCs/>
          <w:lang w:eastAsia="en-AU"/>
        </w:rPr>
        <w:t xml:space="preserve"> and</w:t>
      </w:r>
      <w:r>
        <w:rPr>
          <w:rFonts w:cstheme="minorHAnsi"/>
          <w:bCs/>
          <w:iCs/>
          <w:lang w:eastAsia="en-AU"/>
        </w:rPr>
        <w:t xml:space="preserve"> sexual </w:t>
      </w:r>
      <w:r w:rsidR="00DB7EA7">
        <w:rPr>
          <w:rFonts w:cstheme="minorHAnsi"/>
          <w:bCs/>
          <w:iCs/>
          <w:lang w:eastAsia="en-AU"/>
        </w:rPr>
        <w:t xml:space="preserve">and </w:t>
      </w:r>
      <w:r>
        <w:rPr>
          <w:rFonts w:cstheme="minorHAnsi"/>
          <w:bCs/>
          <w:iCs/>
          <w:lang w:eastAsia="en-AU"/>
        </w:rPr>
        <w:t xml:space="preserve">reproductive health </w:t>
      </w:r>
      <w:r w:rsidR="00DB7EA7">
        <w:rPr>
          <w:rFonts w:cstheme="minorHAnsi"/>
          <w:bCs/>
          <w:iCs/>
          <w:lang w:eastAsia="en-AU"/>
        </w:rPr>
        <w:t xml:space="preserve">and </w:t>
      </w:r>
      <w:r>
        <w:rPr>
          <w:rFonts w:cstheme="minorHAnsi"/>
          <w:bCs/>
          <w:iCs/>
          <w:lang w:eastAsia="en-AU"/>
        </w:rPr>
        <w:t>rights</w:t>
      </w:r>
      <w:r w:rsidR="00C87082">
        <w:rPr>
          <w:rFonts w:cstheme="minorHAnsi"/>
          <w:bCs/>
          <w:iCs/>
          <w:lang w:eastAsia="en-AU"/>
        </w:rPr>
        <w:t>, and</w:t>
      </w:r>
      <w:r>
        <w:rPr>
          <w:rFonts w:cstheme="minorHAnsi"/>
          <w:bCs/>
          <w:iCs/>
          <w:lang w:eastAsia="en-AU"/>
        </w:rPr>
        <w:t xml:space="preserve"> increased support for </w:t>
      </w:r>
      <w:r w:rsidR="00CD3835">
        <w:rPr>
          <w:rFonts w:cstheme="minorHAnsi"/>
          <w:bCs/>
          <w:iCs/>
          <w:lang w:eastAsia="en-AU"/>
        </w:rPr>
        <w:t>S</w:t>
      </w:r>
      <w:r>
        <w:rPr>
          <w:rFonts w:cstheme="minorHAnsi"/>
          <w:bCs/>
          <w:iCs/>
          <w:lang w:eastAsia="en-AU"/>
        </w:rPr>
        <w:t xml:space="preserve">mall </w:t>
      </w:r>
      <w:r w:rsidR="00CD3835">
        <w:rPr>
          <w:rFonts w:cstheme="minorHAnsi"/>
          <w:bCs/>
          <w:iCs/>
          <w:lang w:eastAsia="en-AU"/>
        </w:rPr>
        <w:t>I</w:t>
      </w:r>
      <w:r>
        <w:rPr>
          <w:rFonts w:cstheme="minorHAnsi"/>
          <w:bCs/>
          <w:iCs/>
          <w:lang w:eastAsia="en-AU"/>
        </w:rPr>
        <w:t xml:space="preserve">sland </w:t>
      </w:r>
      <w:r w:rsidR="00CD3835">
        <w:rPr>
          <w:rFonts w:cstheme="minorHAnsi"/>
          <w:bCs/>
          <w:iCs/>
          <w:lang w:eastAsia="en-AU"/>
        </w:rPr>
        <w:t>D</w:t>
      </w:r>
      <w:r>
        <w:rPr>
          <w:rFonts w:cstheme="minorHAnsi"/>
          <w:bCs/>
          <w:iCs/>
          <w:lang w:eastAsia="en-AU"/>
        </w:rPr>
        <w:t xml:space="preserve">eveloping </w:t>
      </w:r>
      <w:r w:rsidR="00CD3835">
        <w:rPr>
          <w:rFonts w:cstheme="minorHAnsi"/>
          <w:bCs/>
          <w:iCs/>
          <w:lang w:eastAsia="en-AU"/>
        </w:rPr>
        <w:t>S</w:t>
      </w:r>
      <w:r>
        <w:rPr>
          <w:rFonts w:cstheme="minorHAnsi"/>
          <w:bCs/>
          <w:iCs/>
          <w:lang w:eastAsia="en-AU"/>
        </w:rPr>
        <w:t>tates.</w:t>
      </w:r>
      <w:r w:rsidR="009113F0">
        <w:rPr>
          <w:rFonts w:cstheme="minorHAnsi"/>
          <w:bCs/>
          <w:iCs/>
          <w:lang w:eastAsia="en-AU"/>
        </w:rPr>
        <w:t xml:space="preserve"> </w:t>
      </w:r>
      <w:bookmarkStart w:id="6" w:name="_Hlk85624399"/>
      <w:r>
        <w:rPr>
          <w:rFonts w:cstheme="minorHAnsi"/>
          <w:bCs/>
          <w:iCs/>
          <w:lang w:eastAsia="en-AU"/>
        </w:rPr>
        <w:t xml:space="preserve">They are trusted partners and </w:t>
      </w:r>
      <w:r w:rsidR="006C63F5">
        <w:rPr>
          <w:rFonts w:cstheme="minorHAnsi"/>
          <w:bCs/>
          <w:iCs/>
          <w:lang w:eastAsia="en-AU"/>
        </w:rPr>
        <w:t>demonstrate</w:t>
      </w:r>
      <w:r w:rsidR="00235BC0">
        <w:rPr>
          <w:rFonts w:cstheme="minorHAnsi"/>
          <w:bCs/>
          <w:iCs/>
          <w:lang w:eastAsia="en-AU"/>
        </w:rPr>
        <w:t xml:space="preserve"> </w:t>
      </w:r>
      <w:r w:rsidRPr="006C63F5">
        <w:rPr>
          <w:rFonts w:cstheme="minorHAnsi"/>
          <w:bCs/>
          <w:iCs/>
          <w:lang w:eastAsia="en-AU"/>
        </w:rPr>
        <w:t>value for money</w:t>
      </w:r>
      <w:r w:rsidR="006C63F5" w:rsidRPr="006C63F5">
        <w:rPr>
          <w:rFonts w:cstheme="minorHAnsi"/>
          <w:bCs/>
          <w:iCs/>
          <w:lang w:eastAsia="en-AU"/>
        </w:rPr>
        <w:t xml:space="preserve"> investments</w:t>
      </w:r>
      <w:r w:rsidRPr="006C63F5">
        <w:rPr>
          <w:rFonts w:cstheme="minorHAnsi"/>
          <w:bCs/>
          <w:iCs/>
          <w:lang w:eastAsia="en-AU"/>
        </w:rPr>
        <w:t>.</w:t>
      </w:r>
      <w:r>
        <w:rPr>
          <w:rFonts w:cstheme="minorHAnsi"/>
          <w:bCs/>
          <w:iCs/>
          <w:lang w:eastAsia="en-AU"/>
        </w:rPr>
        <w:t xml:space="preserve"> </w:t>
      </w:r>
      <w:bookmarkEnd w:id="6"/>
      <w:r>
        <w:rPr>
          <w:rFonts w:cstheme="minorHAnsi"/>
          <w:bCs/>
          <w:iCs/>
          <w:lang w:eastAsia="en-AU"/>
        </w:rPr>
        <w:t xml:space="preserve">Notwithstanding </w:t>
      </w:r>
      <w:r>
        <w:t xml:space="preserve">generally good performance, responsiveness, and progress with UN reform, areas to improve include results reporting, data, communication, staffing in the Pacific and </w:t>
      </w:r>
      <w:r w:rsidR="00BD55FD">
        <w:t>p</w:t>
      </w:r>
      <w:r>
        <w:t xml:space="preserve">reventing </w:t>
      </w:r>
      <w:r w:rsidR="00BD55FD">
        <w:t>s</w:t>
      </w:r>
      <w:r>
        <w:t xml:space="preserve">exual </w:t>
      </w:r>
      <w:r w:rsidR="00BD55FD">
        <w:t>e</w:t>
      </w:r>
      <w:r>
        <w:t>xploitation</w:t>
      </w:r>
      <w:r w:rsidR="00BD55FD">
        <w:t>,</w:t>
      </w:r>
      <w:r w:rsidR="00970E0C">
        <w:t xml:space="preserve"> </w:t>
      </w:r>
      <w:proofErr w:type="gramStart"/>
      <w:r w:rsidR="00970E0C">
        <w:t>abuse</w:t>
      </w:r>
      <w:proofErr w:type="gramEnd"/>
      <w:r>
        <w:t xml:space="preserve"> and </w:t>
      </w:r>
      <w:r w:rsidR="00BD55FD">
        <w:t>h</w:t>
      </w:r>
      <w:r>
        <w:t>arassment.</w:t>
      </w:r>
      <w:r w:rsidR="00145623">
        <w:t xml:space="preserve"> </w:t>
      </w:r>
      <w:r w:rsidR="00145623" w:rsidRPr="00667BE7">
        <w:rPr>
          <w:rFonts w:cs="Calibri"/>
        </w:rPr>
        <w:t xml:space="preserve">Australia </w:t>
      </w:r>
      <w:r w:rsidR="00EE00AC">
        <w:rPr>
          <w:rFonts w:cs="Calibri"/>
        </w:rPr>
        <w:t>continues to work with the UN development agencies to</w:t>
      </w:r>
      <w:r w:rsidR="00145623">
        <w:rPr>
          <w:rFonts w:cs="Calibri"/>
        </w:rPr>
        <w:t xml:space="preserve"> support strengthened policies and actions</w:t>
      </w:r>
      <w:r w:rsidR="00145623" w:rsidRPr="00667BE7">
        <w:rPr>
          <w:rFonts w:cs="Calibri"/>
        </w:rPr>
        <w:t xml:space="preserve"> to address </w:t>
      </w:r>
      <w:r w:rsidR="00145623">
        <w:rPr>
          <w:rFonts w:cs="Calibri"/>
        </w:rPr>
        <w:t>these issues.</w:t>
      </w:r>
    </w:p>
    <w:p w14:paraId="51271567" w14:textId="0B96AD22" w:rsidR="005E2407" w:rsidRDefault="005E2407" w:rsidP="00584B70">
      <w:pPr>
        <w:widowControl w:val="0"/>
        <w:suppressAutoHyphens w:val="0"/>
        <w:autoSpaceDE w:val="0"/>
        <w:autoSpaceDN w:val="0"/>
        <w:adjustRightInd w:val="0"/>
        <w:spacing w:before="60" w:after="120" w:line="260" w:lineRule="exact"/>
        <w:ind w:right="198"/>
        <w:jc w:val="both"/>
      </w:pPr>
    </w:p>
    <w:bookmarkEnd w:id="5"/>
    <w:p w14:paraId="4C06B767" w14:textId="11D0BFFC" w:rsidR="008B7FF6" w:rsidRDefault="003C7CD0" w:rsidP="00A87B37">
      <w:pPr>
        <w:pStyle w:val="Heading2"/>
      </w:pPr>
      <w:r>
        <w:rPr>
          <w:noProof/>
        </w:rPr>
        <w:drawing>
          <wp:inline distT="0" distB="0" distL="0" distR="0" wp14:anchorId="1061DB3A" wp14:editId="64E522C4">
            <wp:extent cx="6572250" cy="1609725"/>
            <wp:effectExtent l="0" t="0" r="0" b="9525"/>
            <wp:docPr id="6" name="Picture 6" descr="Table which provides a score (good, adequate and less than adequate) against different criteria for the 'overall assessment of UN development agencies' (of which there are five) as follows:&#10;- overall assessment - good - 5.&#10;- results and quality on the mandate - adequate - 1; good - 4&#10;- performance against Australia's strategic objectives - good - 5&#10;- value for money - adequate- 3; good - 2&#10;- partnership behaviour and responsiveness - adequate - 3; good - 2&#10;- organisational capacity and good governance - adequate - 2; good -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 which provides a score (good, adequate and less than adequate) against different criteria for the 'overall assessment of UN development agencies' (of which there are five) as follows:&#10;- overall assessment - good - 5.&#10;- results and quality on the mandate - adequate - 1; good - 4&#10;- performance against Australia's strategic objectives - good - 5&#10;- value for money - adequate- 3; good - 2&#10;- partnership behaviour and responsiveness - adequate - 3; good - 2&#10;- organisational capacity and good governance - adequate - 2; good - 3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6578B" w14:textId="7003DCCF" w:rsidR="008B7FF6" w:rsidRDefault="008B7FF6">
      <w:pPr>
        <w:suppressAutoHyphens w:val="0"/>
        <w:spacing w:before="0" w:after="120" w:line="440" w:lineRule="atLeast"/>
        <w:rPr>
          <w:rFonts w:asciiTheme="majorHAnsi" w:eastAsiaTheme="majorEastAsia" w:hAnsiTheme="majorHAnsi" w:cstheme="majorBidi"/>
          <w:b/>
          <w:caps/>
          <w:szCs w:val="26"/>
        </w:rPr>
      </w:pPr>
      <w:r>
        <w:br w:type="page"/>
      </w:r>
    </w:p>
    <w:p w14:paraId="0966FEFA" w14:textId="031FCB61" w:rsidR="00B76251" w:rsidRPr="00B76251" w:rsidRDefault="00D16EB8" w:rsidP="00A87B37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70830B2" wp14:editId="4AE428C8">
                <wp:simplePos x="0" y="0"/>
                <wp:positionH relativeFrom="margin">
                  <wp:posOffset>38100</wp:posOffset>
                </wp:positionH>
                <wp:positionV relativeFrom="paragraph">
                  <wp:posOffset>-736600</wp:posOffset>
                </wp:positionV>
                <wp:extent cx="1609725" cy="4191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20C24" w14:textId="77777777" w:rsidR="00D16EB8" w:rsidRPr="000B4203" w:rsidRDefault="00D16EB8" w:rsidP="00D16EB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B420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Partnerships for Recovery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30B2" id="_x0000_s1028" type="#_x0000_t202" style="position:absolute;margin-left:3pt;margin-top:-58pt;width:126.75pt;height:33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" filled="f" stroked="f">
                <v:textbox>
                  <w:txbxContent>
                    <w:p w14:paraId="4BE20C24" w14:textId="77777777" w:rsidR="00D16EB8" w:rsidRPr="000B4203" w:rsidRDefault="00D16EB8" w:rsidP="00D16EB8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0B420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Partnerships for Recovery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6251" w:rsidRPr="00B76251">
        <w:t xml:space="preserve">Overall assessment: GLobal Health Programs </w:t>
      </w:r>
    </w:p>
    <w:p w14:paraId="27A21B7A" w14:textId="68814BA1" w:rsidR="00B76251" w:rsidRDefault="00551095" w:rsidP="00551095">
      <w:pPr>
        <w:jc w:val="both"/>
        <w:rPr>
          <w:rFonts w:cstheme="minorHAnsi"/>
          <w:bCs/>
          <w:iCs/>
          <w:lang w:eastAsia="en-AU"/>
        </w:rPr>
      </w:pPr>
      <w:r w:rsidRPr="00B76251">
        <w:rPr>
          <w:rFonts w:cstheme="minorHAnsi"/>
          <w:bCs/>
          <w:iCs/>
          <w:lang w:eastAsia="en-AU"/>
        </w:rPr>
        <w:t xml:space="preserve">Global Health Programs are playing a critical role in COVID-19 response efforts and are trusted partners. They mobilised swiftly to coordinate response efforts at a global, </w:t>
      </w:r>
      <w:proofErr w:type="gramStart"/>
      <w:r w:rsidRPr="00B76251">
        <w:rPr>
          <w:rFonts w:cstheme="minorHAnsi"/>
          <w:bCs/>
          <w:iCs/>
          <w:lang w:eastAsia="en-AU"/>
        </w:rPr>
        <w:t>regional</w:t>
      </w:r>
      <w:proofErr w:type="gramEnd"/>
      <w:r w:rsidRPr="00B76251">
        <w:rPr>
          <w:rFonts w:cstheme="minorHAnsi"/>
          <w:bCs/>
          <w:iCs/>
          <w:lang w:eastAsia="en-AU"/>
        </w:rPr>
        <w:t xml:space="preserve"> and country level to support national responses and deliver lifesaving vaccines, diagnostics, oxygen, P</w:t>
      </w:r>
      <w:r w:rsidR="009113F0">
        <w:rPr>
          <w:rFonts w:cstheme="minorHAnsi"/>
          <w:bCs/>
          <w:iCs/>
          <w:lang w:eastAsia="en-AU"/>
        </w:rPr>
        <w:t xml:space="preserve">ersonal </w:t>
      </w:r>
      <w:r w:rsidRPr="00B76251">
        <w:rPr>
          <w:rFonts w:cstheme="minorHAnsi"/>
          <w:bCs/>
          <w:iCs/>
          <w:lang w:eastAsia="en-AU"/>
        </w:rPr>
        <w:t>P</w:t>
      </w:r>
      <w:r w:rsidR="009113F0">
        <w:rPr>
          <w:rFonts w:cstheme="minorHAnsi"/>
          <w:bCs/>
          <w:iCs/>
          <w:lang w:eastAsia="en-AU"/>
        </w:rPr>
        <w:t xml:space="preserve">rotective </w:t>
      </w:r>
      <w:r w:rsidRPr="00B76251">
        <w:rPr>
          <w:rFonts w:cstheme="minorHAnsi"/>
          <w:bCs/>
          <w:iCs/>
          <w:lang w:eastAsia="en-AU"/>
        </w:rPr>
        <w:t>E</w:t>
      </w:r>
      <w:r w:rsidR="009113F0">
        <w:rPr>
          <w:rFonts w:cstheme="minorHAnsi"/>
          <w:bCs/>
          <w:iCs/>
          <w:lang w:eastAsia="en-AU"/>
        </w:rPr>
        <w:t>quipment</w:t>
      </w:r>
      <w:r w:rsidRPr="00B76251">
        <w:rPr>
          <w:rFonts w:cstheme="minorHAnsi"/>
          <w:bCs/>
          <w:iCs/>
          <w:lang w:eastAsia="en-AU"/>
        </w:rPr>
        <w:t xml:space="preserve"> and medical support, alongside support for continuation of essential health services. Australia’s advocacy supported independent reviews into the global response to COVID-19 and we will continue to shape reform of </w:t>
      </w:r>
      <w:r w:rsidR="00583ABE">
        <w:rPr>
          <w:rFonts w:cstheme="minorHAnsi"/>
          <w:bCs/>
          <w:iCs/>
          <w:lang w:eastAsia="en-AU"/>
        </w:rPr>
        <w:t xml:space="preserve">the </w:t>
      </w:r>
      <w:r w:rsidRPr="00B76251">
        <w:rPr>
          <w:rFonts w:cstheme="minorHAnsi"/>
          <w:bCs/>
          <w:iCs/>
          <w:lang w:eastAsia="en-AU"/>
        </w:rPr>
        <w:t>global health architecture. While overall performance has been strong, the pandemic has increased risk with significant pressure on health systems</w:t>
      </w:r>
      <w:r w:rsidR="004C2085">
        <w:rPr>
          <w:rFonts w:cstheme="minorHAnsi"/>
          <w:bCs/>
          <w:iCs/>
          <w:lang w:eastAsia="en-AU"/>
        </w:rPr>
        <w:t>.</w:t>
      </w:r>
      <w:r w:rsidRPr="00B76251">
        <w:rPr>
          <w:rFonts w:cstheme="minorHAnsi"/>
          <w:bCs/>
          <w:iCs/>
          <w:lang w:eastAsia="en-AU"/>
        </w:rPr>
        <w:t xml:space="preserve"> </w:t>
      </w:r>
      <w:r w:rsidR="004C2085">
        <w:rPr>
          <w:rFonts w:cstheme="minorHAnsi"/>
          <w:bCs/>
          <w:iCs/>
          <w:lang w:eastAsia="en-AU"/>
        </w:rPr>
        <w:t>T</w:t>
      </w:r>
      <w:r w:rsidRPr="00B76251">
        <w:rPr>
          <w:rFonts w:cstheme="minorHAnsi"/>
          <w:bCs/>
          <w:iCs/>
          <w:lang w:eastAsia="en-AU"/>
        </w:rPr>
        <w:t>here are areas for improvement including, transparency, data and results, better integration of innovative finance, stronger focus on human rights and gender</w:t>
      </w:r>
      <w:r w:rsidR="00DB7EA7">
        <w:rPr>
          <w:rFonts w:cstheme="minorHAnsi"/>
          <w:bCs/>
          <w:iCs/>
          <w:lang w:eastAsia="en-AU"/>
        </w:rPr>
        <w:t xml:space="preserve"> equality</w:t>
      </w:r>
      <w:r w:rsidRPr="00B76251">
        <w:rPr>
          <w:rFonts w:cstheme="minorHAnsi"/>
          <w:bCs/>
          <w:iCs/>
          <w:lang w:eastAsia="en-AU"/>
        </w:rPr>
        <w:t xml:space="preserve"> results, and ongoing implementation of </w:t>
      </w:r>
      <w:r w:rsidR="00D656E0">
        <w:rPr>
          <w:rFonts w:cstheme="minorHAnsi"/>
          <w:bCs/>
          <w:iCs/>
          <w:lang w:eastAsia="en-AU"/>
        </w:rPr>
        <w:t>organisational reform</w:t>
      </w:r>
      <w:r w:rsidRPr="00B76251">
        <w:rPr>
          <w:rFonts w:cstheme="minorHAnsi"/>
          <w:bCs/>
          <w:iCs/>
          <w:lang w:eastAsia="en-AU"/>
        </w:rPr>
        <w:t xml:space="preserve"> including</w:t>
      </w:r>
      <w:r w:rsidR="00D656E0">
        <w:rPr>
          <w:rFonts w:cstheme="minorHAnsi"/>
          <w:bCs/>
          <w:iCs/>
          <w:lang w:eastAsia="en-AU"/>
        </w:rPr>
        <w:t xml:space="preserve"> to</w:t>
      </w:r>
      <w:r w:rsidRPr="00B76251">
        <w:rPr>
          <w:rFonts w:cstheme="minorHAnsi"/>
          <w:bCs/>
          <w:iCs/>
          <w:lang w:eastAsia="en-AU"/>
        </w:rPr>
        <w:t xml:space="preserve"> fraud policies, and sexual exploitation and assault policies.</w:t>
      </w:r>
      <w:r w:rsidR="00145623">
        <w:rPr>
          <w:rFonts w:cstheme="minorHAnsi"/>
          <w:bCs/>
          <w:iCs/>
          <w:lang w:eastAsia="en-AU"/>
        </w:rPr>
        <w:t xml:space="preserve"> Australia </w:t>
      </w:r>
      <w:r w:rsidR="00AB1E8E">
        <w:rPr>
          <w:rFonts w:cstheme="minorHAnsi"/>
          <w:bCs/>
          <w:iCs/>
          <w:lang w:eastAsia="en-AU"/>
        </w:rPr>
        <w:t xml:space="preserve">is working with these </w:t>
      </w:r>
      <w:r w:rsidR="00EE00AC">
        <w:rPr>
          <w:rFonts w:cstheme="minorHAnsi"/>
          <w:bCs/>
          <w:iCs/>
          <w:lang w:eastAsia="en-AU"/>
        </w:rPr>
        <w:t>organisations</w:t>
      </w:r>
      <w:r w:rsidR="00AB1E8E">
        <w:rPr>
          <w:rFonts w:cstheme="minorHAnsi"/>
          <w:bCs/>
          <w:iCs/>
          <w:lang w:eastAsia="en-AU"/>
        </w:rPr>
        <w:t xml:space="preserve"> to strengthen performance in these areas.</w:t>
      </w:r>
      <w:r w:rsidR="00145623">
        <w:rPr>
          <w:rFonts w:cstheme="minorHAnsi"/>
          <w:bCs/>
          <w:iCs/>
          <w:lang w:eastAsia="en-AU"/>
        </w:rPr>
        <w:t xml:space="preserve"> </w:t>
      </w:r>
    </w:p>
    <w:p w14:paraId="5C7E5567" w14:textId="43BA2757" w:rsidR="007C031B" w:rsidRDefault="003C7CD0" w:rsidP="00551095">
      <w:pPr>
        <w:jc w:val="both"/>
        <w:rPr>
          <w:rFonts w:cstheme="minorHAnsi"/>
          <w:bCs/>
          <w:iCs/>
          <w:lang w:eastAsia="en-AU"/>
        </w:rPr>
      </w:pPr>
      <w:r>
        <w:rPr>
          <w:noProof/>
        </w:rPr>
        <w:drawing>
          <wp:inline distT="0" distB="0" distL="0" distR="0" wp14:anchorId="57840A2C" wp14:editId="252F7215">
            <wp:extent cx="6648450" cy="1752600"/>
            <wp:effectExtent l="0" t="0" r="0" b="0"/>
            <wp:docPr id="15" name="Picture 15" descr="Table which provides a score (good, adequate and less than adequate) against different criteria for the 'overall assessment of global health programs for four multilateral organisations as follows:&#10;- overall assessment - good - 4&#10;- results and quality on the mandate - good - 4&#10;- performance against Australia's strategic objectives - good - 4&#10;- value for money - adequate - 4&#10;- partnership behaviour and responsiveness - good - 4&#10;- organisational capacity and good governance - adequate - 1; good -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able which provides a score (good, adequate and less than adequate) against different criteria for the 'overall assessment of global health programs for four multilateral organisations as follows:&#10;- overall assessment - good - 4&#10;- results and quality on the mandate - good - 4&#10;- performance against Australia's strategic objectives - good - 4&#10;- value for money - adequate - 4&#10;- partnership behaviour and responsiveness - good - 4&#10;- organisational capacity and good governance - adequate - 1; good - 3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4CDB6" w14:textId="77777777" w:rsidR="002340A8" w:rsidRDefault="002340A8" w:rsidP="00B76251">
      <w:pPr>
        <w:widowControl w:val="0"/>
        <w:suppressAutoHyphens w:val="0"/>
        <w:autoSpaceDE w:val="0"/>
        <w:autoSpaceDN w:val="0"/>
        <w:adjustRightInd w:val="0"/>
        <w:spacing w:before="60" w:after="120" w:line="260" w:lineRule="exact"/>
        <w:rPr>
          <w:rFonts w:asciiTheme="majorHAnsi" w:eastAsiaTheme="majorEastAsia" w:hAnsiTheme="majorHAnsi" w:cstheme="majorBidi"/>
          <w:b/>
          <w:caps/>
          <w:szCs w:val="26"/>
        </w:rPr>
      </w:pPr>
    </w:p>
    <w:p w14:paraId="0DBC267B" w14:textId="2DC6A997" w:rsidR="00B76251" w:rsidRPr="00B76251" w:rsidRDefault="00B76251" w:rsidP="00A87B37">
      <w:pPr>
        <w:pStyle w:val="Heading2"/>
        <w:rPr>
          <w:i/>
          <w:iCs/>
          <w:color w:val="auto"/>
        </w:rPr>
      </w:pPr>
      <w:r w:rsidRPr="00B76251">
        <w:t xml:space="preserve">Overall assessment: INternational Humanitarian Agencies </w:t>
      </w:r>
    </w:p>
    <w:p w14:paraId="77A8C2B0" w14:textId="1DE35DBA" w:rsidR="00F36C47" w:rsidRDefault="00551095" w:rsidP="00551095">
      <w:pPr>
        <w:jc w:val="both"/>
      </w:pPr>
      <w:r w:rsidRPr="00551095">
        <w:t xml:space="preserve">Humanitarian multilateral partners delivered life-saving assistance to millions of people affected by humanitarian crises despite </w:t>
      </w:r>
      <w:r w:rsidR="00D656E0">
        <w:t xml:space="preserve">operational challenges due to </w:t>
      </w:r>
      <w:r w:rsidRPr="00551095">
        <w:t xml:space="preserve">the COVID-19 pandemic. While each organisation has a unique mandate, most performed to a strong standard in delivering on Australia’s strategic objectives against the </w:t>
      </w:r>
      <w:r w:rsidRPr="00583ABE">
        <w:rPr>
          <w:i/>
          <w:iCs/>
        </w:rPr>
        <w:t>Partnerships for Recovery</w:t>
      </w:r>
      <w:r w:rsidRPr="00551095">
        <w:t>.</w:t>
      </w:r>
      <w:r w:rsidR="00583ABE">
        <w:t xml:space="preserve"> </w:t>
      </w:r>
      <w:r w:rsidRPr="00551095">
        <w:t>Partners successfully pivoted programs and systems to address unfolding challenges</w:t>
      </w:r>
      <w:r w:rsidR="00D656E0">
        <w:t xml:space="preserve">, including </w:t>
      </w:r>
      <w:r w:rsidR="00A55036">
        <w:t xml:space="preserve">via </w:t>
      </w:r>
      <w:r w:rsidR="00D656E0">
        <w:t>COVID-19 response</w:t>
      </w:r>
      <w:r w:rsidR="00A55036">
        <w:t>s</w:t>
      </w:r>
      <w:r w:rsidR="00D656E0">
        <w:t>,</w:t>
      </w:r>
      <w:r w:rsidRPr="00551095">
        <w:t xml:space="preserve"> and continued to deliver value for money in the face of increased humanitarian needs in the Indo-Pacific and beyond, particularly Afghanistan, and in the Middle East and Africa. Partners must continue to innovate to ensure delivery structures adequately address emerging risks and organisational capacity</w:t>
      </w:r>
      <w:r w:rsidR="00A55036">
        <w:t xml:space="preserve"> and</w:t>
      </w:r>
      <w:r w:rsidRPr="00551095">
        <w:t xml:space="preserve"> governance and reporting remain fit for purpose. This includes strengthening monitoring of programs and downstream partners (especially in remote settings).</w:t>
      </w:r>
      <w:r w:rsidR="00AB1E8E">
        <w:t xml:space="preserve"> Australia is actively working with these </w:t>
      </w:r>
      <w:r w:rsidR="00EE00AC">
        <w:t xml:space="preserve">humanitarian </w:t>
      </w:r>
      <w:r w:rsidR="00AB1E8E">
        <w:t>agencies to address these issues.</w:t>
      </w:r>
    </w:p>
    <w:p w14:paraId="390BD744" w14:textId="3F977796" w:rsidR="007C031B" w:rsidRDefault="00F82376" w:rsidP="00551095">
      <w:pPr>
        <w:jc w:val="both"/>
      </w:pPr>
      <w:r>
        <w:rPr>
          <w:noProof/>
        </w:rPr>
        <w:drawing>
          <wp:inline distT="0" distB="0" distL="0" distR="0" wp14:anchorId="30D37E79" wp14:editId="5ADD34CB">
            <wp:extent cx="6696710" cy="164020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6B99B9C" w14:textId="77777777" w:rsidR="00B76251" w:rsidRPr="00B76251" w:rsidRDefault="00B76251" w:rsidP="00F37809"/>
    <w:sectPr w:rsidR="00B76251" w:rsidRPr="00B76251" w:rsidSect="000B4203">
      <w:headerReference w:type="default" r:id="rId15"/>
      <w:footerReference w:type="default" r:id="rId16"/>
      <w:headerReference w:type="first" r:id="rId17"/>
      <w:pgSz w:w="11906" w:h="16838" w:code="9"/>
      <w:pgMar w:top="1276" w:right="680" w:bottom="1276" w:left="680" w:header="0" w:footer="0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BA9FB" w14:textId="77777777" w:rsidR="00DA6055" w:rsidRDefault="00DA6055" w:rsidP="00D37B04">
      <w:r>
        <w:separator/>
      </w:r>
    </w:p>
  </w:endnote>
  <w:endnote w:type="continuationSeparator" w:id="0">
    <w:p w14:paraId="4DD33C39" w14:textId="77777777" w:rsidR="00DA6055" w:rsidRDefault="00DA6055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auto"/>
      </w:rPr>
      <w:id w:val="16136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1B8D5" w14:textId="798A20F3" w:rsidR="00ED6A06" w:rsidRPr="001D3DDD" w:rsidRDefault="00ED6A06" w:rsidP="008B7FF6">
        <w:pPr>
          <w:pStyle w:val="Footer"/>
          <w:jc w:val="center"/>
          <w:rPr>
            <w:color w:val="auto"/>
          </w:rPr>
        </w:pPr>
        <w:r>
          <w:rPr>
            <w:noProof/>
            <w:color w:val="auto"/>
          </w:rPr>
          <w:drawing>
            <wp:anchor distT="0" distB="0" distL="114300" distR="114300" simplePos="0" relativeHeight="251657216" behindDoc="1" locked="0" layoutInCell="1" allowOverlap="1" wp14:anchorId="0A9940EE" wp14:editId="3D49F129">
              <wp:simplePos x="0" y="0"/>
              <wp:positionH relativeFrom="margin">
                <wp:align>left</wp:align>
              </wp:positionH>
              <wp:positionV relativeFrom="paragraph">
                <wp:posOffset>-137795</wp:posOffset>
              </wp:positionV>
              <wp:extent cx="6629948" cy="357173"/>
              <wp:effectExtent l="0" t="0" r="0" b="5080"/>
              <wp:wrapNone/>
              <wp:docPr id="24" name="Picture 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4" name="Picture 28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29948" cy="3571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526D">
          <w:rPr>
            <w:color w:val="auto"/>
            <w:sz w:val="20"/>
            <w:szCs w:val="20"/>
          </w:rPr>
          <w:fldChar w:fldCharType="begin"/>
        </w:r>
        <w:r w:rsidRPr="0042526D">
          <w:rPr>
            <w:color w:val="auto"/>
            <w:sz w:val="20"/>
            <w:szCs w:val="20"/>
          </w:rPr>
          <w:instrText xml:space="preserve"> PAGE   \* MERGEFORMAT </w:instrText>
        </w:r>
        <w:r w:rsidRPr="0042526D">
          <w:rPr>
            <w:color w:val="auto"/>
            <w:sz w:val="20"/>
            <w:szCs w:val="20"/>
          </w:rPr>
          <w:fldChar w:fldCharType="separate"/>
        </w:r>
        <w:r w:rsidRPr="0042526D">
          <w:rPr>
            <w:noProof/>
            <w:color w:val="auto"/>
            <w:sz w:val="20"/>
            <w:szCs w:val="20"/>
          </w:rPr>
          <w:t>2</w:t>
        </w:r>
        <w:r w:rsidRPr="0042526D">
          <w:rPr>
            <w:noProof/>
            <w:color w:val="auto"/>
            <w:sz w:val="20"/>
            <w:szCs w:val="20"/>
          </w:rPr>
          <w:fldChar w:fldCharType="end"/>
        </w:r>
      </w:p>
    </w:sdtContent>
  </w:sdt>
  <w:p w14:paraId="3A729F02" w14:textId="519EAB54" w:rsidR="00ED6A06" w:rsidRDefault="00ED6A06" w:rsidP="009131E9">
    <w:pPr>
      <w:pStyle w:val="Footer"/>
      <w:spacing w:line="240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7A2C5" w14:textId="77777777" w:rsidR="00DA6055" w:rsidRPr="008C5A0E" w:rsidRDefault="00DA6055" w:rsidP="00D37B04">
      <w:pPr>
        <w:pStyle w:val="Footer"/>
      </w:pPr>
    </w:p>
  </w:footnote>
  <w:footnote w:type="continuationSeparator" w:id="0">
    <w:p w14:paraId="71B404BB" w14:textId="77777777" w:rsidR="00DA6055" w:rsidRDefault="00DA6055" w:rsidP="00D3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17E92" w14:textId="26ACDAD9" w:rsidR="00ED6A06" w:rsidRDefault="00ED6A06" w:rsidP="007A4493">
    <w:pPr>
      <w:pStyle w:val="Header"/>
      <w:ind w:left="0"/>
    </w:pPr>
    <w:r w:rsidRPr="000B4203">
      <w:rPr>
        <w:i/>
        <w:caps w:val="0"/>
        <w:color w:val="FFFFFF" w:themeColor="background1"/>
      </w:rPr>
      <w:t>Partnerships for Recovery</w:t>
    </w:r>
    <w:r w:rsidRPr="00A12B40">
      <w:rPr>
        <w:i/>
        <w:noProof/>
        <w:lang w:val="en-AU" w:eastAsia="en-AU"/>
      </w:rPr>
      <w:drawing>
        <wp:inline distT="0" distB="0" distL="0" distR="0" wp14:anchorId="7248A92F" wp14:editId="7CBD7E78">
          <wp:extent cx="6718853" cy="707390"/>
          <wp:effectExtent l="0" t="0" r="6350" b="0"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S-Aqua-Header-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267" cy="716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F2A5E" w14:textId="54EA2898" w:rsidR="00ED6A06" w:rsidRDefault="00ED6A06" w:rsidP="001F7F4D">
    <w:pPr>
      <w:pStyle w:val="Header"/>
      <w:spacing w:after="240"/>
      <w:ind w:left="0"/>
    </w:pPr>
    <w:r>
      <w:rPr>
        <w:noProof/>
      </w:rPr>
      <w:drawing>
        <wp:inline distT="0" distB="0" distL="0" distR="0" wp14:anchorId="53173A37" wp14:editId="3D212865">
          <wp:extent cx="6696075" cy="1247775"/>
          <wp:effectExtent l="0" t="0" r="9525" b="9525"/>
          <wp:docPr id="25" name="Picture 25" descr="Australian Government DFAT logo and Australian Ai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 descr="Australian Government DFAT logo and Australian Ai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92AB9" w14:textId="77777777" w:rsidR="00ED6A06" w:rsidRPr="00943730" w:rsidRDefault="00ED6A06" w:rsidP="008C6149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1548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244B8C"/>
    <w:multiLevelType w:val="hybridMultilevel"/>
    <w:tmpl w:val="516273A8"/>
    <w:lvl w:ilvl="0" w:tplc="0698550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0DF06AC3"/>
    <w:multiLevelType w:val="hybridMultilevel"/>
    <w:tmpl w:val="CFC098A4"/>
    <w:lvl w:ilvl="0" w:tplc="B7968C8E">
      <w:numFmt w:val="bullet"/>
      <w:lvlText w:val="-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C21B9"/>
    <w:multiLevelType w:val="hybridMultilevel"/>
    <w:tmpl w:val="D7E29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47501"/>
    <w:multiLevelType w:val="hybridMultilevel"/>
    <w:tmpl w:val="EBCA6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" w15:restartNumberingAfterBreak="0">
    <w:nsid w:val="1BBE0951"/>
    <w:multiLevelType w:val="hybridMultilevel"/>
    <w:tmpl w:val="1640E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48BC"/>
    <w:multiLevelType w:val="hybridMultilevel"/>
    <w:tmpl w:val="26D04D08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B6366"/>
    <w:multiLevelType w:val="hybridMultilevel"/>
    <w:tmpl w:val="119E2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38F132CE"/>
    <w:multiLevelType w:val="multilevel"/>
    <w:tmpl w:val="3B7A10DE"/>
    <w:numStyleLink w:val="BulletsList"/>
  </w:abstractNum>
  <w:abstractNum w:abstractNumId="12" w15:restartNumberingAfterBreak="0">
    <w:nsid w:val="39497570"/>
    <w:multiLevelType w:val="hybridMultilevel"/>
    <w:tmpl w:val="4E2EB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54A3D"/>
    <w:multiLevelType w:val="hybridMultilevel"/>
    <w:tmpl w:val="B8BED28E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023C7"/>
    <w:multiLevelType w:val="hybridMultilevel"/>
    <w:tmpl w:val="9BFEE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512C0"/>
    <w:multiLevelType w:val="hybridMultilevel"/>
    <w:tmpl w:val="0372A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248F"/>
    <w:multiLevelType w:val="hybridMultilevel"/>
    <w:tmpl w:val="8988D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F0A07"/>
    <w:multiLevelType w:val="hybridMultilevel"/>
    <w:tmpl w:val="B7E0A20E"/>
    <w:lvl w:ilvl="0" w:tplc="C2B656C8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A148B"/>
    <w:multiLevelType w:val="hybridMultilevel"/>
    <w:tmpl w:val="FC90C7DA"/>
    <w:lvl w:ilvl="0" w:tplc="59463C12">
      <w:start w:val="6"/>
      <w:numFmt w:val="bullet"/>
      <w:lvlText w:val="-"/>
      <w:lvlJc w:val="left"/>
      <w:pPr>
        <w:ind w:left="269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abstractNum w:abstractNumId="19" w15:restartNumberingAfterBreak="0">
    <w:nsid w:val="4E962456"/>
    <w:multiLevelType w:val="hybridMultilevel"/>
    <w:tmpl w:val="6DD60AF6"/>
    <w:lvl w:ilvl="0" w:tplc="D43A6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40399"/>
    <w:multiLevelType w:val="hybridMultilevel"/>
    <w:tmpl w:val="12362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669A6"/>
    <w:multiLevelType w:val="hybridMultilevel"/>
    <w:tmpl w:val="96EC6980"/>
    <w:lvl w:ilvl="0" w:tplc="C28AABD2">
      <w:start w:val="1"/>
      <w:numFmt w:val="bullet"/>
      <w:lvlText w:val="•"/>
      <w:lvlJc w:val="left"/>
      <w:pPr>
        <w:ind w:left="816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 w15:restartNumberingAfterBreak="0">
    <w:nsid w:val="51100950"/>
    <w:multiLevelType w:val="hybridMultilevel"/>
    <w:tmpl w:val="0686927C"/>
    <w:lvl w:ilvl="0" w:tplc="0C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4" w15:restartNumberingAfterBreak="0">
    <w:nsid w:val="5BD54DA3"/>
    <w:multiLevelType w:val="hybridMultilevel"/>
    <w:tmpl w:val="4A145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D667C"/>
    <w:multiLevelType w:val="hybridMultilevel"/>
    <w:tmpl w:val="ED2C4C28"/>
    <w:lvl w:ilvl="0" w:tplc="C28AABD2">
      <w:start w:val="1"/>
      <w:numFmt w:val="bullet"/>
      <w:lvlText w:val="•"/>
      <w:lvlJc w:val="left"/>
      <w:pPr>
        <w:ind w:left="816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6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7" w15:restartNumberingAfterBreak="0">
    <w:nsid w:val="60DC3033"/>
    <w:multiLevelType w:val="hybridMultilevel"/>
    <w:tmpl w:val="9D040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81736"/>
    <w:multiLevelType w:val="hybridMultilevel"/>
    <w:tmpl w:val="5FA847FC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C5D79"/>
    <w:multiLevelType w:val="hybridMultilevel"/>
    <w:tmpl w:val="D714D16E"/>
    <w:lvl w:ilvl="0" w:tplc="DF22A0BC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43F05"/>
    <w:multiLevelType w:val="hybridMultilevel"/>
    <w:tmpl w:val="2C10AD7E"/>
    <w:lvl w:ilvl="0" w:tplc="7D660DD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D2207"/>
    <w:multiLevelType w:val="hybridMultilevel"/>
    <w:tmpl w:val="5FC0B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07305"/>
    <w:multiLevelType w:val="multilevel"/>
    <w:tmpl w:val="3B7A10DE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3" w15:restartNumberingAfterBreak="0">
    <w:nsid w:val="73166602"/>
    <w:multiLevelType w:val="hybridMultilevel"/>
    <w:tmpl w:val="71381298"/>
    <w:lvl w:ilvl="0" w:tplc="59463C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E7A65"/>
    <w:multiLevelType w:val="hybridMultilevel"/>
    <w:tmpl w:val="A4D4C220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D0D33EF"/>
    <w:multiLevelType w:val="hybridMultilevel"/>
    <w:tmpl w:val="0AC2FD7E"/>
    <w:lvl w:ilvl="0" w:tplc="84F4094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10"/>
  </w:num>
  <w:num w:numId="4">
    <w:abstractNumId w:val="23"/>
  </w:num>
  <w:num w:numId="5">
    <w:abstractNumId w:val="26"/>
  </w:num>
  <w:num w:numId="6">
    <w:abstractNumId w:val="10"/>
  </w:num>
  <w:num w:numId="7">
    <w:abstractNumId w:val="2"/>
  </w:num>
  <w:num w:numId="8">
    <w:abstractNumId w:val="6"/>
  </w:num>
  <w:num w:numId="9">
    <w:abstractNumId w:val="35"/>
  </w:num>
  <w:num w:numId="10">
    <w:abstractNumId w:val="11"/>
  </w:num>
  <w:num w:numId="11">
    <w:abstractNumId w:val="21"/>
  </w:num>
  <w:num w:numId="12">
    <w:abstractNumId w:val="22"/>
  </w:num>
  <w:num w:numId="13">
    <w:abstractNumId w:val="0"/>
  </w:num>
  <w:num w:numId="14">
    <w:abstractNumId w:val="18"/>
  </w:num>
  <w:num w:numId="15">
    <w:abstractNumId w:val="24"/>
  </w:num>
  <w:num w:numId="16">
    <w:abstractNumId w:val="28"/>
  </w:num>
  <w:num w:numId="17">
    <w:abstractNumId w:val="8"/>
  </w:num>
  <w:num w:numId="18">
    <w:abstractNumId w:val="25"/>
  </w:num>
  <w:num w:numId="19">
    <w:abstractNumId w:val="34"/>
  </w:num>
  <w:num w:numId="20">
    <w:abstractNumId w:val="15"/>
  </w:num>
  <w:num w:numId="21">
    <w:abstractNumId w:val="33"/>
  </w:num>
  <w:num w:numId="22">
    <w:abstractNumId w:val="13"/>
  </w:num>
  <w:num w:numId="23">
    <w:abstractNumId w:val="3"/>
  </w:num>
  <w:num w:numId="24">
    <w:abstractNumId w:val="29"/>
  </w:num>
  <w:num w:numId="25">
    <w:abstractNumId w:val="36"/>
  </w:num>
  <w:num w:numId="26">
    <w:abstractNumId w:val="17"/>
  </w:num>
  <w:num w:numId="27">
    <w:abstractNumId w:val="27"/>
  </w:num>
  <w:num w:numId="28">
    <w:abstractNumId w:val="19"/>
  </w:num>
  <w:num w:numId="29">
    <w:abstractNumId w:val="1"/>
  </w:num>
  <w:num w:numId="30">
    <w:abstractNumId w:val="30"/>
  </w:num>
  <w:num w:numId="31">
    <w:abstractNumId w:val="5"/>
  </w:num>
  <w:num w:numId="32">
    <w:abstractNumId w:val="16"/>
  </w:num>
  <w:num w:numId="33">
    <w:abstractNumId w:val="12"/>
  </w:num>
  <w:num w:numId="34">
    <w:abstractNumId w:val="4"/>
  </w:num>
  <w:num w:numId="35">
    <w:abstractNumId w:val="9"/>
  </w:num>
  <w:num w:numId="36">
    <w:abstractNumId w:val="14"/>
  </w:num>
  <w:num w:numId="37">
    <w:abstractNumId w:val="31"/>
  </w:num>
  <w:num w:numId="38">
    <w:abstractNumId w:val="20"/>
  </w:num>
  <w:num w:numId="3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58"/>
    <w:rsid w:val="000005F0"/>
    <w:rsid w:val="00001DA8"/>
    <w:rsid w:val="000020C1"/>
    <w:rsid w:val="00010006"/>
    <w:rsid w:val="00011235"/>
    <w:rsid w:val="000141AD"/>
    <w:rsid w:val="00015AB7"/>
    <w:rsid w:val="0002080A"/>
    <w:rsid w:val="0002782F"/>
    <w:rsid w:val="00031486"/>
    <w:rsid w:val="000314BA"/>
    <w:rsid w:val="00035BBF"/>
    <w:rsid w:val="00035CBC"/>
    <w:rsid w:val="00036A6A"/>
    <w:rsid w:val="000417C3"/>
    <w:rsid w:val="000444F3"/>
    <w:rsid w:val="000469A4"/>
    <w:rsid w:val="00050806"/>
    <w:rsid w:val="00053979"/>
    <w:rsid w:val="000546D9"/>
    <w:rsid w:val="00054E4D"/>
    <w:rsid w:val="0005564F"/>
    <w:rsid w:val="00055880"/>
    <w:rsid w:val="00056F24"/>
    <w:rsid w:val="00060073"/>
    <w:rsid w:val="000616C6"/>
    <w:rsid w:val="00070397"/>
    <w:rsid w:val="000706EF"/>
    <w:rsid w:val="00074362"/>
    <w:rsid w:val="000822AD"/>
    <w:rsid w:val="000854FD"/>
    <w:rsid w:val="00085E5A"/>
    <w:rsid w:val="00097E37"/>
    <w:rsid w:val="000A407E"/>
    <w:rsid w:val="000B37F5"/>
    <w:rsid w:val="000B4203"/>
    <w:rsid w:val="000B5DA7"/>
    <w:rsid w:val="000B786A"/>
    <w:rsid w:val="000B78E6"/>
    <w:rsid w:val="000C3A4C"/>
    <w:rsid w:val="000C4411"/>
    <w:rsid w:val="000C4F29"/>
    <w:rsid w:val="000D131E"/>
    <w:rsid w:val="000D2896"/>
    <w:rsid w:val="000D66D6"/>
    <w:rsid w:val="000E58BF"/>
    <w:rsid w:val="000E6C44"/>
    <w:rsid w:val="000F2600"/>
    <w:rsid w:val="000F78C9"/>
    <w:rsid w:val="001030F6"/>
    <w:rsid w:val="00113288"/>
    <w:rsid w:val="00113A4B"/>
    <w:rsid w:val="00117F61"/>
    <w:rsid w:val="001214BE"/>
    <w:rsid w:val="0012165D"/>
    <w:rsid w:val="00121DDD"/>
    <w:rsid w:val="001227F1"/>
    <w:rsid w:val="00125C38"/>
    <w:rsid w:val="0013101C"/>
    <w:rsid w:val="0013385F"/>
    <w:rsid w:val="00137F4E"/>
    <w:rsid w:val="001406DA"/>
    <w:rsid w:val="00145623"/>
    <w:rsid w:val="001461D6"/>
    <w:rsid w:val="00146E07"/>
    <w:rsid w:val="00150951"/>
    <w:rsid w:val="00153230"/>
    <w:rsid w:val="001541EA"/>
    <w:rsid w:val="0016223D"/>
    <w:rsid w:val="00163D47"/>
    <w:rsid w:val="00166032"/>
    <w:rsid w:val="001662F8"/>
    <w:rsid w:val="00174E3A"/>
    <w:rsid w:val="0018346A"/>
    <w:rsid w:val="001841C8"/>
    <w:rsid w:val="00186B4B"/>
    <w:rsid w:val="00193774"/>
    <w:rsid w:val="00193C49"/>
    <w:rsid w:val="00197EC4"/>
    <w:rsid w:val="001A51EE"/>
    <w:rsid w:val="001A7815"/>
    <w:rsid w:val="001B4E4E"/>
    <w:rsid w:val="001B78DA"/>
    <w:rsid w:val="001C14F4"/>
    <w:rsid w:val="001C1F11"/>
    <w:rsid w:val="001D0688"/>
    <w:rsid w:val="001D1A8F"/>
    <w:rsid w:val="001D3C98"/>
    <w:rsid w:val="001D3DDD"/>
    <w:rsid w:val="001D4091"/>
    <w:rsid w:val="001D663E"/>
    <w:rsid w:val="001E03BE"/>
    <w:rsid w:val="001E1DC0"/>
    <w:rsid w:val="001E563B"/>
    <w:rsid w:val="001E6D20"/>
    <w:rsid w:val="001F16E7"/>
    <w:rsid w:val="001F7A8B"/>
    <w:rsid w:val="001F7F4D"/>
    <w:rsid w:val="0020680A"/>
    <w:rsid w:val="00211406"/>
    <w:rsid w:val="00212B98"/>
    <w:rsid w:val="00216C55"/>
    <w:rsid w:val="00220727"/>
    <w:rsid w:val="002207E8"/>
    <w:rsid w:val="002231BD"/>
    <w:rsid w:val="00223BF0"/>
    <w:rsid w:val="002270F7"/>
    <w:rsid w:val="00233564"/>
    <w:rsid w:val="002340A8"/>
    <w:rsid w:val="00235BC0"/>
    <w:rsid w:val="00235FD7"/>
    <w:rsid w:val="002404E8"/>
    <w:rsid w:val="00244229"/>
    <w:rsid w:val="00247365"/>
    <w:rsid w:val="002511FE"/>
    <w:rsid w:val="00255F45"/>
    <w:rsid w:val="00261565"/>
    <w:rsid w:val="00267CDF"/>
    <w:rsid w:val="00270C70"/>
    <w:rsid w:val="002721B5"/>
    <w:rsid w:val="0028602A"/>
    <w:rsid w:val="00291B8C"/>
    <w:rsid w:val="002945C4"/>
    <w:rsid w:val="0029663F"/>
    <w:rsid w:val="00297258"/>
    <w:rsid w:val="00297FD1"/>
    <w:rsid w:val="002B3381"/>
    <w:rsid w:val="002B5E10"/>
    <w:rsid w:val="002C08D1"/>
    <w:rsid w:val="002C36C3"/>
    <w:rsid w:val="002C793D"/>
    <w:rsid w:val="002D1ADB"/>
    <w:rsid w:val="002D35C9"/>
    <w:rsid w:val="002D4108"/>
    <w:rsid w:val="002D430F"/>
    <w:rsid w:val="002D5B25"/>
    <w:rsid w:val="002E2AF4"/>
    <w:rsid w:val="002E38B2"/>
    <w:rsid w:val="002E500A"/>
    <w:rsid w:val="002E74B9"/>
    <w:rsid w:val="002E7B83"/>
    <w:rsid w:val="002F03FB"/>
    <w:rsid w:val="002F3555"/>
    <w:rsid w:val="002F43EA"/>
    <w:rsid w:val="002F4F2B"/>
    <w:rsid w:val="003002C0"/>
    <w:rsid w:val="00301144"/>
    <w:rsid w:val="003031C6"/>
    <w:rsid w:val="00304984"/>
    <w:rsid w:val="003049DB"/>
    <w:rsid w:val="00311946"/>
    <w:rsid w:val="00312BF8"/>
    <w:rsid w:val="003134D2"/>
    <w:rsid w:val="003148B7"/>
    <w:rsid w:val="003158C3"/>
    <w:rsid w:val="00323970"/>
    <w:rsid w:val="003274CD"/>
    <w:rsid w:val="00333501"/>
    <w:rsid w:val="003406AF"/>
    <w:rsid w:val="00345169"/>
    <w:rsid w:val="003457C4"/>
    <w:rsid w:val="00347FA8"/>
    <w:rsid w:val="0035119D"/>
    <w:rsid w:val="003535F8"/>
    <w:rsid w:val="00354641"/>
    <w:rsid w:val="003622C1"/>
    <w:rsid w:val="00363A9F"/>
    <w:rsid w:val="00365189"/>
    <w:rsid w:val="003664FE"/>
    <w:rsid w:val="003723D5"/>
    <w:rsid w:val="003745ED"/>
    <w:rsid w:val="00375D23"/>
    <w:rsid w:val="003806FE"/>
    <w:rsid w:val="00382CE7"/>
    <w:rsid w:val="00387EC8"/>
    <w:rsid w:val="00390354"/>
    <w:rsid w:val="0039215F"/>
    <w:rsid w:val="0039344A"/>
    <w:rsid w:val="00396538"/>
    <w:rsid w:val="003B3091"/>
    <w:rsid w:val="003B4C4A"/>
    <w:rsid w:val="003B4F12"/>
    <w:rsid w:val="003B7A4F"/>
    <w:rsid w:val="003C6C4F"/>
    <w:rsid w:val="003C7CD0"/>
    <w:rsid w:val="003C7D0E"/>
    <w:rsid w:val="003D1253"/>
    <w:rsid w:val="003D314A"/>
    <w:rsid w:val="003E24BA"/>
    <w:rsid w:val="003E3EBF"/>
    <w:rsid w:val="003F2041"/>
    <w:rsid w:val="003F7D26"/>
    <w:rsid w:val="004007ED"/>
    <w:rsid w:val="00400D50"/>
    <w:rsid w:val="00402ACC"/>
    <w:rsid w:val="00403FD8"/>
    <w:rsid w:val="00404443"/>
    <w:rsid w:val="00404602"/>
    <w:rsid w:val="004120EC"/>
    <w:rsid w:val="0041267F"/>
    <w:rsid w:val="00423DE0"/>
    <w:rsid w:val="00423F31"/>
    <w:rsid w:val="0042526D"/>
    <w:rsid w:val="00426340"/>
    <w:rsid w:val="004303AA"/>
    <w:rsid w:val="00431899"/>
    <w:rsid w:val="00450381"/>
    <w:rsid w:val="004529F1"/>
    <w:rsid w:val="00453B1A"/>
    <w:rsid w:val="00457436"/>
    <w:rsid w:val="00462A57"/>
    <w:rsid w:val="004728DD"/>
    <w:rsid w:val="00473F2D"/>
    <w:rsid w:val="00473F39"/>
    <w:rsid w:val="00474037"/>
    <w:rsid w:val="00475782"/>
    <w:rsid w:val="00475BF8"/>
    <w:rsid w:val="004812D9"/>
    <w:rsid w:val="00482AE8"/>
    <w:rsid w:val="00486804"/>
    <w:rsid w:val="00487549"/>
    <w:rsid w:val="00494242"/>
    <w:rsid w:val="004A41B8"/>
    <w:rsid w:val="004A6B78"/>
    <w:rsid w:val="004B3775"/>
    <w:rsid w:val="004C0B62"/>
    <w:rsid w:val="004C1C82"/>
    <w:rsid w:val="004C2085"/>
    <w:rsid w:val="004D0BA0"/>
    <w:rsid w:val="004D383F"/>
    <w:rsid w:val="004D7F36"/>
    <w:rsid w:val="004E058F"/>
    <w:rsid w:val="004E2265"/>
    <w:rsid w:val="004E3176"/>
    <w:rsid w:val="004E3B87"/>
    <w:rsid w:val="004E549D"/>
    <w:rsid w:val="004F5615"/>
    <w:rsid w:val="00502041"/>
    <w:rsid w:val="00503EB4"/>
    <w:rsid w:val="00504160"/>
    <w:rsid w:val="0050592F"/>
    <w:rsid w:val="00510921"/>
    <w:rsid w:val="00510AD3"/>
    <w:rsid w:val="00513348"/>
    <w:rsid w:val="00513AD8"/>
    <w:rsid w:val="00517D24"/>
    <w:rsid w:val="00517DD0"/>
    <w:rsid w:val="005204D2"/>
    <w:rsid w:val="00522396"/>
    <w:rsid w:val="00527AD8"/>
    <w:rsid w:val="0053159D"/>
    <w:rsid w:val="00531B69"/>
    <w:rsid w:val="00533B5D"/>
    <w:rsid w:val="00534D96"/>
    <w:rsid w:val="00536343"/>
    <w:rsid w:val="00536BAB"/>
    <w:rsid w:val="00536C39"/>
    <w:rsid w:val="00540A22"/>
    <w:rsid w:val="005474FC"/>
    <w:rsid w:val="00551095"/>
    <w:rsid w:val="00553079"/>
    <w:rsid w:val="00560E83"/>
    <w:rsid w:val="00561361"/>
    <w:rsid w:val="005736BB"/>
    <w:rsid w:val="00575309"/>
    <w:rsid w:val="00577815"/>
    <w:rsid w:val="005822D6"/>
    <w:rsid w:val="00583ABE"/>
    <w:rsid w:val="00584B70"/>
    <w:rsid w:val="00594779"/>
    <w:rsid w:val="00596093"/>
    <w:rsid w:val="005A10BC"/>
    <w:rsid w:val="005A20F6"/>
    <w:rsid w:val="005B0A02"/>
    <w:rsid w:val="005B1FD6"/>
    <w:rsid w:val="005B6C43"/>
    <w:rsid w:val="005C2EC9"/>
    <w:rsid w:val="005C532B"/>
    <w:rsid w:val="005D3655"/>
    <w:rsid w:val="005D5489"/>
    <w:rsid w:val="005E0058"/>
    <w:rsid w:val="005E2407"/>
    <w:rsid w:val="005E4830"/>
    <w:rsid w:val="005E5524"/>
    <w:rsid w:val="005E73CC"/>
    <w:rsid w:val="005F2F66"/>
    <w:rsid w:val="006031AC"/>
    <w:rsid w:val="00603321"/>
    <w:rsid w:val="00616A58"/>
    <w:rsid w:val="00620A3D"/>
    <w:rsid w:val="00622B86"/>
    <w:rsid w:val="006236D3"/>
    <w:rsid w:val="00623BA1"/>
    <w:rsid w:val="00630092"/>
    <w:rsid w:val="006346BC"/>
    <w:rsid w:val="006362FF"/>
    <w:rsid w:val="006378FE"/>
    <w:rsid w:val="006408FF"/>
    <w:rsid w:val="0065649B"/>
    <w:rsid w:val="0066203A"/>
    <w:rsid w:val="00662A7A"/>
    <w:rsid w:val="0066652A"/>
    <w:rsid w:val="006719C3"/>
    <w:rsid w:val="006745FC"/>
    <w:rsid w:val="00674F7A"/>
    <w:rsid w:val="006750D9"/>
    <w:rsid w:val="00680115"/>
    <w:rsid w:val="00680522"/>
    <w:rsid w:val="00681633"/>
    <w:rsid w:val="00682167"/>
    <w:rsid w:val="00683550"/>
    <w:rsid w:val="00690AE1"/>
    <w:rsid w:val="00694DEE"/>
    <w:rsid w:val="006A2022"/>
    <w:rsid w:val="006A2FF8"/>
    <w:rsid w:val="006A6F52"/>
    <w:rsid w:val="006A791A"/>
    <w:rsid w:val="006B0064"/>
    <w:rsid w:val="006B0FCC"/>
    <w:rsid w:val="006B3E95"/>
    <w:rsid w:val="006B51B2"/>
    <w:rsid w:val="006B6F6D"/>
    <w:rsid w:val="006C0B06"/>
    <w:rsid w:val="006C3BBD"/>
    <w:rsid w:val="006C42AF"/>
    <w:rsid w:val="006C527A"/>
    <w:rsid w:val="006C565B"/>
    <w:rsid w:val="006C63F5"/>
    <w:rsid w:val="006C6498"/>
    <w:rsid w:val="006D15F1"/>
    <w:rsid w:val="006D5A56"/>
    <w:rsid w:val="006D7D75"/>
    <w:rsid w:val="006E1988"/>
    <w:rsid w:val="006E4323"/>
    <w:rsid w:val="006F0C4A"/>
    <w:rsid w:val="006F435C"/>
    <w:rsid w:val="006F6BA7"/>
    <w:rsid w:val="007036FF"/>
    <w:rsid w:val="007075DF"/>
    <w:rsid w:val="00711D8E"/>
    <w:rsid w:val="00712672"/>
    <w:rsid w:val="00715933"/>
    <w:rsid w:val="007178C4"/>
    <w:rsid w:val="00724E91"/>
    <w:rsid w:val="00727259"/>
    <w:rsid w:val="00734E3F"/>
    <w:rsid w:val="00735BFD"/>
    <w:rsid w:val="00736985"/>
    <w:rsid w:val="00745DF5"/>
    <w:rsid w:val="00751718"/>
    <w:rsid w:val="00760A89"/>
    <w:rsid w:val="0076250F"/>
    <w:rsid w:val="00771E1F"/>
    <w:rsid w:val="0077324F"/>
    <w:rsid w:val="007733DC"/>
    <w:rsid w:val="00773808"/>
    <w:rsid w:val="0077582A"/>
    <w:rsid w:val="00780599"/>
    <w:rsid w:val="00780FA5"/>
    <w:rsid w:val="00786F5F"/>
    <w:rsid w:val="00794D99"/>
    <w:rsid w:val="007965CB"/>
    <w:rsid w:val="00796F1C"/>
    <w:rsid w:val="00797F0E"/>
    <w:rsid w:val="007A4493"/>
    <w:rsid w:val="007A591E"/>
    <w:rsid w:val="007B53F9"/>
    <w:rsid w:val="007B6200"/>
    <w:rsid w:val="007C031B"/>
    <w:rsid w:val="007C0891"/>
    <w:rsid w:val="007C19B3"/>
    <w:rsid w:val="007C5310"/>
    <w:rsid w:val="007C735B"/>
    <w:rsid w:val="007E5361"/>
    <w:rsid w:val="007E556D"/>
    <w:rsid w:val="007E7BC7"/>
    <w:rsid w:val="007F13B7"/>
    <w:rsid w:val="007F3395"/>
    <w:rsid w:val="007F5C0B"/>
    <w:rsid w:val="007F646C"/>
    <w:rsid w:val="007F7D7B"/>
    <w:rsid w:val="00801B9F"/>
    <w:rsid w:val="0080204D"/>
    <w:rsid w:val="008033FA"/>
    <w:rsid w:val="00810ECD"/>
    <w:rsid w:val="00815092"/>
    <w:rsid w:val="0082053C"/>
    <w:rsid w:val="00822F43"/>
    <w:rsid w:val="00835341"/>
    <w:rsid w:val="00841878"/>
    <w:rsid w:val="0084191E"/>
    <w:rsid w:val="00843B76"/>
    <w:rsid w:val="00844C90"/>
    <w:rsid w:val="008475F0"/>
    <w:rsid w:val="008515AF"/>
    <w:rsid w:val="00851CBA"/>
    <w:rsid w:val="00852C32"/>
    <w:rsid w:val="00854F69"/>
    <w:rsid w:val="008557A7"/>
    <w:rsid w:val="00855F37"/>
    <w:rsid w:val="00856BFE"/>
    <w:rsid w:val="00857312"/>
    <w:rsid w:val="00863D2F"/>
    <w:rsid w:val="00866261"/>
    <w:rsid w:val="00870928"/>
    <w:rsid w:val="00875E68"/>
    <w:rsid w:val="00877620"/>
    <w:rsid w:val="00877C4A"/>
    <w:rsid w:val="00881605"/>
    <w:rsid w:val="00887404"/>
    <w:rsid w:val="0089405C"/>
    <w:rsid w:val="00897FA2"/>
    <w:rsid w:val="008A085A"/>
    <w:rsid w:val="008A1503"/>
    <w:rsid w:val="008A5AFE"/>
    <w:rsid w:val="008A6BB7"/>
    <w:rsid w:val="008A7741"/>
    <w:rsid w:val="008A7B6F"/>
    <w:rsid w:val="008B3801"/>
    <w:rsid w:val="008B7FF6"/>
    <w:rsid w:val="008C1F60"/>
    <w:rsid w:val="008C3509"/>
    <w:rsid w:val="008C478C"/>
    <w:rsid w:val="008C5A0E"/>
    <w:rsid w:val="008C6149"/>
    <w:rsid w:val="008C708C"/>
    <w:rsid w:val="008D673E"/>
    <w:rsid w:val="008D6E36"/>
    <w:rsid w:val="008E4B49"/>
    <w:rsid w:val="008F6625"/>
    <w:rsid w:val="009113F0"/>
    <w:rsid w:val="009131E9"/>
    <w:rsid w:val="00914E60"/>
    <w:rsid w:val="00915FDB"/>
    <w:rsid w:val="00916582"/>
    <w:rsid w:val="00917A7A"/>
    <w:rsid w:val="00920854"/>
    <w:rsid w:val="00930C07"/>
    <w:rsid w:val="0093173D"/>
    <w:rsid w:val="00937866"/>
    <w:rsid w:val="00937B5C"/>
    <w:rsid w:val="00943730"/>
    <w:rsid w:val="00944089"/>
    <w:rsid w:val="00950D65"/>
    <w:rsid w:val="00952815"/>
    <w:rsid w:val="00953C61"/>
    <w:rsid w:val="00963A0C"/>
    <w:rsid w:val="00970964"/>
    <w:rsid w:val="00970E0C"/>
    <w:rsid w:val="00975CA5"/>
    <w:rsid w:val="009771C4"/>
    <w:rsid w:val="009774B4"/>
    <w:rsid w:val="00986590"/>
    <w:rsid w:val="0099057F"/>
    <w:rsid w:val="00991579"/>
    <w:rsid w:val="00992C76"/>
    <w:rsid w:val="009969D6"/>
    <w:rsid w:val="009A112B"/>
    <w:rsid w:val="009A2619"/>
    <w:rsid w:val="009A58FC"/>
    <w:rsid w:val="009B394F"/>
    <w:rsid w:val="009B4189"/>
    <w:rsid w:val="009B4D3B"/>
    <w:rsid w:val="009C17DF"/>
    <w:rsid w:val="009C18DB"/>
    <w:rsid w:val="009D19EB"/>
    <w:rsid w:val="009D19F2"/>
    <w:rsid w:val="009D3438"/>
    <w:rsid w:val="009D7407"/>
    <w:rsid w:val="009D7E48"/>
    <w:rsid w:val="009E0866"/>
    <w:rsid w:val="009E273C"/>
    <w:rsid w:val="009F1350"/>
    <w:rsid w:val="009F44DC"/>
    <w:rsid w:val="009F6423"/>
    <w:rsid w:val="00A06396"/>
    <w:rsid w:val="00A07A86"/>
    <w:rsid w:val="00A107B9"/>
    <w:rsid w:val="00A12B40"/>
    <w:rsid w:val="00A151DA"/>
    <w:rsid w:val="00A1600F"/>
    <w:rsid w:val="00A24A62"/>
    <w:rsid w:val="00A25146"/>
    <w:rsid w:val="00A31C9F"/>
    <w:rsid w:val="00A4144F"/>
    <w:rsid w:val="00A461D5"/>
    <w:rsid w:val="00A46B28"/>
    <w:rsid w:val="00A47135"/>
    <w:rsid w:val="00A55036"/>
    <w:rsid w:val="00A61B4D"/>
    <w:rsid w:val="00A66490"/>
    <w:rsid w:val="00A7034D"/>
    <w:rsid w:val="00A71167"/>
    <w:rsid w:val="00A72201"/>
    <w:rsid w:val="00A72DA6"/>
    <w:rsid w:val="00A74192"/>
    <w:rsid w:val="00A75B84"/>
    <w:rsid w:val="00A80123"/>
    <w:rsid w:val="00A80305"/>
    <w:rsid w:val="00A80F95"/>
    <w:rsid w:val="00A8157A"/>
    <w:rsid w:val="00A868CB"/>
    <w:rsid w:val="00A870FE"/>
    <w:rsid w:val="00A87B37"/>
    <w:rsid w:val="00A903C7"/>
    <w:rsid w:val="00A93724"/>
    <w:rsid w:val="00A93ECF"/>
    <w:rsid w:val="00A9603B"/>
    <w:rsid w:val="00A96364"/>
    <w:rsid w:val="00A97244"/>
    <w:rsid w:val="00A97BF1"/>
    <w:rsid w:val="00AA298A"/>
    <w:rsid w:val="00AA3AA8"/>
    <w:rsid w:val="00AA6657"/>
    <w:rsid w:val="00AB0760"/>
    <w:rsid w:val="00AB1E8E"/>
    <w:rsid w:val="00AB4795"/>
    <w:rsid w:val="00AB6748"/>
    <w:rsid w:val="00AB6BD2"/>
    <w:rsid w:val="00AC107C"/>
    <w:rsid w:val="00AC164A"/>
    <w:rsid w:val="00AC3944"/>
    <w:rsid w:val="00AC551D"/>
    <w:rsid w:val="00AC5B16"/>
    <w:rsid w:val="00AC6FF2"/>
    <w:rsid w:val="00AD19F7"/>
    <w:rsid w:val="00AD1F3C"/>
    <w:rsid w:val="00AD2C2E"/>
    <w:rsid w:val="00AD50B5"/>
    <w:rsid w:val="00AE173C"/>
    <w:rsid w:val="00AE2B7B"/>
    <w:rsid w:val="00AE448A"/>
    <w:rsid w:val="00AE74DA"/>
    <w:rsid w:val="00AF18F4"/>
    <w:rsid w:val="00AF2050"/>
    <w:rsid w:val="00AF7ECC"/>
    <w:rsid w:val="00B00BF4"/>
    <w:rsid w:val="00B02B2A"/>
    <w:rsid w:val="00B02E2C"/>
    <w:rsid w:val="00B03CA8"/>
    <w:rsid w:val="00B03D63"/>
    <w:rsid w:val="00B05B87"/>
    <w:rsid w:val="00B16EF6"/>
    <w:rsid w:val="00B20689"/>
    <w:rsid w:val="00B22F0E"/>
    <w:rsid w:val="00B249EC"/>
    <w:rsid w:val="00B25180"/>
    <w:rsid w:val="00B3026C"/>
    <w:rsid w:val="00B33C0A"/>
    <w:rsid w:val="00B34763"/>
    <w:rsid w:val="00B401AF"/>
    <w:rsid w:val="00B50046"/>
    <w:rsid w:val="00B50ED0"/>
    <w:rsid w:val="00B51C2F"/>
    <w:rsid w:val="00B53E10"/>
    <w:rsid w:val="00B55736"/>
    <w:rsid w:val="00B55E19"/>
    <w:rsid w:val="00B5647C"/>
    <w:rsid w:val="00B56E71"/>
    <w:rsid w:val="00B579A6"/>
    <w:rsid w:val="00B71AD8"/>
    <w:rsid w:val="00B7263B"/>
    <w:rsid w:val="00B76251"/>
    <w:rsid w:val="00B84B3C"/>
    <w:rsid w:val="00B857E1"/>
    <w:rsid w:val="00B8599B"/>
    <w:rsid w:val="00B86990"/>
    <w:rsid w:val="00B878AB"/>
    <w:rsid w:val="00B91220"/>
    <w:rsid w:val="00B91FE7"/>
    <w:rsid w:val="00B929BE"/>
    <w:rsid w:val="00B94758"/>
    <w:rsid w:val="00BA1B89"/>
    <w:rsid w:val="00BA1D7D"/>
    <w:rsid w:val="00BA4B6D"/>
    <w:rsid w:val="00BB1D77"/>
    <w:rsid w:val="00BB26C5"/>
    <w:rsid w:val="00BB2F84"/>
    <w:rsid w:val="00BB3FD0"/>
    <w:rsid w:val="00BB6993"/>
    <w:rsid w:val="00BC1FED"/>
    <w:rsid w:val="00BC778E"/>
    <w:rsid w:val="00BD0F9B"/>
    <w:rsid w:val="00BD55FD"/>
    <w:rsid w:val="00BD6304"/>
    <w:rsid w:val="00BD710C"/>
    <w:rsid w:val="00BD7E3B"/>
    <w:rsid w:val="00BE12B6"/>
    <w:rsid w:val="00BE3F2D"/>
    <w:rsid w:val="00BF1579"/>
    <w:rsid w:val="00BF4B8B"/>
    <w:rsid w:val="00BF4DE6"/>
    <w:rsid w:val="00BF6703"/>
    <w:rsid w:val="00C04955"/>
    <w:rsid w:val="00C06B13"/>
    <w:rsid w:val="00C16A47"/>
    <w:rsid w:val="00C17EDA"/>
    <w:rsid w:val="00C2493B"/>
    <w:rsid w:val="00C27D25"/>
    <w:rsid w:val="00C332F6"/>
    <w:rsid w:val="00C35791"/>
    <w:rsid w:val="00C36449"/>
    <w:rsid w:val="00C37697"/>
    <w:rsid w:val="00C42541"/>
    <w:rsid w:val="00C42CDE"/>
    <w:rsid w:val="00C45941"/>
    <w:rsid w:val="00C50B58"/>
    <w:rsid w:val="00C5182A"/>
    <w:rsid w:val="00C52463"/>
    <w:rsid w:val="00C52B3D"/>
    <w:rsid w:val="00C55983"/>
    <w:rsid w:val="00C55B5D"/>
    <w:rsid w:val="00C56544"/>
    <w:rsid w:val="00C60E24"/>
    <w:rsid w:val="00C61649"/>
    <w:rsid w:val="00C63EE9"/>
    <w:rsid w:val="00C80783"/>
    <w:rsid w:val="00C80F99"/>
    <w:rsid w:val="00C83F4E"/>
    <w:rsid w:val="00C84C30"/>
    <w:rsid w:val="00C87082"/>
    <w:rsid w:val="00C87B9B"/>
    <w:rsid w:val="00C908C7"/>
    <w:rsid w:val="00C92805"/>
    <w:rsid w:val="00CA16F3"/>
    <w:rsid w:val="00CA3403"/>
    <w:rsid w:val="00CA37B1"/>
    <w:rsid w:val="00CA37BB"/>
    <w:rsid w:val="00CA3FD8"/>
    <w:rsid w:val="00CA5021"/>
    <w:rsid w:val="00CB1488"/>
    <w:rsid w:val="00CB1959"/>
    <w:rsid w:val="00CB40BD"/>
    <w:rsid w:val="00CC1D45"/>
    <w:rsid w:val="00CC741B"/>
    <w:rsid w:val="00CD0E4B"/>
    <w:rsid w:val="00CD1487"/>
    <w:rsid w:val="00CD3835"/>
    <w:rsid w:val="00CD3F5D"/>
    <w:rsid w:val="00CD4AD4"/>
    <w:rsid w:val="00CE4C89"/>
    <w:rsid w:val="00CE6165"/>
    <w:rsid w:val="00CF07BA"/>
    <w:rsid w:val="00CF1433"/>
    <w:rsid w:val="00CF21A3"/>
    <w:rsid w:val="00D0296C"/>
    <w:rsid w:val="00D05E55"/>
    <w:rsid w:val="00D11502"/>
    <w:rsid w:val="00D1231A"/>
    <w:rsid w:val="00D16EB8"/>
    <w:rsid w:val="00D20A30"/>
    <w:rsid w:val="00D20BC7"/>
    <w:rsid w:val="00D23CE1"/>
    <w:rsid w:val="00D2641E"/>
    <w:rsid w:val="00D3170B"/>
    <w:rsid w:val="00D32D6F"/>
    <w:rsid w:val="00D34D5D"/>
    <w:rsid w:val="00D37B04"/>
    <w:rsid w:val="00D42858"/>
    <w:rsid w:val="00D45555"/>
    <w:rsid w:val="00D4628C"/>
    <w:rsid w:val="00D479B5"/>
    <w:rsid w:val="00D540C6"/>
    <w:rsid w:val="00D64BD1"/>
    <w:rsid w:val="00D656E0"/>
    <w:rsid w:val="00D71F34"/>
    <w:rsid w:val="00D7310B"/>
    <w:rsid w:val="00D80383"/>
    <w:rsid w:val="00D815FD"/>
    <w:rsid w:val="00D85F0B"/>
    <w:rsid w:val="00D90B37"/>
    <w:rsid w:val="00D92254"/>
    <w:rsid w:val="00D924D3"/>
    <w:rsid w:val="00DA1B52"/>
    <w:rsid w:val="00DA6055"/>
    <w:rsid w:val="00DB7EA7"/>
    <w:rsid w:val="00DC0996"/>
    <w:rsid w:val="00DC238C"/>
    <w:rsid w:val="00DC6D78"/>
    <w:rsid w:val="00DD3E88"/>
    <w:rsid w:val="00DD49B0"/>
    <w:rsid w:val="00DE084C"/>
    <w:rsid w:val="00DF12B4"/>
    <w:rsid w:val="00DF2254"/>
    <w:rsid w:val="00DF68CF"/>
    <w:rsid w:val="00E0497E"/>
    <w:rsid w:val="00E055AB"/>
    <w:rsid w:val="00E14F51"/>
    <w:rsid w:val="00E15A6C"/>
    <w:rsid w:val="00E1666D"/>
    <w:rsid w:val="00E166CD"/>
    <w:rsid w:val="00E221FA"/>
    <w:rsid w:val="00E3076E"/>
    <w:rsid w:val="00E35181"/>
    <w:rsid w:val="00E357B7"/>
    <w:rsid w:val="00E410F8"/>
    <w:rsid w:val="00E42990"/>
    <w:rsid w:val="00E42E50"/>
    <w:rsid w:val="00E447F2"/>
    <w:rsid w:val="00E4584F"/>
    <w:rsid w:val="00E532A8"/>
    <w:rsid w:val="00E53800"/>
    <w:rsid w:val="00E53A75"/>
    <w:rsid w:val="00E6081F"/>
    <w:rsid w:val="00E614AA"/>
    <w:rsid w:val="00E624EC"/>
    <w:rsid w:val="00E65CFA"/>
    <w:rsid w:val="00E70C37"/>
    <w:rsid w:val="00E7259B"/>
    <w:rsid w:val="00E8296D"/>
    <w:rsid w:val="00E8457B"/>
    <w:rsid w:val="00E944AA"/>
    <w:rsid w:val="00EA04B2"/>
    <w:rsid w:val="00EA20F3"/>
    <w:rsid w:val="00EA36D9"/>
    <w:rsid w:val="00EA5AAA"/>
    <w:rsid w:val="00EB1CCA"/>
    <w:rsid w:val="00EC608A"/>
    <w:rsid w:val="00EC6D38"/>
    <w:rsid w:val="00ED110F"/>
    <w:rsid w:val="00ED2831"/>
    <w:rsid w:val="00ED3B2D"/>
    <w:rsid w:val="00ED43D1"/>
    <w:rsid w:val="00ED6A06"/>
    <w:rsid w:val="00ED70E5"/>
    <w:rsid w:val="00EE00AC"/>
    <w:rsid w:val="00EE0466"/>
    <w:rsid w:val="00EE1CFF"/>
    <w:rsid w:val="00EE3FB7"/>
    <w:rsid w:val="00EE4EE1"/>
    <w:rsid w:val="00EF263D"/>
    <w:rsid w:val="00EF4574"/>
    <w:rsid w:val="00EF75E8"/>
    <w:rsid w:val="00F01921"/>
    <w:rsid w:val="00F13373"/>
    <w:rsid w:val="00F20E46"/>
    <w:rsid w:val="00F258BF"/>
    <w:rsid w:val="00F25A93"/>
    <w:rsid w:val="00F2684E"/>
    <w:rsid w:val="00F27235"/>
    <w:rsid w:val="00F27DD8"/>
    <w:rsid w:val="00F309C0"/>
    <w:rsid w:val="00F36C47"/>
    <w:rsid w:val="00F37809"/>
    <w:rsid w:val="00F37F21"/>
    <w:rsid w:val="00F41E3B"/>
    <w:rsid w:val="00F45486"/>
    <w:rsid w:val="00F47942"/>
    <w:rsid w:val="00F53309"/>
    <w:rsid w:val="00F53E91"/>
    <w:rsid w:val="00F5404C"/>
    <w:rsid w:val="00F55791"/>
    <w:rsid w:val="00F60968"/>
    <w:rsid w:val="00F650C7"/>
    <w:rsid w:val="00F67C6A"/>
    <w:rsid w:val="00F70504"/>
    <w:rsid w:val="00F7131D"/>
    <w:rsid w:val="00F729EF"/>
    <w:rsid w:val="00F746B7"/>
    <w:rsid w:val="00F760AE"/>
    <w:rsid w:val="00F77CAE"/>
    <w:rsid w:val="00F81CAE"/>
    <w:rsid w:val="00F82271"/>
    <w:rsid w:val="00F82376"/>
    <w:rsid w:val="00F83428"/>
    <w:rsid w:val="00F86408"/>
    <w:rsid w:val="00F875A8"/>
    <w:rsid w:val="00F87F95"/>
    <w:rsid w:val="00F90B17"/>
    <w:rsid w:val="00F96BB9"/>
    <w:rsid w:val="00FA4D1A"/>
    <w:rsid w:val="00FA5EFD"/>
    <w:rsid w:val="00FC1216"/>
    <w:rsid w:val="00FC5365"/>
    <w:rsid w:val="00FD1850"/>
    <w:rsid w:val="00FD46D6"/>
    <w:rsid w:val="00FE6D51"/>
    <w:rsid w:val="00FE6F2A"/>
    <w:rsid w:val="00FE7E3A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429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C778E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AD8"/>
    <w:pPr>
      <w:keepNext/>
      <w:keepLines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8A6BB7"/>
    <w:pPr>
      <w:spacing w:before="240" w:after="120" w:line="240" w:lineRule="auto"/>
      <w:outlineLvl w:val="1"/>
    </w:pPr>
    <w:rPr>
      <w:bCs w:val="0"/>
      <w:sz w:val="22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27259"/>
    <w:pPr>
      <w:ind w:left="680"/>
      <w:outlineLvl w:val="2"/>
    </w:pPr>
    <w:rPr>
      <w:b w:val="0"/>
      <w:i/>
      <w:caps w:val="0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line="280" w:lineRule="atLeast"/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71AD8"/>
    <w:pPr>
      <w:spacing w:line="200" w:lineRule="atLeast"/>
      <w:outlineLvl w:val="4"/>
    </w:pPr>
    <w:rPr>
      <w:b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AD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A6BB7"/>
    <w:rPr>
      <w:rFonts w:asciiTheme="majorHAnsi" w:eastAsiaTheme="majorEastAsia" w:hAnsiTheme="majorHAnsi" w:cstheme="majorBidi"/>
      <w:b/>
      <w:caps/>
      <w:color w:val="495965" w:themeColor="text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27259"/>
    <w:rPr>
      <w:rFonts w:asciiTheme="majorHAnsi" w:eastAsiaTheme="majorEastAsia" w:hAnsiTheme="majorHAnsi" w:cstheme="majorBidi"/>
      <w:i/>
      <w:color w:val="495965" w:themeColor="text2"/>
      <w:sz w:val="24"/>
      <w:szCs w:val="24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B71AD8"/>
    <w:pPr>
      <w:numPr>
        <w:numId w:val="10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7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6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6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6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B71AD8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E6F2A"/>
    <w:pPr>
      <w:tabs>
        <w:tab w:val="center" w:pos="4513"/>
        <w:tab w:val="right" w:pos="9026"/>
      </w:tabs>
      <w:spacing w:before="0" w:after="0"/>
      <w:ind w:left="227"/>
    </w:pPr>
    <w:rPr>
      <w:b/>
      <w:cap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B71AD8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E6F2A"/>
    <w:rPr>
      <w:b/>
      <w:caps/>
      <w:color w:val="495965" w:themeColor="text2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71AD8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244229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numPr>
        <w:numId w:val="0"/>
      </w:numPr>
      <w:spacing w:before="60" w:line="220" w:lineRule="atLeast"/>
      <w:ind w:left="284" w:hanging="284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numPr>
        <w:ilvl w:val="0"/>
        <w:numId w:val="0"/>
      </w:numPr>
      <w:spacing w:before="60" w:line="220" w:lineRule="atLeast"/>
      <w:ind w:left="568" w:hanging="284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numPr>
        <w:ilvl w:val="0"/>
        <w:numId w:val="0"/>
      </w:numPr>
      <w:spacing w:before="60" w:line="220" w:lineRule="atLeast"/>
      <w:ind w:left="852" w:hanging="284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9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aliases w:val="List Paragraph1,Recommendation,List Paragraph11,L,F5 List Paragraph,Dot pt,CV text,Table text,List Paragraph111,Medium Grid 1 - Accent 21,Numbered Paragraph,List Paragraph2,Bulleted Para,NFP GP Bulleted List,FooterText,numbered,列出段落,列出段落1"/>
    <w:basedOn w:val="Normal"/>
    <w:link w:val="ListParagraphChar"/>
    <w:uiPriority w:val="34"/>
    <w:qFormat/>
    <w:locked/>
    <w:rsid w:val="00A97244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L Char,F5 List Paragraph Char,Dot pt Char,CV text Char,Table text Char,List Paragraph111 Char,Medium Grid 1 - Accent 21 Char,Numbered Paragraph Char,List Paragraph2 Char"/>
    <w:link w:val="ListParagraph"/>
    <w:uiPriority w:val="34"/>
    <w:qFormat/>
    <w:locked/>
    <w:rsid w:val="00A97244"/>
    <w:rPr>
      <w:color w:val="495965" w:themeColor="text2"/>
      <w:lang w:val="en-GB"/>
    </w:rPr>
  </w:style>
  <w:style w:type="table" w:customStyle="1" w:styleId="DFATTable11">
    <w:name w:val="DFAT Table 11"/>
    <w:basedOn w:val="TableNormal"/>
    <w:uiPriority w:val="99"/>
    <w:rsid w:val="00E4584F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table" w:styleId="GridTable4-Accent1">
    <w:name w:val="Grid Table 4 Accent 1"/>
    <w:basedOn w:val="TableNormal"/>
    <w:uiPriority w:val="49"/>
    <w:locked/>
    <w:rsid w:val="00DC238C"/>
    <w:pPr>
      <w:spacing w:after="0" w:line="240" w:lineRule="auto"/>
    </w:pPr>
    <w:tblPr>
      <w:tblStyleRowBandSize w:val="1"/>
      <w:tblStyleColBandSize w:val="1"/>
      <w:tblBorders>
        <w:top w:val="single" w:sz="4" w:space="0" w:color="A2DCD1" w:themeColor="accent1" w:themeTint="99"/>
        <w:left w:val="single" w:sz="4" w:space="0" w:color="A2DCD1" w:themeColor="accent1" w:themeTint="99"/>
        <w:bottom w:val="single" w:sz="4" w:space="0" w:color="A2DCD1" w:themeColor="accent1" w:themeTint="99"/>
        <w:right w:val="single" w:sz="4" w:space="0" w:color="A2DCD1" w:themeColor="accent1" w:themeTint="99"/>
        <w:insideH w:val="single" w:sz="4" w:space="0" w:color="A2DCD1" w:themeColor="accent1" w:themeTint="99"/>
        <w:insideV w:val="single" w:sz="4" w:space="0" w:color="A2DC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nil"/>
          <w:insideV w:val="nil"/>
        </w:tcBorders>
        <w:shd w:val="clear" w:color="auto" w:fill="65C5B4" w:themeFill="accent1"/>
      </w:tcPr>
    </w:tblStylePr>
    <w:tblStylePr w:type="lastRow">
      <w:rPr>
        <w:b/>
        <w:bCs/>
      </w:rPr>
      <w:tblPr/>
      <w:tcPr>
        <w:tcBorders>
          <w:top w:val="double" w:sz="4" w:space="0" w:color="65C5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EF" w:themeFill="accent1" w:themeFillTint="33"/>
      </w:tcPr>
    </w:tblStylePr>
    <w:tblStylePr w:type="band1Horz">
      <w:tblPr/>
      <w:tcPr>
        <w:shd w:val="clear" w:color="auto" w:fill="E0F3EF" w:themeFill="accent1" w:themeFillTint="33"/>
      </w:tcPr>
    </w:tblStylePr>
  </w:style>
  <w:style w:type="table" w:customStyle="1" w:styleId="APPR">
    <w:name w:val="APPR"/>
    <w:basedOn w:val="TableNormal"/>
    <w:uiPriority w:val="99"/>
    <w:rsid w:val="00681633"/>
    <w:pPr>
      <w:spacing w:after="0" w:line="240" w:lineRule="auto"/>
    </w:pPr>
    <w:rPr>
      <w:rFonts w:ascii="Franklin Gothic Book" w:hAnsi="Franklin Gothic Book"/>
      <w:sz w:val="17"/>
      <w:lang w:eastAsia="en-AU"/>
    </w:rPr>
    <w:tblPr>
      <w:tblStyleRowBandSize w:val="1"/>
      <w:tblCellSpacing w:w="14" w:type="dxa"/>
      <w:tblBorders>
        <w:top w:val="single" w:sz="12" w:space="0" w:color="000000" w:themeColor="text1"/>
        <w:bottom w:val="single" w:sz="12" w:space="0" w:color="000000" w:themeColor="text1"/>
      </w:tblBorders>
    </w:tblPr>
    <w:trPr>
      <w:tblHeader/>
      <w:tblCellSpacing w:w="14" w:type="dxa"/>
    </w:trPr>
    <w:tblStylePr w:type="firstRow">
      <w:pPr>
        <w:wordWrap/>
      </w:pPr>
      <w:rPr>
        <w:rFonts w:ascii="Franklin Gothic Medium" w:hAnsi="Franklin Gothic Medium"/>
        <w:b/>
        <w:sz w:val="17"/>
      </w:rPr>
      <w:tblPr/>
      <w:tcPr>
        <w:tcBorders>
          <w:top w:val="nil"/>
          <w:bottom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8C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1F60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y2iqfc">
    <w:name w:val="y2iqfc"/>
    <w:basedOn w:val="DefaultParagraphFont"/>
    <w:rsid w:val="008C1F60"/>
  </w:style>
  <w:style w:type="table" w:customStyle="1" w:styleId="TableGrid1">
    <w:name w:val="Table Grid1"/>
    <w:basedOn w:val="TableNormal"/>
    <w:next w:val="TableGrid"/>
    <w:locked/>
    <w:rsid w:val="00B76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next w:val="GridTable4-Accent1"/>
    <w:uiPriority w:val="49"/>
    <w:rsid w:val="00B76251"/>
    <w:pPr>
      <w:spacing w:after="0" w:line="240" w:lineRule="auto"/>
    </w:pPr>
    <w:tblPr>
      <w:tblStyleRowBandSize w:val="1"/>
      <w:tblStyleColBandSize w:val="1"/>
      <w:tblBorders>
        <w:top w:val="single" w:sz="4" w:space="0" w:color="A2DCD1" w:themeColor="accent1" w:themeTint="99"/>
        <w:left w:val="single" w:sz="4" w:space="0" w:color="A2DCD1" w:themeColor="accent1" w:themeTint="99"/>
        <w:bottom w:val="single" w:sz="4" w:space="0" w:color="A2DCD1" w:themeColor="accent1" w:themeTint="99"/>
        <w:right w:val="single" w:sz="4" w:space="0" w:color="A2DCD1" w:themeColor="accent1" w:themeTint="99"/>
        <w:insideH w:val="single" w:sz="4" w:space="0" w:color="A2DCD1" w:themeColor="accent1" w:themeTint="99"/>
        <w:insideV w:val="single" w:sz="4" w:space="0" w:color="A2DC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nil"/>
          <w:insideV w:val="nil"/>
        </w:tcBorders>
        <w:shd w:val="clear" w:color="auto" w:fill="65C5B4" w:themeFill="accent1"/>
      </w:tcPr>
    </w:tblStylePr>
    <w:tblStylePr w:type="lastRow">
      <w:rPr>
        <w:b/>
        <w:bCs/>
      </w:rPr>
      <w:tblPr/>
      <w:tcPr>
        <w:tcBorders>
          <w:top w:val="double" w:sz="4" w:space="0" w:color="65C5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EF" w:themeFill="accent1" w:themeFillTint="33"/>
      </w:tcPr>
    </w:tblStylePr>
    <w:tblStylePr w:type="band1Horz">
      <w:tblPr/>
      <w:tcPr>
        <w:shd w:val="clear" w:color="auto" w:fill="E0F3EF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locked/>
    <w:rsid w:val="00125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9D400-8AF7-4434-87B4-1127DA62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5634</Characters>
  <Application>Microsoft Office Word</Application>
  <DocSecurity>0</DocSecurity>
  <Lines>77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2020-21 DFAT Multilateral Performance Report</dc:title>
  <dc:subject/>
  <dc:creator/>
  <cp:keywords/>
  <cp:lastModifiedBy/>
  <cp:revision>1</cp:revision>
  <dcterms:created xsi:type="dcterms:W3CDTF">2021-11-26T00:28:00Z</dcterms:created>
  <dcterms:modified xsi:type="dcterms:W3CDTF">2021-11-26T00:30:00Z</dcterms:modified>
  <cp:category/>
</cp:coreProperties>
</file>